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ms-office.chartcolorstyle+xml" PartName="/word/charts/colors1.xml"/>
  <Override ContentType="application/vnd.ms-office.chartcolorstyle+xml" PartName="/word/charts/colors2.xml"/>
  <Override ContentType="application/vnd.ms-office.chartcolorstyle+xml" PartName="/word/charts/colors3.xml"/>
  <Override ContentType="application/vnd.ms-office.chartstyle+xml" PartName="/word/charts/style1.xml"/>
  <Override ContentType="application/vnd.ms-office.chartstyle+xml" PartName="/word/charts/style2.xml"/>
  <Override ContentType="application/vnd.ms-office.chartstyle+xml" PartName="/word/charts/style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F7528" w14:textId="77777777" w:rsidR="00CC35AA" w:rsidRDefault="00CC35AA" w:rsidP="00161BED">
      <w:pPr>
        <w:spacing w:after="120"/>
        <w:ind w:left="5670"/>
        <w:rPr>
          <w:rFonts w:eastAsia="Calibri"/>
          <w:lang w:eastAsia="ar-SA"/>
        </w:rPr>
      </w:pPr>
      <w:bookmarkStart w:id="0" w:name="_Hlk67574955"/>
      <w:bookmarkEnd w:id="0"/>
    </w:p>
    <w:p w14:paraId="33AE46D0" w14:textId="18AC29E2" w:rsidR="00804EFB" w:rsidRDefault="00804EFB" w:rsidP="00161BED">
      <w:pPr>
        <w:spacing w:after="120"/>
        <w:ind w:left="5670"/>
        <w:rPr>
          <w:rFonts w:eastAsia="Calibri"/>
        </w:rPr>
      </w:pPr>
      <w:r w:rsidRPr="000C7412">
        <w:rPr>
          <w:rFonts w:eastAsia="Calibri"/>
          <w:lang w:eastAsia="ar-SA"/>
        </w:rPr>
        <w:t>PRITARTA</w:t>
      </w:r>
      <w:r w:rsidRPr="000C7412">
        <w:rPr>
          <w:rFonts w:eastAsia="Calibri"/>
          <w:lang w:eastAsia="ar-SA"/>
        </w:rPr>
        <w:br/>
      </w:r>
      <w:r w:rsidR="009F06CB">
        <w:rPr>
          <w:lang w:eastAsia="ar-SA"/>
        </w:rPr>
        <w:t>Lietuvos Respublikos Vyriausybės</w:t>
      </w:r>
      <w:r w:rsidR="009F06CB">
        <w:rPr>
          <w:lang w:eastAsia="ar-SA"/>
        </w:rPr>
        <w:br/>
      </w:r>
      <w:sdt>
        <w:sdtPr>
          <w:tag w:val="registravimoData"/>
          <w:id w:val="493234896"/>
          <w:placeholder>
            <w:docPart w:val="4D4ABD1D71D84A3B808BEBA30FDAF261"/>
          </w:placeholder>
          <w:showingPlcHdr/>
        </w:sdtPr>
        <w:sdtEndPr/>
        <w:sdtContent>
          <w:r>
            <w:t/>
          </w:r>
        </w:sdtContent>
      </w:sdt>
      <w:r w:rsidR="009F06CB">
        <w:t xml:space="preserve"> </w:t>
      </w:r>
      <w:r w:rsidR="009F06CB">
        <w:rPr>
          <w:lang w:eastAsia="ar-SA"/>
        </w:rPr>
        <w:t xml:space="preserve">nutarimu </w:t>
      </w:r>
      <w:r w:rsidR="009F06CB">
        <w:t>Nr.</w:t>
      </w:r>
      <w:r w:rsidR="009F06CB" w:rsidRPr="00B62188">
        <w:t xml:space="preserve"> </w:t>
      </w:r>
      <w:sdt>
        <w:sdtPr>
          <w:tag w:val="registravimoNr"/>
          <w:id w:val="-1182505853"/>
          <w:placeholder>
            <w:docPart w:val="8EDC085DEE344A1097279095028176CE"/>
          </w:placeholder>
          <w:showingPlcHdr/>
        </w:sdtPr>
        <w:sdtEndPr/>
        <w:sdtContent>
          <w:r>
            <w:t/>
          </w:r>
        </w:sdtContent>
      </w:sdt>
    </w:p>
    <w:p w14:paraId="3FDF7A12" w14:textId="77777777" w:rsidR="00804EFB" w:rsidRDefault="00804EFB" w:rsidP="00804EFB">
      <w:pPr>
        <w:spacing w:after="120"/>
        <w:ind w:left="4820"/>
        <w:rPr>
          <w:rFonts w:eastAsia="Calibri"/>
        </w:rPr>
      </w:pPr>
    </w:p>
    <w:p w14:paraId="7B5ADC94" w14:textId="77777777" w:rsidR="00804EFB" w:rsidRDefault="00804EFB" w:rsidP="00804EFB">
      <w:pPr>
        <w:shd w:val="clear" w:color="auto" w:fill="FFFFFF" w:themeFill="background1"/>
        <w:spacing w:after="120"/>
        <w:rPr>
          <w:rFonts w:eastAsia="Calibri"/>
          <w:b/>
          <w:sz w:val="44"/>
          <w:szCs w:val="44"/>
        </w:rPr>
      </w:pPr>
    </w:p>
    <w:p w14:paraId="67CD0403" w14:textId="77777777" w:rsidR="00804EFB" w:rsidRDefault="00804EFB" w:rsidP="00804EFB">
      <w:pPr>
        <w:shd w:val="clear" w:color="auto" w:fill="FFFFFF" w:themeFill="background1"/>
        <w:spacing w:after="120"/>
        <w:jc w:val="center"/>
        <w:rPr>
          <w:rFonts w:eastAsia="Calibri"/>
          <w:b/>
          <w:sz w:val="44"/>
          <w:szCs w:val="44"/>
        </w:rPr>
      </w:pPr>
    </w:p>
    <w:p w14:paraId="3F1FD6CF" w14:textId="77777777" w:rsidR="00804EFB" w:rsidRDefault="00804EFB" w:rsidP="00804EFB">
      <w:pPr>
        <w:shd w:val="clear" w:color="auto" w:fill="FFFFFF" w:themeFill="background1"/>
        <w:spacing w:after="120"/>
        <w:jc w:val="center"/>
        <w:rPr>
          <w:rFonts w:eastAsia="Calibri"/>
          <w:b/>
          <w:sz w:val="44"/>
          <w:szCs w:val="44"/>
        </w:rPr>
      </w:pPr>
    </w:p>
    <w:p w14:paraId="4380965F" w14:textId="77777777" w:rsidR="00804EFB" w:rsidRPr="002D64B6" w:rsidRDefault="00804EFB" w:rsidP="00804EFB">
      <w:pPr>
        <w:shd w:val="clear" w:color="auto" w:fill="FFFFFF" w:themeFill="background1"/>
        <w:spacing w:after="120"/>
        <w:jc w:val="center"/>
        <w:rPr>
          <w:rFonts w:eastAsia="Calibri"/>
          <w:sz w:val="44"/>
          <w:szCs w:val="44"/>
        </w:rPr>
      </w:pPr>
      <w:r w:rsidRPr="00BB6B20">
        <w:rPr>
          <w:rFonts w:eastAsia="Calibri"/>
          <w:b/>
          <w:bCs/>
          <w:sz w:val="44"/>
          <w:szCs w:val="44"/>
        </w:rPr>
        <w:t>LIETUVOS RESPUBLIKOS VYRIAUSYBĖ</w:t>
      </w:r>
    </w:p>
    <w:p w14:paraId="371585D1" w14:textId="77777777" w:rsidR="00804EFB" w:rsidRPr="002D64B6" w:rsidRDefault="00804EFB" w:rsidP="00804EFB">
      <w:pPr>
        <w:shd w:val="clear" w:color="auto" w:fill="FFFFFF" w:themeFill="background1"/>
        <w:spacing w:after="120"/>
        <w:jc w:val="center"/>
        <w:rPr>
          <w:rFonts w:eastAsia="Calibri"/>
          <w:b/>
          <w:color w:val="002060"/>
          <w:sz w:val="44"/>
          <w:szCs w:val="44"/>
        </w:rPr>
      </w:pPr>
    </w:p>
    <w:p w14:paraId="4FBB6B75" w14:textId="77777777" w:rsidR="00804EFB" w:rsidRPr="002D64B6" w:rsidRDefault="00804EFB" w:rsidP="00804EFB">
      <w:pPr>
        <w:shd w:val="clear" w:color="auto" w:fill="FFFFFF" w:themeFill="background1"/>
        <w:spacing w:after="120"/>
        <w:jc w:val="center"/>
        <w:rPr>
          <w:rFonts w:eastAsia="Calibri"/>
          <w:b/>
          <w:color w:val="002060"/>
          <w:sz w:val="44"/>
          <w:szCs w:val="44"/>
        </w:rPr>
      </w:pPr>
    </w:p>
    <w:p w14:paraId="64163ABF" w14:textId="77777777" w:rsidR="00804EFB" w:rsidRPr="00BB6B20" w:rsidRDefault="00804EFB" w:rsidP="00804EFB">
      <w:pPr>
        <w:shd w:val="clear" w:color="auto" w:fill="8DB3E2" w:themeFill="text2" w:themeFillTint="66"/>
        <w:spacing w:after="120"/>
        <w:jc w:val="center"/>
        <w:rPr>
          <w:rFonts w:eastAsia="Calibri"/>
          <w:b/>
          <w:bCs/>
          <w:sz w:val="64"/>
          <w:szCs w:val="64"/>
        </w:rPr>
      </w:pPr>
      <w:r w:rsidRPr="00BB6B20">
        <w:rPr>
          <w:rFonts w:eastAsia="Calibri"/>
          <w:b/>
          <w:bCs/>
          <w:sz w:val="64"/>
          <w:szCs w:val="64"/>
        </w:rPr>
        <w:t xml:space="preserve">2020 METŲ </w:t>
      </w:r>
    </w:p>
    <w:p w14:paraId="43D8AA05" w14:textId="77777777" w:rsidR="00804EFB" w:rsidRPr="00BB6B20" w:rsidRDefault="00804EFB" w:rsidP="00804EFB">
      <w:pPr>
        <w:shd w:val="clear" w:color="auto" w:fill="8DB3E2" w:themeFill="text2" w:themeFillTint="66"/>
        <w:spacing w:after="120"/>
        <w:jc w:val="center"/>
        <w:rPr>
          <w:rFonts w:eastAsia="Calibri"/>
          <w:b/>
          <w:bCs/>
          <w:sz w:val="64"/>
          <w:szCs w:val="64"/>
        </w:rPr>
      </w:pPr>
      <w:r w:rsidRPr="00BB6B20">
        <w:rPr>
          <w:rFonts w:eastAsia="Calibri"/>
          <w:b/>
          <w:bCs/>
          <w:sz w:val="64"/>
          <w:szCs w:val="64"/>
        </w:rPr>
        <w:t>VEIKLOS ATASKAITA</w:t>
      </w:r>
    </w:p>
    <w:p w14:paraId="69FF6C96" w14:textId="77777777" w:rsidR="00804EFB" w:rsidRDefault="00804EFB" w:rsidP="00804EFB">
      <w:pPr>
        <w:shd w:val="clear" w:color="auto" w:fill="FFFFFF" w:themeFill="background1"/>
        <w:spacing w:after="120"/>
        <w:jc w:val="center"/>
        <w:rPr>
          <w:rFonts w:eastAsia="Calibri"/>
          <w:b/>
          <w:sz w:val="44"/>
          <w:szCs w:val="44"/>
        </w:rPr>
      </w:pPr>
    </w:p>
    <w:p w14:paraId="06F5B07B" w14:textId="77777777" w:rsidR="00804EFB" w:rsidRDefault="00804EFB" w:rsidP="00804EFB">
      <w:pPr>
        <w:shd w:val="clear" w:color="auto" w:fill="FFFFFF" w:themeFill="background1"/>
        <w:spacing w:after="120"/>
        <w:jc w:val="center"/>
        <w:rPr>
          <w:rFonts w:eastAsia="Calibri"/>
          <w:b/>
          <w:sz w:val="44"/>
          <w:szCs w:val="44"/>
        </w:rPr>
      </w:pPr>
    </w:p>
    <w:p w14:paraId="1A800713" w14:textId="77777777" w:rsidR="00804EFB" w:rsidRDefault="00804EFB" w:rsidP="00804EFB">
      <w:pPr>
        <w:shd w:val="clear" w:color="auto" w:fill="FFFFFF" w:themeFill="background1"/>
        <w:spacing w:after="120"/>
        <w:jc w:val="center"/>
        <w:rPr>
          <w:rFonts w:eastAsia="Calibri"/>
          <w:b/>
          <w:sz w:val="44"/>
          <w:szCs w:val="44"/>
        </w:rPr>
      </w:pPr>
    </w:p>
    <w:p w14:paraId="3C9C13B5" w14:textId="77777777" w:rsidR="00804EFB" w:rsidRDefault="00804EFB" w:rsidP="00804EFB">
      <w:pPr>
        <w:shd w:val="clear" w:color="auto" w:fill="FFFFFF" w:themeFill="background1"/>
        <w:spacing w:after="120"/>
        <w:jc w:val="center"/>
        <w:rPr>
          <w:rFonts w:eastAsia="Calibri"/>
          <w:b/>
          <w:sz w:val="44"/>
          <w:szCs w:val="44"/>
        </w:rPr>
      </w:pPr>
    </w:p>
    <w:p w14:paraId="4AACDC3F" w14:textId="77777777" w:rsidR="00804EFB" w:rsidRDefault="00804EFB" w:rsidP="00804EFB">
      <w:pPr>
        <w:shd w:val="clear" w:color="auto" w:fill="FFFFFF" w:themeFill="background1"/>
        <w:spacing w:after="120"/>
        <w:jc w:val="center"/>
        <w:rPr>
          <w:rFonts w:eastAsia="Calibri"/>
          <w:b/>
          <w:sz w:val="44"/>
          <w:szCs w:val="44"/>
        </w:rPr>
      </w:pPr>
    </w:p>
    <w:p w14:paraId="648A4064" w14:textId="77777777" w:rsidR="00804EFB" w:rsidRDefault="00804EFB" w:rsidP="00804EFB">
      <w:pPr>
        <w:shd w:val="clear" w:color="auto" w:fill="FFFFFF" w:themeFill="background1"/>
        <w:spacing w:after="120"/>
        <w:jc w:val="center"/>
        <w:rPr>
          <w:rFonts w:eastAsia="Calibri"/>
          <w:b/>
          <w:sz w:val="44"/>
          <w:szCs w:val="44"/>
        </w:rPr>
      </w:pPr>
    </w:p>
    <w:p w14:paraId="26D51E90" w14:textId="77777777" w:rsidR="00804EFB" w:rsidRDefault="00804EFB" w:rsidP="00804EFB">
      <w:pPr>
        <w:shd w:val="clear" w:color="auto" w:fill="FFFFFF" w:themeFill="background1"/>
        <w:tabs>
          <w:tab w:val="left" w:pos="8292"/>
        </w:tabs>
        <w:spacing w:after="120"/>
        <w:rPr>
          <w:rFonts w:eastAsia="Calibri"/>
          <w:b/>
          <w:sz w:val="44"/>
          <w:szCs w:val="44"/>
        </w:rPr>
      </w:pPr>
      <w:r>
        <w:rPr>
          <w:rFonts w:eastAsia="Calibri"/>
          <w:b/>
          <w:sz w:val="44"/>
          <w:szCs w:val="44"/>
        </w:rPr>
        <w:tab/>
      </w:r>
    </w:p>
    <w:p w14:paraId="590232CF" w14:textId="77777777" w:rsidR="00804EFB" w:rsidRPr="000C7412" w:rsidRDefault="00804EFB" w:rsidP="00804EFB">
      <w:pPr>
        <w:shd w:val="clear" w:color="auto" w:fill="FFFFFF" w:themeFill="background1"/>
        <w:spacing w:after="120"/>
        <w:jc w:val="center"/>
        <w:rPr>
          <w:rFonts w:eastAsia="Calibri"/>
          <w:b/>
          <w:sz w:val="44"/>
          <w:szCs w:val="44"/>
        </w:rPr>
      </w:pPr>
    </w:p>
    <w:p w14:paraId="44640764" w14:textId="77777777" w:rsidR="00804EFB" w:rsidRDefault="00804EFB" w:rsidP="00804EFB">
      <w:pPr>
        <w:spacing w:after="120"/>
        <w:jc w:val="center"/>
        <w:rPr>
          <w:rFonts w:eastAsia="Calibri"/>
          <w:b/>
        </w:rPr>
      </w:pPr>
    </w:p>
    <w:p w14:paraId="2860948F" w14:textId="4C7C5926" w:rsidR="00804EFB" w:rsidRDefault="00804EFB" w:rsidP="00804EFB">
      <w:pPr>
        <w:jc w:val="center"/>
        <w:rPr>
          <w:b/>
          <w:color w:val="002060"/>
        </w:rPr>
      </w:pPr>
      <w:r w:rsidRPr="000C7412">
        <w:rPr>
          <w:rFonts w:eastAsia="Calibri"/>
        </w:rPr>
        <w:t>20</w:t>
      </w:r>
      <w:r>
        <w:rPr>
          <w:rFonts w:eastAsia="Calibri"/>
        </w:rPr>
        <w:t>2</w:t>
      </w:r>
      <w:r>
        <w:rPr>
          <w:rFonts w:eastAsia="Calibri"/>
          <w:lang w:val="en-GB"/>
        </w:rPr>
        <w:t>1</w:t>
      </w:r>
      <w:r w:rsidRPr="000C7412">
        <w:rPr>
          <w:rFonts w:eastAsia="Calibri"/>
        </w:rPr>
        <w:t xml:space="preserve"> m. kovo </w:t>
      </w:r>
      <w:r>
        <w:rPr>
          <w:rFonts w:eastAsia="Calibri"/>
        </w:rPr>
        <w:t>31</w:t>
      </w:r>
      <w:r w:rsidRPr="000C7412">
        <w:rPr>
          <w:rFonts w:eastAsia="Calibri"/>
        </w:rPr>
        <w:t xml:space="preserve"> d</w:t>
      </w:r>
      <w:r>
        <w:rPr>
          <w:rFonts w:eastAsia="Calibri"/>
        </w:rPr>
        <w:t>.</w:t>
      </w:r>
      <w:r w:rsidRPr="000C7412">
        <w:rPr>
          <w:rFonts w:eastAsia="Calibri"/>
        </w:rPr>
        <w:t xml:space="preserve">, Vilnius </w:t>
      </w:r>
      <w:r>
        <w:rPr>
          <w:b/>
          <w:color w:val="002060"/>
        </w:rPr>
        <w:br w:type="page"/>
      </w:r>
    </w:p>
    <w:p w14:paraId="4A7E8F8F" w14:textId="77777777" w:rsidR="00804EFB" w:rsidRDefault="00804EFB">
      <w:pPr>
        <w:rPr>
          <w:b/>
          <w:color w:val="002060"/>
        </w:rPr>
      </w:pPr>
    </w:p>
    <w:p w14:paraId="47975595" w14:textId="3EF06BB3" w:rsidR="00DA4231" w:rsidRDefault="00DA4231" w:rsidP="00DA4231">
      <w:pPr>
        <w:spacing w:line="276" w:lineRule="auto"/>
        <w:jc w:val="center"/>
        <w:rPr>
          <w:b/>
          <w:color w:val="002060"/>
        </w:rPr>
      </w:pPr>
      <w:r>
        <w:rPr>
          <w:b/>
          <w:color w:val="002060"/>
        </w:rPr>
        <w:t xml:space="preserve">LIETUVOS RESPUBLIKOS </w:t>
      </w:r>
      <w:r w:rsidRPr="00434144">
        <w:rPr>
          <w:b/>
          <w:color w:val="002060"/>
        </w:rPr>
        <w:t xml:space="preserve">VYRIAUSYBĖS </w:t>
      </w:r>
      <w:r>
        <w:rPr>
          <w:b/>
          <w:color w:val="002060"/>
        </w:rPr>
        <w:t>2020 METŲ</w:t>
      </w:r>
      <w:r w:rsidRPr="00434144">
        <w:rPr>
          <w:b/>
          <w:color w:val="002060"/>
        </w:rPr>
        <w:t xml:space="preserve"> VEIKLOS ATASKAITOS TURINYS</w:t>
      </w:r>
    </w:p>
    <w:p w14:paraId="1E064B1D" w14:textId="353435E5" w:rsidR="00877722" w:rsidRDefault="00877722" w:rsidP="00877722">
      <w:pPr>
        <w:spacing w:line="276" w:lineRule="auto"/>
        <w:jc w:val="both"/>
        <w:rPr>
          <w:b/>
          <w:color w:val="002060"/>
        </w:rPr>
      </w:pPr>
    </w:p>
    <w:p w14:paraId="3D3954AE" w14:textId="065A70B6" w:rsidR="007A5EB8" w:rsidRDefault="00877722">
      <w:pPr>
        <w:pStyle w:val="Turinys1"/>
        <w:tabs>
          <w:tab w:val="right" w:leader="dot" w:pos="10042"/>
        </w:tabs>
        <w:rPr>
          <w:rFonts w:asciiTheme="minorHAnsi" w:eastAsiaTheme="minorEastAsia" w:hAnsiTheme="minorHAnsi" w:cstheme="minorBidi"/>
          <w:noProof/>
          <w:sz w:val="22"/>
          <w:szCs w:val="22"/>
          <w:lang w:val="en-GB" w:eastAsia="en-GB"/>
        </w:rPr>
      </w:pPr>
      <w:r w:rsidRPr="009F3712">
        <w:rPr>
          <w:b/>
          <w:color w:val="17365D" w:themeColor="text2" w:themeShade="BF"/>
        </w:rPr>
        <w:fldChar w:fldCharType="begin"/>
      </w:r>
      <w:r w:rsidRPr="009F3712">
        <w:rPr>
          <w:b/>
          <w:color w:val="17365D" w:themeColor="text2" w:themeShade="BF"/>
        </w:rPr>
        <w:instrText xml:space="preserve"> TOC \o "1-1" \h \z \u </w:instrText>
      </w:r>
      <w:r w:rsidRPr="009F3712">
        <w:rPr>
          <w:b/>
          <w:color w:val="17365D" w:themeColor="text2" w:themeShade="BF"/>
        </w:rPr>
        <w:fldChar w:fldCharType="separate"/>
      </w:r>
      <w:hyperlink w:anchor="_Toc68079174" w:history="1">
        <w:r w:rsidR="007A5EB8" w:rsidRPr="005B5540">
          <w:rPr>
            <w:rStyle w:val="Hipersaitas"/>
            <w:rFonts w:eastAsia="Calibri"/>
            <w:noProof/>
          </w:rPr>
          <w:t>MINISTRĖS PIRMININKĖS ĮŽANGINIS ŽODIS</w:t>
        </w:r>
        <w:r w:rsidR="007A5EB8">
          <w:rPr>
            <w:noProof/>
            <w:webHidden/>
          </w:rPr>
          <w:tab/>
        </w:r>
        <w:r w:rsidR="007A5EB8">
          <w:rPr>
            <w:noProof/>
            <w:webHidden/>
          </w:rPr>
          <w:fldChar w:fldCharType="begin"/>
        </w:r>
        <w:r w:rsidR="007A5EB8">
          <w:rPr>
            <w:noProof/>
            <w:webHidden/>
          </w:rPr>
          <w:instrText xml:space="preserve"> PAGEREF _Toc68079174 \h </w:instrText>
        </w:r>
        <w:r w:rsidR="007A5EB8">
          <w:rPr>
            <w:noProof/>
            <w:webHidden/>
          </w:rPr>
        </w:r>
        <w:r w:rsidR="007A5EB8">
          <w:rPr>
            <w:noProof/>
            <w:webHidden/>
          </w:rPr>
          <w:fldChar w:fldCharType="separate"/>
        </w:r>
        <w:r w:rsidR="007A5EB8">
          <w:rPr>
            <w:noProof/>
            <w:webHidden/>
          </w:rPr>
          <w:t>3</w:t>
        </w:r>
        <w:r w:rsidR="007A5EB8">
          <w:rPr>
            <w:noProof/>
            <w:webHidden/>
          </w:rPr>
          <w:fldChar w:fldCharType="end"/>
        </w:r>
      </w:hyperlink>
    </w:p>
    <w:p w14:paraId="5B72594C" w14:textId="466545AD"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75" w:history="1">
        <w:r w:rsidR="007A5EB8" w:rsidRPr="005B5540">
          <w:rPr>
            <w:rStyle w:val="Hipersaitas"/>
            <w:rFonts w:eastAsia="Calibri"/>
            <w:noProof/>
          </w:rPr>
          <w:t>I DALIS. COVID-19 PANDEMIJOS SUKELTOS SITUACIJOS VALDYMAS</w:t>
        </w:r>
        <w:r w:rsidR="007A5EB8">
          <w:rPr>
            <w:noProof/>
            <w:webHidden/>
          </w:rPr>
          <w:tab/>
        </w:r>
        <w:r w:rsidR="007A5EB8">
          <w:rPr>
            <w:noProof/>
            <w:webHidden/>
          </w:rPr>
          <w:fldChar w:fldCharType="begin"/>
        </w:r>
        <w:r w:rsidR="007A5EB8">
          <w:rPr>
            <w:noProof/>
            <w:webHidden/>
          </w:rPr>
          <w:instrText xml:space="preserve"> PAGEREF _Toc68079175 \h </w:instrText>
        </w:r>
        <w:r w:rsidR="007A5EB8">
          <w:rPr>
            <w:noProof/>
            <w:webHidden/>
          </w:rPr>
        </w:r>
        <w:r w:rsidR="007A5EB8">
          <w:rPr>
            <w:noProof/>
            <w:webHidden/>
          </w:rPr>
          <w:fldChar w:fldCharType="separate"/>
        </w:r>
        <w:r w:rsidR="007A5EB8">
          <w:rPr>
            <w:noProof/>
            <w:webHidden/>
          </w:rPr>
          <w:t>5</w:t>
        </w:r>
        <w:r w:rsidR="007A5EB8">
          <w:rPr>
            <w:noProof/>
            <w:webHidden/>
          </w:rPr>
          <w:fldChar w:fldCharType="end"/>
        </w:r>
      </w:hyperlink>
    </w:p>
    <w:p w14:paraId="4CD89A64" w14:textId="00689A99" w:rsidR="007A5EB8" w:rsidRDefault="00C64DAC">
      <w:pPr>
        <w:pStyle w:val="Turinys1"/>
        <w:tabs>
          <w:tab w:val="left" w:pos="660"/>
          <w:tab w:val="right" w:leader="dot" w:pos="10042"/>
        </w:tabs>
        <w:rPr>
          <w:rFonts w:asciiTheme="minorHAnsi" w:eastAsiaTheme="minorEastAsia" w:hAnsiTheme="minorHAnsi" w:cstheme="minorBidi"/>
          <w:noProof/>
          <w:sz w:val="22"/>
          <w:szCs w:val="22"/>
          <w:lang w:val="en-GB" w:eastAsia="en-GB"/>
        </w:rPr>
      </w:pPr>
      <w:hyperlink w:anchor="_Toc68079176" w:history="1">
        <w:r w:rsidR="007A5EB8" w:rsidRPr="005B5540">
          <w:rPr>
            <w:rStyle w:val="Hipersaitas"/>
            <w:rFonts w:eastAsia="Calibri"/>
            <w:noProof/>
          </w:rPr>
          <w:t>1.1.</w:t>
        </w:r>
        <w:r w:rsidR="007A5EB8">
          <w:rPr>
            <w:rFonts w:asciiTheme="minorHAnsi" w:eastAsiaTheme="minorEastAsia" w:hAnsiTheme="minorHAnsi" w:cstheme="minorBidi"/>
            <w:noProof/>
            <w:sz w:val="22"/>
            <w:szCs w:val="22"/>
            <w:lang w:val="en-GB" w:eastAsia="en-GB"/>
          </w:rPr>
          <w:tab/>
        </w:r>
        <w:r w:rsidR="007A5EB8" w:rsidRPr="005B5540">
          <w:rPr>
            <w:rStyle w:val="Hipersaitas"/>
            <w:rFonts w:eastAsia="Calibri"/>
            <w:noProof/>
            <w:kern w:val="24"/>
          </w:rPr>
          <w:t>Valstybės lygio ekstremaliosios situacijos valdymas</w:t>
        </w:r>
        <w:r w:rsidR="007A5EB8">
          <w:rPr>
            <w:noProof/>
            <w:webHidden/>
          </w:rPr>
          <w:tab/>
        </w:r>
        <w:r w:rsidR="007A5EB8">
          <w:rPr>
            <w:noProof/>
            <w:webHidden/>
          </w:rPr>
          <w:fldChar w:fldCharType="begin"/>
        </w:r>
        <w:r w:rsidR="007A5EB8">
          <w:rPr>
            <w:noProof/>
            <w:webHidden/>
          </w:rPr>
          <w:instrText xml:space="preserve"> PAGEREF _Toc68079176 \h </w:instrText>
        </w:r>
        <w:r w:rsidR="007A5EB8">
          <w:rPr>
            <w:noProof/>
            <w:webHidden/>
          </w:rPr>
        </w:r>
        <w:r w:rsidR="007A5EB8">
          <w:rPr>
            <w:noProof/>
            <w:webHidden/>
          </w:rPr>
          <w:fldChar w:fldCharType="separate"/>
        </w:r>
        <w:r w:rsidR="007A5EB8">
          <w:rPr>
            <w:noProof/>
            <w:webHidden/>
          </w:rPr>
          <w:t>7</w:t>
        </w:r>
        <w:r w:rsidR="007A5EB8">
          <w:rPr>
            <w:noProof/>
            <w:webHidden/>
          </w:rPr>
          <w:fldChar w:fldCharType="end"/>
        </w:r>
      </w:hyperlink>
    </w:p>
    <w:p w14:paraId="2CA7C9BE" w14:textId="4A251681" w:rsidR="007A5EB8" w:rsidRDefault="00C64DAC">
      <w:pPr>
        <w:pStyle w:val="Turinys1"/>
        <w:tabs>
          <w:tab w:val="left" w:pos="660"/>
          <w:tab w:val="right" w:leader="dot" w:pos="10042"/>
        </w:tabs>
        <w:rPr>
          <w:rFonts w:asciiTheme="minorHAnsi" w:eastAsiaTheme="minorEastAsia" w:hAnsiTheme="minorHAnsi" w:cstheme="minorBidi"/>
          <w:noProof/>
          <w:sz w:val="22"/>
          <w:szCs w:val="22"/>
          <w:lang w:val="en-GB" w:eastAsia="en-GB"/>
        </w:rPr>
      </w:pPr>
      <w:hyperlink w:anchor="_Toc68079177" w:history="1">
        <w:r w:rsidR="007A5EB8" w:rsidRPr="005B5540">
          <w:rPr>
            <w:rStyle w:val="Hipersaitas"/>
            <w:rFonts w:eastAsia="Calibri"/>
            <w:noProof/>
          </w:rPr>
          <w:t>1.2.</w:t>
        </w:r>
        <w:r w:rsidR="007A5EB8">
          <w:rPr>
            <w:rFonts w:asciiTheme="minorHAnsi" w:eastAsiaTheme="minorEastAsia" w:hAnsiTheme="minorHAnsi" w:cstheme="minorBidi"/>
            <w:noProof/>
            <w:sz w:val="22"/>
            <w:szCs w:val="22"/>
            <w:lang w:val="en-GB" w:eastAsia="en-GB"/>
          </w:rPr>
          <w:tab/>
        </w:r>
        <w:r w:rsidR="007A5EB8" w:rsidRPr="005B5540">
          <w:rPr>
            <w:rStyle w:val="Hipersaitas"/>
            <w:rFonts w:eastAsia="Calibri"/>
            <w:noProof/>
            <w:kern w:val="24"/>
          </w:rPr>
          <w:t>Pandemijos valdymo priemonės</w:t>
        </w:r>
        <w:r w:rsidR="007A5EB8">
          <w:rPr>
            <w:noProof/>
            <w:webHidden/>
          </w:rPr>
          <w:tab/>
        </w:r>
        <w:r w:rsidR="007A5EB8">
          <w:rPr>
            <w:noProof/>
            <w:webHidden/>
          </w:rPr>
          <w:fldChar w:fldCharType="begin"/>
        </w:r>
        <w:r w:rsidR="007A5EB8">
          <w:rPr>
            <w:noProof/>
            <w:webHidden/>
          </w:rPr>
          <w:instrText xml:space="preserve"> PAGEREF _Toc68079177 \h </w:instrText>
        </w:r>
        <w:r w:rsidR="007A5EB8">
          <w:rPr>
            <w:noProof/>
            <w:webHidden/>
          </w:rPr>
        </w:r>
        <w:r w:rsidR="007A5EB8">
          <w:rPr>
            <w:noProof/>
            <w:webHidden/>
          </w:rPr>
          <w:fldChar w:fldCharType="separate"/>
        </w:r>
        <w:r w:rsidR="007A5EB8">
          <w:rPr>
            <w:noProof/>
            <w:webHidden/>
          </w:rPr>
          <w:t>8</w:t>
        </w:r>
        <w:r w:rsidR="007A5EB8">
          <w:rPr>
            <w:noProof/>
            <w:webHidden/>
          </w:rPr>
          <w:fldChar w:fldCharType="end"/>
        </w:r>
      </w:hyperlink>
    </w:p>
    <w:p w14:paraId="3BF34894" w14:textId="0FD3B489"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78" w:history="1">
        <w:r w:rsidR="007A5EB8" w:rsidRPr="005B5540">
          <w:rPr>
            <w:rStyle w:val="Hipersaitas"/>
            <w:rFonts w:eastAsia="Calibri"/>
            <w:noProof/>
            <w:kern w:val="24"/>
          </w:rPr>
          <w:t xml:space="preserve">1.3. </w:t>
        </w:r>
        <w:r w:rsidR="007A5EB8" w:rsidRPr="005B5540">
          <w:rPr>
            <w:rStyle w:val="Hipersaitas"/>
            <w:rFonts w:eastAsia="Calibri"/>
            <w:bCs/>
            <w:noProof/>
          </w:rPr>
          <w:t>Ekonomikos skatinimo ir koronaviruso (COVID-19) plitimo sukeltų padarinių švelninimas</w:t>
        </w:r>
        <w:r w:rsidR="007A5EB8">
          <w:rPr>
            <w:noProof/>
            <w:webHidden/>
          </w:rPr>
          <w:tab/>
        </w:r>
        <w:r w:rsidR="007A5EB8">
          <w:rPr>
            <w:noProof/>
            <w:webHidden/>
          </w:rPr>
          <w:fldChar w:fldCharType="begin"/>
        </w:r>
        <w:r w:rsidR="007A5EB8">
          <w:rPr>
            <w:noProof/>
            <w:webHidden/>
          </w:rPr>
          <w:instrText xml:space="preserve"> PAGEREF _Toc68079178 \h </w:instrText>
        </w:r>
        <w:r w:rsidR="007A5EB8">
          <w:rPr>
            <w:noProof/>
            <w:webHidden/>
          </w:rPr>
        </w:r>
        <w:r w:rsidR="007A5EB8">
          <w:rPr>
            <w:noProof/>
            <w:webHidden/>
          </w:rPr>
          <w:fldChar w:fldCharType="separate"/>
        </w:r>
        <w:r w:rsidR="007A5EB8">
          <w:rPr>
            <w:noProof/>
            <w:webHidden/>
          </w:rPr>
          <w:t>12</w:t>
        </w:r>
        <w:r w:rsidR="007A5EB8">
          <w:rPr>
            <w:noProof/>
            <w:webHidden/>
          </w:rPr>
          <w:fldChar w:fldCharType="end"/>
        </w:r>
      </w:hyperlink>
    </w:p>
    <w:p w14:paraId="7F342556" w14:textId="332DEAF2"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79" w:history="1">
        <w:r w:rsidR="007A5EB8" w:rsidRPr="005B5540">
          <w:rPr>
            <w:rStyle w:val="Hipersaitas"/>
            <w:rFonts w:eastAsia="Calibri"/>
            <w:noProof/>
            <w:kern w:val="24"/>
          </w:rPr>
          <w:t xml:space="preserve">1.4. </w:t>
        </w:r>
        <w:r w:rsidR="007A5EB8" w:rsidRPr="005B5540">
          <w:rPr>
            <w:rStyle w:val="Hipersaitas"/>
            <w:rFonts w:eastAsia="Calibri"/>
            <w:noProof/>
          </w:rPr>
          <w:t>Švietimo sistemos iššūkiai dėl COVID-19 pandemijos ir jų sprendimai</w:t>
        </w:r>
        <w:r w:rsidR="007A5EB8">
          <w:rPr>
            <w:noProof/>
            <w:webHidden/>
          </w:rPr>
          <w:tab/>
        </w:r>
        <w:r w:rsidR="007A5EB8">
          <w:rPr>
            <w:noProof/>
            <w:webHidden/>
          </w:rPr>
          <w:fldChar w:fldCharType="begin"/>
        </w:r>
        <w:r w:rsidR="007A5EB8">
          <w:rPr>
            <w:noProof/>
            <w:webHidden/>
          </w:rPr>
          <w:instrText xml:space="preserve"> PAGEREF _Toc68079179 \h </w:instrText>
        </w:r>
        <w:r w:rsidR="007A5EB8">
          <w:rPr>
            <w:noProof/>
            <w:webHidden/>
          </w:rPr>
        </w:r>
        <w:r w:rsidR="007A5EB8">
          <w:rPr>
            <w:noProof/>
            <w:webHidden/>
          </w:rPr>
          <w:fldChar w:fldCharType="separate"/>
        </w:r>
        <w:r w:rsidR="007A5EB8">
          <w:rPr>
            <w:noProof/>
            <w:webHidden/>
          </w:rPr>
          <w:t>16</w:t>
        </w:r>
        <w:r w:rsidR="007A5EB8">
          <w:rPr>
            <w:noProof/>
            <w:webHidden/>
          </w:rPr>
          <w:fldChar w:fldCharType="end"/>
        </w:r>
      </w:hyperlink>
    </w:p>
    <w:p w14:paraId="0E8950B4" w14:textId="3385F5CB"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0" w:history="1">
        <w:r w:rsidR="007A5EB8" w:rsidRPr="005B5540">
          <w:rPr>
            <w:rStyle w:val="Hipersaitas"/>
            <w:rFonts w:eastAsia="Calibri"/>
            <w:noProof/>
          </w:rPr>
          <w:t>II DALIS. MAKROEKONOMIKOS SITUACIJOS APŽVALGA 2020 METAIS IR ARTIMIAUSIO LAIKOTARPIO PERSPEKTYVOS, VALSTYBĖS BIUDŽETO SITUACIJOS APŽVALGA</w:t>
        </w:r>
        <w:r w:rsidR="007A5EB8">
          <w:rPr>
            <w:noProof/>
            <w:webHidden/>
          </w:rPr>
          <w:tab/>
        </w:r>
        <w:r w:rsidR="007A5EB8">
          <w:rPr>
            <w:noProof/>
            <w:webHidden/>
          </w:rPr>
          <w:fldChar w:fldCharType="begin"/>
        </w:r>
        <w:r w:rsidR="007A5EB8">
          <w:rPr>
            <w:noProof/>
            <w:webHidden/>
          </w:rPr>
          <w:instrText xml:space="preserve"> PAGEREF _Toc68079180 \h </w:instrText>
        </w:r>
        <w:r w:rsidR="007A5EB8">
          <w:rPr>
            <w:noProof/>
            <w:webHidden/>
          </w:rPr>
        </w:r>
        <w:r w:rsidR="007A5EB8">
          <w:rPr>
            <w:noProof/>
            <w:webHidden/>
          </w:rPr>
          <w:fldChar w:fldCharType="separate"/>
        </w:r>
        <w:r w:rsidR="007A5EB8">
          <w:rPr>
            <w:noProof/>
            <w:webHidden/>
          </w:rPr>
          <w:t>19</w:t>
        </w:r>
        <w:r w:rsidR="007A5EB8">
          <w:rPr>
            <w:noProof/>
            <w:webHidden/>
          </w:rPr>
          <w:fldChar w:fldCharType="end"/>
        </w:r>
      </w:hyperlink>
    </w:p>
    <w:p w14:paraId="44E9B1A1" w14:textId="0D0A0321"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1" w:history="1">
        <w:r w:rsidR="007A5EB8" w:rsidRPr="005B5540">
          <w:rPr>
            <w:rStyle w:val="Hipersaitas"/>
            <w:rFonts w:eastAsia="Calibri"/>
            <w:noProof/>
          </w:rPr>
          <w:t>2.1. Demografinė ir socialinė situacija</w:t>
        </w:r>
        <w:r w:rsidR="007A5EB8">
          <w:rPr>
            <w:noProof/>
            <w:webHidden/>
          </w:rPr>
          <w:tab/>
        </w:r>
        <w:r w:rsidR="007A5EB8">
          <w:rPr>
            <w:noProof/>
            <w:webHidden/>
          </w:rPr>
          <w:fldChar w:fldCharType="begin"/>
        </w:r>
        <w:r w:rsidR="007A5EB8">
          <w:rPr>
            <w:noProof/>
            <w:webHidden/>
          </w:rPr>
          <w:instrText xml:space="preserve"> PAGEREF _Toc68079181 \h </w:instrText>
        </w:r>
        <w:r w:rsidR="007A5EB8">
          <w:rPr>
            <w:noProof/>
            <w:webHidden/>
          </w:rPr>
        </w:r>
        <w:r w:rsidR="007A5EB8">
          <w:rPr>
            <w:noProof/>
            <w:webHidden/>
          </w:rPr>
          <w:fldChar w:fldCharType="separate"/>
        </w:r>
        <w:r w:rsidR="007A5EB8">
          <w:rPr>
            <w:noProof/>
            <w:webHidden/>
          </w:rPr>
          <w:t>19</w:t>
        </w:r>
        <w:r w:rsidR="007A5EB8">
          <w:rPr>
            <w:noProof/>
            <w:webHidden/>
          </w:rPr>
          <w:fldChar w:fldCharType="end"/>
        </w:r>
      </w:hyperlink>
    </w:p>
    <w:p w14:paraId="545035B8" w14:textId="4AFC2D1D"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2" w:history="1">
        <w:r w:rsidR="007A5EB8" w:rsidRPr="005B5540">
          <w:rPr>
            <w:rStyle w:val="Hipersaitas"/>
            <w:rFonts w:eastAsia="Calibri"/>
            <w:noProof/>
          </w:rPr>
          <w:t>2.2. Makroekonomikos situ</w:t>
        </w:r>
        <w:r w:rsidR="007A5EB8" w:rsidRPr="005B5540">
          <w:rPr>
            <w:rStyle w:val="Hipersaitas"/>
            <w:rFonts w:eastAsia="Calibri"/>
            <w:noProof/>
          </w:rPr>
          <w:t>a</w:t>
        </w:r>
        <w:r w:rsidR="007A5EB8" w:rsidRPr="005B5540">
          <w:rPr>
            <w:rStyle w:val="Hipersaitas"/>
            <w:rFonts w:eastAsia="Calibri"/>
            <w:noProof/>
          </w:rPr>
          <w:t>cija</w:t>
        </w:r>
        <w:r w:rsidR="007A5EB8">
          <w:rPr>
            <w:noProof/>
            <w:webHidden/>
          </w:rPr>
          <w:tab/>
        </w:r>
        <w:r w:rsidR="007A5EB8">
          <w:rPr>
            <w:noProof/>
            <w:webHidden/>
          </w:rPr>
          <w:fldChar w:fldCharType="begin"/>
        </w:r>
        <w:r w:rsidR="007A5EB8">
          <w:rPr>
            <w:noProof/>
            <w:webHidden/>
          </w:rPr>
          <w:instrText xml:space="preserve"> PAGEREF _Toc68079182 \h </w:instrText>
        </w:r>
        <w:r w:rsidR="007A5EB8">
          <w:rPr>
            <w:noProof/>
            <w:webHidden/>
          </w:rPr>
        </w:r>
        <w:r w:rsidR="007A5EB8">
          <w:rPr>
            <w:noProof/>
            <w:webHidden/>
          </w:rPr>
          <w:fldChar w:fldCharType="separate"/>
        </w:r>
        <w:r w:rsidR="007A5EB8">
          <w:rPr>
            <w:noProof/>
            <w:webHidden/>
          </w:rPr>
          <w:t>19</w:t>
        </w:r>
        <w:r w:rsidR="007A5EB8">
          <w:rPr>
            <w:noProof/>
            <w:webHidden/>
          </w:rPr>
          <w:fldChar w:fldCharType="end"/>
        </w:r>
      </w:hyperlink>
    </w:p>
    <w:p w14:paraId="2429B195" w14:textId="6EFA77E7"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3" w:history="1">
        <w:r w:rsidR="007A5EB8" w:rsidRPr="005B5540">
          <w:rPr>
            <w:rStyle w:val="Hipersaitas"/>
            <w:rFonts w:eastAsia="Calibri"/>
            <w:noProof/>
          </w:rPr>
          <w:t xml:space="preserve">2.3. </w:t>
        </w:r>
        <w:r w:rsidR="007A5EB8" w:rsidRPr="005B5540">
          <w:rPr>
            <w:rStyle w:val="Hipersaitas"/>
            <w:rFonts w:eastAsia="Calibri"/>
            <w:bCs/>
            <w:noProof/>
          </w:rPr>
          <w:t>Valstybės biudžeto apžvalga</w:t>
        </w:r>
        <w:r w:rsidR="007A5EB8">
          <w:rPr>
            <w:noProof/>
            <w:webHidden/>
          </w:rPr>
          <w:tab/>
        </w:r>
        <w:r w:rsidR="007A5EB8">
          <w:rPr>
            <w:noProof/>
            <w:webHidden/>
          </w:rPr>
          <w:fldChar w:fldCharType="begin"/>
        </w:r>
        <w:r w:rsidR="007A5EB8">
          <w:rPr>
            <w:noProof/>
            <w:webHidden/>
          </w:rPr>
          <w:instrText xml:space="preserve"> PAGEREF _Toc68079183 \h </w:instrText>
        </w:r>
        <w:r w:rsidR="007A5EB8">
          <w:rPr>
            <w:noProof/>
            <w:webHidden/>
          </w:rPr>
        </w:r>
        <w:r w:rsidR="007A5EB8">
          <w:rPr>
            <w:noProof/>
            <w:webHidden/>
          </w:rPr>
          <w:fldChar w:fldCharType="separate"/>
        </w:r>
        <w:r w:rsidR="007A5EB8">
          <w:rPr>
            <w:noProof/>
            <w:webHidden/>
          </w:rPr>
          <w:t>22</w:t>
        </w:r>
        <w:r w:rsidR="007A5EB8">
          <w:rPr>
            <w:noProof/>
            <w:webHidden/>
          </w:rPr>
          <w:fldChar w:fldCharType="end"/>
        </w:r>
      </w:hyperlink>
    </w:p>
    <w:p w14:paraId="6E8E5D85" w14:textId="4F403C8F"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4" w:history="1">
        <w:r w:rsidR="007A5EB8" w:rsidRPr="005B5540">
          <w:rPr>
            <w:rStyle w:val="Hipersaitas"/>
            <w:rFonts w:eastAsia="Calibri"/>
            <w:noProof/>
          </w:rPr>
          <w:t>III DALIS. AŠTUONIOLIKTOSIOS VYRIAUSYBĖS PRIORITETAI</w:t>
        </w:r>
        <w:r w:rsidR="007A5EB8">
          <w:rPr>
            <w:noProof/>
            <w:webHidden/>
          </w:rPr>
          <w:tab/>
        </w:r>
        <w:r w:rsidR="007A5EB8">
          <w:rPr>
            <w:noProof/>
            <w:webHidden/>
          </w:rPr>
          <w:fldChar w:fldCharType="begin"/>
        </w:r>
        <w:r w:rsidR="007A5EB8">
          <w:rPr>
            <w:noProof/>
            <w:webHidden/>
          </w:rPr>
          <w:instrText xml:space="preserve"> PAGEREF _Toc68079184 \h </w:instrText>
        </w:r>
        <w:r w:rsidR="007A5EB8">
          <w:rPr>
            <w:noProof/>
            <w:webHidden/>
          </w:rPr>
        </w:r>
        <w:r w:rsidR="007A5EB8">
          <w:rPr>
            <w:noProof/>
            <w:webHidden/>
          </w:rPr>
          <w:fldChar w:fldCharType="separate"/>
        </w:r>
        <w:r w:rsidR="007A5EB8">
          <w:rPr>
            <w:noProof/>
            <w:webHidden/>
          </w:rPr>
          <w:t>24</w:t>
        </w:r>
        <w:r w:rsidR="007A5EB8">
          <w:rPr>
            <w:noProof/>
            <w:webHidden/>
          </w:rPr>
          <w:fldChar w:fldCharType="end"/>
        </w:r>
      </w:hyperlink>
    </w:p>
    <w:p w14:paraId="66A6A097" w14:textId="400057E9"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5" w:history="1">
        <w:r w:rsidR="007A5EB8" w:rsidRPr="005B5540">
          <w:rPr>
            <w:rStyle w:val="Hipersaitas"/>
            <w:rFonts w:eastAsia="Calibri"/>
            <w:noProof/>
          </w:rPr>
          <w:t xml:space="preserve">3.1. </w:t>
        </w:r>
        <w:r w:rsidR="007A5EB8" w:rsidRPr="005B5540">
          <w:rPr>
            <w:rStyle w:val="Hipersaitas"/>
            <w:rFonts w:eastAsia="Calibri"/>
            <w:bCs/>
            <w:noProof/>
          </w:rPr>
          <w:t>Vyriausybės kadencijos reformos ir svarbiausieji strateginės darbotvarkės darbai</w:t>
        </w:r>
        <w:r w:rsidR="007A5EB8">
          <w:rPr>
            <w:noProof/>
            <w:webHidden/>
          </w:rPr>
          <w:tab/>
        </w:r>
        <w:r w:rsidR="007A5EB8">
          <w:rPr>
            <w:noProof/>
            <w:webHidden/>
          </w:rPr>
          <w:fldChar w:fldCharType="begin"/>
        </w:r>
        <w:r w:rsidR="007A5EB8">
          <w:rPr>
            <w:noProof/>
            <w:webHidden/>
          </w:rPr>
          <w:instrText xml:space="preserve"> PAGEREF _Toc68079185 \h </w:instrText>
        </w:r>
        <w:r w:rsidR="007A5EB8">
          <w:rPr>
            <w:noProof/>
            <w:webHidden/>
          </w:rPr>
        </w:r>
        <w:r w:rsidR="007A5EB8">
          <w:rPr>
            <w:noProof/>
            <w:webHidden/>
          </w:rPr>
          <w:fldChar w:fldCharType="separate"/>
        </w:r>
        <w:r w:rsidR="007A5EB8">
          <w:rPr>
            <w:noProof/>
            <w:webHidden/>
          </w:rPr>
          <w:t>24</w:t>
        </w:r>
        <w:r w:rsidR="007A5EB8">
          <w:rPr>
            <w:noProof/>
            <w:webHidden/>
          </w:rPr>
          <w:fldChar w:fldCharType="end"/>
        </w:r>
      </w:hyperlink>
    </w:p>
    <w:p w14:paraId="216BA2A4" w14:textId="7542B582"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6" w:history="1">
        <w:r w:rsidR="007A5EB8" w:rsidRPr="005B5540">
          <w:rPr>
            <w:rStyle w:val="Hipersaitas"/>
            <w:rFonts w:eastAsia="Calibri"/>
            <w:noProof/>
          </w:rPr>
          <w:t xml:space="preserve">3.2. </w:t>
        </w:r>
        <w:r w:rsidR="007A5EB8" w:rsidRPr="005B5540">
          <w:rPr>
            <w:rStyle w:val="Hipersaitas"/>
            <w:rFonts w:eastAsia="Calibri"/>
            <w:bCs/>
            <w:noProof/>
          </w:rPr>
          <w:t>Vyriausybės svarbiausieji 2021 m. darbai pagal Vyriausybės programos misijas (prioritetus)</w:t>
        </w:r>
        <w:r w:rsidR="007A5EB8">
          <w:rPr>
            <w:noProof/>
            <w:webHidden/>
          </w:rPr>
          <w:tab/>
        </w:r>
        <w:r w:rsidR="007A5EB8">
          <w:rPr>
            <w:noProof/>
            <w:webHidden/>
          </w:rPr>
          <w:fldChar w:fldCharType="begin"/>
        </w:r>
        <w:r w:rsidR="007A5EB8">
          <w:rPr>
            <w:noProof/>
            <w:webHidden/>
          </w:rPr>
          <w:instrText xml:space="preserve"> PAGEREF _Toc68079186 \h </w:instrText>
        </w:r>
        <w:r w:rsidR="007A5EB8">
          <w:rPr>
            <w:noProof/>
            <w:webHidden/>
          </w:rPr>
        </w:r>
        <w:r w:rsidR="007A5EB8">
          <w:rPr>
            <w:noProof/>
            <w:webHidden/>
          </w:rPr>
          <w:fldChar w:fldCharType="separate"/>
        </w:r>
        <w:r w:rsidR="007A5EB8">
          <w:rPr>
            <w:noProof/>
            <w:webHidden/>
          </w:rPr>
          <w:t>25</w:t>
        </w:r>
        <w:r w:rsidR="007A5EB8">
          <w:rPr>
            <w:noProof/>
            <w:webHidden/>
          </w:rPr>
          <w:fldChar w:fldCharType="end"/>
        </w:r>
      </w:hyperlink>
    </w:p>
    <w:p w14:paraId="394B22A1" w14:textId="389593B0"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7" w:history="1">
        <w:r w:rsidR="007A5EB8" w:rsidRPr="005B5540">
          <w:rPr>
            <w:rStyle w:val="Hipersaitas"/>
            <w:rFonts w:eastAsia="Calibri"/>
            <w:noProof/>
            <w:lang w:val="en-GB"/>
          </w:rPr>
          <w:t>1</w:t>
        </w:r>
        <w:r w:rsidR="007A5EB8" w:rsidRPr="005B5540">
          <w:rPr>
            <w:rStyle w:val="Hipersaitas"/>
            <w:rFonts w:eastAsia="Calibri"/>
            <w:noProof/>
          </w:rPr>
          <w:t xml:space="preserve"> PRIEDAS. COVID-19 VALDYMO ĮVYKIŲ LIETUVOJE LAIKO JUOSTA</w:t>
        </w:r>
        <w:r w:rsidR="007A5EB8">
          <w:rPr>
            <w:noProof/>
            <w:webHidden/>
          </w:rPr>
          <w:tab/>
        </w:r>
        <w:r w:rsidR="007A5EB8">
          <w:rPr>
            <w:noProof/>
            <w:webHidden/>
          </w:rPr>
          <w:fldChar w:fldCharType="begin"/>
        </w:r>
        <w:r w:rsidR="007A5EB8">
          <w:rPr>
            <w:noProof/>
            <w:webHidden/>
          </w:rPr>
          <w:instrText xml:space="preserve"> PAGEREF _Toc68079187 \h </w:instrText>
        </w:r>
        <w:r w:rsidR="007A5EB8">
          <w:rPr>
            <w:noProof/>
            <w:webHidden/>
          </w:rPr>
        </w:r>
        <w:r w:rsidR="007A5EB8">
          <w:rPr>
            <w:noProof/>
            <w:webHidden/>
          </w:rPr>
          <w:fldChar w:fldCharType="separate"/>
        </w:r>
        <w:r w:rsidR="007A5EB8">
          <w:rPr>
            <w:noProof/>
            <w:webHidden/>
          </w:rPr>
          <w:t>32</w:t>
        </w:r>
        <w:r w:rsidR="007A5EB8">
          <w:rPr>
            <w:noProof/>
            <w:webHidden/>
          </w:rPr>
          <w:fldChar w:fldCharType="end"/>
        </w:r>
      </w:hyperlink>
    </w:p>
    <w:p w14:paraId="127C450C" w14:textId="78469A2E" w:rsidR="007A5EB8" w:rsidRDefault="00C64DAC">
      <w:pPr>
        <w:pStyle w:val="Turinys1"/>
        <w:tabs>
          <w:tab w:val="left" w:pos="440"/>
          <w:tab w:val="right" w:leader="dot" w:pos="10042"/>
        </w:tabs>
        <w:rPr>
          <w:rFonts w:asciiTheme="minorHAnsi" w:eastAsiaTheme="minorEastAsia" w:hAnsiTheme="minorHAnsi" w:cstheme="minorBidi"/>
          <w:noProof/>
          <w:sz w:val="22"/>
          <w:szCs w:val="22"/>
          <w:lang w:val="en-GB" w:eastAsia="en-GB"/>
        </w:rPr>
      </w:pPr>
      <w:hyperlink w:anchor="_Toc68079188" w:history="1">
        <w:r w:rsidR="007A5EB8" w:rsidRPr="005B5540">
          <w:rPr>
            <w:rStyle w:val="Hipersaitas"/>
            <w:rFonts w:eastAsia="Calibri"/>
            <w:noProof/>
          </w:rPr>
          <w:t>2</w:t>
        </w:r>
        <w:r w:rsidR="007A5EB8">
          <w:rPr>
            <w:rFonts w:asciiTheme="minorHAnsi" w:eastAsiaTheme="minorEastAsia" w:hAnsiTheme="minorHAnsi" w:cstheme="minorBidi"/>
            <w:noProof/>
            <w:sz w:val="22"/>
            <w:szCs w:val="22"/>
            <w:lang w:val="en-GB" w:eastAsia="en-GB"/>
          </w:rPr>
          <w:tab/>
        </w:r>
        <w:r w:rsidR="007A5EB8" w:rsidRPr="005B5540">
          <w:rPr>
            <w:rStyle w:val="Hipersaitas"/>
            <w:rFonts w:eastAsia="Calibri"/>
            <w:noProof/>
          </w:rPr>
          <w:t>PRIEDAS. LIETUVOS VALSTYBĖS PAŽANGOS VERTINIMO KRITERIJŲ REIKŠMĖS PAGAL VALSTYBĖS VEIKLOS SRITIS</w:t>
        </w:r>
        <w:r w:rsidR="007A5EB8">
          <w:rPr>
            <w:noProof/>
            <w:webHidden/>
          </w:rPr>
          <w:tab/>
        </w:r>
        <w:r w:rsidR="007A5EB8">
          <w:rPr>
            <w:noProof/>
            <w:webHidden/>
          </w:rPr>
          <w:fldChar w:fldCharType="begin"/>
        </w:r>
        <w:r w:rsidR="007A5EB8">
          <w:rPr>
            <w:noProof/>
            <w:webHidden/>
          </w:rPr>
          <w:instrText xml:space="preserve"> PAGEREF _Toc68079188 \h </w:instrText>
        </w:r>
        <w:r w:rsidR="007A5EB8">
          <w:rPr>
            <w:noProof/>
            <w:webHidden/>
          </w:rPr>
        </w:r>
        <w:r w:rsidR="007A5EB8">
          <w:rPr>
            <w:noProof/>
            <w:webHidden/>
          </w:rPr>
          <w:fldChar w:fldCharType="separate"/>
        </w:r>
        <w:r w:rsidR="007A5EB8">
          <w:rPr>
            <w:noProof/>
            <w:webHidden/>
          </w:rPr>
          <w:t>36</w:t>
        </w:r>
        <w:r w:rsidR="007A5EB8">
          <w:rPr>
            <w:noProof/>
            <w:webHidden/>
          </w:rPr>
          <w:fldChar w:fldCharType="end"/>
        </w:r>
      </w:hyperlink>
    </w:p>
    <w:p w14:paraId="44718692" w14:textId="24E357FC"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89" w:history="1">
        <w:r w:rsidR="007A5EB8" w:rsidRPr="005B5540">
          <w:rPr>
            <w:rStyle w:val="Hipersaitas"/>
            <w:rFonts w:eastAsia="Calibri"/>
            <w:noProof/>
          </w:rPr>
          <w:t>3 PRIEDAS. 2020–2021 METŲ TARYBOS REKOMENDACIJŲ LIETUVAI ĮGYVENDINIMO PRIEMONIŲ PLANO VYKDYMO APŽVALGA</w:t>
        </w:r>
        <w:r w:rsidR="007A5EB8">
          <w:rPr>
            <w:noProof/>
            <w:webHidden/>
          </w:rPr>
          <w:tab/>
        </w:r>
        <w:r w:rsidR="007A5EB8">
          <w:rPr>
            <w:noProof/>
            <w:webHidden/>
          </w:rPr>
          <w:fldChar w:fldCharType="begin"/>
        </w:r>
        <w:r w:rsidR="007A5EB8">
          <w:rPr>
            <w:noProof/>
            <w:webHidden/>
          </w:rPr>
          <w:instrText xml:space="preserve"> PAGEREF _Toc68079189 \h </w:instrText>
        </w:r>
        <w:r w:rsidR="007A5EB8">
          <w:rPr>
            <w:noProof/>
            <w:webHidden/>
          </w:rPr>
        </w:r>
        <w:r w:rsidR="007A5EB8">
          <w:rPr>
            <w:noProof/>
            <w:webHidden/>
          </w:rPr>
          <w:fldChar w:fldCharType="separate"/>
        </w:r>
        <w:r w:rsidR="007A5EB8">
          <w:rPr>
            <w:noProof/>
            <w:webHidden/>
          </w:rPr>
          <w:t>64</w:t>
        </w:r>
        <w:r w:rsidR="007A5EB8">
          <w:rPr>
            <w:noProof/>
            <w:webHidden/>
          </w:rPr>
          <w:fldChar w:fldCharType="end"/>
        </w:r>
      </w:hyperlink>
    </w:p>
    <w:p w14:paraId="52446522" w14:textId="4B4BEB76"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90" w:history="1">
        <w:r w:rsidR="007A5EB8" w:rsidRPr="005B5540">
          <w:rPr>
            <w:rStyle w:val="Hipersaitas"/>
            <w:rFonts w:eastAsia="Calibri"/>
            <w:noProof/>
          </w:rPr>
          <w:t>4 PRIEDAS. NACIONALINIO SAUGUMO BŪKLĖS IR PLĖTROS ATASKAITA</w:t>
        </w:r>
        <w:r w:rsidR="007A5EB8">
          <w:rPr>
            <w:noProof/>
            <w:webHidden/>
          </w:rPr>
          <w:tab/>
        </w:r>
        <w:r w:rsidR="007A5EB8">
          <w:rPr>
            <w:noProof/>
            <w:webHidden/>
          </w:rPr>
          <w:fldChar w:fldCharType="begin"/>
        </w:r>
        <w:r w:rsidR="007A5EB8">
          <w:rPr>
            <w:noProof/>
            <w:webHidden/>
          </w:rPr>
          <w:instrText xml:space="preserve"> PAGEREF _Toc68079190 \h </w:instrText>
        </w:r>
        <w:r w:rsidR="007A5EB8">
          <w:rPr>
            <w:noProof/>
            <w:webHidden/>
          </w:rPr>
        </w:r>
        <w:r w:rsidR="007A5EB8">
          <w:rPr>
            <w:noProof/>
            <w:webHidden/>
          </w:rPr>
          <w:fldChar w:fldCharType="separate"/>
        </w:r>
        <w:r w:rsidR="007A5EB8">
          <w:rPr>
            <w:noProof/>
            <w:webHidden/>
          </w:rPr>
          <w:t>84</w:t>
        </w:r>
        <w:r w:rsidR="007A5EB8">
          <w:rPr>
            <w:noProof/>
            <w:webHidden/>
          </w:rPr>
          <w:fldChar w:fldCharType="end"/>
        </w:r>
      </w:hyperlink>
    </w:p>
    <w:p w14:paraId="24E897E1" w14:textId="01C52460" w:rsidR="007A5EB8" w:rsidRDefault="00C64DAC">
      <w:pPr>
        <w:pStyle w:val="Turinys1"/>
        <w:tabs>
          <w:tab w:val="right" w:leader="dot" w:pos="10042"/>
        </w:tabs>
        <w:rPr>
          <w:rFonts w:asciiTheme="minorHAnsi" w:eastAsiaTheme="minorEastAsia" w:hAnsiTheme="minorHAnsi" w:cstheme="minorBidi"/>
          <w:noProof/>
          <w:sz w:val="22"/>
          <w:szCs w:val="22"/>
          <w:lang w:val="en-GB" w:eastAsia="en-GB"/>
        </w:rPr>
      </w:pPr>
      <w:hyperlink w:anchor="_Toc68079191" w:history="1"/>
    </w:p>
    <w:p w14:paraId="2F0453D4" w14:textId="0A175401" w:rsidR="00877722" w:rsidRPr="009F3712" w:rsidRDefault="00877722" w:rsidP="00877722">
      <w:pPr>
        <w:spacing w:line="276" w:lineRule="auto"/>
        <w:jc w:val="both"/>
        <w:rPr>
          <w:b/>
          <w:color w:val="17365D" w:themeColor="text2" w:themeShade="BF"/>
        </w:rPr>
      </w:pPr>
      <w:r w:rsidRPr="009F3712">
        <w:rPr>
          <w:b/>
          <w:color w:val="17365D" w:themeColor="text2" w:themeShade="BF"/>
        </w:rPr>
        <w:fldChar w:fldCharType="end"/>
      </w:r>
    </w:p>
    <w:p w14:paraId="253E9D97" w14:textId="77777777" w:rsidR="00434144" w:rsidRDefault="00434144" w:rsidP="00AF421D">
      <w:pPr>
        <w:spacing w:line="276" w:lineRule="auto"/>
        <w:jc w:val="center"/>
      </w:pPr>
    </w:p>
    <w:p w14:paraId="6CD67852" w14:textId="77777777" w:rsidR="00C54FAC" w:rsidRDefault="00C54FAC" w:rsidP="00877722">
      <w:pPr>
        <w:pStyle w:val="Antrat1"/>
        <w:tabs>
          <w:tab w:val="left" w:pos="0"/>
        </w:tabs>
      </w:pPr>
      <w:r>
        <w:br w:type="page"/>
      </w:r>
    </w:p>
    <w:p w14:paraId="7138CEBA" w14:textId="77777777" w:rsidR="00D919A8" w:rsidRDefault="00551C20" w:rsidP="00877722">
      <w:pPr>
        <w:pStyle w:val="Antrat1"/>
        <w:tabs>
          <w:tab w:val="left" w:pos="0"/>
        </w:tabs>
        <w:rPr>
          <w:color w:val="17365D" w:themeColor="text2" w:themeShade="BF"/>
        </w:rPr>
      </w:pPr>
      <w:bookmarkStart w:id="1" w:name="_Toc68079174"/>
      <w:r w:rsidRPr="00845CB5">
        <w:rPr>
          <w:color w:val="17365D" w:themeColor="text2" w:themeShade="BF"/>
        </w:rPr>
        <w:lastRenderedPageBreak/>
        <w:t>MINISTRĖS PIRMININKĖS ĮŽANGINIS ŽODIS</w:t>
      </w:r>
      <w:bookmarkEnd w:id="1"/>
      <w:r w:rsidRPr="00845CB5">
        <w:rPr>
          <w:color w:val="17365D" w:themeColor="text2" w:themeShade="BF"/>
        </w:rPr>
        <w:t xml:space="preserve"> </w:t>
      </w:r>
    </w:p>
    <w:p w14:paraId="0DD96C34" w14:textId="77777777" w:rsidR="00D919A8" w:rsidRDefault="00D919A8" w:rsidP="00877722">
      <w:pPr>
        <w:pStyle w:val="Antrat1"/>
        <w:tabs>
          <w:tab w:val="left" w:pos="0"/>
        </w:tabs>
        <w:rPr>
          <w:color w:val="17365D" w:themeColor="text2" w:themeShade="BF"/>
        </w:rPr>
      </w:pPr>
    </w:p>
    <w:p w14:paraId="3DCE0530" w14:textId="77777777" w:rsidR="003037C7" w:rsidRPr="00E05451" w:rsidRDefault="003037C7" w:rsidP="003037C7">
      <w:pPr>
        <w:spacing w:line="276" w:lineRule="auto"/>
        <w:ind w:right="282" w:firstLine="709"/>
        <w:jc w:val="both"/>
        <w:rPr>
          <w:szCs w:val="24"/>
        </w:rPr>
      </w:pPr>
      <w:r w:rsidRPr="00877F48">
        <w:rPr>
          <w:szCs w:val="24"/>
        </w:rPr>
        <w:t>Seimo statuto 207 straipsnis įpareigoja Vyriausybę kasmet iki kovo 31 dienos pateikti Seimui „</w:t>
      </w:r>
      <w:proofErr w:type="spellStart"/>
      <w:r w:rsidRPr="00877F48">
        <w:rPr>
          <w:szCs w:val="24"/>
          <w:lang w:val="x-none"/>
        </w:rPr>
        <w:t>savo</w:t>
      </w:r>
      <w:proofErr w:type="spellEnd"/>
      <w:r w:rsidRPr="00877F48">
        <w:rPr>
          <w:szCs w:val="24"/>
          <w:lang w:val="x-none"/>
        </w:rPr>
        <w:t xml:space="preserve"> </w:t>
      </w:r>
      <w:proofErr w:type="spellStart"/>
      <w:r w:rsidRPr="00877F48">
        <w:rPr>
          <w:szCs w:val="24"/>
          <w:lang w:val="x-none"/>
        </w:rPr>
        <w:t>metinę</w:t>
      </w:r>
      <w:proofErr w:type="spellEnd"/>
      <w:r w:rsidRPr="00877F48">
        <w:rPr>
          <w:szCs w:val="24"/>
          <w:lang w:val="x-none"/>
        </w:rPr>
        <w:t xml:space="preserve"> </w:t>
      </w:r>
      <w:proofErr w:type="spellStart"/>
      <w:r w:rsidRPr="00877F48">
        <w:rPr>
          <w:szCs w:val="24"/>
          <w:lang w:val="x-none"/>
        </w:rPr>
        <w:t>veiklos</w:t>
      </w:r>
      <w:proofErr w:type="spellEnd"/>
      <w:r w:rsidRPr="00877F48">
        <w:rPr>
          <w:szCs w:val="24"/>
          <w:lang w:val="x-none"/>
        </w:rPr>
        <w:t xml:space="preserve"> </w:t>
      </w:r>
      <w:proofErr w:type="spellStart"/>
      <w:r w:rsidRPr="00877F48">
        <w:rPr>
          <w:szCs w:val="24"/>
          <w:lang w:val="x-none"/>
        </w:rPr>
        <w:t>ataskaitą</w:t>
      </w:r>
      <w:proofErr w:type="spellEnd"/>
      <w:r w:rsidRPr="00877F48">
        <w:rPr>
          <w:szCs w:val="24"/>
          <w:lang w:val="x-none"/>
        </w:rPr>
        <w:t xml:space="preserve">, </w:t>
      </w:r>
      <w:proofErr w:type="spellStart"/>
      <w:r w:rsidRPr="00877F48">
        <w:rPr>
          <w:szCs w:val="24"/>
          <w:lang w:val="x-none"/>
        </w:rPr>
        <w:t>kurioje</w:t>
      </w:r>
      <w:proofErr w:type="spellEnd"/>
      <w:r w:rsidRPr="00877F48">
        <w:rPr>
          <w:szCs w:val="24"/>
          <w:lang w:val="x-none"/>
        </w:rPr>
        <w:t xml:space="preserve"> </w:t>
      </w:r>
      <w:proofErr w:type="spellStart"/>
      <w:r w:rsidRPr="00877F48">
        <w:rPr>
          <w:szCs w:val="24"/>
          <w:lang w:val="x-none"/>
        </w:rPr>
        <w:t>taip</w:t>
      </w:r>
      <w:proofErr w:type="spellEnd"/>
      <w:r w:rsidRPr="00877F48">
        <w:rPr>
          <w:szCs w:val="24"/>
          <w:lang w:val="x-none"/>
        </w:rPr>
        <w:t xml:space="preserve"> pat </w:t>
      </w:r>
      <w:proofErr w:type="spellStart"/>
      <w:r w:rsidRPr="00877F48">
        <w:rPr>
          <w:szCs w:val="24"/>
          <w:lang w:val="x-none"/>
        </w:rPr>
        <w:t>turi</w:t>
      </w:r>
      <w:proofErr w:type="spellEnd"/>
      <w:r w:rsidRPr="00877F48">
        <w:rPr>
          <w:szCs w:val="24"/>
          <w:lang w:val="x-none"/>
        </w:rPr>
        <w:t xml:space="preserve"> </w:t>
      </w:r>
      <w:proofErr w:type="spellStart"/>
      <w:r w:rsidRPr="00877F48">
        <w:rPr>
          <w:szCs w:val="24"/>
          <w:lang w:val="x-none"/>
        </w:rPr>
        <w:t>būti</w:t>
      </w:r>
      <w:proofErr w:type="spellEnd"/>
      <w:r w:rsidRPr="00877F48">
        <w:rPr>
          <w:szCs w:val="24"/>
          <w:lang w:val="x-none"/>
        </w:rPr>
        <w:t xml:space="preserve"> </w:t>
      </w:r>
      <w:proofErr w:type="spellStart"/>
      <w:r w:rsidRPr="00877F48">
        <w:rPr>
          <w:szCs w:val="24"/>
          <w:lang w:val="x-none"/>
        </w:rPr>
        <w:t>aptarti</w:t>
      </w:r>
      <w:proofErr w:type="spellEnd"/>
      <w:r w:rsidRPr="00877F48">
        <w:rPr>
          <w:szCs w:val="24"/>
          <w:lang w:val="x-none"/>
        </w:rPr>
        <w:t xml:space="preserve"> </w:t>
      </w:r>
      <w:proofErr w:type="spellStart"/>
      <w:r w:rsidRPr="00877F48">
        <w:rPr>
          <w:szCs w:val="24"/>
          <w:lang w:val="x-none"/>
        </w:rPr>
        <w:t>ir</w:t>
      </w:r>
      <w:proofErr w:type="spellEnd"/>
      <w:r w:rsidRPr="00877F48">
        <w:rPr>
          <w:szCs w:val="24"/>
          <w:lang w:val="x-none"/>
        </w:rPr>
        <w:t xml:space="preserve"> </w:t>
      </w:r>
      <w:proofErr w:type="spellStart"/>
      <w:r w:rsidRPr="00877F48">
        <w:rPr>
          <w:szCs w:val="24"/>
          <w:lang w:val="x-none"/>
        </w:rPr>
        <w:t>artimiausio</w:t>
      </w:r>
      <w:proofErr w:type="spellEnd"/>
      <w:r w:rsidRPr="00877F48">
        <w:rPr>
          <w:szCs w:val="24"/>
          <w:lang w:val="x-none"/>
        </w:rPr>
        <w:t xml:space="preserve"> </w:t>
      </w:r>
      <w:proofErr w:type="spellStart"/>
      <w:r w:rsidRPr="00877F48">
        <w:rPr>
          <w:szCs w:val="24"/>
          <w:lang w:val="x-none"/>
        </w:rPr>
        <w:t>laikotarpio</w:t>
      </w:r>
      <w:proofErr w:type="spellEnd"/>
      <w:r w:rsidRPr="00877F48">
        <w:rPr>
          <w:szCs w:val="24"/>
          <w:lang w:val="x-none"/>
        </w:rPr>
        <w:t xml:space="preserve"> Vyriausybės </w:t>
      </w:r>
      <w:proofErr w:type="spellStart"/>
      <w:r w:rsidRPr="00877F48">
        <w:rPr>
          <w:szCs w:val="24"/>
          <w:lang w:val="x-none"/>
        </w:rPr>
        <w:t>veiklos</w:t>
      </w:r>
      <w:proofErr w:type="spellEnd"/>
      <w:r w:rsidRPr="00877F48">
        <w:rPr>
          <w:szCs w:val="24"/>
          <w:lang w:val="x-none"/>
        </w:rPr>
        <w:t xml:space="preserve"> </w:t>
      </w:r>
      <w:proofErr w:type="spellStart"/>
      <w:r w:rsidRPr="00877F48">
        <w:rPr>
          <w:szCs w:val="24"/>
          <w:lang w:val="x-none"/>
        </w:rPr>
        <w:t>prioritetai</w:t>
      </w:r>
      <w:proofErr w:type="spellEnd"/>
      <w:r w:rsidRPr="00877F48">
        <w:rPr>
          <w:szCs w:val="24"/>
        </w:rPr>
        <w:t>“. Kas ketveri metai, pasikeitus valdančiajai daugumai, Vyriausybė s</w:t>
      </w:r>
      <w:r>
        <w:rPr>
          <w:szCs w:val="24"/>
        </w:rPr>
        <w:t xml:space="preserve">usiduria su </w:t>
      </w:r>
      <w:r w:rsidRPr="00877F48">
        <w:rPr>
          <w:szCs w:val="24"/>
        </w:rPr>
        <w:t>paradoks</w:t>
      </w:r>
      <w:r>
        <w:rPr>
          <w:szCs w:val="24"/>
        </w:rPr>
        <w:t>u</w:t>
      </w:r>
      <w:r w:rsidRPr="00877F48">
        <w:rPr>
          <w:szCs w:val="24"/>
        </w:rPr>
        <w:t xml:space="preserve">, </w:t>
      </w:r>
      <w:r>
        <w:rPr>
          <w:szCs w:val="24"/>
        </w:rPr>
        <w:t>nes</w:t>
      </w:r>
      <w:r w:rsidRPr="00877F48">
        <w:rPr>
          <w:szCs w:val="24"/>
        </w:rPr>
        <w:t xml:space="preserve"> gali atsiskaityti tik už pirmąsias </w:t>
      </w:r>
      <w:r w:rsidRPr="00E05451">
        <w:rPr>
          <w:szCs w:val="24"/>
        </w:rPr>
        <w:t>tris darbo savaites.</w:t>
      </w:r>
    </w:p>
    <w:p w14:paraId="23A9E6B2" w14:textId="77777777" w:rsidR="003037C7" w:rsidRDefault="003037C7" w:rsidP="003037C7">
      <w:pPr>
        <w:spacing w:after="60" w:line="276" w:lineRule="auto"/>
        <w:ind w:right="282" w:firstLine="709"/>
        <w:jc w:val="both"/>
        <w:rPr>
          <w:szCs w:val="24"/>
        </w:rPr>
      </w:pPr>
    </w:p>
    <w:p w14:paraId="4803EF7D" w14:textId="77777777" w:rsidR="003037C7" w:rsidRPr="006936C4" w:rsidRDefault="003037C7" w:rsidP="003037C7">
      <w:pPr>
        <w:spacing w:after="60" w:line="276" w:lineRule="auto"/>
        <w:ind w:right="282" w:firstLine="709"/>
        <w:jc w:val="both"/>
        <w:rPr>
          <w:szCs w:val="24"/>
        </w:rPr>
      </w:pPr>
      <w:r w:rsidRPr="009850AF">
        <w:rPr>
          <w:szCs w:val="24"/>
        </w:rPr>
        <w:t>Kadangi praėjusios Vyriausybės veikla jau buvo įvertinta Seimo rinkimuose, šioje ataskaitoje pasirinkome ne vard</w:t>
      </w:r>
      <w:r>
        <w:rPr>
          <w:szCs w:val="24"/>
        </w:rPr>
        <w:t>y</w:t>
      </w:r>
      <w:r w:rsidRPr="009850AF">
        <w:rPr>
          <w:szCs w:val="24"/>
        </w:rPr>
        <w:t>ti jos darbus, o pateikti plačią valstybės, ekonomikos ir visuomenės būklę atspindinčią Lietuvos pažangos strategijos „Lietuva 2030“, 2014</w:t>
      </w:r>
      <w:bookmarkStart w:id="2" w:name="_Hlk67913659"/>
      <w:r w:rsidRPr="009850AF">
        <w:rPr>
          <w:szCs w:val="24"/>
        </w:rPr>
        <w:t>–</w:t>
      </w:r>
      <w:bookmarkEnd w:id="2"/>
      <w:r w:rsidRPr="009850AF">
        <w:rPr>
          <w:szCs w:val="24"/>
        </w:rPr>
        <w:t xml:space="preserve">2020 m. </w:t>
      </w:r>
      <w:r>
        <w:rPr>
          <w:szCs w:val="24"/>
        </w:rPr>
        <w:t>n</w:t>
      </w:r>
      <w:r w:rsidRPr="009850AF">
        <w:rPr>
          <w:szCs w:val="24"/>
        </w:rPr>
        <w:t xml:space="preserve">acionalinės pažangos programos, 2021–2030 m. </w:t>
      </w:r>
      <w:r>
        <w:rPr>
          <w:szCs w:val="24"/>
        </w:rPr>
        <w:t>n</w:t>
      </w:r>
      <w:r w:rsidRPr="009850AF">
        <w:rPr>
          <w:szCs w:val="24"/>
        </w:rPr>
        <w:t>acionalinio pažangos plano, septynioliktosios bei aštuonioliktosios Vyriausybių sėkmės rodiklių, jų planuotų ir planuojamų reikšmių bei faktinio jų pasiekimo 2019–</w:t>
      </w:r>
      <w:r>
        <w:rPr>
          <w:szCs w:val="24"/>
        </w:rPr>
        <w:br/>
      </w:r>
      <w:r w:rsidRPr="009850AF">
        <w:rPr>
          <w:szCs w:val="24"/>
        </w:rPr>
        <w:t xml:space="preserve">2020 m. apžvalgą. </w:t>
      </w:r>
      <w:r>
        <w:rPr>
          <w:szCs w:val="24"/>
        </w:rPr>
        <w:t xml:space="preserve">Smagu matyti, kad </w:t>
      </w:r>
      <w:r w:rsidRPr="00FD07E5">
        <w:rPr>
          <w:szCs w:val="24"/>
        </w:rPr>
        <w:t>kai kurios Lietuvos gyventojų nuostatos ir elgesys lėtai, bet keičiasi</w:t>
      </w:r>
      <w:r>
        <w:rPr>
          <w:szCs w:val="24"/>
        </w:rPr>
        <w:t xml:space="preserve"> į gera</w:t>
      </w:r>
      <w:r w:rsidRPr="00FD07E5">
        <w:rPr>
          <w:szCs w:val="24"/>
        </w:rPr>
        <w:t xml:space="preserve">, pavyzdžiui, </w:t>
      </w:r>
      <w:r>
        <w:rPr>
          <w:szCs w:val="24"/>
        </w:rPr>
        <w:t xml:space="preserve">stiprėja </w:t>
      </w:r>
      <w:r w:rsidRPr="00FD07E5">
        <w:rPr>
          <w:szCs w:val="24"/>
        </w:rPr>
        <w:t>dalyvavimo kultūroje įpročiai, sveikos mitybos, aplinkosauginė elgsena, nors tolerancijo</w:t>
      </w:r>
      <w:r>
        <w:rPr>
          <w:szCs w:val="24"/>
        </w:rPr>
        <w:t>s</w:t>
      </w:r>
      <w:r w:rsidRPr="00FD07E5">
        <w:rPr>
          <w:szCs w:val="24"/>
        </w:rPr>
        <w:t xml:space="preserve"> mažumoms </w:t>
      </w:r>
      <w:r>
        <w:rPr>
          <w:szCs w:val="24"/>
        </w:rPr>
        <w:t xml:space="preserve">srityje </w:t>
      </w:r>
      <w:r w:rsidRPr="00FD07E5">
        <w:rPr>
          <w:szCs w:val="24"/>
        </w:rPr>
        <w:t>vis dar nėra reikšmingo pokyčio.</w:t>
      </w:r>
      <w:r>
        <w:rPr>
          <w:szCs w:val="24"/>
        </w:rPr>
        <w:t xml:space="preserve"> </w:t>
      </w:r>
      <w:r w:rsidRPr="006936C4">
        <w:rPr>
          <w:szCs w:val="24"/>
        </w:rPr>
        <w:t>Kaip tam tikrą paradoksą</w:t>
      </w:r>
      <w:r>
        <w:rPr>
          <w:szCs w:val="24"/>
        </w:rPr>
        <w:t xml:space="preserve"> </w:t>
      </w:r>
      <w:r w:rsidRPr="006936C4">
        <w:rPr>
          <w:szCs w:val="24"/>
        </w:rPr>
        <w:t>ir spręstiną problemą reikia vertinti didelį atotrūkį tarp Lietuvos gyventojų pasitenkinimo asmeniniu gyvenimu bei jų optimizmo dėl ateities ir vienos didžiausių socialinės atskirties tarp E</w:t>
      </w:r>
      <w:r>
        <w:rPr>
          <w:szCs w:val="24"/>
        </w:rPr>
        <w:t xml:space="preserve">uropos </w:t>
      </w:r>
      <w:r w:rsidRPr="006936C4">
        <w:rPr>
          <w:szCs w:val="24"/>
        </w:rPr>
        <w:t>S</w:t>
      </w:r>
      <w:r>
        <w:rPr>
          <w:szCs w:val="24"/>
        </w:rPr>
        <w:t>ąjungos</w:t>
      </w:r>
      <w:r w:rsidRPr="006936C4">
        <w:rPr>
          <w:szCs w:val="24"/>
        </w:rPr>
        <w:t xml:space="preserve">  valstybių narių ir kolektyvinio veiksmo </w:t>
      </w:r>
      <w:r>
        <w:rPr>
          <w:szCs w:val="24"/>
        </w:rPr>
        <w:t xml:space="preserve">stokos (reikšmingai nedidėjančio </w:t>
      </w:r>
      <w:r w:rsidRPr="006936C4">
        <w:rPr>
          <w:szCs w:val="24"/>
        </w:rPr>
        <w:t xml:space="preserve">visuomeninio Lietuvos gyventojų </w:t>
      </w:r>
      <w:r>
        <w:rPr>
          <w:szCs w:val="24"/>
        </w:rPr>
        <w:t>įsitrauki</w:t>
      </w:r>
      <w:r w:rsidRPr="006936C4">
        <w:rPr>
          <w:szCs w:val="24"/>
        </w:rPr>
        <w:t xml:space="preserve">mo). </w:t>
      </w:r>
      <w:r>
        <w:rPr>
          <w:szCs w:val="24"/>
        </w:rPr>
        <w:t>R</w:t>
      </w:r>
      <w:r w:rsidRPr="009850AF">
        <w:rPr>
          <w:szCs w:val="24"/>
        </w:rPr>
        <w:t xml:space="preserve">odiklių reikšmės </w:t>
      </w:r>
      <w:r>
        <w:rPr>
          <w:szCs w:val="24"/>
        </w:rPr>
        <w:t xml:space="preserve">taip pat </w:t>
      </w:r>
      <w:r w:rsidRPr="009850AF">
        <w:rPr>
          <w:szCs w:val="24"/>
        </w:rPr>
        <w:t xml:space="preserve">rodo, kad nesuklydome </w:t>
      </w:r>
      <w:r w:rsidRPr="00BF7A82">
        <w:rPr>
          <w:szCs w:val="24"/>
        </w:rPr>
        <w:t>Vyriausybės kadencijos reformomis skelbdami viešojo sektoriaus, mokslo ir inovacijų ir švietimo (mokyklų) reformas,</w:t>
      </w:r>
      <w:r w:rsidRPr="009850AF">
        <w:rPr>
          <w:szCs w:val="24"/>
        </w:rPr>
        <w:t xml:space="preserve"> nes </w:t>
      </w:r>
      <w:r>
        <w:rPr>
          <w:szCs w:val="24"/>
        </w:rPr>
        <w:t>kurti vadinamąją kietąją infrastruktūrą mums vis dar sekasi daug geriau, nei gausinti žmogiškąjį (socialinį ir kultūrinį)  kapitalą, sudaryti prielaidas didesniam tarpusavio pasitikėjimui ir bendradarbiavimui.</w:t>
      </w:r>
    </w:p>
    <w:p w14:paraId="5A076A6C" w14:textId="77777777" w:rsidR="003037C7" w:rsidRDefault="003037C7" w:rsidP="003037C7">
      <w:pPr>
        <w:spacing w:line="276" w:lineRule="auto"/>
        <w:ind w:right="282" w:firstLine="709"/>
        <w:jc w:val="both"/>
        <w:rPr>
          <w:szCs w:val="24"/>
        </w:rPr>
      </w:pPr>
    </w:p>
    <w:p w14:paraId="698A8D2B" w14:textId="77777777" w:rsidR="003037C7" w:rsidRPr="00877F48" w:rsidRDefault="003037C7" w:rsidP="003037C7">
      <w:pPr>
        <w:spacing w:line="276" w:lineRule="auto"/>
        <w:ind w:right="282" w:firstLine="709"/>
        <w:jc w:val="both"/>
        <w:rPr>
          <w:szCs w:val="24"/>
        </w:rPr>
      </w:pPr>
      <w:r w:rsidRPr="00877F48">
        <w:rPr>
          <w:szCs w:val="24"/>
        </w:rPr>
        <w:t xml:space="preserve">Aštuonioliktoji Vyriausybė darbą padėjo </w:t>
      </w:r>
      <w:r>
        <w:rPr>
          <w:szCs w:val="24"/>
        </w:rPr>
        <w:t xml:space="preserve">kritiniu Lietuvai laikotarpiu, </w:t>
      </w:r>
      <w:r w:rsidRPr="00877F48">
        <w:rPr>
          <w:szCs w:val="24"/>
        </w:rPr>
        <w:t>COVID-19 pandemijos įkarštyj</w:t>
      </w:r>
      <w:r>
        <w:rPr>
          <w:szCs w:val="24"/>
        </w:rPr>
        <w:t>e</w:t>
      </w:r>
      <w:r w:rsidRPr="00877F48">
        <w:rPr>
          <w:szCs w:val="24"/>
        </w:rPr>
        <w:t xml:space="preserve"> </w:t>
      </w:r>
      <w:r>
        <w:rPr>
          <w:szCs w:val="24"/>
        </w:rPr>
        <w:t>mūsų valstybei</w:t>
      </w:r>
      <w:r w:rsidRPr="00877F48">
        <w:rPr>
          <w:szCs w:val="24"/>
        </w:rPr>
        <w:t xml:space="preserve"> pagal naujų užsikrėtimų skaičių tapus </w:t>
      </w:r>
      <w:r>
        <w:rPr>
          <w:szCs w:val="24"/>
        </w:rPr>
        <w:t xml:space="preserve">labiausiai </w:t>
      </w:r>
      <w:r w:rsidRPr="00877F48">
        <w:rPr>
          <w:szCs w:val="24"/>
        </w:rPr>
        <w:t>pažeidžiam</w:t>
      </w:r>
      <w:r>
        <w:rPr>
          <w:szCs w:val="24"/>
        </w:rPr>
        <w:t xml:space="preserve">a </w:t>
      </w:r>
      <w:r w:rsidRPr="00877F48">
        <w:rPr>
          <w:szCs w:val="24"/>
        </w:rPr>
        <w:t xml:space="preserve">pasaulio valstybe. Suprantama, kad pandemijos suvaldymas, su juo susijęs 2021 m. biudžeto projekto pertvarkymas, paramos darbo netekusiems žmonėms ir nuo pandemijos nukentėjusiam verslui skyrimas (virš milijardo eurų 2021 m.) ir vakcinavimas </w:t>
      </w:r>
      <w:r>
        <w:rPr>
          <w:szCs w:val="24"/>
        </w:rPr>
        <w:t>buvo svarbiausi</w:t>
      </w:r>
      <w:r w:rsidRPr="00877F48">
        <w:rPr>
          <w:szCs w:val="24"/>
        </w:rPr>
        <w:t xml:space="preserve"> Vyriausybės darbotvarkėje pirmaisiais darbo mėnesiais ir joje greičiausiai išliks visais šiais, 2021 metais.</w:t>
      </w:r>
    </w:p>
    <w:p w14:paraId="0356A5F5" w14:textId="77777777" w:rsidR="003037C7" w:rsidRPr="00877F48" w:rsidRDefault="003037C7" w:rsidP="003037C7">
      <w:pPr>
        <w:spacing w:line="276" w:lineRule="auto"/>
        <w:ind w:right="282" w:firstLine="709"/>
        <w:jc w:val="both"/>
        <w:rPr>
          <w:szCs w:val="24"/>
        </w:rPr>
      </w:pPr>
      <w:r w:rsidRPr="00877F48">
        <w:rPr>
          <w:szCs w:val="24"/>
        </w:rPr>
        <w:t xml:space="preserve">Aštuonioliktoji Vyriausybė siekia būti </w:t>
      </w:r>
      <w:r w:rsidRPr="00877F48">
        <w:rPr>
          <w:i/>
          <w:iCs/>
          <w:szCs w:val="24"/>
        </w:rPr>
        <w:t>tarnaujan</w:t>
      </w:r>
      <w:r>
        <w:rPr>
          <w:i/>
          <w:iCs/>
          <w:szCs w:val="24"/>
        </w:rPr>
        <w:t>t</w:t>
      </w:r>
      <w:r w:rsidRPr="00877F48">
        <w:rPr>
          <w:i/>
          <w:iCs/>
          <w:szCs w:val="24"/>
        </w:rPr>
        <w:t>i Vyriausyb</w:t>
      </w:r>
      <w:r>
        <w:rPr>
          <w:i/>
          <w:iCs/>
          <w:szCs w:val="24"/>
        </w:rPr>
        <w:t>ė</w:t>
      </w:r>
      <w:r w:rsidRPr="00877F48">
        <w:rPr>
          <w:szCs w:val="24"/>
        </w:rPr>
        <w:t xml:space="preserve"> </w:t>
      </w:r>
      <w:r>
        <w:rPr>
          <w:szCs w:val="24"/>
        </w:rPr>
        <w:t>–</w:t>
      </w:r>
      <w:r w:rsidRPr="00877F48">
        <w:rPr>
          <w:szCs w:val="24"/>
        </w:rPr>
        <w:t xml:space="preserve"> atvira, įsiklausan</w:t>
      </w:r>
      <w:r>
        <w:rPr>
          <w:szCs w:val="24"/>
        </w:rPr>
        <w:t>ti</w:t>
      </w:r>
      <w:r w:rsidRPr="00877F48">
        <w:rPr>
          <w:szCs w:val="24"/>
        </w:rPr>
        <w:t xml:space="preserve"> ir girdin</w:t>
      </w:r>
      <w:r>
        <w:rPr>
          <w:szCs w:val="24"/>
        </w:rPr>
        <w:t>t</w:t>
      </w:r>
      <w:r w:rsidRPr="00877F48">
        <w:rPr>
          <w:szCs w:val="24"/>
        </w:rPr>
        <w:t>i, bendradarbiaujanti, dialogo būdu racionalius ir tvaraus poveikio (mažiau, bet geresnius) sprendimus priiman</w:t>
      </w:r>
      <w:r>
        <w:rPr>
          <w:szCs w:val="24"/>
        </w:rPr>
        <w:t>ti,</w:t>
      </w:r>
      <w:r w:rsidRPr="00877F48">
        <w:rPr>
          <w:szCs w:val="24"/>
        </w:rPr>
        <w:t xml:space="preserve"> nuspėjama Vyriausyb</w:t>
      </w:r>
      <w:r>
        <w:rPr>
          <w:szCs w:val="24"/>
        </w:rPr>
        <w:t>ė</w:t>
      </w:r>
      <w:r w:rsidRPr="00877F48">
        <w:rPr>
          <w:szCs w:val="24"/>
        </w:rPr>
        <w:t>, norin</w:t>
      </w:r>
      <w:r>
        <w:rPr>
          <w:szCs w:val="24"/>
        </w:rPr>
        <w:t>ti</w:t>
      </w:r>
      <w:r w:rsidRPr="00877F48">
        <w:rPr>
          <w:szCs w:val="24"/>
        </w:rPr>
        <w:t xml:space="preserve">, kad jos sprendimai būtų pagrįsti </w:t>
      </w:r>
      <w:r>
        <w:rPr>
          <w:szCs w:val="24"/>
        </w:rPr>
        <w:t>įrodymais, atv</w:t>
      </w:r>
      <w:r w:rsidRPr="00877F48">
        <w:rPr>
          <w:szCs w:val="24"/>
        </w:rPr>
        <w:t>ir</w:t>
      </w:r>
      <w:r>
        <w:rPr>
          <w:szCs w:val="24"/>
        </w:rPr>
        <w:t>ais duomenimis ir</w:t>
      </w:r>
      <w:r w:rsidRPr="00877F48">
        <w:rPr>
          <w:szCs w:val="24"/>
        </w:rPr>
        <w:t xml:space="preserve"> aiškūs piliečiams, verslui </w:t>
      </w:r>
      <w:r>
        <w:rPr>
          <w:szCs w:val="24"/>
        </w:rPr>
        <w:t xml:space="preserve">bei </w:t>
      </w:r>
      <w:r w:rsidRPr="00877F48">
        <w:rPr>
          <w:szCs w:val="24"/>
        </w:rPr>
        <w:t>visuomenei.</w:t>
      </w:r>
    </w:p>
    <w:p w14:paraId="2E295ABB" w14:textId="77777777" w:rsidR="003037C7" w:rsidRDefault="003037C7" w:rsidP="003037C7">
      <w:pPr>
        <w:spacing w:line="276" w:lineRule="auto"/>
        <w:ind w:right="282" w:firstLine="709"/>
        <w:jc w:val="both"/>
        <w:rPr>
          <w:szCs w:val="24"/>
        </w:rPr>
      </w:pPr>
    </w:p>
    <w:p w14:paraId="038A90A7" w14:textId="77777777" w:rsidR="003037C7" w:rsidRPr="00877F48" w:rsidRDefault="003037C7" w:rsidP="003037C7">
      <w:pPr>
        <w:spacing w:line="276" w:lineRule="auto"/>
        <w:ind w:right="282" w:firstLine="709"/>
        <w:jc w:val="both"/>
        <w:rPr>
          <w:szCs w:val="24"/>
        </w:rPr>
      </w:pPr>
      <w:r w:rsidRPr="00877F48">
        <w:rPr>
          <w:szCs w:val="24"/>
        </w:rPr>
        <w:t>Vyriausybės programa ir jos nuostatų įgyvendinimo planas kloja pamatus ilgalaikiam Lietuvos perėjimui į kokybiškai naują ekonomiką ir viešąsias paslaugas mūsų piliečiams. D</w:t>
      </w:r>
      <w:r>
        <w:rPr>
          <w:szCs w:val="24"/>
        </w:rPr>
        <w:t>aug</w:t>
      </w:r>
      <w:r w:rsidRPr="00877F48">
        <w:rPr>
          <w:szCs w:val="24"/>
        </w:rPr>
        <w:t>iausi</w:t>
      </w:r>
      <w:r>
        <w:rPr>
          <w:szCs w:val="24"/>
        </w:rPr>
        <w:t>a</w:t>
      </w:r>
      <w:r w:rsidRPr="00877F48">
        <w:rPr>
          <w:szCs w:val="24"/>
        </w:rPr>
        <w:t xml:space="preserve"> dėmes</w:t>
      </w:r>
      <w:r>
        <w:rPr>
          <w:szCs w:val="24"/>
        </w:rPr>
        <w:t>io</w:t>
      </w:r>
      <w:r w:rsidRPr="00877F48">
        <w:rPr>
          <w:szCs w:val="24"/>
        </w:rPr>
        <w:t xml:space="preserve"> Vyriausybė skirs penkioms kadencijos reformoms, būtent</w:t>
      </w:r>
      <w:r>
        <w:rPr>
          <w:szCs w:val="24"/>
        </w:rPr>
        <w:t>:</w:t>
      </w:r>
      <w:r w:rsidRPr="00877F48">
        <w:rPr>
          <w:szCs w:val="24"/>
        </w:rPr>
        <w:t xml:space="preserve"> valstybės tarnybos pertvarkai, pažangos programai „Tūkstantmečio mokyklos“, </w:t>
      </w:r>
      <w:proofErr w:type="spellStart"/>
      <w:r w:rsidRPr="00877F48">
        <w:rPr>
          <w:szCs w:val="24"/>
        </w:rPr>
        <w:t>EDtech</w:t>
      </w:r>
      <w:proofErr w:type="spellEnd"/>
      <w:r w:rsidRPr="00877F48">
        <w:rPr>
          <w:szCs w:val="24"/>
        </w:rPr>
        <w:t xml:space="preserve"> skaitmenin</w:t>
      </w:r>
      <w:r>
        <w:rPr>
          <w:szCs w:val="24"/>
        </w:rPr>
        <w:t>ei</w:t>
      </w:r>
      <w:r w:rsidRPr="00877F48">
        <w:rPr>
          <w:szCs w:val="24"/>
        </w:rPr>
        <w:t xml:space="preserve"> švietimo transformacijai, inovacijų ekosistemų mokslo centruose, inovacijų agentūros ir misijomis grįstų mokslo ir verslo inovacijų programų sukūrimui, taip pat ilgalaikės priežiūros paslaugų teikimo modelio sukūrimui.</w:t>
      </w:r>
      <w:r>
        <w:rPr>
          <w:szCs w:val="24"/>
        </w:rPr>
        <w:t xml:space="preserve"> Platesnė Vyriausybės ir ministrų strateginės darbotvarkės apžvalga pateikiama ataskaitoje.</w:t>
      </w:r>
    </w:p>
    <w:p w14:paraId="75DC0C8A" w14:textId="77777777" w:rsidR="003037C7" w:rsidRDefault="003037C7" w:rsidP="003037C7">
      <w:pPr>
        <w:spacing w:line="276" w:lineRule="auto"/>
        <w:ind w:right="282" w:firstLine="709"/>
        <w:jc w:val="both"/>
        <w:rPr>
          <w:szCs w:val="24"/>
        </w:rPr>
      </w:pPr>
    </w:p>
    <w:p w14:paraId="15D9FAFA" w14:textId="77777777" w:rsidR="003037C7" w:rsidRDefault="003037C7" w:rsidP="003037C7">
      <w:pPr>
        <w:spacing w:line="276" w:lineRule="auto"/>
        <w:ind w:right="282" w:firstLine="709"/>
        <w:jc w:val="both"/>
        <w:rPr>
          <w:szCs w:val="24"/>
        </w:rPr>
      </w:pPr>
      <w:r>
        <w:rPr>
          <w:szCs w:val="24"/>
        </w:rPr>
        <w:t xml:space="preserve">Atsižvelgdama į Vyriausybės programos nuostatų įgyvendinimo planą, Vyriausybė numato iki 2021 m. liepos 1 d. patikslinti 2021–2030 m. nacionalinį pažangos planą. Vyriausybės suplanuotų ir planuojamų reformų ir kitų Vyriausybės programos nuostatų įgyvendinimo plano veiksmų pagrindu Vyriausybė rengia ir iki balandžio 30 d. numato pateikti Europos Komisijai Lietuvos paraišką </w:t>
      </w:r>
      <w:r>
        <w:rPr>
          <w:szCs w:val="24"/>
        </w:rPr>
        <w:lastRenderedPageBreak/>
        <w:t>finansavimui iš Europos e</w:t>
      </w:r>
      <w:r w:rsidRPr="006A760D">
        <w:rPr>
          <w:szCs w:val="24"/>
        </w:rPr>
        <w:t>konomikos gaivinimo ir atsparumo didinimo fondo (EEGAF, angl. – RRF)</w:t>
      </w:r>
      <w:r>
        <w:rPr>
          <w:szCs w:val="24"/>
        </w:rPr>
        <w:t xml:space="preserve"> gauti</w:t>
      </w:r>
      <w:r w:rsidRPr="006A760D">
        <w:rPr>
          <w:szCs w:val="24"/>
        </w:rPr>
        <w:t>.</w:t>
      </w:r>
      <w:r>
        <w:rPr>
          <w:szCs w:val="24"/>
        </w:rPr>
        <w:t xml:space="preserve"> 2021 m</w:t>
      </w:r>
      <w:r w:rsidRPr="00E05451">
        <w:rPr>
          <w:szCs w:val="24"/>
        </w:rPr>
        <w:t xml:space="preserve">. bus baigta </w:t>
      </w:r>
      <w:r w:rsidRPr="002A2527">
        <w:rPr>
          <w:szCs w:val="24"/>
        </w:rPr>
        <w:t>Vyriausybės vykdomos strateginio planavimo ir biudžeto formavimo sistemos pertvark</w:t>
      </w:r>
      <w:r>
        <w:rPr>
          <w:szCs w:val="24"/>
        </w:rPr>
        <w:t>a.</w:t>
      </w:r>
      <w:r w:rsidRPr="00C35FDD">
        <w:rPr>
          <w:szCs w:val="24"/>
        </w:rPr>
        <w:t xml:space="preserve"> </w:t>
      </w:r>
    </w:p>
    <w:p w14:paraId="667E1193" w14:textId="77777777" w:rsidR="003037C7" w:rsidRDefault="003037C7" w:rsidP="003037C7">
      <w:pPr>
        <w:spacing w:line="276" w:lineRule="auto"/>
        <w:ind w:right="282" w:firstLine="709"/>
        <w:jc w:val="both"/>
        <w:rPr>
          <w:szCs w:val="24"/>
        </w:rPr>
      </w:pPr>
      <w:r>
        <w:rPr>
          <w:szCs w:val="24"/>
        </w:rPr>
        <w:t xml:space="preserve">Be reformų ir kasdienių darbų, taikiklyje turime ir rūpestį ilgalaike Lietuvos ateitimi. Bendradarbiaudami su Seimu, jo Ateities komitetu, šiemet pradėsime rengti </w:t>
      </w:r>
      <w:r w:rsidRPr="00C35FDD">
        <w:rPr>
          <w:szCs w:val="24"/>
        </w:rPr>
        <w:t>Lietuvos pažangos strategij</w:t>
      </w:r>
      <w:r>
        <w:rPr>
          <w:szCs w:val="24"/>
        </w:rPr>
        <w:t>ą „Lietuva</w:t>
      </w:r>
      <w:r w:rsidRPr="00C35FDD">
        <w:rPr>
          <w:szCs w:val="24"/>
        </w:rPr>
        <w:t xml:space="preserve"> 2050</w:t>
      </w:r>
      <w:r>
        <w:rPr>
          <w:szCs w:val="24"/>
        </w:rPr>
        <w:t xml:space="preserve">“ – apie mūsų pačių ir valstybės ateitį </w:t>
      </w:r>
      <w:r w:rsidRPr="00C35FDD">
        <w:rPr>
          <w:szCs w:val="24"/>
        </w:rPr>
        <w:t>plačia</w:t>
      </w:r>
      <w:r>
        <w:rPr>
          <w:szCs w:val="24"/>
        </w:rPr>
        <w:t>i</w:t>
      </w:r>
      <w:r w:rsidRPr="00C35FDD">
        <w:rPr>
          <w:szCs w:val="24"/>
        </w:rPr>
        <w:t xml:space="preserve"> ir </w:t>
      </w:r>
      <w:proofErr w:type="spellStart"/>
      <w:r w:rsidRPr="00C35FDD">
        <w:rPr>
          <w:szCs w:val="24"/>
        </w:rPr>
        <w:t>įtraukia</w:t>
      </w:r>
      <w:r>
        <w:rPr>
          <w:szCs w:val="24"/>
        </w:rPr>
        <w:t>i</w:t>
      </w:r>
      <w:proofErr w:type="spellEnd"/>
      <w:r w:rsidRPr="00C35FDD">
        <w:rPr>
          <w:szCs w:val="24"/>
        </w:rPr>
        <w:t xml:space="preserve"> konsult</w:t>
      </w:r>
      <w:r>
        <w:rPr>
          <w:szCs w:val="24"/>
        </w:rPr>
        <w:t xml:space="preserve">uosimės </w:t>
      </w:r>
      <w:r w:rsidRPr="00C35FDD">
        <w:rPr>
          <w:szCs w:val="24"/>
        </w:rPr>
        <w:t>su visuomene</w:t>
      </w:r>
      <w:r>
        <w:rPr>
          <w:szCs w:val="24"/>
        </w:rPr>
        <w:t xml:space="preserve"> ir diskutuosime su Lietuvos </w:t>
      </w:r>
      <w:r w:rsidRPr="00C35FDD">
        <w:rPr>
          <w:szCs w:val="24"/>
        </w:rPr>
        <w:t>mokslo, ekspertų ir politin</w:t>
      </w:r>
      <w:r>
        <w:rPr>
          <w:szCs w:val="24"/>
        </w:rPr>
        <w:t>e</w:t>
      </w:r>
      <w:r w:rsidRPr="00C35FDD">
        <w:rPr>
          <w:szCs w:val="24"/>
        </w:rPr>
        <w:t xml:space="preserve"> bendruomenėmis apie Lietuvos ilgalaikės ateities viziją ir kartu Lietuvos Europos viziją.</w:t>
      </w:r>
    </w:p>
    <w:p w14:paraId="0D751C8E" w14:textId="77777777" w:rsidR="003037C7" w:rsidRDefault="003037C7" w:rsidP="003037C7">
      <w:pPr>
        <w:spacing w:line="276" w:lineRule="auto"/>
        <w:ind w:right="282" w:firstLine="709"/>
        <w:jc w:val="both"/>
        <w:rPr>
          <w:szCs w:val="24"/>
        </w:rPr>
      </w:pPr>
    </w:p>
    <w:p w14:paraId="60D5397E" w14:textId="77777777" w:rsidR="003037C7" w:rsidRPr="00877F48" w:rsidRDefault="003037C7" w:rsidP="003037C7">
      <w:pPr>
        <w:spacing w:line="276" w:lineRule="auto"/>
        <w:ind w:right="282"/>
        <w:rPr>
          <w:szCs w:val="24"/>
        </w:rPr>
      </w:pPr>
      <w:r w:rsidRPr="00877F48">
        <w:rPr>
          <w:szCs w:val="24"/>
        </w:rPr>
        <w:t>Nuoširdžiai</w:t>
      </w:r>
    </w:p>
    <w:p w14:paraId="6F0B82AB" w14:textId="77777777" w:rsidR="003037C7" w:rsidRPr="00877F48" w:rsidRDefault="003037C7" w:rsidP="003037C7">
      <w:pPr>
        <w:ind w:right="282"/>
        <w:rPr>
          <w:szCs w:val="24"/>
        </w:rPr>
      </w:pPr>
      <w:r w:rsidRPr="00877F48">
        <w:rPr>
          <w:szCs w:val="24"/>
        </w:rPr>
        <w:t xml:space="preserve">Ministrė Pirmininkė Ingrida </w:t>
      </w:r>
      <w:proofErr w:type="spellStart"/>
      <w:r w:rsidRPr="00877F48">
        <w:rPr>
          <w:szCs w:val="24"/>
        </w:rPr>
        <w:t>Šimonytė</w:t>
      </w:r>
      <w:proofErr w:type="spellEnd"/>
      <w:r w:rsidRPr="00877F48">
        <w:rPr>
          <w:szCs w:val="24"/>
        </w:rPr>
        <w:t xml:space="preserve"> </w:t>
      </w:r>
    </w:p>
    <w:p w14:paraId="27A0C98B" w14:textId="77777777" w:rsidR="003037C7" w:rsidRDefault="003037C7" w:rsidP="003037C7">
      <w:pPr>
        <w:ind w:right="282"/>
        <w:rPr>
          <w:szCs w:val="24"/>
        </w:rPr>
      </w:pPr>
    </w:p>
    <w:p w14:paraId="5E6090DE" w14:textId="77777777" w:rsidR="003037C7" w:rsidRPr="00877F48" w:rsidRDefault="003037C7" w:rsidP="003037C7">
      <w:pPr>
        <w:ind w:right="282"/>
        <w:rPr>
          <w:szCs w:val="24"/>
        </w:rPr>
      </w:pPr>
      <w:r w:rsidRPr="00877F48">
        <w:rPr>
          <w:szCs w:val="24"/>
        </w:rPr>
        <w:t>2021 m. kovo 31 d., Vilnius</w:t>
      </w:r>
    </w:p>
    <w:p w14:paraId="39A27768" w14:textId="77777777" w:rsidR="003037C7" w:rsidRDefault="003037C7" w:rsidP="003037C7">
      <w:r>
        <w:br w:type="page"/>
      </w:r>
    </w:p>
    <w:p w14:paraId="28CB93B2" w14:textId="77777777" w:rsidR="003037C7" w:rsidRDefault="003037C7" w:rsidP="003037C7">
      <w:pPr>
        <w:pStyle w:val="Antrat1"/>
        <w:tabs>
          <w:tab w:val="left" w:pos="0"/>
        </w:tabs>
      </w:pPr>
    </w:p>
    <w:p w14:paraId="24EDCF02" w14:textId="77777777" w:rsidR="003037C7" w:rsidRPr="009265D3" w:rsidRDefault="003037C7" w:rsidP="003037C7"/>
    <w:p w14:paraId="522B542C" w14:textId="77777777" w:rsidR="003037C7" w:rsidRPr="00CB3171" w:rsidRDefault="003037C7" w:rsidP="003037C7">
      <w:pPr>
        <w:pStyle w:val="Pagrindinistekstas"/>
        <w:tabs>
          <w:tab w:val="num" w:pos="1134"/>
        </w:tabs>
        <w:spacing w:line="276" w:lineRule="auto"/>
        <w:ind w:firstLine="851"/>
        <w:rPr>
          <w:szCs w:val="24"/>
        </w:rPr>
      </w:pPr>
    </w:p>
    <w:p w14:paraId="6348EAA8" w14:textId="77777777" w:rsidR="003037C7" w:rsidRPr="00845CB5" w:rsidRDefault="003037C7" w:rsidP="003037C7">
      <w:pPr>
        <w:pStyle w:val="Antrat1"/>
        <w:rPr>
          <w:color w:val="17365D" w:themeColor="text2" w:themeShade="BF"/>
        </w:rPr>
      </w:pPr>
      <w:bookmarkStart w:id="3" w:name="_Toc68079175"/>
      <w:bookmarkStart w:id="4" w:name="_Hlk66975078"/>
      <w:r w:rsidRPr="00845CB5">
        <w:rPr>
          <w:color w:val="17365D" w:themeColor="text2" w:themeShade="BF"/>
        </w:rPr>
        <w:t>I DALIS</w:t>
      </w:r>
      <w:r>
        <w:rPr>
          <w:color w:val="17365D" w:themeColor="text2" w:themeShade="BF"/>
        </w:rPr>
        <w:t>.</w:t>
      </w:r>
      <w:r w:rsidRPr="00845CB5">
        <w:rPr>
          <w:color w:val="17365D" w:themeColor="text2" w:themeShade="BF"/>
        </w:rPr>
        <w:t xml:space="preserve"> </w:t>
      </w:r>
      <w:r w:rsidRPr="002276AE">
        <w:rPr>
          <w:color w:val="17365D" w:themeColor="text2" w:themeShade="BF"/>
        </w:rPr>
        <w:t xml:space="preserve">COVID-19 </w:t>
      </w:r>
      <w:r>
        <w:rPr>
          <w:color w:val="17365D" w:themeColor="text2" w:themeShade="BF"/>
        </w:rPr>
        <w:t xml:space="preserve">PANDEMIJOS </w:t>
      </w:r>
      <w:r w:rsidRPr="002276AE">
        <w:rPr>
          <w:color w:val="17365D" w:themeColor="text2" w:themeShade="BF"/>
        </w:rPr>
        <w:t>SUKELTOS SITUACIJOS VALDYMAS</w:t>
      </w:r>
      <w:bookmarkEnd w:id="3"/>
      <w:r w:rsidRPr="002276AE">
        <w:rPr>
          <w:color w:val="17365D" w:themeColor="text2" w:themeShade="BF"/>
        </w:rPr>
        <w:t xml:space="preserve"> </w:t>
      </w:r>
    </w:p>
    <w:bookmarkEnd w:id="4"/>
    <w:p w14:paraId="7F5F2497" w14:textId="77777777" w:rsidR="003037C7" w:rsidRDefault="003037C7" w:rsidP="003037C7">
      <w:pPr>
        <w:spacing w:line="276" w:lineRule="auto"/>
        <w:ind w:firstLine="720"/>
        <w:jc w:val="both"/>
        <w:rPr>
          <w:szCs w:val="24"/>
        </w:rPr>
      </w:pPr>
    </w:p>
    <w:p w14:paraId="000BB4D6" w14:textId="77777777" w:rsidR="003037C7" w:rsidRDefault="003037C7" w:rsidP="003037C7">
      <w:pPr>
        <w:spacing w:line="276" w:lineRule="auto"/>
        <w:ind w:firstLine="709"/>
        <w:jc w:val="both"/>
        <w:rPr>
          <w:szCs w:val="24"/>
        </w:rPr>
      </w:pPr>
      <w:r w:rsidRPr="00FE1A20">
        <w:rPr>
          <w:szCs w:val="24"/>
        </w:rPr>
        <w:t>Didžiausi</w:t>
      </w:r>
      <w:r>
        <w:rPr>
          <w:szCs w:val="24"/>
        </w:rPr>
        <w:t>u</w:t>
      </w:r>
      <w:r w:rsidRPr="00FE1A20">
        <w:rPr>
          <w:szCs w:val="24"/>
        </w:rPr>
        <w:t xml:space="preserve"> 2020-ųjų metų iššūki</w:t>
      </w:r>
      <w:r>
        <w:rPr>
          <w:szCs w:val="24"/>
        </w:rPr>
        <w:t>u</w:t>
      </w:r>
      <w:r w:rsidRPr="00FE1A20">
        <w:rPr>
          <w:szCs w:val="24"/>
        </w:rPr>
        <w:t xml:space="preserve"> ir išbandym</w:t>
      </w:r>
      <w:r>
        <w:rPr>
          <w:szCs w:val="24"/>
        </w:rPr>
        <w:t xml:space="preserve">u pasauliui ir </w:t>
      </w:r>
      <w:r w:rsidRPr="00FE1A20">
        <w:rPr>
          <w:szCs w:val="24"/>
        </w:rPr>
        <w:t xml:space="preserve">Lietuvai tapo </w:t>
      </w:r>
      <w:r w:rsidRPr="00BA3D94">
        <w:rPr>
          <w:szCs w:val="24"/>
          <w:lang w:val="en-GB"/>
        </w:rPr>
        <w:t>2020 m. k</w:t>
      </w:r>
      <w:proofErr w:type="spellStart"/>
      <w:r w:rsidRPr="00731F96">
        <w:rPr>
          <w:rFonts w:cstheme="minorHAnsi"/>
          <w:color w:val="000000" w:themeColor="text1"/>
        </w:rPr>
        <w:t>ovo</w:t>
      </w:r>
      <w:proofErr w:type="spellEnd"/>
      <w:r w:rsidRPr="00731F96">
        <w:rPr>
          <w:rFonts w:cstheme="minorHAnsi"/>
          <w:color w:val="000000" w:themeColor="text1"/>
        </w:rPr>
        <w:t xml:space="preserve"> 11 d. </w:t>
      </w:r>
      <w:r w:rsidRPr="00C47464">
        <w:rPr>
          <w:rFonts w:cstheme="minorHAnsi"/>
        </w:rPr>
        <w:t>Pasaulio sveikatos organizacij</w:t>
      </w:r>
      <w:r>
        <w:rPr>
          <w:rFonts w:cstheme="minorHAnsi"/>
        </w:rPr>
        <w:t>os</w:t>
      </w:r>
      <w:r w:rsidRPr="00C47464">
        <w:rPr>
          <w:rFonts w:cstheme="minorHAnsi"/>
        </w:rPr>
        <w:t xml:space="preserve"> </w:t>
      </w:r>
      <w:r>
        <w:rPr>
          <w:rFonts w:cstheme="minorHAnsi"/>
        </w:rPr>
        <w:t xml:space="preserve">paskelbta </w:t>
      </w:r>
      <w:r w:rsidRPr="00FE1A20">
        <w:rPr>
          <w:szCs w:val="24"/>
        </w:rPr>
        <w:t>COVID-19</w:t>
      </w:r>
      <w:r w:rsidRPr="00032043">
        <w:rPr>
          <w:szCs w:val="24"/>
        </w:rPr>
        <w:t xml:space="preserve"> </w:t>
      </w:r>
      <w:r>
        <w:rPr>
          <w:szCs w:val="24"/>
        </w:rPr>
        <w:t>ligos (</w:t>
      </w:r>
      <w:proofErr w:type="spellStart"/>
      <w:r>
        <w:rPr>
          <w:szCs w:val="24"/>
        </w:rPr>
        <w:t>koronaviruso</w:t>
      </w:r>
      <w:proofErr w:type="spellEnd"/>
      <w:r>
        <w:rPr>
          <w:szCs w:val="24"/>
        </w:rPr>
        <w:t xml:space="preserve"> infekcijos) (toliau – COVID-19)</w:t>
      </w:r>
      <w:r w:rsidRPr="00FE1A20">
        <w:rPr>
          <w:szCs w:val="24"/>
        </w:rPr>
        <w:t xml:space="preserve"> pandemija</w:t>
      </w:r>
      <w:r>
        <w:rPr>
          <w:szCs w:val="24"/>
        </w:rPr>
        <w:t xml:space="preserve">, </w:t>
      </w:r>
      <w:r>
        <w:rPr>
          <w:rFonts w:cstheme="minorHAnsi"/>
          <w:color w:val="000000" w:themeColor="text1"/>
        </w:rPr>
        <w:t>te</w:t>
      </w:r>
      <w:r>
        <w:rPr>
          <w:szCs w:val="24"/>
        </w:rPr>
        <w:t>besitęsianti ir 2021 m.</w:t>
      </w:r>
    </w:p>
    <w:p w14:paraId="5C253282" w14:textId="77777777" w:rsidR="003037C7" w:rsidRDefault="003037C7" w:rsidP="003037C7">
      <w:pPr>
        <w:spacing w:line="276" w:lineRule="auto"/>
        <w:ind w:firstLine="709"/>
        <w:jc w:val="both"/>
      </w:pPr>
      <w:r>
        <w:rPr>
          <w:rFonts w:cstheme="minorHAnsi"/>
          <w:color w:val="000000" w:themeColor="text1"/>
        </w:rPr>
        <w:t xml:space="preserve">Pirmasis karantinas Lietuvoje truko tris mėnesius, o </w:t>
      </w:r>
      <w:r>
        <w:t xml:space="preserve">pirmoji COVID-19 banga Lietuvoje prasidėjo su pirmuoju atveju 2020 m. vasario 28 d. ir santykinai baigėsi 2020 m. rugpjūčio 1 d. </w:t>
      </w:r>
    </w:p>
    <w:p w14:paraId="1A0F8AFC" w14:textId="77777777" w:rsidR="003037C7" w:rsidRDefault="003037C7" w:rsidP="003037C7">
      <w:pPr>
        <w:spacing w:line="276" w:lineRule="auto"/>
        <w:ind w:firstLine="720"/>
        <w:jc w:val="both"/>
        <w:rPr>
          <w:rFonts w:eastAsiaTheme="minorHAnsi" w:cstheme="minorHAnsi"/>
          <w:color w:val="000000" w:themeColor="text1"/>
        </w:rPr>
      </w:pPr>
      <w:r w:rsidRPr="00186808">
        <w:t xml:space="preserve">Atėjus </w:t>
      </w:r>
      <w:r w:rsidRPr="00186808">
        <w:rPr>
          <w:rFonts w:eastAsiaTheme="minorHAnsi" w:cstheme="minorHAnsi"/>
          <w:color w:val="000000" w:themeColor="text1"/>
        </w:rPr>
        <w:t xml:space="preserve">COVID-19 </w:t>
      </w:r>
      <w:r w:rsidRPr="0014004C">
        <w:rPr>
          <w:rFonts w:eastAsiaTheme="minorHAnsi" w:cstheme="minorHAnsi"/>
          <w:color w:val="000000" w:themeColor="text1"/>
        </w:rPr>
        <w:t xml:space="preserve">antrajai bangai </w:t>
      </w:r>
      <w:r>
        <w:rPr>
          <w:rFonts w:eastAsiaTheme="minorHAnsi" w:cstheme="minorHAnsi"/>
          <w:color w:val="000000" w:themeColor="text1"/>
        </w:rPr>
        <w:t xml:space="preserve">2020 m. </w:t>
      </w:r>
      <w:r w:rsidRPr="0014004C">
        <w:rPr>
          <w:rFonts w:eastAsiaTheme="minorHAnsi" w:cstheme="minorHAnsi"/>
          <w:color w:val="000000" w:themeColor="text1"/>
        </w:rPr>
        <w:t xml:space="preserve">rudenį ir uždelsus įvesti antrąjį karantiną, Lietuvoje COVID-19 atvejų skaičius nuo 86 naujų atvejų per dieną piko 2020 m. pavasario karantino metu </w:t>
      </w:r>
      <w:r w:rsidRPr="00BF7A82">
        <w:rPr>
          <w:rFonts w:eastAsiaTheme="minorHAnsi" w:cstheme="minorHAnsi"/>
          <w:color w:val="000000" w:themeColor="text1"/>
        </w:rPr>
        <w:t xml:space="preserve">2020 m. lapkritį šoktelėjo iki 2 449 naujų ligos atvejų per dieną. </w:t>
      </w:r>
      <w:r w:rsidRPr="00BF7A82">
        <w:rPr>
          <w:rFonts w:cstheme="minorHAnsi"/>
        </w:rPr>
        <w:t>Antrasis karantinas įvestas tik</w:t>
      </w:r>
      <w:r>
        <w:rPr>
          <w:rFonts w:cstheme="minorHAnsi"/>
        </w:rPr>
        <w:t xml:space="preserve"> 2020 m.</w:t>
      </w:r>
      <w:r w:rsidRPr="00BF7A82">
        <w:rPr>
          <w:rFonts w:cstheme="minorHAnsi"/>
        </w:rPr>
        <w:t xml:space="preserve"> lapkričio 7 d., kai </w:t>
      </w:r>
      <w:r>
        <w:rPr>
          <w:rFonts w:cstheme="minorHAnsi"/>
        </w:rPr>
        <w:t xml:space="preserve">per </w:t>
      </w:r>
      <w:r w:rsidRPr="00BF7A82">
        <w:rPr>
          <w:rFonts w:cstheme="minorHAnsi"/>
        </w:rPr>
        <w:t xml:space="preserve">14 dienų vidutinis ligos naujų atvejų skaičius per dieną siekė 1 023. </w:t>
      </w:r>
      <w:r w:rsidRPr="00BF7A82">
        <w:rPr>
          <w:iCs/>
          <w:color w:val="000000"/>
          <w:spacing w:val="2"/>
          <w:shd w:val="clear" w:color="auto" w:fill="FFFFFF"/>
        </w:rPr>
        <w:t xml:space="preserve">2020 m. gruodžio 11 d. pradėjus dirbti </w:t>
      </w:r>
      <w:r>
        <w:rPr>
          <w:iCs/>
          <w:color w:val="000000"/>
          <w:spacing w:val="2"/>
          <w:shd w:val="clear" w:color="auto" w:fill="FFFFFF"/>
        </w:rPr>
        <w:t>a</w:t>
      </w:r>
      <w:r w:rsidRPr="00BF7A82">
        <w:rPr>
          <w:iCs/>
          <w:color w:val="000000"/>
          <w:spacing w:val="2"/>
          <w:shd w:val="clear" w:color="auto" w:fill="FFFFFF"/>
        </w:rPr>
        <w:t>štuonioliktajai Vyriausybei, vidutinis 14 dienų</w:t>
      </w:r>
      <w:r w:rsidRPr="00BF7A82">
        <w:rPr>
          <w:rFonts w:cstheme="minorHAnsi"/>
        </w:rPr>
        <w:t xml:space="preserve"> COVID-19</w:t>
      </w:r>
      <w:r w:rsidRPr="00BF7A82">
        <w:rPr>
          <w:iCs/>
          <w:color w:val="000000"/>
          <w:spacing w:val="2"/>
          <w:shd w:val="clear" w:color="auto" w:fill="FFFFFF"/>
        </w:rPr>
        <w:t xml:space="preserve"> atvejų skaičius siekė 2 365 atvejus per dieną.</w:t>
      </w:r>
      <w:r w:rsidRPr="00186808">
        <w:rPr>
          <w:iCs/>
          <w:color w:val="000000"/>
          <w:spacing w:val="2"/>
          <w:shd w:val="clear" w:color="auto" w:fill="FFFFFF"/>
        </w:rPr>
        <w:t xml:space="preserve"> COVID</w:t>
      </w:r>
      <w:r>
        <w:rPr>
          <w:iCs/>
          <w:color w:val="000000"/>
          <w:spacing w:val="2"/>
          <w:shd w:val="clear" w:color="auto" w:fill="FFFFFF"/>
        </w:rPr>
        <w:t>-</w:t>
      </w:r>
      <w:r w:rsidRPr="00186808">
        <w:rPr>
          <w:iCs/>
          <w:color w:val="000000"/>
          <w:spacing w:val="2"/>
          <w:shd w:val="clear" w:color="auto" w:fill="FFFFFF"/>
        </w:rPr>
        <w:t xml:space="preserve">19 </w:t>
      </w:r>
      <w:r>
        <w:rPr>
          <w:iCs/>
          <w:color w:val="000000"/>
          <w:spacing w:val="2"/>
          <w:shd w:val="clear" w:color="auto" w:fill="FFFFFF"/>
        </w:rPr>
        <w:t>atvejų</w:t>
      </w:r>
      <w:r w:rsidRPr="00186808">
        <w:rPr>
          <w:iCs/>
          <w:color w:val="000000"/>
          <w:spacing w:val="2"/>
          <w:shd w:val="clear" w:color="auto" w:fill="FFFFFF"/>
        </w:rPr>
        <w:t xml:space="preserve"> pikas buvo pasiektas trečią gruodžio savaitę, kai gruodžio 18 d. fiksuoti 3</w:t>
      </w:r>
      <w:r>
        <w:rPr>
          <w:iCs/>
          <w:color w:val="000000"/>
          <w:spacing w:val="2"/>
          <w:shd w:val="clear" w:color="auto" w:fill="FFFFFF"/>
        </w:rPr>
        <w:t xml:space="preserve"> </w:t>
      </w:r>
      <w:r w:rsidRPr="00186808">
        <w:rPr>
          <w:iCs/>
          <w:color w:val="000000"/>
          <w:spacing w:val="2"/>
          <w:shd w:val="clear" w:color="auto" w:fill="FFFFFF"/>
        </w:rPr>
        <w:t>927 nauji atvejai per dieną</w:t>
      </w:r>
      <w:r w:rsidRPr="00186808">
        <w:rPr>
          <w:rFonts w:eastAsiaTheme="minorHAnsi" w:cstheme="minorHAnsi"/>
          <w:color w:val="000000" w:themeColor="text1"/>
        </w:rPr>
        <w:t xml:space="preserve"> (žr. 1 pav.). </w:t>
      </w:r>
      <w:r>
        <w:rPr>
          <w:rFonts w:ascii="Times" w:hAnsi="Times"/>
          <w:szCs w:val="24"/>
        </w:rPr>
        <w:t>P</w:t>
      </w:r>
      <w:r w:rsidRPr="00572CB3">
        <w:rPr>
          <w:rFonts w:ascii="Times" w:hAnsi="Times"/>
          <w:szCs w:val="24"/>
        </w:rPr>
        <w:t xml:space="preserve">agal sergamumą COVID-19 </w:t>
      </w:r>
      <w:r>
        <w:rPr>
          <w:rFonts w:ascii="Times" w:hAnsi="Times"/>
          <w:szCs w:val="24"/>
        </w:rPr>
        <w:t xml:space="preserve">Lietuva </w:t>
      </w:r>
      <w:r w:rsidRPr="00572CB3">
        <w:rPr>
          <w:rFonts w:ascii="Times" w:hAnsi="Times"/>
          <w:szCs w:val="24"/>
        </w:rPr>
        <w:t>tapo pirmoji pasaulyje</w:t>
      </w:r>
      <w:r>
        <w:rPr>
          <w:rFonts w:eastAsiaTheme="minorHAnsi" w:cstheme="minorHAnsi"/>
          <w:color w:val="000000" w:themeColor="text1"/>
        </w:rPr>
        <w:t xml:space="preserve">. </w:t>
      </w:r>
      <w:r>
        <w:rPr>
          <w:rFonts w:ascii="Times" w:hAnsi="Times"/>
          <w:szCs w:val="24"/>
        </w:rPr>
        <w:t>Beveik k</w:t>
      </w:r>
      <w:r w:rsidRPr="00572CB3">
        <w:rPr>
          <w:rFonts w:ascii="Times" w:hAnsi="Times"/>
          <w:szCs w:val="24"/>
        </w:rPr>
        <w:t xml:space="preserve">asdien registruoti </w:t>
      </w:r>
      <w:r>
        <w:rPr>
          <w:rFonts w:ascii="Times" w:hAnsi="Times"/>
          <w:szCs w:val="24"/>
        </w:rPr>
        <w:t xml:space="preserve">ir </w:t>
      </w:r>
      <w:r w:rsidRPr="00572CB3">
        <w:rPr>
          <w:rFonts w:ascii="Times" w:hAnsi="Times"/>
          <w:szCs w:val="24"/>
        </w:rPr>
        <w:t>mirusiųjų nuo COVID-19 rekordai</w:t>
      </w:r>
      <w:r>
        <w:rPr>
          <w:rFonts w:ascii="Times" w:hAnsi="Times"/>
          <w:szCs w:val="24"/>
        </w:rPr>
        <w:t xml:space="preserve"> (</w:t>
      </w:r>
      <w:r w:rsidRPr="00186808">
        <w:rPr>
          <w:rFonts w:eastAsiaTheme="minorHAnsi" w:cstheme="minorHAnsi"/>
          <w:color w:val="000000" w:themeColor="text1"/>
        </w:rPr>
        <w:t xml:space="preserve">žr. </w:t>
      </w:r>
      <w:r w:rsidRPr="00642575">
        <w:rPr>
          <w:rFonts w:eastAsiaTheme="minorHAnsi" w:cstheme="minorHAnsi"/>
          <w:color w:val="000000" w:themeColor="text1"/>
        </w:rPr>
        <w:t>3</w:t>
      </w:r>
      <w:r w:rsidRPr="00186808">
        <w:rPr>
          <w:rFonts w:eastAsiaTheme="minorHAnsi" w:cstheme="minorHAnsi"/>
          <w:color w:val="000000" w:themeColor="text1"/>
        </w:rPr>
        <w:t xml:space="preserve"> pav.). </w:t>
      </w:r>
      <w:r>
        <w:rPr>
          <w:rFonts w:ascii="Times" w:hAnsi="Times"/>
          <w:szCs w:val="24"/>
        </w:rPr>
        <w:t xml:space="preserve">Fiksuotas </w:t>
      </w:r>
      <w:r w:rsidRPr="00AB1B17">
        <w:rPr>
          <w:szCs w:val="24"/>
        </w:rPr>
        <w:t>per pastaruosius 20 metų</w:t>
      </w:r>
      <w:r w:rsidRPr="00572CB3">
        <w:rPr>
          <w:rFonts w:ascii="Times" w:hAnsi="Times"/>
          <w:szCs w:val="24"/>
        </w:rPr>
        <w:t xml:space="preserve"> </w:t>
      </w:r>
      <w:r w:rsidRPr="00AB1B17">
        <w:rPr>
          <w:szCs w:val="24"/>
        </w:rPr>
        <w:t>beprecedentis mirčių perviršis</w:t>
      </w:r>
      <w:r>
        <w:rPr>
          <w:rFonts w:ascii="Times" w:hAnsi="Times"/>
          <w:szCs w:val="24"/>
        </w:rPr>
        <w:t xml:space="preserve">. </w:t>
      </w:r>
      <w:r>
        <w:rPr>
          <w:rFonts w:ascii="Times" w:hAnsi="Times"/>
          <w:szCs w:val="24"/>
          <w:lang w:val="en-GB"/>
        </w:rPr>
        <w:t xml:space="preserve">2021 m. </w:t>
      </w:r>
      <w:proofErr w:type="spellStart"/>
      <w:r>
        <w:rPr>
          <w:rFonts w:ascii="Times" w:hAnsi="Times"/>
          <w:szCs w:val="24"/>
          <w:lang w:val="en-GB"/>
        </w:rPr>
        <w:t>kovo</w:t>
      </w:r>
      <w:proofErr w:type="spellEnd"/>
      <w:r>
        <w:rPr>
          <w:rFonts w:ascii="Times" w:hAnsi="Times"/>
          <w:szCs w:val="24"/>
          <w:lang w:val="en-GB"/>
        </w:rPr>
        <w:t xml:space="preserve"> </w:t>
      </w:r>
      <w:r>
        <w:rPr>
          <w:rFonts w:ascii="Times" w:hAnsi="Times"/>
          <w:szCs w:val="24"/>
        </w:rPr>
        <w:t xml:space="preserve">pradžioje vidutinis savaitinis mirčių skaičius sugrąžintas į lygį, artimą daugiamečiam vidurkiui. </w:t>
      </w:r>
    </w:p>
    <w:p w14:paraId="615399EC" w14:textId="77777777" w:rsidR="003037C7" w:rsidRDefault="003037C7" w:rsidP="003037C7">
      <w:pPr>
        <w:spacing w:line="276" w:lineRule="auto"/>
        <w:ind w:firstLine="709"/>
        <w:jc w:val="both"/>
        <w:rPr>
          <w:rFonts w:ascii="Times" w:hAnsi="Times"/>
          <w:szCs w:val="24"/>
        </w:rPr>
      </w:pPr>
      <w:r>
        <w:t>2020 m. gruodžio viduryje COVID-19 židiniai ir protrūkiai registruoti visoje Lietuvoje. Sveikatos įstaigų priėmimo skyriai</w:t>
      </w:r>
      <w:r w:rsidRPr="00CB37F6">
        <w:t xml:space="preserve"> </w:t>
      </w:r>
      <w:r>
        <w:t>persipildė, labai padaugėjo sunkios ir kritinės būklės ligonių, jų skaičius kai kuriose ligoninėse išaugo net iki 75 proc., o COVID-</w:t>
      </w:r>
      <w:r w:rsidRPr="00642575">
        <w:t>19</w:t>
      </w:r>
      <w:r>
        <w:t xml:space="preserve"> diagnozuotas</w:t>
      </w:r>
      <w:r w:rsidRPr="00AB1B17">
        <w:t xml:space="preserve"> </w:t>
      </w:r>
      <w:r>
        <w:t xml:space="preserve">kas </w:t>
      </w:r>
      <w:r w:rsidRPr="00AB1B17">
        <w:t>ketvirta</w:t>
      </w:r>
      <w:r>
        <w:t>m</w:t>
      </w:r>
      <w:r w:rsidRPr="00AB1B17">
        <w:t xml:space="preserve"> ligoninėje gydoma</w:t>
      </w:r>
      <w:r>
        <w:t>m</w:t>
      </w:r>
      <w:r w:rsidRPr="00FA3753">
        <w:t xml:space="preserve"> </w:t>
      </w:r>
      <w:r w:rsidRPr="00AB1B17">
        <w:t>pacient</w:t>
      </w:r>
      <w:r>
        <w:t>ui</w:t>
      </w:r>
      <w:r w:rsidRPr="00642575">
        <w:t xml:space="preserve">. </w:t>
      </w:r>
      <w:r>
        <w:rPr>
          <w:rFonts w:ascii="Times" w:hAnsi="Times"/>
          <w:szCs w:val="24"/>
        </w:rPr>
        <w:t>Itin sudėtinga situacija fiksuota tarp medikų (</w:t>
      </w:r>
      <w:r>
        <w:t>gruodžio viduryje COVID-</w:t>
      </w:r>
      <w:r w:rsidRPr="00642575">
        <w:t xml:space="preserve">19 </w:t>
      </w:r>
      <w:r>
        <w:t>sirgo</w:t>
      </w:r>
      <w:r w:rsidRPr="00A755A8">
        <w:t xml:space="preserve"> </w:t>
      </w:r>
      <w:r>
        <w:t xml:space="preserve">daugiau nei </w:t>
      </w:r>
      <w:r w:rsidRPr="00A755A8">
        <w:t>4</w:t>
      </w:r>
      <w:r>
        <w:t xml:space="preserve">  000</w:t>
      </w:r>
      <w:r w:rsidRPr="00A755A8">
        <w:t xml:space="preserve"> sveikatos priežiūros specialist</w:t>
      </w:r>
      <w:r>
        <w:t>ų</w:t>
      </w:r>
      <w:r>
        <w:rPr>
          <w:rFonts w:ascii="Times" w:hAnsi="Times"/>
          <w:szCs w:val="24"/>
        </w:rPr>
        <w:t xml:space="preserve">), </w:t>
      </w:r>
      <w:r>
        <w:t>globos ar slaugos įstaigose ir ligoninėse. Pradėjo trūkti medikų, pagalbinio personalo, medicinos priemonių.</w:t>
      </w:r>
      <w:r>
        <w:rPr>
          <w:rFonts w:ascii="Times" w:hAnsi="Times"/>
          <w:szCs w:val="24"/>
        </w:rPr>
        <w:t xml:space="preserve"> </w:t>
      </w:r>
    </w:p>
    <w:p w14:paraId="5F44CB4C" w14:textId="77777777" w:rsidR="003037C7" w:rsidRDefault="003037C7" w:rsidP="003037C7">
      <w:pPr>
        <w:spacing w:line="276" w:lineRule="auto"/>
        <w:ind w:firstLine="720"/>
        <w:jc w:val="both"/>
        <w:rPr>
          <w:bdr w:val="none" w:sz="0" w:space="0" w:color="auto" w:frame="1"/>
        </w:rPr>
      </w:pPr>
      <w:r w:rsidRPr="00AB1B17">
        <w:rPr>
          <w:szCs w:val="24"/>
        </w:rPr>
        <w:t xml:space="preserve">Reaguodama į </w:t>
      </w:r>
      <w:r>
        <w:rPr>
          <w:szCs w:val="24"/>
        </w:rPr>
        <w:t>nevaldomą viruso plitimą,</w:t>
      </w:r>
      <w:r w:rsidRPr="00AB1B17">
        <w:rPr>
          <w:szCs w:val="24"/>
        </w:rPr>
        <w:t xml:space="preserve"> naujoji Vyriausybė įvedė </w:t>
      </w:r>
      <w:r>
        <w:t>specialias asmenų darbo, gyvenimo, poilsio, judėjimo sąlygas, apribojimus ir tvarką. Mažinant asmenų kontaktų skaičių, sudaromos prielaidos mažėti ir užsikrėtimo, o atitinkamai – ir COVID-19 plitimo rizikai.</w:t>
      </w:r>
      <w:r w:rsidRPr="00EB0A8C">
        <w:rPr>
          <w:bdr w:val="none" w:sz="0" w:space="0" w:color="auto" w:frame="1"/>
        </w:rPr>
        <w:t xml:space="preserve"> </w:t>
      </w:r>
      <w:r>
        <w:rPr>
          <w:bdr w:val="none" w:sz="0" w:space="0" w:color="auto" w:frame="1"/>
        </w:rPr>
        <w:t>A</w:t>
      </w:r>
      <w:r w:rsidRPr="003C0F05">
        <w:rPr>
          <w:bdr w:val="none" w:sz="0" w:space="0" w:color="auto" w:frame="1"/>
        </w:rPr>
        <w:t>tvejų skaičius saus</w:t>
      </w:r>
      <w:r>
        <w:rPr>
          <w:bdr w:val="none" w:sz="0" w:space="0" w:color="auto" w:frame="1"/>
        </w:rPr>
        <w:t>į</w:t>
      </w:r>
      <w:r w:rsidRPr="003C0F05">
        <w:rPr>
          <w:bdr w:val="none" w:sz="0" w:space="0" w:color="auto" w:frame="1"/>
        </w:rPr>
        <w:t xml:space="preserve"> </w:t>
      </w:r>
      <w:r>
        <w:rPr>
          <w:bdr w:val="none" w:sz="0" w:space="0" w:color="auto" w:frame="1"/>
        </w:rPr>
        <w:t>s</w:t>
      </w:r>
      <w:r w:rsidRPr="003C0F05">
        <w:rPr>
          <w:bdr w:val="none" w:sz="0" w:space="0" w:color="auto" w:frame="1"/>
        </w:rPr>
        <w:t>umažėjo daugiau nei dvigubai</w:t>
      </w:r>
      <w:r>
        <w:rPr>
          <w:bdr w:val="none" w:sz="0" w:space="0" w:color="auto" w:frame="1"/>
        </w:rPr>
        <w:t>, pa</w:t>
      </w:r>
      <w:r w:rsidRPr="003C0F05">
        <w:rPr>
          <w:bdr w:val="none" w:sz="0" w:space="0" w:color="auto" w:frame="1"/>
        </w:rPr>
        <w:t>lygint</w:t>
      </w:r>
      <w:r>
        <w:rPr>
          <w:bdr w:val="none" w:sz="0" w:space="0" w:color="auto" w:frame="1"/>
        </w:rPr>
        <w:t>i</w:t>
      </w:r>
      <w:r w:rsidRPr="003C0F05">
        <w:rPr>
          <w:bdr w:val="none" w:sz="0" w:space="0" w:color="auto" w:frame="1"/>
        </w:rPr>
        <w:t xml:space="preserve"> su 2020 m. gruodži</w:t>
      </w:r>
      <w:r>
        <w:rPr>
          <w:bdr w:val="none" w:sz="0" w:space="0" w:color="auto" w:frame="1"/>
        </w:rPr>
        <w:t>u</w:t>
      </w:r>
      <w:r w:rsidRPr="003C0F05">
        <w:rPr>
          <w:bdr w:val="none" w:sz="0" w:space="0" w:color="auto" w:frame="1"/>
        </w:rPr>
        <w:t>.</w:t>
      </w:r>
    </w:p>
    <w:p w14:paraId="6D381745" w14:textId="77777777" w:rsidR="003037C7" w:rsidRDefault="003037C7" w:rsidP="003037C7">
      <w:pPr>
        <w:spacing w:line="276" w:lineRule="auto"/>
        <w:ind w:firstLine="720"/>
        <w:jc w:val="both"/>
        <w:rPr>
          <w:bdr w:val="none" w:sz="0" w:space="0" w:color="auto" w:frame="1"/>
        </w:rPr>
      </w:pPr>
      <w:r>
        <w:rPr>
          <w:bdr w:val="none" w:sz="0" w:space="0" w:color="auto" w:frame="1"/>
          <w:lang w:val="en-GB"/>
        </w:rPr>
        <w:t xml:space="preserve">2020 m. </w:t>
      </w:r>
      <w:r>
        <w:rPr>
          <w:bdr w:val="none" w:sz="0" w:space="0" w:color="auto" w:frame="1"/>
        </w:rPr>
        <w:t>g</w:t>
      </w:r>
      <w:r w:rsidRPr="003C0F05">
        <w:rPr>
          <w:bdr w:val="none" w:sz="0" w:space="0" w:color="auto" w:frame="1"/>
        </w:rPr>
        <w:t>ruod</w:t>
      </w:r>
      <w:r>
        <w:rPr>
          <w:bdr w:val="none" w:sz="0" w:space="0" w:color="auto" w:frame="1"/>
        </w:rPr>
        <w:t>į š</w:t>
      </w:r>
      <w:r w:rsidRPr="003C0F05">
        <w:rPr>
          <w:bdr w:val="none" w:sz="0" w:space="0" w:color="auto" w:frame="1"/>
        </w:rPr>
        <w:t>alyje buvo užregistruoti</w:t>
      </w:r>
      <w:r>
        <w:rPr>
          <w:bdr w:val="none" w:sz="0" w:space="0" w:color="auto" w:frame="1"/>
        </w:rPr>
        <w:t xml:space="preserve"> </w:t>
      </w:r>
      <w:r w:rsidRPr="003C0F05">
        <w:rPr>
          <w:bdr w:val="none" w:sz="0" w:space="0" w:color="auto" w:frame="1"/>
        </w:rPr>
        <w:t>83</w:t>
      </w:r>
      <w:r>
        <w:rPr>
          <w:bdr w:val="none" w:sz="0" w:space="0" w:color="auto" w:frame="1"/>
        </w:rPr>
        <w:t xml:space="preserve"> </w:t>
      </w:r>
      <w:r w:rsidRPr="003C0F05">
        <w:rPr>
          <w:bdr w:val="none" w:sz="0" w:space="0" w:color="auto" w:frame="1"/>
        </w:rPr>
        <w:t>965, 2021 m. saus</w:t>
      </w:r>
      <w:r>
        <w:rPr>
          <w:bdr w:val="none" w:sz="0" w:space="0" w:color="auto" w:frame="1"/>
        </w:rPr>
        <w:t>į</w:t>
      </w:r>
      <w:r w:rsidRPr="003C0F05">
        <w:rPr>
          <w:bdr w:val="none" w:sz="0" w:space="0" w:color="auto" w:frame="1"/>
        </w:rPr>
        <w:t xml:space="preserve"> – 36</w:t>
      </w:r>
      <w:r>
        <w:rPr>
          <w:bdr w:val="none" w:sz="0" w:space="0" w:color="auto" w:frame="1"/>
        </w:rPr>
        <w:t xml:space="preserve"> </w:t>
      </w:r>
      <w:r w:rsidRPr="003C0F05">
        <w:rPr>
          <w:bdr w:val="none" w:sz="0" w:space="0" w:color="auto" w:frame="1"/>
        </w:rPr>
        <w:t xml:space="preserve">791, </w:t>
      </w:r>
      <w:r>
        <w:rPr>
          <w:bdr w:val="none" w:sz="0" w:space="0" w:color="auto" w:frame="1"/>
        </w:rPr>
        <w:t>v</w:t>
      </w:r>
      <w:r w:rsidRPr="003C0F05">
        <w:rPr>
          <w:bdr w:val="none" w:sz="0" w:space="0" w:color="auto" w:frame="1"/>
        </w:rPr>
        <w:t>asar</w:t>
      </w:r>
      <w:r>
        <w:rPr>
          <w:bdr w:val="none" w:sz="0" w:space="0" w:color="auto" w:frame="1"/>
        </w:rPr>
        <w:t>į</w:t>
      </w:r>
      <w:r w:rsidRPr="003C0F05">
        <w:rPr>
          <w:bdr w:val="none" w:sz="0" w:space="0" w:color="auto" w:frame="1"/>
        </w:rPr>
        <w:t xml:space="preserve"> – 14</w:t>
      </w:r>
      <w:r>
        <w:rPr>
          <w:bdr w:val="none" w:sz="0" w:space="0" w:color="auto" w:frame="1"/>
        </w:rPr>
        <w:t xml:space="preserve"> </w:t>
      </w:r>
      <w:r w:rsidRPr="003C0F05">
        <w:rPr>
          <w:bdr w:val="none" w:sz="0" w:space="0" w:color="auto" w:frame="1"/>
        </w:rPr>
        <w:t>625</w:t>
      </w:r>
      <w:r>
        <w:rPr>
          <w:bdr w:val="none" w:sz="0" w:space="0" w:color="auto" w:frame="1"/>
        </w:rPr>
        <w:t xml:space="preserve"> COVID-19 atvejai. </w:t>
      </w:r>
    </w:p>
    <w:p w14:paraId="1BE1AB27" w14:textId="77777777" w:rsidR="003037C7" w:rsidRPr="00470A79" w:rsidRDefault="003037C7" w:rsidP="003037C7">
      <w:pPr>
        <w:spacing w:line="276" w:lineRule="auto"/>
        <w:ind w:firstLine="720"/>
        <w:jc w:val="both"/>
        <w:rPr>
          <w:bdr w:val="none" w:sz="0" w:space="0" w:color="auto" w:frame="1"/>
        </w:rPr>
      </w:pPr>
      <w:r>
        <w:t>2021 m. v</w:t>
      </w:r>
      <w:r w:rsidRPr="00BC0651">
        <w:t xml:space="preserve">asario viduryje prasidėjęs COVID-19 pacientų skaičiaus </w:t>
      </w:r>
      <w:r>
        <w:t>didėj</w:t>
      </w:r>
      <w:r w:rsidRPr="00BC0651">
        <w:t xml:space="preserve">imas ir aukštyn šoktelėjęs sergamumas Vilniaus regione siejamas su britiškąja </w:t>
      </w:r>
      <w:proofErr w:type="spellStart"/>
      <w:r w:rsidRPr="00BC0651">
        <w:t>koronaviruso</w:t>
      </w:r>
      <w:proofErr w:type="spellEnd"/>
      <w:r w:rsidRPr="00BC0651">
        <w:t xml:space="preserve"> atmaina. Daugiau negu pusė visų Lietuvoje hospitalizuotų COVID-19 pacientų šiuo metu </w:t>
      </w:r>
      <w:r>
        <w:t xml:space="preserve">gydomi </w:t>
      </w:r>
      <w:r w:rsidRPr="00BC0651">
        <w:t>būtent Vilniaus regiono ligoninėse</w:t>
      </w:r>
      <w:r>
        <w:t>.</w:t>
      </w:r>
      <w:r w:rsidRPr="00BC0651">
        <w:t xml:space="preserve"> Pasiekus 70 proc. lovų užimtumą, kai kurios ligoninės priverstos didinti COVID-19 pacientams skirtų lovų skaičių.</w:t>
      </w:r>
    </w:p>
    <w:p w14:paraId="3B6FBF06" w14:textId="77777777" w:rsidR="003037C7" w:rsidRPr="00075077" w:rsidRDefault="003037C7" w:rsidP="003037C7">
      <w:pPr>
        <w:spacing w:line="276" w:lineRule="auto"/>
        <w:ind w:firstLine="709"/>
        <w:jc w:val="both"/>
        <w:rPr>
          <w:szCs w:val="24"/>
        </w:rPr>
      </w:pPr>
      <w:r>
        <w:t xml:space="preserve">2021 m. kovą Lietuvoje pandemijos rodikliai bangavo – jų dinamika 2021 m. trečią kovo savaitę tapo panaši į buvusią vasario pabaigoje: COVID-19 atvejų skaičius ir teigiamų tyrimų procentas pradėjo šiek tiek augti, bet staigių pokyčių nebuvo. Mirtingumo ir ligoninių užimtumo rodikliai daugumoje regionų toliau mažėjo, išskyrus Vilniaus regioną, kuriame gausėjo tiek stacionaro, tiek reanimacijos pacientų. Atliekant </w:t>
      </w:r>
      <w:r w:rsidRPr="009E2024">
        <w:rPr>
          <w:szCs w:val="24"/>
        </w:rPr>
        <w:t>SARS-CoV-2 viruso genomo</w:t>
      </w:r>
      <w:r w:rsidRPr="009E2024">
        <w:rPr>
          <w:rFonts w:ascii="Arial" w:hAnsi="Arial" w:cs="Arial"/>
          <w:b/>
          <w:bCs/>
          <w:sz w:val="23"/>
          <w:szCs w:val="23"/>
        </w:rPr>
        <w:t xml:space="preserve"> </w:t>
      </w:r>
      <w:proofErr w:type="spellStart"/>
      <w:r>
        <w:t>sekoskaitą</w:t>
      </w:r>
      <w:proofErr w:type="spellEnd"/>
      <w:r>
        <w:t>, nerimą kelia Lietuvoje matomas didėjantis COVID-19 viruso su B.1.1.7 atmaina paplitimas – kai kuriose apskrityse ši atmaina jau sudaro daugumą nustatytų atmainų.</w:t>
      </w:r>
    </w:p>
    <w:p w14:paraId="49002A70" w14:textId="77777777" w:rsidR="003037C7" w:rsidRDefault="003037C7" w:rsidP="003037C7">
      <w:pPr>
        <w:spacing w:line="276" w:lineRule="auto"/>
        <w:ind w:firstLine="709"/>
        <w:jc w:val="both"/>
      </w:pPr>
      <w:r>
        <w:t xml:space="preserve">Per dieną laboratorijose atliekama šiek tiek daugiau kaip 7 000 tyrimų dėl COVID-19, ir šis skaičius stabilus jau 3 savaites. Pandemijos pagreitis nuo </w:t>
      </w:r>
      <w:r>
        <w:rPr>
          <w:lang w:val="en-GB"/>
        </w:rPr>
        <w:t xml:space="preserve">2021 m. </w:t>
      </w:r>
      <w:r>
        <w:t xml:space="preserve">vasario pabaigos kas savaitę svyruoja nuo –20 proc. iki +20 proc. ir šiuo metu tiek atvejų skaičius, tiek teigiamų tyrimų procentas didėja. </w:t>
      </w:r>
    </w:p>
    <w:p w14:paraId="2668DBB0" w14:textId="77777777" w:rsidR="003037C7" w:rsidRDefault="003037C7" w:rsidP="003037C7">
      <w:pPr>
        <w:spacing w:line="276" w:lineRule="auto"/>
        <w:ind w:firstLine="709"/>
        <w:jc w:val="both"/>
      </w:pPr>
    </w:p>
    <w:p w14:paraId="1FC0AFFA" w14:textId="77777777" w:rsidR="003037C7" w:rsidRDefault="003037C7" w:rsidP="003037C7">
      <w:pPr>
        <w:spacing w:line="276" w:lineRule="auto"/>
        <w:ind w:firstLine="709"/>
        <w:jc w:val="both"/>
      </w:pPr>
    </w:p>
    <w:p w14:paraId="3E2BD6C6" w14:textId="77777777" w:rsidR="003037C7" w:rsidRDefault="003037C7" w:rsidP="003037C7">
      <w:pPr>
        <w:spacing w:line="276" w:lineRule="auto"/>
        <w:ind w:firstLine="709"/>
        <w:jc w:val="both"/>
      </w:pPr>
    </w:p>
    <w:p w14:paraId="32DB3250" w14:textId="77777777" w:rsidR="003037C7" w:rsidRDefault="003037C7" w:rsidP="003037C7">
      <w:pPr>
        <w:spacing w:line="276" w:lineRule="auto"/>
        <w:ind w:firstLine="709"/>
        <w:jc w:val="both"/>
      </w:pPr>
    </w:p>
    <w:p w14:paraId="1E25EC60" w14:textId="77777777" w:rsidR="003037C7" w:rsidRPr="00C6614E" w:rsidRDefault="003037C7" w:rsidP="003037C7">
      <w:pPr>
        <w:pStyle w:val="prastasiniatinklio"/>
        <w:spacing w:before="0" w:beforeAutospacing="0" w:after="0" w:afterAutospacing="0"/>
        <w:ind w:firstLine="851"/>
        <w:jc w:val="center"/>
        <w:rPr>
          <w:b/>
          <w:bCs/>
          <w:color w:val="17365D" w:themeColor="text2" w:themeShade="BF"/>
          <w:lang w:val="lt-LT"/>
        </w:rPr>
      </w:pPr>
      <w:r>
        <w:rPr>
          <w:rFonts w:eastAsiaTheme="minorEastAsia"/>
          <w:b/>
          <w:bCs/>
          <w:color w:val="17365D" w:themeColor="text2" w:themeShade="BF"/>
          <w:kern w:val="24"/>
          <w:lang w:val="en-US"/>
        </w:rPr>
        <w:t xml:space="preserve">1 pav. </w:t>
      </w:r>
      <w:proofErr w:type="spellStart"/>
      <w:r w:rsidRPr="00C6614E">
        <w:rPr>
          <w:rFonts w:eastAsiaTheme="minorEastAsia"/>
          <w:b/>
          <w:bCs/>
          <w:color w:val="17365D" w:themeColor="text2" w:themeShade="BF"/>
          <w:kern w:val="24"/>
          <w:lang w:val="en-US"/>
        </w:rPr>
        <w:t>Nauj</w:t>
      </w:r>
      <w:r>
        <w:rPr>
          <w:rFonts w:eastAsiaTheme="minorEastAsia"/>
          <w:b/>
          <w:bCs/>
          <w:color w:val="17365D" w:themeColor="text2" w:themeShade="BF"/>
          <w:kern w:val="24"/>
          <w:lang w:val="en-US"/>
        </w:rPr>
        <w:t>ų</w:t>
      </w:r>
      <w:proofErr w:type="spellEnd"/>
      <w:r>
        <w:rPr>
          <w:rFonts w:eastAsiaTheme="minorEastAsia"/>
          <w:b/>
          <w:bCs/>
          <w:color w:val="17365D" w:themeColor="text2" w:themeShade="BF"/>
          <w:kern w:val="24"/>
          <w:lang w:val="en-US"/>
        </w:rPr>
        <w:t xml:space="preserve"> COVID</w:t>
      </w:r>
      <w:r w:rsidRPr="00C6614E">
        <w:rPr>
          <w:rFonts w:eastAsiaTheme="minorEastAsia"/>
          <w:b/>
          <w:bCs/>
          <w:color w:val="17365D" w:themeColor="text2" w:themeShade="BF"/>
          <w:kern w:val="24"/>
          <w:lang w:val="en-US"/>
        </w:rPr>
        <w:t xml:space="preserve">-19 </w:t>
      </w:r>
      <w:proofErr w:type="spellStart"/>
      <w:r w:rsidRPr="00C6614E">
        <w:rPr>
          <w:rFonts w:eastAsiaTheme="minorEastAsia"/>
          <w:b/>
          <w:bCs/>
          <w:color w:val="17365D" w:themeColor="text2" w:themeShade="BF"/>
          <w:kern w:val="24"/>
          <w:lang w:val="en-US"/>
        </w:rPr>
        <w:t>atvej</w:t>
      </w:r>
      <w:r>
        <w:rPr>
          <w:rFonts w:eastAsiaTheme="minorEastAsia"/>
          <w:b/>
          <w:bCs/>
          <w:color w:val="17365D" w:themeColor="text2" w:themeShade="BF"/>
          <w:kern w:val="24"/>
          <w:lang w:val="en-US"/>
        </w:rPr>
        <w:t>ų</w:t>
      </w:r>
      <w:proofErr w:type="spellEnd"/>
      <w:r>
        <w:rPr>
          <w:rFonts w:eastAsiaTheme="minorEastAsia"/>
          <w:b/>
          <w:bCs/>
          <w:color w:val="17365D" w:themeColor="text2" w:themeShade="BF"/>
          <w:kern w:val="24"/>
          <w:lang w:val="en-US"/>
        </w:rPr>
        <w:t xml:space="preserve"> </w:t>
      </w:r>
      <w:proofErr w:type="spellStart"/>
      <w:r>
        <w:rPr>
          <w:rFonts w:eastAsiaTheme="minorEastAsia"/>
          <w:b/>
          <w:bCs/>
          <w:color w:val="17365D" w:themeColor="text2" w:themeShade="BF"/>
          <w:kern w:val="24"/>
          <w:lang w:val="en-US"/>
        </w:rPr>
        <w:t>skaičius</w:t>
      </w:r>
      <w:proofErr w:type="spellEnd"/>
      <w:r>
        <w:rPr>
          <w:rFonts w:eastAsiaTheme="minorEastAsia"/>
          <w:b/>
          <w:bCs/>
          <w:color w:val="17365D" w:themeColor="text2" w:themeShade="BF"/>
          <w:kern w:val="24"/>
          <w:lang w:val="en-US"/>
        </w:rPr>
        <w:t xml:space="preserve"> </w:t>
      </w:r>
      <w:r w:rsidRPr="00C6614E">
        <w:rPr>
          <w:rFonts w:eastAsiaTheme="minorEastAsia"/>
          <w:b/>
          <w:bCs/>
          <w:color w:val="17365D" w:themeColor="text2" w:themeShade="BF"/>
          <w:kern w:val="24"/>
          <w:lang w:val="en-US"/>
        </w:rPr>
        <w:t xml:space="preserve">per </w:t>
      </w:r>
      <w:proofErr w:type="spellStart"/>
      <w:r w:rsidRPr="00C6614E">
        <w:rPr>
          <w:rFonts w:eastAsiaTheme="minorEastAsia"/>
          <w:b/>
          <w:bCs/>
          <w:color w:val="17365D" w:themeColor="text2" w:themeShade="BF"/>
          <w:kern w:val="24"/>
          <w:lang w:val="en-US"/>
        </w:rPr>
        <w:t>dien</w:t>
      </w:r>
      <w:proofErr w:type="spellEnd"/>
      <w:r w:rsidRPr="00C6614E">
        <w:rPr>
          <w:rFonts w:eastAsiaTheme="minorEastAsia"/>
          <w:b/>
          <w:bCs/>
          <w:color w:val="17365D" w:themeColor="text2" w:themeShade="BF"/>
          <w:kern w:val="24"/>
          <w:lang w:val="lt-LT"/>
        </w:rPr>
        <w:t>ą</w:t>
      </w:r>
    </w:p>
    <w:p w14:paraId="2FE9D307" w14:textId="77777777" w:rsidR="003037C7" w:rsidRDefault="003037C7" w:rsidP="003037C7">
      <w:pPr>
        <w:ind w:firstLine="851"/>
        <w:jc w:val="both"/>
        <w:rPr>
          <w:iCs/>
          <w:color w:val="000000"/>
          <w:spacing w:val="2"/>
          <w:shd w:val="clear" w:color="auto" w:fill="FFFFFF"/>
        </w:rPr>
      </w:pPr>
    </w:p>
    <w:p w14:paraId="38517734" w14:textId="77777777" w:rsidR="003037C7" w:rsidRDefault="003037C7" w:rsidP="003037C7">
      <w:pPr>
        <w:pStyle w:val="prastasiniatinklio"/>
        <w:spacing w:before="0" w:beforeAutospacing="0" w:after="0" w:afterAutospacing="0"/>
        <w:jc w:val="center"/>
        <w:rPr>
          <w:rFonts w:eastAsiaTheme="minorEastAsia"/>
          <w:b/>
          <w:bCs/>
          <w:color w:val="17365D" w:themeColor="text2" w:themeShade="BF"/>
          <w:kern w:val="24"/>
          <w:lang w:val="en-US"/>
        </w:rPr>
      </w:pPr>
      <w:r>
        <w:rPr>
          <w:noProof/>
          <w:lang w:val="lt-LT" w:eastAsia="lt-LT"/>
        </w:rPr>
        <w:drawing>
          <wp:inline distT="0" distB="0" distL="0" distR="0" wp14:anchorId="1FA1C453" wp14:editId="1BF55E4D">
            <wp:extent cx="6383020" cy="2246110"/>
            <wp:effectExtent l="0" t="0" r="17780" b="1905"/>
            <wp:docPr id="15" name="Diagrama 15">
              <a:extLst xmlns:a="http://schemas.openxmlformats.org/drawingml/2006/main">
                <a:ext uri="{FF2B5EF4-FFF2-40B4-BE49-F238E27FC236}">
                  <a16:creationId xmlns:a16="http://schemas.microsoft.com/office/drawing/2014/main" id="{57937FC1-254C-42D4-A77F-4987071FFA8C}"/>
                </a:ext>
              </a:extLst>
            </wp:docPr>
            <wp:cNvGraphicFramePr/>
            <a:graphic xmlns:a="http://schemas.openxmlformats.org/drawingml/2006/main">
              <a:graphicData uri="http://schemas.openxmlformats.org/drawingml/2006/chart">
                <c:chart xmlns:c="http://schemas.openxmlformats.org/drawingml/2006/chart" r:id="rId8"/>
              </a:graphicData>
            </a:graphic>
          </wp:inline>
        </w:drawing>
      </w:r>
    </w:p>
    <w:p w14:paraId="2856E08E" w14:textId="77777777" w:rsidR="003037C7" w:rsidRPr="00CC7191" w:rsidRDefault="003037C7" w:rsidP="003037C7">
      <w:pPr>
        <w:pStyle w:val="prastasiniatinklio"/>
        <w:spacing w:before="0" w:beforeAutospacing="0" w:after="0" w:afterAutospacing="0"/>
        <w:jc w:val="center"/>
        <w:rPr>
          <w:rFonts w:eastAsiaTheme="minorEastAsia"/>
          <w:kern w:val="24"/>
          <w:lang w:val="en-US"/>
        </w:rPr>
      </w:pPr>
      <w:proofErr w:type="spellStart"/>
      <w:r w:rsidRPr="00CC7191">
        <w:rPr>
          <w:rFonts w:eastAsiaTheme="minorEastAsia"/>
          <w:kern w:val="24"/>
          <w:lang w:val="en-US"/>
        </w:rPr>
        <w:t>Duomenų</w:t>
      </w:r>
      <w:proofErr w:type="spellEnd"/>
      <w:r w:rsidRPr="00CC7191">
        <w:rPr>
          <w:rFonts w:eastAsiaTheme="minorEastAsia"/>
          <w:kern w:val="24"/>
          <w:lang w:val="en-US"/>
        </w:rPr>
        <w:t xml:space="preserve"> </w:t>
      </w:r>
      <w:proofErr w:type="spellStart"/>
      <w:r w:rsidRPr="00CC7191">
        <w:rPr>
          <w:rFonts w:eastAsiaTheme="minorEastAsia"/>
          <w:kern w:val="24"/>
          <w:lang w:val="en-US"/>
        </w:rPr>
        <w:t>šaltinis</w:t>
      </w:r>
      <w:proofErr w:type="spellEnd"/>
      <w:r w:rsidRPr="00CC7191">
        <w:rPr>
          <w:rFonts w:eastAsiaTheme="minorEastAsia"/>
          <w:kern w:val="24"/>
          <w:lang w:val="en-US"/>
        </w:rPr>
        <w:t xml:space="preserve"> – </w:t>
      </w:r>
      <w:proofErr w:type="spellStart"/>
      <w:r w:rsidRPr="00CC7191">
        <w:rPr>
          <w:rFonts w:eastAsiaTheme="minorEastAsia"/>
          <w:kern w:val="24"/>
          <w:lang w:val="en-US"/>
        </w:rPr>
        <w:t>Valstybės</w:t>
      </w:r>
      <w:proofErr w:type="spellEnd"/>
      <w:r w:rsidRPr="00CC7191">
        <w:rPr>
          <w:rFonts w:eastAsiaTheme="minorEastAsia"/>
          <w:kern w:val="24"/>
          <w:lang w:val="en-US"/>
        </w:rPr>
        <w:t xml:space="preserve"> </w:t>
      </w:r>
      <w:proofErr w:type="spellStart"/>
      <w:r w:rsidRPr="00CC7191">
        <w:rPr>
          <w:rFonts w:eastAsiaTheme="minorEastAsia"/>
          <w:kern w:val="24"/>
          <w:lang w:val="en-US"/>
        </w:rPr>
        <w:t>duomenų</w:t>
      </w:r>
      <w:proofErr w:type="spellEnd"/>
      <w:r w:rsidRPr="00CC7191">
        <w:rPr>
          <w:rFonts w:eastAsiaTheme="minorEastAsia"/>
          <w:kern w:val="24"/>
          <w:lang w:val="en-US"/>
        </w:rPr>
        <w:t xml:space="preserve"> </w:t>
      </w:r>
      <w:proofErr w:type="spellStart"/>
      <w:r w:rsidRPr="00CC7191">
        <w:rPr>
          <w:rFonts w:eastAsiaTheme="minorEastAsia"/>
          <w:kern w:val="24"/>
          <w:lang w:val="en-US"/>
        </w:rPr>
        <w:t>valdymo</w:t>
      </w:r>
      <w:proofErr w:type="spellEnd"/>
      <w:r w:rsidRPr="00CC7191">
        <w:rPr>
          <w:rFonts w:eastAsiaTheme="minorEastAsia"/>
          <w:kern w:val="24"/>
          <w:lang w:val="en-US"/>
        </w:rPr>
        <w:t xml:space="preserve"> </w:t>
      </w:r>
      <w:proofErr w:type="spellStart"/>
      <w:r w:rsidRPr="00CC7191">
        <w:rPr>
          <w:rFonts w:eastAsiaTheme="minorEastAsia"/>
          <w:kern w:val="24"/>
          <w:lang w:val="en-US"/>
        </w:rPr>
        <w:t>informacinė</w:t>
      </w:r>
      <w:proofErr w:type="spellEnd"/>
      <w:r w:rsidRPr="00CC7191">
        <w:rPr>
          <w:rFonts w:eastAsiaTheme="minorEastAsia"/>
          <w:kern w:val="24"/>
          <w:lang w:val="en-US"/>
        </w:rPr>
        <w:t xml:space="preserve"> </w:t>
      </w:r>
      <w:proofErr w:type="spellStart"/>
      <w:r w:rsidRPr="00CC7191">
        <w:rPr>
          <w:rFonts w:eastAsiaTheme="minorEastAsia"/>
          <w:kern w:val="24"/>
          <w:lang w:val="en-US"/>
        </w:rPr>
        <w:t>sistema</w:t>
      </w:r>
      <w:proofErr w:type="spellEnd"/>
    </w:p>
    <w:p w14:paraId="27F1792F" w14:textId="77777777" w:rsidR="003037C7" w:rsidRDefault="003037C7" w:rsidP="003037C7">
      <w:pPr>
        <w:pStyle w:val="prastasiniatinklio"/>
        <w:spacing w:before="0" w:beforeAutospacing="0" w:after="0" w:afterAutospacing="0"/>
        <w:rPr>
          <w:rFonts w:eastAsiaTheme="minorEastAsia"/>
          <w:b/>
          <w:bCs/>
          <w:color w:val="17365D" w:themeColor="text2" w:themeShade="BF"/>
          <w:kern w:val="24"/>
          <w:lang w:val="en-US"/>
        </w:rPr>
      </w:pPr>
    </w:p>
    <w:p w14:paraId="75C2D27E" w14:textId="77777777" w:rsidR="003037C7" w:rsidRDefault="003037C7" w:rsidP="003037C7">
      <w:pPr>
        <w:pStyle w:val="prastasiniatinklio"/>
        <w:spacing w:before="0" w:beforeAutospacing="0" w:after="0" w:afterAutospacing="0"/>
        <w:rPr>
          <w:rFonts w:eastAsiaTheme="minorEastAsia"/>
          <w:b/>
          <w:bCs/>
          <w:color w:val="17365D" w:themeColor="text2" w:themeShade="BF"/>
          <w:kern w:val="24"/>
          <w:lang w:val="en-US"/>
        </w:rPr>
      </w:pPr>
    </w:p>
    <w:p w14:paraId="4E12247B" w14:textId="77777777" w:rsidR="003037C7" w:rsidRDefault="003037C7" w:rsidP="003037C7">
      <w:pPr>
        <w:pStyle w:val="prastasiniatinklio"/>
        <w:spacing w:before="0" w:beforeAutospacing="0" w:after="0" w:afterAutospacing="0"/>
        <w:jc w:val="center"/>
        <w:rPr>
          <w:rFonts w:eastAsiaTheme="minorEastAsia"/>
          <w:b/>
          <w:bCs/>
          <w:color w:val="17365D" w:themeColor="text2" w:themeShade="BF"/>
          <w:kern w:val="24"/>
        </w:rPr>
      </w:pPr>
      <w:r>
        <w:rPr>
          <w:rFonts w:eastAsiaTheme="minorEastAsia"/>
          <w:b/>
          <w:bCs/>
          <w:color w:val="17365D" w:themeColor="text2" w:themeShade="BF"/>
          <w:kern w:val="24"/>
          <w:lang w:val="en-US"/>
        </w:rPr>
        <w:t xml:space="preserve">2 pav. </w:t>
      </w:r>
      <w:r w:rsidRPr="00C6614E">
        <w:rPr>
          <w:rFonts w:eastAsiaTheme="minorEastAsia"/>
          <w:b/>
          <w:bCs/>
          <w:color w:val="17365D" w:themeColor="text2" w:themeShade="BF"/>
          <w:kern w:val="24"/>
          <w:lang w:val="en-US"/>
        </w:rPr>
        <w:t>U</w:t>
      </w:r>
      <w:proofErr w:type="spellStart"/>
      <w:r w:rsidRPr="00C6614E">
        <w:rPr>
          <w:rFonts w:eastAsiaTheme="minorEastAsia"/>
          <w:b/>
          <w:bCs/>
          <w:color w:val="17365D" w:themeColor="text2" w:themeShade="BF"/>
          <w:kern w:val="24"/>
          <w:lang w:val="lt-LT"/>
        </w:rPr>
        <w:t>žimtos</w:t>
      </w:r>
      <w:proofErr w:type="spellEnd"/>
      <w:r w:rsidRPr="00C6614E">
        <w:rPr>
          <w:rFonts w:eastAsiaTheme="minorEastAsia"/>
          <w:b/>
          <w:bCs/>
          <w:color w:val="17365D" w:themeColor="text2" w:themeShade="BF"/>
          <w:kern w:val="24"/>
          <w:lang w:val="lt-LT"/>
        </w:rPr>
        <w:t xml:space="preserve"> </w:t>
      </w:r>
      <w:r>
        <w:rPr>
          <w:rFonts w:eastAsiaTheme="minorEastAsia"/>
          <w:b/>
          <w:bCs/>
          <w:color w:val="17365D" w:themeColor="text2" w:themeShade="BF"/>
          <w:kern w:val="24"/>
          <w:lang w:val="lt-LT"/>
        </w:rPr>
        <w:t>COVID</w:t>
      </w:r>
      <w:r w:rsidRPr="00C6614E">
        <w:rPr>
          <w:rFonts w:eastAsiaTheme="minorEastAsia"/>
          <w:b/>
          <w:bCs/>
          <w:color w:val="17365D" w:themeColor="text2" w:themeShade="BF"/>
          <w:kern w:val="24"/>
          <w:lang w:val="lt-LT"/>
        </w:rPr>
        <w:t>-</w:t>
      </w:r>
      <w:r w:rsidRPr="00C6614E">
        <w:rPr>
          <w:rFonts w:eastAsiaTheme="minorEastAsia"/>
          <w:b/>
          <w:bCs/>
          <w:color w:val="17365D" w:themeColor="text2" w:themeShade="BF"/>
          <w:kern w:val="24"/>
        </w:rPr>
        <w:t xml:space="preserve">19 </w:t>
      </w:r>
      <w:proofErr w:type="spellStart"/>
      <w:r w:rsidRPr="00C6614E">
        <w:rPr>
          <w:rFonts w:eastAsiaTheme="minorEastAsia"/>
          <w:b/>
          <w:bCs/>
          <w:color w:val="17365D" w:themeColor="text2" w:themeShade="BF"/>
          <w:kern w:val="24"/>
        </w:rPr>
        <w:t>gydymui</w:t>
      </w:r>
      <w:proofErr w:type="spellEnd"/>
      <w:r w:rsidRPr="00C6614E">
        <w:rPr>
          <w:rFonts w:eastAsiaTheme="minorEastAsia"/>
          <w:b/>
          <w:bCs/>
          <w:color w:val="17365D" w:themeColor="text2" w:themeShade="BF"/>
          <w:kern w:val="24"/>
        </w:rPr>
        <w:t xml:space="preserve"> </w:t>
      </w:r>
      <w:proofErr w:type="spellStart"/>
      <w:r w:rsidRPr="00C6614E">
        <w:rPr>
          <w:rFonts w:eastAsiaTheme="minorEastAsia"/>
          <w:b/>
          <w:bCs/>
          <w:color w:val="17365D" w:themeColor="text2" w:themeShade="BF"/>
          <w:kern w:val="24"/>
        </w:rPr>
        <w:t>skirtos</w:t>
      </w:r>
      <w:proofErr w:type="spellEnd"/>
      <w:r w:rsidRPr="00C6614E">
        <w:rPr>
          <w:rFonts w:eastAsiaTheme="minorEastAsia"/>
          <w:b/>
          <w:bCs/>
          <w:color w:val="17365D" w:themeColor="text2" w:themeShade="BF"/>
          <w:kern w:val="24"/>
        </w:rPr>
        <w:t xml:space="preserve"> </w:t>
      </w:r>
      <w:proofErr w:type="spellStart"/>
      <w:r w:rsidRPr="00C6614E">
        <w:rPr>
          <w:rFonts w:eastAsiaTheme="minorEastAsia"/>
          <w:b/>
          <w:bCs/>
          <w:color w:val="17365D" w:themeColor="text2" w:themeShade="BF"/>
          <w:kern w:val="24"/>
        </w:rPr>
        <w:t>lovos</w:t>
      </w:r>
      <w:proofErr w:type="spellEnd"/>
      <w:r>
        <w:rPr>
          <w:rFonts w:eastAsiaTheme="minorEastAsia"/>
          <w:b/>
          <w:bCs/>
          <w:color w:val="17365D" w:themeColor="text2" w:themeShade="BF"/>
          <w:kern w:val="24"/>
        </w:rPr>
        <w:t xml:space="preserve">, </w:t>
      </w:r>
      <w:proofErr w:type="spellStart"/>
      <w:r>
        <w:rPr>
          <w:rFonts w:eastAsiaTheme="minorEastAsia"/>
          <w:b/>
          <w:bCs/>
          <w:color w:val="17365D" w:themeColor="text2" w:themeShade="BF"/>
          <w:kern w:val="24"/>
        </w:rPr>
        <w:t>vnt</w:t>
      </w:r>
      <w:proofErr w:type="spellEnd"/>
      <w:r>
        <w:rPr>
          <w:rFonts w:eastAsiaTheme="minorEastAsia"/>
          <w:b/>
          <w:bCs/>
          <w:color w:val="17365D" w:themeColor="text2" w:themeShade="BF"/>
          <w:kern w:val="24"/>
        </w:rPr>
        <w:t>.</w:t>
      </w:r>
    </w:p>
    <w:p w14:paraId="290E7480" w14:textId="77777777" w:rsidR="003037C7" w:rsidRPr="00C6614E" w:rsidRDefault="003037C7" w:rsidP="003037C7">
      <w:pPr>
        <w:pStyle w:val="prastasiniatinklio"/>
        <w:spacing w:before="0" w:beforeAutospacing="0" w:after="0" w:afterAutospacing="0"/>
        <w:jc w:val="center"/>
        <w:rPr>
          <w:b/>
          <w:bCs/>
          <w:color w:val="17365D" w:themeColor="text2" w:themeShade="BF"/>
        </w:rPr>
      </w:pPr>
    </w:p>
    <w:p w14:paraId="2A9828F8" w14:textId="77777777" w:rsidR="003037C7" w:rsidRPr="00D97D49" w:rsidRDefault="003037C7" w:rsidP="003037C7">
      <w:pPr>
        <w:jc w:val="center"/>
        <w:rPr>
          <w:iCs/>
          <w:color w:val="000000"/>
          <w:spacing w:val="2"/>
          <w:shd w:val="clear" w:color="auto" w:fill="FFFFFF"/>
        </w:rPr>
      </w:pPr>
      <w:r>
        <w:rPr>
          <w:noProof/>
        </w:rPr>
        <w:drawing>
          <wp:inline distT="0" distB="0" distL="0" distR="0" wp14:anchorId="2F2F61A7" wp14:editId="47C2078E">
            <wp:extent cx="6339840" cy="2743200"/>
            <wp:effectExtent l="0" t="0" r="3810" b="0"/>
            <wp:docPr id="1" name="Diagrama 1">
              <a:extLst xmlns:a="http://schemas.openxmlformats.org/drawingml/2006/main">
                <a:ext uri="{FF2B5EF4-FFF2-40B4-BE49-F238E27FC236}">
                  <a16:creationId xmlns:a16="http://schemas.microsoft.com/office/drawing/2014/main" id="{B41DECC0-E19B-4801-B8EB-D7FD6FBC070E}"/>
                </a:ext>
              </a:extLst>
            </wp:docPr>
            <wp:cNvGraphicFramePr/>
            <a:graphic xmlns:a="http://schemas.openxmlformats.org/drawingml/2006/main">
              <a:graphicData uri="http://schemas.openxmlformats.org/drawingml/2006/chart">
                <c:chart xmlns:c="http://schemas.openxmlformats.org/drawingml/2006/chart" r:id="rId9"/>
              </a:graphicData>
            </a:graphic>
          </wp:inline>
        </w:drawing>
      </w:r>
    </w:p>
    <w:p w14:paraId="2A687D19" w14:textId="77777777" w:rsidR="003037C7" w:rsidRPr="003659AD" w:rsidRDefault="003037C7" w:rsidP="003037C7">
      <w:pPr>
        <w:spacing w:line="276" w:lineRule="auto"/>
        <w:jc w:val="center"/>
        <w:rPr>
          <w:szCs w:val="24"/>
          <w:lang w:val="en-US"/>
        </w:rPr>
      </w:pPr>
      <w:proofErr w:type="spellStart"/>
      <w:r w:rsidRPr="003659AD">
        <w:rPr>
          <w:szCs w:val="24"/>
          <w:lang w:val="en-US"/>
        </w:rPr>
        <w:t>Duomenų</w:t>
      </w:r>
      <w:proofErr w:type="spellEnd"/>
      <w:r w:rsidRPr="003659AD">
        <w:rPr>
          <w:szCs w:val="24"/>
          <w:lang w:val="en-US"/>
        </w:rPr>
        <w:t xml:space="preserve"> </w:t>
      </w:r>
      <w:proofErr w:type="spellStart"/>
      <w:r w:rsidRPr="003659AD">
        <w:rPr>
          <w:szCs w:val="24"/>
          <w:lang w:val="en-US"/>
        </w:rPr>
        <w:t>šaltinis</w:t>
      </w:r>
      <w:proofErr w:type="spellEnd"/>
      <w:r w:rsidRPr="003659AD">
        <w:rPr>
          <w:szCs w:val="24"/>
          <w:lang w:val="en-US"/>
        </w:rPr>
        <w:t xml:space="preserve"> </w:t>
      </w:r>
      <w:r>
        <w:rPr>
          <w:szCs w:val="24"/>
          <w:lang w:val="en-US"/>
        </w:rPr>
        <w:t>–</w:t>
      </w:r>
      <w:r w:rsidRPr="00CC7191">
        <w:rPr>
          <w:rFonts w:eastAsiaTheme="minorEastAsia"/>
          <w:kern w:val="24"/>
          <w:lang w:val="en-US"/>
        </w:rPr>
        <w:t xml:space="preserve"> </w:t>
      </w:r>
      <w:proofErr w:type="spellStart"/>
      <w:r w:rsidRPr="00CC7191">
        <w:rPr>
          <w:rFonts w:eastAsiaTheme="minorEastAsia"/>
          <w:kern w:val="24"/>
          <w:lang w:val="en-US"/>
        </w:rPr>
        <w:t>Valstybės</w:t>
      </w:r>
      <w:proofErr w:type="spellEnd"/>
      <w:r w:rsidRPr="00CC7191">
        <w:rPr>
          <w:rFonts w:eastAsiaTheme="minorEastAsia"/>
          <w:kern w:val="24"/>
          <w:lang w:val="en-US"/>
        </w:rPr>
        <w:t xml:space="preserve"> </w:t>
      </w:r>
      <w:proofErr w:type="spellStart"/>
      <w:r w:rsidRPr="00CC7191">
        <w:rPr>
          <w:rFonts w:eastAsiaTheme="minorEastAsia"/>
          <w:kern w:val="24"/>
          <w:lang w:val="en-US"/>
        </w:rPr>
        <w:t>duomenų</w:t>
      </w:r>
      <w:proofErr w:type="spellEnd"/>
      <w:r w:rsidRPr="00CC7191">
        <w:rPr>
          <w:rFonts w:eastAsiaTheme="minorEastAsia"/>
          <w:kern w:val="24"/>
          <w:lang w:val="en-US"/>
        </w:rPr>
        <w:t xml:space="preserve"> </w:t>
      </w:r>
      <w:proofErr w:type="spellStart"/>
      <w:r w:rsidRPr="00CC7191">
        <w:rPr>
          <w:rFonts w:eastAsiaTheme="minorEastAsia"/>
          <w:kern w:val="24"/>
          <w:lang w:val="en-US"/>
        </w:rPr>
        <w:t>valdymo</w:t>
      </w:r>
      <w:proofErr w:type="spellEnd"/>
      <w:r w:rsidRPr="00CC7191">
        <w:rPr>
          <w:rFonts w:eastAsiaTheme="minorEastAsia"/>
          <w:kern w:val="24"/>
          <w:lang w:val="en-US"/>
        </w:rPr>
        <w:t xml:space="preserve"> </w:t>
      </w:r>
      <w:proofErr w:type="spellStart"/>
      <w:r w:rsidRPr="00CC7191">
        <w:rPr>
          <w:rFonts w:eastAsiaTheme="minorEastAsia"/>
          <w:kern w:val="24"/>
          <w:lang w:val="en-US"/>
        </w:rPr>
        <w:t>informacinė</w:t>
      </w:r>
      <w:proofErr w:type="spellEnd"/>
      <w:r w:rsidRPr="00CC7191">
        <w:rPr>
          <w:rFonts w:eastAsiaTheme="minorEastAsia"/>
          <w:kern w:val="24"/>
          <w:lang w:val="en-US"/>
        </w:rPr>
        <w:t xml:space="preserve"> </w:t>
      </w:r>
      <w:proofErr w:type="spellStart"/>
      <w:r w:rsidRPr="00CC7191">
        <w:rPr>
          <w:rFonts w:eastAsiaTheme="minorEastAsia"/>
          <w:kern w:val="24"/>
          <w:lang w:val="en-US"/>
        </w:rPr>
        <w:t>sistema</w:t>
      </w:r>
      <w:proofErr w:type="spellEnd"/>
    </w:p>
    <w:p w14:paraId="0593FB1B" w14:textId="77777777" w:rsidR="003037C7" w:rsidRDefault="003037C7" w:rsidP="003037C7">
      <w:pPr>
        <w:spacing w:line="276" w:lineRule="auto"/>
        <w:ind w:firstLine="142"/>
        <w:jc w:val="center"/>
        <w:rPr>
          <w:b/>
          <w:bCs/>
          <w:color w:val="17365D" w:themeColor="text2" w:themeShade="BF"/>
          <w:szCs w:val="24"/>
          <w:lang w:val="en-US"/>
        </w:rPr>
      </w:pPr>
    </w:p>
    <w:p w14:paraId="1914F82D" w14:textId="77777777" w:rsidR="003037C7" w:rsidRDefault="003037C7" w:rsidP="003037C7">
      <w:pPr>
        <w:spacing w:line="276" w:lineRule="auto"/>
        <w:ind w:firstLine="142"/>
        <w:jc w:val="center"/>
        <w:rPr>
          <w:b/>
          <w:bCs/>
          <w:color w:val="17365D" w:themeColor="text2" w:themeShade="BF"/>
          <w:szCs w:val="24"/>
          <w:lang w:val="en-US"/>
        </w:rPr>
      </w:pPr>
    </w:p>
    <w:p w14:paraId="5481A71F" w14:textId="77777777" w:rsidR="003037C7" w:rsidRDefault="003037C7" w:rsidP="003037C7">
      <w:pPr>
        <w:spacing w:line="276" w:lineRule="auto"/>
        <w:ind w:firstLine="142"/>
        <w:jc w:val="center"/>
        <w:rPr>
          <w:b/>
          <w:bCs/>
          <w:color w:val="17365D" w:themeColor="text2" w:themeShade="BF"/>
          <w:szCs w:val="24"/>
          <w:lang w:val="en-US"/>
        </w:rPr>
      </w:pPr>
    </w:p>
    <w:p w14:paraId="0CF522C3" w14:textId="77777777" w:rsidR="003037C7" w:rsidRDefault="003037C7" w:rsidP="003037C7">
      <w:pPr>
        <w:spacing w:line="276" w:lineRule="auto"/>
        <w:ind w:firstLine="142"/>
        <w:jc w:val="center"/>
        <w:rPr>
          <w:b/>
          <w:bCs/>
          <w:color w:val="17365D" w:themeColor="text2" w:themeShade="BF"/>
          <w:szCs w:val="24"/>
          <w:lang w:val="en-US"/>
        </w:rPr>
      </w:pPr>
    </w:p>
    <w:p w14:paraId="334345CB" w14:textId="77777777" w:rsidR="003037C7" w:rsidRDefault="003037C7" w:rsidP="003037C7">
      <w:pPr>
        <w:spacing w:line="276" w:lineRule="auto"/>
        <w:ind w:firstLine="142"/>
        <w:jc w:val="center"/>
        <w:rPr>
          <w:b/>
          <w:bCs/>
          <w:color w:val="17365D" w:themeColor="text2" w:themeShade="BF"/>
          <w:szCs w:val="24"/>
          <w:lang w:val="en-US"/>
        </w:rPr>
      </w:pPr>
    </w:p>
    <w:p w14:paraId="36D94401" w14:textId="77777777" w:rsidR="003037C7" w:rsidRDefault="003037C7" w:rsidP="003037C7">
      <w:pPr>
        <w:spacing w:line="276" w:lineRule="auto"/>
        <w:ind w:firstLine="142"/>
        <w:jc w:val="center"/>
        <w:rPr>
          <w:b/>
          <w:bCs/>
          <w:color w:val="17365D" w:themeColor="text2" w:themeShade="BF"/>
          <w:szCs w:val="24"/>
          <w:lang w:val="en-US"/>
        </w:rPr>
      </w:pPr>
    </w:p>
    <w:p w14:paraId="4812AA3D" w14:textId="77777777" w:rsidR="003037C7" w:rsidRDefault="003037C7" w:rsidP="003037C7">
      <w:pPr>
        <w:spacing w:line="276" w:lineRule="auto"/>
        <w:ind w:firstLine="142"/>
        <w:jc w:val="center"/>
        <w:rPr>
          <w:b/>
          <w:bCs/>
          <w:color w:val="17365D" w:themeColor="text2" w:themeShade="BF"/>
          <w:szCs w:val="24"/>
          <w:lang w:val="en-US"/>
        </w:rPr>
      </w:pPr>
    </w:p>
    <w:p w14:paraId="0F19B1C4" w14:textId="77777777" w:rsidR="003037C7" w:rsidRDefault="003037C7" w:rsidP="003037C7">
      <w:pPr>
        <w:spacing w:line="276" w:lineRule="auto"/>
        <w:ind w:firstLine="142"/>
        <w:jc w:val="center"/>
        <w:rPr>
          <w:b/>
          <w:bCs/>
          <w:color w:val="17365D" w:themeColor="text2" w:themeShade="BF"/>
          <w:szCs w:val="24"/>
          <w:lang w:val="en-US"/>
        </w:rPr>
      </w:pPr>
    </w:p>
    <w:p w14:paraId="67C56A3E" w14:textId="77777777" w:rsidR="003037C7" w:rsidRDefault="003037C7" w:rsidP="003037C7">
      <w:pPr>
        <w:spacing w:line="276" w:lineRule="auto"/>
        <w:ind w:firstLine="142"/>
        <w:jc w:val="center"/>
        <w:rPr>
          <w:b/>
          <w:bCs/>
          <w:color w:val="17365D" w:themeColor="text2" w:themeShade="BF"/>
          <w:szCs w:val="24"/>
          <w:lang w:val="en-US"/>
        </w:rPr>
      </w:pPr>
    </w:p>
    <w:p w14:paraId="1B89B5A6" w14:textId="77777777" w:rsidR="003037C7" w:rsidRDefault="003037C7" w:rsidP="003037C7">
      <w:pPr>
        <w:spacing w:line="276" w:lineRule="auto"/>
        <w:ind w:firstLine="142"/>
        <w:jc w:val="center"/>
        <w:rPr>
          <w:b/>
          <w:bCs/>
          <w:color w:val="17365D" w:themeColor="text2" w:themeShade="BF"/>
          <w:szCs w:val="24"/>
          <w:lang w:val="en-US"/>
        </w:rPr>
      </w:pPr>
    </w:p>
    <w:p w14:paraId="0D0A7514" w14:textId="77777777" w:rsidR="003037C7" w:rsidRDefault="003037C7" w:rsidP="003037C7">
      <w:pPr>
        <w:spacing w:line="276" w:lineRule="auto"/>
        <w:ind w:firstLine="142"/>
        <w:jc w:val="center"/>
        <w:rPr>
          <w:b/>
          <w:bCs/>
          <w:color w:val="17365D" w:themeColor="text2" w:themeShade="BF"/>
          <w:szCs w:val="24"/>
          <w:lang w:val="en-US"/>
        </w:rPr>
      </w:pPr>
    </w:p>
    <w:p w14:paraId="653A3696" w14:textId="77777777" w:rsidR="003037C7" w:rsidRDefault="003037C7" w:rsidP="003037C7">
      <w:pPr>
        <w:spacing w:line="276" w:lineRule="auto"/>
        <w:ind w:firstLine="142"/>
        <w:jc w:val="center"/>
        <w:rPr>
          <w:b/>
          <w:bCs/>
          <w:color w:val="17365D" w:themeColor="text2" w:themeShade="BF"/>
          <w:szCs w:val="24"/>
          <w:lang w:val="en-US"/>
        </w:rPr>
      </w:pPr>
    </w:p>
    <w:p w14:paraId="054D0CC9" w14:textId="77777777" w:rsidR="003037C7" w:rsidRDefault="003037C7" w:rsidP="003037C7">
      <w:pPr>
        <w:spacing w:line="276" w:lineRule="auto"/>
        <w:ind w:firstLine="142"/>
        <w:jc w:val="center"/>
        <w:rPr>
          <w:b/>
          <w:bCs/>
          <w:color w:val="17365D" w:themeColor="text2" w:themeShade="BF"/>
          <w:szCs w:val="24"/>
          <w:lang w:val="en-US"/>
        </w:rPr>
      </w:pPr>
    </w:p>
    <w:p w14:paraId="77F02AE5" w14:textId="77777777" w:rsidR="003037C7" w:rsidRDefault="003037C7" w:rsidP="003037C7">
      <w:pPr>
        <w:spacing w:line="276" w:lineRule="auto"/>
        <w:ind w:firstLine="142"/>
        <w:jc w:val="center"/>
        <w:rPr>
          <w:b/>
          <w:bCs/>
          <w:color w:val="17365D" w:themeColor="text2" w:themeShade="BF"/>
          <w:szCs w:val="24"/>
          <w:lang w:val="en-US"/>
        </w:rPr>
      </w:pPr>
    </w:p>
    <w:p w14:paraId="53AA9604" w14:textId="77777777" w:rsidR="003037C7" w:rsidRDefault="003037C7" w:rsidP="003037C7">
      <w:pPr>
        <w:spacing w:line="276" w:lineRule="auto"/>
        <w:ind w:firstLine="142"/>
        <w:jc w:val="center"/>
        <w:rPr>
          <w:b/>
          <w:bCs/>
          <w:color w:val="17365D" w:themeColor="text2" w:themeShade="BF"/>
          <w:szCs w:val="24"/>
          <w:lang w:val="en-US"/>
        </w:rPr>
      </w:pPr>
    </w:p>
    <w:p w14:paraId="5249F6FC" w14:textId="77777777" w:rsidR="003037C7" w:rsidRDefault="003037C7" w:rsidP="003037C7">
      <w:pPr>
        <w:spacing w:line="276" w:lineRule="auto"/>
        <w:ind w:firstLine="142"/>
        <w:jc w:val="center"/>
        <w:rPr>
          <w:b/>
          <w:bCs/>
          <w:color w:val="17365D" w:themeColor="text2" w:themeShade="BF"/>
          <w:szCs w:val="24"/>
          <w:lang w:val="en-US"/>
        </w:rPr>
      </w:pPr>
    </w:p>
    <w:p w14:paraId="7A951216" w14:textId="77777777" w:rsidR="003037C7" w:rsidRPr="00E430CE" w:rsidRDefault="003037C7" w:rsidP="003037C7">
      <w:pPr>
        <w:spacing w:line="276" w:lineRule="auto"/>
        <w:ind w:firstLine="142"/>
        <w:jc w:val="center"/>
        <w:rPr>
          <w:b/>
          <w:bCs/>
          <w:color w:val="17365D" w:themeColor="text2" w:themeShade="BF"/>
          <w:szCs w:val="24"/>
          <w:lang w:val="en-GB"/>
        </w:rPr>
      </w:pPr>
      <w:r>
        <w:rPr>
          <w:b/>
          <w:bCs/>
          <w:color w:val="17365D" w:themeColor="text2" w:themeShade="BF"/>
          <w:szCs w:val="24"/>
          <w:lang w:val="en-US"/>
        </w:rPr>
        <w:t xml:space="preserve">3 pav. </w:t>
      </w:r>
      <w:proofErr w:type="spellStart"/>
      <w:r w:rsidRPr="00E430CE">
        <w:rPr>
          <w:b/>
          <w:bCs/>
          <w:color w:val="17365D" w:themeColor="text2" w:themeShade="BF"/>
          <w:szCs w:val="24"/>
          <w:lang w:val="en-US"/>
        </w:rPr>
        <w:t>Mirtys</w:t>
      </w:r>
      <w:proofErr w:type="spellEnd"/>
      <w:r w:rsidRPr="00E430CE">
        <w:rPr>
          <w:b/>
          <w:bCs/>
          <w:color w:val="17365D" w:themeColor="text2" w:themeShade="BF"/>
          <w:szCs w:val="24"/>
          <w:lang w:val="en-US"/>
        </w:rPr>
        <w:t xml:space="preserve"> </w:t>
      </w:r>
      <w:proofErr w:type="spellStart"/>
      <w:r w:rsidRPr="00E430CE">
        <w:rPr>
          <w:b/>
          <w:bCs/>
          <w:color w:val="17365D" w:themeColor="text2" w:themeShade="BF"/>
          <w:szCs w:val="24"/>
          <w:lang w:val="en-US"/>
        </w:rPr>
        <w:t>Lietuvoje</w:t>
      </w:r>
      <w:proofErr w:type="spellEnd"/>
      <w:r w:rsidRPr="00E430CE">
        <w:rPr>
          <w:b/>
          <w:bCs/>
          <w:color w:val="17365D" w:themeColor="text2" w:themeShade="BF"/>
          <w:szCs w:val="24"/>
          <w:lang w:val="en-US"/>
        </w:rPr>
        <w:t xml:space="preserve"> </w:t>
      </w:r>
      <w:proofErr w:type="spellStart"/>
      <w:r w:rsidRPr="00E430CE">
        <w:rPr>
          <w:b/>
          <w:bCs/>
          <w:color w:val="17365D" w:themeColor="text2" w:themeShade="BF"/>
          <w:szCs w:val="24"/>
          <w:lang w:val="en-US"/>
        </w:rPr>
        <w:t>nuo</w:t>
      </w:r>
      <w:proofErr w:type="spellEnd"/>
      <w:r w:rsidRPr="00E430CE">
        <w:rPr>
          <w:b/>
          <w:bCs/>
          <w:color w:val="17365D" w:themeColor="text2" w:themeShade="BF"/>
          <w:szCs w:val="24"/>
          <w:lang w:val="en-US"/>
        </w:rPr>
        <w:t xml:space="preserve"> 2020 m. </w:t>
      </w:r>
      <w:proofErr w:type="spellStart"/>
      <w:r w:rsidRPr="00E430CE">
        <w:rPr>
          <w:b/>
          <w:bCs/>
          <w:color w:val="17365D" w:themeColor="text2" w:themeShade="BF"/>
          <w:szCs w:val="24"/>
          <w:lang w:val="en-US"/>
        </w:rPr>
        <w:t>pradžios</w:t>
      </w:r>
      <w:proofErr w:type="spellEnd"/>
      <w:r>
        <w:rPr>
          <w:b/>
          <w:bCs/>
          <w:color w:val="17365D" w:themeColor="text2" w:themeShade="BF"/>
          <w:szCs w:val="24"/>
          <w:lang w:val="en-US"/>
        </w:rPr>
        <w:t xml:space="preserve">, </w:t>
      </w:r>
      <w:proofErr w:type="spellStart"/>
      <w:r>
        <w:rPr>
          <w:b/>
          <w:bCs/>
          <w:color w:val="17365D" w:themeColor="text2" w:themeShade="BF"/>
          <w:szCs w:val="24"/>
          <w:lang w:val="en-US"/>
        </w:rPr>
        <w:t>atvejų</w:t>
      </w:r>
      <w:proofErr w:type="spellEnd"/>
      <w:r>
        <w:rPr>
          <w:b/>
          <w:bCs/>
          <w:color w:val="17365D" w:themeColor="text2" w:themeShade="BF"/>
          <w:szCs w:val="24"/>
          <w:lang w:val="en-US"/>
        </w:rPr>
        <w:t xml:space="preserve"> </w:t>
      </w:r>
      <w:proofErr w:type="spellStart"/>
      <w:r>
        <w:rPr>
          <w:b/>
          <w:bCs/>
          <w:color w:val="17365D" w:themeColor="text2" w:themeShade="BF"/>
          <w:szCs w:val="24"/>
          <w:lang w:val="en-US"/>
        </w:rPr>
        <w:t>skaičius</w:t>
      </w:r>
      <w:proofErr w:type="spellEnd"/>
      <w:r>
        <w:rPr>
          <w:b/>
          <w:bCs/>
          <w:color w:val="17365D" w:themeColor="text2" w:themeShade="BF"/>
          <w:szCs w:val="24"/>
          <w:lang w:val="en-US"/>
        </w:rPr>
        <w:t xml:space="preserve"> per </w:t>
      </w:r>
      <w:proofErr w:type="spellStart"/>
      <w:r>
        <w:rPr>
          <w:b/>
          <w:bCs/>
          <w:color w:val="17365D" w:themeColor="text2" w:themeShade="BF"/>
          <w:szCs w:val="24"/>
          <w:lang w:val="en-US"/>
        </w:rPr>
        <w:t>dieną</w:t>
      </w:r>
      <w:proofErr w:type="spellEnd"/>
    </w:p>
    <w:p w14:paraId="43E3CF73" w14:textId="77777777" w:rsidR="003037C7" w:rsidRPr="00FE1A20" w:rsidRDefault="003037C7" w:rsidP="003037C7">
      <w:pPr>
        <w:spacing w:line="276" w:lineRule="auto"/>
        <w:ind w:firstLine="851"/>
        <w:jc w:val="both"/>
        <w:rPr>
          <w:szCs w:val="24"/>
        </w:rPr>
      </w:pPr>
    </w:p>
    <w:p w14:paraId="159A598E" w14:textId="77777777" w:rsidR="003037C7" w:rsidRDefault="003037C7" w:rsidP="003037C7">
      <w:pPr>
        <w:keepNext/>
        <w:jc w:val="both"/>
        <w:rPr>
          <w:szCs w:val="24"/>
        </w:rPr>
      </w:pPr>
      <w:r>
        <w:rPr>
          <w:noProof/>
        </w:rPr>
        <w:drawing>
          <wp:inline distT="0" distB="0" distL="0" distR="0" wp14:anchorId="79A89BCA" wp14:editId="546D7FFB">
            <wp:extent cx="6383020" cy="3031490"/>
            <wp:effectExtent l="0" t="0" r="17780" b="16510"/>
            <wp:docPr id="3" name="Diagrama 3">
              <a:extLst xmlns:a="http://schemas.openxmlformats.org/drawingml/2006/main">
                <a:ext uri="{FF2B5EF4-FFF2-40B4-BE49-F238E27FC236}">
                  <a16:creationId xmlns:a16="http://schemas.microsoft.com/office/drawing/2014/main" id="{98D1428D-ADA4-4450-8114-6569C9022D98}"/>
                </a:ext>
              </a:extLst>
            </wp:docPr>
            <wp:cNvGraphicFramePr/>
            <a:graphic xmlns:a="http://schemas.openxmlformats.org/drawingml/2006/main">
              <a:graphicData uri="http://schemas.openxmlformats.org/drawingml/2006/chart">
                <c:chart xmlns:c="http://schemas.openxmlformats.org/drawingml/2006/chart" r:id="rId10"/>
              </a:graphicData>
            </a:graphic>
          </wp:inline>
        </w:drawing>
      </w:r>
    </w:p>
    <w:p w14:paraId="5D6A49D7" w14:textId="77777777" w:rsidR="003037C7" w:rsidRDefault="003037C7" w:rsidP="003037C7">
      <w:pPr>
        <w:keepNext/>
        <w:ind w:firstLine="618"/>
        <w:jc w:val="both"/>
        <w:rPr>
          <w:szCs w:val="24"/>
        </w:rPr>
      </w:pPr>
    </w:p>
    <w:p w14:paraId="519FB238" w14:textId="77777777" w:rsidR="003037C7" w:rsidRPr="0084565A" w:rsidRDefault="003037C7" w:rsidP="003037C7">
      <w:pPr>
        <w:keepNext/>
        <w:jc w:val="center"/>
        <w:rPr>
          <w:szCs w:val="24"/>
        </w:rPr>
      </w:pPr>
      <w:r w:rsidRPr="0084565A">
        <w:rPr>
          <w:szCs w:val="24"/>
        </w:rPr>
        <w:t xml:space="preserve">Duomenų šaltinis </w:t>
      </w:r>
      <w:r>
        <w:rPr>
          <w:szCs w:val="24"/>
        </w:rPr>
        <w:t>–</w:t>
      </w:r>
      <w:r w:rsidRPr="0084565A">
        <w:rPr>
          <w:szCs w:val="24"/>
        </w:rPr>
        <w:t xml:space="preserve"> </w:t>
      </w:r>
      <w:proofErr w:type="spellStart"/>
      <w:r w:rsidRPr="00CC7191">
        <w:rPr>
          <w:rFonts w:eastAsiaTheme="minorEastAsia"/>
          <w:kern w:val="24"/>
          <w:lang w:val="en-US"/>
        </w:rPr>
        <w:t>Valstybės</w:t>
      </w:r>
      <w:proofErr w:type="spellEnd"/>
      <w:r w:rsidRPr="00CC7191">
        <w:rPr>
          <w:rFonts w:eastAsiaTheme="minorEastAsia"/>
          <w:kern w:val="24"/>
          <w:lang w:val="en-US"/>
        </w:rPr>
        <w:t xml:space="preserve"> </w:t>
      </w:r>
      <w:proofErr w:type="spellStart"/>
      <w:r w:rsidRPr="00CC7191">
        <w:rPr>
          <w:rFonts w:eastAsiaTheme="minorEastAsia"/>
          <w:kern w:val="24"/>
          <w:lang w:val="en-US"/>
        </w:rPr>
        <w:t>duomenų</w:t>
      </w:r>
      <w:proofErr w:type="spellEnd"/>
      <w:r w:rsidRPr="00CC7191">
        <w:rPr>
          <w:rFonts w:eastAsiaTheme="minorEastAsia"/>
          <w:kern w:val="24"/>
          <w:lang w:val="en-US"/>
        </w:rPr>
        <w:t xml:space="preserve"> </w:t>
      </w:r>
      <w:proofErr w:type="spellStart"/>
      <w:r w:rsidRPr="00CC7191">
        <w:rPr>
          <w:rFonts w:eastAsiaTheme="minorEastAsia"/>
          <w:kern w:val="24"/>
          <w:lang w:val="en-US"/>
        </w:rPr>
        <w:t>valdymo</w:t>
      </w:r>
      <w:proofErr w:type="spellEnd"/>
      <w:r w:rsidRPr="00CC7191">
        <w:rPr>
          <w:rFonts w:eastAsiaTheme="minorEastAsia"/>
          <w:kern w:val="24"/>
          <w:lang w:val="en-US"/>
        </w:rPr>
        <w:t xml:space="preserve"> </w:t>
      </w:r>
      <w:proofErr w:type="spellStart"/>
      <w:r w:rsidRPr="00CC7191">
        <w:rPr>
          <w:rFonts w:eastAsiaTheme="minorEastAsia"/>
          <w:kern w:val="24"/>
          <w:lang w:val="en-US"/>
        </w:rPr>
        <w:t>informacinė</w:t>
      </w:r>
      <w:proofErr w:type="spellEnd"/>
      <w:r w:rsidRPr="00CC7191">
        <w:rPr>
          <w:rFonts w:eastAsiaTheme="minorEastAsia"/>
          <w:kern w:val="24"/>
          <w:lang w:val="en-US"/>
        </w:rPr>
        <w:t xml:space="preserve"> </w:t>
      </w:r>
      <w:proofErr w:type="spellStart"/>
      <w:r w:rsidRPr="00CC7191">
        <w:rPr>
          <w:rFonts w:eastAsiaTheme="minorEastAsia"/>
          <w:kern w:val="24"/>
          <w:lang w:val="en-US"/>
        </w:rPr>
        <w:t>sistema</w:t>
      </w:r>
      <w:proofErr w:type="spellEnd"/>
    </w:p>
    <w:p w14:paraId="7684E482" w14:textId="77777777" w:rsidR="003037C7" w:rsidRDefault="003037C7" w:rsidP="003037C7">
      <w:pPr>
        <w:keepNext/>
        <w:jc w:val="both"/>
        <w:rPr>
          <w:szCs w:val="24"/>
        </w:rPr>
      </w:pPr>
    </w:p>
    <w:p w14:paraId="633F4B15" w14:textId="77777777" w:rsidR="003037C7" w:rsidRDefault="003037C7" w:rsidP="003037C7">
      <w:pPr>
        <w:spacing w:line="276" w:lineRule="auto"/>
        <w:ind w:firstLine="709"/>
        <w:jc w:val="both"/>
        <w:rPr>
          <w:rFonts w:cstheme="minorHAnsi"/>
          <w:color w:val="000000" w:themeColor="text1"/>
        </w:rPr>
      </w:pPr>
    </w:p>
    <w:p w14:paraId="0E304836" w14:textId="77777777" w:rsidR="003037C7" w:rsidRPr="0044582D" w:rsidRDefault="003037C7" w:rsidP="003037C7">
      <w:pPr>
        <w:pStyle w:val="Antrat1"/>
        <w:numPr>
          <w:ilvl w:val="1"/>
          <w:numId w:val="27"/>
        </w:numPr>
        <w:ind w:firstLine="349"/>
        <w:jc w:val="left"/>
        <w:rPr>
          <w:color w:val="17365D" w:themeColor="text2" w:themeShade="BF"/>
        </w:rPr>
      </w:pPr>
      <w:bookmarkStart w:id="5" w:name="_Toc68079176"/>
      <w:r w:rsidRPr="00EB182D">
        <w:rPr>
          <w:color w:val="17365D" w:themeColor="text2" w:themeShade="BF"/>
          <w:kern w:val="24"/>
          <w:szCs w:val="24"/>
        </w:rPr>
        <w:t>Valstybės lygio ekstremaliosios situacijos valdymas</w:t>
      </w:r>
      <w:bookmarkEnd w:id="5"/>
      <w:r w:rsidRPr="00EB182D">
        <w:rPr>
          <w:color w:val="17365D" w:themeColor="text2" w:themeShade="BF"/>
          <w:kern w:val="24"/>
          <w:szCs w:val="24"/>
        </w:rPr>
        <w:t xml:space="preserve"> </w:t>
      </w:r>
    </w:p>
    <w:p w14:paraId="6D4F0273" w14:textId="77777777" w:rsidR="003037C7" w:rsidRDefault="003037C7" w:rsidP="003037C7">
      <w:pPr>
        <w:keepNext/>
        <w:spacing w:line="276" w:lineRule="auto"/>
        <w:ind w:firstLine="720"/>
        <w:jc w:val="both"/>
        <w:rPr>
          <w:rFonts w:cstheme="minorHAnsi"/>
        </w:rPr>
      </w:pPr>
    </w:p>
    <w:p w14:paraId="0B1DF6E2" w14:textId="77777777" w:rsidR="003037C7" w:rsidRDefault="003037C7" w:rsidP="003037C7">
      <w:pPr>
        <w:spacing w:line="276" w:lineRule="auto"/>
        <w:ind w:firstLine="709"/>
        <w:jc w:val="both"/>
      </w:pPr>
      <w:r>
        <w:t>Aštuonioliktoji Vyriausybė COVID-19 pandemijai valdyti pasirinko remtis statistinių ir analitinių duomenų apie epidemiologinę situaciją šalyje analize, kuri, be kita ko, yra viešai prieinama ir pateikiama visuomenei (</w:t>
      </w:r>
      <w:hyperlink r:id="rId11" w:history="1">
        <w:r w:rsidRPr="006C6FF6">
          <w:rPr>
            <w:rStyle w:val="Hipersaitas"/>
          </w:rPr>
          <w:t>https://koronastop.lrv.lt/</w:t>
        </w:r>
      </w:hyperlink>
      <w:r>
        <w:t xml:space="preserve"> ir </w:t>
      </w:r>
      <w:hyperlink r:id="rId12" w:history="1">
        <w:r w:rsidRPr="006C6FF6">
          <w:rPr>
            <w:rStyle w:val="Hipersaitas"/>
          </w:rPr>
          <w:t>https://osp.stat.gov.lt/praejusios-paros-covid-19-statistika</w:t>
        </w:r>
      </w:hyperlink>
      <w:r w:rsidRPr="00BA0101">
        <w:rPr>
          <w:rStyle w:val="Hipersaitas"/>
          <w:color w:val="auto"/>
          <w:u w:val="none"/>
        </w:rPr>
        <w:t>).</w:t>
      </w:r>
      <w:r>
        <w:t xml:space="preserve"> Šių duomenų pagrindu sprendimus dėl karantino režimo priemonių grindžia ne tik valstybės institucijos, bet ir situaciją vertinantys bei rekomendacijas teikiantys nepriklausomi ekspertai.</w:t>
      </w:r>
    </w:p>
    <w:p w14:paraId="1794EE62" w14:textId="77777777" w:rsidR="003037C7" w:rsidRPr="005E2FB8" w:rsidRDefault="003037C7" w:rsidP="003037C7">
      <w:pPr>
        <w:spacing w:line="276" w:lineRule="auto"/>
        <w:ind w:firstLine="720"/>
        <w:jc w:val="both"/>
      </w:pPr>
      <w:r>
        <w:t>Vyriausybė</w:t>
      </w:r>
      <w:r w:rsidRPr="005E2FB8">
        <w:t xml:space="preserve"> sustiprin</w:t>
      </w:r>
      <w:r>
        <w:t>o</w:t>
      </w:r>
      <w:r w:rsidRPr="005E2FB8">
        <w:t xml:space="preserve"> </w:t>
      </w:r>
      <w:r w:rsidRPr="004D075A">
        <w:t>Vyriausybės ekstremalių situacijų komisijos,</w:t>
      </w:r>
      <w:r w:rsidRPr="005E2FB8">
        <w:t xml:space="preserve"> kuriai pagal </w:t>
      </w:r>
      <w:r>
        <w:t>C</w:t>
      </w:r>
      <w:r w:rsidRPr="005E2FB8">
        <w:t>ivilinės saugos įstatymą pavesta priimti sprendimus ir teikti Vyriausybei siūlymus, reikalingus gresiančiai ar susidariusiai ekstremaliajai situacijai valdyti, institucin</w:t>
      </w:r>
      <w:r>
        <w:t>į</w:t>
      </w:r>
      <w:r w:rsidRPr="005E2FB8">
        <w:t xml:space="preserve"> vaidm</w:t>
      </w:r>
      <w:r>
        <w:t>enį</w:t>
      </w:r>
      <w:r w:rsidRPr="005E2FB8">
        <w:t xml:space="preserve"> civilinės saugos sistemoje. Į šios komisijos sudėtį įtraukti </w:t>
      </w:r>
      <w:r>
        <w:t xml:space="preserve">visi </w:t>
      </w:r>
      <w:r w:rsidRPr="005E2FB8">
        <w:t xml:space="preserve">ministrai, </w:t>
      </w:r>
      <w:r>
        <w:t xml:space="preserve">Vyriausybės kancleris, </w:t>
      </w:r>
      <w:r w:rsidRPr="005E2FB8">
        <w:t xml:space="preserve">kartu dalyvauja </w:t>
      </w:r>
      <w:r>
        <w:t xml:space="preserve">kai kurių </w:t>
      </w:r>
      <w:r w:rsidRPr="005E2FB8">
        <w:t xml:space="preserve">institucijų vadovai, kad kolegialūs sprendimai leistų suvaldyti pandemiją ir didintų </w:t>
      </w:r>
      <w:r>
        <w:t xml:space="preserve">atsakingų </w:t>
      </w:r>
      <w:r w:rsidRPr="005E2FB8">
        <w:t>institucijų atstovų įsitraukimą.</w:t>
      </w:r>
    </w:p>
    <w:p w14:paraId="4789D482" w14:textId="77777777" w:rsidR="003037C7" w:rsidRDefault="003037C7" w:rsidP="003037C7">
      <w:pPr>
        <w:spacing w:line="276" w:lineRule="auto"/>
        <w:ind w:firstLine="720"/>
        <w:jc w:val="both"/>
      </w:pPr>
      <w:r>
        <w:t xml:space="preserve">Kartu Vyriausybei siūlymus dėl </w:t>
      </w:r>
      <w:r w:rsidRPr="002C36C9">
        <w:t xml:space="preserve">COVID-19 valdymo </w:t>
      </w:r>
      <w:r>
        <w:t xml:space="preserve">teikia </w:t>
      </w:r>
      <w:r w:rsidRPr="004D075A">
        <w:t>Nepriklausomų ekspertų patariamoji taryba (</w:t>
      </w:r>
      <w:r>
        <w:t xml:space="preserve">toliau – </w:t>
      </w:r>
      <w:r w:rsidRPr="004D075A">
        <w:t>NEPT).</w:t>
      </w:r>
      <w:r>
        <w:t xml:space="preserve"> Šioje grupėje – medikai, mokslininkai, taip pat verslo ir įvairių organizacijų atstovai, atsižvelgiant į tai, kad </w:t>
      </w:r>
      <w:r w:rsidRPr="0075497B">
        <w:t>kompeten</w:t>
      </w:r>
      <w:r>
        <w:t>tingiems</w:t>
      </w:r>
      <w:r w:rsidRPr="0075497B">
        <w:t xml:space="preserve"> sprendim</w:t>
      </w:r>
      <w:r>
        <w:t>ams</w:t>
      </w:r>
      <w:r w:rsidRPr="0075497B">
        <w:t xml:space="preserve"> dėl paskelbto karantino, apimančio bemaž visas gyvenimo sritis, </w:t>
      </w:r>
      <w:r>
        <w:t xml:space="preserve">priimti būtina sutelkti ekspertus iš įvairių veiklos sričių. – </w:t>
      </w:r>
      <w:r w:rsidRPr="004D075A">
        <w:t>NEPT</w:t>
      </w:r>
      <w:r w:rsidRPr="005B2FAF">
        <w:t xml:space="preserve"> pavesta svarstyti ir teikti Vyriausybei pasiūlymus dėl COVID-19 prevencijos, diagnostikos, gydymo ir kitų </w:t>
      </w:r>
      <w:r>
        <w:t>pan</w:t>
      </w:r>
      <w:r w:rsidRPr="005B2FAF">
        <w:t xml:space="preserve">demijos valdymo priemonių taikymo ir įgyvendinimo. </w:t>
      </w:r>
    </w:p>
    <w:p w14:paraId="0DAA4DD4" w14:textId="77777777" w:rsidR="003037C7" w:rsidRDefault="003037C7" w:rsidP="003037C7">
      <w:pPr>
        <w:spacing w:line="276" w:lineRule="auto"/>
        <w:ind w:firstLine="720"/>
        <w:jc w:val="both"/>
      </w:pPr>
      <w:r w:rsidRPr="006278F8">
        <w:t>Kad klausimai</w:t>
      </w:r>
      <w:r>
        <w:t>, kurie iškeliami nepriklausomų ekspertų ir reikalauja papildomų institucinių kompetencijų, būtų</w:t>
      </w:r>
      <w:r w:rsidRPr="006278F8">
        <w:t xml:space="preserve"> svarstomi efektyviai ir operatyviai, atsižvelgiant į statistinius ir analitinius duomenis,</w:t>
      </w:r>
      <w:r>
        <w:t xml:space="preserve"> Ministro Pirmininko potvarkiu yra sudaryta </w:t>
      </w:r>
      <w:r w:rsidRPr="004D075A">
        <w:t xml:space="preserve">darbo grupė klausimams, susijusiems su COVID-19 </w:t>
      </w:r>
      <w:r w:rsidRPr="004D075A">
        <w:lastRenderedPageBreak/>
        <w:t>ligos(</w:t>
      </w:r>
      <w:proofErr w:type="spellStart"/>
      <w:r w:rsidRPr="004D075A">
        <w:t>koronaviruso</w:t>
      </w:r>
      <w:proofErr w:type="spellEnd"/>
      <w:r w:rsidRPr="004D075A">
        <w:t xml:space="preserve"> infekcijos) lemiamų reiškinių prognozavimu ir valdymu, koordinuoti ir spręsti.</w:t>
      </w:r>
      <w:r>
        <w:t xml:space="preserve"> </w:t>
      </w:r>
      <w:r w:rsidRPr="006278F8">
        <w:t xml:space="preserve">Šiai darbo grupei pavesta padėti valstybės institucijoms ir įstaigoms rinkti, analizuoti duomenis ir priimti šiais duomenimis grįstus pandemijos valdymo sprendimus. Ji taip pat </w:t>
      </w:r>
      <w:r>
        <w:t xml:space="preserve">teikia </w:t>
      </w:r>
      <w:r w:rsidRPr="006278F8">
        <w:t xml:space="preserve">Vyriausybei informaciją apie </w:t>
      </w:r>
      <w:r>
        <w:t>esam</w:t>
      </w:r>
      <w:r w:rsidRPr="006278F8">
        <w:t>as sistemines duomenų prieinamumo problemas ir rengi</w:t>
      </w:r>
      <w:r>
        <w:t>a</w:t>
      </w:r>
      <w:r w:rsidRPr="006278F8">
        <w:t xml:space="preserve"> pasiūlymus dėl galimų jų sprendimo būdų.</w:t>
      </w:r>
    </w:p>
    <w:p w14:paraId="5978863F" w14:textId="77777777" w:rsidR="003037C7" w:rsidRDefault="003037C7" w:rsidP="003037C7">
      <w:pPr>
        <w:spacing w:line="276" w:lineRule="auto"/>
        <w:ind w:firstLine="720"/>
        <w:jc w:val="both"/>
      </w:pPr>
      <w:r>
        <w:t xml:space="preserve">Be to, Ministro Pirmininko potvarkiu yra sudaryta </w:t>
      </w:r>
      <w:r w:rsidRPr="00B023CB">
        <w:t>darbo grupė klausimams, susijusiems su pagalbos COVID-19 ligos (</w:t>
      </w:r>
      <w:proofErr w:type="spellStart"/>
      <w:r w:rsidRPr="00B023CB">
        <w:t>koronaviruso</w:t>
      </w:r>
      <w:proofErr w:type="spellEnd"/>
      <w:r w:rsidRPr="00B023CB">
        <w:t xml:space="preserve"> infekcijos) sukeltos pandemijos paveiktoms asmenų grupėms teikimu, koordinuoti ir spręsti.</w:t>
      </w:r>
      <w:r w:rsidRPr="00A373A7">
        <w:rPr>
          <w:b/>
          <w:bCs/>
        </w:rPr>
        <w:t xml:space="preserve"> </w:t>
      </w:r>
      <w:r>
        <w:t xml:space="preserve">Darbo grupės veikloje dalyvauja įvairių visuomeninių organizacijų atstovai. </w:t>
      </w:r>
      <w:r w:rsidRPr="008D20FB">
        <w:t xml:space="preserve">Šiai grupei pavesta teikti Vyriausybei informaciją apie </w:t>
      </w:r>
      <w:r>
        <w:t>esam</w:t>
      </w:r>
      <w:r w:rsidRPr="008D20FB">
        <w:t>as visuomenines iniciatyvas, susijusias su pandemijos neigiamų padarinių šalinimu. Taip pat ji koordinuo</w:t>
      </w:r>
      <w:r>
        <w:t>ja</w:t>
      </w:r>
      <w:r w:rsidRPr="008D20FB">
        <w:t xml:space="preserve"> pagalbos teikimą pandemijos paveiktoms asmenų grupėms, siekiant mažinti neigiamus padarinius</w:t>
      </w:r>
      <w:r>
        <w:t xml:space="preserve">, be to, </w:t>
      </w:r>
      <w:r w:rsidRPr="008D20FB">
        <w:t>teik</w:t>
      </w:r>
      <w:r>
        <w:t>ia</w:t>
      </w:r>
      <w:r w:rsidRPr="008D20FB">
        <w:t xml:space="preserve"> Vyriausybei informaciją apie sistemines pagalbos teikimo problemas ir pasiūlymus dėl teisinio reguliavimo tobulinimo ir (ar) kitų galimų šių problemų sprendimo būdų ir šalinimo priemonių.</w:t>
      </w:r>
    </w:p>
    <w:p w14:paraId="7FC2FC9E" w14:textId="77777777" w:rsidR="003037C7" w:rsidRDefault="003037C7" w:rsidP="003037C7">
      <w:pPr>
        <w:spacing w:line="276" w:lineRule="auto"/>
        <w:ind w:firstLine="720"/>
        <w:jc w:val="both"/>
      </w:pPr>
    </w:p>
    <w:p w14:paraId="76624284" w14:textId="77777777" w:rsidR="003037C7" w:rsidRPr="00CF6F5C" w:rsidRDefault="003037C7" w:rsidP="003037C7">
      <w:pPr>
        <w:ind w:right="8"/>
        <w:jc w:val="center"/>
        <w:rPr>
          <w:b/>
          <w:bCs/>
          <w:color w:val="17365D" w:themeColor="text2" w:themeShade="BF"/>
          <w:szCs w:val="24"/>
        </w:rPr>
      </w:pPr>
      <w:r w:rsidRPr="00BA0101">
        <w:rPr>
          <w:b/>
          <w:bCs/>
          <w:color w:val="17365D" w:themeColor="text2" w:themeShade="BF"/>
          <w:kern w:val="24"/>
          <w:szCs w:val="24"/>
        </w:rPr>
        <w:t xml:space="preserve">4 </w:t>
      </w:r>
      <w:r w:rsidRPr="00B0765E">
        <w:rPr>
          <w:b/>
          <w:bCs/>
          <w:color w:val="17365D" w:themeColor="text2" w:themeShade="BF"/>
          <w:kern w:val="24"/>
          <w:szCs w:val="24"/>
        </w:rPr>
        <w:t>pav. Valstybės lygio ekstremaliosios situacijos valdymo schema Vyriausybės kanceliarijoje</w:t>
      </w:r>
      <w:r>
        <w:rPr>
          <w:b/>
          <w:bCs/>
          <w:color w:val="17365D" w:themeColor="text2" w:themeShade="BF"/>
          <w:kern w:val="24"/>
          <w:szCs w:val="24"/>
        </w:rPr>
        <w:t xml:space="preserve"> </w:t>
      </w:r>
      <w:r>
        <w:rPr>
          <w:b/>
          <w:bCs/>
          <w:color w:val="17365D" w:themeColor="text2" w:themeShade="BF"/>
          <w:kern w:val="24"/>
          <w:szCs w:val="24"/>
        </w:rPr>
        <w:br/>
      </w:r>
      <w:r w:rsidRPr="00BA0101">
        <w:rPr>
          <w:b/>
          <w:bCs/>
          <w:color w:val="17365D" w:themeColor="text2" w:themeShade="BF"/>
          <w:kern w:val="24"/>
          <w:szCs w:val="24"/>
        </w:rPr>
        <w:t>2021 m.</w:t>
      </w:r>
    </w:p>
    <w:p w14:paraId="329EAB61" w14:textId="77777777" w:rsidR="003037C7" w:rsidRPr="00013103" w:rsidRDefault="003037C7" w:rsidP="003037C7">
      <w:pPr>
        <w:spacing w:line="276" w:lineRule="auto"/>
        <w:ind w:firstLine="720"/>
        <w:jc w:val="both"/>
      </w:pPr>
    </w:p>
    <w:p w14:paraId="0C217199" w14:textId="77777777" w:rsidR="003037C7" w:rsidRDefault="003037C7" w:rsidP="003037C7">
      <w:pPr>
        <w:keepNext/>
        <w:jc w:val="both"/>
        <w:rPr>
          <w:szCs w:val="24"/>
        </w:rPr>
      </w:pPr>
      <w:r w:rsidRPr="00953475">
        <w:rPr>
          <w:noProof/>
        </w:rPr>
        <w:drawing>
          <wp:inline distT="0" distB="0" distL="0" distR="0" wp14:anchorId="07D393BB" wp14:editId="5AD734B7">
            <wp:extent cx="6383020" cy="3366135"/>
            <wp:effectExtent l="0" t="0" r="0" b="5715"/>
            <wp:docPr id="36" name="Paveikslėli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3020" cy="3366135"/>
                    </a:xfrm>
                    <a:prstGeom prst="rect">
                      <a:avLst/>
                    </a:prstGeom>
                    <a:noFill/>
                    <a:ln>
                      <a:noFill/>
                    </a:ln>
                  </pic:spPr>
                </pic:pic>
              </a:graphicData>
            </a:graphic>
          </wp:inline>
        </w:drawing>
      </w:r>
    </w:p>
    <w:p w14:paraId="7A0FA763" w14:textId="77777777" w:rsidR="003037C7" w:rsidRDefault="003037C7" w:rsidP="003037C7">
      <w:pPr>
        <w:keepNext/>
        <w:jc w:val="both"/>
        <w:rPr>
          <w:szCs w:val="24"/>
        </w:rPr>
      </w:pPr>
    </w:p>
    <w:p w14:paraId="459572A2" w14:textId="77777777" w:rsidR="003037C7" w:rsidRDefault="003037C7" w:rsidP="003037C7">
      <w:pPr>
        <w:keepNext/>
        <w:jc w:val="both"/>
        <w:rPr>
          <w:szCs w:val="24"/>
        </w:rPr>
      </w:pPr>
    </w:p>
    <w:p w14:paraId="115B7976" w14:textId="77777777" w:rsidR="003037C7" w:rsidRPr="0044582D" w:rsidRDefault="003037C7" w:rsidP="003037C7">
      <w:pPr>
        <w:pStyle w:val="Antrat1"/>
        <w:numPr>
          <w:ilvl w:val="1"/>
          <w:numId w:val="27"/>
        </w:numPr>
        <w:ind w:firstLine="349"/>
        <w:jc w:val="left"/>
        <w:rPr>
          <w:color w:val="17365D" w:themeColor="text2" w:themeShade="BF"/>
        </w:rPr>
      </w:pPr>
      <w:r>
        <w:rPr>
          <w:color w:val="17365D" w:themeColor="text2" w:themeShade="BF"/>
          <w:kern w:val="24"/>
          <w:szCs w:val="24"/>
        </w:rPr>
        <w:t xml:space="preserve"> </w:t>
      </w:r>
      <w:bookmarkStart w:id="6" w:name="_Toc68079177"/>
      <w:r>
        <w:rPr>
          <w:color w:val="17365D" w:themeColor="text2" w:themeShade="BF"/>
          <w:kern w:val="24"/>
          <w:szCs w:val="24"/>
        </w:rPr>
        <w:t>Pandemijos valdymo priemonės</w:t>
      </w:r>
      <w:bookmarkEnd w:id="6"/>
      <w:r w:rsidRPr="0044582D">
        <w:rPr>
          <w:rFonts w:cstheme="minorHAnsi"/>
          <w:bCs/>
          <w:color w:val="17365D" w:themeColor="text2" w:themeShade="BF"/>
        </w:rPr>
        <w:t xml:space="preserve"> </w:t>
      </w:r>
    </w:p>
    <w:p w14:paraId="7D4F57B7" w14:textId="77777777" w:rsidR="003037C7" w:rsidRDefault="003037C7" w:rsidP="003037C7">
      <w:pPr>
        <w:spacing w:line="276" w:lineRule="auto"/>
        <w:ind w:firstLine="720"/>
        <w:jc w:val="both"/>
        <w:rPr>
          <w:b/>
          <w:bCs/>
        </w:rPr>
      </w:pPr>
    </w:p>
    <w:p w14:paraId="67E4FBFE" w14:textId="77777777" w:rsidR="003037C7" w:rsidRPr="004D075A" w:rsidRDefault="003037C7" w:rsidP="003037C7">
      <w:pPr>
        <w:pStyle w:val="Sraopastraipa"/>
        <w:tabs>
          <w:tab w:val="left" w:pos="873"/>
          <w:tab w:val="left" w:pos="908"/>
          <w:tab w:val="left" w:pos="993"/>
        </w:tabs>
        <w:spacing w:after="0" w:line="276" w:lineRule="auto"/>
        <w:ind w:left="0" w:firstLine="709"/>
        <w:jc w:val="both"/>
        <w:rPr>
          <w:rFonts w:ascii="Times New Roman" w:hAnsi="Times New Roman"/>
          <w:sz w:val="24"/>
          <w:szCs w:val="24"/>
        </w:rPr>
      </w:pPr>
      <w:r>
        <w:rPr>
          <w:rFonts w:ascii="Times New Roman" w:hAnsi="Times New Roman"/>
          <w:sz w:val="24"/>
          <w:szCs w:val="24"/>
        </w:rPr>
        <w:t xml:space="preserve">Dėl </w:t>
      </w:r>
      <w:r w:rsidRPr="00AF6DB0">
        <w:rPr>
          <w:rFonts w:ascii="Times New Roman" w:hAnsi="Times New Roman"/>
          <w:sz w:val="24"/>
          <w:szCs w:val="24"/>
        </w:rPr>
        <w:t>COVID-19 pandemij</w:t>
      </w:r>
      <w:r>
        <w:rPr>
          <w:rFonts w:ascii="Times New Roman" w:hAnsi="Times New Roman"/>
          <w:sz w:val="24"/>
          <w:szCs w:val="24"/>
        </w:rPr>
        <w:t>os</w:t>
      </w:r>
      <w:r w:rsidRPr="00AF6DB0">
        <w:rPr>
          <w:rFonts w:ascii="Times New Roman" w:hAnsi="Times New Roman"/>
          <w:sz w:val="24"/>
          <w:szCs w:val="24"/>
        </w:rPr>
        <w:t xml:space="preserve"> </w:t>
      </w:r>
      <w:r>
        <w:rPr>
          <w:rFonts w:ascii="Times New Roman" w:hAnsi="Times New Roman"/>
          <w:sz w:val="24"/>
          <w:szCs w:val="24"/>
        </w:rPr>
        <w:t>smarkiai padidėjo</w:t>
      </w:r>
      <w:r w:rsidRPr="00AF6DB0">
        <w:rPr>
          <w:rFonts w:ascii="Times New Roman" w:hAnsi="Times New Roman"/>
          <w:sz w:val="24"/>
          <w:szCs w:val="24"/>
        </w:rPr>
        <w:t xml:space="preserve"> krūv</w:t>
      </w:r>
      <w:r>
        <w:rPr>
          <w:rFonts w:ascii="Times New Roman" w:hAnsi="Times New Roman"/>
          <w:sz w:val="24"/>
          <w:szCs w:val="24"/>
        </w:rPr>
        <w:t>is</w:t>
      </w:r>
      <w:r w:rsidRPr="00AF6DB0">
        <w:rPr>
          <w:rFonts w:ascii="Times New Roman" w:hAnsi="Times New Roman"/>
          <w:sz w:val="24"/>
          <w:szCs w:val="24"/>
        </w:rPr>
        <w:t xml:space="preserve"> sveikatos apsaugos sistemai. </w:t>
      </w:r>
    </w:p>
    <w:p w14:paraId="56A42A7F" w14:textId="77777777" w:rsidR="003037C7" w:rsidRDefault="003037C7" w:rsidP="003037C7">
      <w:pPr>
        <w:spacing w:line="276" w:lineRule="auto"/>
        <w:ind w:firstLine="720"/>
        <w:jc w:val="both"/>
        <w:rPr>
          <w:color w:val="000000"/>
          <w:szCs w:val="24"/>
        </w:rPr>
      </w:pPr>
      <w:r>
        <w:rPr>
          <w:color w:val="000000"/>
          <w:szCs w:val="24"/>
        </w:rPr>
        <w:t xml:space="preserve">Antroji pandemijos banga pareikalavo kur kas didesnių asmens sveikatos priežiūros išteklių. Didėjant </w:t>
      </w:r>
      <w:r w:rsidRPr="00BA0101">
        <w:rPr>
          <w:color w:val="000000"/>
          <w:szCs w:val="24"/>
        </w:rPr>
        <w:t>hospitalizacijos</w:t>
      </w:r>
      <w:r>
        <w:rPr>
          <w:color w:val="000000"/>
          <w:szCs w:val="24"/>
        </w:rPr>
        <w:t xml:space="preserve"> rodikliams, daugėjant sunkių ligonių r</w:t>
      </w:r>
      <w:r>
        <w:rPr>
          <w:rStyle w:val="acopre"/>
        </w:rPr>
        <w:t xml:space="preserve">eanimacijos ir intensyvios terapijos </w:t>
      </w:r>
      <w:r>
        <w:rPr>
          <w:color w:val="000000"/>
          <w:szCs w:val="24"/>
        </w:rPr>
        <w:t>skyriuose, eksponentiškai didėjant COVID-19 pacientų skaičiui, buvo skubiai ieškoma papildomų išteklių.</w:t>
      </w:r>
    </w:p>
    <w:p w14:paraId="72FF2133" w14:textId="77777777" w:rsidR="003037C7" w:rsidRDefault="003037C7" w:rsidP="003037C7">
      <w:pPr>
        <w:spacing w:line="276" w:lineRule="auto"/>
        <w:ind w:firstLine="720"/>
        <w:jc w:val="both"/>
        <w:rPr>
          <w:color w:val="000000"/>
          <w:szCs w:val="24"/>
        </w:rPr>
      </w:pPr>
      <w:r>
        <w:rPr>
          <w:color w:val="000000"/>
          <w:szCs w:val="24"/>
        </w:rPr>
        <w:t xml:space="preserve">Toliau buvo vykdomi būtinų priemonių įsigijimai, siekiant suvaldyti COVID-19 protrūkį šalyje. </w:t>
      </w:r>
      <w:r w:rsidRPr="00CC2E93">
        <w:rPr>
          <w:rFonts w:ascii="Times" w:hAnsi="Times"/>
          <w:szCs w:val="24"/>
        </w:rPr>
        <w:t xml:space="preserve">Įsigytas istoriškai didžiausias kiekis priemonių, skirtų COVID-19 tyrimams. </w:t>
      </w:r>
      <w:r w:rsidRPr="001F75C2">
        <w:rPr>
          <w:rFonts w:ascii="Times" w:hAnsi="Times"/>
          <w:szCs w:val="24"/>
        </w:rPr>
        <w:t>Sukurta COVID-19 greitųjų testų dinaminė pirkimo sistema, leidžianti atlikti greitesnes pirkimo procedūras.</w:t>
      </w:r>
    </w:p>
    <w:p w14:paraId="40A9A447" w14:textId="77777777" w:rsidR="003037C7" w:rsidRDefault="003037C7" w:rsidP="003037C7">
      <w:pPr>
        <w:spacing w:line="276" w:lineRule="auto"/>
        <w:ind w:firstLine="720"/>
        <w:jc w:val="both"/>
        <w:rPr>
          <w:color w:val="000000"/>
          <w:szCs w:val="24"/>
        </w:rPr>
      </w:pPr>
      <w:r w:rsidRPr="00CC2E93">
        <w:rPr>
          <w:rFonts w:ascii="Times" w:hAnsi="Times"/>
          <w:szCs w:val="24"/>
        </w:rPr>
        <w:t xml:space="preserve">Nustatyta, kas privalės kaupti apsaugos priemonių nuo COVID-19 rezervą. Vyriausybės nutarimu nustatytos valstybės ir savivaldybių institucijos ir įstaigos, įmonės ir organizacijos, kiti ūkio subjektai, </w:t>
      </w:r>
      <w:r w:rsidRPr="00CC2E93">
        <w:rPr>
          <w:rFonts w:ascii="Times" w:hAnsi="Times"/>
          <w:szCs w:val="24"/>
        </w:rPr>
        <w:lastRenderedPageBreak/>
        <w:t>privalėsiantys sukaupti apsaugos priemones savo nepertraukiamai veiklai užtikrinti. Taip pat nustatytas 30 dienų laikotarpis, kuriam subjektai privalės būti sukaupę apsaugos priemones.</w:t>
      </w:r>
    </w:p>
    <w:p w14:paraId="47101048" w14:textId="77777777" w:rsidR="003037C7" w:rsidRDefault="003037C7" w:rsidP="003037C7">
      <w:pPr>
        <w:spacing w:line="276" w:lineRule="auto"/>
        <w:ind w:firstLine="720"/>
        <w:jc w:val="both"/>
        <w:rPr>
          <w:color w:val="000000"/>
          <w:szCs w:val="24"/>
        </w:rPr>
      </w:pPr>
      <w:r w:rsidRPr="00CC2E93">
        <w:rPr>
          <w:rFonts w:ascii="Times" w:hAnsi="Times"/>
          <w:szCs w:val="24"/>
        </w:rPr>
        <w:t xml:space="preserve">Atsižvelgiant į nepalankią epidemiologinę situaciją dėl COVID-19 plitimo Lietuvoje, Sveikatos apsaugos ministerija užtikrino, kad mobilūs punktai dirbtų ir savaitgaliais, o pirminės sveikatos priežiūros įstaigos, laboratorijos, mobilieji punktai, karščiavimo klinikos ir vaistinės </w:t>
      </w:r>
      <w:r>
        <w:t>–</w:t>
      </w:r>
      <w:r w:rsidRPr="00CC2E93">
        <w:rPr>
          <w:rFonts w:ascii="Times" w:hAnsi="Times"/>
          <w:szCs w:val="24"/>
        </w:rPr>
        <w:t xml:space="preserve"> švenčių ir nedarbo dienomis. Operacijų vadovo sprendimu pavedama savivaldybių</w:t>
      </w:r>
      <w:r>
        <w:rPr>
          <w:rFonts w:ascii="Times" w:hAnsi="Times"/>
          <w:szCs w:val="24"/>
        </w:rPr>
        <w:t xml:space="preserve"> pirminės asmens sveikatos priežiūros įstaigoms,</w:t>
      </w:r>
      <w:r w:rsidRPr="00CC2E93">
        <w:rPr>
          <w:rFonts w:ascii="Times" w:hAnsi="Times"/>
          <w:szCs w:val="24"/>
        </w:rPr>
        <w:t xml:space="preserve"> miestų ar rajonų savivaldybių konsultacinėms poliklinikoms nurodytomis šventinėmis ir nedarbo dienomis teikti radiologijos, echoskopijos, endoskopijos, chirurgijos ir medicininės laboratorijos paslaugas. </w:t>
      </w:r>
    </w:p>
    <w:p w14:paraId="4E4D87DA" w14:textId="77777777" w:rsidR="003037C7" w:rsidRDefault="003037C7" w:rsidP="003037C7">
      <w:pPr>
        <w:spacing w:line="276" w:lineRule="auto"/>
        <w:ind w:firstLine="720"/>
        <w:jc w:val="both"/>
        <w:rPr>
          <w:rFonts w:ascii="Times" w:hAnsi="Times"/>
          <w:b/>
          <w:bCs/>
          <w:szCs w:val="24"/>
        </w:rPr>
      </w:pPr>
      <w:r w:rsidRPr="00BC0651">
        <w:rPr>
          <w:rStyle w:val="Grietas"/>
          <w:rFonts w:ascii="Times" w:hAnsi="Times"/>
          <w:b w:val="0"/>
          <w:bCs w:val="0"/>
          <w:szCs w:val="24"/>
        </w:rPr>
        <w:t xml:space="preserve">Siekiant užtikrinti darželių ir mokyklų bendruomenių saugumą </w:t>
      </w:r>
      <w:r>
        <w:rPr>
          <w:rStyle w:val="Grietas"/>
          <w:rFonts w:ascii="Times" w:hAnsi="Times"/>
          <w:b w:val="0"/>
          <w:bCs w:val="0"/>
          <w:szCs w:val="24"/>
        </w:rPr>
        <w:t>ir</w:t>
      </w:r>
      <w:r w:rsidRPr="00BC0651">
        <w:rPr>
          <w:rStyle w:val="Grietas"/>
          <w:rFonts w:ascii="Times" w:hAnsi="Times"/>
          <w:b w:val="0"/>
          <w:bCs w:val="0"/>
          <w:szCs w:val="24"/>
        </w:rPr>
        <w:t xml:space="preserve"> užkirsti kelią galimiems COVID-19 židinių atsiradimams, p</w:t>
      </w:r>
      <w:r w:rsidRPr="009B4ECC">
        <w:rPr>
          <w:rFonts w:ascii="Times" w:hAnsi="Times"/>
          <w:szCs w:val="24"/>
        </w:rPr>
        <w:t>radėtas prevencinis pedagogų testavimas</w:t>
      </w:r>
      <w:r w:rsidRPr="00BA0101">
        <w:rPr>
          <w:rFonts w:ascii="Times" w:hAnsi="Times"/>
          <w:bCs/>
          <w:szCs w:val="24"/>
        </w:rPr>
        <w:t>.</w:t>
      </w:r>
      <w:r w:rsidRPr="00CC2E93">
        <w:rPr>
          <w:rStyle w:val="Grietas"/>
          <w:rFonts w:ascii="Times" w:hAnsi="Times"/>
          <w:szCs w:val="24"/>
        </w:rPr>
        <w:t xml:space="preserve"> </w:t>
      </w:r>
      <w:r w:rsidRPr="00CC2E93">
        <w:rPr>
          <w:rFonts w:ascii="Times" w:hAnsi="Times"/>
          <w:bCs/>
          <w:szCs w:val="24"/>
        </w:rPr>
        <w:t>Siekiant užtikrinti efektyvesnį viruso atsekamumo procesą</w:t>
      </w:r>
      <w:r>
        <w:rPr>
          <w:rFonts w:ascii="Times" w:hAnsi="Times"/>
          <w:bCs/>
          <w:szCs w:val="24"/>
        </w:rPr>
        <w:t>,</w:t>
      </w:r>
      <w:r w:rsidRPr="00CC2E93">
        <w:rPr>
          <w:rFonts w:ascii="Times" w:hAnsi="Times"/>
          <w:bCs/>
          <w:szCs w:val="24"/>
        </w:rPr>
        <w:t xml:space="preserve"> užsikrėtusiesiems COVID-19 sudaryta galimybė savarankiškai užpildyti viruso atsekamumo anketą, taip patys žmonės raginti prisidėti prie viruso suvaldymo.</w:t>
      </w:r>
      <w:r w:rsidRPr="00CC2E93">
        <w:rPr>
          <w:rFonts w:ascii="Times" w:hAnsi="Times"/>
          <w:b/>
          <w:bCs/>
          <w:szCs w:val="24"/>
        </w:rPr>
        <w:t xml:space="preserve"> </w:t>
      </w:r>
    </w:p>
    <w:p w14:paraId="0F618D0A" w14:textId="77777777" w:rsidR="003037C7" w:rsidRPr="00BC0651" w:rsidRDefault="003037C7" w:rsidP="003037C7">
      <w:pPr>
        <w:spacing w:line="276" w:lineRule="auto"/>
        <w:ind w:firstLine="720"/>
        <w:jc w:val="both"/>
        <w:rPr>
          <w:color w:val="000000"/>
          <w:szCs w:val="24"/>
        </w:rPr>
      </w:pPr>
      <w:r w:rsidRPr="00CC2E93">
        <w:rPr>
          <w:rFonts w:ascii="Times" w:hAnsi="Times"/>
          <w:szCs w:val="24"/>
        </w:rPr>
        <w:t>2021 m. vasar</w:t>
      </w:r>
      <w:r>
        <w:rPr>
          <w:rFonts w:ascii="Times" w:hAnsi="Times"/>
          <w:szCs w:val="24"/>
        </w:rPr>
        <w:t>į</w:t>
      </w:r>
      <w:r w:rsidRPr="00CC2E93">
        <w:rPr>
          <w:rFonts w:ascii="Times" w:hAnsi="Times"/>
          <w:szCs w:val="24"/>
        </w:rPr>
        <w:t xml:space="preserve"> </w:t>
      </w:r>
      <w:r w:rsidRPr="00CC2E93">
        <w:rPr>
          <w:rFonts w:ascii="Times" w:hAnsi="Times"/>
          <w:kern w:val="36"/>
          <w:szCs w:val="24"/>
        </w:rPr>
        <w:t>daugiau gyventojų kviesti išsitirti dėl COVID-19</w:t>
      </w:r>
      <w:r w:rsidRPr="00CC2E93">
        <w:rPr>
          <w:rFonts w:ascii="Times" w:hAnsi="Times"/>
          <w:szCs w:val="24"/>
        </w:rPr>
        <w:t xml:space="preserve">, </w:t>
      </w:r>
      <w:r w:rsidRPr="00CC2E93">
        <w:rPr>
          <w:rFonts w:ascii="Times" w:hAnsi="Times"/>
          <w:kern w:val="36"/>
          <w:szCs w:val="24"/>
        </w:rPr>
        <w:t>toliau savanoriškai testuoti šalies pedagogai ir švietimo sektoriaus darbuotojai</w:t>
      </w:r>
      <w:r w:rsidRPr="00CC2E93">
        <w:rPr>
          <w:rFonts w:ascii="Times" w:hAnsi="Times"/>
          <w:szCs w:val="24"/>
        </w:rPr>
        <w:t>, testuotis pakviest</w:t>
      </w:r>
      <w:r>
        <w:rPr>
          <w:rFonts w:ascii="Times" w:hAnsi="Times"/>
          <w:szCs w:val="24"/>
        </w:rPr>
        <w:t>i</w:t>
      </w:r>
      <w:r w:rsidRPr="00CC2E93">
        <w:rPr>
          <w:rFonts w:ascii="Times" w:hAnsi="Times"/>
          <w:szCs w:val="24"/>
        </w:rPr>
        <w:t xml:space="preserve"> </w:t>
      </w:r>
      <w:r w:rsidRPr="00CC2E93">
        <w:rPr>
          <w:rFonts w:ascii="Times" w:hAnsi="Times"/>
          <w:kern w:val="36"/>
          <w:szCs w:val="24"/>
        </w:rPr>
        <w:t xml:space="preserve">pradedantys darbus </w:t>
      </w:r>
      <w:r w:rsidRPr="00CC2E93">
        <w:rPr>
          <w:rFonts w:ascii="Times" w:hAnsi="Times"/>
          <w:szCs w:val="24"/>
        </w:rPr>
        <w:t>prekybos, grožio ir sporto paslaugų specialistai, taip pat šias veiklas vykdantys įmonių darbuotojai, tiesiogiai dirbantys su klientais.</w:t>
      </w:r>
    </w:p>
    <w:p w14:paraId="2C6C801E" w14:textId="77777777" w:rsidR="003037C7" w:rsidRDefault="003037C7" w:rsidP="003037C7">
      <w:pPr>
        <w:spacing w:line="276" w:lineRule="auto"/>
        <w:ind w:firstLine="720"/>
        <w:jc w:val="both"/>
      </w:pPr>
      <w:r>
        <w:t xml:space="preserve">Be šio sustiprinto sveikatos apsaugos sistemos atsako į COVID-19 pandemiją, aštuonioliktoji Vyriausybė institucionalizavo </w:t>
      </w:r>
      <w:r w:rsidRPr="002E56B3">
        <w:t>NEPT</w:t>
      </w:r>
      <w:r>
        <w:t>, kuri teikia pasiūlymus Vyriausybei svarbiausiais pandemijos valdymo klausimais: karantino ribojimų ir atlaisvinimo, COVID-19 testavimo ir kontaktų atsekimo, vakcinacijos, asmens sveikatos priežiūros įstaigų veiklos organizavimo pandemijos metu.</w:t>
      </w:r>
    </w:p>
    <w:p w14:paraId="597BBD50" w14:textId="77777777" w:rsidR="003037C7" w:rsidRPr="0087783C" w:rsidRDefault="003037C7" w:rsidP="003037C7">
      <w:pPr>
        <w:spacing w:line="276" w:lineRule="auto"/>
        <w:ind w:firstLine="720"/>
        <w:jc w:val="both"/>
        <w:rPr>
          <w:szCs w:val="24"/>
        </w:rPr>
      </w:pPr>
      <w:r w:rsidRPr="00790686">
        <w:rPr>
          <w:szCs w:val="24"/>
        </w:rPr>
        <w:t>Įvedus griežtus karantino ribojimus</w:t>
      </w:r>
      <w:r w:rsidRPr="00243107">
        <w:rPr>
          <w:szCs w:val="24"/>
        </w:rPr>
        <w:t xml:space="preserve"> </w:t>
      </w:r>
      <w:r>
        <w:rPr>
          <w:szCs w:val="24"/>
        </w:rPr>
        <w:t>ir užtikrinus jų nuoseklią kontrolę (operatyvaus vidaus reikalų statutinių įstaigų (policijos, Valstybės sienos apsaugos tarnybos prie VRM, Priešgaisrinės apsaugos ir gelbėjimo departamento prie VRM, Viešojo saugumo tarnybos prie VRM), taip pat kariuomenės ir jų socialinių partnerių (ypač šaulių), mobilizavimosi dėka)</w:t>
      </w:r>
      <w:r w:rsidRPr="00790686">
        <w:rPr>
          <w:szCs w:val="24"/>
        </w:rPr>
        <w:t>, 2021 m. sausio pradžioje naujų diagnozuojamų atvejų</w:t>
      </w:r>
      <w:r w:rsidRPr="00790686">
        <w:t xml:space="preserve"> ėmė mažėti, antroji pandemijos banga </w:t>
      </w:r>
      <w:r>
        <w:t>at</w:t>
      </w:r>
      <w:r w:rsidRPr="00790686">
        <w:t>slūg</w:t>
      </w:r>
      <w:r>
        <w:t>o</w:t>
      </w:r>
      <w:r w:rsidRPr="00790686">
        <w:t xml:space="preserve">. </w:t>
      </w:r>
      <w:r>
        <w:t xml:space="preserve">Nuo </w:t>
      </w:r>
      <w:r>
        <w:rPr>
          <w:lang w:val="en-GB"/>
        </w:rPr>
        <w:t xml:space="preserve">2021 m. </w:t>
      </w:r>
      <w:r>
        <w:t>vasario pradžios p</w:t>
      </w:r>
      <w:r w:rsidRPr="00790686">
        <w:t>eriodiškai buvo peržiūrim</w:t>
      </w:r>
      <w:r>
        <w:t>i</w:t>
      </w:r>
      <w:r w:rsidRPr="00790686">
        <w:t xml:space="preserve"> karantino </w:t>
      </w:r>
      <w:r>
        <w:t>reikalavimai, juos palaipsniui švelninant dėl gerėjančios epidemiologinės padėties ir (arba) nustatant alternatyvias kontrolės priemones</w:t>
      </w:r>
      <w:r w:rsidRPr="00790686">
        <w:t>.</w:t>
      </w:r>
      <w:r>
        <w:t xml:space="preserve"> Svarbiausi rodikliai, kuriais remiantis keičiami karantino reikalavimai, yra: </w:t>
      </w:r>
      <w:r>
        <w:rPr>
          <w:szCs w:val="24"/>
        </w:rPr>
        <w:t>a) n</w:t>
      </w:r>
      <w:r w:rsidRPr="0087783C">
        <w:rPr>
          <w:szCs w:val="24"/>
        </w:rPr>
        <w:t xml:space="preserve">aujų </w:t>
      </w:r>
      <w:r w:rsidRPr="002E56B3">
        <w:rPr>
          <w:szCs w:val="24"/>
        </w:rPr>
        <w:t xml:space="preserve">COVID-19 </w:t>
      </w:r>
      <w:r w:rsidRPr="0087783C">
        <w:rPr>
          <w:szCs w:val="24"/>
        </w:rPr>
        <w:t>atvejų skaičius 100</w:t>
      </w:r>
      <w:r>
        <w:rPr>
          <w:szCs w:val="24"/>
        </w:rPr>
        <w:t xml:space="preserve"> </w:t>
      </w:r>
      <w:r w:rsidRPr="0087783C">
        <w:rPr>
          <w:szCs w:val="24"/>
        </w:rPr>
        <w:t>000 gyventojų per 14 dienų</w:t>
      </w:r>
      <w:r>
        <w:rPr>
          <w:szCs w:val="24"/>
        </w:rPr>
        <w:t>, ir b) t</w:t>
      </w:r>
      <w:r w:rsidRPr="0087783C">
        <w:rPr>
          <w:szCs w:val="24"/>
        </w:rPr>
        <w:t xml:space="preserve">eigiamų </w:t>
      </w:r>
      <w:r w:rsidRPr="002E56B3">
        <w:rPr>
          <w:szCs w:val="24"/>
        </w:rPr>
        <w:t xml:space="preserve">COVID-19 </w:t>
      </w:r>
      <w:r w:rsidRPr="0087783C">
        <w:rPr>
          <w:szCs w:val="24"/>
        </w:rPr>
        <w:t>testų dalis nuo visų atliktų</w:t>
      </w:r>
      <w:r>
        <w:rPr>
          <w:szCs w:val="24"/>
        </w:rPr>
        <w:t xml:space="preserve">jų. Tačiau stebimi ir kiti duomenys bei rodikliai. </w:t>
      </w:r>
    </w:p>
    <w:p w14:paraId="7B1A8BA9" w14:textId="77777777" w:rsidR="003037C7" w:rsidRDefault="003037C7" w:rsidP="003037C7">
      <w:pPr>
        <w:spacing w:line="276" w:lineRule="auto"/>
        <w:ind w:firstLine="720"/>
        <w:jc w:val="both"/>
      </w:pPr>
      <w:r>
        <w:t xml:space="preserve">Siekiant efektyviai valdyti pandemiją, ypač svarbu turėti tikslius </w:t>
      </w:r>
      <w:r w:rsidRPr="00BA0101">
        <w:t>statistinius duomenis</w:t>
      </w:r>
      <w:r>
        <w:t xml:space="preserve"> apie naujus atvejus, hospitalizuotus pacientus </w:t>
      </w:r>
      <w:r>
        <w:rPr>
          <w:rStyle w:val="acopre"/>
        </w:rPr>
        <w:t>asmens sveikatos priežiūros įstaigos</w:t>
      </w:r>
      <w:r>
        <w:t xml:space="preserve">e (toliau – ASPĮ), reanimacijos bei intensyviosios terapijos skyriuose, mirusius ir pasveikusius nuo </w:t>
      </w:r>
      <w:r w:rsidRPr="002E56B3">
        <w:t xml:space="preserve">COVID-19 </w:t>
      </w:r>
      <w:r>
        <w:t>asmenis. Duomenų surinkimo funkcija perduota Lietuvos statistikos departamentui. Taip kasdien gaunami tikslūs ir patikimi duomenys, kuriais vadovaujantis vykdoma rodiklių stebėsena ir derinami karantino sprendimai.</w:t>
      </w:r>
    </w:p>
    <w:p w14:paraId="446CDE49" w14:textId="77777777" w:rsidR="003037C7" w:rsidRDefault="003037C7" w:rsidP="003037C7">
      <w:pPr>
        <w:spacing w:line="276" w:lineRule="auto"/>
        <w:ind w:firstLine="720"/>
        <w:jc w:val="both"/>
      </w:pPr>
      <w:r>
        <w:t xml:space="preserve">Tobulinant </w:t>
      </w:r>
      <w:r w:rsidRPr="002E56B3">
        <w:t xml:space="preserve">COVID-19 </w:t>
      </w:r>
      <w:r w:rsidRPr="00BA0101">
        <w:t>testavimą</w:t>
      </w:r>
      <w:r>
        <w:t xml:space="preserve">, buvo įdiegti nauji metodai: be jau turimų PGR ir serologinių testų, įdiegti greitieji antigenų testai, pradėtas testavimas kaupiniais. </w:t>
      </w:r>
    </w:p>
    <w:p w14:paraId="1F987528" w14:textId="77777777" w:rsidR="003037C7" w:rsidRDefault="003037C7" w:rsidP="003037C7">
      <w:pPr>
        <w:spacing w:line="276" w:lineRule="auto"/>
        <w:ind w:firstLine="720"/>
        <w:jc w:val="both"/>
      </w:pPr>
      <w:r>
        <w:t>Svarbu pažymėti, kad, subūrus mokslo ir medicinos praktikos jungtines pajėgas, 2021 m. vasario pradžioje</w:t>
      </w:r>
      <w:r w:rsidRPr="00A87B00">
        <w:t xml:space="preserve"> </w:t>
      </w:r>
      <w:r w:rsidRPr="00D65B89">
        <w:t xml:space="preserve">pradėta vykdyti </w:t>
      </w:r>
      <w:r w:rsidRPr="009E2024">
        <w:rPr>
          <w:szCs w:val="24"/>
        </w:rPr>
        <w:t>SARS-CoV-2 viruso genomo</w:t>
      </w:r>
      <w:r>
        <w:rPr>
          <w:color w:val="572437"/>
          <w:szCs w:val="24"/>
        </w:rPr>
        <w:t xml:space="preserve"> </w:t>
      </w:r>
      <w:proofErr w:type="spellStart"/>
      <w:r w:rsidRPr="00D65B89">
        <w:t>sekoskaita</w:t>
      </w:r>
      <w:proofErr w:type="spellEnd"/>
      <w:r>
        <w:t xml:space="preserve">. </w:t>
      </w:r>
      <w:proofErr w:type="spellStart"/>
      <w:r>
        <w:t>Sekoskaitą</w:t>
      </w:r>
      <w:proofErr w:type="spellEnd"/>
      <w:r>
        <w:t xml:space="preserve"> vykdo Vilniaus universitetas, </w:t>
      </w:r>
      <w:r>
        <w:rPr>
          <w:rFonts w:ascii="TimesNewRomanPSMT" w:hAnsi="TimesNewRomanPSMT" w:cs="TimesNewRomanPSMT"/>
          <w:szCs w:val="24"/>
        </w:rPr>
        <w:t xml:space="preserve">VšĮ </w:t>
      </w:r>
      <w:r>
        <w:t xml:space="preserve">Vilniaus universiteto ligoninė Santaros klinikos, Lietuvos sveikatos mokslų universitetas, VšĮ Lietuvos sveikatos mokslų universiteto ligoninė Kauno klinikos ir </w:t>
      </w:r>
      <w:r w:rsidRPr="007E0EA2">
        <w:t>Nacionalini</w:t>
      </w:r>
      <w:r>
        <w:t>o</w:t>
      </w:r>
      <w:r w:rsidRPr="007E0EA2">
        <w:t xml:space="preserve"> maisto ir veterinarijos rizikos vertinimo institut</w:t>
      </w:r>
      <w:r>
        <w:t xml:space="preserve">as. Procesą koordinuoti paskirta Nacionalinė visuomenės sveikatos priežiūros laboratorija (toliau – NVSPL). </w:t>
      </w:r>
      <w:r w:rsidRPr="009553CE">
        <w:rPr>
          <w:szCs w:val="24"/>
        </w:rPr>
        <w:t xml:space="preserve">Dalis mėginių siunčiama tirti į </w:t>
      </w:r>
      <w:r w:rsidRPr="0051007A">
        <w:rPr>
          <w:szCs w:val="24"/>
        </w:rPr>
        <w:t>Referentinę Europos ligų prevencijos ir kontrolės centro laboratoriją.</w:t>
      </w:r>
    </w:p>
    <w:p w14:paraId="36D342D1" w14:textId="77777777" w:rsidR="003037C7" w:rsidRDefault="003037C7" w:rsidP="003037C7">
      <w:pPr>
        <w:spacing w:line="276" w:lineRule="auto"/>
        <w:ind w:firstLine="720"/>
        <w:jc w:val="both"/>
      </w:pPr>
      <w:r>
        <w:t xml:space="preserve">2021 m. kovo </w:t>
      </w:r>
      <w:r>
        <w:rPr>
          <w:lang w:val="en-GB"/>
        </w:rPr>
        <w:t>30</w:t>
      </w:r>
      <w:r>
        <w:t xml:space="preserve"> d. pateiktais NVSPL duomenimis, iš viso Lietuvoje buvo atlikta 2 115 ėminių </w:t>
      </w:r>
      <w:r w:rsidRPr="009E2024">
        <w:rPr>
          <w:szCs w:val="24"/>
        </w:rPr>
        <w:t>SARS-CoV-2 viruso genomo</w:t>
      </w:r>
      <w:r w:rsidRPr="009E2024">
        <w:t xml:space="preserve"> </w:t>
      </w:r>
      <w:proofErr w:type="spellStart"/>
      <w:r>
        <w:t>sekoskaita</w:t>
      </w:r>
      <w:proofErr w:type="spellEnd"/>
      <w:r>
        <w:t xml:space="preserve"> ir aptikti 519 B.1.1.7 bei 5 B.1.351 viruso linijos atvejai. </w:t>
      </w:r>
      <w:r w:rsidRPr="00070E6B">
        <w:t xml:space="preserve">Tyrimai vykdomi reprezentatyvios populiacijos atrankos būdu (90 proc.), mėginius parenkant iš skirtingų šalies </w:t>
      </w:r>
      <w:r w:rsidRPr="00070E6B">
        <w:lastRenderedPageBreak/>
        <w:t>regionų, taip pat vykdant tikslinę atranką (&lt;</w:t>
      </w:r>
      <w:r w:rsidRPr="00070E6B">
        <w:rPr>
          <w:lang w:val="en-US"/>
        </w:rPr>
        <w:t>10 proc.)</w:t>
      </w:r>
      <w:r w:rsidRPr="00070E6B">
        <w:t xml:space="preserve"> pagal patvirtintus atrankos kriterijus. Atsiradus naujų pavojingų </w:t>
      </w:r>
      <w:proofErr w:type="spellStart"/>
      <w:r w:rsidRPr="00070E6B">
        <w:t>mut</w:t>
      </w:r>
      <w:r>
        <w:t>avusių</w:t>
      </w:r>
      <w:proofErr w:type="spellEnd"/>
      <w:r w:rsidRPr="00070E6B">
        <w:t xml:space="preserve"> viruso variantų, pradedami tiksliniai viruso atmainos E484K variantų tyrimai</w:t>
      </w:r>
      <w:r w:rsidRPr="007B7C4D">
        <w:t>.</w:t>
      </w:r>
      <w:r>
        <w:t xml:space="preserve"> Laboratorijų pajėgumai atliekant </w:t>
      </w:r>
      <w:proofErr w:type="spellStart"/>
      <w:r>
        <w:t>sekoskaitos</w:t>
      </w:r>
      <w:proofErr w:type="spellEnd"/>
      <w:r>
        <w:t xml:space="preserve"> tyrimus pateikti 1 lentelėje.</w:t>
      </w:r>
    </w:p>
    <w:p w14:paraId="61B72A1C" w14:textId="77777777" w:rsidR="003037C7" w:rsidRDefault="003037C7" w:rsidP="003037C7">
      <w:pPr>
        <w:spacing w:line="276" w:lineRule="auto"/>
        <w:ind w:firstLine="720"/>
        <w:jc w:val="both"/>
      </w:pPr>
    </w:p>
    <w:p w14:paraId="4AD75A60" w14:textId="77777777" w:rsidR="003037C7" w:rsidRDefault="003037C7" w:rsidP="003037C7">
      <w:pPr>
        <w:spacing w:line="276" w:lineRule="auto"/>
        <w:ind w:firstLine="720"/>
        <w:jc w:val="both"/>
      </w:pPr>
    </w:p>
    <w:p w14:paraId="42B2E56C" w14:textId="77777777" w:rsidR="003037C7" w:rsidRDefault="003037C7" w:rsidP="003037C7">
      <w:pPr>
        <w:spacing w:line="276" w:lineRule="auto"/>
        <w:ind w:firstLine="720"/>
        <w:jc w:val="both"/>
        <w:rPr>
          <w:b/>
          <w:bCs/>
          <w:color w:val="17365D" w:themeColor="text2" w:themeShade="BF"/>
          <w:szCs w:val="24"/>
        </w:rPr>
      </w:pPr>
      <w:r w:rsidRPr="00BD4F6C">
        <w:rPr>
          <w:b/>
          <w:bCs/>
          <w:color w:val="17365D" w:themeColor="text2" w:themeShade="BF"/>
        </w:rPr>
        <w:t>1 lentelė.</w:t>
      </w:r>
      <w:r w:rsidRPr="00BD4F6C">
        <w:rPr>
          <w:b/>
          <w:bCs/>
          <w:color w:val="17365D" w:themeColor="text2" w:themeShade="BF"/>
          <w:szCs w:val="24"/>
        </w:rPr>
        <w:t xml:space="preserve"> </w:t>
      </w:r>
      <w:proofErr w:type="spellStart"/>
      <w:r w:rsidRPr="00BD4F6C">
        <w:rPr>
          <w:b/>
          <w:bCs/>
          <w:color w:val="17365D" w:themeColor="text2" w:themeShade="BF"/>
          <w:szCs w:val="24"/>
        </w:rPr>
        <w:t>Sekoskaitos</w:t>
      </w:r>
      <w:proofErr w:type="spellEnd"/>
      <w:r w:rsidRPr="00BD4F6C">
        <w:rPr>
          <w:b/>
          <w:bCs/>
          <w:color w:val="17365D" w:themeColor="text2" w:themeShade="BF"/>
          <w:szCs w:val="24"/>
        </w:rPr>
        <w:t xml:space="preserve"> duomenų suvestinė (2021 m. vasario–kovo duomenys)</w:t>
      </w:r>
    </w:p>
    <w:p w14:paraId="64184430" w14:textId="77777777" w:rsidR="003037C7" w:rsidRPr="00BD4F6C" w:rsidRDefault="003037C7" w:rsidP="003037C7">
      <w:pPr>
        <w:spacing w:line="276" w:lineRule="auto"/>
        <w:ind w:firstLine="720"/>
        <w:jc w:val="both"/>
        <w:rPr>
          <w:b/>
          <w:bCs/>
          <w:color w:val="17365D" w:themeColor="text2" w:themeShade="B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75"/>
        <w:gridCol w:w="2220"/>
        <w:gridCol w:w="2565"/>
        <w:gridCol w:w="2370"/>
      </w:tblGrid>
      <w:tr w:rsidR="003037C7" w:rsidRPr="00900B34" w14:paraId="4C46F4F7" w14:textId="77777777" w:rsidTr="007940F1">
        <w:trPr>
          <w:jc w:val="center"/>
        </w:trPr>
        <w:tc>
          <w:tcPr>
            <w:tcW w:w="2475" w:type="dxa"/>
            <w:shd w:val="clear" w:color="auto" w:fill="B8CCE4" w:themeFill="accent1" w:themeFillTint="66"/>
            <w:vAlign w:val="center"/>
            <w:hideMark/>
          </w:tcPr>
          <w:p w14:paraId="11FCCB1E" w14:textId="77777777" w:rsidR="003037C7" w:rsidRPr="002E56B3" w:rsidRDefault="003037C7" w:rsidP="007940F1">
            <w:pPr>
              <w:jc w:val="center"/>
              <w:rPr>
                <w:sz w:val="20"/>
                <w:lang w:eastAsia="en-GB"/>
              </w:rPr>
            </w:pPr>
            <w:r w:rsidRPr="002E56B3">
              <w:rPr>
                <w:b/>
                <w:bCs/>
                <w:color w:val="000000"/>
                <w:sz w:val="20"/>
                <w:lang w:eastAsia="en-GB"/>
              </w:rPr>
              <w:t>Laboratorijos pavadinimas</w:t>
            </w:r>
          </w:p>
        </w:tc>
        <w:tc>
          <w:tcPr>
            <w:tcW w:w="2220" w:type="dxa"/>
            <w:shd w:val="clear" w:color="auto" w:fill="B8CCE4" w:themeFill="accent1" w:themeFillTint="66"/>
            <w:vAlign w:val="center"/>
            <w:hideMark/>
          </w:tcPr>
          <w:p w14:paraId="2A090408" w14:textId="77777777" w:rsidR="003037C7" w:rsidRPr="002E56B3" w:rsidRDefault="003037C7" w:rsidP="007940F1">
            <w:pPr>
              <w:jc w:val="center"/>
              <w:rPr>
                <w:sz w:val="20"/>
                <w:lang w:eastAsia="en-GB"/>
              </w:rPr>
            </w:pPr>
            <w:r w:rsidRPr="002E56B3">
              <w:rPr>
                <w:b/>
                <w:bCs/>
                <w:color w:val="000000"/>
                <w:sz w:val="20"/>
                <w:lang w:eastAsia="en-GB"/>
              </w:rPr>
              <w:t>Bendras laboratorijoje ištirtų ėminių skaičius</w:t>
            </w:r>
          </w:p>
        </w:tc>
        <w:tc>
          <w:tcPr>
            <w:tcW w:w="2565" w:type="dxa"/>
            <w:shd w:val="clear" w:color="auto" w:fill="B8CCE4" w:themeFill="accent1" w:themeFillTint="66"/>
            <w:vAlign w:val="center"/>
            <w:hideMark/>
          </w:tcPr>
          <w:p w14:paraId="36EC8158" w14:textId="77777777" w:rsidR="003037C7" w:rsidRPr="002E56B3" w:rsidRDefault="003037C7" w:rsidP="007940F1">
            <w:pPr>
              <w:jc w:val="center"/>
              <w:rPr>
                <w:sz w:val="20"/>
                <w:lang w:eastAsia="en-GB"/>
              </w:rPr>
            </w:pPr>
            <w:r w:rsidRPr="002E56B3">
              <w:rPr>
                <w:b/>
                <w:bCs/>
                <w:color w:val="000000"/>
                <w:sz w:val="20"/>
                <w:lang w:eastAsia="en-GB"/>
              </w:rPr>
              <w:t>Bendras laboratorijoje nustatytų B.1.1.7 viruso linijos sukeltų atvejų skaičius</w:t>
            </w:r>
          </w:p>
        </w:tc>
        <w:tc>
          <w:tcPr>
            <w:tcW w:w="2370" w:type="dxa"/>
            <w:shd w:val="clear" w:color="auto" w:fill="B8CCE4" w:themeFill="accent1" w:themeFillTint="66"/>
            <w:vAlign w:val="center"/>
            <w:hideMark/>
          </w:tcPr>
          <w:p w14:paraId="2A2AF007" w14:textId="77777777" w:rsidR="003037C7" w:rsidRPr="002E56B3" w:rsidRDefault="003037C7" w:rsidP="007940F1">
            <w:pPr>
              <w:jc w:val="center"/>
              <w:rPr>
                <w:sz w:val="20"/>
                <w:lang w:eastAsia="en-GB"/>
              </w:rPr>
            </w:pPr>
            <w:r w:rsidRPr="002E56B3">
              <w:rPr>
                <w:b/>
                <w:bCs/>
                <w:color w:val="000000"/>
                <w:sz w:val="20"/>
                <w:lang w:eastAsia="en-GB"/>
              </w:rPr>
              <w:t>Bendras laboratorijoje nustatytų B.1.351 viruso linijos sukeltų atvejų skaičius</w:t>
            </w:r>
          </w:p>
        </w:tc>
      </w:tr>
      <w:tr w:rsidR="003037C7" w:rsidRPr="00900B34" w14:paraId="260F1576" w14:textId="77777777" w:rsidTr="007940F1">
        <w:trPr>
          <w:jc w:val="center"/>
        </w:trPr>
        <w:tc>
          <w:tcPr>
            <w:tcW w:w="2475" w:type="dxa"/>
            <w:shd w:val="clear" w:color="auto" w:fill="DBE5F1" w:themeFill="accent1" w:themeFillTint="33"/>
            <w:vAlign w:val="center"/>
            <w:hideMark/>
          </w:tcPr>
          <w:p w14:paraId="593078F4" w14:textId="77777777" w:rsidR="003037C7" w:rsidRPr="002E56B3" w:rsidRDefault="003037C7" w:rsidP="007940F1">
            <w:pPr>
              <w:rPr>
                <w:sz w:val="20"/>
                <w:lang w:eastAsia="en-GB"/>
              </w:rPr>
            </w:pPr>
            <w:r w:rsidRPr="002E56B3">
              <w:rPr>
                <w:color w:val="000000"/>
                <w:sz w:val="20"/>
                <w:lang w:eastAsia="en-GB"/>
              </w:rPr>
              <w:t>VUL Santaros klinikų laboratorija</w:t>
            </w:r>
          </w:p>
        </w:tc>
        <w:tc>
          <w:tcPr>
            <w:tcW w:w="2220" w:type="dxa"/>
            <w:shd w:val="clear" w:color="auto" w:fill="FFFFFF"/>
            <w:vAlign w:val="center"/>
            <w:hideMark/>
          </w:tcPr>
          <w:p w14:paraId="339CFE96" w14:textId="77777777" w:rsidR="003037C7" w:rsidRPr="00E53A91" w:rsidRDefault="003037C7" w:rsidP="007940F1">
            <w:pPr>
              <w:jc w:val="center"/>
              <w:rPr>
                <w:sz w:val="20"/>
                <w:lang w:eastAsia="en-GB"/>
              </w:rPr>
            </w:pPr>
            <w:r w:rsidRPr="00070E6B">
              <w:rPr>
                <w:color w:val="000000"/>
                <w:sz w:val="20"/>
                <w:shd w:val="clear" w:color="auto" w:fill="FFFFFF"/>
              </w:rPr>
              <w:t>1</w:t>
            </w:r>
            <w:r>
              <w:rPr>
                <w:color w:val="000000"/>
                <w:sz w:val="20"/>
                <w:shd w:val="clear" w:color="auto" w:fill="FFFFFF"/>
              </w:rPr>
              <w:t xml:space="preserve"> </w:t>
            </w:r>
            <w:r w:rsidRPr="00070E6B">
              <w:rPr>
                <w:color w:val="000000"/>
                <w:sz w:val="20"/>
                <w:shd w:val="clear" w:color="auto" w:fill="FFFFFF"/>
              </w:rPr>
              <w:t>143</w:t>
            </w:r>
          </w:p>
        </w:tc>
        <w:tc>
          <w:tcPr>
            <w:tcW w:w="2565" w:type="dxa"/>
            <w:shd w:val="clear" w:color="auto" w:fill="FFFFFF"/>
            <w:vAlign w:val="center"/>
            <w:hideMark/>
          </w:tcPr>
          <w:p w14:paraId="28DF8115" w14:textId="77777777" w:rsidR="003037C7" w:rsidRPr="00E53A91" w:rsidRDefault="003037C7" w:rsidP="007940F1">
            <w:pPr>
              <w:jc w:val="center"/>
              <w:rPr>
                <w:sz w:val="20"/>
                <w:lang w:eastAsia="en-GB"/>
              </w:rPr>
            </w:pPr>
            <w:r w:rsidRPr="00070E6B">
              <w:rPr>
                <w:color w:val="000000"/>
                <w:sz w:val="20"/>
                <w:shd w:val="clear" w:color="auto" w:fill="FFFFFF"/>
              </w:rPr>
              <w:t>321</w:t>
            </w:r>
          </w:p>
        </w:tc>
        <w:tc>
          <w:tcPr>
            <w:tcW w:w="2370" w:type="dxa"/>
            <w:shd w:val="clear" w:color="auto" w:fill="FFFFFF"/>
            <w:vAlign w:val="center"/>
            <w:hideMark/>
          </w:tcPr>
          <w:p w14:paraId="2167CC23" w14:textId="77777777" w:rsidR="003037C7" w:rsidRPr="00E53A91" w:rsidRDefault="003037C7" w:rsidP="007940F1">
            <w:pPr>
              <w:jc w:val="center"/>
              <w:rPr>
                <w:sz w:val="20"/>
                <w:lang w:eastAsia="en-GB"/>
              </w:rPr>
            </w:pPr>
            <w:r w:rsidRPr="00070E6B">
              <w:rPr>
                <w:color w:val="000000"/>
                <w:sz w:val="20"/>
                <w:lang w:val="en-US" w:eastAsia="en-GB"/>
              </w:rPr>
              <w:t>5</w:t>
            </w:r>
          </w:p>
        </w:tc>
      </w:tr>
      <w:tr w:rsidR="003037C7" w:rsidRPr="00900B34" w14:paraId="2CC56E4B" w14:textId="77777777" w:rsidTr="007940F1">
        <w:trPr>
          <w:jc w:val="center"/>
        </w:trPr>
        <w:tc>
          <w:tcPr>
            <w:tcW w:w="2475" w:type="dxa"/>
            <w:shd w:val="clear" w:color="auto" w:fill="DBE5F1" w:themeFill="accent1" w:themeFillTint="33"/>
            <w:vAlign w:val="center"/>
            <w:hideMark/>
          </w:tcPr>
          <w:p w14:paraId="2BB712EE" w14:textId="77777777" w:rsidR="003037C7" w:rsidRPr="002E56B3" w:rsidRDefault="003037C7" w:rsidP="007940F1">
            <w:pPr>
              <w:rPr>
                <w:sz w:val="20"/>
                <w:lang w:eastAsia="en-GB"/>
              </w:rPr>
            </w:pPr>
            <w:r w:rsidRPr="002E56B3">
              <w:rPr>
                <w:color w:val="000000"/>
                <w:sz w:val="20"/>
                <w:lang w:eastAsia="en-GB"/>
              </w:rPr>
              <w:t>LSMUL Kauno klinikų laboratorija</w:t>
            </w:r>
          </w:p>
        </w:tc>
        <w:tc>
          <w:tcPr>
            <w:tcW w:w="2220" w:type="dxa"/>
            <w:shd w:val="clear" w:color="auto" w:fill="FFFFFF"/>
            <w:vAlign w:val="center"/>
            <w:hideMark/>
          </w:tcPr>
          <w:p w14:paraId="295DFDBE" w14:textId="77777777" w:rsidR="003037C7" w:rsidRPr="00E53A91" w:rsidRDefault="003037C7" w:rsidP="007940F1">
            <w:pPr>
              <w:jc w:val="center"/>
              <w:rPr>
                <w:sz w:val="20"/>
                <w:lang w:eastAsia="en-GB"/>
              </w:rPr>
            </w:pPr>
            <w:r w:rsidRPr="00070E6B">
              <w:rPr>
                <w:color w:val="000000"/>
                <w:sz w:val="20"/>
                <w:shd w:val="clear" w:color="auto" w:fill="FFFFFF"/>
              </w:rPr>
              <w:t>450</w:t>
            </w:r>
          </w:p>
        </w:tc>
        <w:tc>
          <w:tcPr>
            <w:tcW w:w="2565" w:type="dxa"/>
            <w:shd w:val="clear" w:color="auto" w:fill="FFFFFF"/>
            <w:vAlign w:val="center"/>
            <w:hideMark/>
          </w:tcPr>
          <w:p w14:paraId="15DC2E3A" w14:textId="77777777" w:rsidR="003037C7" w:rsidRPr="00E53A91" w:rsidRDefault="003037C7" w:rsidP="007940F1">
            <w:pPr>
              <w:jc w:val="center"/>
              <w:rPr>
                <w:sz w:val="20"/>
                <w:lang w:eastAsia="en-GB"/>
              </w:rPr>
            </w:pPr>
            <w:r w:rsidRPr="00070E6B">
              <w:rPr>
                <w:color w:val="000000"/>
                <w:sz w:val="20"/>
                <w:shd w:val="clear" w:color="auto" w:fill="FFFFFF"/>
              </w:rPr>
              <w:t>167</w:t>
            </w:r>
          </w:p>
        </w:tc>
        <w:tc>
          <w:tcPr>
            <w:tcW w:w="2370" w:type="dxa"/>
            <w:shd w:val="clear" w:color="auto" w:fill="FFFFFF"/>
            <w:vAlign w:val="center"/>
            <w:hideMark/>
          </w:tcPr>
          <w:p w14:paraId="3AE6367F" w14:textId="77777777" w:rsidR="003037C7" w:rsidRPr="00E53A91" w:rsidRDefault="003037C7" w:rsidP="007940F1">
            <w:pPr>
              <w:jc w:val="center"/>
              <w:rPr>
                <w:sz w:val="20"/>
                <w:lang w:eastAsia="en-GB"/>
              </w:rPr>
            </w:pPr>
            <w:r w:rsidRPr="00E53A91">
              <w:rPr>
                <w:color w:val="000000"/>
                <w:sz w:val="20"/>
                <w:lang w:eastAsia="en-GB"/>
              </w:rPr>
              <w:t>0</w:t>
            </w:r>
          </w:p>
        </w:tc>
      </w:tr>
      <w:tr w:rsidR="003037C7" w:rsidRPr="00900B34" w14:paraId="11D56509" w14:textId="77777777" w:rsidTr="007940F1">
        <w:trPr>
          <w:jc w:val="center"/>
        </w:trPr>
        <w:tc>
          <w:tcPr>
            <w:tcW w:w="2475" w:type="dxa"/>
            <w:shd w:val="clear" w:color="auto" w:fill="DBE5F1" w:themeFill="accent1" w:themeFillTint="33"/>
            <w:vAlign w:val="center"/>
            <w:hideMark/>
          </w:tcPr>
          <w:p w14:paraId="2D250A04" w14:textId="77777777" w:rsidR="003037C7" w:rsidRPr="002E56B3" w:rsidRDefault="003037C7" w:rsidP="007940F1">
            <w:pPr>
              <w:rPr>
                <w:sz w:val="20"/>
                <w:lang w:eastAsia="en-GB"/>
              </w:rPr>
            </w:pPr>
            <w:r w:rsidRPr="002E56B3">
              <w:rPr>
                <w:color w:val="000000"/>
                <w:sz w:val="20"/>
                <w:lang w:eastAsia="en-GB"/>
              </w:rPr>
              <w:t>Referentinė  Europos ligų prevencijos ir kontrolės centro laboratorija</w:t>
            </w:r>
          </w:p>
        </w:tc>
        <w:tc>
          <w:tcPr>
            <w:tcW w:w="2220" w:type="dxa"/>
            <w:shd w:val="clear" w:color="auto" w:fill="FFFFFF"/>
            <w:vAlign w:val="center"/>
            <w:hideMark/>
          </w:tcPr>
          <w:p w14:paraId="00FDFBF8" w14:textId="77777777" w:rsidR="003037C7" w:rsidRPr="00D53BE6" w:rsidRDefault="003037C7" w:rsidP="007940F1">
            <w:pPr>
              <w:jc w:val="center"/>
              <w:rPr>
                <w:sz w:val="20"/>
                <w:lang w:eastAsia="en-GB"/>
              </w:rPr>
            </w:pPr>
            <w:r w:rsidRPr="00E53A91">
              <w:rPr>
                <w:color w:val="000000"/>
                <w:sz w:val="20"/>
                <w:lang w:eastAsia="en-GB"/>
              </w:rPr>
              <w:t>425</w:t>
            </w:r>
          </w:p>
        </w:tc>
        <w:tc>
          <w:tcPr>
            <w:tcW w:w="2565" w:type="dxa"/>
            <w:shd w:val="clear" w:color="auto" w:fill="FFFFFF"/>
            <w:vAlign w:val="center"/>
            <w:hideMark/>
          </w:tcPr>
          <w:p w14:paraId="2AB81BA2" w14:textId="77777777" w:rsidR="003037C7" w:rsidRPr="00E53A91" w:rsidRDefault="003037C7" w:rsidP="007940F1">
            <w:pPr>
              <w:jc w:val="center"/>
              <w:rPr>
                <w:sz w:val="20"/>
                <w:lang w:eastAsia="en-GB"/>
              </w:rPr>
            </w:pPr>
            <w:r w:rsidRPr="00E53A91">
              <w:rPr>
                <w:color w:val="000000"/>
                <w:sz w:val="20"/>
                <w:lang w:eastAsia="en-GB"/>
              </w:rPr>
              <w:t>10</w:t>
            </w:r>
          </w:p>
        </w:tc>
        <w:tc>
          <w:tcPr>
            <w:tcW w:w="2370" w:type="dxa"/>
            <w:shd w:val="clear" w:color="auto" w:fill="FFFFFF"/>
            <w:vAlign w:val="center"/>
            <w:hideMark/>
          </w:tcPr>
          <w:p w14:paraId="7408D4B7" w14:textId="77777777" w:rsidR="003037C7" w:rsidRPr="00E53A91" w:rsidRDefault="003037C7" w:rsidP="007940F1">
            <w:pPr>
              <w:jc w:val="center"/>
              <w:rPr>
                <w:sz w:val="20"/>
                <w:lang w:eastAsia="en-GB"/>
              </w:rPr>
            </w:pPr>
            <w:r w:rsidRPr="00E53A91">
              <w:rPr>
                <w:color w:val="000000"/>
                <w:sz w:val="20"/>
                <w:lang w:eastAsia="en-GB"/>
              </w:rPr>
              <w:t>0</w:t>
            </w:r>
          </w:p>
        </w:tc>
      </w:tr>
      <w:tr w:rsidR="003037C7" w:rsidRPr="00900B34" w14:paraId="2DDD72B2" w14:textId="77777777" w:rsidTr="007940F1">
        <w:trPr>
          <w:jc w:val="center"/>
        </w:trPr>
        <w:tc>
          <w:tcPr>
            <w:tcW w:w="2475" w:type="dxa"/>
            <w:shd w:val="clear" w:color="auto" w:fill="DBE5F1" w:themeFill="accent1" w:themeFillTint="33"/>
            <w:vAlign w:val="center"/>
            <w:hideMark/>
          </w:tcPr>
          <w:p w14:paraId="4291BF65" w14:textId="77777777" w:rsidR="003037C7" w:rsidRPr="002E56B3" w:rsidRDefault="003037C7" w:rsidP="007940F1">
            <w:pPr>
              <w:rPr>
                <w:sz w:val="20"/>
                <w:lang w:eastAsia="en-GB"/>
              </w:rPr>
            </w:pPr>
            <w:r w:rsidRPr="002E56B3">
              <w:rPr>
                <w:color w:val="000000"/>
                <w:sz w:val="20"/>
                <w:lang w:eastAsia="en-GB"/>
              </w:rPr>
              <w:t>Vilniaus universiteto Gyvybės mokslų centras</w:t>
            </w:r>
          </w:p>
        </w:tc>
        <w:tc>
          <w:tcPr>
            <w:tcW w:w="2220" w:type="dxa"/>
            <w:shd w:val="clear" w:color="auto" w:fill="FFFFFF"/>
            <w:vAlign w:val="center"/>
            <w:hideMark/>
          </w:tcPr>
          <w:p w14:paraId="6C685736" w14:textId="77777777" w:rsidR="003037C7" w:rsidRPr="00D53BE6" w:rsidRDefault="003037C7" w:rsidP="007940F1">
            <w:pPr>
              <w:jc w:val="center"/>
              <w:rPr>
                <w:sz w:val="20"/>
                <w:lang w:eastAsia="en-GB"/>
              </w:rPr>
            </w:pPr>
            <w:r w:rsidRPr="00E53A91">
              <w:rPr>
                <w:color w:val="000000"/>
                <w:sz w:val="20"/>
                <w:lang w:eastAsia="en-GB"/>
              </w:rPr>
              <w:t>48</w:t>
            </w:r>
          </w:p>
        </w:tc>
        <w:tc>
          <w:tcPr>
            <w:tcW w:w="2565" w:type="dxa"/>
            <w:shd w:val="clear" w:color="auto" w:fill="FFFFFF"/>
            <w:vAlign w:val="center"/>
            <w:hideMark/>
          </w:tcPr>
          <w:p w14:paraId="79E6A46E" w14:textId="77777777" w:rsidR="003037C7" w:rsidRPr="00E53A91" w:rsidRDefault="003037C7" w:rsidP="007940F1">
            <w:pPr>
              <w:jc w:val="center"/>
              <w:rPr>
                <w:sz w:val="20"/>
                <w:lang w:eastAsia="en-GB"/>
              </w:rPr>
            </w:pPr>
            <w:r w:rsidRPr="00E53A91">
              <w:rPr>
                <w:color w:val="000000"/>
                <w:sz w:val="20"/>
                <w:lang w:eastAsia="en-GB"/>
              </w:rPr>
              <w:t>10</w:t>
            </w:r>
          </w:p>
        </w:tc>
        <w:tc>
          <w:tcPr>
            <w:tcW w:w="2370" w:type="dxa"/>
            <w:shd w:val="clear" w:color="auto" w:fill="FFFFFF"/>
            <w:vAlign w:val="center"/>
            <w:hideMark/>
          </w:tcPr>
          <w:p w14:paraId="203F0CDE" w14:textId="77777777" w:rsidR="003037C7" w:rsidRPr="00E53A91" w:rsidRDefault="003037C7" w:rsidP="007940F1">
            <w:pPr>
              <w:jc w:val="center"/>
              <w:rPr>
                <w:sz w:val="20"/>
                <w:lang w:eastAsia="en-GB"/>
              </w:rPr>
            </w:pPr>
            <w:r w:rsidRPr="00E53A91">
              <w:rPr>
                <w:color w:val="000000"/>
                <w:sz w:val="20"/>
                <w:lang w:eastAsia="en-GB"/>
              </w:rPr>
              <w:t>0</w:t>
            </w:r>
          </w:p>
        </w:tc>
      </w:tr>
      <w:tr w:rsidR="003037C7" w:rsidRPr="00900B34" w14:paraId="0DC4F876" w14:textId="77777777" w:rsidTr="007940F1">
        <w:trPr>
          <w:jc w:val="center"/>
        </w:trPr>
        <w:tc>
          <w:tcPr>
            <w:tcW w:w="2475" w:type="dxa"/>
            <w:shd w:val="clear" w:color="auto" w:fill="DBE5F1" w:themeFill="accent1" w:themeFillTint="33"/>
            <w:vAlign w:val="center"/>
            <w:hideMark/>
          </w:tcPr>
          <w:p w14:paraId="2385EC89" w14:textId="77777777" w:rsidR="003037C7" w:rsidRPr="002E56B3" w:rsidRDefault="003037C7" w:rsidP="007940F1">
            <w:pPr>
              <w:rPr>
                <w:sz w:val="20"/>
                <w:lang w:eastAsia="en-GB"/>
              </w:rPr>
            </w:pPr>
            <w:r w:rsidRPr="002E56B3">
              <w:rPr>
                <w:color w:val="000000"/>
                <w:sz w:val="20"/>
                <w:lang w:eastAsia="en-GB"/>
              </w:rPr>
              <w:t>Lietuvos sveikatos mokslų universitetas</w:t>
            </w:r>
          </w:p>
        </w:tc>
        <w:tc>
          <w:tcPr>
            <w:tcW w:w="2220" w:type="dxa"/>
            <w:shd w:val="clear" w:color="auto" w:fill="FFFFFF"/>
            <w:vAlign w:val="center"/>
            <w:hideMark/>
          </w:tcPr>
          <w:p w14:paraId="63CFFD63" w14:textId="77777777" w:rsidR="003037C7" w:rsidRPr="00E53A91" w:rsidRDefault="003037C7" w:rsidP="007940F1">
            <w:pPr>
              <w:jc w:val="center"/>
              <w:rPr>
                <w:sz w:val="20"/>
                <w:lang w:eastAsia="en-GB"/>
              </w:rPr>
            </w:pPr>
            <w:r w:rsidRPr="00070E6B">
              <w:rPr>
                <w:color w:val="000000"/>
                <w:sz w:val="20"/>
                <w:lang w:eastAsia="en-GB"/>
              </w:rPr>
              <w:t>49</w:t>
            </w:r>
          </w:p>
        </w:tc>
        <w:tc>
          <w:tcPr>
            <w:tcW w:w="2565" w:type="dxa"/>
            <w:shd w:val="clear" w:color="auto" w:fill="FFFFFF"/>
            <w:vAlign w:val="center"/>
            <w:hideMark/>
          </w:tcPr>
          <w:p w14:paraId="3D38B2F4" w14:textId="77777777" w:rsidR="003037C7" w:rsidRPr="00E53A91" w:rsidRDefault="003037C7" w:rsidP="007940F1">
            <w:pPr>
              <w:jc w:val="center"/>
              <w:rPr>
                <w:sz w:val="20"/>
                <w:lang w:eastAsia="en-GB"/>
              </w:rPr>
            </w:pPr>
            <w:r w:rsidRPr="00070E6B">
              <w:rPr>
                <w:color w:val="000000"/>
                <w:sz w:val="20"/>
                <w:lang w:eastAsia="en-GB"/>
              </w:rPr>
              <w:t>11</w:t>
            </w:r>
          </w:p>
        </w:tc>
        <w:tc>
          <w:tcPr>
            <w:tcW w:w="2370" w:type="dxa"/>
            <w:shd w:val="clear" w:color="auto" w:fill="FFFFFF"/>
            <w:vAlign w:val="center"/>
            <w:hideMark/>
          </w:tcPr>
          <w:p w14:paraId="43361B60" w14:textId="77777777" w:rsidR="003037C7" w:rsidRPr="00E53A91" w:rsidRDefault="003037C7" w:rsidP="007940F1">
            <w:pPr>
              <w:jc w:val="center"/>
              <w:rPr>
                <w:sz w:val="20"/>
                <w:lang w:eastAsia="en-GB"/>
              </w:rPr>
            </w:pPr>
            <w:r w:rsidRPr="00E53A91">
              <w:rPr>
                <w:color w:val="000000"/>
                <w:sz w:val="20"/>
                <w:lang w:eastAsia="en-GB"/>
              </w:rPr>
              <w:t>0</w:t>
            </w:r>
          </w:p>
        </w:tc>
      </w:tr>
      <w:tr w:rsidR="003037C7" w:rsidRPr="00900B34" w14:paraId="101B069F" w14:textId="77777777" w:rsidTr="007940F1">
        <w:trPr>
          <w:jc w:val="center"/>
        </w:trPr>
        <w:tc>
          <w:tcPr>
            <w:tcW w:w="2475" w:type="dxa"/>
            <w:shd w:val="clear" w:color="auto" w:fill="DBE5F1" w:themeFill="accent1" w:themeFillTint="33"/>
            <w:vAlign w:val="center"/>
            <w:hideMark/>
          </w:tcPr>
          <w:p w14:paraId="587C7E63" w14:textId="77777777" w:rsidR="003037C7" w:rsidRPr="002E56B3" w:rsidRDefault="003037C7" w:rsidP="007940F1">
            <w:pPr>
              <w:rPr>
                <w:sz w:val="20"/>
                <w:lang w:eastAsia="en-GB"/>
              </w:rPr>
            </w:pPr>
            <w:r w:rsidRPr="002E56B3">
              <w:rPr>
                <w:b/>
                <w:bCs/>
                <w:color w:val="000000"/>
                <w:sz w:val="20"/>
                <w:lang w:eastAsia="en-GB"/>
              </w:rPr>
              <w:t>Bendras skaičius</w:t>
            </w:r>
          </w:p>
        </w:tc>
        <w:tc>
          <w:tcPr>
            <w:tcW w:w="2220" w:type="dxa"/>
            <w:shd w:val="clear" w:color="auto" w:fill="FFFFFF"/>
            <w:vAlign w:val="center"/>
            <w:hideMark/>
          </w:tcPr>
          <w:p w14:paraId="3B098CA8" w14:textId="77777777" w:rsidR="003037C7" w:rsidRPr="00E53A91" w:rsidRDefault="003037C7" w:rsidP="007940F1">
            <w:pPr>
              <w:jc w:val="center"/>
              <w:rPr>
                <w:sz w:val="20"/>
                <w:lang w:eastAsia="en-GB"/>
              </w:rPr>
            </w:pPr>
            <w:r w:rsidRPr="00070E6B">
              <w:rPr>
                <w:b/>
                <w:bCs/>
                <w:color w:val="000000"/>
                <w:sz w:val="20"/>
                <w:lang w:eastAsia="en-GB"/>
              </w:rPr>
              <w:t>2</w:t>
            </w:r>
            <w:r>
              <w:rPr>
                <w:b/>
                <w:bCs/>
                <w:color w:val="000000"/>
                <w:sz w:val="20"/>
                <w:lang w:eastAsia="en-GB"/>
              </w:rPr>
              <w:t xml:space="preserve"> </w:t>
            </w:r>
            <w:r w:rsidRPr="00070E6B">
              <w:rPr>
                <w:b/>
                <w:bCs/>
                <w:color w:val="000000"/>
                <w:sz w:val="20"/>
                <w:lang w:eastAsia="en-GB"/>
              </w:rPr>
              <w:t>115</w:t>
            </w:r>
          </w:p>
        </w:tc>
        <w:tc>
          <w:tcPr>
            <w:tcW w:w="2565" w:type="dxa"/>
            <w:shd w:val="clear" w:color="auto" w:fill="FFFFFF"/>
            <w:vAlign w:val="center"/>
            <w:hideMark/>
          </w:tcPr>
          <w:p w14:paraId="7865EA0F" w14:textId="77777777" w:rsidR="003037C7" w:rsidRPr="00E53A91" w:rsidRDefault="003037C7" w:rsidP="007940F1">
            <w:pPr>
              <w:jc w:val="center"/>
              <w:rPr>
                <w:sz w:val="20"/>
                <w:lang w:eastAsia="en-GB"/>
              </w:rPr>
            </w:pPr>
            <w:r w:rsidRPr="00070E6B">
              <w:rPr>
                <w:b/>
                <w:bCs/>
                <w:color w:val="000000"/>
                <w:sz w:val="20"/>
                <w:lang w:eastAsia="en-GB"/>
              </w:rPr>
              <w:t>519</w:t>
            </w:r>
          </w:p>
        </w:tc>
        <w:tc>
          <w:tcPr>
            <w:tcW w:w="2370" w:type="dxa"/>
            <w:shd w:val="clear" w:color="auto" w:fill="FFFFFF"/>
            <w:vAlign w:val="center"/>
            <w:hideMark/>
          </w:tcPr>
          <w:p w14:paraId="78D14A44" w14:textId="77777777" w:rsidR="003037C7" w:rsidRPr="00E53A91" w:rsidRDefault="003037C7" w:rsidP="007940F1">
            <w:pPr>
              <w:jc w:val="center"/>
              <w:rPr>
                <w:sz w:val="20"/>
                <w:lang w:eastAsia="en-GB"/>
              </w:rPr>
            </w:pPr>
            <w:r w:rsidRPr="00070E6B">
              <w:rPr>
                <w:b/>
                <w:bCs/>
                <w:color w:val="000000"/>
                <w:sz w:val="20"/>
                <w:lang w:eastAsia="en-GB"/>
              </w:rPr>
              <w:t>5</w:t>
            </w:r>
          </w:p>
        </w:tc>
      </w:tr>
    </w:tbl>
    <w:p w14:paraId="77D9B53C" w14:textId="77777777" w:rsidR="003037C7" w:rsidRDefault="003037C7" w:rsidP="003037C7">
      <w:pPr>
        <w:shd w:val="clear" w:color="auto" w:fill="FFFFFF"/>
        <w:jc w:val="center"/>
        <w:rPr>
          <w:szCs w:val="24"/>
          <w:lang w:eastAsia="en-GB"/>
        </w:rPr>
      </w:pPr>
    </w:p>
    <w:p w14:paraId="760AB6D4" w14:textId="77777777" w:rsidR="003037C7" w:rsidRPr="00E30055" w:rsidRDefault="003037C7" w:rsidP="003037C7">
      <w:pPr>
        <w:shd w:val="clear" w:color="auto" w:fill="FFFFFF"/>
        <w:jc w:val="center"/>
        <w:rPr>
          <w:color w:val="666666"/>
          <w:szCs w:val="24"/>
          <w:lang w:val="en-GB" w:eastAsia="en-GB"/>
        </w:rPr>
      </w:pPr>
      <w:r w:rsidRPr="00E30055">
        <w:rPr>
          <w:szCs w:val="24"/>
          <w:lang w:eastAsia="en-GB"/>
        </w:rPr>
        <w:t>Šaltinis –</w:t>
      </w:r>
      <w:r>
        <w:rPr>
          <w:szCs w:val="24"/>
          <w:lang w:eastAsia="en-GB"/>
        </w:rPr>
        <w:t xml:space="preserve"> </w:t>
      </w:r>
      <w:r w:rsidRPr="00E30055">
        <w:rPr>
          <w:szCs w:val="24"/>
          <w:lang w:eastAsia="en-GB"/>
        </w:rPr>
        <w:t>NVSPL</w:t>
      </w:r>
    </w:p>
    <w:p w14:paraId="1414E2EC" w14:textId="77777777" w:rsidR="003037C7" w:rsidRDefault="003037C7" w:rsidP="003037C7">
      <w:pPr>
        <w:spacing w:line="276" w:lineRule="auto"/>
        <w:ind w:firstLine="720"/>
        <w:jc w:val="both"/>
      </w:pPr>
    </w:p>
    <w:p w14:paraId="00522D9D" w14:textId="77777777" w:rsidR="003037C7" w:rsidRPr="00BA0025" w:rsidRDefault="003037C7" w:rsidP="003037C7">
      <w:pPr>
        <w:tabs>
          <w:tab w:val="left" w:pos="993"/>
        </w:tabs>
        <w:spacing w:line="276" w:lineRule="auto"/>
        <w:ind w:firstLine="709"/>
        <w:jc w:val="both"/>
        <w:rPr>
          <w:color w:val="000000"/>
          <w:szCs w:val="24"/>
        </w:rPr>
      </w:pPr>
      <w:r>
        <w:rPr>
          <w:szCs w:val="24"/>
        </w:rPr>
        <w:t xml:space="preserve">Reikia pažymėti, kad 2020 m. gruodžio 27 d. sklandžiai startavo ir šiuo metu vyksta vienas pagrindinių pandemijos suvaldymo procesų – </w:t>
      </w:r>
      <w:r w:rsidRPr="00BA0101">
        <w:rPr>
          <w:szCs w:val="24"/>
        </w:rPr>
        <w:t>vakcinacija</w:t>
      </w:r>
      <w:r w:rsidRPr="008968CC">
        <w:rPr>
          <w:szCs w:val="24"/>
        </w:rPr>
        <w:t>.</w:t>
      </w:r>
      <w:r>
        <w:rPr>
          <w:szCs w:val="24"/>
        </w:rPr>
        <w:t xml:space="preserve"> Jau 2020 m. gruodžio pabaigoje p</w:t>
      </w:r>
      <w:r>
        <w:rPr>
          <w:color w:val="000000"/>
          <w:szCs w:val="24"/>
        </w:rPr>
        <w:t xml:space="preserve">radėtas įgyvendinti vakcinacijos nuo COVID-19 ligos priemonių planas, patvirtinta </w:t>
      </w:r>
      <w:r w:rsidRPr="003201FB">
        <w:rPr>
          <w:color w:val="000000"/>
          <w:szCs w:val="24"/>
          <w:shd w:val="clear" w:color="auto" w:fill="FFFFFF"/>
        </w:rPr>
        <w:t xml:space="preserve">Gyventojų skiepijimo valstybės biudžeto lėšomis įsigyta </w:t>
      </w:r>
      <w:r>
        <w:rPr>
          <w:color w:val="000000"/>
          <w:szCs w:val="24"/>
          <w:shd w:val="clear" w:color="auto" w:fill="FFFFFF"/>
        </w:rPr>
        <w:t xml:space="preserve">COVID-19 ligos </w:t>
      </w:r>
      <w:r w:rsidRPr="003201FB">
        <w:rPr>
          <w:color w:val="000000"/>
          <w:szCs w:val="24"/>
          <w:shd w:val="clear" w:color="auto" w:fill="FFFFFF"/>
        </w:rPr>
        <w:t>vakcina organizavimo tvark</w:t>
      </w:r>
      <w:r>
        <w:rPr>
          <w:color w:val="000000"/>
          <w:szCs w:val="24"/>
          <w:shd w:val="clear" w:color="auto" w:fill="FFFFFF"/>
        </w:rPr>
        <w:t>a</w:t>
      </w:r>
      <w:r w:rsidRPr="003201FB">
        <w:rPr>
          <w:color w:val="000000"/>
          <w:szCs w:val="24"/>
          <w:shd w:val="clear" w:color="auto" w:fill="FFFFFF"/>
        </w:rPr>
        <w:t>,</w:t>
      </w:r>
      <w:r w:rsidRPr="003201FB">
        <w:rPr>
          <w:rStyle w:val="Puslapioinaosnuoroda"/>
          <w:color w:val="000000"/>
          <w:szCs w:val="24"/>
          <w:shd w:val="clear" w:color="auto" w:fill="FFFFFF"/>
        </w:rPr>
        <w:footnoteReference w:id="1"/>
      </w:r>
      <w:r w:rsidRPr="003201FB">
        <w:rPr>
          <w:color w:val="000000"/>
          <w:szCs w:val="24"/>
          <w:shd w:val="clear" w:color="auto" w:fill="FFFFFF"/>
        </w:rPr>
        <w:t xml:space="preserve"> </w:t>
      </w:r>
      <w:r>
        <w:rPr>
          <w:color w:val="000000"/>
          <w:szCs w:val="24"/>
          <w:shd w:val="clear" w:color="auto" w:fill="FFFFFF"/>
        </w:rPr>
        <w:t xml:space="preserve">nustatanti </w:t>
      </w:r>
      <w:r w:rsidRPr="003201FB">
        <w:rPr>
          <w:color w:val="000000"/>
          <w:szCs w:val="24"/>
          <w:shd w:val="clear" w:color="auto" w:fill="FFFFFF"/>
        </w:rPr>
        <w:t xml:space="preserve">skiepijimo </w:t>
      </w:r>
      <w:r>
        <w:rPr>
          <w:color w:val="000000"/>
          <w:szCs w:val="24"/>
          <w:shd w:val="clear" w:color="auto" w:fill="FFFFFF"/>
        </w:rPr>
        <w:t xml:space="preserve">COVID-19 </w:t>
      </w:r>
      <w:r w:rsidRPr="003201FB">
        <w:rPr>
          <w:color w:val="000000"/>
          <w:szCs w:val="24"/>
          <w:shd w:val="clear" w:color="auto" w:fill="FFFFFF"/>
        </w:rPr>
        <w:t>vakcina paslaugų organizavimo ir teikimo tvarką,</w:t>
      </w:r>
      <w:r w:rsidRPr="003201FB">
        <w:rPr>
          <w:color w:val="000000"/>
          <w:szCs w:val="24"/>
        </w:rPr>
        <w:t xml:space="preserve"> COVID-19 vakcinų laikymo ir transportavimo sąlygas, informacijos apie COVID-19</w:t>
      </w:r>
      <w:r>
        <w:rPr>
          <w:color w:val="000000"/>
          <w:szCs w:val="24"/>
        </w:rPr>
        <w:t xml:space="preserve"> </w:t>
      </w:r>
      <w:r w:rsidRPr="003201FB">
        <w:rPr>
          <w:color w:val="000000"/>
          <w:szCs w:val="24"/>
        </w:rPr>
        <w:t>vakcinas pateikimo reikalavimus, skiepijimo COVID-19 vakcina paslaugos apmokėjimo tvarką.</w:t>
      </w:r>
      <w:r>
        <w:rPr>
          <w:color w:val="000000"/>
          <w:szCs w:val="24"/>
        </w:rPr>
        <w:t xml:space="preserve"> </w:t>
      </w:r>
    </w:p>
    <w:p w14:paraId="6BAC8426" w14:textId="77777777" w:rsidR="003037C7" w:rsidRPr="00F501F5" w:rsidRDefault="003037C7" w:rsidP="003037C7">
      <w:pPr>
        <w:spacing w:line="276" w:lineRule="auto"/>
        <w:ind w:firstLine="851"/>
        <w:jc w:val="both"/>
        <w:rPr>
          <w:rFonts w:eastAsiaTheme="minorHAnsi"/>
        </w:rPr>
      </w:pPr>
      <w:r w:rsidRPr="003D191A">
        <w:rPr>
          <w:rFonts w:eastAsiaTheme="minorHAnsi"/>
        </w:rPr>
        <w:t xml:space="preserve">2020 m. birželio 18 d. Lietuvos Respublikos </w:t>
      </w:r>
      <w:r>
        <w:rPr>
          <w:rFonts w:eastAsiaTheme="minorHAnsi"/>
        </w:rPr>
        <w:t>vardu Europos Komisijai</w:t>
      </w:r>
      <w:r w:rsidRPr="003D191A">
        <w:rPr>
          <w:rFonts w:eastAsiaTheme="minorHAnsi"/>
        </w:rPr>
        <w:t xml:space="preserve"> </w:t>
      </w:r>
      <w:r>
        <w:rPr>
          <w:rFonts w:eastAsiaTheme="minorHAnsi"/>
        </w:rPr>
        <w:t xml:space="preserve">(toliau </w:t>
      </w:r>
      <w:r>
        <w:rPr>
          <w:szCs w:val="24"/>
        </w:rPr>
        <w:t xml:space="preserve">– </w:t>
      </w:r>
      <w:r>
        <w:rPr>
          <w:rFonts w:eastAsiaTheme="minorHAnsi"/>
        </w:rPr>
        <w:t xml:space="preserve">EK) </w:t>
      </w:r>
      <w:r w:rsidRPr="003D191A">
        <w:rPr>
          <w:rFonts w:eastAsiaTheme="minorHAnsi"/>
        </w:rPr>
        <w:t xml:space="preserve">buvo suteikti įgaliojimai, dalyvaujant </w:t>
      </w:r>
      <w:r>
        <w:rPr>
          <w:rFonts w:eastAsiaTheme="minorHAnsi"/>
        </w:rPr>
        <w:t xml:space="preserve">Europos Sąjungos (toliau </w:t>
      </w:r>
      <w:r>
        <w:rPr>
          <w:szCs w:val="24"/>
        </w:rPr>
        <w:t xml:space="preserve">– </w:t>
      </w:r>
      <w:r>
        <w:rPr>
          <w:rFonts w:eastAsiaTheme="minorHAnsi"/>
        </w:rPr>
        <w:t xml:space="preserve">ES) </w:t>
      </w:r>
      <w:r w:rsidRPr="003D191A">
        <w:rPr>
          <w:rFonts w:eastAsiaTheme="minorHAnsi"/>
        </w:rPr>
        <w:t>valstybėms narėms, su vakcinų gamintojais sudaryti išankstin</w:t>
      </w:r>
      <w:r>
        <w:rPr>
          <w:rFonts w:eastAsiaTheme="minorHAnsi"/>
        </w:rPr>
        <w:t>es</w:t>
      </w:r>
      <w:r w:rsidRPr="003D191A">
        <w:rPr>
          <w:rFonts w:eastAsiaTheme="minorHAnsi"/>
        </w:rPr>
        <w:t xml:space="preserve"> vakcin</w:t>
      </w:r>
      <w:r>
        <w:rPr>
          <w:rFonts w:eastAsiaTheme="minorHAnsi"/>
        </w:rPr>
        <w:t>ų</w:t>
      </w:r>
      <w:r w:rsidRPr="003D191A">
        <w:rPr>
          <w:rFonts w:eastAsiaTheme="minorHAnsi"/>
        </w:rPr>
        <w:t xml:space="preserve"> nuo COVID-19 pirkimo sutart</w:t>
      </w:r>
      <w:r>
        <w:rPr>
          <w:rFonts w:eastAsiaTheme="minorHAnsi"/>
        </w:rPr>
        <w:t>is</w:t>
      </w:r>
      <w:r w:rsidRPr="003D191A">
        <w:rPr>
          <w:rFonts w:eastAsiaTheme="minorHAnsi"/>
        </w:rPr>
        <w:t>.</w:t>
      </w:r>
      <w:r>
        <w:rPr>
          <w:rFonts w:eastAsiaTheme="minorHAnsi"/>
        </w:rPr>
        <w:t xml:space="preserve"> </w:t>
      </w:r>
      <w:r>
        <w:t xml:space="preserve">Išankstinės sutartys, kuriose </w:t>
      </w:r>
      <w:r w:rsidRPr="007E332C">
        <w:t>dalyvauja</w:t>
      </w:r>
      <w:r>
        <w:t xml:space="preserve"> ir Lietuva, yra sudarytos su šešiais vakcinų gamintojais: </w:t>
      </w:r>
      <w:proofErr w:type="spellStart"/>
      <w:r w:rsidRPr="00F501F5">
        <w:rPr>
          <w:i/>
          <w:iCs/>
        </w:rPr>
        <w:t>AstraZeneca</w:t>
      </w:r>
      <w:proofErr w:type="spellEnd"/>
      <w:r w:rsidRPr="00F501F5">
        <w:rPr>
          <w:i/>
          <w:iCs/>
        </w:rPr>
        <w:t xml:space="preserve">, </w:t>
      </w:r>
      <w:proofErr w:type="spellStart"/>
      <w:r w:rsidRPr="00F501F5">
        <w:rPr>
          <w:i/>
          <w:iCs/>
        </w:rPr>
        <w:t>Janssen</w:t>
      </w:r>
      <w:proofErr w:type="spellEnd"/>
      <w:r w:rsidRPr="00F501F5">
        <w:rPr>
          <w:i/>
          <w:iCs/>
        </w:rPr>
        <w:t xml:space="preserve"> </w:t>
      </w:r>
      <w:proofErr w:type="spellStart"/>
      <w:r w:rsidRPr="00F501F5">
        <w:rPr>
          <w:i/>
          <w:iCs/>
        </w:rPr>
        <w:t>Pharmaceutica</w:t>
      </w:r>
      <w:proofErr w:type="spellEnd"/>
      <w:r w:rsidRPr="00F501F5">
        <w:rPr>
          <w:i/>
          <w:iCs/>
        </w:rPr>
        <w:t xml:space="preserve"> NV, </w:t>
      </w:r>
      <w:proofErr w:type="spellStart"/>
      <w:r w:rsidRPr="00F501F5">
        <w:rPr>
          <w:i/>
          <w:iCs/>
        </w:rPr>
        <w:t>Sanofi</w:t>
      </w:r>
      <w:proofErr w:type="spellEnd"/>
      <w:r w:rsidRPr="00F501F5">
        <w:rPr>
          <w:i/>
          <w:iCs/>
        </w:rPr>
        <w:t xml:space="preserve"> </w:t>
      </w:r>
      <w:proofErr w:type="spellStart"/>
      <w:r w:rsidRPr="00F501F5">
        <w:rPr>
          <w:i/>
          <w:iCs/>
        </w:rPr>
        <w:t>Pasteur</w:t>
      </w:r>
      <w:proofErr w:type="spellEnd"/>
      <w:r w:rsidRPr="00F501F5">
        <w:rPr>
          <w:i/>
          <w:iCs/>
        </w:rPr>
        <w:t xml:space="preserve"> &amp; GSK, </w:t>
      </w:r>
      <w:proofErr w:type="spellStart"/>
      <w:r w:rsidRPr="00F501F5">
        <w:rPr>
          <w:i/>
          <w:iCs/>
        </w:rPr>
        <w:t>BioNTech</w:t>
      </w:r>
      <w:proofErr w:type="spellEnd"/>
      <w:r w:rsidRPr="00F501F5">
        <w:rPr>
          <w:i/>
          <w:iCs/>
        </w:rPr>
        <w:t xml:space="preserve"> &amp; </w:t>
      </w:r>
      <w:proofErr w:type="spellStart"/>
      <w:r w:rsidRPr="00F501F5">
        <w:rPr>
          <w:i/>
          <w:iCs/>
        </w:rPr>
        <w:t>Pfizer</w:t>
      </w:r>
      <w:proofErr w:type="spellEnd"/>
      <w:r w:rsidRPr="00F501F5">
        <w:rPr>
          <w:i/>
          <w:iCs/>
        </w:rPr>
        <w:t xml:space="preserve">, </w:t>
      </w:r>
      <w:proofErr w:type="spellStart"/>
      <w:r w:rsidRPr="00F501F5">
        <w:rPr>
          <w:i/>
          <w:iCs/>
        </w:rPr>
        <w:t>CureVac</w:t>
      </w:r>
      <w:proofErr w:type="spellEnd"/>
      <w:r w:rsidRPr="00F501F5">
        <w:rPr>
          <w:i/>
          <w:iCs/>
        </w:rPr>
        <w:t xml:space="preserve"> ir </w:t>
      </w:r>
      <w:proofErr w:type="spellStart"/>
      <w:r w:rsidRPr="00F501F5">
        <w:rPr>
          <w:i/>
          <w:iCs/>
        </w:rPr>
        <w:t>Moderna</w:t>
      </w:r>
      <w:proofErr w:type="spellEnd"/>
      <w:r w:rsidRPr="00F501F5">
        <w:rPr>
          <w:i/>
          <w:iCs/>
        </w:rPr>
        <w:t>.</w:t>
      </w:r>
      <w:r>
        <w:t xml:space="preserve"> </w:t>
      </w:r>
      <w:r w:rsidRPr="00207EFB">
        <w:t>Lietuva</w:t>
      </w:r>
      <w:r>
        <w:t xml:space="preserve"> sudarė sutarčių įsigyti </w:t>
      </w:r>
      <w:r w:rsidRPr="00207EFB">
        <w:t xml:space="preserve">daugiau nei </w:t>
      </w:r>
      <w:r>
        <w:br/>
      </w:r>
      <w:r w:rsidRPr="00207EFB">
        <w:t>7 mln. vakcinos dozių.</w:t>
      </w:r>
    </w:p>
    <w:p w14:paraId="545694C6" w14:textId="77777777" w:rsidR="003037C7" w:rsidRPr="00207EFB" w:rsidRDefault="003037C7" w:rsidP="003037C7">
      <w:pPr>
        <w:pStyle w:val="prastasiniatinklio"/>
        <w:spacing w:before="0" w:beforeAutospacing="0" w:after="0" w:afterAutospacing="0" w:line="276" w:lineRule="auto"/>
        <w:ind w:firstLine="720"/>
        <w:jc w:val="both"/>
        <w:rPr>
          <w:lang w:val="lt-LT"/>
        </w:rPr>
      </w:pPr>
      <w:r w:rsidRPr="00207EFB">
        <w:rPr>
          <w:lang w:val="lt-LT"/>
        </w:rPr>
        <w:t xml:space="preserve">Nuspręsta, kad vakcinos bus skirstomos </w:t>
      </w:r>
      <w:r>
        <w:rPr>
          <w:lang w:val="lt-LT"/>
        </w:rPr>
        <w:t xml:space="preserve">ES </w:t>
      </w:r>
      <w:r w:rsidRPr="00207EFB">
        <w:rPr>
          <w:lang w:val="lt-LT"/>
        </w:rPr>
        <w:t>valstybėms</w:t>
      </w:r>
      <w:r>
        <w:rPr>
          <w:lang w:val="lt-LT"/>
        </w:rPr>
        <w:t xml:space="preserve"> narėms</w:t>
      </w:r>
      <w:r w:rsidRPr="00207EFB">
        <w:rPr>
          <w:lang w:val="lt-LT"/>
        </w:rPr>
        <w:t xml:space="preserve"> lygiomis proporcijomis, atsižvelgiant į gyventojų skaičių. </w:t>
      </w:r>
      <w:r>
        <w:rPr>
          <w:lang w:val="lt-LT"/>
        </w:rPr>
        <w:t xml:space="preserve">Vertinama, kad, siekiant efektyvios apsaugos nuo COVID-19, būtina paskiepyti ne mažiau nei 70 proc. visos populiacijos. </w:t>
      </w:r>
    </w:p>
    <w:p w14:paraId="1896589B" w14:textId="77777777" w:rsidR="003037C7" w:rsidRDefault="003037C7" w:rsidP="003037C7">
      <w:pPr>
        <w:tabs>
          <w:tab w:val="left" w:pos="993"/>
        </w:tabs>
        <w:spacing w:line="276" w:lineRule="auto"/>
        <w:ind w:firstLine="709"/>
        <w:jc w:val="both"/>
      </w:pPr>
      <w:r>
        <w:rPr>
          <w:color w:val="000000"/>
          <w:szCs w:val="24"/>
        </w:rPr>
        <w:t xml:space="preserve">2020 m. gruodžio 26 d. </w:t>
      </w:r>
      <w:r w:rsidRPr="008627F2">
        <w:rPr>
          <w:color w:val="000000"/>
          <w:szCs w:val="24"/>
        </w:rPr>
        <w:t xml:space="preserve">į Lietuvą pristatyta pirmoji dviejų farmacijos kompanijų </w:t>
      </w:r>
      <w:proofErr w:type="spellStart"/>
      <w:r w:rsidRPr="00F501F5">
        <w:rPr>
          <w:i/>
          <w:iCs/>
        </w:rPr>
        <w:t>BioNTech</w:t>
      </w:r>
      <w:proofErr w:type="spellEnd"/>
      <w:r w:rsidRPr="00F501F5">
        <w:rPr>
          <w:i/>
          <w:iCs/>
        </w:rPr>
        <w:t xml:space="preserve"> &amp; </w:t>
      </w:r>
      <w:proofErr w:type="spellStart"/>
      <w:r w:rsidRPr="00F501F5">
        <w:rPr>
          <w:i/>
          <w:iCs/>
        </w:rPr>
        <w:t>Pfizer</w:t>
      </w:r>
      <w:proofErr w:type="spellEnd"/>
      <w:r w:rsidRPr="008627F2">
        <w:rPr>
          <w:color w:val="000000"/>
          <w:szCs w:val="24"/>
        </w:rPr>
        <w:t xml:space="preserve"> bendrai sukurtos vakcinos siunta</w:t>
      </w:r>
      <w:r>
        <w:rPr>
          <w:color w:val="000000"/>
          <w:szCs w:val="24"/>
        </w:rPr>
        <w:t xml:space="preserve">. </w:t>
      </w:r>
      <w:r>
        <w:t xml:space="preserve">Remiantis NEPT rekomendacijomis, buvo sudarytas vakcinacijos prioritetų sąrašas, kuriame pirmieji pradėti skiepyti medicinos darbuotojai. Toliau prioritetinio sąrašo </w:t>
      </w:r>
      <w:r>
        <w:lastRenderedPageBreak/>
        <w:t xml:space="preserve">eilėje buvo pacientai ir vyresnio amžiaus asmenys, turintys didžiausią riziką mirti nuo COVID-19. </w:t>
      </w:r>
      <w:r w:rsidRPr="0002580A">
        <w:t xml:space="preserve">Gruodžio 27 d. paskiepyti </w:t>
      </w:r>
      <w:r w:rsidRPr="00BA0101">
        <w:t>pirmieji</w:t>
      </w:r>
      <w:r w:rsidRPr="0002580A">
        <w:t xml:space="preserve"> medikai</w:t>
      </w:r>
      <w:r>
        <w:t xml:space="preserve">, o per pirmąjį 2021 m. ketvirtį paskiepyti </w:t>
      </w:r>
      <w:r w:rsidRPr="00070E6B">
        <w:t xml:space="preserve">visi norintys </w:t>
      </w:r>
      <w:r>
        <w:t xml:space="preserve">šalies medicinos darbuotojai. Atvykstant naujoms vakcinų siuntoms, pradėti skiepyti palaikomojo gydymo ir slaugos paslaugas teikiančių įstaigų darbuotojai ir pacientai bei socialinių įstaigų darbuotojai ir gyventojai, vaistinių darbuotojai, vyresni nei 65 metų amžiaus asmenys, gretutinėmis ligomis sergantys asmenys, artimo ar ilgalaikio socialinio kontakto negalintys išvengti ar visuomenei svarbias funkcijas atliekantys darbuotojai. Paskiepijus visas prioritetines grupes, skiepytis bus kviečiami visi norintys. 5  paveiksle pateikiami duomenys apie </w:t>
      </w:r>
      <w:bookmarkStart w:id="7" w:name="_Hlk67517676"/>
      <w:r>
        <w:t>skiepijimo apimtį 2021 m. I ketvirtį</w:t>
      </w:r>
      <w:bookmarkEnd w:id="7"/>
      <w:r>
        <w:t>.</w:t>
      </w:r>
    </w:p>
    <w:p w14:paraId="5AD202A1" w14:textId="77777777" w:rsidR="003037C7" w:rsidRDefault="003037C7" w:rsidP="003037C7">
      <w:pPr>
        <w:spacing w:line="276" w:lineRule="auto"/>
        <w:ind w:firstLine="709"/>
        <w:jc w:val="both"/>
        <w:rPr>
          <w:szCs w:val="24"/>
          <w:lang w:eastAsia="en-GB"/>
        </w:rPr>
      </w:pPr>
      <w:r>
        <w:t xml:space="preserve">Siekiant, kad vakcinacijos procesas vyktų sklandžiai, derinti </w:t>
      </w:r>
      <w:r w:rsidRPr="00963599">
        <w:t>skiepijim</w:t>
      </w:r>
      <w:r>
        <w:t>ą pavesta savivaldybėms. K</w:t>
      </w:r>
      <w:r w:rsidRPr="00BA0025">
        <w:rPr>
          <w:szCs w:val="24"/>
          <w:lang w:eastAsia="en-GB"/>
        </w:rPr>
        <w:t>iekviena savivaldybė turi skiepijimo koordinatorių – savivaldybės gydytoją ar kitą administracijos darbuotoją, kuris koordinuo</w:t>
      </w:r>
      <w:r>
        <w:rPr>
          <w:szCs w:val="24"/>
          <w:lang w:eastAsia="en-GB"/>
        </w:rPr>
        <w:t xml:space="preserve">ja </w:t>
      </w:r>
      <w:r w:rsidRPr="00BA0025">
        <w:rPr>
          <w:szCs w:val="24"/>
          <w:lang w:eastAsia="en-GB"/>
        </w:rPr>
        <w:t>vakcinacijos procesą konkrečioje savivaldybėje bei prioritetinių grupių paskiepijimą organizuo</w:t>
      </w:r>
      <w:r>
        <w:rPr>
          <w:szCs w:val="24"/>
          <w:lang w:eastAsia="en-GB"/>
        </w:rPr>
        <w:t>j</w:t>
      </w:r>
      <w:r w:rsidRPr="00BA0025">
        <w:rPr>
          <w:szCs w:val="24"/>
          <w:lang w:eastAsia="en-GB"/>
        </w:rPr>
        <w:t>anči</w:t>
      </w:r>
      <w:r>
        <w:rPr>
          <w:szCs w:val="24"/>
          <w:lang w:eastAsia="en-GB"/>
        </w:rPr>
        <w:t>ose</w:t>
      </w:r>
      <w:r w:rsidRPr="00BA0025">
        <w:rPr>
          <w:szCs w:val="24"/>
          <w:lang w:eastAsia="en-GB"/>
        </w:rPr>
        <w:t xml:space="preserve"> asmens sveikatos priežiūros įstaig</w:t>
      </w:r>
      <w:r>
        <w:rPr>
          <w:szCs w:val="24"/>
          <w:lang w:eastAsia="en-GB"/>
        </w:rPr>
        <w:t>ose</w:t>
      </w:r>
      <w:r w:rsidRPr="00BA0025">
        <w:rPr>
          <w:szCs w:val="24"/>
          <w:lang w:eastAsia="en-GB"/>
        </w:rPr>
        <w:t>.</w:t>
      </w:r>
      <w:r>
        <w:rPr>
          <w:szCs w:val="24"/>
          <w:lang w:eastAsia="en-GB"/>
        </w:rPr>
        <w:t xml:space="preserve"> </w:t>
      </w:r>
      <w:r w:rsidRPr="00BA0025">
        <w:rPr>
          <w:szCs w:val="24"/>
          <w:lang w:eastAsia="en-GB"/>
        </w:rPr>
        <w:t>Paskirti koordinatoriai organizuo</w:t>
      </w:r>
      <w:r>
        <w:rPr>
          <w:szCs w:val="24"/>
          <w:lang w:eastAsia="en-GB"/>
        </w:rPr>
        <w:t>ja</w:t>
      </w:r>
      <w:r w:rsidRPr="00BA0025">
        <w:rPr>
          <w:szCs w:val="24"/>
          <w:lang w:eastAsia="en-GB"/>
        </w:rPr>
        <w:t xml:space="preserve"> skiepijimą nuo </w:t>
      </w:r>
      <w:r>
        <w:rPr>
          <w:szCs w:val="24"/>
          <w:lang w:eastAsia="en-GB"/>
        </w:rPr>
        <w:t>COVID-19</w:t>
      </w:r>
      <w:r w:rsidRPr="00BA0025">
        <w:rPr>
          <w:szCs w:val="24"/>
          <w:lang w:eastAsia="en-GB"/>
        </w:rPr>
        <w:t xml:space="preserve"> </w:t>
      </w:r>
      <w:r>
        <w:rPr>
          <w:szCs w:val="24"/>
          <w:lang w:eastAsia="en-GB"/>
        </w:rPr>
        <w:t>savo</w:t>
      </w:r>
      <w:r w:rsidRPr="00BA0025">
        <w:rPr>
          <w:szCs w:val="24"/>
          <w:lang w:eastAsia="en-GB"/>
        </w:rPr>
        <w:t xml:space="preserve"> savivaldybių teritorijoje esančiose gydymo įstaigose. S</w:t>
      </w:r>
      <w:r>
        <w:rPr>
          <w:szCs w:val="24"/>
          <w:lang w:eastAsia="en-GB"/>
        </w:rPr>
        <w:t>veikatos apsaugos ministerijos</w:t>
      </w:r>
      <w:r w:rsidRPr="00BA0025">
        <w:rPr>
          <w:szCs w:val="24"/>
          <w:lang w:eastAsia="en-GB"/>
        </w:rPr>
        <w:t xml:space="preserve"> ekspertai glaudžiai bendradarbiau</w:t>
      </w:r>
      <w:r>
        <w:rPr>
          <w:szCs w:val="24"/>
          <w:lang w:eastAsia="en-GB"/>
        </w:rPr>
        <w:t xml:space="preserve">ja </w:t>
      </w:r>
      <w:r w:rsidRPr="00BA0025">
        <w:rPr>
          <w:szCs w:val="24"/>
          <w:lang w:eastAsia="en-GB"/>
        </w:rPr>
        <w:t>su koordinatoriais.</w:t>
      </w:r>
    </w:p>
    <w:p w14:paraId="45BBCFE7" w14:textId="77777777" w:rsidR="003037C7" w:rsidRPr="00E30055" w:rsidRDefault="003037C7" w:rsidP="003037C7">
      <w:pPr>
        <w:pStyle w:val="prastasiniatinklio"/>
        <w:spacing w:before="0" w:beforeAutospacing="0" w:after="0" w:afterAutospacing="0" w:line="276" w:lineRule="auto"/>
        <w:ind w:firstLine="709"/>
        <w:jc w:val="both"/>
        <w:rPr>
          <w:lang w:val="lt-LT"/>
        </w:rPr>
      </w:pPr>
      <w:r w:rsidRPr="00E30055">
        <w:rPr>
          <w:lang w:val="lt-LT"/>
        </w:rPr>
        <w:t xml:space="preserve">Pažymėtina, kad Lietuva patenka tarp </w:t>
      </w:r>
      <w:r>
        <w:rPr>
          <w:lang w:val="lt-LT"/>
        </w:rPr>
        <w:t xml:space="preserve">ES </w:t>
      </w:r>
      <w:r w:rsidRPr="00E30055">
        <w:rPr>
          <w:lang w:val="lt-LT"/>
        </w:rPr>
        <w:t xml:space="preserve">šalių lyderių pagal skiepijimo greitį ir </w:t>
      </w:r>
      <w:r>
        <w:rPr>
          <w:lang w:val="lt-LT"/>
        </w:rPr>
        <w:t>2021 m. kovą bent viena vakcinos doze</w:t>
      </w:r>
      <w:r w:rsidDel="008968CC">
        <w:rPr>
          <w:lang w:val="lt-LT"/>
        </w:rPr>
        <w:t xml:space="preserve"> </w:t>
      </w:r>
      <w:r w:rsidRPr="00E30055">
        <w:rPr>
          <w:lang w:val="lt-LT"/>
        </w:rPr>
        <w:t>jau yra paskiep</w:t>
      </w:r>
      <w:r>
        <w:rPr>
          <w:lang w:val="lt-LT"/>
        </w:rPr>
        <w:t>ij</w:t>
      </w:r>
      <w:r w:rsidRPr="00E30055">
        <w:rPr>
          <w:lang w:val="lt-LT"/>
        </w:rPr>
        <w:t xml:space="preserve">usi apie 10 proc. populiacijos. </w:t>
      </w:r>
      <w:r>
        <w:rPr>
          <w:lang w:val="lt-LT"/>
        </w:rPr>
        <w:t>Didėjant pristatomų vakcinų kiekiui</w:t>
      </w:r>
      <w:r w:rsidRPr="00E30055">
        <w:rPr>
          <w:lang w:val="lt-LT"/>
        </w:rPr>
        <w:t xml:space="preserve">, procesas taps </w:t>
      </w:r>
      <w:r>
        <w:rPr>
          <w:lang w:val="lt-LT"/>
        </w:rPr>
        <w:t xml:space="preserve">dar </w:t>
      </w:r>
      <w:r w:rsidRPr="00E30055">
        <w:rPr>
          <w:lang w:val="lt-LT"/>
        </w:rPr>
        <w:t xml:space="preserve">spartesnis. </w:t>
      </w:r>
    </w:p>
    <w:p w14:paraId="51239C98" w14:textId="77777777" w:rsidR="003037C7" w:rsidRPr="007B60E0" w:rsidRDefault="003037C7" w:rsidP="003037C7">
      <w:pPr>
        <w:pStyle w:val="prastasiniatinklio"/>
        <w:spacing w:before="0" w:beforeAutospacing="0" w:after="0" w:afterAutospacing="0" w:line="276" w:lineRule="auto"/>
        <w:ind w:firstLine="709"/>
        <w:jc w:val="both"/>
        <w:rPr>
          <w:lang w:val="lt-LT"/>
        </w:rPr>
      </w:pPr>
      <w:r w:rsidRPr="00E30055">
        <w:rPr>
          <w:lang w:val="lt-LT"/>
        </w:rPr>
        <w:t>Lietuva remia EK pastangas didinti vakcinų įsigijimo proceso</w:t>
      </w:r>
      <w:r w:rsidRPr="007B60E0">
        <w:rPr>
          <w:lang w:val="lt-LT"/>
        </w:rPr>
        <w:t xml:space="preserve"> skaidrumą, spartinti Europos vaistų agentūros vakcinų autorizacijos procesą, ieškoti būdų padidinti vakcinos gamybos apimtis ir užtikrinti reguliarų tiekimą (vakcinų gamintojų sutartinių įsipareigojimų laikymąsi). Atsižvelg</w:t>
      </w:r>
      <w:r>
        <w:rPr>
          <w:lang w:val="lt-LT"/>
        </w:rPr>
        <w:t>dama</w:t>
      </w:r>
      <w:r w:rsidRPr="007B60E0">
        <w:rPr>
          <w:lang w:val="lt-LT"/>
        </w:rPr>
        <w:t xml:space="preserve"> į vakcinų trūkumą ir poreikį užtikrinti ES savarankiškumą farmacijos srityje, </w:t>
      </w:r>
      <w:r>
        <w:rPr>
          <w:lang w:val="lt-LT"/>
        </w:rPr>
        <w:t xml:space="preserve">Vyriausybė pritaria nuostatai, kad </w:t>
      </w:r>
      <w:r w:rsidRPr="007B60E0">
        <w:rPr>
          <w:lang w:val="lt-LT"/>
        </w:rPr>
        <w:t>ES privalo investuoti į Europos vaistų agentūros jau rekomenduotų vakcinų gamybos pajėgumus</w:t>
      </w:r>
      <w:r w:rsidRPr="00BA0101">
        <w:rPr>
          <w:lang w:val="lt-LT"/>
        </w:rPr>
        <w:t xml:space="preserve">, o </w:t>
      </w:r>
      <w:r>
        <w:rPr>
          <w:lang w:val="lt-LT"/>
        </w:rPr>
        <w:t>y</w:t>
      </w:r>
      <w:r w:rsidRPr="007B60E0">
        <w:rPr>
          <w:lang w:val="lt-LT"/>
        </w:rPr>
        <w:t>pating</w:t>
      </w:r>
      <w:r>
        <w:rPr>
          <w:lang w:val="lt-LT"/>
        </w:rPr>
        <w:t>ą</w:t>
      </w:r>
      <w:r w:rsidRPr="007B60E0">
        <w:rPr>
          <w:lang w:val="lt-LT"/>
        </w:rPr>
        <w:t xml:space="preserve"> dėmes</w:t>
      </w:r>
      <w:r>
        <w:rPr>
          <w:lang w:val="lt-LT"/>
        </w:rPr>
        <w:t xml:space="preserve">į skirti </w:t>
      </w:r>
      <w:r w:rsidRPr="007B60E0">
        <w:rPr>
          <w:lang w:val="lt-LT"/>
        </w:rPr>
        <w:t>gamybos tų vakcinų, prie kurių vystymo prisidėjo ES</w:t>
      </w:r>
      <w:r>
        <w:rPr>
          <w:lang w:val="lt-LT"/>
        </w:rPr>
        <w:t xml:space="preserve">, </w:t>
      </w:r>
      <w:r w:rsidRPr="007B60E0">
        <w:rPr>
          <w:lang w:val="lt-LT"/>
        </w:rPr>
        <w:t>pajėgum</w:t>
      </w:r>
      <w:r>
        <w:rPr>
          <w:lang w:val="lt-LT"/>
        </w:rPr>
        <w:t xml:space="preserve">ų </w:t>
      </w:r>
      <w:r w:rsidRPr="007B60E0">
        <w:rPr>
          <w:lang w:val="lt-LT"/>
        </w:rPr>
        <w:t>didin</w:t>
      </w:r>
      <w:r>
        <w:rPr>
          <w:lang w:val="lt-LT"/>
        </w:rPr>
        <w:t>imui</w:t>
      </w:r>
      <w:r w:rsidRPr="007B60E0">
        <w:rPr>
          <w:lang w:val="lt-LT"/>
        </w:rPr>
        <w:t xml:space="preserve">. </w:t>
      </w:r>
    </w:p>
    <w:p w14:paraId="5E3B5E97" w14:textId="77777777" w:rsidR="003037C7" w:rsidRDefault="003037C7" w:rsidP="003037C7">
      <w:pPr>
        <w:spacing w:line="276" w:lineRule="auto"/>
        <w:jc w:val="both"/>
      </w:pPr>
    </w:p>
    <w:p w14:paraId="26A8ABDC" w14:textId="77777777" w:rsidR="003037C7" w:rsidRPr="00CF6F5C" w:rsidRDefault="003037C7" w:rsidP="003037C7">
      <w:pPr>
        <w:ind w:right="8"/>
        <w:jc w:val="center"/>
        <w:rPr>
          <w:b/>
          <w:bCs/>
          <w:color w:val="17365D" w:themeColor="text2" w:themeShade="BF"/>
          <w:szCs w:val="24"/>
        </w:rPr>
      </w:pPr>
      <w:r>
        <w:rPr>
          <w:b/>
          <w:bCs/>
          <w:color w:val="17365D" w:themeColor="text2" w:themeShade="BF"/>
          <w:kern w:val="24"/>
          <w:szCs w:val="24"/>
          <w:lang w:val="en-GB"/>
        </w:rPr>
        <w:t>5</w:t>
      </w:r>
      <w:r w:rsidRPr="00B0765E">
        <w:rPr>
          <w:b/>
          <w:bCs/>
          <w:color w:val="17365D" w:themeColor="text2" w:themeShade="BF"/>
          <w:kern w:val="24"/>
          <w:szCs w:val="24"/>
          <w:lang w:val="en-GB"/>
        </w:rPr>
        <w:t xml:space="preserve"> </w:t>
      </w:r>
      <w:r w:rsidRPr="00B0765E">
        <w:rPr>
          <w:b/>
          <w:bCs/>
          <w:color w:val="17365D" w:themeColor="text2" w:themeShade="BF"/>
          <w:kern w:val="24"/>
          <w:szCs w:val="24"/>
        </w:rPr>
        <w:t xml:space="preserve">pav. </w:t>
      </w:r>
      <w:r>
        <w:rPr>
          <w:b/>
          <w:bCs/>
          <w:color w:val="17365D" w:themeColor="text2" w:themeShade="BF"/>
          <w:kern w:val="24"/>
          <w:szCs w:val="24"/>
        </w:rPr>
        <w:t>S</w:t>
      </w:r>
      <w:r w:rsidRPr="0055550E">
        <w:rPr>
          <w:b/>
          <w:bCs/>
          <w:color w:val="17365D" w:themeColor="text2" w:themeShade="BF"/>
          <w:kern w:val="24"/>
          <w:szCs w:val="24"/>
        </w:rPr>
        <w:t>kiepijimo apimt</w:t>
      </w:r>
      <w:r>
        <w:rPr>
          <w:b/>
          <w:bCs/>
          <w:color w:val="17365D" w:themeColor="text2" w:themeShade="BF"/>
          <w:kern w:val="24"/>
          <w:szCs w:val="24"/>
        </w:rPr>
        <w:t>y</w:t>
      </w:r>
      <w:r w:rsidRPr="0055550E">
        <w:rPr>
          <w:b/>
          <w:bCs/>
          <w:color w:val="17365D" w:themeColor="text2" w:themeShade="BF"/>
          <w:kern w:val="24"/>
          <w:szCs w:val="24"/>
        </w:rPr>
        <w:t xml:space="preserve">s </w:t>
      </w:r>
      <w:r>
        <w:rPr>
          <w:b/>
          <w:bCs/>
          <w:color w:val="17365D" w:themeColor="text2" w:themeShade="BF"/>
          <w:kern w:val="24"/>
          <w:szCs w:val="24"/>
        </w:rPr>
        <w:t xml:space="preserve">pagal prioritetines grupes </w:t>
      </w:r>
      <w:r w:rsidRPr="0055550E">
        <w:rPr>
          <w:b/>
          <w:bCs/>
          <w:color w:val="17365D" w:themeColor="text2" w:themeShade="BF"/>
          <w:kern w:val="24"/>
          <w:szCs w:val="24"/>
        </w:rPr>
        <w:t xml:space="preserve">2021 m. </w:t>
      </w:r>
      <w:r>
        <w:rPr>
          <w:b/>
          <w:bCs/>
          <w:color w:val="17365D" w:themeColor="text2" w:themeShade="BF"/>
          <w:kern w:val="24"/>
          <w:szCs w:val="24"/>
        </w:rPr>
        <w:t xml:space="preserve">I </w:t>
      </w:r>
      <w:r w:rsidRPr="0055550E">
        <w:rPr>
          <w:b/>
          <w:bCs/>
          <w:color w:val="17365D" w:themeColor="text2" w:themeShade="BF"/>
          <w:kern w:val="24"/>
          <w:szCs w:val="24"/>
        </w:rPr>
        <w:t>ketvirtį</w:t>
      </w:r>
    </w:p>
    <w:p w14:paraId="2FD5EB11" w14:textId="77777777" w:rsidR="003037C7" w:rsidRDefault="003037C7" w:rsidP="003037C7">
      <w:pPr>
        <w:spacing w:line="276" w:lineRule="auto"/>
        <w:ind w:firstLine="709"/>
        <w:jc w:val="both"/>
      </w:pPr>
    </w:p>
    <w:p w14:paraId="3CA7C457" w14:textId="77777777" w:rsidR="003037C7" w:rsidRDefault="003037C7" w:rsidP="003037C7">
      <w:pPr>
        <w:spacing w:line="276" w:lineRule="auto"/>
        <w:ind w:firstLine="709"/>
        <w:jc w:val="both"/>
      </w:pPr>
      <w:r w:rsidRPr="00DA68DA">
        <w:rPr>
          <w:noProof/>
        </w:rPr>
        <w:drawing>
          <wp:inline distT="0" distB="0" distL="0" distR="0" wp14:anchorId="0D0E2AC6" wp14:editId="738B9CAF">
            <wp:extent cx="6055360" cy="3406056"/>
            <wp:effectExtent l="0" t="0" r="254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70744" cy="3414709"/>
                    </a:xfrm>
                    <a:prstGeom prst="rect">
                      <a:avLst/>
                    </a:prstGeom>
                  </pic:spPr>
                </pic:pic>
              </a:graphicData>
            </a:graphic>
          </wp:inline>
        </w:drawing>
      </w:r>
    </w:p>
    <w:p w14:paraId="0B241D4B" w14:textId="77777777" w:rsidR="003037C7" w:rsidRPr="008129B9" w:rsidRDefault="003037C7" w:rsidP="003037C7">
      <w:pPr>
        <w:spacing w:line="276" w:lineRule="auto"/>
        <w:jc w:val="center"/>
      </w:pPr>
      <w:r w:rsidRPr="00A16468">
        <w:t xml:space="preserve">Duomenų šaltinis </w:t>
      </w:r>
      <w:r>
        <w:t xml:space="preserve">– </w:t>
      </w:r>
      <w:r w:rsidRPr="00BA0101">
        <w:rPr>
          <w:rFonts w:eastAsiaTheme="minorEastAsia"/>
          <w:kern w:val="24"/>
        </w:rPr>
        <w:t>Valstybės duomenų valdymo informacinė sistema</w:t>
      </w:r>
    </w:p>
    <w:p w14:paraId="03847801" w14:textId="77777777" w:rsidR="003037C7" w:rsidRDefault="003037C7" w:rsidP="003037C7">
      <w:pPr>
        <w:spacing w:line="276" w:lineRule="auto"/>
        <w:ind w:firstLine="709"/>
        <w:jc w:val="both"/>
      </w:pPr>
    </w:p>
    <w:p w14:paraId="0BFC62DB" w14:textId="77777777" w:rsidR="003037C7" w:rsidRPr="009E34EF" w:rsidRDefault="003037C7" w:rsidP="003037C7">
      <w:pPr>
        <w:pStyle w:val="Sraopastraipa"/>
        <w:tabs>
          <w:tab w:val="left" w:pos="873"/>
          <w:tab w:val="left" w:pos="908"/>
          <w:tab w:val="left" w:pos="993"/>
        </w:tabs>
        <w:spacing w:after="0" w:line="276" w:lineRule="auto"/>
        <w:ind w:left="0" w:firstLine="629"/>
        <w:jc w:val="both"/>
        <w:rPr>
          <w:rFonts w:ascii="Times" w:hAnsi="Times"/>
          <w:sz w:val="24"/>
          <w:szCs w:val="24"/>
        </w:rPr>
      </w:pPr>
      <w:r>
        <w:rPr>
          <w:rFonts w:ascii="Times New Roman" w:hAnsi="Times New Roman"/>
          <w:sz w:val="24"/>
          <w:szCs w:val="24"/>
        </w:rPr>
        <w:t xml:space="preserve">Specialus </w:t>
      </w:r>
      <w:r w:rsidRPr="00032539">
        <w:rPr>
          <w:rFonts w:ascii="Times New Roman" w:hAnsi="Times New Roman"/>
          <w:sz w:val="24"/>
          <w:szCs w:val="24"/>
        </w:rPr>
        <w:t xml:space="preserve">dėmesys skirtas žmonių psichinei ir emocinei būklei pandemijos metu. Sugriežtinus karantiną, </w:t>
      </w:r>
      <w:r>
        <w:rPr>
          <w:rFonts w:ascii="Times New Roman" w:hAnsi="Times New Roman"/>
          <w:sz w:val="24"/>
          <w:szCs w:val="24"/>
        </w:rPr>
        <w:t>visuomenė informuota apie</w:t>
      </w:r>
      <w:r w:rsidRPr="00032539">
        <w:rPr>
          <w:rFonts w:ascii="Times New Roman" w:hAnsi="Times New Roman"/>
          <w:sz w:val="24"/>
          <w:szCs w:val="24"/>
        </w:rPr>
        <w:t xml:space="preserve"> specialistų teikiamos psichologinės pagalbos galimyb</w:t>
      </w:r>
      <w:r>
        <w:rPr>
          <w:rFonts w:ascii="Times New Roman" w:hAnsi="Times New Roman"/>
          <w:sz w:val="24"/>
          <w:szCs w:val="24"/>
        </w:rPr>
        <w:t>e</w:t>
      </w:r>
      <w:r w:rsidRPr="00032539">
        <w:rPr>
          <w:rFonts w:ascii="Times New Roman" w:hAnsi="Times New Roman"/>
          <w:sz w:val="24"/>
          <w:szCs w:val="24"/>
        </w:rPr>
        <w:t xml:space="preserve">s. Darbo </w:t>
      </w:r>
      <w:r w:rsidRPr="00032539">
        <w:rPr>
          <w:rFonts w:ascii="Times New Roman" w:hAnsi="Times New Roman"/>
          <w:sz w:val="24"/>
          <w:szCs w:val="24"/>
        </w:rPr>
        <w:lastRenderedPageBreak/>
        <w:t>grupės klausimams, susijusiems su pagalbos COVID-19 ligos (</w:t>
      </w:r>
      <w:proofErr w:type="spellStart"/>
      <w:r w:rsidRPr="00032539">
        <w:rPr>
          <w:rFonts w:ascii="Times New Roman" w:hAnsi="Times New Roman"/>
          <w:sz w:val="24"/>
          <w:szCs w:val="24"/>
        </w:rPr>
        <w:t>koronaviruso</w:t>
      </w:r>
      <w:proofErr w:type="spellEnd"/>
      <w:r w:rsidRPr="00032539">
        <w:rPr>
          <w:rFonts w:ascii="Times New Roman" w:hAnsi="Times New Roman"/>
          <w:sz w:val="24"/>
          <w:szCs w:val="24"/>
        </w:rPr>
        <w:t xml:space="preserve"> infekcijos) sukeltos pandemijos paveiktoms asmenų grupėms teikimu, koordinuoti ir spręsti iniciatyva žmonės skatin</w:t>
      </w:r>
      <w:r>
        <w:rPr>
          <w:rFonts w:ascii="Times New Roman" w:hAnsi="Times New Roman"/>
          <w:sz w:val="24"/>
          <w:szCs w:val="24"/>
        </w:rPr>
        <w:t>ami</w:t>
      </w:r>
      <w:r w:rsidRPr="00032539">
        <w:rPr>
          <w:rFonts w:ascii="Times New Roman" w:hAnsi="Times New Roman"/>
          <w:sz w:val="24"/>
          <w:szCs w:val="24"/>
        </w:rPr>
        <w:t xml:space="preserve"> nebijoti ieškoti pagalbos, visuomenei teikiama informacija</w:t>
      </w:r>
      <w:r>
        <w:rPr>
          <w:rFonts w:ascii="Times New Roman" w:hAnsi="Times New Roman"/>
          <w:sz w:val="24"/>
          <w:szCs w:val="24"/>
        </w:rPr>
        <w:t>,</w:t>
      </w:r>
      <w:r w:rsidRPr="00032539">
        <w:rPr>
          <w:rFonts w:ascii="Times New Roman" w:hAnsi="Times New Roman"/>
          <w:sz w:val="24"/>
          <w:szCs w:val="24"/>
        </w:rPr>
        <w:t xml:space="preserve"> kokios šiuo metu yra galimybės</w:t>
      </w:r>
      <w:r>
        <w:rPr>
          <w:rFonts w:ascii="Times New Roman" w:hAnsi="Times New Roman"/>
          <w:sz w:val="24"/>
          <w:szCs w:val="24"/>
        </w:rPr>
        <w:t>,</w:t>
      </w:r>
      <w:r w:rsidRPr="00032539">
        <w:rPr>
          <w:rFonts w:ascii="Times New Roman" w:hAnsi="Times New Roman"/>
          <w:sz w:val="24"/>
          <w:szCs w:val="24"/>
        </w:rPr>
        <w:t xml:space="preserve"> kur </w:t>
      </w:r>
      <w:r>
        <w:rPr>
          <w:rFonts w:ascii="Times New Roman" w:hAnsi="Times New Roman"/>
          <w:sz w:val="24"/>
          <w:szCs w:val="24"/>
        </w:rPr>
        <w:t xml:space="preserve">ir kaip </w:t>
      </w:r>
      <w:r w:rsidRPr="00032539">
        <w:rPr>
          <w:rFonts w:ascii="Times New Roman" w:hAnsi="Times New Roman"/>
          <w:sz w:val="24"/>
          <w:szCs w:val="24"/>
        </w:rPr>
        <w:t xml:space="preserve">galima kreiptis </w:t>
      </w:r>
      <w:r>
        <w:rPr>
          <w:rFonts w:ascii="Times New Roman" w:hAnsi="Times New Roman"/>
          <w:sz w:val="24"/>
          <w:szCs w:val="24"/>
        </w:rPr>
        <w:t xml:space="preserve">pagalbos </w:t>
      </w:r>
      <w:r w:rsidRPr="00032539">
        <w:rPr>
          <w:rFonts w:ascii="Times New Roman" w:hAnsi="Times New Roman"/>
          <w:sz w:val="24"/>
          <w:szCs w:val="24"/>
        </w:rPr>
        <w:t>į specialistus. Žmonės ragin</w:t>
      </w:r>
      <w:r>
        <w:rPr>
          <w:rFonts w:ascii="Times New Roman" w:hAnsi="Times New Roman"/>
          <w:sz w:val="24"/>
          <w:szCs w:val="24"/>
        </w:rPr>
        <w:t>ami</w:t>
      </w:r>
      <w:r w:rsidRPr="00032539">
        <w:rPr>
          <w:rFonts w:ascii="Times New Roman" w:hAnsi="Times New Roman"/>
          <w:sz w:val="24"/>
          <w:szCs w:val="24"/>
        </w:rPr>
        <w:t xml:space="preserve"> domėtis rekomendacijomis</w:t>
      </w:r>
      <w:r>
        <w:rPr>
          <w:rFonts w:ascii="Times New Roman" w:hAnsi="Times New Roman"/>
          <w:sz w:val="24"/>
          <w:szCs w:val="24"/>
        </w:rPr>
        <w:t>,</w:t>
      </w:r>
      <w:r w:rsidRPr="00032539">
        <w:rPr>
          <w:rFonts w:ascii="Times New Roman" w:hAnsi="Times New Roman"/>
          <w:sz w:val="24"/>
          <w:szCs w:val="24"/>
        </w:rPr>
        <w:t xml:space="preserve"> kaip palaikyti gerą emocinę būseną pandemijos metu</w:t>
      </w:r>
      <w:r>
        <w:rPr>
          <w:rFonts w:ascii="Times New Roman" w:hAnsi="Times New Roman"/>
          <w:sz w:val="24"/>
          <w:szCs w:val="24"/>
        </w:rPr>
        <w:t>,</w:t>
      </w:r>
      <w:r w:rsidRPr="00032539">
        <w:rPr>
          <w:rFonts w:ascii="Times New Roman" w:hAnsi="Times New Roman"/>
          <w:sz w:val="24"/>
          <w:szCs w:val="24"/>
        </w:rPr>
        <w:t xml:space="preserve"> </w:t>
      </w:r>
      <w:hyperlink r:id="rId15" w:history="1">
        <w:r w:rsidRPr="00032539">
          <w:rPr>
            <w:rStyle w:val="Hipersaitas"/>
            <w:rFonts w:ascii="Times New Roman" w:hAnsi="Times New Roman"/>
            <w:sz w:val="24"/>
            <w:szCs w:val="24"/>
          </w:rPr>
          <w:t>www.pagalbasau.lt</w:t>
        </w:r>
      </w:hyperlink>
      <w:r w:rsidRPr="00032539">
        <w:rPr>
          <w:rFonts w:ascii="Times New Roman" w:hAnsi="Times New Roman"/>
          <w:sz w:val="24"/>
          <w:szCs w:val="24"/>
        </w:rPr>
        <w:t xml:space="preserve"> portale</w:t>
      </w:r>
      <w:r>
        <w:rPr>
          <w:rFonts w:ascii="Times New Roman" w:hAnsi="Times New Roman"/>
          <w:sz w:val="24"/>
          <w:szCs w:val="24"/>
        </w:rPr>
        <w:t>, f</w:t>
      </w:r>
      <w:r w:rsidRPr="00032539">
        <w:rPr>
          <w:rFonts w:ascii="Times New Roman" w:hAnsi="Times New Roman"/>
          <w:sz w:val="24"/>
          <w:szCs w:val="24"/>
        </w:rPr>
        <w:t>inansuojamos konsultacinės paslaugos</w:t>
      </w:r>
      <w:r>
        <w:rPr>
          <w:rFonts w:ascii="Times New Roman" w:hAnsi="Times New Roman"/>
          <w:sz w:val="24"/>
          <w:szCs w:val="24"/>
        </w:rPr>
        <w:t xml:space="preserve">, be to, </w:t>
      </w:r>
      <w:r>
        <w:rPr>
          <w:rFonts w:ascii="Times" w:hAnsi="Times"/>
          <w:sz w:val="24"/>
          <w:szCs w:val="24"/>
        </w:rPr>
        <w:t xml:space="preserve">Vyriausybė priėmė sprendimus dėl bendravimo „socialinių burbulų“ principu. </w:t>
      </w:r>
      <w:r>
        <w:rPr>
          <w:rFonts w:ascii="Times New Roman" w:hAnsi="Times New Roman"/>
          <w:sz w:val="24"/>
          <w:szCs w:val="24"/>
        </w:rPr>
        <w:t xml:space="preserve">Atnaujinamas </w:t>
      </w:r>
      <w:r w:rsidRPr="004D075A">
        <w:rPr>
          <w:rFonts w:ascii="Times New Roman" w:hAnsi="Times New Roman"/>
          <w:sz w:val="24"/>
          <w:szCs w:val="24"/>
        </w:rPr>
        <w:t xml:space="preserve">Ilgalaikių neigiamų COVID-19 ligos pandemijos pasekmių visuomenės psichikos sveikatai mažinimo </w:t>
      </w:r>
      <w:r w:rsidRPr="00032539">
        <w:rPr>
          <w:rFonts w:ascii="Times" w:hAnsi="Times"/>
          <w:sz w:val="24"/>
          <w:szCs w:val="24"/>
        </w:rPr>
        <w:t>veiksmų planas</w:t>
      </w:r>
      <w:r>
        <w:rPr>
          <w:rFonts w:ascii="Times" w:hAnsi="Times"/>
          <w:sz w:val="24"/>
          <w:szCs w:val="24"/>
        </w:rPr>
        <w:t>.</w:t>
      </w:r>
    </w:p>
    <w:p w14:paraId="2F1A812F" w14:textId="2ACB6BE0" w:rsidR="00D111B1" w:rsidRDefault="00D111B1" w:rsidP="00EB182D">
      <w:pPr>
        <w:tabs>
          <w:tab w:val="left" w:pos="993"/>
        </w:tabs>
        <w:spacing w:line="276" w:lineRule="auto"/>
        <w:jc w:val="both"/>
        <w:rPr>
          <w:rFonts w:cstheme="minorHAnsi"/>
        </w:rPr>
      </w:pPr>
    </w:p>
    <w:p w14:paraId="58F64412" w14:textId="77777777" w:rsidR="009E34EF" w:rsidRDefault="009E34EF" w:rsidP="00EB182D">
      <w:pPr>
        <w:tabs>
          <w:tab w:val="left" w:pos="993"/>
        </w:tabs>
        <w:spacing w:line="276" w:lineRule="auto"/>
        <w:jc w:val="both"/>
        <w:rPr>
          <w:rFonts w:cstheme="minorHAnsi"/>
        </w:rPr>
      </w:pPr>
    </w:p>
    <w:p w14:paraId="1D033A6D" w14:textId="7073EBA1" w:rsidR="00D111B1" w:rsidRPr="00705F11" w:rsidRDefault="00705F11" w:rsidP="004F30AB">
      <w:pPr>
        <w:pStyle w:val="Antrat1"/>
        <w:ind w:firstLine="709"/>
        <w:jc w:val="left"/>
        <w:rPr>
          <w:color w:val="17365D" w:themeColor="text2" w:themeShade="BF"/>
        </w:rPr>
      </w:pPr>
      <w:bookmarkStart w:id="8" w:name="_Toc68079178"/>
      <w:r>
        <w:rPr>
          <w:color w:val="17365D" w:themeColor="text2" w:themeShade="BF"/>
          <w:kern w:val="24"/>
          <w:szCs w:val="24"/>
        </w:rPr>
        <w:t xml:space="preserve">1.3. </w:t>
      </w:r>
      <w:r w:rsidR="00D111B1" w:rsidRPr="00BA0101">
        <w:rPr>
          <w:bCs/>
          <w:color w:val="17365D" w:themeColor="text2" w:themeShade="BF"/>
          <w:sz w:val="23"/>
          <w:szCs w:val="23"/>
        </w:rPr>
        <w:t xml:space="preserve">Ekonomikos skatinimo ir </w:t>
      </w:r>
      <w:proofErr w:type="spellStart"/>
      <w:r w:rsidR="00D111B1" w:rsidRPr="00BA0101">
        <w:rPr>
          <w:bCs/>
          <w:color w:val="17365D" w:themeColor="text2" w:themeShade="BF"/>
          <w:sz w:val="23"/>
          <w:szCs w:val="23"/>
        </w:rPr>
        <w:t>koronaviruso</w:t>
      </w:r>
      <w:proofErr w:type="spellEnd"/>
      <w:r w:rsidR="00D111B1" w:rsidRPr="00BA0101">
        <w:rPr>
          <w:bCs/>
          <w:color w:val="17365D" w:themeColor="text2" w:themeShade="BF"/>
          <w:sz w:val="23"/>
          <w:szCs w:val="23"/>
        </w:rPr>
        <w:t xml:space="preserve"> (COVID-19) plitimo sukeltų </w:t>
      </w:r>
      <w:r w:rsidR="00B25443" w:rsidRPr="00BA0101">
        <w:rPr>
          <w:bCs/>
          <w:color w:val="17365D" w:themeColor="text2" w:themeShade="BF"/>
          <w:sz w:val="23"/>
          <w:szCs w:val="23"/>
        </w:rPr>
        <w:t>pada</w:t>
      </w:r>
      <w:r w:rsidR="00B25443">
        <w:rPr>
          <w:bCs/>
          <w:color w:val="17365D" w:themeColor="text2" w:themeShade="BF"/>
          <w:sz w:val="23"/>
          <w:szCs w:val="23"/>
        </w:rPr>
        <w:t>rin</w:t>
      </w:r>
      <w:r w:rsidR="00B25443" w:rsidRPr="00BA0101">
        <w:rPr>
          <w:bCs/>
          <w:color w:val="17365D" w:themeColor="text2" w:themeShade="BF"/>
          <w:sz w:val="23"/>
          <w:szCs w:val="23"/>
        </w:rPr>
        <w:t xml:space="preserve">ių </w:t>
      </w:r>
      <w:r w:rsidR="00CA399D" w:rsidRPr="00BA0101">
        <w:rPr>
          <w:bCs/>
          <w:color w:val="17365D" w:themeColor="text2" w:themeShade="BF"/>
          <w:sz w:val="23"/>
          <w:szCs w:val="23"/>
        </w:rPr>
        <w:t>švelninimas</w:t>
      </w:r>
      <w:bookmarkEnd w:id="8"/>
    </w:p>
    <w:p w14:paraId="0BDF584B" w14:textId="77777777" w:rsidR="006D0836" w:rsidRDefault="006D0836" w:rsidP="00032539">
      <w:pPr>
        <w:tabs>
          <w:tab w:val="left" w:pos="993"/>
        </w:tabs>
        <w:jc w:val="both"/>
        <w:rPr>
          <w:szCs w:val="24"/>
        </w:rPr>
      </w:pPr>
    </w:p>
    <w:p w14:paraId="4768DEA8" w14:textId="2A628CFC" w:rsidR="00032539" w:rsidRDefault="00F67DE2" w:rsidP="00780406">
      <w:pPr>
        <w:spacing w:line="300" w:lineRule="exact"/>
        <w:ind w:firstLine="709"/>
        <w:jc w:val="both"/>
        <w:rPr>
          <w:rFonts w:ascii="Times" w:hAnsi="Times"/>
          <w:szCs w:val="24"/>
        </w:rPr>
      </w:pPr>
      <w:r>
        <w:rPr>
          <w:iCs/>
          <w:color w:val="000000"/>
          <w:lang w:eastAsia="en-GB"/>
        </w:rPr>
        <w:t xml:space="preserve">Aštuonioliktoji Vyriausybė, 2021 m. įvertinusi priemonių reikalingumą ir tikslingumą, dalį </w:t>
      </w:r>
      <w:r w:rsidR="00B25443">
        <w:rPr>
          <w:iCs/>
          <w:color w:val="000000"/>
          <w:lang w:eastAsia="en-GB"/>
        </w:rPr>
        <w:br/>
      </w:r>
      <w:r w:rsidR="00032539">
        <w:rPr>
          <w:iCs/>
          <w:color w:val="000000"/>
          <w:lang w:eastAsia="en-GB"/>
        </w:rPr>
        <w:t>2020</w:t>
      </w:r>
      <w:r w:rsidR="00B25443">
        <w:rPr>
          <w:iCs/>
          <w:color w:val="000000"/>
          <w:lang w:eastAsia="en-GB"/>
        </w:rPr>
        <w:t xml:space="preserve"> m.</w:t>
      </w:r>
      <w:r w:rsidR="00032539">
        <w:rPr>
          <w:iCs/>
          <w:color w:val="000000"/>
          <w:lang w:eastAsia="en-GB"/>
        </w:rPr>
        <w:t xml:space="preserve"> </w:t>
      </w:r>
      <w:r>
        <w:rPr>
          <w:iCs/>
          <w:color w:val="000000"/>
          <w:lang w:eastAsia="en-GB"/>
        </w:rPr>
        <w:t xml:space="preserve">taikytų priemonių tęsia, </w:t>
      </w:r>
      <w:r w:rsidR="00414021">
        <w:rPr>
          <w:iCs/>
          <w:color w:val="000000"/>
          <w:lang w:eastAsia="en-GB"/>
        </w:rPr>
        <w:t xml:space="preserve">tačiau orientuojasi į tai, kad </w:t>
      </w:r>
      <w:r>
        <w:rPr>
          <w:iCs/>
          <w:color w:val="000000"/>
          <w:lang w:eastAsia="en-GB"/>
        </w:rPr>
        <w:t>paramą gautų labiausiai nuo COVID-</w:t>
      </w:r>
      <w:r w:rsidRPr="00BA0101">
        <w:rPr>
          <w:iCs/>
          <w:color w:val="000000"/>
          <w:lang w:eastAsia="en-GB"/>
        </w:rPr>
        <w:t>19 pandemijos nukent</w:t>
      </w:r>
      <w:r>
        <w:rPr>
          <w:iCs/>
          <w:color w:val="000000"/>
          <w:lang w:eastAsia="en-GB"/>
        </w:rPr>
        <w:t>ėję ir skaudžiausias pasekmes patiriantys versl</w:t>
      </w:r>
      <w:r w:rsidR="00414021">
        <w:rPr>
          <w:iCs/>
          <w:color w:val="000000"/>
          <w:lang w:eastAsia="en-GB"/>
        </w:rPr>
        <w:t>ai</w:t>
      </w:r>
      <w:r>
        <w:rPr>
          <w:iCs/>
          <w:color w:val="000000"/>
          <w:lang w:eastAsia="en-GB"/>
        </w:rPr>
        <w:t>.</w:t>
      </w:r>
      <w:r w:rsidRPr="00D51C5A">
        <w:rPr>
          <w:szCs w:val="24"/>
        </w:rPr>
        <w:t xml:space="preserve"> </w:t>
      </w:r>
      <w:r w:rsidR="00032539" w:rsidRPr="00BA0101">
        <w:rPr>
          <w:rFonts w:ascii="Times" w:hAnsi="Times"/>
          <w:szCs w:val="24"/>
        </w:rPr>
        <w:t xml:space="preserve">Nuo COVID-19 nukentėjusiems verslams suplanuota valstybės parama siekia per 330 mln. </w:t>
      </w:r>
      <w:r w:rsidR="003143EA">
        <w:rPr>
          <w:rFonts w:ascii="Times" w:hAnsi="Times"/>
          <w:szCs w:val="24"/>
        </w:rPr>
        <w:t>Eur</w:t>
      </w:r>
      <w:r w:rsidR="00032539" w:rsidRPr="00BA0101">
        <w:rPr>
          <w:rFonts w:ascii="Times" w:hAnsi="Times"/>
          <w:szCs w:val="24"/>
        </w:rPr>
        <w:t>.</w:t>
      </w:r>
      <w:r w:rsidR="00032539" w:rsidRPr="00CC2E93">
        <w:rPr>
          <w:rFonts w:ascii="Times" w:hAnsi="Times"/>
          <w:szCs w:val="24"/>
        </w:rPr>
        <w:t xml:space="preserve"> Imtasi reformuoti inovacijų, duomenų atvėrimo sritis, stiprinti atstovavimą Lietuvos ekonominiams interesams pasaulyje. </w:t>
      </w:r>
    </w:p>
    <w:p w14:paraId="657FF061" w14:textId="19C8CCE3" w:rsidR="00F67DE2" w:rsidRDefault="00F67DE2" w:rsidP="00F67DE2">
      <w:pPr>
        <w:ind w:firstLine="709"/>
        <w:jc w:val="both"/>
        <w:rPr>
          <w:iCs/>
          <w:color w:val="000000"/>
          <w:lang w:eastAsia="en-GB"/>
        </w:rPr>
      </w:pPr>
      <w:r>
        <w:rPr>
          <w:szCs w:val="24"/>
        </w:rPr>
        <w:t xml:space="preserve">Informacija apie </w:t>
      </w:r>
      <w:r w:rsidR="00414021">
        <w:rPr>
          <w:szCs w:val="24"/>
        </w:rPr>
        <w:t xml:space="preserve">Aštuonioliktosios Vyriausybės </w:t>
      </w:r>
      <w:r>
        <w:rPr>
          <w:szCs w:val="24"/>
        </w:rPr>
        <w:t>paramos</w:t>
      </w:r>
      <w:r w:rsidR="00414021">
        <w:rPr>
          <w:szCs w:val="24"/>
        </w:rPr>
        <w:t xml:space="preserve"> nukentėjusiam verslui</w:t>
      </w:r>
      <w:r>
        <w:rPr>
          <w:szCs w:val="24"/>
        </w:rPr>
        <w:t xml:space="preserve"> priemones pateikiama </w:t>
      </w:r>
      <w:r w:rsidR="00032539">
        <w:rPr>
          <w:szCs w:val="24"/>
        </w:rPr>
        <w:t>2</w:t>
      </w:r>
      <w:r>
        <w:rPr>
          <w:szCs w:val="24"/>
        </w:rPr>
        <w:t xml:space="preserve"> lentelėje</w:t>
      </w:r>
      <w:r>
        <w:rPr>
          <w:iCs/>
          <w:color w:val="000000"/>
          <w:lang w:eastAsia="en-GB"/>
        </w:rPr>
        <w:t>.</w:t>
      </w:r>
    </w:p>
    <w:p w14:paraId="776E36CF" w14:textId="77777777" w:rsidR="00032539" w:rsidRPr="00D51C5A" w:rsidRDefault="00032539" w:rsidP="00F67DE2">
      <w:pPr>
        <w:ind w:firstLine="709"/>
        <w:jc w:val="both"/>
        <w:rPr>
          <w:iCs/>
          <w:color w:val="000000"/>
          <w:lang w:eastAsia="en-GB"/>
        </w:rPr>
      </w:pPr>
    </w:p>
    <w:p w14:paraId="7835A7E7" w14:textId="77777777" w:rsidR="00F67DE2" w:rsidRDefault="00F67DE2" w:rsidP="00F67DE2">
      <w:pPr>
        <w:jc w:val="both"/>
        <w:rPr>
          <w:iCs/>
          <w:color w:val="000000"/>
          <w:lang w:eastAsia="en-GB"/>
        </w:rPr>
      </w:pPr>
    </w:p>
    <w:p w14:paraId="3D7753FC" w14:textId="614FFA15" w:rsidR="00F67DE2" w:rsidRDefault="00032539" w:rsidP="00F67DE2">
      <w:pPr>
        <w:jc w:val="center"/>
        <w:rPr>
          <w:b/>
          <w:bCs/>
          <w:iCs/>
          <w:color w:val="244061" w:themeColor="accent1" w:themeShade="80"/>
          <w:lang w:eastAsia="en-GB"/>
        </w:rPr>
      </w:pPr>
      <w:r>
        <w:rPr>
          <w:b/>
          <w:bCs/>
          <w:iCs/>
          <w:color w:val="17365D" w:themeColor="text2" w:themeShade="BF"/>
          <w:lang w:val="en-GB" w:eastAsia="en-GB"/>
        </w:rPr>
        <w:t>2</w:t>
      </w:r>
      <w:r w:rsidR="00F67DE2">
        <w:rPr>
          <w:b/>
          <w:bCs/>
          <w:iCs/>
          <w:color w:val="17365D" w:themeColor="text2" w:themeShade="BF"/>
          <w:lang w:val="en-GB" w:eastAsia="en-GB"/>
        </w:rPr>
        <w:t xml:space="preserve"> </w:t>
      </w:r>
      <w:proofErr w:type="spellStart"/>
      <w:r w:rsidR="00F67DE2">
        <w:rPr>
          <w:b/>
          <w:bCs/>
          <w:iCs/>
          <w:color w:val="17365D" w:themeColor="text2" w:themeShade="BF"/>
          <w:lang w:val="en-GB" w:eastAsia="en-GB"/>
        </w:rPr>
        <w:t>lentel</w:t>
      </w:r>
      <w:proofErr w:type="spellEnd"/>
      <w:r w:rsidR="00F67DE2">
        <w:rPr>
          <w:b/>
          <w:bCs/>
          <w:iCs/>
          <w:color w:val="17365D" w:themeColor="text2" w:themeShade="BF"/>
          <w:lang w:eastAsia="en-GB"/>
        </w:rPr>
        <w:t xml:space="preserve">ė. </w:t>
      </w:r>
      <w:r w:rsidR="00414021">
        <w:rPr>
          <w:b/>
          <w:bCs/>
          <w:iCs/>
          <w:color w:val="17365D" w:themeColor="text2" w:themeShade="BF"/>
          <w:lang w:eastAsia="en-GB"/>
        </w:rPr>
        <w:t>2021 m. į</w:t>
      </w:r>
      <w:r w:rsidR="00F67DE2" w:rsidRPr="008A7DE8">
        <w:rPr>
          <w:b/>
          <w:bCs/>
          <w:iCs/>
          <w:color w:val="17365D" w:themeColor="text2" w:themeShade="BF"/>
          <w:lang w:eastAsia="en-GB"/>
        </w:rPr>
        <w:t>gyvendinamos paramos verslui priemonės</w:t>
      </w:r>
    </w:p>
    <w:p w14:paraId="25DDC92F" w14:textId="77777777" w:rsidR="00F67DE2" w:rsidRPr="00A44335" w:rsidRDefault="00F67DE2" w:rsidP="00F67DE2">
      <w:pPr>
        <w:ind w:firstLine="720"/>
        <w:jc w:val="center"/>
        <w:rPr>
          <w:b/>
          <w:bCs/>
          <w:iCs/>
          <w:color w:val="244061" w:themeColor="accent1" w:themeShade="80"/>
          <w:lang w:eastAsia="en-G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3251"/>
        <w:gridCol w:w="1564"/>
        <w:gridCol w:w="5245"/>
      </w:tblGrid>
      <w:tr w:rsidR="00D0726A" w:rsidRPr="00656496" w14:paraId="1DB5AE18" w14:textId="77777777" w:rsidTr="007940F1">
        <w:trPr>
          <w:trHeight w:val="901"/>
          <w:jc w:val="center"/>
        </w:trPr>
        <w:tc>
          <w:tcPr>
            <w:tcW w:w="3251" w:type="dxa"/>
            <w:shd w:val="clear" w:color="auto" w:fill="B8CCE4" w:themeFill="accent1" w:themeFillTint="66"/>
            <w:tcMar>
              <w:top w:w="72" w:type="dxa"/>
              <w:left w:w="217" w:type="dxa"/>
              <w:bottom w:w="72" w:type="dxa"/>
              <w:right w:w="217" w:type="dxa"/>
            </w:tcMar>
            <w:hideMark/>
          </w:tcPr>
          <w:p w14:paraId="72486E90" w14:textId="77777777" w:rsidR="00D0726A" w:rsidRPr="00BA0101" w:rsidRDefault="00D0726A" w:rsidP="007940F1">
            <w:pPr>
              <w:jc w:val="center"/>
              <w:rPr>
                <w:szCs w:val="24"/>
                <w:lang w:eastAsia="en-GB"/>
              </w:rPr>
            </w:pPr>
            <w:r w:rsidRPr="00BA0101">
              <w:rPr>
                <w:b/>
                <w:bCs/>
                <w:kern w:val="24"/>
                <w:szCs w:val="24"/>
                <w:lang w:eastAsia="en-GB"/>
              </w:rPr>
              <w:t>Priemon</w:t>
            </w:r>
            <w:r w:rsidRPr="008129B9">
              <w:rPr>
                <w:b/>
                <w:bCs/>
                <w:kern w:val="24"/>
                <w:szCs w:val="24"/>
                <w:lang w:eastAsia="en-GB"/>
              </w:rPr>
              <w:t>ė</w:t>
            </w:r>
          </w:p>
        </w:tc>
        <w:tc>
          <w:tcPr>
            <w:tcW w:w="1564" w:type="dxa"/>
            <w:shd w:val="clear" w:color="auto" w:fill="B8CCE4" w:themeFill="accent1" w:themeFillTint="66"/>
            <w:tcMar>
              <w:top w:w="72" w:type="dxa"/>
              <w:left w:w="217" w:type="dxa"/>
              <w:bottom w:w="72" w:type="dxa"/>
              <w:right w:w="217" w:type="dxa"/>
            </w:tcMar>
            <w:vAlign w:val="center"/>
            <w:hideMark/>
          </w:tcPr>
          <w:p w14:paraId="5FC674C9" w14:textId="77777777" w:rsidR="00D0726A" w:rsidRPr="00656496" w:rsidRDefault="00D0726A" w:rsidP="007940F1">
            <w:pPr>
              <w:jc w:val="center"/>
              <w:rPr>
                <w:szCs w:val="24"/>
                <w:lang w:val="en-GB" w:eastAsia="en-GB"/>
              </w:rPr>
            </w:pPr>
            <w:r w:rsidRPr="00656496">
              <w:rPr>
                <w:b/>
                <w:bCs/>
                <w:kern w:val="24"/>
                <w:szCs w:val="24"/>
                <w:lang w:eastAsia="en-GB"/>
              </w:rPr>
              <w:t xml:space="preserve">Priemonei numatyta lėšų suma (mln. </w:t>
            </w:r>
            <w:r>
              <w:rPr>
                <w:b/>
                <w:bCs/>
                <w:kern w:val="24"/>
                <w:szCs w:val="24"/>
                <w:lang w:eastAsia="en-GB"/>
              </w:rPr>
              <w:t>e</w:t>
            </w:r>
            <w:r w:rsidRPr="00656496">
              <w:rPr>
                <w:b/>
                <w:bCs/>
                <w:kern w:val="24"/>
                <w:szCs w:val="24"/>
                <w:lang w:eastAsia="en-GB"/>
              </w:rPr>
              <w:t>ur</w:t>
            </w:r>
            <w:r>
              <w:rPr>
                <w:b/>
                <w:bCs/>
                <w:kern w:val="24"/>
                <w:szCs w:val="24"/>
                <w:lang w:eastAsia="en-GB"/>
              </w:rPr>
              <w:t>ų</w:t>
            </w:r>
            <w:r w:rsidRPr="00656496">
              <w:rPr>
                <w:b/>
                <w:bCs/>
                <w:kern w:val="24"/>
                <w:szCs w:val="24"/>
                <w:lang w:eastAsia="en-GB"/>
              </w:rPr>
              <w:t>)</w:t>
            </w:r>
          </w:p>
        </w:tc>
        <w:tc>
          <w:tcPr>
            <w:tcW w:w="5245" w:type="dxa"/>
            <w:shd w:val="clear" w:color="auto" w:fill="B8CCE4" w:themeFill="accent1" w:themeFillTint="66"/>
            <w:tcMar>
              <w:top w:w="72" w:type="dxa"/>
              <w:left w:w="217" w:type="dxa"/>
              <w:bottom w:w="72" w:type="dxa"/>
              <w:right w:w="217" w:type="dxa"/>
            </w:tcMar>
            <w:vAlign w:val="center"/>
            <w:hideMark/>
          </w:tcPr>
          <w:p w14:paraId="5B7B2134" w14:textId="77777777" w:rsidR="00D0726A" w:rsidRPr="00656496" w:rsidRDefault="00D0726A" w:rsidP="007940F1">
            <w:pPr>
              <w:jc w:val="center"/>
              <w:rPr>
                <w:szCs w:val="24"/>
                <w:lang w:val="en-GB" w:eastAsia="en-GB"/>
              </w:rPr>
            </w:pPr>
            <w:r w:rsidRPr="00656496">
              <w:rPr>
                <w:b/>
                <w:bCs/>
                <w:kern w:val="24"/>
                <w:szCs w:val="24"/>
                <w:lang w:eastAsia="en-GB"/>
              </w:rPr>
              <w:t>Statusas</w:t>
            </w:r>
          </w:p>
        </w:tc>
      </w:tr>
      <w:tr w:rsidR="00D0726A" w:rsidRPr="00656496" w14:paraId="047EB400" w14:textId="77777777" w:rsidTr="007940F1">
        <w:trPr>
          <w:trHeight w:val="969"/>
          <w:jc w:val="center"/>
        </w:trPr>
        <w:tc>
          <w:tcPr>
            <w:tcW w:w="3251" w:type="dxa"/>
            <w:shd w:val="clear" w:color="auto" w:fill="auto"/>
            <w:tcMar>
              <w:top w:w="72" w:type="dxa"/>
              <w:left w:w="217" w:type="dxa"/>
              <w:bottom w:w="72" w:type="dxa"/>
              <w:right w:w="217" w:type="dxa"/>
            </w:tcMar>
            <w:hideMark/>
          </w:tcPr>
          <w:p w14:paraId="5DE49F44" w14:textId="77777777" w:rsidR="00D0726A" w:rsidRPr="00656496" w:rsidRDefault="00D0726A" w:rsidP="007940F1">
            <w:pPr>
              <w:rPr>
                <w:szCs w:val="24"/>
                <w:lang w:val="en-GB" w:eastAsia="en-GB"/>
              </w:rPr>
            </w:pPr>
            <w:r w:rsidRPr="00656496">
              <w:rPr>
                <w:kern w:val="24"/>
                <w:szCs w:val="24"/>
                <w:lang w:eastAsia="en-GB"/>
              </w:rPr>
              <w:t>Subsidijos nuo COVID</w:t>
            </w:r>
            <w:r w:rsidRPr="00656496">
              <w:rPr>
                <w:kern w:val="24"/>
                <w:szCs w:val="24"/>
                <w:lang w:val="en-US" w:eastAsia="en-GB"/>
              </w:rPr>
              <w:t>-19</w:t>
            </w:r>
            <w:r w:rsidRPr="00656496">
              <w:rPr>
                <w:kern w:val="24"/>
                <w:szCs w:val="24"/>
                <w:lang w:eastAsia="en-GB"/>
              </w:rPr>
              <w:t xml:space="preserve"> nukentėjusioms įmonėms</w:t>
            </w:r>
          </w:p>
          <w:p w14:paraId="26BED7A9" w14:textId="77777777" w:rsidR="00D0726A" w:rsidRPr="0086688C" w:rsidRDefault="00D0726A" w:rsidP="007940F1">
            <w:pPr>
              <w:rPr>
                <w:szCs w:val="24"/>
                <w:lang w:val="en-GB" w:eastAsia="en-GB"/>
              </w:rPr>
            </w:pPr>
          </w:p>
        </w:tc>
        <w:tc>
          <w:tcPr>
            <w:tcW w:w="1564" w:type="dxa"/>
            <w:shd w:val="clear" w:color="auto" w:fill="auto"/>
            <w:tcMar>
              <w:top w:w="72" w:type="dxa"/>
              <w:left w:w="217" w:type="dxa"/>
              <w:bottom w:w="72" w:type="dxa"/>
              <w:right w:w="217" w:type="dxa"/>
            </w:tcMar>
            <w:vAlign w:val="center"/>
            <w:hideMark/>
          </w:tcPr>
          <w:p w14:paraId="02642DB7" w14:textId="77777777" w:rsidR="00D0726A" w:rsidRPr="00656496" w:rsidRDefault="00D0726A" w:rsidP="007940F1">
            <w:pPr>
              <w:jc w:val="center"/>
              <w:rPr>
                <w:szCs w:val="24"/>
                <w:lang w:val="en-GB" w:eastAsia="en-GB"/>
              </w:rPr>
            </w:pPr>
            <w:r w:rsidRPr="00656496">
              <w:rPr>
                <w:kern w:val="24"/>
                <w:szCs w:val="24"/>
                <w:lang w:eastAsia="en-GB"/>
              </w:rPr>
              <w:t>150</w:t>
            </w:r>
            <w:r>
              <w:rPr>
                <w:kern w:val="24"/>
                <w:szCs w:val="24"/>
                <w:lang w:eastAsia="en-GB"/>
              </w:rPr>
              <w:t>*</w:t>
            </w:r>
            <w:r w:rsidRPr="00656496">
              <w:rPr>
                <w:kern w:val="24"/>
                <w:szCs w:val="24"/>
                <w:lang w:eastAsia="en-GB"/>
              </w:rPr>
              <w:t xml:space="preserve">  </w:t>
            </w:r>
          </w:p>
        </w:tc>
        <w:tc>
          <w:tcPr>
            <w:tcW w:w="5245" w:type="dxa"/>
            <w:shd w:val="clear" w:color="auto" w:fill="auto"/>
            <w:tcMar>
              <w:top w:w="72" w:type="dxa"/>
              <w:left w:w="217" w:type="dxa"/>
              <w:bottom w:w="72" w:type="dxa"/>
              <w:right w:w="217" w:type="dxa"/>
            </w:tcMar>
            <w:vAlign w:val="center"/>
            <w:hideMark/>
          </w:tcPr>
          <w:p w14:paraId="583A6540" w14:textId="77777777" w:rsidR="00D0726A" w:rsidRPr="0086688C" w:rsidRDefault="00D0726A" w:rsidP="007940F1">
            <w:pPr>
              <w:jc w:val="both"/>
              <w:rPr>
                <w:szCs w:val="24"/>
                <w:lang w:val="en-GB" w:eastAsia="en-GB"/>
              </w:rPr>
            </w:pPr>
            <w:r w:rsidRPr="0086688C">
              <w:rPr>
                <w:kern w:val="24"/>
                <w:szCs w:val="24"/>
                <w:lang w:eastAsia="en-GB"/>
              </w:rPr>
              <w:t xml:space="preserve">Įgyvendinama: </w:t>
            </w:r>
          </w:p>
          <w:p w14:paraId="534B22B1" w14:textId="77777777" w:rsidR="00D0726A" w:rsidRPr="0086688C" w:rsidRDefault="00D0726A" w:rsidP="007940F1">
            <w:pPr>
              <w:jc w:val="both"/>
              <w:rPr>
                <w:szCs w:val="24"/>
                <w:lang w:val="en-GB" w:eastAsia="en-GB"/>
              </w:rPr>
            </w:pPr>
            <w:r>
              <w:rPr>
                <w:kern w:val="24"/>
                <w:szCs w:val="24"/>
                <w:lang w:eastAsia="en-GB"/>
              </w:rPr>
              <w:t>i</w:t>
            </w:r>
            <w:r w:rsidRPr="0086688C">
              <w:rPr>
                <w:kern w:val="24"/>
                <w:szCs w:val="24"/>
                <w:lang w:eastAsia="en-GB"/>
              </w:rPr>
              <w:t>ki 2021</w:t>
            </w:r>
            <w:r>
              <w:rPr>
                <w:kern w:val="24"/>
                <w:szCs w:val="24"/>
                <w:lang w:eastAsia="en-GB"/>
              </w:rPr>
              <w:t xml:space="preserve"> m.</w:t>
            </w:r>
            <w:r w:rsidRPr="0086688C">
              <w:rPr>
                <w:kern w:val="24"/>
                <w:szCs w:val="24"/>
                <w:lang w:eastAsia="en-GB"/>
              </w:rPr>
              <w:t xml:space="preserve"> </w:t>
            </w:r>
            <w:r>
              <w:rPr>
                <w:kern w:val="24"/>
                <w:szCs w:val="24"/>
                <w:lang w:eastAsia="en-GB"/>
              </w:rPr>
              <w:t>kovo</w:t>
            </w:r>
            <w:r w:rsidRPr="0086688C">
              <w:rPr>
                <w:kern w:val="24"/>
                <w:szCs w:val="24"/>
                <w:lang w:eastAsia="en-GB"/>
              </w:rPr>
              <w:t xml:space="preserve"> </w:t>
            </w:r>
            <w:r w:rsidRPr="0086688C">
              <w:rPr>
                <w:kern w:val="24"/>
                <w:szCs w:val="24"/>
                <w:lang w:val="en-US" w:eastAsia="en-GB"/>
              </w:rPr>
              <w:t>15</w:t>
            </w:r>
            <w:r w:rsidRPr="0086688C">
              <w:rPr>
                <w:kern w:val="24"/>
                <w:szCs w:val="24"/>
                <w:lang w:eastAsia="en-GB"/>
              </w:rPr>
              <w:t xml:space="preserve"> d.  ~</w:t>
            </w:r>
            <w:r w:rsidRPr="0086688C">
              <w:rPr>
                <w:kern w:val="24"/>
                <w:szCs w:val="24"/>
                <w:lang w:val="en-US" w:eastAsia="en-GB"/>
              </w:rPr>
              <w:t xml:space="preserve"> 25,0 </w:t>
            </w:r>
            <w:proofErr w:type="spellStart"/>
            <w:r w:rsidRPr="0086688C">
              <w:rPr>
                <w:kern w:val="24"/>
                <w:szCs w:val="24"/>
                <w:lang w:val="en-US" w:eastAsia="en-GB"/>
              </w:rPr>
              <w:t>mln</w:t>
            </w:r>
            <w:proofErr w:type="spellEnd"/>
            <w:r w:rsidRPr="0086688C">
              <w:rPr>
                <w:kern w:val="24"/>
                <w:szCs w:val="24"/>
                <w:lang w:val="en-US" w:eastAsia="en-GB"/>
              </w:rPr>
              <w:t xml:space="preserve">. </w:t>
            </w:r>
            <w:r>
              <w:rPr>
                <w:kern w:val="24"/>
                <w:szCs w:val="24"/>
                <w:lang w:eastAsia="en-GB"/>
              </w:rPr>
              <w:t>eurų</w:t>
            </w:r>
            <w:r w:rsidRPr="0086688C">
              <w:rPr>
                <w:kern w:val="24"/>
                <w:szCs w:val="24"/>
                <w:lang w:eastAsia="en-GB"/>
              </w:rPr>
              <w:t xml:space="preserve"> </w:t>
            </w:r>
            <w:r w:rsidRPr="0086688C">
              <w:rPr>
                <w:kern w:val="24"/>
                <w:szCs w:val="24"/>
                <w:lang w:val="en-US" w:eastAsia="en-GB"/>
              </w:rPr>
              <w:t>s</w:t>
            </w:r>
            <w:proofErr w:type="spellStart"/>
            <w:r w:rsidRPr="0086688C">
              <w:rPr>
                <w:kern w:val="24"/>
                <w:szCs w:val="24"/>
                <w:lang w:eastAsia="en-GB"/>
              </w:rPr>
              <w:t>ubsidijų</w:t>
            </w:r>
            <w:proofErr w:type="spellEnd"/>
            <w:r w:rsidRPr="0086688C">
              <w:rPr>
                <w:kern w:val="24"/>
                <w:szCs w:val="24"/>
                <w:lang w:eastAsia="en-GB"/>
              </w:rPr>
              <w:t xml:space="preserve"> → ~</w:t>
            </w:r>
            <w:r w:rsidRPr="0086688C">
              <w:rPr>
                <w:kern w:val="24"/>
                <w:szCs w:val="24"/>
                <w:lang w:val="en-US" w:eastAsia="en-GB"/>
              </w:rPr>
              <w:t>11,4</w:t>
            </w:r>
            <w:r w:rsidRPr="0086688C">
              <w:rPr>
                <w:kern w:val="24"/>
                <w:szCs w:val="24"/>
                <w:lang w:eastAsia="en-GB"/>
              </w:rPr>
              <w:t xml:space="preserve"> tūkst. pareiškėjų</w:t>
            </w:r>
          </w:p>
        </w:tc>
      </w:tr>
      <w:tr w:rsidR="00D0726A" w:rsidRPr="00656496" w14:paraId="5FA9C5D4" w14:textId="77777777" w:rsidTr="007940F1">
        <w:trPr>
          <w:trHeight w:val="969"/>
          <w:jc w:val="center"/>
        </w:trPr>
        <w:tc>
          <w:tcPr>
            <w:tcW w:w="3251" w:type="dxa"/>
            <w:shd w:val="clear" w:color="auto" w:fill="auto"/>
            <w:tcMar>
              <w:top w:w="72" w:type="dxa"/>
              <w:left w:w="217" w:type="dxa"/>
              <w:bottom w:w="72" w:type="dxa"/>
              <w:right w:w="217" w:type="dxa"/>
            </w:tcMar>
          </w:tcPr>
          <w:p w14:paraId="0BCC135C" w14:textId="77777777" w:rsidR="00D0726A" w:rsidRPr="001F76F9" w:rsidRDefault="00D0726A" w:rsidP="007940F1">
            <w:pPr>
              <w:rPr>
                <w:kern w:val="24"/>
                <w:szCs w:val="24"/>
                <w:lang w:eastAsia="en-GB"/>
              </w:rPr>
            </w:pPr>
            <w:r w:rsidRPr="001F76F9">
              <w:rPr>
                <w:szCs w:val="24"/>
              </w:rPr>
              <w:t xml:space="preserve">Subsidijos nuo COVID-19 nukentėjusiems individualią veiklą vykdantiems asmenims </w:t>
            </w:r>
          </w:p>
        </w:tc>
        <w:tc>
          <w:tcPr>
            <w:tcW w:w="1564" w:type="dxa"/>
            <w:shd w:val="clear" w:color="auto" w:fill="auto"/>
            <w:tcMar>
              <w:top w:w="72" w:type="dxa"/>
              <w:left w:w="217" w:type="dxa"/>
              <w:bottom w:w="72" w:type="dxa"/>
              <w:right w:w="217" w:type="dxa"/>
            </w:tcMar>
            <w:vAlign w:val="center"/>
          </w:tcPr>
          <w:p w14:paraId="2F0F5C1B" w14:textId="77777777" w:rsidR="00D0726A" w:rsidRPr="001F76F9" w:rsidRDefault="00D0726A" w:rsidP="007940F1">
            <w:pPr>
              <w:jc w:val="center"/>
              <w:rPr>
                <w:kern w:val="24"/>
                <w:szCs w:val="24"/>
                <w:lang w:eastAsia="en-GB"/>
              </w:rPr>
            </w:pPr>
            <w:r w:rsidRPr="001F76F9">
              <w:rPr>
                <w:kern w:val="24"/>
                <w:szCs w:val="24"/>
                <w:lang w:eastAsia="en-GB"/>
              </w:rPr>
              <w:t>20</w:t>
            </w:r>
          </w:p>
        </w:tc>
        <w:tc>
          <w:tcPr>
            <w:tcW w:w="5245" w:type="dxa"/>
            <w:shd w:val="clear" w:color="auto" w:fill="auto"/>
            <w:tcMar>
              <w:top w:w="72" w:type="dxa"/>
              <w:left w:w="217" w:type="dxa"/>
              <w:bottom w:w="72" w:type="dxa"/>
              <w:right w:w="217" w:type="dxa"/>
            </w:tcMar>
            <w:vAlign w:val="center"/>
          </w:tcPr>
          <w:p w14:paraId="7B4D4DAC" w14:textId="77777777" w:rsidR="00D0726A" w:rsidRPr="001F76F9" w:rsidRDefault="00D0726A" w:rsidP="007940F1">
            <w:pPr>
              <w:jc w:val="both"/>
              <w:rPr>
                <w:kern w:val="24"/>
                <w:szCs w:val="24"/>
                <w:lang w:eastAsia="en-GB"/>
              </w:rPr>
            </w:pPr>
            <w:r w:rsidRPr="001F76F9">
              <w:rPr>
                <w:szCs w:val="24"/>
              </w:rPr>
              <w:t xml:space="preserve">Paskelbtas kvietimas teikti paraiškas 2021 m. kovo 29 d. </w:t>
            </w:r>
          </w:p>
        </w:tc>
      </w:tr>
      <w:tr w:rsidR="00D0726A" w:rsidRPr="00656496" w14:paraId="76DAE9D8" w14:textId="77777777" w:rsidTr="007940F1">
        <w:trPr>
          <w:trHeight w:val="969"/>
          <w:jc w:val="center"/>
        </w:trPr>
        <w:tc>
          <w:tcPr>
            <w:tcW w:w="3251" w:type="dxa"/>
            <w:shd w:val="clear" w:color="auto" w:fill="auto"/>
            <w:tcMar>
              <w:top w:w="72" w:type="dxa"/>
              <w:left w:w="217" w:type="dxa"/>
              <w:bottom w:w="72" w:type="dxa"/>
              <w:right w:w="217" w:type="dxa"/>
            </w:tcMar>
          </w:tcPr>
          <w:p w14:paraId="0F174A15" w14:textId="77777777" w:rsidR="00D0726A" w:rsidRPr="001F76F9" w:rsidRDefault="00D0726A" w:rsidP="007940F1">
            <w:pPr>
              <w:rPr>
                <w:kern w:val="24"/>
                <w:szCs w:val="24"/>
                <w:lang w:eastAsia="en-GB"/>
              </w:rPr>
            </w:pPr>
            <w:r w:rsidRPr="001F76F9">
              <w:rPr>
                <w:szCs w:val="24"/>
              </w:rPr>
              <w:t xml:space="preserve">COVID-19 tyrimų kompensavimas smulkiojo ir vidutinio verslo subjektams (bus kompensuojama 2021 </w:t>
            </w:r>
            <w:r>
              <w:rPr>
                <w:szCs w:val="24"/>
              </w:rPr>
              <w:t> </w:t>
            </w:r>
            <w:r w:rsidRPr="001F76F9">
              <w:rPr>
                <w:szCs w:val="24"/>
              </w:rPr>
              <w:t>m. vasario 23 d</w:t>
            </w:r>
            <w:r>
              <w:rPr>
                <w:szCs w:val="24"/>
              </w:rPr>
              <w:t>–</w:t>
            </w:r>
            <w:r w:rsidRPr="001F76F9">
              <w:rPr>
                <w:szCs w:val="24"/>
              </w:rPr>
              <w:t xml:space="preserve">2021 </w:t>
            </w:r>
            <w:r>
              <w:rPr>
                <w:szCs w:val="24"/>
              </w:rPr>
              <w:t> </w:t>
            </w:r>
            <w:r w:rsidRPr="001F76F9">
              <w:rPr>
                <w:szCs w:val="24"/>
              </w:rPr>
              <w:t>m. gegužės 31 d. patirtos tyrimų išlaidos)</w:t>
            </w:r>
          </w:p>
        </w:tc>
        <w:tc>
          <w:tcPr>
            <w:tcW w:w="1564" w:type="dxa"/>
            <w:shd w:val="clear" w:color="auto" w:fill="auto"/>
            <w:tcMar>
              <w:top w:w="72" w:type="dxa"/>
              <w:left w:w="217" w:type="dxa"/>
              <w:bottom w:w="72" w:type="dxa"/>
              <w:right w:w="217" w:type="dxa"/>
            </w:tcMar>
            <w:vAlign w:val="center"/>
          </w:tcPr>
          <w:p w14:paraId="0B81C8F8" w14:textId="77777777" w:rsidR="00D0726A" w:rsidRPr="001F76F9" w:rsidRDefault="00D0726A" w:rsidP="007940F1">
            <w:pPr>
              <w:jc w:val="center"/>
              <w:rPr>
                <w:kern w:val="24"/>
                <w:szCs w:val="24"/>
                <w:lang w:eastAsia="en-GB"/>
              </w:rPr>
            </w:pPr>
            <w:r w:rsidRPr="001F76F9">
              <w:rPr>
                <w:kern w:val="24"/>
                <w:szCs w:val="24"/>
                <w:lang w:eastAsia="en-GB"/>
              </w:rPr>
              <w:t>30</w:t>
            </w:r>
          </w:p>
        </w:tc>
        <w:tc>
          <w:tcPr>
            <w:tcW w:w="5245" w:type="dxa"/>
            <w:shd w:val="clear" w:color="auto" w:fill="auto"/>
            <w:tcMar>
              <w:top w:w="72" w:type="dxa"/>
              <w:left w:w="217" w:type="dxa"/>
              <w:bottom w:w="72" w:type="dxa"/>
              <w:right w:w="217" w:type="dxa"/>
            </w:tcMar>
            <w:vAlign w:val="center"/>
          </w:tcPr>
          <w:p w14:paraId="0D07948F" w14:textId="77777777" w:rsidR="00D0726A" w:rsidRPr="001F76F9" w:rsidRDefault="00D0726A" w:rsidP="007940F1">
            <w:pPr>
              <w:jc w:val="both"/>
              <w:rPr>
                <w:kern w:val="24"/>
                <w:szCs w:val="24"/>
                <w:lang w:eastAsia="en-GB"/>
              </w:rPr>
            </w:pPr>
            <w:r w:rsidRPr="001F76F9">
              <w:rPr>
                <w:szCs w:val="24"/>
              </w:rPr>
              <w:t>Paskelbtas kvietimas teikti paraiškas 2021 m. kovo 29 d.</w:t>
            </w:r>
          </w:p>
        </w:tc>
      </w:tr>
      <w:tr w:rsidR="00D0726A" w:rsidRPr="00656496" w14:paraId="76722298" w14:textId="77777777" w:rsidTr="007940F1">
        <w:trPr>
          <w:trHeight w:val="829"/>
          <w:jc w:val="center"/>
        </w:trPr>
        <w:tc>
          <w:tcPr>
            <w:tcW w:w="3251" w:type="dxa"/>
            <w:shd w:val="clear" w:color="auto" w:fill="auto"/>
            <w:tcMar>
              <w:top w:w="72" w:type="dxa"/>
              <w:left w:w="217" w:type="dxa"/>
              <w:bottom w:w="72" w:type="dxa"/>
              <w:right w:w="217" w:type="dxa"/>
            </w:tcMar>
            <w:vAlign w:val="bottom"/>
            <w:hideMark/>
          </w:tcPr>
          <w:p w14:paraId="4749F0A4" w14:textId="77777777" w:rsidR="00D0726A" w:rsidRPr="00656496" w:rsidRDefault="00D0726A" w:rsidP="007940F1">
            <w:pPr>
              <w:rPr>
                <w:szCs w:val="24"/>
                <w:lang w:val="en-GB" w:eastAsia="en-GB"/>
              </w:rPr>
            </w:pPr>
            <w:r w:rsidRPr="00656496">
              <w:rPr>
                <w:rFonts w:eastAsia="Calibri"/>
                <w:kern w:val="24"/>
                <w:szCs w:val="24"/>
                <w:lang w:eastAsia="en-GB"/>
              </w:rPr>
              <w:t>Tiesioginės I</w:t>
            </w:r>
            <w:r>
              <w:rPr>
                <w:rFonts w:eastAsia="Calibri"/>
                <w:kern w:val="24"/>
                <w:szCs w:val="24"/>
                <w:lang w:eastAsia="en-GB"/>
              </w:rPr>
              <w:t>NVEGOS</w:t>
            </w:r>
            <w:r w:rsidRPr="00656496">
              <w:rPr>
                <w:rFonts w:eastAsia="Calibri"/>
                <w:kern w:val="24"/>
                <w:szCs w:val="24"/>
                <w:lang w:eastAsia="en-GB"/>
              </w:rPr>
              <w:t xml:space="preserve"> paskolos nuo COVID</w:t>
            </w:r>
            <w:r w:rsidRPr="00656496">
              <w:rPr>
                <w:rFonts w:eastAsia="Calibri"/>
                <w:kern w:val="24"/>
                <w:szCs w:val="24"/>
                <w:lang w:val="en-US" w:eastAsia="en-GB"/>
              </w:rPr>
              <w:t>-19</w:t>
            </w:r>
            <w:r w:rsidRPr="00656496">
              <w:rPr>
                <w:rFonts w:eastAsia="Calibri"/>
                <w:kern w:val="24"/>
                <w:szCs w:val="24"/>
                <w:lang w:eastAsia="en-GB"/>
              </w:rPr>
              <w:t xml:space="preserve"> nukentėjusioms įmonėms </w:t>
            </w:r>
          </w:p>
        </w:tc>
        <w:tc>
          <w:tcPr>
            <w:tcW w:w="1564" w:type="dxa"/>
            <w:shd w:val="clear" w:color="auto" w:fill="auto"/>
            <w:tcMar>
              <w:top w:w="72" w:type="dxa"/>
              <w:left w:w="217" w:type="dxa"/>
              <w:bottom w:w="72" w:type="dxa"/>
              <w:right w:w="217" w:type="dxa"/>
            </w:tcMar>
            <w:vAlign w:val="center"/>
            <w:hideMark/>
          </w:tcPr>
          <w:p w14:paraId="7AA19014" w14:textId="77777777" w:rsidR="00D0726A" w:rsidRPr="00656496" w:rsidRDefault="00D0726A" w:rsidP="007940F1">
            <w:pPr>
              <w:jc w:val="center"/>
              <w:rPr>
                <w:szCs w:val="24"/>
                <w:lang w:val="en-GB" w:eastAsia="en-GB"/>
              </w:rPr>
            </w:pPr>
            <w:r w:rsidRPr="00656496">
              <w:rPr>
                <w:kern w:val="24"/>
                <w:szCs w:val="24"/>
                <w:lang w:eastAsia="en-GB"/>
              </w:rPr>
              <w:t xml:space="preserve">30 </w:t>
            </w:r>
          </w:p>
        </w:tc>
        <w:tc>
          <w:tcPr>
            <w:tcW w:w="5245" w:type="dxa"/>
            <w:shd w:val="clear" w:color="auto" w:fill="auto"/>
            <w:tcMar>
              <w:top w:w="72" w:type="dxa"/>
              <w:left w:w="217" w:type="dxa"/>
              <w:bottom w:w="72" w:type="dxa"/>
              <w:right w:w="217" w:type="dxa"/>
            </w:tcMar>
            <w:vAlign w:val="center"/>
            <w:hideMark/>
          </w:tcPr>
          <w:p w14:paraId="23213A91" w14:textId="77777777" w:rsidR="00D0726A" w:rsidRPr="0086688C" w:rsidRDefault="00D0726A" w:rsidP="007940F1">
            <w:pPr>
              <w:jc w:val="both"/>
              <w:rPr>
                <w:szCs w:val="24"/>
                <w:lang w:val="en-GB" w:eastAsia="en-GB"/>
              </w:rPr>
            </w:pPr>
            <w:r w:rsidRPr="0086688C">
              <w:rPr>
                <w:kern w:val="24"/>
                <w:szCs w:val="24"/>
                <w:lang w:eastAsia="en-GB"/>
              </w:rPr>
              <w:t xml:space="preserve">Įgyvendinama: </w:t>
            </w:r>
            <w:r w:rsidRPr="0086688C">
              <w:rPr>
                <w:kern w:val="24"/>
                <w:szCs w:val="24"/>
                <w:lang w:val="en-US" w:eastAsia="en-GB"/>
              </w:rPr>
              <w:t>16,</w:t>
            </w:r>
            <w:r w:rsidRPr="0086688C">
              <w:rPr>
                <w:kern w:val="24"/>
                <w:szCs w:val="24"/>
                <w:lang w:eastAsia="en-GB"/>
              </w:rPr>
              <w:t xml:space="preserve">98 mln. </w:t>
            </w:r>
            <w:r>
              <w:rPr>
                <w:kern w:val="24"/>
                <w:szCs w:val="24"/>
                <w:lang w:eastAsia="en-GB"/>
              </w:rPr>
              <w:t>eurų</w:t>
            </w:r>
            <w:r w:rsidRPr="0086688C">
              <w:rPr>
                <w:kern w:val="24"/>
                <w:szCs w:val="24"/>
                <w:lang w:eastAsia="en-GB"/>
              </w:rPr>
              <w:t xml:space="preserve"> paskolų → </w:t>
            </w:r>
            <w:r>
              <w:rPr>
                <w:kern w:val="24"/>
                <w:szCs w:val="24"/>
                <w:lang w:eastAsia="en-GB"/>
              </w:rPr>
              <w:br/>
            </w:r>
            <w:r w:rsidRPr="0086688C">
              <w:rPr>
                <w:kern w:val="24"/>
                <w:szCs w:val="24"/>
                <w:lang w:eastAsia="en-GB"/>
              </w:rPr>
              <w:t xml:space="preserve">~  </w:t>
            </w:r>
            <w:r w:rsidRPr="0086688C">
              <w:rPr>
                <w:kern w:val="24"/>
                <w:szCs w:val="24"/>
                <w:lang w:val="en-US" w:eastAsia="en-GB"/>
              </w:rPr>
              <w:t>4</w:t>
            </w:r>
            <w:r w:rsidRPr="0086688C">
              <w:rPr>
                <w:kern w:val="24"/>
                <w:szCs w:val="24"/>
                <w:lang w:eastAsia="en-GB"/>
              </w:rPr>
              <w:t>2</w:t>
            </w:r>
            <w:r w:rsidRPr="0086688C">
              <w:rPr>
                <w:kern w:val="24"/>
                <w:szCs w:val="24"/>
                <w:lang w:val="en-US" w:eastAsia="en-GB"/>
              </w:rPr>
              <w:t xml:space="preserve">0 </w:t>
            </w:r>
            <w:r w:rsidRPr="0086688C">
              <w:rPr>
                <w:kern w:val="24"/>
                <w:szCs w:val="24"/>
                <w:lang w:eastAsia="en-GB"/>
              </w:rPr>
              <w:t xml:space="preserve">pareiškėjų </w:t>
            </w:r>
          </w:p>
          <w:p w14:paraId="4CD08459" w14:textId="77777777" w:rsidR="00D0726A" w:rsidRPr="0086688C" w:rsidRDefault="00D0726A" w:rsidP="007940F1">
            <w:pPr>
              <w:jc w:val="both"/>
              <w:rPr>
                <w:szCs w:val="24"/>
                <w:lang w:val="en-GB" w:eastAsia="en-GB"/>
              </w:rPr>
            </w:pPr>
            <w:r w:rsidRPr="00163B14">
              <w:rPr>
                <w:kern w:val="24"/>
                <w:szCs w:val="24"/>
                <w:lang w:eastAsia="en-GB"/>
              </w:rPr>
              <w:t>(vertinama – 336 paraiškų, atmesta – 230</w:t>
            </w:r>
            <w:r w:rsidRPr="0086688C">
              <w:rPr>
                <w:kern w:val="24"/>
                <w:szCs w:val="24"/>
                <w:lang w:eastAsia="en-GB"/>
              </w:rPr>
              <w:t>)</w:t>
            </w:r>
          </w:p>
        </w:tc>
      </w:tr>
      <w:tr w:rsidR="00D0726A" w:rsidRPr="00656496" w14:paraId="4328448A" w14:textId="77777777" w:rsidTr="007940F1">
        <w:trPr>
          <w:trHeight w:val="901"/>
          <w:jc w:val="center"/>
        </w:trPr>
        <w:tc>
          <w:tcPr>
            <w:tcW w:w="3251" w:type="dxa"/>
            <w:shd w:val="clear" w:color="auto" w:fill="auto"/>
            <w:tcMar>
              <w:top w:w="15" w:type="dxa"/>
              <w:left w:w="108" w:type="dxa"/>
              <w:bottom w:w="0" w:type="dxa"/>
              <w:right w:w="108" w:type="dxa"/>
            </w:tcMar>
            <w:vAlign w:val="center"/>
            <w:hideMark/>
          </w:tcPr>
          <w:p w14:paraId="13A62060" w14:textId="77777777" w:rsidR="00D0726A" w:rsidRPr="0086688C" w:rsidRDefault="00D0726A" w:rsidP="007940F1">
            <w:pPr>
              <w:rPr>
                <w:szCs w:val="24"/>
                <w:lang w:val="en-GB" w:eastAsia="en-GB"/>
              </w:rPr>
            </w:pPr>
            <w:proofErr w:type="spellStart"/>
            <w:r w:rsidRPr="0086688C">
              <w:rPr>
                <w:kern w:val="24"/>
                <w:szCs w:val="24"/>
                <w:lang w:val="en-US" w:eastAsia="en-GB"/>
              </w:rPr>
              <w:t>Turgaviet</w:t>
            </w:r>
            <w:proofErr w:type="spellEnd"/>
            <w:r w:rsidRPr="0086688C">
              <w:rPr>
                <w:kern w:val="24"/>
                <w:szCs w:val="24"/>
                <w:lang w:eastAsia="en-GB"/>
              </w:rPr>
              <w:t>ės mokesčio komp</w:t>
            </w:r>
            <w:r>
              <w:rPr>
                <w:kern w:val="24"/>
                <w:szCs w:val="24"/>
                <w:lang w:eastAsia="en-GB"/>
              </w:rPr>
              <w:t>e</w:t>
            </w:r>
            <w:r w:rsidRPr="0086688C">
              <w:rPr>
                <w:kern w:val="24"/>
                <w:szCs w:val="24"/>
                <w:lang w:eastAsia="en-GB"/>
              </w:rPr>
              <w:t>nsacija</w:t>
            </w:r>
            <w:r>
              <w:rPr>
                <w:kern w:val="24"/>
                <w:szCs w:val="24"/>
                <w:lang w:eastAsia="en-GB"/>
              </w:rPr>
              <w:t xml:space="preserve"> </w:t>
            </w:r>
            <w:r w:rsidRPr="00A82194">
              <w:rPr>
                <w:kern w:val="24"/>
                <w:szCs w:val="24"/>
                <w:lang w:eastAsia="en-GB"/>
              </w:rPr>
              <w:t>2</w:t>
            </w:r>
            <w:r w:rsidRPr="0086688C">
              <w:rPr>
                <w:kern w:val="24"/>
                <w:szCs w:val="24"/>
                <w:lang w:eastAsia="en-GB"/>
              </w:rPr>
              <w:t xml:space="preserve"> </w:t>
            </w:r>
          </w:p>
        </w:tc>
        <w:tc>
          <w:tcPr>
            <w:tcW w:w="1564" w:type="dxa"/>
            <w:shd w:val="clear" w:color="auto" w:fill="auto"/>
            <w:tcMar>
              <w:top w:w="15" w:type="dxa"/>
              <w:left w:w="108" w:type="dxa"/>
              <w:bottom w:w="0" w:type="dxa"/>
              <w:right w:w="108" w:type="dxa"/>
            </w:tcMar>
            <w:vAlign w:val="center"/>
            <w:hideMark/>
          </w:tcPr>
          <w:p w14:paraId="6734BFCA" w14:textId="77777777" w:rsidR="00D0726A" w:rsidRPr="00656496" w:rsidRDefault="00D0726A" w:rsidP="007940F1">
            <w:pPr>
              <w:spacing w:line="256" w:lineRule="auto"/>
              <w:jc w:val="center"/>
              <w:rPr>
                <w:szCs w:val="24"/>
                <w:lang w:val="en-GB" w:eastAsia="en-GB"/>
              </w:rPr>
            </w:pPr>
            <w:r w:rsidRPr="00656496">
              <w:rPr>
                <w:kern w:val="24"/>
                <w:szCs w:val="24"/>
                <w:lang w:eastAsia="en-GB"/>
              </w:rPr>
              <w:t>2</w:t>
            </w:r>
          </w:p>
        </w:tc>
        <w:tc>
          <w:tcPr>
            <w:tcW w:w="5245" w:type="dxa"/>
            <w:shd w:val="clear" w:color="auto" w:fill="auto"/>
            <w:tcMar>
              <w:top w:w="15" w:type="dxa"/>
              <w:left w:w="108" w:type="dxa"/>
              <w:bottom w:w="0" w:type="dxa"/>
              <w:right w:w="108" w:type="dxa"/>
            </w:tcMar>
            <w:vAlign w:val="center"/>
            <w:hideMark/>
          </w:tcPr>
          <w:p w14:paraId="6DAE9C12" w14:textId="77777777" w:rsidR="00D0726A" w:rsidRPr="0086688C" w:rsidRDefault="00D0726A" w:rsidP="007940F1">
            <w:pPr>
              <w:spacing w:line="256" w:lineRule="auto"/>
              <w:rPr>
                <w:szCs w:val="24"/>
                <w:lang w:val="en-GB" w:eastAsia="en-GB"/>
              </w:rPr>
            </w:pPr>
            <w:r w:rsidRPr="0086688C">
              <w:rPr>
                <w:kern w:val="24"/>
                <w:szCs w:val="24"/>
                <w:lang w:eastAsia="en-GB"/>
              </w:rPr>
              <w:t>Įgyvendinama:</w:t>
            </w:r>
          </w:p>
          <w:p w14:paraId="5EA649C3" w14:textId="77777777" w:rsidR="00D0726A" w:rsidRPr="00BA0101" w:rsidRDefault="00D0726A" w:rsidP="007940F1">
            <w:pPr>
              <w:spacing w:line="256" w:lineRule="auto"/>
              <w:rPr>
                <w:szCs w:val="24"/>
                <w:lang w:eastAsia="en-GB"/>
              </w:rPr>
            </w:pPr>
            <w:r w:rsidRPr="0086688C">
              <w:rPr>
                <w:i/>
                <w:iCs/>
                <w:kern w:val="24"/>
                <w:szCs w:val="24"/>
                <w:lang w:eastAsia="en-GB"/>
              </w:rPr>
              <w:t>Patvirtin</w:t>
            </w:r>
            <w:r>
              <w:rPr>
                <w:i/>
                <w:iCs/>
                <w:kern w:val="24"/>
                <w:szCs w:val="24"/>
                <w:lang w:eastAsia="en-GB"/>
              </w:rPr>
              <w:t>t</w:t>
            </w:r>
            <w:r w:rsidRPr="0086688C">
              <w:rPr>
                <w:i/>
                <w:iCs/>
                <w:kern w:val="24"/>
                <w:szCs w:val="24"/>
                <w:lang w:eastAsia="en-GB"/>
              </w:rPr>
              <w:t>a: 2</w:t>
            </w:r>
            <w:r>
              <w:rPr>
                <w:i/>
                <w:iCs/>
                <w:kern w:val="24"/>
                <w:szCs w:val="24"/>
                <w:lang w:eastAsia="en-GB"/>
              </w:rPr>
              <w:t xml:space="preserve"> </w:t>
            </w:r>
            <w:r w:rsidRPr="008129B9">
              <w:rPr>
                <w:i/>
                <w:iCs/>
                <w:kern w:val="24"/>
                <w:szCs w:val="24"/>
                <w:lang w:eastAsia="en-GB"/>
              </w:rPr>
              <w:t>627</w:t>
            </w:r>
            <w:r w:rsidRPr="00BA0101">
              <w:rPr>
                <w:i/>
                <w:iCs/>
                <w:kern w:val="24"/>
                <w:szCs w:val="24"/>
                <w:lang w:eastAsia="en-GB"/>
              </w:rPr>
              <w:t xml:space="preserve"> parai</w:t>
            </w:r>
            <w:r w:rsidRPr="008129B9">
              <w:rPr>
                <w:i/>
                <w:iCs/>
                <w:kern w:val="24"/>
                <w:szCs w:val="24"/>
                <w:lang w:eastAsia="en-GB"/>
              </w:rPr>
              <w:t xml:space="preserve">škos </w:t>
            </w:r>
            <w:r w:rsidRPr="008129B9">
              <w:rPr>
                <w:kern w:val="24"/>
                <w:szCs w:val="24"/>
                <w:lang w:eastAsia="en-GB"/>
              </w:rPr>
              <w:t xml:space="preserve">→ </w:t>
            </w:r>
            <w:r w:rsidRPr="008129B9">
              <w:rPr>
                <w:i/>
                <w:iCs/>
                <w:kern w:val="24"/>
                <w:szCs w:val="24"/>
                <w:lang w:eastAsia="en-GB"/>
              </w:rPr>
              <w:t xml:space="preserve"> 788 tūkst. eurų. </w:t>
            </w:r>
          </w:p>
          <w:p w14:paraId="2C6894FC" w14:textId="77777777" w:rsidR="00D0726A" w:rsidRPr="00BA0101" w:rsidRDefault="00D0726A" w:rsidP="007940F1">
            <w:pPr>
              <w:spacing w:line="256" w:lineRule="auto"/>
              <w:rPr>
                <w:szCs w:val="24"/>
                <w:lang w:eastAsia="en-GB"/>
              </w:rPr>
            </w:pPr>
            <w:r w:rsidRPr="008129B9">
              <w:rPr>
                <w:i/>
                <w:iCs/>
                <w:kern w:val="24"/>
                <w:szCs w:val="24"/>
                <w:lang w:eastAsia="en-GB"/>
              </w:rPr>
              <w:lastRenderedPageBreak/>
              <w:t>Artimiausiu metu: ~670</w:t>
            </w:r>
            <w:r w:rsidRPr="00BA0101">
              <w:rPr>
                <w:i/>
                <w:iCs/>
                <w:kern w:val="24"/>
                <w:szCs w:val="24"/>
                <w:lang w:eastAsia="en-GB"/>
              </w:rPr>
              <w:t xml:space="preserve"> parai</w:t>
            </w:r>
            <w:r w:rsidRPr="008129B9">
              <w:rPr>
                <w:i/>
                <w:iCs/>
                <w:kern w:val="24"/>
                <w:szCs w:val="24"/>
                <w:lang w:eastAsia="en-GB"/>
              </w:rPr>
              <w:t>šk</w:t>
            </w:r>
            <w:r>
              <w:rPr>
                <w:i/>
                <w:iCs/>
                <w:kern w:val="24"/>
                <w:szCs w:val="24"/>
                <w:lang w:eastAsia="en-GB"/>
              </w:rPr>
              <w:t>ų</w:t>
            </w:r>
            <w:r w:rsidRPr="0086688C">
              <w:rPr>
                <w:i/>
                <w:iCs/>
                <w:kern w:val="24"/>
                <w:szCs w:val="24"/>
                <w:lang w:eastAsia="en-GB"/>
              </w:rPr>
              <w:t xml:space="preserve"> </w:t>
            </w:r>
            <w:r w:rsidRPr="0086688C">
              <w:rPr>
                <w:kern w:val="24"/>
                <w:szCs w:val="24"/>
                <w:lang w:eastAsia="en-GB"/>
              </w:rPr>
              <w:t xml:space="preserve">→ </w:t>
            </w:r>
            <w:r w:rsidRPr="0086688C">
              <w:rPr>
                <w:i/>
                <w:iCs/>
                <w:kern w:val="24"/>
                <w:szCs w:val="24"/>
                <w:lang w:eastAsia="en-GB"/>
              </w:rPr>
              <w:t xml:space="preserve"> ~200 tūkst. </w:t>
            </w:r>
            <w:r>
              <w:rPr>
                <w:i/>
                <w:iCs/>
                <w:kern w:val="24"/>
                <w:szCs w:val="24"/>
                <w:lang w:eastAsia="en-GB"/>
              </w:rPr>
              <w:t>eurų</w:t>
            </w:r>
            <w:r w:rsidRPr="0086688C">
              <w:rPr>
                <w:i/>
                <w:iCs/>
                <w:kern w:val="24"/>
                <w:szCs w:val="24"/>
                <w:lang w:eastAsia="en-GB"/>
              </w:rPr>
              <w:t xml:space="preserve"> </w:t>
            </w:r>
          </w:p>
        </w:tc>
      </w:tr>
      <w:tr w:rsidR="00D0726A" w:rsidRPr="00656496" w14:paraId="6176C075" w14:textId="77777777" w:rsidTr="007940F1">
        <w:trPr>
          <w:trHeight w:val="611"/>
          <w:jc w:val="center"/>
        </w:trPr>
        <w:tc>
          <w:tcPr>
            <w:tcW w:w="3251" w:type="dxa"/>
            <w:shd w:val="clear" w:color="auto" w:fill="auto"/>
            <w:tcMar>
              <w:top w:w="15" w:type="dxa"/>
              <w:left w:w="108" w:type="dxa"/>
              <w:bottom w:w="0" w:type="dxa"/>
              <w:right w:w="108" w:type="dxa"/>
            </w:tcMar>
            <w:vAlign w:val="center"/>
            <w:hideMark/>
          </w:tcPr>
          <w:p w14:paraId="7ADA366D" w14:textId="77777777" w:rsidR="00D0726A" w:rsidRPr="00656496" w:rsidRDefault="00D0726A" w:rsidP="007940F1">
            <w:pPr>
              <w:rPr>
                <w:szCs w:val="24"/>
                <w:lang w:val="en-GB" w:eastAsia="en-GB"/>
              </w:rPr>
            </w:pPr>
            <w:r w:rsidRPr="00656496">
              <w:rPr>
                <w:kern w:val="24"/>
                <w:szCs w:val="24"/>
                <w:lang w:eastAsia="en-GB"/>
              </w:rPr>
              <w:lastRenderedPageBreak/>
              <w:t>Alternatyva (paskolos per finansų tarpininkus)</w:t>
            </w:r>
          </w:p>
        </w:tc>
        <w:tc>
          <w:tcPr>
            <w:tcW w:w="1564" w:type="dxa"/>
            <w:shd w:val="clear" w:color="auto" w:fill="auto"/>
            <w:tcMar>
              <w:top w:w="15" w:type="dxa"/>
              <w:left w:w="108" w:type="dxa"/>
              <w:bottom w:w="0" w:type="dxa"/>
              <w:right w:w="108" w:type="dxa"/>
            </w:tcMar>
            <w:vAlign w:val="center"/>
            <w:hideMark/>
          </w:tcPr>
          <w:p w14:paraId="2066DAB4" w14:textId="77777777" w:rsidR="00D0726A" w:rsidRPr="00656496" w:rsidRDefault="00D0726A" w:rsidP="007940F1">
            <w:pPr>
              <w:spacing w:line="256" w:lineRule="auto"/>
              <w:jc w:val="center"/>
              <w:rPr>
                <w:szCs w:val="24"/>
                <w:lang w:val="en-GB" w:eastAsia="en-GB"/>
              </w:rPr>
            </w:pPr>
            <w:r w:rsidRPr="00656496">
              <w:rPr>
                <w:kern w:val="24"/>
                <w:szCs w:val="24"/>
                <w:lang w:eastAsia="en-GB"/>
              </w:rPr>
              <w:t xml:space="preserve">50 </w:t>
            </w:r>
          </w:p>
        </w:tc>
        <w:tc>
          <w:tcPr>
            <w:tcW w:w="5245" w:type="dxa"/>
            <w:shd w:val="clear" w:color="auto" w:fill="auto"/>
            <w:tcMar>
              <w:top w:w="15" w:type="dxa"/>
              <w:left w:w="108" w:type="dxa"/>
              <w:bottom w:w="0" w:type="dxa"/>
              <w:right w:w="108" w:type="dxa"/>
            </w:tcMar>
            <w:vAlign w:val="center"/>
            <w:hideMark/>
          </w:tcPr>
          <w:p w14:paraId="24E0DC78" w14:textId="77777777" w:rsidR="00D0726A" w:rsidRPr="0086688C" w:rsidRDefault="00D0726A" w:rsidP="007940F1">
            <w:pPr>
              <w:spacing w:line="256" w:lineRule="auto"/>
              <w:rPr>
                <w:szCs w:val="24"/>
                <w:lang w:val="en-GB" w:eastAsia="en-GB"/>
              </w:rPr>
            </w:pPr>
            <w:r w:rsidRPr="0086688C">
              <w:rPr>
                <w:kern w:val="24"/>
                <w:szCs w:val="24"/>
                <w:lang w:eastAsia="en-GB"/>
              </w:rPr>
              <w:t xml:space="preserve">Įgyvendinama: </w:t>
            </w:r>
            <w:r w:rsidRPr="0086688C">
              <w:rPr>
                <w:kern w:val="24"/>
                <w:szCs w:val="24"/>
                <w:lang w:val="en-US" w:eastAsia="en-GB"/>
              </w:rPr>
              <w:t>1</w:t>
            </w:r>
            <w:r w:rsidRPr="0086688C">
              <w:rPr>
                <w:kern w:val="24"/>
                <w:szCs w:val="24"/>
                <w:lang w:eastAsia="en-GB"/>
              </w:rPr>
              <w:t xml:space="preserve"> </w:t>
            </w:r>
            <w:r w:rsidRPr="0086688C">
              <w:rPr>
                <w:kern w:val="24"/>
                <w:szCs w:val="24"/>
                <w:lang w:val="en-US" w:eastAsia="en-GB"/>
              </w:rPr>
              <w:t>035</w:t>
            </w:r>
            <w:r w:rsidRPr="0086688C">
              <w:rPr>
                <w:kern w:val="24"/>
                <w:szCs w:val="24"/>
                <w:lang w:eastAsia="en-GB"/>
              </w:rPr>
              <w:t xml:space="preserve"> pareiškėjams išmokėta </w:t>
            </w:r>
            <w:r>
              <w:rPr>
                <w:kern w:val="24"/>
                <w:szCs w:val="24"/>
                <w:lang w:eastAsia="en-GB"/>
              </w:rPr>
              <w:br/>
            </w:r>
            <w:r w:rsidRPr="0086688C">
              <w:rPr>
                <w:kern w:val="24"/>
                <w:szCs w:val="24"/>
                <w:lang w:val="en-US" w:eastAsia="en-GB"/>
              </w:rPr>
              <w:t>58,7</w:t>
            </w:r>
            <w:r w:rsidRPr="0086688C">
              <w:rPr>
                <w:kern w:val="24"/>
                <w:szCs w:val="24"/>
                <w:lang w:eastAsia="en-GB"/>
              </w:rPr>
              <w:t xml:space="preserve"> mln. </w:t>
            </w:r>
            <w:r>
              <w:rPr>
                <w:kern w:val="24"/>
                <w:szCs w:val="24"/>
                <w:lang w:eastAsia="en-GB"/>
              </w:rPr>
              <w:t>eurų</w:t>
            </w:r>
          </w:p>
        </w:tc>
      </w:tr>
      <w:tr w:rsidR="00D0726A" w:rsidRPr="00656496" w14:paraId="7150F398" w14:textId="77777777" w:rsidTr="007940F1">
        <w:trPr>
          <w:trHeight w:val="776"/>
          <w:jc w:val="center"/>
        </w:trPr>
        <w:tc>
          <w:tcPr>
            <w:tcW w:w="3251" w:type="dxa"/>
            <w:shd w:val="clear" w:color="auto" w:fill="auto"/>
            <w:tcMar>
              <w:top w:w="72" w:type="dxa"/>
              <w:left w:w="217" w:type="dxa"/>
              <w:bottom w:w="72" w:type="dxa"/>
              <w:right w:w="217" w:type="dxa"/>
            </w:tcMar>
            <w:vAlign w:val="center"/>
            <w:hideMark/>
          </w:tcPr>
          <w:p w14:paraId="23C232AE" w14:textId="77777777" w:rsidR="00D0726A" w:rsidRPr="00656496" w:rsidRDefault="00D0726A" w:rsidP="007940F1">
            <w:pPr>
              <w:spacing w:line="256" w:lineRule="auto"/>
              <w:rPr>
                <w:szCs w:val="24"/>
                <w:lang w:val="en-GB" w:eastAsia="en-GB"/>
              </w:rPr>
            </w:pPr>
            <w:r w:rsidRPr="00656496">
              <w:rPr>
                <w:kern w:val="24"/>
                <w:szCs w:val="24"/>
                <w:lang w:eastAsia="en-GB"/>
              </w:rPr>
              <w:t xml:space="preserve">Dalinis palūkanų kompensavimas </w:t>
            </w:r>
          </w:p>
        </w:tc>
        <w:tc>
          <w:tcPr>
            <w:tcW w:w="1564" w:type="dxa"/>
            <w:shd w:val="clear" w:color="auto" w:fill="auto"/>
            <w:tcMar>
              <w:top w:w="72" w:type="dxa"/>
              <w:left w:w="217" w:type="dxa"/>
              <w:bottom w:w="72" w:type="dxa"/>
              <w:right w:w="217" w:type="dxa"/>
            </w:tcMar>
            <w:vAlign w:val="center"/>
            <w:hideMark/>
          </w:tcPr>
          <w:p w14:paraId="6C1EFF72" w14:textId="77777777" w:rsidR="00D0726A" w:rsidRPr="00656496" w:rsidRDefault="00D0726A" w:rsidP="007940F1">
            <w:pPr>
              <w:jc w:val="center"/>
              <w:rPr>
                <w:szCs w:val="24"/>
                <w:lang w:val="en-GB" w:eastAsia="en-GB"/>
              </w:rPr>
            </w:pPr>
            <w:r w:rsidRPr="00656496">
              <w:rPr>
                <w:kern w:val="24"/>
                <w:szCs w:val="24"/>
                <w:lang w:eastAsia="en-GB"/>
              </w:rPr>
              <w:t xml:space="preserve">25,4 </w:t>
            </w:r>
          </w:p>
        </w:tc>
        <w:tc>
          <w:tcPr>
            <w:tcW w:w="5245" w:type="dxa"/>
            <w:shd w:val="clear" w:color="auto" w:fill="auto"/>
            <w:tcMar>
              <w:top w:w="72" w:type="dxa"/>
              <w:left w:w="217" w:type="dxa"/>
              <w:bottom w:w="72" w:type="dxa"/>
              <w:right w:w="217" w:type="dxa"/>
            </w:tcMar>
            <w:hideMark/>
          </w:tcPr>
          <w:p w14:paraId="7C3AA821" w14:textId="77777777" w:rsidR="00D0726A" w:rsidRPr="0086688C" w:rsidRDefault="00D0726A" w:rsidP="007940F1">
            <w:pPr>
              <w:jc w:val="both"/>
              <w:rPr>
                <w:szCs w:val="24"/>
                <w:lang w:val="en-GB" w:eastAsia="en-GB"/>
              </w:rPr>
            </w:pPr>
            <w:r w:rsidRPr="0086688C">
              <w:rPr>
                <w:kern w:val="24"/>
                <w:szCs w:val="24"/>
                <w:lang w:eastAsia="en-GB"/>
              </w:rPr>
              <w:t xml:space="preserve">Įgyvendinama: pareiškėjų skaičius viršija 4,8 </w:t>
            </w:r>
            <w:r>
              <w:rPr>
                <w:kern w:val="24"/>
                <w:szCs w:val="24"/>
                <w:lang w:eastAsia="en-GB"/>
              </w:rPr>
              <w:t> </w:t>
            </w:r>
            <w:r w:rsidRPr="0086688C">
              <w:rPr>
                <w:kern w:val="24"/>
                <w:szCs w:val="24"/>
                <w:lang w:eastAsia="en-GB"/>
              </w:rPr>
              <w:t xml:space="preserve">tūkst., prisiimta 22,4 mln. </w:t>
            </w:r>
            <w:r>
              <w:rPr>
                <w:kern w:val="24"/>
                <w:szCs w:val="24"/>
                <w:lang w:eastAsia="en-GB"/>
              </w:rPr>
              <w:t>eurų</w:t>
            </w:r>
            <w:r w:rsidRPr="0086688C">
              <w:rPr>
                <w:kern w:val="24"/>
                <w:szCs w:val="24"/>
                <w:lang w:eastAsia="en-GB"/>
              </w:rPr>
              <w:t xml:space="preserve"> </w:t>
            </w:r>
            <w:r>
              <w:rPr>
                <w:kern w:val="24"/>
                <w:szCs w:val="24"/>
                <w:lang w:eastAsia="en-GB"/>
              </w:rPr>
              <w:t xml:space="preserve">vertės </w:t>
            </w:r>
            <w:r w:rsidRPr="0086688C">
              <w:rPr>
                <w:kern w:val="24"/>
                <w:szCs w:val="24"/>
                <w:lang w:eastAsia="en-GB"/>
              </w:rPr>
              <w:t>įsipareigojimų</w:t>
            </w:r>
          </w:p>
        </w:tc>
      </w:tr>
      <w:tr w:rsidR="00D0726A" w:rsidRPr="00656496" w14:paraId="5902F953" w14:textId="77777777" w:rsidTr="007940F1">
        <w:trPr>
          <w:trHeight w:val="635"/>
          <w:jc w:val="center"/>
        </w:trPr>
        <w:tc>
          <w:tcPr>
            <w:tcW w:w="3251" w:type="dxa"/>
            <w:shd w:val="clear" w:color="auto" w:fill="auto"/>
            <w:tcMar>
              <w:top w:w="72" w:type="dxa"/>
              <w:left w:w="217" w:type="dxa"/>
              <w:bottom w:w="72" w:type="dxa"/>
              <w:right w:w="217" w:type="dxa"/>
            </w:tcMar>
            <w:hideMark/>
          </w:tcPr>
          <w:p w14:paraId="499E06EE" w14:textId="77777777" w:rsidR="00D0726A" w:rsidRPr="00656496" w:rsidRDefault="00D0726A" w:rsidP="007940F1">
            <w:pPr>
              <w:rPr>
                <w:szCs w:val="24"/>
                <w:lang w:val="en-GB" w:eastAsia="en-GB"/>
              </w:rPr>
            </w:pPr>
            <w:r w:rsidRPr="008A7DE8">
              <w:rPr>
                <w:kern w:val="24"/>
                <w:szCs w:val="24"/>
                <w:lang w:eastAsia="en-GB"/>
              </w:rPr>
              <w:t>I</w:t>
            </w:r>
            <w:r w:rsidRPr="00656496">
              <w:rPr>
                <w:kern w:val="24"/>
                <w:szCs w:val="24"/>
                <w:lang w:eastAsia="en-GB"/>
              </w:rPr>
              <w:t xml:space="preserve">ndividualios garantijos </w:t>
            </w:r>
          </w:p>
        </w:tc>
        <w:tc>
          <w:tcPr>
            <w:tcW w:w="1564" w:type="dxa"/>
            <w:shd w:val="clear" w:color="auto" w:fill="auto"/>
            <w:tcMar>
              <w:top w:w="72" w:type="dxa"/>
              <w:left w:w="217" w:type="dxa"/>
              <w:bottom w:w="72" w:type="dxa"/>
              <w:right w:w="217" w:type="dxa"/>
            </w:tcMar>
            <w:hideMark/>
          </w:tcPr>
          <w:p w14:paraId="4E7CA3EA" w14:textId="77777777" w:rsidR="00D0726A" w:rsidRPr="00656496" w:rsidRDefault="00D0726A" w:rsidP="007940F1">
            <w:pPr>
              <w:jc w:val="center"/>
              <w:rPr>
                <w:szCs w:val="24"/>
                <w:lang w:val="en-GB" w:eastAsia="en-GB"/>
              </w:rPr>
            </w:pPr>
            <w:r w:rsidRPr="00656496">
              <w:rPr>
                <w:kern w:val="24"/>
                <w:szCs w:val="24"/>
                <w:lang w:eastAsia="en-GB"/>
              </w:rPr>
              <w:t xml:space="preserve"> 2</w:t>
            </w:r>
            <w:r w:rsidRPr="00656496">
              <w:rPr>
                <w:kern w:val="24"/>
                <w:szCs w:val="24"/>
                <w:lang w:val="en-US" w:eastAsia="en-GB"/>
              </w:rPr>
              <w:t>3,5</w:t>
            </w:r>
            <w:r w:rsidRPr="00656496">
              <w:rPr>
                <w:kern w:val="24"/>
                <w:szCs w:val="24"/>
                <w:lang w:eastAsia="en-GB"/>
              </w:rPr>
              <w:t xml:space="preserve"> </w:t>
            </w:r>
          </w:p>
        </w:tc>
        <w:tc>
          <w:tcPr>
            <w:tcW w:w="5245" w:type="dxa"/>
            <w:shd w:val="clear" w:color="auto" w:fill="auto"/>
            <w:tcMar>
              <w:top w:w="72" w:type="dxa"/>
              <w:left w:w="217" w:type="dxa"/>
              <w:bottom w:w="72" w:type="dxa"/>
              <w:right w:w="217" w:type="dxa"/>
            </w:tcMar>
            <w:hideMark/>
          </w:tcPr>
          <w:p w14:paraId="1EA91E7A" w14:textId="77777777" w:rsidR="00D0726A" w:rsidRPr="0086688C" w:rsidRDefault="00D0726A" w:rsidP="007940F1">
            <w:pPr>
              <w:rPr>
                <w:szCs w:val="24"/>
                <w:lang w:val="en-GB" w:eastAsia="en-GB"/>
              </w:rPr>
            </w:pPr>
            <w:r w:rsidRPr="0086688C">
              <w:rPr>
                <w:kern w:val="24"/>
                <w:szCs w:val="24"/>
                <w:lang w:eastAsia="en-GB"/>
              </w:rPr>
              <w:t xml:space="preserve">Įgyvendinama: </w:t>
            </w:r>
            <w:r w:rsidRPr="0086688C">
              <w:rPr>
                <w:kern w:val="24"/>
                <w:szCs w:val="24"/>
                <w:lang w:val="en-US" w:eastAsia="en-GB"/>
              </w:rPr>
              <w:t>28</w:t>
            </w:r>
            <w:r w:rsidRPr="0086688C">
              <w:rPr>
                <w:kern w:val="24"/>
                <w:szCs w:val="24"/>
                <w:lang w:eastAsia="en-GB"/>
              </w:rPr>
              <w:t>4 pareiškėjams suteikta ~ 5</w:t>
            </w:r>
            <w:r w:rsidRPr="0086688C">
              <w:rPr>
                <w:kern w:val="24"/>
                <w:szCs w:val="24"/>
                <w:lang w:val="en-US" w:eastAsia="en-GB"/>
              </w:rPr>
              <w:t>2</w:t>
            </w:r>
            <w:r w:rsidRPr="0086688C">
              <w:rPr>
                <w:kern w:val="24"/>
                <w:szCs w:val="24"/>
                <w:lang w:eastAsia="en-GB"/>
              </w:rPr>
              <w:t xml:space="preserve"> </w:t>
            </w:r>
            <w:r>
              <w:rPr>
                <w:kern w:val="24"/>
                <w:szCs w:val="24"/>
                <w:lang w:eastAsia="en-GB"/>
              </w:rPr>
              <w:t> </w:t>
            </w:r>
            <w:r w:rsidRPr="0086688C">
              <w:rPr>
                <w:kern w:val="24"/>
                <w:szCs w:val="24"/>
                <w:lang w:eastAsia="en-GB"/>
              </w:rPr>
              <w:t xml:space="preserve">mln. </w:t>
            </w:r>
            <w:r>
              <w:rPr>
                <w:kern w:val="24"/>
                <w:szCs w:val="24"/>
                <w:lang w:eastAsia="en-GB"/>
              </w:rPr>
              <w:t>eurų</w:t>
            </w:r>
            <w:r w:rsidRPr="0086688C">
              <w:rPr>
                <w:kern w:val="24"/>
                <w:szCs w:val="24"/>
                <w:lang w:eastAsia="en-GB"/>
              </w:rPr>
              <w:t xml:space="preserve"> </w:t>
            </w:r>
            <w:r>
              <w:rPr>
                <w:kern w:val="24"/>
                <w:szCs w:val="24"/>
                <w:lang w:eastAsia="en-GB"/>
              </w:rPr>
              <w:t xml:space="preserve">vertės </w:t>
            </w:r>
            <w:r w:rsidRPr="0086688C">
              <w:rPr>
                <w:kern w:val="24"/>
                <w:szCs w:val="24"/>
                <w:lang w:eastAsia="en-GB"/>
              </w:rPr>
              <w:t>garantijų</w:t>
            </w:r>
          </w:p>
        </w:tc>
      </w:tr>
      <w:tr w:rsidR="00D0726A" w:rsidRPr="00656496" w14:paraId="554FE41C" w14:textId="77777777" w:rsidTr="00794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jc w:val="center"/>
        </w:trPr>
        <w:tc>
          <w:tcPr>
            <w:tcW w:w="3251" w:type="dxa"/>
            <w:tcBorders>
              <w:top w:val="single" w:sz="4" w:space="0" w:color="auto"/>
              <w:left w:val="single" w:sz="4" w:space="0" w:color="auto"/>
              <w:bottom w:val="single" w:sz="4" w:space="0" w:color="auto"/>
              <w:right w:val="single" w:sz="4" w:space="0" w:color="auto"/>
            </w:tcBorders>
            <w:shd w:val="clear" w:color="auto" w:fill="auto"/>
            <w:tcMar>
              <w:top w:w="72" w:type="dxa"/>
              <w:left w:w="217" w:type="dxa"/>
              <w:bottom w:w="72" w:type="dxa"/>
              <w:right w:w="217" w:type="dxa"/>
            </w:tcMar>
            <w:vAlign w:val="center"/>
            <w:hideMark/>
          </w:tcPr>
          <w:p w14:paraId="6223B82C" w14:textId="77777777" w:rsidR="00D0726A" w:rsidRPr="0086688C" w:rsidRDefault="00D0726A" w:rsidP="007940F1">
            <w:pPr>
              <w:rPr>
                <w:kern w:val="24"/>
                <w:szCs w:val="24"/>
                <w:lang w:val="en-GB" w:eastAsia="en-GB"/>
              </w:rPr>
            </w:pPr>
            <w:r w:rsidRPr="0086688C">
              <w:rPr>
                <w:kern w:val="24"/>
                <w:szCs w:val="24"/>
                <w:lang w:eastAsia="en-GB"/>
              </w:rPr>
              <w:t>Portfeli</w:t>
            </w:r>
            <w:r>
              <w:rPr>
                <w:kern w:val="24"/>
                <w:szCs w:val="24"/>
                <w:lang w:eastAsia="en-GB"/>
              </w:rPr>
              <w:t>ų</w:t>
            </w:r>
            <w:r w:rsidRPr="0086688C">
              <w:rPr>
                <w:kern w:val="24"/>
                <w:szCs w:val="24"/>
                <w:lang w:eastAsia="en-GB"/>
              </w:rPr>
              <w:t xml:space="preserve"> garantijos faktoringui </w:t>
            </w:r>
            <w:r w:rsidRPr="00A82194">
              <w:rPr>
                <w:kern w:val="24"/>
                <w:szCs w:val="24"/>
                <w:lang w:eastAsia="en-GB"/>
              </w:rPr>
              <w:t>2</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F5D53B8" w14:textId="77777777" w:rsidR="00D0726A" w:rsidRPr="00117955" w:rsidRDefault="00D0726A" w:rsidP="007940F1">
            <w:pPr>
              <w:rPr>
                <w:kern w:val="24"/>
                <w:szCs w:val="24"/>
                <w:lang w:val="en-GB" w:eastAsia="en-GB"/>
              </w:rPr>
            </w:pPr>
            <w:r>
              <w:rPr>
                <w:kern w:val="24"/>
                <w:szCs w:val="24"/>
                <w:lang w:eastAsia="en-GB"/>
              </w:rPr>
              <w:t xml:space="preserve">        </w:t>
            </w:r>
            <w:r w:rsidRPr="000A1528">
              <w:rPr>
                <w:kern w:val="24"/>
                <w:szCs w:val="24"/>
                <w:lang w:eastAsia="en-GB"/>
              </w:rPr>
              <w:t>10</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A616442" w14:textId="77777777" w:rsidR="00D0726A" w:rsidRPr="0086688C" w:rsidRDefault="00D0726A" w:rsidP="007940F1">
            <w:pPr>
              <w:rPr>
                <w:kern w:val="24"/>
                <w:szCs w:val="24"/>
                <w:lang w:val="en-GB" w:eastAsia="en-GB"/>
              </w:rPr>
            </w:pPr>
            <w:r w:rsidRPr="0086688C">
              <w:rPr>
                <w:kern w:val="24"/>
                <w:szCs w:val="24"/>
                <w:lang w:eastAsia="en-GB"/>
              </w:rPr>
              <w:t>Įgyvendinama: 1</w:t>
            </w:r>
            <w:r w:rsidRPr="0086688C">
              <w:rPr>
                <w:kern w:val="24"/>
                <w:szCs w:val="24"/>
                <w:lang w:val="en-US" w:eastAsia="en-GB"/>
              </w:rPr>
              <w:t>22</w:t>
            </w:r>
            <w:r w:rsidRPr="0086688C">
              <w:rPr>
                <w:kern w:val="24"/>
                <w:szCs w:val="24"/>
                <w:lang w:eastAsia="en-GB"/>
              </w:rPr>
              <w:t xml:space="preserve"> pareiškėjams suteikta </w:t>
            </w:r>
            <w:r w:rsidRPr="0086688C">
              <w:rPr>
                <w:kern w:val="24"/>
                <w:szCs w:val="24"/>
                <w:lang w:val="en-US" w:eastAsia="en-GB"/>
              </w:rPr>
              <w:t>14,4</w:t>
            </w:r>
            <w:r w:rsidRPr="0086688C">
              <w:rPr>
                <w:kern w:val="24"/>
                <w:szCs w:val="24"/>
                <w:lang w:eastAsia="en-GB"/>
              </w:rPr>
              <w:t xml:space="preserve"> mln. </w:t>
            </w:r>
            <w:r>
              <w:rPr>
                <w:kern w:val="24"/>
                <w:szCs w:val="24"/>
                <w:lang w:eastAsia="en-GB"/>
              </w:rPr>
              <w:t>eurų</w:t>
            </w:r>
            <w:r w:rsidRPr="0086688C">
              <w:rPr>
                <w:kern w:val="24"/>
                <w:szCs w:val="24"/>
                <w:lang w:eastAsia="en-GB"/>
              </w:rPr>
              <w:t xml:space="preserve"> </w:t>
            </w:r>
            <w:r>
              <w:rPr>
                <w:kern w:val="24"/>
                <w:szCs w:val="24"/>
                <w:lang w:eastAsia="en-GB"/>
              </w:rPr>
              <w:t xml:space="preserve">vertės </w:t>
            </w:r>
            <w:r w:rsidRPr="0086688C">
              <w:rPr>
                <w:kern w:val="24"/>
                <w:szCs w:val="24"/>
                <w:lang w:eastAsia="en-GB"/>
              </w:rPr>
              <w:t xml:space="preserve">garantijų </w:t>
            </w:r>
          </w:p>
        </w:tc>
      </w:tr>
      <w:tr w:rsidR="00D0726A" w:rsidRPr="00656496" w14:paraId="6D3FA21C" w14:textId="77777777" w:rsidTr="00794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jc w:val="center"/>
        </w:trPr>
        <w:tc>
          <w:tcPr>
            <w:tcW w:w="32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74EEDF7C" w14:textId="77777777" w:rsidR="00D0726A" w:rsidRPr="00656496" w:rsidRDefault="00D0726A" w:rsidP="007940F1">
            <w:pPr>
              <w:rPr>
                <w:kern w:val="24"/>
                <w:szCs w:val="24"/>
                <w:lang w:val="en-GB" w:eastAsia="en-GB"/>
              </w:rPr>
            </w:pPr>
            <w:r w:rsidRPr="00656496">
              <w:rPr>
                <w:kern w:val="24"/>
                <w:szCs w:val="24"/>
                <w:lang w:eastAsia="en-GB"/>
              </w:rPr>
              <w:t>Sutelktinės paskolos „Avietė“</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B0085AC" w14:textId="77777777" w:rsidR="00D0726A" w:rsidRPr="00656496" w:rsidRDefault="00D0726A" w:rsidP="007940F1">
            <w:pPr>
              <w:rPr>
                <w:kern w:val="24"/>
                <w:szCs w:val="24"/>
                <w:lang w:val="en-GB" w:eastAsia="en-GB"/>
              </w:rPr>
            </w:pPr>
            <w:r>
              <w:rPr>
                <w:kern w:val="24"/>
                <w:szCs w:val="24"/>
                <w:lang w:eastAsia="en-GB"/>
              </w:rPr>
              <w:t xml:space="preserve">        </w:t>
            </w:r>
            <w:r w:rsidRPr="00656496">
              <w:rPr>
                <w:kern w:val="24"/>
                <w:szCs w:val="24"/>
                <w:lang w:eastAsia="en-GB"/>
              </w:rPr>
              <w:t>10,6</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2E14C112" w14:textId="77777777" w:rsidR="00D0726A" w:rsidRPr="0086688C" w:rsidRDefault="00D0726A" w:rsidP="007940F1">
            <w:pPr>
              <w:rPr>
                <w:kern w:val="24"/>
                <w:szCs w:val="24"/>
                <w:lang w:val="en-GB" w:eastAsia="en-GB"/>
              </w:rPr>
            </w:pPr>
            <w:r w:rsidRPr="0086688C">
              <w:rPr>
                <w:kern w:val="24"/>
                <w:szCs w:val="24"/>
                <w:lang w:eastAsia="en-GB"/>
              </w:rPr>
              <w:t xml:space="preserve">Įgyvendinama: </w:t>
            </w:r>
            <w:r w:rsidRPr="0086688C">
              <w:rPr>
                <w:kern w:val="24"/>
                <w:szCs w:val="24"/>
                <w:lang w:val="en-US" w:eastAsia="en-GB"/>
              </w:rPr>
              <w:t>720</w:t>
            </w:r>
            <w:r w:rsidRPr="0086688C">
              <w:rPr>
                <w:kern w:val="24"/>
                <w:szCs w:val="24"/>
                <w:lang w:eastAsia="en-GB"/>
              </w:rPr>
              <w:t xml:space="preserve"> pareiškėjų išmokėta ~ </w:t>
            </w:r>
            <w:r w:rsidRPr="0086688C">
              <w:rPr>
                <w:kern w:val="24"/>
                <w:szCs w:val="24"/>
                <w:lang w:val="en-US" w:eastAsia="en-GB"/>
              </w:rPr>
              <w:t>9,</w:t>
            </w:r>
            <w:r w:rsidRPr="0086688C">
              <w:rPr>
                <w:kern w:val="24"/>
                <w:szCs w:val="24"/>
                <w:lang w:eastAsia="en-GB"/>
              </w:rPr>
              <w:t>2</w:t>
            </w:r>
            <w:r w:rsidRPr="0086688C">
              <w:rPr>
                <w:kern w:val="24"/>
                <w:szCs w:val="24"/>
                <w:lang w:val="en-US" w:eastAsia="en-GB"/>
              </w:rPr>
              <w:t xml:space="preserve"> </w:t>
            </w:r>
            <w:r w:rsidRPr="0086688C">
              <w:rPr>
                <w:kern w:val="24"/>
                <w:szCs w:val="24"/>
                <w:lang w:eastAsia="en-GB"/>
              </w:rPr>
              <w:t xml:space="preserve">mln. </w:t>
            </w:r>
            <w:r>
              <w:rPr>
                <w:kern w:val="24"/>
                <w:szCs w:val="24"/>
                <w:lang w:eastAsia="en-GB"/>
              </w:rPr>
              <w:t>eurų</w:t>
            </w:r>
            <w:r w:rsidRPr="0086688C">
              <w:rPr>
                <w:kern w:val="24"/>
                <w:szCs w:val="24"/>
                <w:lang w:val="en-US" w:eastAsia="en-GB"/>
              </w:rPr>
              <w:t xml:space="preserve"> (</w:t>
            </w:r>
            <w:r w:rsidRPr="00BA0101">
              <w:rPr>
                <w:kern w:val="24"/>
                <w:szCs w:val="24"/>
                <w:lang w:eastAsia="en-GB"/>
              </w:rPr>
              <w:t>i</w:t>
            </w:r>
            <w:r w:rsidRPr="008129B9">
              <w:rPr>
                <w:kern w:val="24"/>
                <w:szCs w:val="24"/>
                <w:lang w:eastAsia="en-GB"/>
              </w:rPr>
              <w:t xml:space="preserve">š jų – </w:t>
            </w:r>
            <w:r w:rsidRPr="00BA0101">
              <w:rPr>
                <w:kern w:val="24"/>
                <w:szCs w:val="24"/>
                <w:lang w:eastAsia="en-GB"/>
              </w:rPr>
              <w:t>4,5 mln. eurų finans</w:t>
            </w:r>
            <w:r w:rsidRPr="008129B9">
              <w:rPr>
                <w:kern w:val="24"/>
                <w:szCs w:val="24"/>
                <w:lang w:eastAsia="en-GB"/>
              </w:rPr>
              <w:t>ų įstaigų</w:t>
            </w:r>
            <w:r w:rsidRPr="0086688C">
              <w:rPr>
                <w:kern w:val="24"/>
                <w:szCs w:val="24"/>
                <w:lang w:eastAsia="en-GB"/>
              </w:rPr>
              <w:t xml:space="preserve"> lėšos)</w:t>
            </w:r>
          </w:p>
        </w:tc>
      </w:tr>
      <w:tr w:rsidR="00D0726A" w:rsidRPr="00656496" w14:paraId="4E686CFD" w14:textId="77777777" w:rsidTr="00794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3"/>
          <w:jc w:val="center"/>
        </w:trPr>
        <w:tc>
          <w:tcPr>
            <w:tcW w:w="32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D3AEC75" w14:textId="77777777" w:rsidR="00D0726A" w:rsidRPr="00656496" w:rsidRDefault="00D0726A" w:rsidP="007940F1">
            <w:pPr>
              <w:rPr>
                <w:kern w:val="24"/>
                <w:szCs w:val="24"/>
                <w:lang w:val="en-GB" w:eastAsia="en-GB"/>
              </w:rPr>
            </w:pPr>
            <w:r w:rsidRPr="00656496">
              <w:rPr>
                <w:kern w:val="24"/>
                <w:szCs w:val="24"/>
                <w:lang w:eastAsia="en-GB"/>
              </w:rPr>
              <w:t xml:space="preserve">Garantijos už kelionių organizatorių prievolių įvykdymo užtikrinimą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88E07B8" w14:textId="77777777" w:rsidR="00D0726A" w:rsidRPr="00656496" w:rsidRDefault="00D0726A" w:rsidP="007940F1">
            <w:pPr>
              <w:jc w:val="center"/>
              <w:rPr>
                <w:kern w:val="24"/>
                <w:szCs w:val="24"/>
                <w:lang w:val="en-GB" w:eastAsia="en-GB"/>
              </w:rPr>
            </w:pPr>
            <w:r w:rsidRPr="00656496">
              <w:rPr>
                <w:kern w:val="24"/>
                <w:szCs w:val="24"/>
                <w:lang w:eastAsia="en-GB"/>
              </w:rPr>
              <w:t>15</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BCACEB3" w14:textId="77777777" w:rsidR="00D0726A" w:rsidRPr="0086688C" w:rsidRDefault="00D0726A" w:rsidP="007940F1">
            <w:pPr>
              <w:rPr>
                <w:kern w:val="24"/>
                <w:szCs w:val="24"/>
                <w:lang w:val="en-GB" w:eastAsia="en-GB"/>
              </w:rPr>
            </w:pPr>
            <w:r w:rsidRPr="0086688C">
              <w:rPr>
                <w:kern w:val="24"/>
                <w:szCs w:val="24"/>
                <w:lang w:eastAsia="en-GB"/>
              </w:rPr>
              <w:t xml:space="preserve">Įgyvendinama: </w:t>
            </w:r>
            <w:r w:rsidRPr="0086688C">
              <w:rPr>
                <w:kern w:val="24"/>
                <w:szCs w:val="24"/>
                <w:lang w:val="en-US" w:eastAsia="en-GB"/>
              </w:rPr>
              <w:t>40</w:t>
            </w:r>
            <w:r w:rsidRPr="0086688C">
              <w:rPr>
                <w:kern w:val="24"/>
                <w:szCs w:val="24"/>
                <w:lang w:eastAsia="en-GB"/>
              </w:rPr>
              <w:t xml:space="preserve"> pareiškėj</w:t>
            </w:r>
            <w:r>
              <w:rPr>
                <w:kern w:val="24"/>
                <w:szCs w:val="24"/>
                <w:lang w:eastAsia="en-GB"/>
              </w:rPr>
              <w:t>ų</w:t>
            </w:r>
            <w:r w:rsidRPr="0086688C">
              <w:rPr>
                <w:kern w:val="24"/>
                <w:szCs w:val="24"/>
                <w:lang w:eastAsia="en-GB"/>
              </w:rPr>
              <w:t xml:space="preserve"> suteikta 2,</w:t>
            </w:r>
            <w:r w:rsidRPr="0086688C">
              <w:rPr>
                <w:kern w:val="24"/>
                <w:szCs w:val="24"/>
                <w:lang w:val="en-US" w:eastAsia="en-GB"/>
              </w:rPr>
              <w:t>8</w:t>
            </w:r>
            <w:r w:rsidRPr="0086688C">
              <w:rPr>
                <w:kern w:val="24"/>
                <w:szCs w:val="24"/>
                <w:lang w:eastAsia="en-GB"/>
              </w:rPr>
              <w:t xml:space="preserve"> mln. </w:t>
            </w:r>
            <w:r>
              <w:rPr>
                <w:kern w:val="24"/>
                <w:szCs w:val="24"/>
                <w:lang w:eastAsia="en-GB"/>
              </w:rPr>
              <w:t xml:space="preserve">eurų vertės </w:t>
            </w:r>
            <w:r w:rsidRPr="0086688C">
              <w:rPr>
                <w:kern w:val="24"/>
                <w:szCs w:val="24"/>
                <w:lang w:eastAsia="en-GB"/>
              </w:rPr>
              <w:t>garantijų</w:t>
            </w:r>
          </w:p>
        </w:tc>
      </w:tr>
      <w:tr w:rsidR="00D0726A" w:rsidRPr="00656496" w14:paraId="3B98D032" w14:textId="77777777" w:rsidTr="00794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7"/>
          <w:jc w:val="center"/>
        </w:trPr>
        <w:tc>
          <w:tcPr>
            <w:tcW w:w="3251" w:type="dxa"/>
            <w:tcBorders>
              <w:top w:val="single" w:sz="4" w:space="0" w:color="auto"/>
              <w:left w:val="single" w:sz="4" w:space="0" w:color="auto"/>
              <w:bottom w:val="single" w:sz="4" w:space="0" w:color="auto"/>
              <w:right w:val="single" w:sz="4" w:space="0" w:color="auto"/>
            </w:tcBorders>
            <w:shd w:val="clear" w:color="auto" w:fill="auto"/>
            <w:tcMar>
              <w:top w:w="72" w:type="dxa"/>
              <w:left w:w="217" w:type="dxa"/>
              <w:bottom w:w="72" w:type="dxa"/>
              <w:right w:w="217" w:type="dxa"/>
            </w:tcMar>
            <w:vAlign w:val="center"/>
            <w:hideMark/>
          </w:tcPr>
          <w:p w14:paraId="1729F616" w14:textId="77777777" w:rsidR="00D0726A" w:rsidRPr="00656496" w:rsidRDefault="00D0726A" w:rsidP="007940F1">
            <w:pPr>
              <w:rPr>
                <w:kern w:val="24"/>
                <w:szCs w:val="24"/>
                <w:lang w:val="en-GB" w:eastAsia="en-GB"/>
              </w:rPr>
            </w:pPr>
            <w:r w:rsidRPr="00656496">
              <w:rPr>
                <w:kern w:val="24"/>
                <w:szCs w:val="24"/>
                <w:lang w:eastAsia="en-GB"/>
              </w:rPr>
              <w:t xml:space="preserve">Eksporto kredito garantijos </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3FD26B1B" w14:textId="77777777" w:rsidR="00D0726A" w:rsidRPr="00656496" w:rsidRDefault="00D0726A" w:rsidP="007940F1">
            <w:pPr>
              <w:jc w:val="center"/>
              <w:rPr>
                <w:kern w:val="24"/>
                <w:szCs w:val="24"/>
                <w:lang w:val="en-GB" w:eastAsia="en-GB"/>
              </w:rPr>
            </w:pPr>
            <w:r w:rsidRPr="00656496">
              <w:rPr>
                <w:kern w:val="24"/>
                <w:szCs w:val="24"/>
                <w:lang w:eastAsia="en-GB"/>
              </w:rPr>
              <w:t>17</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663BEBB" w14:textId="77777777" w:rsidR="00D0726A" w:rsidRPr="0086688C" w:rsidRDefault="00D0726A" w:rsidP="007940F1">
            <w:pPr>
              <w:rPr>
                <w:kern w:val="24"/>
                <w:szCs w:val="24"/>
                <w:lang w:val="en-GB" w:eastAsia="en-GB"/>
              </w:rPr>
            </w:pPr>
            <w:r w:rsidRPr="0086688C">
              <w:rPr>
                <w:kern w:val="24"/>
                <w:szCs w:val="24"/>
                <w:lang w:eastAsia="en-GB"/>
              </w:rPr>
              <w:t>Įgyvendinama: 1</w:t>
            </w:r>
            <w:r w:rsidRPr="0086688C">
              <w:rPr>
                <w:kern w:val="24"/>
                <w:szCs w:val="24"/>
                <w:lang w:val="en-US" w:eastAsia="en-GB"/>
              </w:rPr>
              <w:t>20</w:t>
            </w:r>
            <w:r w:rsidRPr="0086688C">
              <w:rPr>
                <w:kern w:val="24"/>
                <w:szCs w:val="24"/>
                <w:lang w:eastAsia="en-GB"/>
              </w:rPr>
              <w:t xml:space="preserve"> pareiškėjų suteikta </w:t>
            </w:r>
            <w:r w:rsidRPr="0086688C">
              <w:rPr>
                <w:kern w:val="24"/>
                <w:szCs w:val="24"/>
                <w:lang w:val="en-US" w:eastAsia="en-GB"/>
              </w:rPr>
              <w:t>6,7</w:t>
            </w:r>
            <w:r w:rsidRPr="0086688C">
              <w:rPr>
                <w:kern w:val="24"/>
                <w:szCs w:val="24"/>
                <w:lang w:eastAsia="en-GB"/>
              </w:rPr>
              <w:t xml:space="preserve"> mln. </w:t>
            </w:r>
            <w:r>
              <w:rPr>
                <w:kern w:val="24"/>
                <w:szCs w:val="24"/>
                <w:lang w:eastAsia="en-GB"/>
              </w:rPr>
              <w:t xml:space="preserve">eurų vertės </w:t>
            </w:r>
            <w:r w:rsidRPr="0086688C">
              <w:rPr>
                <w:kern w:val="24"/>
                <w:szCs w:val="24"/>
                <w:lang w:eastAsia="en-GB"/>
              </w:rPr>
              <w:t>garantijų</w:t>
            </w:r>
          </w:p>
        </w:tc>
      </w:tr>
      <w:tr w:rsidR="00D0726A" w:rsidRPr="00656496" w14:paraId="036B24F3" w14:textId="77777777" w:rsidTr="00794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7"/>
          <w:jc w:val="center"/>
        </w:trPr>
        <w:tc>
          <w:tcPr>
            <w:tcW w:w="3251" w:type="dxa"/>
            <w:tcBorders>
              <w:top w:val="single" w:sz="4" w:space="0" w:color="auto"/>
              <w:left w:val="single" w:sz="4" w:space="0" w:color="auto"/>
              <w:bottom w:val="single" w:sz="4" w:space="0" w:color="auto"/>
              <w:right w:val="single" w:sz="4" w:space="0" w:color="auto"/>
            </w:tcBorders>
            <w:shd w:val="clear" w:color="auto" w:fill="auto"/>
            <w:tcMar>
              <w:top w:w="72" w:type="dxa"/>
              <w:left w:w="217" w:type="dxa"/>
              <w:bottom w:w="72" w:type="dxa"/>
              <w:right w:w="217" w:type="dxa"/>
            </w:tcMar>
            <w:vAlign w:val="bottom"/>
            <w:hideMark/>
          </w:tcPr>
          <w:p w14:paraId="7077D3D8" w14:textId="77777777" w:rsidR="00D0726A" w:rsidRPr="00BA0101" w:rsidRDefault="00D0726A" w:rsidP="007940F1">
            <w:pPr>
              <w:rPr>
                <w:kern w:val="24"/>
                <w:szCs w:val="24"/>
                <w:lang w:eastAsia="en-GB"/>
              </w:rPr>
            </w:pPr>
            <w:r w:rsidRPr="00656496">
              <w:rPr>
                <w:kern w:val="24"/>
                <w:szCs w:val="24"/>
                <w:lang w:eastAsia="en-GB"/>
              </w:rPr>
              <w:t>Tiesioginės I</w:t>
            </w:r>
            <w:r>
              <w:rPr>
                <w:kern w:val="24"/>
                <w:szCs w:val="24"/>
                <w:lang w:eastAsia="en-GB"/>
              </w:rPr>
              <w:t>NVEGOS</w:t>
            </w:r>
            <w:r w:rsidRPr="00656496">
              <w:rPr>
                <w:kern w:val="24"/>
                <w:szCs w:val="24"/>
                <w:lang w:eastAsia="en-GB"/>
              </w:rPr>
              <w:t xml:space="preserve"> paskolos turizmo paslaugų teikėjams ir viešbučiams bei viešojo maitinio įstaigoms</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00702D3" w14:textId="77777777" w:rsidR="00D0726A" w:rsidRPr="00656496" w:rsidRDefault="00D0726A" w:rsidP="007940F1">
            <w:pPr>
              <w:jc w:val="center"/>
              <w:rPr>
                <w:kern w:val="24"/>
                <w:szCs w:val="24"/>
                <w:lang w:val="en-GB" w:eastAsia="en-GB"/>
              </w:rPr>
            </w:pPr>
            <w:r w:rsidRPr="00656496">
              <w:rPr>
                <w:kern w:val="24"/>
                <w:szCs w:val="24"/>
                <w:lang w:eastAsia="en-GB"/>
              </w:rPr>
              <w:t>30</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8042E25" w14:textId="77777777" w:rsidR="00D0726A" w:rsidRPr="0086688C" w:rsidRDefault="00D0726A" w:rsidP="007940F1">
            <w:pPr>
              <w:rPr>
                <w:kern w:val="24"/>
                <w:szCs w:val="24"/>
                <w:lang w:val="en-GB" w:eastAsia="en-GB"/>
              </w:rPr>
            </w:pPr>
            <w:r w:rsidRPr="0086688C">
              <w:rPr>
                <w:kern w:val="24"/>
                <w:szCs w:val="24"/>
                <w:lang w:eastAsia="en-GB"/>
              </w:rPr>
              <w:t>Įgyvendinama: 5</w:t>
            </w:r>
            <w:r w:rsidRPr="0086688C">
              <w:rPr>
                <w:kern w:val="24"/>
                <w:szCs w:val="24"/>
                <w:lang w:val="en-US" w:eastAsia="en-GB"/>
              </w:rPr>
              <w:t>4</w:t>
            </w:r>
            <w:r w:rsidRPr="0086688C">
              <w:rPr>
                <w:kern w:val="24"/>
                <w:szCs w:val="24"/>
                <w:lang w:eastAsia="en-GB"/>
              </w:rPr>
              <w:t xml:space="preserve"> pareiškėjų išmokėta 18,</w:t>
            </w:r>
            <w:r w:rsidRPr="0086688C">
              <w:rPr>
                <w:kern w:val="24"/>
                <w:szCs w:val="24"/>
                <w:lang w:val="en-US" w:eastAsia="en-GB"/>
              </w:rPr>
              <w:t>8</w:t>
            </w:r>
            <w:r w:rsidRPr="0086688C">
              <w:rPr>
                <w:kern w:val="24"/>
                <w:szCs w:val="24"/>
                <w:lang w:eastAsia="en-GB"/>
              </w:rPr>
              <w:t xml:space="preserve"> mln. </w:t>
            </w:r>
            <w:r>
              <w:rPr>
                <w:kern w:val="24"/>
                <w:szCs w:val="24"/>
                <w:lang w:eastAsia="en-GB"/>
              </w:rPr>
              <w:t>eurų</w:t>
            </w:r>
          </w:p>
        </w:tc>
      </w:tr>
      <w:tr w:rsidR="00D0726A" w:rsidRPr="00656496" w14:paraId="26CC1328" w14:textId="77777777" w:rsidTr="00794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jc w:val="center"/>
        </w:trPr>
        <w:tc>
          <w:tcPr>
            <w:tcW w:w="32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40753A25" w14:textId="77777777" w:rsidR="00D0726A" w:rsidRPr="00656496" w:rsidRDefault="00D0726A" w:rsidP="007940F1">
            <w:pPr>
              <w:rPr>
                <w:kern w:val="24"/>
                <w:szCs w:val="24"/>
                <w:lang w:val="en-GB" w:eastAsia="en-GB"/>
              </w:rPr>
            </w:pPr>
            <w:r w:rsidRPr="00656496">
              <w:rPr>
                <w:kern w:val="24"/>
                <w:szCs w:val="24"/>
                <w:lang w:eastAsia="en-GB"/>
              </w:rPr>
              <w:t>Pagalbos verslui fondas</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6C447C4C" w14:textId="77777777" w:rsidR="00D0726A" w:rsidRPr="00656496" w:rsidRDefault="00D0726A" w:rsidP="007940F1">
            <w:pPr>
              <w:jc w:val="center"/>
              <w:rPr>
                <w:kern w:val="24"/>
                <w:szCs w:val="24"/>
                <w:lang w:val="en-GB" w:eastAsia="en-GB"/>
              </w:rPr>
            </w:pPr>
            <w:r w:rsidRPr="00163B14">
              <w:rPr>
                <w:kern w:val="24"/>
                <w:szCs w:val="24"/>
                <w:lang w:eastAsia="en-GB"/>
              </w:rPr>
              <w:t>100 plius iki 400 obligacijoms su garantija</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1A616E2A" w14:textId="77777777" w:rsidR="00D0726A" w:rsidRPr="0086688C" w:rsidRDefault="00D0726A" w:rsidP="007940F1">
            <w:pPr>
              <w:rPr>
                <w:kern w:val="24"/>
                <w:szCs w:val="24"/>
                <w:lang w:val="en-GB" w:eastAsia="en-GB"/>
              </w:rPr>
            </w:pPr>
            <w:r w:rsidRPr="0086688C">
              <w:rPr>
                <w:kern w:val="24"/>
                <w:szCs w:val="24"/>
                <w:lang w:eastAsia="en-GB"/>
              </w:rPr>
              <w:t xml:space="preserve">Įgyvendinama: </w:t>
            </w:r>
            <w:r w:rsidRPr="0086688C">
              <w:rPr>
                <w:kern w:val="24"/>
                <w:szCs w:val="24"/>
                <w:lang w:val="en-US" w:eastAsia="en-GB"/>
              </w:rPr>
              <w:t>2</w:t>
            </w:r>
            <w:r w:rsidRPr="0086688C">
              <w:rPr>
                <w:kern w:val="24"/>
                <w:szCs w:val="24"/>
                <w:lang w:eastAsia="en-GB"/>
              </w:rPr>
              <w:t xml:space="preserve"> pareiškėjai</w:t>
            </w:r>
            <w:r>
              <w:rPr>
                <w:kern w:val="24"/>
                <w:szCs w:val="24"/>
                <w:lang w:eastAsia="en-GB"/>
              </w:rPr>
              <w:t>,</w:t>
            </w:r>
            <w:r w:rsidRPr="0086688C">
              <w:rPr>
                <w:kern w:val="24"/>
                <w:szCs w:val="24"/>
                <w:lang w:eastAsia="en-GB"/>
              </w:rPr>
              <w:t xml:space="preserve"> išmokėta vienai įmonei 7 mln. </w:t>
            </w:r>
            <w:r>
              <w:rPr>
                <w:kern w:val="24"/>
                <w:szCs w:val="24"/>
                <w:lang w:eastAsia="en-GB"/>
              </w:rPr>
              <w:t>e</w:t>
            </w:r>
            <w:r w:rsidRPr="0086688C">
              <w:rPr>
                <w:kern w:val="24"/>
                <w:szCs w:val="24"/>
                <w:lang w:eastAsia="en-GB"/>
              </w:rPr>
              <w:t>ur</w:t>
            </w:r>
            <w:r>
              <w:rPr>
                <w:kern w:val="24"/>
                <w:szCs w:val="24"/>
                <w:lang w:eastAsia="en-GB"/>
              </w:rPr>
              <w:t>ų</w:t>
            </w:r>
            <w:r w:rsidRPr="0086688C">
              <w:rPr>
                <w:kern w:val="24"/>
                <w:szCs w:val="24"/>
                <w:lang w:val="en-US" w:eastAsia="en-GB"/>
              </w:rPr>
              <w:t xml:space="preserve">, </w:t>
            </w:r>
            <w:r w:rsidRPr="0086688C">
              <w:rPr>
                <w:kern w:val="24"/>
                <w:szCs w:val="24"/>
                <w:lang w:eastAsia="en-GB"/>
              </w:rPr>
              <w:t>p</w:t>
            </w:r>
            <w:r w:rsidRPr="0086688C">
              <w:rPr>
                <w:kern w:val="24"/>
                <w:szCs w:val="24"/>
                <w:lang w:val="en-US" w:eastAsia="en-GB"/>
              </w:rPr>
              <w:t>a</w:t>
            </w:r>
            <w:r w:rsidRPr="0086688C">
              <w:rPr>
                <w:kern w:val="24"/>
                <w:szCs w:val="24"/>
                <w:lang w:eastAsia="en-GB"/>
              </w:rPr>
              <w:t xml:space="preserve">tvirtinta kitai </w:t>
            </w:r>
            <w:r w:rsidRPr="00C55D71">
              <w:rPr>
                <w:szCs w:val="24"/>
              </w:rPr>
              <w:t>–</w:t>
            </w:r>
            <w:r w:rsidRPr="0086688C">
              <w:rPr>
                <w:kern w:val="24"/>
                <w:szCs w:val="24"/>
                <w:lang w:val="en-US" w:eastAsia="en-GB"/>
              </w:rPr>
              <w:t xml:space="preserve"> 10 </w:t>
            </w:r>
            <w:proofErr w:type="spellStart"/>
            <w:r w:rsidRPr="0086688C">
              <w:rPr>
                <w:kern w:val="24"/>
                <w:szCs w:val="24"/>
                <w:lang w:val="en-US" w:eastAsia="en-GB"/>
              </w:rPr>
              <w:t>mln</w:t>
            </w:r>
            <w:proofErr w:type="spellEnd"/>
            <w:r w:rsidRPr="0086688C">
              <w:rPr>
                <w:kern w:val="24"/>
                <w:szCs w:val="24"/>
                <w:lang w:val="en-US" w:eastAsia="en-GB"/>
              </w:rPr>
              <w:t xml:space="preserve">. </w:t>
            </w:r>
            <w:proofErr w:type="spellStart"/>
            <w:r>
              <w:rPr>
                <w:kern w:val="24"/>
                <w:szCs w:val="24"/>
                <w:lang w:val="en-US" w:eastAsia="en-GB"/>
              </w:rPr>
              <w:t>eurų</w:t>
            </w:r>
            <w:proofErr w:type="spellEnd"/>
          </w:p>
        </w:tc>
      </w:tr>
      <w:tr w:rsidR="00D0726A" w:rsidRPr="00656496" w14:paraId="315715AC" w14:textId="77777777" w:rsidTr="00794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7"/>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7E07AD75" w14:textId="77777777" w:rsidR="00D0726A" w:rsidRPr="00656496" w:rsidRDefault="00D0726A" w:rsidP="007940F1">
            <w:pPr>
              <w:rPr>
                <w:kern w:val="24"/>
                <w:szCs w:val="24"/>
                <w:lang w:val="en-GB" w:eastAsia="en-GB"/>
              </w:rPr>
            </w:pPr>
            <w:r w:rsidRPr="00656496">
              <w:rPr>
                <w:b/>
                <w:bCs/>
                <w:kern w:val="24"/>
                <w:szCs w:val="24"/>
                <w:lang w:eastAsia="en-GB"/>
              </w:rPr>
              <w:t xml:space="preserve">Iš viso: </w:t>
            </w:r>
          </w:p>
        </w:tc>
        <w:tc>
          <w:tcPr>
            <w:tcW w:w="524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7967019" w14:textId="77777777" w:rsidR="00D0726A" w:rsidRPr="0086688C" w:rsidRDefault="00D0726A" w:rsidP="007940F1">
            <w:pPr>
              <w:rPr>
                <w:kern w:val="24"/>
                <w:szCs w:val="24"/>
                <w:lang w:val="en-GB" w:eastAsia="en-GB"/>
              </w:rPr>
            </w:pPr>
            <w:r w:rsidRPr="00BA0101">
              <w:rPr>
                <w:kern w:val="24"/>
                <w:szCs w:val="24"/>
                <w:lang w:eastAsia="en-GB"/>
              </w:rPr>
              <w:t xml:space="preserve">Daugiau kaip 21,6 </w:t>
            </w:r>
            <w:r w:rsidRPr="008129B9">
              <w:rPr>
                <w:kern w:val="24"/>
                <w:szCs w:val="24"/>
                <w:lang w:eastAsia="en-GB"/>
              </w:rPr>
              <w:t>tūkst. pareiškėjų išmokėta / skirta</w:t>
            </w:r>
            <w:r w:rsidRPr="00BA0101">
              <w:rPr>
                <w:kern w:val="24"/>
                <w:szCs w:val="24"/>
                <w:lang w:eastAsia="en-GB"/>
              </w:rPr>
              <w:t xml:space="preserve"> beveik</w:t>
            </w:r>
            <w:r w:rsidRPr="0086688C">
              <w:rPr>
                <w:kern w:val="24"/>
                <w:szCs w:val="24"/>
                <w:lang w:val="en-US" w:eastAsia="en-GB"/>
              </w:rPr>
              <w:t xml:space="preserve"> </w:t>
            </w:r>
            <w:r w:rsidRPr="0086688C">
              <w:rPr>
                <w:kern w:val="24"/>
                <w:szCs w:val="24"/>
                <w:lang w:eastAsia="en-GB"/>
              </w:rPr>
              <w:t>2</w:t>
            </w:r>
            <w:r w:rsidRPr="0086688C">
              <w:rPr>
                <w:kern w:val="24"/>
                <w:szCs w:val="24"/>
                <w:lang w:val="en-US" w:eastAsia="en-GB"/>
              </w:rPr>
              <w:t>4</w:t>
            </w:r>
            <w:r w:rsidRPr="0086688C">
              <w:rPr>
                <w:kern w:val="24"/>
                <w:szCs w:val="24"/>
                <w:lang w:eastAsia="en-GB"/>
              </w:rPr>
              <w:t xml:space="preserve">5 mln. </w:t>
            </w:r>
            <w:r>
              <w:rPr>
                <w:kern w:val="24"/>
                <w:szCs w:val="24"/>
                <w:lang w:eastAsia="en-GB"/>
              </w:rPr>
              <w:t>eurų</w:t>
            </w:r>
            <w:r w:rsidRPr="0086688C">
              <w:rPr>
                <w:kern w:val="24"/>
                <w:szCs w:val="24"/>
                <w:lang w:eastAsia="en-GB"/>
              </w:rPr>
              <w:t xml:space="preserve"> </w:t>
            </w:r>
          </w:p>
        </w:tc>
      </w:tr>
    </w:tbl>
    <w:p w14:paraId="10D520AE" w14:textId="58475708" w:rsidR="00F67DE2" w:rsidRPr="00AD36E0" w:rsidRDefault="00BC100D" w:rsidP="00AD36E0">
      <w:pPr>
        <w:tabs>
          <w:tab w:val="left" w:pos="993"/>
        </w:tabs>
        <w:jc w:val="both"/>
        <w:rPr>
          <w:szCs w:val="24"/>
        </w:rPr>
      </w:pPr>
      <w:r w:rsidRPr="001F76F9">
        <w:rPr>
          <w:kern w:val="24"/>
          <w:szCs w:val="24"/>
          <w:lang w:eastAsia="en-GB"/>
        </w:rPr>
        <w:t>*įvertinus priemonės aktualumą planuojama mažinti iki 100 mln.</w:t>
      </w:r>
      <w:r w:rsidR="00894F12">
        <w:rPr>
          <w:kern w:val="24"/>
          <w:szCs w:val="24"/>
          <w:lang w:eastAsia="en-GB"/>
        </w:rPr>
        <w:t xml:space="preserve"> </w:t>
      </w:r>
      <w:r w:rsidR="00F049C9">
        <w:rPr>
          <w:kern w:val="24"/>
          <w:szCs w:val="24"/>
          <w:lang w:eastAsia="en-GB"/>
        </w:rPr>
        <w:t>e</w:t>
      </w:r>
      <w:r w:rsidR="00894F12">
        <w:rPr>
          <w:kern w:val="24"/>
          <w:szCs w:val="24"/>
          <w:lang w:eastAsia="en-GB"/>
        </w:rPr>
        <w:t>ur</w:t>
      </w:r>
      <w:r w:rsidR="00F049C9">
        <w:rPr>
          <w:kern w:val="24"/>
          <w:szCs w:val="24"/>
          <w:lang w:eastAsia="en-GB"/>
        </w:rPr>
        <w:t>ų</w:t>
      </w:r>
      <w:r w:rsidRPr="001F76F9">
        <w:rPr>
          <w:kern w:val="24"/>
          <w:szCs w:val="24"/>
          <w:lang w:eastAsia="en-GB"/>
        </w:rPr>
        <w:t>, 50 mln.</w:t>
      </w:r>
      <w:r w:rsidR="00894F12">
        <w:rPr>
          <w:kern w:val="24"/>
          <w:szCs w:val="24"/>
          <w:lang w:eastAsia="en-GB"/>
        </w:rPr>
        <w:t xml:space="preserve"> </w:t>
      </w:r>
      <w:r w:rsidR="00F049C9">
        <w:rPr>
          <w:kern w:val="24"/>
          <w:szCs w:val="24"/>
          <w:lang w:eastAsia="en-GB"/>
        </w:rPr>
        <w:t>e</w:t>
      </w:r>
      <w:r w:rsidR="00894F12">
        <w:rPr>
          <w:kern w:val="24"/>
          <w:szCs w:val="24"/>
          <w:lang w:eastAsia="en-GB"/>
        </w:rPr>
        <w:t>ur</w:t>
      </w:r>
      <w:r w:rsidR="00F049C9">
        <w:rPr>
          <w:kern w:val="24"/>
          <w:szCs w:val="24"/>
          <w:lang w:eastAsia="en-GB"/>
        </w:rPr>
        <w:t>ų</w:t>
      </w:r>
      <w:r w:rsidRPr="001F76F9">
        <w:rPr>
          <w:kern w:val="24"/>
          <w:szCs w:val="24"/>
          <w:lang w:eastAsia="en-GB"/>
        </w:rPr>
        <w:t xml:space="preserve"> perskirstant kitoms paramos verslui priemonėms</w:t>
      </w:r>
    </w:p>
    <w:p w14:paraId="75957746" w14:textId="3DB12B60" w:rsidR="006D0836" w:rsidRDefault="006D0836" w:rsidP="00FD61E5">
      <w:pPr>
        <w:tabs>
          <w:tab w:val="left" w:pos="993"/>
        </w:tabs>
        <w:jc w:val="center"/>
        <w:rPr>
          <w:szCs w:val="24"/>
        </w:rPr>
      </w:pPr>
      <w:r>
        <w:rPr>
          <w:szCs w:val="24"/>
        </w:rPr>
        <w:t>Duomenų šaltinis</w:t>
      </w:r>
      <w:r w:rsidR="006E2946">
        <w:rPr>
          <w:szCs w:val="24"/>
        </w:rPr>
        <w:t xml:space="preserve"> </w:t>
      </w:r>
      <w:r w:rsidR="006E2946" w:rsidRPr="00C55D71">
        <w:rPr>
          <w:szCs w:val="24"/>
        </w:rPr>
        <w:t>–</w:t>
      </w:r>
      <w:r w:rsidR="006E2946">
        <w:rPr>
          <w:szCs w:val="24"/>
        </w:rPr>
        <w:t xml:space="preserve"> </w:t>
      </w:r>
      <w:r>
        <w:rPr>
          <w:szCs w:val="24"/>
        </w:rPr>
        <w:t>Ekonomikos ir inovacijų ministerija</w:t>
      </w:r>
    </w:p>
    <w:p w14:paraId="76A01012" w14:textId="77777777" w:rsidR="006D0836" w:rsidRDefault="006D0836" w:rsidP="00F67DE2">
      <w:pPr>
        <w:jc w:val="both"/>
        <w:rPr>
          <w:iCs/>
          <w:color w:val="000000"/>
          <w:lang w:eastAsia="en-GB"/>
        </w:rPr>
      </w:pPr>
    </w:p>
    <w:p w14:paraId="476BD172" w14:textId="7536E2B6" w:rsidR="00032539" w:rsidRDefault="00F67DE2" w:rsidP="00032539">
      <w:pPr>
        <w:ind w:firstLine="709"/>
        <w:jc w:val="both"/>
        <w:rPr>
          <w:rFonts w:ascii="Times" w:hAnsi="Times" w:cs="Arial"/>
          <w:spacing w:val="2"/>
          <w:szCs w:val="24"/>
          <w:shd w:val="clear" w:color="auto" w:fill="FFFFFF"/>
          <w:lang w:eastAsia="en-GB"/>
        </w:rPr>
      </w:pPr>
      <w:r>
        <w:tab/>
      </w:r>
    </w:p>
    <w:p w14:paraId="0A9359FA" w14:textId="52073D2E" w:rsidR="00780406" w:rsidRPr="00780406" w:rsidRDefault="00F67DE2" w:rsidP="00FD61E5">
      <w:pPr>
        <w:spacing w:line="276" w:lineRule="auto"/>
        <w:ind w:firstLine="720"/>
        <w:jc w:val="both"/>
        <w:rPr>
          <w:iCs/>
          <w:color w:val="000000"/>
          <w:lang w:eastAsia="en-GB"/>
        </w:rPr>
      </w:pPr>
      <w:r>
        <w:t xml:space="preserve">Norint, kad parama verslui pasiektų labiausiai nuo pandemijos nukentėjusius gavėjus, nustatyta, kad į subsidijas gali pretenduoti įmonės, atitinkančios objektyvius </w:t>
      </w:r>
      <w:r w:rsidRPr="0020582C">
        <w:rPr>
          <w:iCs/>
          <w:color w:val="000000"/>
          <w:lang w:eastAsia="en-GB"/>
        </w:rPr>
        <w:t>pajamų ar balansinės vertės kriterijus</w:t>
      </w:r>
      <w:r>
        <w:rPr>
          <w:iCs/>
          <w:color w:val="000000"/>
          <w:lang w:eastAsia="en-GB"/>
        </w:rPr>
        <w:t xml:space="preserve">, padedančius įrodyti, kiek įmonė nukentėjo nuo COVID-19. 2020 m. buvo remiamasi tik darbuotojų skaičiaus kriterijumi. Nors objektyvesnių kriterijų nustatymas sulėtina paraiškos vertinimo procesą (nuo 1 iki 3 dienų), pakeitimas leidžia didinti ir maksimalią subsidijos sumą. </w:t>
      </w:r>
      <w:r w:rsidR="00780406">
        <w:rPr>
          <w:rFonts w:ascii="Times" w:hAnsi="Times"/>
          <w:szCs w:val="24"/>
        </w:rPr>
        <w:t>Teikiant subsidijas n</w:t>
      </w:r>
      <w:r w:rsidR="00780406" w:rsidRPr="004C4AD1">
        <w:rPr>
          <w:rFonts w:ascii="Times" w:hAnsi="Times"/>
          <w:szCs w:val="24"/>
        </w:rPr>
        <w:t>epamirštos ir kult</w:t>
      </w:r>
      <w:r w:rsidR="00780406" w:rsidRPr="00780406">
        <w:rPr>
          <w:rFonts w:ascii="Times" w:hAnsi="Times"/>
          <w:szCs w:val="24"/>
        </w:rPr>
        <w:t xml:space="preserve">ūros, </w:t>
      </w:r>
      <w:r w:rsidR="00780406">
        <w:rPr>
          <w:rFonts w:ascii="Times" w:hAnsi="Times"/>
          <w:szCs w:val="24"/>
        </w:rPr>
        <w:t xml:space="preserve">nevyriausybinės </w:t>
      </w:r>
      <w:r w:rsidR="006E2946">
        <w:rPr>
          <w:rFonts w:ascii="Times" w:hAnsi="Times"/>
          <w:szCs w:val="24"/>
        </w:rPr>
        <w:t>organizacijos</w:t>
      </w:r>
      <w:r w:rsidR="006E2946" w:rsidRPr="00780406">
        <w:rPr>
          <w:rFonts w:ascii="Times" w:hAnsi="Times"/>
          <w:szCs w:val="24"/>
        </w:rPr>
        <w:t xml:space="preserve"> </w:t>
      </w:r>
      <w:r w:rsidR="006E2946" w:rsidRPr="00C55D71">
        <w:rPr>
          <w:szCs w:val="24"/>
        </w:rPr>
        <w:t>–</w:t>
      </w:r>
      <w:r w:rsidR="00780406">
        <w:rPr>
          <w:rFonts w:ascii="Times" w:hAnsi="Times"/>
          <w:szCs w:val="24"/>
        </w:rPr>
        <w:t xml:space="preserve"> </w:t>
      </w:r>
      <w:r w:rsidR="006E2946">
        <w:rPr>
          <w:rFonts w:ascii="Times" w:hAnsi="Times"/>
          <w:szCs w:val="24"/>
        </w:rPr>
        <w:t xml:space="preserve">sudaryta </w:t>
      </w:r>
      <w:r w:rsidR="00780406" w:rsidRPr="00CC2E93">
        <w:rPr>
          <w:rFonts w:ascii="Times" w:hAnsi="Times"/>
          <w:szCs w:val="24"/>
        </w:rPr>
        <w:t>galimybė į negrąžinamas subsidijas pretenduoti ir nevyriausybinėms organizacijoms bei kultūros sektoriaus įmonėms, vykdančioms ekonominę veiklą.</w:t>
      </w:r>
    </w:p>
    <w:p w14:paraId="5B5360C4" w14:textId="7AC2F94E" w:rsidR="00F67DE2" w:rsidRDefault="00F67DE2" w:rsidP="00F67DE2">
      <w:pPr>
        <w:spacing w:line="276" w:lineRule="auto"/>
        <w:jc w:val="both"/>
        <w:rPr>
          <w:iCs/>
          <w:color w:val="000000"/>
          <w:lang w:eastAsia="en-GB"/>
        </w:rPr>
      </w:pPr>
      <w:r>
        <w:rPr>
          <w:iCs/>
          <w:color w:val="000000"/>
          <w:lang w:eastAsia="en-GB"/>
        </w:rPr>
        <w:t xml:space="preserve">Subsidijų teikimo 2020 ir 2021 m. palyginimas </w:t>
      </w:r>
      <w:r w:rsidRPr="00C55D71">
        <w:rPr>
          <w:szCs w:val="24"/>
        </w:rPr>
        <w:t>–</w:t>
      </w:r>
      <w:r>
        <w:rPr>
          <w:iCs/>
          <w:color w:val="000000"/>
          <w:lang w:eastAsia="en-GB"/>
        </w:rPr>
        <w:t xml:space="preserve">  </w:t>
      </w:r>
      <w:r w:rsidR="007318AE">
        <w:rPr>
          <w:iCs/>
          <w:color w:val="000000"/>
          <w:lang w:eastAsia="en-GB"/>
        </w:rPr>
        <w:t xml:space="preserve">5 </w:t>
      </w:r>
      <w:r>
        <w:rPr>
          <w:iCs/>
          <w:color w:val="000000"/>
          <w:lang w:eastAsia="en-GB"/>
        </w:rPr>
        <w:t xml:space="preserve">lentelėje. </w:t>
      </w:r>
    </w:p>
    <w:p w14:paraId="22B56FB3" w14:textId="77777777" w:rsidR="00F67DE2" w:rsidRPr="005571CE" w:rsidRDefault="00F67DE2" w:rsidP="00F67DE2">
      <w:pPr>
        <w:tabs>
          <w:tab w:val="left" w:pos="0"/>
        </w:tabs>
        <w:rPr>
          <w:iCs/>
          <w:color w:val="000000"/>
          <w:lang w:eastAsia="en-GB"/>
        </w:rPr>
      </w:pPr>
    </w:p>
    <w:p w14:paraId="258AFD05" w14:textId="3AC00876" w:rsidR="00F67DE2" w:rsidRDefault="00032539" w:rsidP="00F67DE2">
      <w:pPr>
        <w:tabs>
          <w:tab w:val="left" w:pos="0"/>
        </w:tabs>
        <w:jc w:val="center"/>
        <w:rPr>
          <w:b/>
          <w:bCs/>
          <w:color w:val="244061" w:themeColor="accent1" w:themeShade="80"/>
        </w:rPr>
      </w:pPr>
      <w:r>
        <w:rPr>
          <w:b/>
          <w:bCs/>
          <w:color w:val="244061" w:themeColor="accent1" w:themeShade="80"/>
          <w:lang w:val="en-GB"/>
        </w:rPr>
        <w:t>3</w:t>
      </w:r>
      <w:r w:rsidR="00F67DE2">
        <w:rPr>
          <w:b/>
          <w:bCs/>
          <w:color w:val="244061" w:themeColor="accent1" w:themeShade="80"/>
          <w:lang w:val="en-GB"/>
        </w:rPr>
        <w:t xml:space="preserve"> </w:t>
      </w:r>
      <w:proofErr w:type="spellStart"/>
      <w:r w:rsidR="00F67DE2">
        <w:rPr>
          <w:b/>
          <w:bCs/>
          <w:color w:val="244061" w:themeColor="accent1" w:themeShade="80"/>
          <w:lang w:val="en-GB"/>
        </w:rPr>
        <w:t>lentel</w:t>
      </w:r>
      <w:proofErr w:type="spellEnd"/>
      <w:r w:rsidR="00F67DE2">
        <w:rPr>
          <w:b/>
          <w:bCs/>
          <w:color w:val="244061" w:themeColor="accent1" w:themeShade="80"/>
        </w:rPr>
        <w:t>ė. Priemonės „</w:t>
      </w:r>
      <w:r w:rsidR="00F67DE2" w:rsidRPr="00847960">
        <w:rPr>
          <w:b/>
          <w:bCs/>
          <w:color w:val="244061" w:themeColor="accent1" w:themeShade="80"/>
        </w:rPr>
        <w:t xml:space="preserve">Subsidijos nuo COVID-19 nukentėjusioms įmonėms“ palyginimas su </w:t>
      </w:r>
      <w:r w:rsidR="00F67DE2">
        <w:rPr>
          <w:b/>
          <w:bCs/>
          <w:color w:val="244061" w:themeColor="accent1" w:themeShade="80"/>
        </w:rPr>
        <w:t xml:space="preserve">priemone </w:t>
      </w:r>
      <w:r w:rsidR="00F67DE2" w:rsidRPr="00847960">
        <w:rPr>
          <w:b/>
          <w:bCs/>
          <w:color w:val="244061" w:themeColor="accent1" w:themeShade="80"/>
        </w:rPr>
        <w:t xml:space="preserve">„Subsidijos </w:t>
      </w:r>
      <w:proofErr w:type="spellStart"/>
      <w:r w:rsidR="00F67DE2" w:rsidRPr="00847960">
        <w:rPr>
          <w:b/>
          <w:bCs/>
          <w:color w:val="244061" w:themeColor="accent1" w:themeShade="80"/>
        </w:rPr>
        <w:t>mikroįmonėms</w:t>
      </w:r>
      <w:proofErr w:type="spellEnd"/>
      <w:r w:rsidR="00F67DE2">
        <w:rPr>
          <w:b/>
          <w:bCs/>
          <w:color w:val="244061" w:themeColor="accent1" w:themeShade="80"/>
        </w:rPr>
        <w:t>“</w:t>
      </w:r>
    </w:p>
    <w:p w14:paraId="60197E3C" w14:textId="77777777" w:rsidR="00F67DE2" w:rsidRDefault="00F67DE2" w:rsidP="00F67DE2">
      <w:pPr>
        <w:tabs>
          <w:tab w:val="left" w:pos="0"/>
        </w:tabs>
        <w:jc w:val="center"/>
        <w:rPr>
          <w:b/>
          <w:bCs/>
          <w:color w:val="244061" w:themeColor="accent1" w:themeShade="80"/>
        </w:rPr>
      </w:pPr>
    </w:p>
    <w:tbl>
      <w:tblPr>
        <w:tblStyle w:val="Lentelstinklelis"/>
        <w:tblW w:w="0" w:type="auto"/>
        <w:jc w:val="center"/>
        <w:tblLook w:val="04A0" w:firstRow="1" w:lastRow="0" w:firstColumn="1" w:lastColumn="0" w:noHBand="0" w:noVBand="1"/>
      </w:tblPr>
      <w:tblGrid>
        <w:gridCol w:w="1980"/>
        <w:gridCol w:w="2977"/>
        <w:gridCol w:w="4671"/>
      </w:tblGrid>
      <w:tr w:rsidR="00F67DE2" w14:paraId="3AA7EF29" w14:textId="77777777" w:rsidTr="00D56555">
        <w:trPr>
          <w:jc w:val="center"/>
        </w:trPr>
        <w:tc>
          <w:tcPr>
            <w:tcW w:w="1980" w:type="dxa"/>
            <w:shd w:val="clear" w:color="auto" w:fill="C6D9F1" w:themeFill="text2" w:themeFillTint="33"/>
          </w:tcPr>
          <w:p w14:paraId="4D0CA055" w14:textId="77777777" w:rsidR="00F67DE2" w:rsidRDefault="00F67DE2" w:rsidP="00E8194D">
            <w:pPr>
              <w:tabs>
                <w:tab w:val="left" w:pos="0"/>
              </w:tabs>
              <w:jc w:val="center"/>
              <w:rPr>
                <w:b/>
                <w:bCs/>
                <w:color w:val="244061" w:themeColor="accent1" w:themeShade="80"/>
              </w:rPr>
            </w:pPr>
          </w:p>
        </w:tc>
        <w:tc>
          <w:tcPr>
            <w:tcW w:w="2977" w:type="dxa"/>
            <w:shd w:val="clear" w:color="auto" w:fill="C6D9F1" w:themeFill="text2" w:themeFillTint="33"/>
          </w:tcPr>
          <w:p w14:paraId="786FC33A" w14:textId="77777777" w:rsidR="00F67DE2" w:rsidRDefault="00F67DE2" w:rsidP="00E8194D">
            <w:pPr>
              <w:tabs>
                <w:tab w:val="left" w:pos="0"/>
              </w:tabs>
              <w:rPr>
                <w:b/>
                <w:bCs/>
                <w:color w:val="244061" w:themeColor="accent1" w:themeShade="80"/>
              </w:rPr>
            </w:pPr>
            <w:r w:rsidRPr="0020582C">
              <w:rPr>
                <w:b/>
                <w:bCs/>
                <w:iCs/>
                <w:color w:val="000000"/>
                <w:lang w:eastAsia="en-GB"/>
              </w:rPr>
              <w:t xml:space="preserve">Subsidijos </w:t>
            </w:r>
            <w:proofErr w:type="spellStart"/>
            <w:r w:rsidRPr="0020582C">
              <w:rPr>
                <w:b/>
                <w:bCs/>
                <w:iCs/>
                <w:color w:val="000000"/>
                <w:lang w:eastAsia="en-GB"/>
              </w:rPr>
              <w:t>mikroįmonėms</w:t>
            </w:r>
            <w:proofErr w:type="spellEnd"/>
            <w:r>
              <w:rPr>
                <w:b/>
                <w:bCs/>
                <w:iCs/>
                <w:color w:val="000000"/>
                <w:lang w:eastAsia="en-GB"/>
              </w:rPr>
              <w:t xml:space="preserve"> 2020 m.</w:t>
            </w:r>
          </w:p>
        </w:tc>
        <w:tc>
          <w:tcPr>
            <w:tcW w:w="4671" w:type="dxa"/>
            <w:shd w:val="clear" w:color="auto" w:fill="C6D9F1" w:themeFill="text2" w:themeFillTint="33"/>
          </w:tcPr>
          <w:p w14:paraId="72A18CEA" w14:textId="77777777" w:rsidR="00F67DE2" w:rsidRDefault="00F67DE2" w:rsidP="00E8194D">
            <w:pPr>
              <w:tabs>
                <w:tab w:val="left" w:pos="0"/>
              </w:tabs>
              <w:rPr>
                <w:b/>
                <w:bCs/>
                <w:color w:val="244061" w:themeColor="accent1" w:themeShade="80"/>
              </w:rPr>
            </w:pPr>
            <w:r w:rsidRPr="0020582C">
              <w:rPr>
                <w:b/>
                <w:bCs/>
                <w:iCs/>
                <w:color w:val="000000"/>
                <w:lang w:eastAsia="en-GB"/>
              </w:rPr>
              <w:t>Subsidijos nuo COVID-19 nukentėjusioms įmonėms</w:t>
            </w:r>
            <w:r>
              <w:rPr>
                <w:b/>
                <w:bCs/>
                <w:iCs/>
                <w:color w:val="000000"/>
                <w:lang w:eastAsia="en-GB"/>
              </w:rPr>
              <w:t xml:space="preserve"> 2021 m.</w:t>
            </w:r>
          </w:p>
        </w:tc>
      </w:tr>
      <w:tr w:rsidR="00F67DE2" w14:paraId="153FE195" w14:textId="77777777" w:rsidTr="00D56555">
        <w:trPr>
          <w:jc w:val="center"/>
        </w:trPr>
        <w:tc>
          <w:tcPr>
            <w:tcW w:w="1980" w:type="dxa"/>
          </w:tcPr>
          <w:p w14:paraId="578EBF00" w14:textId="77777777" w:rsidR="00F67DE2" w:rsidRDefault="00F67DE2" w:rsidP="00E8194D">
            <w:pPr>
              <w:tabs>
                <w:tab w:val="left" w:pos="0"/>
              </w:tabs>
              <w:jc w:val="center"/>
              <w:rPr>
                <w:b/>
                <w:bCs/>
                <w:color w:val="244061" w:themeColor="accent1" w:themeShade="80"/>
              </w:rPr>
            </w:pPr>
            <w:r w:rsidRPr="0020582C">
              <w:rPr>
                <w:iCs/>
                <w:color w:val="000000"/>
                <w:lang w:eastAsia="en-GB"/>
              </w:rPr>
              <w:t>Priemonės suma</w:t>
            </w:r>
          </w:p>
        </w:tc>
        <w:tc>
          <w:tcPr>
            <w:tcW w:w="2977" w:type="dxa"/>
          </w:tcPr>
          <w:p w14:paraId="1A424B4E" w14:textId="77777777" w:rsidR="00F67DE2" w:rsidRPr="0020582C" w:rsidRDefault="00F67DE2" w:rsidP="00E8194D">
            <w:pPr>
              <w:tabs>
                <w:tab w:val="left" w:pos="0"/>
              </w:tabs>
              <w:rPr>
                <w:b/>
                <w:bCs/>
                <w:iCs/>
                <w:color w:val="000000"/>
                <w:lang w:eastAsia="en-GB"/>
              </w:rPr>
            </w:pPr>
            <w:r w:rsidRPr="0020582C">
              <w:rPr>
                <w:iCs/>
                <w:color w:val="000000"/>
                <w:lang w:eastAsia="en-GB"/>
              </w:rPr>
              <w:t xml:space="preserve">100 mln. </w:t>
            </w:r>
            <w:r>
              <w:rPr>
                <w:iCs/>
                <w:color w:val="000000"/>
                <w:lang w:eastAsia="en-GB"/>
              </w:rPr>
              <w:t>eurų</w:t>
            </w:r>
          </w:p>
        </w:tc>
        <w:tc>
          <w:tcPr>
            <w:tcW w:w="4671" w:type="dxa"/>
          </w:tcPr>
          <w:p w14:paraId="7C4F9CD0" w14:textId="77777777" w:rsidR="00F67DE2" w:rsidRPr="0020582C" w:rsidRDefault="00F67DE2" w:rsidP="00E8194D">
            <w:pPr>
              <w:tabs>
                <w:tab w:val="left" w:pos="0"/>
              </w:tabs>
              <w:rPr>
                <w:b/>
                <w:bCs/>
                <w:iCs/>
                <w:color w:val="000000"/>
                <w:lang w:eastAsia="en-GB"/>
              </w:rPr>
            </w:pPr>
            <w:r w:rsidRPr="0020582C">
              <w:rPr>
                <w:iCs/>
                <w:color w:val="000000"/>
                <w:lang w:eastAsia="en-GB"/>
              </w:rPr>
              <w:t xml:space="preserve">150 mln. </w:t>
            </w:r>
            <w:r>
              <w:rPr>
                <w:iCs/>
                <w:color w:val="000000"/>
                <w:lang w:eastAsia="en-GB"/>
              </w:rPr>
              <w:t>eurų</w:t>
            </w:r>
          </w:p>
        </w:tc>
      </w:tr>
      <w:tr w:rsidR="00F67DE2" w14:paraId="4EAA2775" w14:textId="77777777" w:rsidTr="00D56555">
        <w:trPr>
          <w:jc w:val="center"/>
        </w:trPr>
        <w:tc>
          <w:tcPr>
            <w:tcW w:w="1980" w:type="dxa"/>
          </w:tcPr>
          <w:p w14:paraId="4EBDDB15" w14:textId="77777777" w:rsidR="00F67DE2" w:rsidRDefault="00F67DE2" w:rsidP="00E8194D">
            <w:pPr>
              <w:tabs>
                <w:tab w:val="left" w:pos="0"/>
              </w:tabs>
              <w:jc w:val="center"/>
              <w:rPr>
                <w:b/>
                <w:bCs/>
                <w:color w:val="244061" w:themeColor="accent1" w:themeShade="80"/>
              </w:rPr>
            </w:pPr>
            <w:r w:rsidRPr="0020582C">
              <w:rPr>
                <w:iCs/>
                <w:color w:val="000000"/>
                <w:lang w:eastAsia="en-GB"/>
              </w:rPr>
              <w:t>Teisinis pagrindas</w:t>
            </w:r>
          </w:p>
        </w:tc>
        <w:tc>
          <w:tcPr>
            <w:tcW w:w="2977" w:type="dxa"/>
          </w:tcPr>
          <w:p w14:paraId="648A992E" w14:textId="77777777" w:rsidR="00F67DE2" w:rsidRPr="0020582C" w:rsidRDefault="00F67DE2" w:rsidP="00E8194D">
            <w:pPr>
              <w:tabs>
                <w:tab w:val="left" w:pos="0"/>
              </w:tabs>
              <w:rPr>
                <w:b/>
                <w:bCs/>
                <w:iCs/>
                <w:color w:val="000000"/>
                <w:lang w:eastAsia="en-GB"/>
              </w:rPr>
            </w:pPr>
            <w:r w:rsidRPr="0020582C">
              <w:rPr>
                <w:i/>
                <w:iCs/>
                <w:color w:val="000000"/>
                <w:lang w:eastAsia="en-GB"/>
              </w:rPr>
              <w:t xml:space="preserve">de </w:t>
            </w:r>
            <w:proofErr w:type="spellStart"/>
            <w:r w:rsidRPr="0020582C">
              <w:rPr>
                <w:i/>
                <w:iCs/>
                <w:color w:val="000000"/>
                <w:lang w:eastAsia="en-GB"/>
              </w:rPr>
              <w:t>minimis</w:t>
            </w:r>
            <w:proofErr w:type="spellEnd"/>
            <w:r w:rsidRPr="0020582C">
              <w:rPr>
                <w:i/>
                <w:iCs/>
                <w:color w:val="000000"/>
                <w:lang w:eastAsia="en-GB"/>
              </w:rPr>
              <w:t xml:space="preserve"> </w:t>
            </w:r>
            <w:r w:rsidRPr="0020582C">
              <w:rPr>
                <w:iCs/>
                <w:color w:val="000000"/>
                <w:lang w:eastAsia="en-GB"/>
              </w:rPr>
              <w:t>reglamentas</w:t>
            </w:r>
          </w:p>
        </w:tc>
        <w:tc>
          <w:tcPr>
            <w:tcW w:w="4671" w:type="dxa"/>
          </w:tcPr>
          <w:p w14:paraId="342370C6" w14:textId="77777777" w:rsidR="00F67DE2" w:rsidRPr="0020582C" w:rsidRDefault="00F67DE2" w:rsidP="00E8194D">
            <w:pPr>
              <w:tabs>
                <w:tab w:val="left" w:pos="0"/>
              </w:tabs>
              <w:rPr>
                <w:b/>
                <w:bCs/>
                <w:iCs/>
                <w:color w:val="000000"/>
                <w:lang w:eastAsia="en-GB"/>
              </w:rPr>
            </w:pPr>
            <w:r w:rsidRPr="0020582C">
              <w:rPr>
                <w:iCs/>
                <w:color w:val="000000"/>
                <w:lang w:eastAsia="en-GB"/>
              </w:rPr>
              <w:t xml:space="preserve">EK Laikinasis </w:t>
            </w:r>
            <w:r>
              <w:rPr>
                <w:iCs/>
                <w:color w:val="000000"/>
                <w:lang w:eastAsia="en-GB"/>
              </w:rPr>
              <w:t>k</w:t>
            </w:r>
            <w:r w:rsidRPr="0020582C">
              <w:rPr>
                <w:iCs/>
                <w:color w:val="000000"/>
                <w:lang w:eastAsia="en-GB"/>
              </w:rPr>
              <w:t>omunikatas</w:t>
            </w:r>
            <w:r>
              <w:rPr>
                <w:iCs/>
                <w:color w:val="000000"/>
                <w:lang w:eastAsia="en-GB"/>
              </w:rPr>
              <w:t xml:space="preserve"> (toliau </w:t>
            </w:r>
            <w:r w:rsidRPr="00C55D71">
              <w:rPr>
                <w:szCs w:val="24"/>
              </w:rPr>
              <w:t>–</w:t>
            </w:r>
            <w:r>
              <w:rPr>
                <w:iCs/>
                <w:color w:val="000000"/>
                <w:lang w:eastAsia="en-GB"/>
              </w:rPr>
              <w:t xml:space="preserve"> Komunikatas)</w:t>
            </w:r>
          </w:p>
        </w:tc>
      </w:tr>
      <w:tr w:rsidR="00F67DE2" w14:paraId="31E1E53A" w14:textId="77777777" w:rsidTr="00D56555">
        <w:trPr>
          <w:jc w:val="center"/>
        </w:trPr>
        <w:tc>
          <w:tcPr>
            <w:tcW w:w="1980" w:type="dxa"/>
          </w:tcPr>
          <w:p w14:paraId="70B890F0" w14:textId="77777777" w:rsidR="00F67DE2" w:rsidRDefault="00F67DE2" w:rsidP="00E8194D">
            <w:pPr>
              <w:tabs>
                <w:tab w:val="left" w:pos="0"/>
              </w:tabs>
              <w:rPr>
                <w:b/>
                <w:bCs/>
                <w:color w:val="244061" w:themeColor="accent1" w:themeShade="80"/>
              </w:rPr>
            </w:pPr>
            <w:r w:rsidRPr="0020582C">
              <w:rPr>
                <w:iCs/>
                <w:color w:val="000000"/>
                <w:lang w:eastAsia="en-GB"/>
              </w:rPr>
              <w:t>Maksimali subsidijos suma</w:t>
            </w:r>
          </w:p>
        </w:tc>
        <w:tc>
          <w:tcPr>
            <w:tcW w:w="2977" w:type="dxa"/>
          </w:tcPr>
          <w:p w14:paraId="739D346E" w14:textId="77777777" w:rsidR="00F67DE2" w:rsidRPr="0020582C" w:rsidRDefault="00F67DE2" w:rsidP="00E8194D">
            <w:pPr>
              <w:jc w:val="both"/>
              <w:rPr>
                <w:iCs/>
                <w:color w:val="000000"/>
                <w:lang w:val="en-GB" w:eastAsia="en-GB"/>
              </w:rPr>
            </w:pPr>
            <w:r w:rsidRPr="0020582C">
              <w:rPr>
                <w:iCs/>
                <w:color w:val="000000"/>
                <w:lang w:eastAsia="en-GB"/>
              </w:rPr>
              <w:t>200</w:t>
            </w:r>
            <w:r>
              <w:rPr>
                <w:iCs/>
                <w:color w:val="000000"/>
                <w:lang w:eastAsia="en-GB"/>
              </w:rPr>
              <w:t xml:space="preserve"> </w:t>
            </w:r>
            <w:r w:rsidRPr="0020582C">
              <w:rPr>
                <w:iCs/>
                <w:color w:val="000000"/>
                <w:lang w:eastAsia="en-GB"/>
              </w:rPr>
              <w:t xml:space="preserve">000 </w:t>
            </w:r>
            <w:r>
              <w:rPr>
                <w:iCs/>
                <w:color w:val="000000"/>
                <w:lang w:eastAsia="en-GB"/>
              </w:rPr>
              <w:t>eurų</w:t>
            </w:r>
            <w:r w:rsidRPr="0020582C">
              <w:rPr>
                <w:iCs/>
                <w:color w:val="000000"/>
                <w:lang w:eastAsia="en-GB"/>
              </w:rPr>
              <w:t xml:space="preserve">. </w:t>
            </w:r>
          </w:p>
          <w:p w14:paraId="70F159DE" w14:textId="77777777" w:rsidR="00F67DE2" w:rsidRPr="0020582C" w:rsidRDefault="00F67DE2" w:rsidP="00E8194D">
            <w:pPr>
              <w:tabs>
                <w:tab w:val="left" w:pos="0"/>
              </w:tabs>
              <w:rPr>
                <w:b/>
                <w:bCs/>
                <w:iCs/>
                <w:color w:val="000000"/>
                <w:lang w:eastAsia="en-GB"/>
              </w:rPr>
            </w:pPr>
            <w:r w:rsidRPr="0020582C">
              <w:rPr>
                <w:iCs/>
                <w:color w:val="000000"/>
                <w:lang w:eastAsia="en-GB"/>
              </w:rPr>
              <w:t xml:space="preserve">Prisideda visa anksčiau sukaupta </w:t>
            </w:r>
            <w:r w:rsidRPr="0020582C">
              <w:rPr>
                <w:i/>
                <w:iCs/>
                <w:color w:val="000000"/>
                <w:lang w:eastAsia="en-GB"/>
              </w:rPr>
              <w:t xml:space="preserve">de </w:t>
            </w:r>
            <w:proofErr w:type="spellStart"/>
            <w:r w:rsidRPr="0020582C">
              <w:rPr>
                <w:i/>
                <w:iCs/>
                <w:color w:val="000000"/>
                <w:lang w:eastAsia="en-GB"/>
              </w:rPr>
              <w:t>minimis</w:t>
            </w:r>
            <w:proofErr w:type="spellEnd"/>
            <w:r w:rsidRPr="0020582C">
              <w:rPr>
                <w:iCs/>
                <w:color w:val="000000"/>
                <w:lang w:eastAsia="en-GB"/>
              </w:rPr>
              <w:t xml:space="preserve"> pagalba, nebūtinai dėl COVID-19</w:t>
            </w:r>
          </w:p>
        </w:tc>
        <w:tc>
          <w:tcPr>
            <w:tcW w:w="4671" w:type="dxa"/>
          </w:tcPr>
          <w:p w14:paraId="761187DD" w14:textId="77777777" w:rsidR="00F67DE2" w:rsidRPr="0020582C" w:rsidRDefault="00F67DE2" w:rsidP="00E8194D">
            <w:pPr>
              <w:jc w:val="both"/>
              <w:rPr>
                <w:iCs/>
                <w:color w:val="000000"/>
                <w:lang w:val="en-GB" w:eastAsia="en-GB"/>
              </w:rPr>
            </w:pPr>
            <w:r w:rsidRPr="0020582C">
              <w:rPr>
                <w:iCs/>
                <w:color w:val="000000"/>
                <w:lang w:eastAsia="en-GB"/>
              </w:rPr>
              <w:t>800</w:t>
            </w:r>
            <w:r>
              <w:rPr>
                <w:iCs/>
                <w:color w:val="000000"/>
                <w:lang w:eastAsia="en-GB"/>
              </w:rPr>
              <w:t xml:space="preserve"> </w:t>
            </w:r>
            <w:r w:rsidRPr="0020582C">
              <w:rPr>
                <w:iCs/>
                <w:color w:val="000000"/>
                <w:lang w:eastAsia="en-GB"/>
              </w:rPr>
              <w:t xml:space="preserve">000 </w:t>
            </w:r>
            <w:r>
              <w:rPr>
                <w:iCs/>
                <w:color w:val="000000"/>
                <w:lang w:eastAsia="en-GB"/>
              </w:rPr>
              <w:t>eurų</w:t>
            </w:r>
            <w:r w:rsidRPr="0020582C">
              <w:rPr>
                <w:iCs/>
                <w:color w:val="000000"/>
                <w:lang w:eastAsia="en-GB"/>
              </w:rPr>
              <w:t xml:space="preserve">. </w:t>
            </w:r>
          </w:p>
          <w:p w14:paraId="199630FC" w14:textId="77777777" w:rsidR="00F67DE2" w:rsidRPr="0020582C" w:rsidRDefault="00F67DE2" w:rsidP="00E8194D">
            <w:pPr>
              <w:tabs>
                <w:tab w:val="left" w:pos="0"/>
              </w:tabs>
              <w:rPr>
                <w:b/>
                <w:bCs/>
                <w:iCs/>
                <w:color w:val="000000"/>
                <w:lang w:eastAsia="en-GB"/>
              </w:rPr>
            </w:pPr>
            <w:r w:rsidRPr="0020582C">
              <w:rPr>
                <w:iCs/>
                <w:color w:val="000000"/>
                <w:lang w:eastAsia="en-GB"/>
              </w:rPr>
              <w:t>Sumuojama tik pagalba pagal Komunikato 3.1 skirsnį  dėl COVID-19</w:t>
            </w:r>
          </w:p>
        </w:tc>
      </w:tr>
      <w:tr w:rsidR="00F67DE2" w14:paraId="126123BE" w14:textId="77777777" w:rsidTr="00D56555">
        <w:trPr>
          <w:jc w:val="center"/>
        </w:trPr>
        <w:tc>
          <w:tcPr>
            <w:tcW w:w="1980" w:type="dxa"/>
          </w:tcPr>
          <w:p w14:paraId="4223A5F5" w14:textId="77777777" w:rsidR="00F67DE2" w:rsidRDefault="00F67DE2" w:rsidP="00E8194D">
            <w:pPr>
              <w:tabs>
                <w:tab w:val="left" w:pos="0"/>
              </w:tabs>
              <w:rPr>
                <w:b/>
                <w:bCs/>
                <w:color w:val="244061" w:themeColor="accent1" w:themeShade="80"/>
              </w:rPr>
            </w:pPr>
            <w:r w:rsidRPr="0020582C">
              <w:rPr>
                <w:iCs/>
                <w:color w:val="000000"/>
                <w:lang w:eastAsia="en-GB"/>
              </w:rPr>
              <w:t>Galimi pareiškėjai</w:t>
            </w:r>
          </w:p>
        </w:tc>
        <w:tc>
          <w:tcPr>
            <w:tcW w:w="2977" w:type="dxa"/>
          </w:tcPr>
          <w:p w14:paraId="6CA27135" w14:textId="77777777" w:rsidR="00F67DE2" w:rsidRPr="0020582C" w:rsidRDefault="00F67DE2" w:rsidP="00E8194D">
            <w:pPr>
              <w:tabs>
                <w:tab w:val="left" w:pos="0"/>
              </w:tabs>
              <w:rPr>
                <w:b/>
                <w:bCs/>
                <w:iCs/>
                <w:color w:val="000000"/>
                <w:lang w:eastAsia="en-GB"/>
              </w:rPr>
            </w:pPr>
            <w:r w:rsidRPr="0020582C">
              <w:rPr>
                <w:iCs/>
                <w:color w:val="000000"/>
                <w:lang w:eastAsia="en-GB"/>
              </w:rPr>
              <w:t xml:space="preserve">Tik </w:t>
            </w:r>
            <w:proofErr w:type="spellStart"/>
            <w:r w:rsidRPr="0020582C">
              <w:rPr>
                <w:iCs/>
                <w:color w:val="000000"/>
                <w:lang w:eastAsia="en-GB"/>
              </w:rPr>
              <w:t>mikroįmonės</w:t>
            </w:r>
            <w:proofErr w:type="spellEnd"/>
          </w:p>
        </w:tc>
        <w:tc>
          <w:tcPr>
            <w:tcW w:w="4671" w:type="dxa"/>
          </w:tcPr>
          <w:p w14:paraId="2EDDE9DA" w14:textId="77777777" w:rsidR="00F67DE2" w:rsidRPr="0020582C" w:rsidRDefault="00F67DE2" w:rsidP="00E8194D">
            <w:pPr>
              <w:tabs>
                <w:tab w:val="left" w:pos="0"/>
              </w:tabs>
              <w:rPr>
                <w:b/>
                <w:bCs/>
                <w:iCs/>
                <w:color w:val="000000"/>
                <w:lang w:eastAsia="en-GB"/>
              </w:rPr>
            </w:pPr>
            <w:r w:rsidRPr="0020582C">
              <w:rPr>
                <w:iCs/>
                <w:color w:val="000000"/>
                <w:lang w:eastAsia="en-GB"/>
              </w:rPr>
              <w:t>Visų teisinių formų juridiniai asmenys, atitinkantys pajamų ar balansinės vertės kriterijus</w:t>
            </w:r>
          </w:p>
        </w:tc>
      </w:tr>
      <w:tr w:rsidR="00F67DE2" w14:paraId="55BE8732" w14:textId="77777777" w:rsidTr="00D56555">
        <w:trPr>
          <w:jc w:val="center"/>
        </w:trPr>
        <w:tc>
          <w:tcPr>
            <w:tcW w:w="1980" w:type="dxa"/>
          </w:tcPr>
          <w:p w14:paraId="33A4F7CE" w14:textId="77777777" w:rsidR="00F67DE2" w:rsidRDefault="00F67DE2" w:rsidP="00E8194D">
            <w:pPr>
              <w:tabs>
                <w:tab w:val="left" w:pos="0"/>
              </w:tabs>
              <w:rPr>
                <w:b/>
                <w:bCs/>
                <w:color w:val="244061" w:themeColor="accent1" w:themeShade="80"/>
              </w:rPr>
            </w:pPr>
            <w:r w:rsidRPr="0020582C">
              <w:rPr>
                <w:iCs/>
                <w:color w:val="000000"/>
                <w:lang w:eastAsia="en-GB"/>
              </w:rPr>
              <w:t>Objektyvūs kriterijai dėl įmonės nukentėjimo</w:t>
            </w:r>
          </w:p>
        </w:tc>
        <w:tc>
          <w:tcPr>
            <w:tcW w:w="2977" w:type="dxa"/>
          </w:tcPr>
          <w:p w14:paraId="5AC37420" w14:textId="77777777" w:rsidR="00F67DE2" w:rsidRDefault="00F67DE2" w:rsidP="00E8194D">
            <w:pPr>
              <w:tabs>
                <w:tab w:val="left" w:pos="0"/>
              </w:tabs>
              <w:jc w:val="both"/>
              <w:rPr>
                <w:b/>
                <w:bCs/>
                <w:color w:val="244061" w:themeColor="accent1" w:themeShade="80"/>
              </w:rPr>
            </w:pPr>
            <w:r w:rsidRPr="0020582C">
              <w:rPr>
                <w:iCs/>
                <w:color w:val="000000"/>
                <w:lang w:eastAsia="en-GB"/>
              </w:rPr>
              <w:t>Nėra. Finansinės ataskaitos neteikiamos, remiamasi tik darbuotojų skaičiaus kriterijumi</w:t>
            </w:r>
          </w:p>
        </w:tc>
        <w:tc>
          <w:tcPr>
            <w:tcW w:w="4671" w:type="dxa"/>
          </w:tcPr>
          <w:p w14:paraId="174AC4BF" w14:textId="77777777" w:rsidR="00F67DE2" w:rsidRPr="007E332C" w:rsidRDefault="00F67DE2" w:rsidP="00E8194D">
            <w:pPr>
              <w:numPr>
                <w:ilvl w:val="0"/>
                <w:numId w:val="24"/>
              </w:numPr>
              <w:tabs>
                <w:tab w:val="clear" w:pos="720"/>
                <w:tab w:val="num" w:pos="282"/>
              </w:tabs>
              <w:ind w:left="0" w:hanging="1"/>
              <w:jc w:val="both"/>
              <w:rPr>
                <w:iCs/>
                <w:color w:val="000000"/>
                <w:lang w:val="en-GB" w:eastAsia="en-GB"/>
              </w:rPr>
            </w:pPr>
            <w:r w:rsidRPr="0020582C">
              <w:rPr>
                <w:iCs/>
                <w:color w:val="000000"/>
                <w:lang w:eastAsia="en-GB"/>
              </w:rPr>
              <w:t>Vertinamas &gt;30 proc. apyvartos kritimas iš pateiktų PVM deklaracijų</w:t>
            </w:r>
            <w:r>
              <w:rPr>
                <w:iCs/>
                <w:color w:val="000000"/>
                <w:lang w:eastAsia="en-GB"/>
              </w:rPr>
              <w:t xml:space="preserve"> </w:t>
            </w:r>
            <w:r w:rsidRPr="0020582C">
              <w:rPr>
                <w:iCs/>
                <w:color w:val="000000"/>
                <w:lang w:eastAsia="en-GB"/>
              </w:rPr>
              <w:t>/ deklaruotų įmonių duomenų</w:t>
            </w:r>
          </w:p>
          <w:p w14:paraId="2A6A940D" w14:textId="77777777" w:rsidR="00F67DE2" w:rsidRPr="00CB321E" w:rsidRDefault="00F67DE2" w:rsidP="00E8194D">
            <w:pPr>
              <w:numPr>
                <w:ilvl w:val="0"/>
                <w:numId w:val="24"/>
              </w:numPr>
              <w:tabs>
                <w:tab w:val="clear" w:pos="720"/>
                <w:tab w:val="num" w:pos="282"/>
              </w:tabs>
              <w:ind w:left="0" w:hanging="1"/>
              <w:jc w:val="both"/>
              <w:rPr>
                <w:b/>
                <w:bCs/>
                <w:color w:val="244061" w:themeColor="accent1" w:themeShade="80"/>
              </w:rPr>
            </w:pPr>
            <w:r w:rsidRPr="0020582C">
              <w:rPr>
                <w:iCs/>
                <w:color w:val="000000"/>
                <w:lang w:eastAsia="en-GB"/>
              </w:rPr>
              <w:t>Vertinama, ar pareiškėjas nėra sunkumų patirianti įmonė (pagal Komunikatą negali būti teikiama parama),</w:t>
            </w:r>
            <w:r w:rsidRPr="00117955">
              <w:rPr>
                <w:iCs/>
                <w:color w:val="000000"/>
                <w:lang w:eastAsia="en-GB"/>
              </w:rPr>
              <w:t>vertinamos įmonės  sąsajos su kitomis įmonėmis</w:t>
            </w:r>
          </w:p>
        </w:tc>
      </w:tr>
      <w:tr w:rsidR="00F67DE2" w14:paraId="22925301" w14:textId="77777777" w:rsidTr="00D56555">
        <w:trPr>
          <w:jc w:val="center"/>
        </w:trPr>
        <w:tc>
          <w:tcPr>
            <w:tcW w:w="1980" w:type="dxa"/>
          </w:tcPr>
          <w:p w14:paraId="09556627" w14:textId="77777777" w:rsidR="00F67DE2" w:rsidRPr="0020582C" w:rsidRDefault="00F67DE2" w:rsidP="00E8194D">
            <w:pPr>
              <w:tabs>
                <w:tab w:val="left" w:pos="0"/>
              </w:tabs>
              <w:rPr>
                <w:iCs/>
                <w:color w:val="000000"/>
                <w:lang w:eastAsia="en-GB"/>
              </w:rPr>
            </w:pPr>
            <w:r w:rsidRPr="0020582C">
              <w:rPr>
                <w:iCs/>
                <w:color w:val="000000"/>
                <w:lang w:eastAsia="en-GB"/>
              </w:rPr>
              <w:t>Subsidijos išmokėjimo ir paraiškų vertinimo greitis</w:t>
            </w:r>
          </w:p>
        </w:tc>
        <w:tc>
          <w:tcPr>
            <w:tcW w:w="2977" w:type="dxa"/>
          </w:tcPr>
          <w:p w14:paraId="2C3CA99B" w14:textId="77777777" w:rsidR="00F67DE2" w:rsidRPr="0020582C" w:rsidRDefault="00F67DE2" w:rsidP="00E8194D">
            <w:pPr>
              <w:tabs>
                <w:tab w:val="left" w:pos="1836"/>
              </w:tabs>
              <w:jc w:val="both"/>
              <w:rPr>
                <w:iCs/>
                <w:color w:val="000000"/>
                <w:lang w:val="en-GB" w:eastAsia="en-GB"/>
              </w:rPr>
            </w:pPr>
            <w:r w:rsidRPr="0020582C">
              <w:rPr>
                <w:iCs/>
                <w:color w:val="000000"/>
                <w:lang w:eastAsia="en-GB"/>
              </w:rPr>
              <w:t>1 diena (lėšos iš iždo užsak</w:t>
            </w:r>
            <w:r>
              <w:rPr>
                <w:iCs/>
                <w:color w:val="000000"/>
                <w:lang w:eastAsia="en-GB"/>
              </w:rPr>
              <w:t>o</w:t>
            </w:r>
            <w:r w:rsidRPr="0020582C">
              <w:rPr>
                <w:iCs/>
                <w:color w:val="000000"/>
                <w:lang w:eastAsia="en-GB"/>
              </w:rPr>
              <w:t>mos avansu).</w:t>
            </w:r>
          </w:p>
          <w:p w14:paraId="2E436511" w14:textId="77777777" w:rsidR="00F67DE2" w:rsidRPr="0020582C" w:rsidRDefault="00F67DE2" w:rsidP="00E8194D">
            <w:pPr>
              <w:tabs>
                <w:tab w:val="left" w:pos="0"/>
              </w:tabs>
              <w:jc w:val="both"/>
              <w:rPr>
                <w:iCs/>
                <w:color w:val="000000"/>
                <w:lang w:eastAsia="en-GB"/>
              </w:rPr>
            </w:pPr>
            <w:r w:rsidRPr="0020582C">
              <w:rPr>
                <w:iCs/>
                <w:color w:val="000000"/>
                <w:lang w:eastAsia="en-GB"/>
              </w:rPr>
              <w:t>Greitesnė vertinimo eiga, kadangi</w:t>
            </w:r>
            <w:r>
              <w:rPr>
                <w:iCs/>
                <w:color w:val="000000"/>
                <w:lang w:eastAsia="en-GB"/>
              </w:rPr>
              <w:t xml:space="preserve"> nukentėjimo</w:t>
            </w:r>
            <w:r w:rsidRPr="0020582C">
              <w:rPr>
                <w:iCs/>
                <w:color w:val="000000"/>
                <w:lang w:eastAsia="en-GB"/>
              </w:rPr>
              <w:t xml:space="preserve"> kriterijai nevertinami</w:t>
            </w:r>
          </w:p>
        </w:tc>
        <w:tc>
          <w:tcPr>
            <w:tcW w:w="4671" w:type="dxa"/>
          </w:tcPr>
          <w:p w14:paraId="6A891B22" w14:textId="77777777" w:rsidR="00F67DE2" w:rsidRPr="007E332C" w:rsidRDefault="00F67DE2" w:rsidP="00E8194D">
            <w:pPr>
              <w:tabs>
                <w:tab w:val="left" w:pos="1836"/>
              </w:tabs>
              <w:jc w:val="both"/>
              <w:rPr>
                <w:iCs/>
                <w:color w:val="000000"/>
                <w:lang w:val="en-GB" w:eastAsia="en-GB"/>
              </w:rPr>
            </w:pPr>
            <w:r w:rsidRPr="0020582C">
              <w:rPr>
                <w:iCs/>
                <w:color w:val="000000"/>
                <w:lang w:eastAsia="en-GB"/>
              </w:rPr>
              <w:t>Iki 3 dienų (lėšos iš iždo užsakomos pagal faktinį poreikį).</w:t>
            </w:r>
          </w:p>
          <w:p w14:paraId="28E2DF04" w14:textId="77777777" w:rsidR="00F67DE2" w:rsidRPr="0020582C" w:rsidRDefault="00F67DE2" w:rsidP="00E8194D">
            <w:pPr>
              <w:jc w:val="both"/>
              <w:rPr>
                <w:iCs/>
                <w:color w:val="000000"/>
                <w:lang w:eastAsia="en-GB"/>
              </w:rPr>
            </w:pPr>
            <w:r w:rsidRPr="0020582C">
              <w:rPr>
                <w:iCs/>
                <w:color w:val="000000"/>
                <w:lang w:eastAsia="en-GB"/>
              </w:rPr>
              <w:t>Išsamesnis vertinimas, kadangi tikslingai ir didesnio dydžio subsidijai reik</w:t>
            </w:r>
            <w:r>
              <w:rPr>
                <w:iCs/>
                <w:color w:val="000000"/>
                <w:lang w:eastAsia="en-GB"/>
              </w:rPr>
              <w:t>ia</w:t>
            </w:r>
            <w:r w:rsidRPr="0020582C">
              <w:rPr>
                <w:iCs/>
                <w:color w:val="000000"/>
                <w:lang w:eastAsia="en-GB"/>
              </w:rPr>
              <w:t xml:space="preserve"> detalesni</w:t>
            </w:r>
            <w:r>
              <w:rPr>
                <w:iCs/>
                <w:color w:val="000000"/>
                <w:lang w:eastAsia="en-GB"/>
              </w:rPr>
              <w:t>o</w:t>
            </w:r>
            <w:r w:rsidRPr="0020582C">
              <w:rPr>
                <w:iCs/>
                <w:color w:val="000000"/>
                <w:lang w:eastAsia="en-GB"/>
              </w:rPr>
              <w:t xml:space="preserve"> patikrinim</w:t>
            </w:r>
            <w:r>
              <w:rPr>
                <w:iCs/>
                <w:color w:val="000000"/>
                <w:lang w:eastAsia="en-GB"/>
              </w:rPr>
              <w:t>o</w:t>
            </w:r>
          </w:p>
        </w:tc>
      </w:tr>
      <w:tr w:rsidR="00F67DE2" w14:paraId="28BF7E30" w14:textId="77777777" w:rsidTr="00D56555">
        <w:trPr>
          <w:jc w:val="center"/>
        </w:trPr>
        <w:tc>
          <w:tcPr>
            <w:tcW w:w="1980" w:type="dxa"/>
          </w:tcPr>
          <w:p w14:paraId="628709D4" w14:textId="77777777" w:rsidR="00F67DE2" w:rsidRPr="0020582C" w:rsidRDefault="00F67DE2" w:rsidP="00E8194D">
            <w:pPr>
              <w:tabs>
                <w:tab w:val="left" w:pos="0"/>
              </w:tabs>
              <w:rPr>
                <w:iCs/>
                <w:color w:val="000000"/>
                <w:lang w:eastAsia="en-GB"/>
              </w:rPr>
            </w:pPr>
            <w:r w:rsidRPr="0020582C">
              <w:rPr>
                <w:iCs/>
                <w:color w:val="000000"/>
                <w:lang w:eastAsia="en-GB"/>
              </w:rPr>
              <w:t>Priemonės lėšų panaudojimo greitis</w:t>
            </w:r>
          </w:p>
        </w:tc>
        <w:tc>
          <w:tcPr>
            <w:tcW w:w="2977" w:type="dxa"/>
          </w:tcPr>
          <w:p w14:paraId="7190FA41" w14:textId="772CED6B" w:rsidR="00F67DE2" w:rsidRPr="0020582C" w:rsidRDefault="00F67DE2" w:rsidP="00E8194D">
            <w:pPr>
              <w:jc w:val="both"/>
              <w:rPr>
                <w:iCs/>
                <w:color w:val="000000"/>
                <w:lang w:val="en-GB" w:eastAsia="en-GB"/>
              </w:rPr>
            </w:pPr>
            <w:proofErr w:type="spellStart"/>
            <w:r w:rsidRPr="0020582C">
              <w:rPr>
                <w:iCs/>
                <w:color w:val="000000"/>
                <w:lang w:val="en-US" w:eastAsia="en-GB"/>
              </w:rPr>
              <w:t>Priemon</w:t>
            </w:r>
            <w:proofErr w:type="spellEnd"/>
            <w:r w:rsidRPr="0020582C">
              <w:rPr>
                <w:iCs/>
                <w:color w:val="000000"/>
                <w:lang w:eastAsia="en-GB"/>
              </w:rPr>
              <w:t xml:space="preserve">ė </w:t>
            </w:r>
            <w:r w:rsidR="008A46AB">
              <w:rPr>
                <w:iCs/>
                <w:color w:val="000000"/>
                <w:lang w:eastAsia="en-GB"/>
              </w:rPr>
              <w:t>įgyvendinta</w:t>
            </w:r>
            <w:r w:rsidRPr="0020582C">
              <w:rPr>
                <w:iCs/>
                <w:color w:val="000000"/>
                <w:lang w:val="en-US" w:eastAsia="en-GB"/>
              </w:rPr>
              <w:t>:</w:t>
            </w:r>
            <w:r w:rsidRPr="0020582C">
              <w:rPr>
                <w:iCs/>
                <w:color w:val="000000"/>
                <w:lang w:eastAsia="en-GB"/>
              </w:rPr>
              <w:t xml:space="preserve"> </w:t>
            </w:r>
            <w:r w:rsidRPr="0020582C">
              <w:rPr>
                <w:iCs/>
                <w:color w:val="000000"/>
                <w:lang w:val="en-US" w:eastAsia="en-GB"/>
              </w:rPr>
              <w:t xml:space="preserve">2020 m. </w:t>
            </w:r>
            <w:proofErr w:type="spellStart"/>
            <w:r w:rsidRPr="0020582C">
              <w:rPr>
                <w:iCs/>
                <w:color w:val="000000"/>
                <w:lang w:val="en-US" w:eastAsia="en-GB"/>
              </w:rPr>
              <w:t>gegu</w:t>
            </w:r>
            <w:r w:rsidRPr="0020582C">
              <w:rPr>
                <w:iCs/>
                <w:color w:val="000000"/>
                <w:lang w:eastAsia="en-GB"/>
              </w:rPr>
              <w:t>žės</w:t>
            </w:r>
            <w:proofErr w:type="spellEnd"/>
            <w:r w:rsidRPr="0020582C">
              <w:rPr>
                <w:iCs/>
                <w:color w:val="000000"/>
                <w:lang w:eastAsia="en-GB"/>
              </w:rPr>
              <w:t xml:space="preserve"> </w:t>
            </w:r>
            <w:r w:rsidRPr="0020582C">
              <w:rPr>
                <w:iCs/>
                <w:color w:val="000000"/>
                <w:lang w:val="en-US" w:eastAsia="en-GB"/>
              </w:rPr>
              <w:t xml:space="preserve">13 – </w:t>
            </w:r>
            <w:proofErr w:type="spellStart"/>
            <w:r w:rsidRPr="0020582C">
              <w:rPr>
                <w:iCs/>
                <w:color w:val="000000"/>
                <w:lang w:val="en-US" w:eastAsia="en-GB"/>
              </w:rPr>
              <w:t>gruod</w:t>
            </w:r>
            <w:r w:rsidRPr="0020582C">
              <w:rPr>
                <w:iCs/>
                <w:color w:val="000000"/>
                <w:lang w:eastAsia="en-GB"/>
              </w:rPr>
              <w:t>žio</w:t>
            </w:r>
            <w:proofErr w:type="spellEnd"/>
            <w:r w:rsidRPr="0020582C">
              <w:rPr>
                <w:iCs/>
                <w:color w:val="000000"/>
                <w:lang w:eastAsia="en-GB"/>
              </w:rPr>
              <w:t xml:space="preserve"> </w:t>
            </w:r>
            <w:r w:rsidRPr="0020582C">
              <w:rPr>
                <w:iCs/>
                <w:color w:val="000000"/>
                <w:lang w:val="en-US" w:eastAsia="en-GB"/>
              </w:rPr>
              <w:t xml:space="preserve">15 d. (216 </w:t>
            </w:r>
            <w:proofErr w:type="spellStart"/>
            <w:r w:rsidRPr="0020582C">
              <w:rPr>
                <w:iCs/>
                <w:color w:val="000000"/>
                <w:lang w:val="en-US" w:eastAsia="en-GB"/>
              </w:rPr>
              <w:t>dien</w:t>
            </w:r>
            <w:proofErr w:type="spellEnd"/>
            <w:r w:rsidRPr="0020582C">
              <w:rPr>
                <w:iCs/>
                <w:color w:val="000000"/>
                <w:lang w:eastAsia="en-GB"/>
              </w:rPr>
              <w:t>ų)</w:t>
            </w:r>
            <w:r>
              <w:rPr>
                <w:iCs/>
                <w:color w:val="000000"/>
                <w:lang w:eastAsia="en-GB"/>
              </w:rPr>
              <w:t>.</w:t>
            </w:r>
          </w:p>
          <w:p w14:paraId="61DD938F" w14:textId="0499C9B1" w:rsidR="00F67DE2" w:rsidRPr="0020582C" w:rsidRDefault="00F67DE2" w:rsidP="00E8194D">
            <w:pPr>
              <w:jc w:val="both"/>
              <w:rPr>
                <w:iCs/>
                <w:color w:val="000000"/>
                <w:lang w:val="en-GB" w:eastAsia="en-GB"/>
              </w:rPr>
            </w:pPr>
            <w:r w:rsidRPr="0020582C">
              <w:rPr>
                <w:iCs/>
                <w:color w:val="000000"/>
                <w:lang w:eastAsia="en-GB"/>
              </w:rPr>
              <w:t>Skirta</w:t>
            </w:r>
            <w:r w:rsidRPr="0020582C">
              <w:rPr>
                <w:iCs/>
                <w:color w:val="000000"/>
                <w:lang w:val="en-US" w:eastAsia="en-GB"/>
              </w:rPr>
              <w:t>:</w:t>
            </w:r>
            <w:r w:rsidRPr="0020582C">
              <w:rPr>
                <w:iCs/>
                <w:color w:val="000000"/>
                <w:lang w:eastAsia="en-GB"/>
              </w:rPr>
              <w:t xml:space="preserve"> 99,</w:t>
            </w:r>
            <w:r w:rsidRPr="0020582C">
              <w:rPr>
                <w:iCs/>
                <w:color w:val="000000"/>
                <w:lang w:val="en-US" w:eastAsia="en-GB"/>
              </w:rPr>
              <w:t xml:space="preserve">37 </w:t>
            </w:r>
            <w:proofErr w:type="spellStart"/>
            <w:r w:rsidRPr="0020582C">
              <w:rPr>
                <w:iCs/>
                <w:color w:val="000000"/>
                <w:lang w:val="en-US" w:eastAsia="en-GB"/>
              </w:rPr>
              <w:t>mln</w:t>
            </w:r>
            <w:proofErr w:type="spellEnd"/>
            <w:r w:rsidRPr="0020582C">
              <w:rPr>
                <w:iCs/>
                <w:color w:val="000000"/>
                <w:lang w:val="en-US" w:eastAsia="en-GB"/>
              </w:rPr>
              <w:t xml:space="preserve">. </w:t>
            </w:r>
            <w:proofErr w:type="spellStart"/>
            <w:r w:rsidR="00894F12">
              <w:rPr>
                <w:iCs/>
                <w:color w:val="000000"/>
                <w:lang w:val="en-US" w:eastAsia="en-GB"/>
              </w:rPr>
              <w:t>e</w:t>
            </w:r>
            <w:r>
              <w:rPr>
                <w:iCs/>
                <w:color w:val="000000"/>
                <w:lang w:val="en-US" w:eastAsia="en-GB"/>
              </w:rPr>
              <w:t>urų</w:t>
            </w:r>
            <w:proofErr w:type="spellEnd"/>
            <w:r w:rsidR="00032539">
              <w:rPr>
                <w:iCs/>
                <w:color w:val="000000"/>
                <w:lang w:val="en-US" w:eastAsia="en-GB"/>
              </w:rPr>
              <w:t xml:space="preserve"> </w:t>
            </w:r>
          </w:p>
          <w:p w14:paraId="0C72D036" w14:textId="77777777" w:rsidR="00F67DE2" w:rsidRPr="0020582C" w:rsidRDefault="00F67DE2" w:rsidP="00E8194D">
            <w:pPr>
              <w:tabs>
                <w:tab w:val="left" w:pos="0"/>
              </w:tabs>
              <w:jc w:val="both"/>
              <w:rPr>
                <w:iCs/>
                <w:color w:val="000000"/>
                <w:lang w:eastAsia="en-GB"/>
              </w:rPr>
            </w:pPr>
            <w:proofErr w:type="spellStart"/>
            <w:r w:rsidRPr="0020582C">
              <w:rPr>
                <w:iCs/>
                <w:color w:val="000000"/>
                <w:lang w:val="en-US" w:eastAsia="en-GB"/>
              </w:rPr>
              <w:t>Greitis</w:t>
            </w:r>
            <w:proofErr w:type="spellEnd"/>
            <w:r w:rsidRPr="0020582C">
              <w:rPr>
                <w:iCs/>
                <w:color w:val="000000"/>
                <w:lang w:val="en-US" w:eastAsia="en-GB"/>
              </w:rPr>
              <w:t>: 460 t</w:t>
            </w:r>
            <w:proofErr w:type="spellStart"/>
            <w:r w:rsidRPr="0020582C">
              <w:rPr>
                <w:iCs/>
                <w:color w:val="000000"/>
                <w:lang w:eastAsia="en-GB"/>
              </w:rPr>
              <w:t>ūkst</w:t>
            </w:r>
            <w:proofErr w:type="spellEnd"/>
            <w:r w:rsidRPr="0020582C">
              <w:rPr>
                <w:iCs/>
                <w:color w:val="000000"/>
                <w:lang w:eastAsia="en-GB"/>
              </w:rPr>
              <w:t xml:space="preserve">. </w:t>
            </w:r>
            <w:r>
              <w:rPr>
                <w:iCs/>
                <w:color w:val="000000"/>
                <w:lang w:eastAsia="en-GB"/>
              </w:rPr>
              <w:t>eurų</w:t>
            </w:r>
            <w:r w:rsidRPr="0020582C">
              <w:rPr>
                <w:iCs/>
                <w:color w:val="000000"/>
                <w:lang w:eastAsia="en-GB"/>
              </w:rPr>
              <w:t xml:space="preserve"> per dieną</w:t>
            </w:r>
          </w:p>
        </w:tc>
        <w:tc>
          <w:tcPr>
            <w:tcW w:w="4671" w:type="dxa"/>
          </w:tcPr>
          <w:p w14:paraId="2BAA5360" w14:textId="39F35545" w:rsidR="00F67DE2" w:rsidRPr="0020582C" w:rsidRDefault="00F67DE2" w:rsidP="00E8194D">
            <w:pPr>
              <w:jc w:val="both"/>
              <w:rPr>
                <w:iCs/>
                <w:color w:val="000000"/>
                <w:lang w:val="en-GB" w:eastAsia="en-GB"/>
              </w:rPr>
            </w:pPr>
            <w:r w:rsidRPr="0020582C">
              <w:rPr>
                <w:iCs/>
                <w:color w:val="000000"/>
                <w:lang w:eastAsia="en-GB"/>
              </w:rPr>
              <w:t xml:space="preserve">Priemonė </w:t>
            </w:r>
            <w:r w:rsidR="008A46AB">
              <w:rPr>
                <w:iCs/>
                <w:color w:val="000000"/>
                <w:lang w:eastAsia="en-GB"/>
              </w:rPr>
              <w:t>įgyvendinama</w:t>
            </w:r>
            <w:r w:rsidRPr="0020582C">
              <w:rPr>
                <w:iCs/>
                <w:color w:val="000000"/>
                <w:lang w:val="en-US" w:eastAsia="en-GB"/>
              </w:rPr>
              <w:t>:</w:t>
            </w:r>
            <w:r w:rsidRPr="0020582C">
              <w:rPr>
                <w:iCs/>
                <w:color w:val="000000"/>
                <w:lang w:eastAsia="en-GB"/>
              </w:rPr>
              <w:t xml:space="preserve"> </w:t>
            </w:r>
            <w:r w:rsidR="00414021">
              <w:rPr>
                <w:iCs/>
                <w:color w:val="000000"/>
                <w:lang w:eastAsia="en-GB"/>
              </w:rPr>
              <w:t xml:space="preserve">nuo </w:t>
            </w:r>
            <w:r w:rsidRPr="0020582C">
              <w:rPr>
                <w:iCs/>
                <w:color w:val="000000"/>
                <w:lang w:val="en-US" w:eastAsia="en-GB"/>
              </w:rPr>
              <w:t xml:space="preserve">2021 m. </w:t>
            </w:r>
            <w:proofErr w:type="spellStart"/>
            <w:r w:rsidRPr="0020582C">
              <w:rPr>
                <w:iCs/>
                <w:color w:val="000000"/>
                <w:lang w:val="en-US" w:eastAsia="en-GB"/>
              </w:rPr>
              <w:t>sausio</w:t>
            </w:r>
            <w:proofErr w:type="spellEnd"/>
            <w:r w:rsidRPr="0020582C">
              <w:rPr>
                <w:iCs/>
                <w:color w:val="000000"/>
                <w:lang w:val="en-US" w:eastAsia="en-GB"/>
              </w:rPr>
              <w:t xml:space="preserve"> 28 </w:t>
            </w:r>
            <w:r w:rsidR="004D075A">
              <w:rPr>
                <w:iCs/>
                <w:color w:val="000000"/>
                <w:lang w:val="en-US" w:eastAsia="en-GB"/>
              </w:rPr>
              <w:t>d.</w:t>
            </w:r>
            <w:r w:rsidRPr="0020582C">
              <w:rPr>
                <w:iCs/>
                <w:color w:val="000000"/>
                <w:lang w:val="en-US" w:eastAsia="en-GB"/>
              </w:rPr>
              <w:t xml:space="preserve"> (48 </w:t>
            </w:r>
            <w:proofErr w:type="spellStart"/>
            <w:r w:rsidRPr="0020582C">
              <w:rPr>
                <w:iCs/>
                <w:color w:val="000000"/>
                <w:lang w:val="en-US" w:eastAsia="en-GB"/>
              </w:rPr>
              <w:t>dienos</w:t>
            </w:r>
            <w:proofErr w:type="spellEnd"/>
            <w:r w:rsidR="00414021">
              <w:rPr>
                <w:iCs/>
                <w:color w:val="000000"/>
                <w:lang w:val="en-US" w:eastAsia="en-GB"/>
              </w:rPr>
              <w:t xml:space="preserve">, </w:t>
            </w:r>
            <w:proofErr w:type="spellStart"/>
            <w:r w:rsidR="00414021">
              <w:rPr>
                <w:iCs/>
                <w:color w:val="000000"/>
                <w:lang w:val="en-US" w:eastAsia="en-GB"/>
              </w:rPr>
              <w:t>kovo</w:t>
            </w:r>
            <w:proofErr w:type="spellEnd"/>
            <w:r w:rsidR="00414021">
              <w:rPr>
                <w:iCs/>
                <w:color w:val="000000"/>
                <w:lang w:val="en-US" w:eastAsia="en-GB"/>
              </w:rPr>
              <w:t xml:space="preserve"> 17 d. </w:t>
            </w:r>
            <w:proofErr w:type="spellStart"/>
            <w:r w:rsidR="00414021">
              <w:rPr>
                <w:iCs/>
                <w:color w:val="000000"/>
                <w:lang w:val="en-US" w:eastAsia="en-GB"/>
              </w:rPr>
              <w:t>duomenys</w:t>
            </w:r>
            <w:proofErr w:type="spellEnd"/>
            <w:r w:rsidRPr="0020582C">
              <w:rPr>
                <w:iCs/>
                <w:color w:val="000000"/>
                <w:lang w:val="en-US" w:eastAsia="en-GB"/>
              </w:rPr>
              <w:t>)</w:t>
            </w:r>
          </w:p>
          <w:p w14:paraId="404D66B6" w14:textId="498E8769" w:rsidR="00F67DE2" w:rsidRPr="0020582C" w:rsidRDefault="00F67DE2" w:rsidP="00E8194D">
            <w:pPr>
              <w:jc w:val="both"/>
              <w:rPr>
                <w:iCs/>
                <w:color w:val="000000"/>
                <w:lang w:val="en-GB" w:eastAsia="en-GB"/>
              </w:rPr>
            </w:pPr>
            <w:proofErr w:type="spellStart"/>
            <w:r w:rsidRPr="0020582C">
              <w:rPr>
                <w:iCs/>
                <w:color w:val="000000"/>
                <w:lang w:val="en-US" w:eastAsia="en-GB"/>
              </w:rPr>
              <w:t>Skirta</w:t>
            </w:r>
            <w:proofErr w:type="spellEnd"/>
            <w:r w:rsidRPr="0020582C">
              <w:rPr>
                <w:iCs/>
                <w:color w:val="000000"/>
                <w:lang w:val="en-US" w:eastAsia="en-GB"/>
              </w:rPr>
              <w:t xml:space="preserve">: 24,84 </w:t>
            </w:r>
            <w:proofErr w:type="spellStart"/>
            <w:r w:rsidRPr="0020582C">
              <w:rPr>
                <w:iCs/>
                <w:color w:val="000000"/>
                <w:lang w:val="en-US" w:eastAsia="en-GB"/>
              </w:rPr>
              <w:t>mln</w:t>
            </w:r>
            <w:proofErr w:type="spellEnd"/>
            <w:r w:rsidRPr="0020582C">
              <w:rPr>
                <w:iCs/>
                <w:color w:val="000000"/>
                <w:lang w:val="en-US" w:eastAsia="en-GB"/>
              </w:rPr>
              <w:t xml:space="preserve">. </w:t>
            </w:r>
            <w:proofErr w:type="spellStart"/>
            <w:r w:rsidR="00713DC1">
              <w:rPr>
                <w:iCs/>
                <w:color w:val="000000"/>
                <w:lang w:val="en-US" w:eastAsia="en-GB"/>
              </w:rPr>
              <w:t>eurų</w:t>
            </w:r>
            <w:proofErr w:type="spellEnd"/>
          </w:p>
          <w:p w14:paraId="746A2FFA" w14:textId="77777777" w:rsidR="00F67DE2" w:rsidRPr="0020582C" w:rsidRDefault="00F67DE2" w:rsidP="00E8194D">
            <w:pPr>
              <w:jc w:val="both"/>
              <w:rPr>
                <w:iCs/>
                <w:color w:val="000000"/>
                <w:lang w:eastAsia="en-GB"/>
              </w:rPr>
            </w:pPr>
            <w:proofErr w:type="spellStart"/>
            <w:r w:rsidRPr="0020582C">
              <w:rPr>
                <w:iCs/>
                <w:color w:val="000000"/>
                <w:lang w:val="en-US" w:eastAsia="en-GB"/>
              </w:rPr>
              <w:t>Greitis</w:t>
            </w:r>
            <w:proofErr w:type="spellEnd"/>
            <w:r w:rsidRPr="0020582C">
              <w:rPr>
                <w:iCs/>
                <w:color w:val="000000"/>
                <w:lang w:val="en-US" w:eastAsia="en-GB"/>
              </w:rPr>
              <w:t>: 518 t</w:t>
            </w:r>
            <w:proofErr w:type="spellStart"/>
            <w:r w:rsidRPr="0020582C">
              <w:rPr>
                <w:iCs/>
                <w:color w:val="000000"/>
                <w:lang w:eastAsia="en-GB"/>
              </w:rPr>
              <w:t>ūkst</w:t>
            </w:r>
            <w:proofErr w:type="spellEnd"/>
            <w:r w:rsidRPr="0020582C">
              <w:rPr>
                <w:iCs/>
                <w:color w:val="000000"/>
                <w:lang w:eastAsia="en-GB"/>
              </w:rPr>
              <w:t xml:space="preserve">. </w:t>
            </w:r>
            <w:r>
              <w:rPr>
                <w:iCs/>
                <w:color w:val="000000"/>
                <w:lang w:eastAsia="en-GB"/>
              </w:rPr>
              <w:t>eurų</w:t>
            </w:r>
            <w:r w:rsidRPr="0020582C">
              <w:rPr>
                <w:iCs/>
                <w:color w:val="000000"/>
                <w:lang w:eastAsia="en-GB"/>
              </w:rPr>
              <w:t xml:space="preserve"> per dieną</w:t>
            </w:r>
          </w:p>
        </w:tc>
      </w:tr>
    </w:tbl>
    <w:p w14:paraId="5558AE5C" w14:textId="40AEC2C3" w:rsidR="00F67DE2" w:rsidRDefault="00F67DE2" w:rsidP="00F67DE2">
      <w:pPr>
        <w:jc w:val="both"/>
        <w:rPr>
          <w:iCs/>
          <w:color w:val="000000"/>
          <w:lang w:eastAsia="en-GB"/>
        </w:rPr>
      </w:pPr>
    </w:p>
    <w:p w14:paraId="45A29457" w14:textId="77777777" w:rsidR="00532C72" w:rsidRDefault="00532C72" w:rsidP="005662C3">
      <w:pPr>
        <w:tabs>
          <w:tab w:val="left" w:pos="993"/>
        </w:tabs>
        <w:ind w:firstLine="709"/>
        <w:jc w:val="center"/>
        <w:rPr>
          <w:szCs w:val="24"/>
        </w:rPr>
      </w:pPr>
      <w:r>
        <w:rPr>
          <w:szCs w:val="24"/>
        </w:rPr>
        <w:t>Duomenų šaltinis: Ekonomikos ir inovacijų ministerija</w:t>
      </w:r>
    </w:p>
    <w:p w14:paraId="0B7293F3" w14:textId="77777777" w:rsidR="00532C72" w:rsidRDefault="00532C72" w:rsidP="00F67DE2">
      <w:pPr>
        <w:jc w:val="both"/>
        <w:rPr>
          <w:iCs/>
          <w:color w:val="000000"/>
          <w:lang w:eastAsia="en-GB"/>
        </w:rPr>
      </w:pPr>
    </w:p>
    <w:p w14:paraId="4625DEBB" w14:textId="0F8BABD6" w:rsidR="00F67DE2" w:rsidRDefault="00872294" w:rsidP="00F67DE2">
      <w:pPr>
        <w:ind w:firstLine="720"/>
        <w:jc w:val="both"/>
        <w:rPr>
          <w:iCs/>
          <w:color w:val="000000"/>
          <w:lang w:eastAsia="en-GB"/>
        </w:rPr>
      </w:pPr>
      <w:r w:rsidRPr="00872294">
        <w:rPr>
          <w:iCs/>
          <w:color w:val="000000"/>
          <w:lang w:eastAsia="en-GB"/>
        </w:rPr>
        <w:t>Be tęsiamų priemonių, 2021 m. papildomai suplanuotos subsidijos  labiausiai nuo COVID-19  nukentėjusioms įmonėms (numatyta</w:t>
      </w:r>
      <w:r w:rsidR="00F16A0C">
        <w:rPr>
          <w:iCs/>
          <w:color w:val="000000"/>
          <w:lang w:eastAsia="en-GB"/>
        </w:rPr>
        <w:t xml:space="preserve"> </w:t>
      </w:r>
      <w:r w:rsidRPr="00872294">
        <w:rPr>
          <w:iCs/>
          <w:color w:val="000000"/>
          <w:lang w:eastAsia="en-GB"/>
        </w:rPr>
        <w:t xml:space="preserve">120 mln. </w:t>
      </w:r>
      <w:r w:rsidR="00713DC1">
        <w:rPr>
          <w:iCs/>
          <w:color w:val="000000"/>
          <w:lang w:eastAsia="en-GB"/>
        </w:rPr>
        <w:t>e</w:t>
      </w:r>
      <w:r w:rsidR="00894F12">
        <w:rPr>
          <w:iCs/>
          <w:color w:val="000000"/>
          <w:lang w:eastAsia="en-GB"/>
        </w:rPr>
        <w:t>ur</w:t>
      </w:r>
      <w:r w:rsidR="00713DC1">
        <w:rPr>
          <w:iCs/>
          <w:color w:val="000000"/>
          <w:lang w:eastAsia="en-GB"/>
        </w:rPr>
        <w:t>ų</w:t>
      </w:r>
      <w:r w:rsidRPr="00872294">
        <w:rPr>
          <w:iCs/>
          <w:color w:val="000000"/>
          <w:lang w:eastAsia="en-GB"/>
        </w:rPr>
        <w:t>, numatomas kvietimas – apie 2021</w:t>
      </w:r>
      <w:r w:rsidR="00F16A0C">
        <w:rPr>
          <w:iCs/>
          <w:color w:val="000000"/>
          <w:lang w:eastAsia="en-GB"/>
        </w:rPr>
        <w:t xml:space="preserve"> </w:t>
      </w:r>
      <w:r w:rsidRPr="00872294">
        <w:rPr>
          <w:iCs/>
          <w:color w:val="000000"/>
          <w:lang w:eastAsia="en-GB"/>
        </w:rPr>
        <w:t>m. balandžio vidurį)</w:t>
      </w:r>
      <w:r w:rsidR="00713DC1">
        <w:rPr>
          <w:iCs/>
          <w:color w:val="000000"/>
          <w:lang w:eastAsia="en-GB"/>
        </w:rPr>
        <w:t xml:space="preserve"> </w:t>
      </w:r>
      <w:r w:rsidRPr="00872294">
        <w:rPr>
          <w:iCs/>
          <w:color w:val="000000"/>
          <w:lang w:eastAsia="en-GB"/>
        </w:rPr>
        <w:t>ir kompensavimas kelionių organizatoriams už turistų grąžinimą iš užsienio valstybių po ekstremaliosios situacijos paskelbimo.</w:t>
      </w:r>
    </w:p>
    <w:p w14:paraId="01D5BB8E" w14:textId="77777777" w:rsidR="00DC559F" w:rsidRDefault="00DC559F" w:rsidP="00F67DE2">
      <w:pPr>
        <w:ind w:firstLine="720"/>
        <w:jc w:val="both"/>
        <w:rPr>
          <w:iCs/>
          <w:color w:val="000000"/>
          <w:lang w:eastAsia="en-GB"/>
        </w:rPr>
      </w:pPr>
    </w:p>
    <w:p w14:paraId="35DE8792" w14:textId="552C7651" w:rsidR="00F67DE2" w:rsidRDefault="00470A79" w:rsidP="00F67DE2">
      <w:pPr>
        <w:jc w:val="center"/>
        <w:rPr>
          <w:b/>
          <w:bCs/>
          <w:iCs/>
          <w:color w:val="17365D" w:themeColor="text2" w:themeShade="BF"/>
          <w:lang w:eastAsia="en-GB"/>
        </w:rPr>
      </w:pPr>
      <w:r w:rsidRPr="007E332C">
        <w:rPr>
          <w:b/>
          <w:bCs/>
          <w:iCs/>
          <w:color w:val="17365D" w:themeColor="text2" w:themeShade="BF"/>
          <w:lang w:val="en-GB" w:eastAsia="en-GB"/>
        </w:rPr>
        <w:t>4</w:t>
      </w:r>
      <w:r w:rsidR="00F67DE2">
        <w:rPr>
          <w:b/>
          <w:bCs/>
          <w:iCs/>
          <w:color w:val="17365D" w:themeColor="text2" w:themeShade="BF"/>
          <w:lang w:eastAsia="en-GB"/>
        </w:rPr>
        <w:t xml:space="preserve"> lentelė. Priemonės „</w:t>
      </w:r>
      <w:r w:rsidR="00F67DE2" w:rsidRPr="00741CE3">
        <w:rPr>
          <w:b/>
          <w:bCs/>
          <w:iCs/>
          <w:color w:val="17365D" w:themeColor="text2" w:themeShade="BF"/>
          <w:lang w:eastAsia="en-GB"/>
        </w:rPr>
        <w:t>Tiesiogin</w:t>
      </w:r>
      <w:r w:rsidR="00F67DE2">
        <w:rPr>
          <w:b/>
          <w:bCs/>
          <w:iCs/>
          <w:color w:val="17365D" w:themeColor="text2" w:themeShade="BF"/>
          <w:lang w:eastAsia="en-GB"/>
        </w:rPr>
        <w:t>ės</w:t>
      </w:r>
      <w:r w:rsidR="00F67DE2" w:rsidRPr="00741CE3">
        <w:rPr>
          <w:b/>
          <w:bCs/>
          <w:iCs/>
          <w:color w:val="17365D" w:themeColor="text2" w:themeShade="BF"/>
          <w:lang w:eastAsia="en-GB"/>
        </w:rPr>
        <w:t xml:space="preserve"> COVID-19 paskol</w:t>
      </w:r>
      <w:r w:rsidR="00F67DE2">
        <w:rPr>
          <w:b/>
          <w:bCs/>
          <w:iCs/>
          <w:color w:val="17365D" w:themeColor="text2" w:themeShade="BF"/>
          <w:lang w:eastAsia="en-GB"/>
        </w:rPr>
        <w:t>os</w:t>
      </w:r>
      <w:r w:rsidR="00F67DE2" w:rsidRPr="00741CE3">
        <w:rPr>
          <w:b/>
          <w:bCs/>
          <w:iCs/>
          <w:color w:val="17365D" w:themeColor="text2" w:themeShade="BF"/>
          <w:lang w:eastAsia="en-GB"/>
        </w:rPr>
        <w:t xml:space="preserve">“ palyginimas su </w:t>
      </w:r>
      <w:r w:rsidR="00F67DE2">
        <w:rPr>
          <w:b/>
          <w:bCs/>
          <w:iCs/>
          <w:color w:val="17365D" w:themeColor="text2" w:themeShade="BF"/>
          <w:lang w:eastAsia="en-GB"/>
        </w:rPr>
        <w:t xml:space="preserve">priemone </w:t>
      </w:r>
      <w:r w:rsidR="00F67DE2" w:rsidRPr="00741CE3">
        <w:rPr>
          <w:b/>
          <w:bCs/>
          <w:iCs/>
          <w:color w:val="17365D" w:themeColor="text2" w:themeShade="BF"/>
          <w:lang w:eastAsia="en-GB"/>
        </w:rPr>
        <w:t>„Paskolos labiausiai nuo COVID-19 nukentėjusiems verslams</w:t>
      </w:r>
      <w:r w:rsidR="00F67DE2">
        <w:rPr>
          <w:b/>
          <w:bCs/>
          <w:iCs/>
          <w:color w:val="17365D" w:themeColor="text2" w:themeShade="BF"/>
          <w:lang w:eastAsia="en-GB"/>
        </w:rPr>
        <w:t>“</w:t>
      </w:r>
    </w:p>
    <w:p w14:paraId="3503CB80" w14:textId="77777777" w:rsidR="00F67DE2" w:rsidRPr="00741CE3" w:rsidRDefault="00F67DE2" w:rsidP="00F67DE2">
      <w:pPr>
        <w:jc w:val="center"/>
        <w:rPr>
          <w:b/>
          <w:bCs/>
          <w:iCs/>
          <w:color w:val="17365D" w:themeColor="text2" w:themeShade="BF"/>
          <w:lang w:eastAsia="en-GB"/>
        </w:rPr>
      </w:pPr>
    </w:p>
    <w:tbl>
      <w:tblPr>
        <w:tblW w:w="5000" w:type="pct"/>
        <w:tblCellMar>
          <w:left w:w="0" w:type="dxa"/>
          <w:right w:w="0" w:type="dxa"/>
        </w:tblCellMar>
        <w:tblLook w:val="0420" w:firstRow="1" w:lastRow="0" w:firstColumn="0" w:lastColumn="0" w:noHBand="0" w:noVBand="1"/>
      </w:tblPr>
      <w:tblGrid>
        <w:gridCol w:w="2068"/>
        <w:gridCol w:w="3578"/>
        <w:gridCol w:w="4396"/>
      </w:tblGrid>
      <w:tr w:rsidR="00F67DE2" w:rsidRPr="00EC7CE1" w14:paraId="22C57B11" w14:textId="77777777" w:rsidTr="00E8194D">
        <w:trPr>
          <w:trHeight w:val="675"/>
        </w:trPr>
        <w:tc>
          <w:tcPr>
            <w:tcW w:w="102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144" w:type="dxa"/>
              <w:bottom w:w="72" w:type="dxa"/>
              <w:right w:w="144" w:type="dxa"/>
            </w:tcMar>
            <w:hideMark/>
          </w:tcPr>
          <w:p w14:paraId="6DA2B0B5" w14:textId="77777777" w:rsidR="00F67DE2" w:rsidRPr="007E332C" w:rsidRDefault="00F67DE2" w:rsidP="00E8194D">
            <w:pPr>
              <w:pStyle w:val="Pagrindinistekstas"/>
              <w:tabs>
                <w:tab w:val="num" w:pos="1134"/>
              </w:tabs>
              <w:spacing w:line="276" w:lineRule="auto"/>
              <w:rPr>
                <w:b/>
                <w:bCs/>
                <w:szCs w:val="24"/>
                <w:lang w:val="en-GB"/>
              </w:rPr>
            </w:pPr>
          </w:p>
        </w:tc>
        <w:tc>
          <w:tcPr>
            <w:tcW w:w="178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144" w:type="dxa"/>
              <w:bottom w:w="72" w:type="dxa"/>
              <w:right w:w="144" w:type="dxa"/>
            </w:tcMar>
            <w:hideMark/>
          </w:tcPr>
          <w:p w14:paraId="15620D56" w14:textId="77777777" w:rsidR="00F67DE2" w:rsidRPr="00EC7CE1" w:rsidRDefault="00F67DE2" w:rsidP="00E8194D">
            <w:pPr>
              <w:pStyle w:val="Pagrindinistekstas"/>
              <w:tabs>
                <w:tab w:val="num" w:pos="1134"/>
              </w:tabs>
              <w:spacing w:line="276" w:lineRule="auto"/>
              <w:rPr>
                <w:b/>
                <w:bCs/>
                <w:szCs w:val="24"/>
                <w:lang w:val="en-GB"/>
              </w:rPr>
            </w:pPr>
            <w:bookmarkStart w:id="9" w:name="_Hlk67421241"/>
            <w:r w:rsidRPr="00EC7CE1">
              <w:rPr>
                <w:b/>
                <w:bCs/>
                <w:szCs w:val="24"/>
              </w:rPr>
              <w:t>Paskolos labiausiai nuo COVID-19 nukentėjusiems verslams</w:t>
            </w:r>
            <w:r>
              <w:rPr>
                <w:b/>
                <w:bCs/>
                <w:szCs w:val="24"/>
              </w:rPr>
              <w:t xml:space="preserve"> </w:t>
            </w:r>
            <w:bookmarkEnd w:id="9"/>
            <w:r>
              <w:rPr>
                <w:b/>
                <w:bCs/>
                <w:szCs w:val="24"/>
              </w:rPr>
              <w:t>2020 m.</w:t>
            </w:r>
          </w:p>
        </w:tc>
        <w:tc>
          <w:tcPr>
            <w:tcW w:w="2189"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72" w:type="dxa"/>
              <w:left w:w="144" w:type="dxa"/>
              <w:bottom w:w="72" w:type="dxa"/>
              <w:right w:w="144" w:type="dxa"/>
            </w:tcMar>
            <w:hideMark/>
          </w:tcPr>
          <w:p w14:paraId="6DA66033" w14:textId="77777777" w:rsidR="00F67DE2" w:rsidRPr="00EC7CE1" w:rsidRDefault="00F67DE2" w:rsidP="00E8194D">
            <w:pPr>
              <w:pStyle w:val="Pagrindinistekstas"/>
              <w:tabs>
                <w:tab w:val="num" w:pos="1134"/>
              </w:tabs>
              <w:spacing w:line="276" w:lineRule="auto"/>
              <w:rPr>
                <w:b/>
                <w:bCs/>
                <w:szCs w:val="24"/>
                <w:lang w:val="en-GB"/>
              </w:rPr>
            </w:pPr>
            <w:r w:rsidRPr="00EC7CE1">
              <w:rPr>
                <w:b/>
                <w:bCs/>
                <w:szCs w:val="24"/>
              </w:rPr>
              <w:t xml:space="preserve"> Tiesioginės COVID-19 paskolos</w:t>
            </w:r>
            <w:r>
              <w:rPr>
                <w:b/>
                <w:bCs/>
                <w:szCs w:val="24"/>
              </w:rPr>
              <w:t xml:space="preserve"> 2021 m. </w:t>
            </w:r>
          </w:p>
        </w:tc>
      </w:tr>
      <w:tr w:rsidR="00F67DE2" w:rsidRPr="00EC7CE1" w14:paraId="2869022C" w14:textId="77777777" w:rsidTr="00E8194D">
        <w:trPr>
          <w:trHeight w:val="337"/>
        </w:trPr>
        <w:tc>
          <w:tcPr>
            <w:tcW w:w="10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D0EFC71" w14:textId="77777777" w:rsidR="00F67DE2" w:rsidRPr="00EC7CE1" w:rsidRDefault="00F67DE2" w:rsidP="00E8194D">
            <w:pPr>
              <w:pStyle w:val="Pagrindinistekstas"/>
              <w:tabs>
                <w:tab w:val="num" w:pos="1134"/>
              </w:tabs>
              <w:spacing w:line="276" w:lineRule="auto"/>
              <w:rPr>
                <w:szCs w:val="24"/>
                <w:lang w:val="en-GB"/>
              </w:rPr>
            </w:pPr>
            <w:r w:rsidRPr="00EC7CE1">
              <w:rPr>
                <w:szCs w:val="24"/>
              </w:rPr>
              <w:t>Priemonės suma</w:t>
            </w:r>
          </w:p>
        </w:tc>
        <w:tc>
          <w:tcPr>
            <w:tcW w:w="178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2F7368C" w14:textId="77777777" w:rsidR="00F67DE2" w:rsidRPr="00EC7CE1" w:rsidRDefault="00F67DE2" w:rsidP="00E8194D">
            <w:pPr>
              <w:pStyle w:val="Pagrindinistekstas"/>
              <w:tabs>
                <w:tab w:val="num" w:pos="1134"/>
              </w:tabs>
              <w:spacing w:line="276" w:lineRule="auto"/>
              <w:rPr>
                <w:szCs w:val="24"/>
                <w:lang w:val="en-GB"/>
              </w:rPr>
            </w:pPr>
            <w:r w:rsidRPr="00EC7CE1">
              <w:rPr>
                <w:szCs w:val="24"/>
              </w:rPr>
              <w:t xml:space="preserve">200 mln. </w:t>
            </w:r>
            <w:r>
              <w:rPr>
                <w:szCs w:val="24"/>
              </w:rPr>
              <w:t>eurų</w:t>
            </w:r>
          </w:p>
        </w:tc>
        <w:tc>
          <w:tcPr>
            <w:tcW w:w="218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0F454E1" w14:textId="77777777" w:rsidR="00F67DE2" w:rsidRPr="00EC7CE1" w:rsidRDefault="00F67DE2" w:rsidP="00E8194D">
            <w:pPr>
              <w:pStyle w:val="Pagrindinistekstas"/>
              <w:tabs>
                <w:tab w:val="num" w:pos="1134"/>
              </w:tabs>
              <w:spacing w:line="276" w:lineRule="auto"/>
              <w:rPr>
                <w:szCs w:val="24"/>
                <w:lang w:val="en-GB"/>
              </w:rPr>
            </w:pPr>
            <w:r w:rsidRPr="00EC7CE1">
              <w:rPr>
                <w:szCs w:val="24"/>
              </w:rPr>
              <w:t xml:space="preserve">30 mln. </w:t>
            </w:r>
            <w:r>
              <w:rPr>
                <w:szCs w:val="24"/>
              </w:rPr>
              <w:t>eurų</w:t>
            </w:r>
          </w:p>
        </w:tc>
      </w:tr>
      <w:tr w:rsidR="00F67DE2" w:rsidRPr="00EC7CE1" w14:paraId="0D9393F6" w14:textId="77777777" w:rsidTr="00E8194D">
        <w:trPr>
          <w:trHeight w:val="762"/>
        </w:trPr>
        <w:tc>
          <w:tcPr>
            <w:tcW w:w="10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F8521EE" w14:textId="77777777" w:rsidR="00F67DE2" w:rsidRPr="00EC7CE1" w:rsidRDefault="00F67DE2" w:rsidP="00E8194D">
            <w:pPr>
              <w:pStyle w:val="Pagrindinistekstas"/>
              <w:tabs>
                <w:tab w:val="num" w:pos="1134"/>
              </w:tabs>
              <w:spacing w:line="276" w:lineRule="auto"/>
              <w:rPr>
                <w:szCs w:val="24"/>
                <w:lang w:val="en-GB"/>
              </w:rPr>
            </w:pPr>
            <w:r w:rsidRPr="00EC7CE1">
              <w:rPr>
                <w:szCs w:val="24"/>
              </w:rPr>
              <w:t>Paskolų davėjas</w:t>
            </w:r>
          </w:p>
        </w:tc>
        <w:tc>
          <w:tcPr>
            <w:tcW w:w="178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173A066" w14:textId="77777777" w:rsidR="00F67DE2" w:rsidRPr="00EC7CE1" w:rsidRDefault="00F67DE2" w:rsidP="00E8194D">
            <w:pPr>
              <w:pStyle w:val="Pagrindinistekstas"/>
              <w:tabs>
                <w:tab w:val="num" w:pos="1134"/>
              </w:tabs>
              <w:spacing w:line="276" w:lineRule="auto"/>
              <w:rPr>
                <w:szCs w:val="24"/>
                <w:lang w:val="en-GB"/>
              </w:rPr>
            </w:pPr>
            <w:r w:rsidRPr="00EC7CE1">
              <w:rPr>
                <w:szCs w:val="24"/>
              </w:rPr>
              <w:t>Atrinkti finansų tarpininkai (bankai,</w:t>
            </w:r>
            <w:r>
              <w:rPr>
                <w:szCs w:val="24"/>
              </w:rPr>
              <w:t xml:space="preserve"> </w:t>
            </w:r>
            <w:r w:rsidRPr="000F02E2">
              <w:rPr>
                <w:szCs w:val="24"/>
              </w:rPr>
              <w:t>kredito unijos,</w:t>
            </w:r>
            <w:r w:rsidRPr="00EC7CE1">
              <w:rPr>
                <w:szCs w:val="24"/>
              </w:rPr>
              <w:t xml:space="preserve"> alternatyvūs finansuotojai ir </w:t>
            </w:r>
            <w:r>
              <w:rPr>
                <w:szCs w:val="24"/>
              </w:rPr>
              <w:t>kita</w:t>
            </w:r>
            <w:r w:rsidRPr="00EC7CE1">
              <w:rPr>
                <w:szCs w:val="24"/>
              </w:rPr>
              <w:t>)</w:t>
            </w:r>
          </w:p>
        </w:tc>
        <w:tc>
          <w:tcPr>
            <w:tcW w:w="218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BDD22FA" w14:textId="77777777" w:rsidR="00F67DE2" w:rsidRPr="00EC7CE1" w:rsidRDefault="00F67DE2" w:rsidP="00E8194D">
            <w:pPr>
              <w:pStyle w:val="Pagrindinistekstas"/>
              <w:tabs>
                <w:tab w:val="num" w:pos="1134"/>
              </w:tabs>
              <w:spacing w:line="276" w:lineRule="auto"/>
              <w:rPr>
                <w:szCs w:val="24"/>
                <w:lang w:val="en-GB"/>
              </w:rPr>
            </w:pPr>
            <w:r w:rsidRPr="00EC7CE1">
              <w:rPr>
                <w:szCs w:val="24"/>
              </w:rPr>
              <w:t>INVEGA</w:t>
            </w:r>
          </w:p>
        </w:tc>
      </w:tr>
      <w:tr w:rsidR="00F67DE2" w:rsidRPr="00EC7CE1" w14:paraId="28BE345B" w14:textId="77777777" w:rsidTr="00E8194D">
        <w:trPr>
          <w:trHeight w:val="791"/>
        </w:trPr>
        <w:tc>
          <w:tcPr>
            <w:tcW w:w="10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19FEE40" w14:textId="77777777" w:rsidR="00F67DE2" w:rsidRPr="00EC7CE1" w:rsidRDefault="00F67DE2" w:rsidP="00E8194D">
            <w:pPr>
              <w:pStyle w:val="Pagrindinistekstas"/>
              <w:tabs>
                <w:tab w:val="num" w:pos="1134"/>
              </w:tabs>
              <w:spacing w:line="276" w:lineRule="auto"/>
              <w:rPr>
                <w:szCs w:val="24"/>
                <w:lang w:val="en-GB"/>
              </w:rPr>
            </w:pPr>
            <w:r w:rsidRPr="00EC7CE1">
              <w:rPr>
                <w:szCs w:val="24"/>
              </w:rPr>
              <w:lastRenderedPageBreak/>
              <w:t>Maksimali subsidijos suma</w:t>
            </w:r>
          </w:p>
        </w:tc>
        <w:tc>
          <w:tcPr>
            <w:tcW w:w="178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F83FBB2" w14:textId="77777777" w:rsidR="00F67DE2" w:rsidRPr="00EC7CE1" w:rsidRDefault="00F67DE2" w:rsidP="00E8194D">
            <w:pPr>
              <w:pStyle w:val="Pagrindinistekstas"/>
              <w:tabs>
                <w:tab w:val="num" w:pos="1134"/>
              </w:tabs>
              <w:spacing w:line="276" w:lineRule="auto"/>
              <w:rPr>
                <w:szCs w:val="24"/>
                <w:lang w:val="en-GB"/>
              </w:rPr>
            </w:pPr>
            <w:r w:rsidRPr="00EC7CE1">
              <w:rPr>
                <w:szCs w:val="24"/>
              </w:rPr>
              <w:t>1</w:t>
            </w:r>
            <w:r>
              <w:rPr>
                <w:szCs w:val="24"/>
              </w:rPr>
              <w:t> </w:t>
            </w:r>
            <w:r w:rsidRPr="00EC7CE1">
              <w:rPr>
                <w:szCs w:val="24"/>
              </w:rPr>
              <w:t>000</w:t>
            </w:r>
            <w:r>
              <w:rPr>
                <w:szCs w:val="24"/>
              </w:rPr>
              <w:t xml:space="preserve"> </w:t>
            </w:r>
            <w:r w:rsidRPr="00EC7CE1">
              <w:rPr>
                <w:szCs w:val="24"/>
              </w:rPr>
              <w:t xml:space="preserve">000 </w:t>
            </w:r>
            <w:r>
              <w:rPr>
                <w:szCs w:val="24"/>
              </w:rPr>
              <w:t>eurų,</w:t>
            </w:r>
          </w:p>
          <w:p w14:paraId="255BAB9D" w14:textId="77777777" w:rsidR="00F67DE2" w:rsidRPr="00EC7CE1" w:rsidRDefault="00F67DE2" w:rsidP="00E8194D">
            <w:pPr>
              <w:pStyle w:val="Pagrindinistekstas"/>
              <w:tabs>
                <w:tab w:val="num" w:pos="1134"/>
              </w:tabs>
              <w:spacing w:line="276" w:lineRule="auto"/>
              <w:rPr>
                <w:szCs w:val="24"/>
                <w:lang w:val="en-GB"/>
              </w:rPr>
            </w:pPr>
            <w:r>
              <w:rPr>
                <w:szCs w:val="24"/>
              </w:rPr>
              <w:t>d</w:t>
            </w:r>
            <w:r w:rsidRPr="00EC7CE1">
              <w:rPr>
                <w:szCs w:val="24"/>
              </w:rPr>
              <w:t>ydis nustatomas pagal metodiką</w:t>
            </w:r>
          </w:p>
        </w:tc>
        <w:tc>
          <w:tcPr>
            <w:tcW w:w="218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8D3789B" w14:textId="77777777" w:rsidR="00F67DE2" w:rsidRPr="00EC7CE1" w:rsidRDefault="00F67DE2" w:rsidP="00E8194D">
            <w:pPr>
              <w:pStyle w:val="Pagrindinistekstas"/>
              <w:tabs>
                <w:tab w:val="num" w:pos="1134"/>
              </w:tabs>
              <w:spacing w:line="276" w:lineRule="auto"/>
              <w:rPr>
                <w:szCs w:val="24"/>
                <w:lang w:val="en-GB"/>
              </w:rPr>
            </w:pPr>
            <w:r w:rsidRPr="00EC7CE1">
              <w:rPr>
                <w:szCs w:val="24"/>
              </w:rPr>
              <w:t>100</w:t>
            </w:r>
            <w:r>
              <w:rPr>
                <w:szCs w:val="24"/>
              </w:rPr>
              <w:t xml:space="preserve"> </w:t>
            </w:r>
            <w:r w:rsidRPr="00EC7CE1">
              <w:rPr>
                <w:szCs w:val="24"/>
              </w:rPr>
              <w:t xml:space="preserve">000 </w:t>
            </w:r>
            <w:r>
              <w:rPr>
                <w:szCs w:val="24"/>
              </w:rPr>
              <w:t>eurų,</w:t>
            </w:r>
          </w:p>
          <w:p w14:paraId="73C6B297" w14:textId="77777777" w:rsidR="00F67DE2" w:rsidRPr="00EC7CE1" w:rsidRDefault="00F67DE2" w:rsidP="00E8194D">
            <w:pPr>
              <w:pStyle w:val="Pagrindinistekstas"/>
              <w:tabs>
                <w:tab w:val="num" w:pos="1134"/>
              </w:tabs>
              <w:spacing w:line="276" w:lineRule="auto"/>
              <w:rPr>
                <w:szCs w:val="24"/>
                <w:lang w:val="en-GB"/>
              </w:rPr>
            </w:pPr>
            <w:r>
              <w:rPr>
                <w:szCs w:val="24"/>
              </w:rPr>
              <w:t>d</w:t>
            </w:r>
            <w:r w:rsidRPr="00EC7CE1">
              <w:rPr>
                <w:szCs w:val="24"/>
              </w:rPr>
              <w:t>ydis neviršija 1 mėn. vidutinės apyvartos dydžio</w:t>
            </w:r>
          </w:p>
        </w:tc>
      </w:tr>
      <w:tr w:rsidR="00F67DE2" w:rsidRPr="00EC7CE1" w14:paraId="6CE3B623" w14:textId="77777777" w:rsidTr="00E8194D">
        <w:trPr>
          <w:trHeight w:val="584"/>
        </w:trPr>
        <w:tc>
          <w:tcPr>
            <w:tcW w:w="10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3EB574F" w14:textId="77777777" w:rsidR="00F67DE2" w:rsidRPr="00EC7CE1" w:rsidRDefault="00F67DE2" w:rsidP="00E8194D">
            <w:pPr>
              <w:pStyle w:val="Pagrindinistekstas"/>
              <w:tabs>
                <w:tab w:val="num" w:pos="1134"/>
              </w:tabs>
              <w:spacing w:line="276" w:lineRule="auto"/>
              <w:rPr>
                <w:szCs w:val="24"/>
                <w:lang w:val="en-GB"/>
              </w:rPr>
            </w:pPr>
            <w:r w:rsidRPr="00EC7CE1">
              <w:rPr>
                <w:szCs w:val="24"/>
              </w:rPr>
              <w:t>Galimi pareiškėjai</w:t>
            </w:r>
          </w:p>
        </w:tc>
        <w:tc>
          <w:tcPr>
            <w:tcW w:w="178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68139C8" w14:textId="77777777" w:rsidR="00F67DE2" w:rsidRPr="00EC7CE1" w:rsidRDefault="00F67DE2" w:rsidP="00E8194D">
            <w:pPr>
              <w:pStyle w:val="Pagrindinistekstas"/>
              <w:tabs>
                <w:tab w:val="num" w:pos="1134"/>
              </w:tabs>
              <w:spacing w:line="276" w:lineRule="auto"/>
              <w:rPr>
                <w:szCs w:val="24"/>
                <w:lang w:val="en-GB"/>
              </w:rPr>
            </w:pPr>
            <w:r w:rsidRPr="00EC7CE1">
              <w:rPr>
                <w:szCs w:val="24"/>
              </w:rPr>
              <w:t>S</w:t>
            </w:r>
            <w:r>
              <w:rPr>
                <w:szCs w:val="24"/>
              </w:rPr>
              <w:t>mulkiojo ir vidutinio verslo</w:t>
            </w:r>
            <w:r w:rsidRPr="00EC7CE1">
              <w:rPr>
                <w:szCs w:val="24"/>
              </w:rPr>
              <w:t xml:space="preserve"> subjektai</w:t>
            </w:r>
          </w:p>
        </w:tc>
        <w:tc>
          <w:tcPr>
            <w:tcW w:w="218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6927D74" w14:textId="77777777" w:rsidR="00F67DE2" w:rsidRPr="00EC7CE1" w:rsidRDefault="00F67DE2" w:rsidP="00E8194D">
            <w:pPr>
              <w:pStyle w:val="Pagrindinistekstas"/>
              <w:tabs>
                <w:tab w:val="num" w:pos="1134"/>
              </w:tabs>
              <w:spacing w:line="276" w:lineRule="auto"/>
              <w:rPr>
                <w:szCs w:val="24"/>
                <w:lang w:val="en-GB"/>
              </w:rPr>
            </w:pPr>
            <w:r w:rsidRPr="00EC7CE1">
              <w:rPr>
                <w:szCs w:val="24"/>
              </w:rPr>
              <w:t>S</w:t>
            </w:r>
            <w:r>
              <w:rPr>
                <w:szCs w:val="24"/>
              </w:rPr>
              <w:t>mulkiojo ir vidutinio verslo</w:t>
            </w:r>
            <w:r w:rsidRPr="00EC7CE1">
              <w:rPr>
                <w:szCs w:val="24"/>
              </w:rPr>
              <w:t xml:space="preserve"> subjektai ir didelės įmonės, išskyrus valstybės ir savivaldybių įmones</w:t>
            </w:r>
          </w:p>
        </w:tc>
      </w:tr>
      <w:tr w:rsidR="00F67DE2" w:rsidRPr="00EC7CE1" w14:paraId="6BEA990B" w14:textId="77777777" w:rsidTr="00E8194D">
        <w:trPr>
          <w:trHeight w:val="584"/>
        </w:trPr>
        <w:tc>
          <w:tcPr>
            <w:tcW w:w="10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6CF453D" w14:textId="77777777" w:rsidR="00F67DE2" w:rsidRPr="00EC7CE1" w:rsidRDefault="00F67DE2" w:rsidP="00E8194D">
            <w:pPr>
              <w:pStyle w:val="Pagrindinistekstas"/>
              <w:tabs>
                <w:tab w:val="num" w:pos="1134"/>
              </w:tabs>
              <w:spacing w:line="276" w:lineRule="auto"/>
              <w:rPr>
                <w:szCs w:val="24"/>
                <w:lang w:val="en-GB"/>
              </w:rPr>
            </w:pPr>
            <w:r w:rsidRPr="00EC7CE1">
              <w:rPr>
                <w:szCs w:val="24"/>
              </w:rPr>
              <w:t>Objektyvūs  įmonės nukentėjimo</w:t>
            </w:r>
            <w:r>
              <w:rPr>
                <w:szCs w:val="24"/>
              </w:rPr>
              <w:t xml:space="preserve"> kriterijai</w:t>
            </w:r>
          </w:p>
        </w:tc>
        <w:tc>
          <w:tcPr>
            <w:tcW w:w="178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8A01DFD" w14:textId="77777777" w:rsidR="00F67DE2" w:rsidRPr="00EC7CE1" w:rsidRDefault="00F67DE2" w:rsidP="00E8194D">
            <w:pPr>
              <w:pStyle w:val="Pagrindinistekstas"/>
              <w:tabs>
                <w:tab w:val="num" w:pos="1134"/>
              </w:tabs>
              <w:spacing w:line="276" w:lineRule="auto"/>
              <w:rPr>
                <w:szCs w:val="24"/>
                <w:lang w:val="en-GB"/>
              </w:rPr>
            </w:pPr>
            <w:r w:rsidRPr="00EC7CE1">
              <w:rPr>
                <w:szCs w:val="24"/>
              </w:rPr>
              <w:t>Vidutinė mėnesio apyvarta krit</w:t>
            </w:r>
            <w:r>
              <w:rPr>
                <w:szCs w:val="24"/>
              </w:rPr>
              <w:t>o</w:t>
            </w:r>
            <w:r w:rsidRPr="00EC7CE1">
              <w:rPr>
                <w:szCs w:val="24"/>
              </w:rPr>
              <w:t xml:space="preserve"> daugiau nei 30 proc. (palygin</w:t>
            </w:r>
            <w:r>
              <w:rPr>
                <w:szCs w:val="24"/>
              </w:rPr>
              <w:t>ti</w:t>
            </w:r>
            <w:r w:rsidRPr="00EC7CE1">
              <w:rPr>
                <w:szCs w:val="24"/>
              </w:rPr>
              <w:t xml:space="preserve"> su 2019 m.)</w:t>
            </w:r>
          </w:p>
        </w:tc>
        <w:tc>
          <w:tcPr>
            <w:tcW w:w="218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1AB2AE3" w14:textId="77777777" w:rsidR="00F67DE2" w:rsidRPr="00EC7CE1" w:rsidRDefault="00F67DE2" w:rsidP="00E8194D">
            <w:pPr>
              <w:pStyle w:val="Pagrindinistekstas"/>
              <w:tabs>
                <w:tab w:val="num" w:pos="1134"/>
              </w:tabs>
              <w:spacing w:line="276" w:lineRule="auto"/>
              <w:rPr>
                <w:szCs w:val="24"/>
                <w:lang w:val="en-GB"/>
              </w:rPr>
            </w:pPr>
            <w:r w:rsidRPr="00EC7CE1">
              <w:rPr>
                <w:szCs w:val="24"/>
              </w:rPr>
              <w:t>Nutarime Nr. 1226 nustatytu laikotarpiu apyvarta krit</w:t>
            </w:r>
            <w:r>
              <w:rPr>
                <w:szCs w:val="24"/>
              </w:rPr>
              <w:t>o</w:t>
            </w:r>
            <w:r w:rsidRPr="00EC7CE1">
              <w:rPr>
                <w:szCs w:val="24"/>
              </w:rPr>
              <w:t xml:space="preserve"> daugiau nei 30 proc. arba</w:t>
            </w:r>
          </w:p>
          <w:p w14:paraId="1E98EDE1" w14:textId="77777777" w:rsidR="00F67DE2" w:rsidRPr="00EC7CE1" w:rsidRDefault="00F67DE2" w:rsidP="00E8194D">
            <w:pPr>
              <w:pStyle w:val="Pagrindinistekstas"/>
              <w:tabs>
                <w:tab w:val="num" w:pos="1134"/>
              </w:tabs>
              <w:spacing w:line="276" w:lineRule="auto"/>
              <w:rPr>
                <w:szCs w:val="24"/>
                <w:lang w:val="en-GB"/>
              </w:rPr>
            </w:pPr>
            <w:r>
              <w:rPr>
                <w:szCs w:val="24"/>
              </w:rPr>
              <w:t>n</w:t>
            </w:r>
            <w:r w:rsidRPr="00EC7CE1">
              <w:rPr>
                <w:szCs w:val="24"/>
              </w:rPr>
              <w:t xml:space="preserve">aujų įmonių atveju – </w:t>
            </w:r>
            <w:r>
              <w:rPr>
                <w:szCs w:val="24"/>
              </w:rPr>
              <w:t xml:space="preserve">šios įmonės </w:t>
            </w:r>
            <w:r w:rsidRPr="00EC7CE1">
              <w:rPr>
                <w:szCs w:val="24"/>
              </w:rPr>
              <w:t>patenka į ribojamų veiklų sąrašą</w:t>
            </w:r>
          </w:p>
        </w:tc>
      </w:tr>
      <w:tr w:rsidR="00F67DE2" w:rsidRPr="00EC7CE1" w14:paraId="75D0D951" w14:textId="77777777" w:rsidTr="00E8194D">
        <w:trPr>
          <w:trHeight w:val="584"/>
        </w:trPr>
        <w:tc>
          <w:tcPr>
            <w:tcW w:w="102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1FE36B4" w14:textId="77777777" w:rsidR="00F67DE2" w:rsidRPr="00EC7CE1" w:rsidRDefault="00F67DE2" w:rsidP="00E8194D">
            <w:pPr>
              <w:pStyle w:val="Pagrindinistekstas"/>
              <w:tabs>
                <w:tab w:val="num" w:pos="1134"/>
              </w:tabs>
              <w:spacing w:line="276" w:lineRule="auto"/>
              <w:rPr>
                <w:szCs w:val="24"/>
                <w:lang w:val="en-GB"/>
              </w:rPr>
            </w:pPr>
            <w:r w:rsidRPr="00EC7CE1">
              <w:rPr>
                <w:szCs w:val="24"/>
              </w:rPr>
              <w:t>Kredito rizikos vertinimas</w:t>
            </w:r>
          </w:p>
        </w:tc>
        <w:tc>
          <w:tcPr>
            <w:tcW w:w="1781"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0856D09" w14:textId="77777777" w:rsidR="00F67DE2" w:rsidRPr="00EC7CE1" w:rsidRDefault="00F67DE2" w:rsidP="00E8194D">
            <w:pPr>
              <w:pStyle w:val="Pagrindinistekstas"/>
              <w:tabs>
                <w:tab w:val="num" w:pos="1134"/>
              </w:tabs>
              <w:spacing w:line="276" w:lineRule="auto"/>
              <w:rPr>
                <w:szCs w:val="24"/>
                <w:lang w:val="en-GB"/>
              </w:rPr>
            </w:pPr>
            <w:r w:rsidRPr="00EC7CE1">
              <w:rPr>
                <w:szCs w:val="24"/>
              </w:rPr>
              <w:t>Nebuvo specialaus reikalavimo vertinti</w:t>
            </w:r>
          </w:p>
        </w:tc>
        <w:tc>
          <w:tcPr>
            <w:tcW w:w="2189" w:type="pct"/>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9B4BD5A" w14:textId="77777777" w:rsidR="00F67DE2" w:rsidRPr="00EC7CE1" w:rsidRDefault="00F67DE2" w:rsidP="00E8194D">
            <w:pPr>
              <w:pStyle w:val="Pagrindinistekstas"/>
              <w:tabs>
                <w:tab w:val="num" w:pos="1134"/>
              </w:tabs>
              <w:spacing w:line="276" w:lineRule="auto"/>
              <w:rPr>
                <w:szCs w:val="24"/>
                <w:lang w:val="en-GB"/>
              </w:rPr>
            </w:pPr>
            <w:r w:rsidRPr="00EC7CE1">
              <w:rPr>
                <w:szCs w:val="24"/>
              </w:rPr>
              <w:t>Vertinama visais atvejais supaprastintu būdu</w:t>
            </w:r>
          </w:p>
        </w:tc>
      </w:tr>
    </w:tbl>
    <w:p w14:paraId="4F24C58B" w14:textId="77777777" w:rsidR="00532C72" w:rsidRDefault="00532C72" w:rsidP="005662C3">
      <w:pPr>
        <w:tabs>
          <w:tab w:val="left" w:pos="993"/>
        </w:tabs>
        <w:jc w:val="center"/>
        <w:rPr>
          <w:szCs w:val="24"/>
        </w:rPr>
      </w:pPr>
      <w:r>
        <w:rPr>
          <w:szCs w:val="24"/>
        </w:rPr>
        <w:t>Duomenų šaltinis: Ekonomikos ir inovacijų ministerija</w:t>
      </w:r>
    </w:p>
    <w:p w14:paraId="37620665" w14:textId="77777777" w:rsidR="00626339" w:rsidRDefault="00626339" w:rsidP="005662C3">
      <w:pPr>
        <w:pStyle w:val="Pagrindinistekstas"/>
        <w:tabs>
          <w:tab w:val="num" w:pos="1134"/>
        </w:tabs>
        <w:spacing w:line="276" w:lineRule="auto"/>
        <w:rPr>
          <w:szCs w:val="24"/>
        </w:rPr>
      </w:pPr>
    </w:p>
    <w:p w14:paraId="62C879DD" w14:textId="0DB0A09F" w:rsidR="00F67DE2" w:rsidRPr="000F02E2" w:rsidRDefault="00F67DE2" w:rsidP="00F67DE2">
      <w:pPr>
        <w:pStyle w:val="Pagrindinistekstas"/>
        <w:tabs>
          <w:tab w:val="num" w:pos="1134"/>
        </w:tabs>
        <w:spacing w:line="276" w:lineRule="auto"/>
        <w:ind w:firstLine="709"/>
      </w:pPr>
      <w:r w:rsidRPr="000F02E2">
        <w:t xml:space="preserve">Nuo pandemijos nukentėję savarankiškai dirbantys asmenys, kurių veiklos įtrauktos į Vyriausybės patvirtintą apribotų veiklų sąrašą, ir toliau gali gauti 260 </w:t>
      </w:r>
      <w:r w:rsidR="00713DC1">
        <w:t>e</w:t>
      </w:r>
      <w:r w:rsidRPr="000F02E2">
        <w:t>ur</w:t>
      </w:r>
      <w:r w:rsidR="00713DC1">
        <w:t>ų</w:t>
      </w:r>
      <w:r w:rsidRPr="000F02E2">
        <w:t xml:space="preserve"> išmoką. Į šią išmoką taip pat gali pretenduoti ir į sąrašą nepatekę asmenys, jei jų pajamos per pandemiją sumažėjo 30 proc. Šiuo metu teisę į fiksuoto dydžio išmoką turi daugiau nei 81 tūkst. savarankiškai dirbančių asmenų. Nuo metų pradžios savarankiškai dirbantiems skirta per 38 mln. eurų.</w:t>
      </w:r>
    </w:p>
    <w:p w14:paraId="3FF7FE5C" w14:textId="29FE657E" w:rsidR="00F67DE2" w:rsidRPr="000F02E2" w:rsidRDefault="00F67DE2" w:rsidP="00F67DE2">
      <w:pPr>
        <w:pStyle w:val="Pagrindinistekstas"/>
        <w:tabs>
          <w:tab w:val="num" w:pos="1134"/>
        </w:tabs>
        <w:spacing w:line="276" w:lineRule="auto"/>
        <w:ind w:firstLine="709"/>
      </w:pPr>
      <w:r w:rsidRPr="000F02E2">
        <w:rPr>
          <w:szCs w:val="24"/>
        </w:rPr>
        <w:t xml:space="preserve">Nuo šių metų pradžios taikomas naujas subsidijų už prastovose esančius darbuotojus mokėjimo modelis, padedantis darbdaviams išsaugoti darbuotojus. Kompensuojama 100 proc. atlyginimo, siekiančio 963 eurus „ant popieriaus“ (iki 2021-01-01 buvo skiriama 90 proc. (jei vyresnis nei 60 m. darbuotojas </w:t>
      </w:r>
      <w:r w:rsidRPr="000F02E2">
        <w:rPr>
          <w:i/>
          <w:iCs/>
          <w:szCs w:val="24"/>
        </w:rPr>
        <w:t>–</w:t>
      </w:r>
      <w:r w:rsidRPr="000F02E2">
        <w:rPr>
          <w:szCs w:val="24"/>
        </w:rPr>
        <w:t xml:space="preserve"> 100 proc.) priskaičiuoto darbuotojo darbo užmokesčio, bet ne daugiau nei 607 </w:t>
      </w:r>
      <w:r w:rsidR="00713DC1">
        <w:rPr>
          <w:szCs w:val="24"/>
        </w:rPr>
        <w:t>e</w:t>
      </w:r>
      <w:r w:rsidRPr="000F02E2">
        <w:rPr>
          <w:szCs w:val="24"/>
        </w:rPr>
        <w:t>ur</w:t>
      </w:r>
      <w:r w:rsidR="00713DC1">
        <w:rPr>
          <w:szCs w:val="24"/>
        </w:rPr>
        <w:t>ai</w:t>
      </w:r>
      <w:r w:rsidRPr="000F02E2">
        <w:rPr>
          <w:szCs w:val="24"/>
        </w:rPr>
        <w:t xml:space="preserve"> arba 70 priskaičiuoto darbo užmokesčio, bet ne daugiau nei 910,5 </w:t>
      </w:r>
      <w:r w:rsidR="00713DC1">
        <w:rPr>
          <w:szCs w:val="24"/>
        </w:rPr>
        <w:t>e</w:t>
      </w:r>
      <w:r w:rsidRPr="000F02E2">
        <w:rPr>
          <w:szCs w:val="24"/>
        </w:rPr>
        <w:t>ur</w:t>
      </w:r>
      <w:r w:rsidR="00713DC1">
        <w:rPr>
          <w:szCs w:val="24"/>
        </w:rPr>
        <w:t>ų</w:t>
      </w:r>
      <w:r w:rsidRPr="000F02E2">
        <w:rPr>
          <w:szCs w:val="24"/>
        </w:rPr>
        <w:t xml:space="preserve">). </w:t>
      </w:r>
      <w:r w:rsidRPr="000F02E2">
        <w:t xml:space="preserve">Valstybinės darbo inspekcijos duomenimis, pernai kovą prastovas buvo paskelbę per 20 tūkst. įmonių,  </w:t>
      </w:r>
      <w:r>
        <w:t xml:space="preserve">šiais metais – </w:t>
      </w:r>
      <w:r w:rsidRPr="000F02E2">
        <w:t>jų yra per pusę mažiau (10 tūkst.). Subsidijos bus mokamos visą karantino laikotarpį ir dar vieną mėnesį po karantino. Nuo 2021 m. sausio 1 d. prastovų subsidijos išmokėtos daugiau nei 20 tūkst. darbdavių ir per 160 tūkst. darbuotojų, tam skirta beveik 100 mln. eurų.</w:t>
      </w:r>
      <w:r w:rsidR="00057978" w:rsidRPr="00057978">
        <w:rPr>
          <w:rFonts w:ascii="Times" w:hAnsi="Times"/>
          <w:szCs w:val="24"/>
        </w:rPr>
        <w:t xml:space="preserve"> </w:t>
      </w:r>
      <w:r w:rsidR="00057978" w:rsidRPr="00CC2E93">
        <w:rPr>
          <w:rFonts w:ascii="Times" w:hAnsi="Times"/>
          <w:szCs w:val="24"/>
        </w:rPr>
        <w:t>Darbdaviams taip pat sudarytos sąlygos pasinaudoti užimtumo rėmimo priemonėmis ir gauti subsidijas darbo užmokesčiui, įdarbin</w:t>
      </w:r>
      <w:r w:rsidR="00057978">
        <w:rPr>
          <w:rFonts w:ascii="Times" w:hAnsi="Times"/>
          <w:szCs w:val="24"/>
        </w:rPr>
        <w:t xml:space="preserve">us asmenis iš </w:t>
      </w:r>
      <w:r w:rsidR="00057978" w:rsidRPr="00CC2E93">
        <w:rPr>
          <w:rFonts w:ascii="Times" w:hAnsi="Times"/>
          <w:szCs w:val="24"/>
        </w:rPr>
        <w:t xml:space="preserve"> </w:t>
      </w:r>
      <w:proofErr w:type="spellStart"/>
      <w:r w:rsidR="00057978" w:rsidRPr="00CC2E93">
        <w:rPr>
          <w:rFonts w:ascii="Times" w:hAnsi="Times"/>
          <w:szCs w:val="24"/>
        </w:rPr>
        <w:t>pažeidžiamiausi</w:t>
      </w:r>
      <w:r w:rsidR="00057978">
        <w:rPr>
          <w:rFonts w:ascii="Times" w:hAnsi="Times"/>
          <w:szCs w:val="24"/>
        </w:rPr>
        <w:t>ų</w:t>
      </w:r>
      <w:proofErr w:type="spellEnd"/>
      <w:r w:rsidR="00057978">
        <w:rPr>
          <w:rFonts w:ascii="Times" w:hAnsi="Times"/>
          <w:szCs w:val="24"/>
        </w:rPr>
        <w:t xml:space="preserve"> grupių.</w:t>
      </w:r>
      <w:r w:rsidR="00057978" w:rsidRPr="00CC2E93">
        <w:rPr>
          <w:rFonts w:ascii="Times" w:hAnsi="Times"/>
          <w:szCs w:val="24"/>
        </w:rPr>
        <w:t xml:space="preserve"> Darbdaviui, įdarbinusiam Užimtumo tarnybos siunčiamą darbuotoją, gali būti skirta subsidija</w:t>
      </w:r>
      <w:r w:rsidR="00FF484A">
        <w:rPr>
          <w:rFonts w:ascii="Times" w:hAnsi="Times"/>
          <w:szCs w:val="24"/>
        </w:rPr>
        <w:t xml:space="preserve"> darbo užmokesčiui</w:t>
      </w:r>
      <w:r w:rsidR="00057978" w:rsidRPr="00CC2E93">
        <w:rPr>
          <w:rFonts w:ascii="Times" w:hAnsi="Times"/>
          <w:szCs w:val="24"/>
        </w:rPr>
        <w:t>: neterminuotai įdarbinus bedarbius su negalia, nekvalifikuotus, ilgalaikius, vyresnius kaip 45 m. bedarbius, bedarbius iki 29 m. ar pan.</w:t>
      </w:r>
    </w:p>
    <w:p w14:paraId="27E5D88E" w14:textId="77777777" w:rsidR="00F67DE2" w:rsidRPr="000F02E2" w:rsidRDefault="00F67DE2" w:rsidP="00F67DE2">
      <w:pPr>
        <w:pStyle w:val="Pagrindinistekstas"/>
        <w:tabs>
          <w:tab w:val="num" w:pos="1134"/>
        </w:tabs>
        <w:spacing w:line="276" w:lineRule="auto"/>
        <w:ind w:firstLine="709"/>
        <w:rPr>
          <w:sz w:val="22"/>
        </w:rPr>
      </w:pPr>
      <w:r w:rsidRPr="000F02E2">
        <w:t>Kol tęsiasi karantinas, įmonės, kurių veikla yra apribota, taip pat gali atidėti įmokas „Sodrai“ be palūkanų ir delspinigių. COVID-19 poveikį patyręs verslas įmokų gali nemokėti už karantino laikotarpį, o padengti susidariusią skolą be palūkanų bus galima per 5 metų laikotarpį.</w:t>
      </w:r>
    </w:p>
    <w:p w14:paraId="37B17DDA" w14:textId="77777777" w:rsidR="00F67DE2" w:rsidRPr="000F02E2" w:rsidRDefault="00F67DE2" w:rsidP="00F67DE2">
      <w:pPr>
        <w:spacing w:line="276" w:lineRule="auto"/>
        <w:ind w:firstLine="709"/>
        <w:jc w:val="both"/>
      </w:pPr>
      <w:r w:rsidRPr="000F02E2">
        <w:t>Pirmą kartą nuo pirmojo karantino paskelbimo pradžios registruotas nedarbas pradėjo mažėti. 2021 m. kovo 1 d. registruotas nedarbo lygis siekė 16,1 proc. ir buvo 0,3 proc. punkto mažesnis nei vasario mėnesį.</w:t>
      </w:r>
    </w:p>
    <w:p w14:paraId="2F35EBDD" w14:textId="021056C5" w:rsidR="00F67DE2" w:rsidRDefault="00F67DE2" w:rsidP="00914C86">
      <w:pPr>
        <w:spacing w:line="300" w:lineRule="exact"/>
        <w:ind w:firstLine="709"/>
        <w:jc w:val="both"/>
      </w:pPr>
      <w:r w:rsidRPr="000F02E2">
        <w:t xml:space="preserve">Sumažėjo dėl darbo paieškos išmokos (nuo 2021 m. sausio 1 d. – 212 </w:t>
      </w:r>
      <w:r w:rsidR="00713DC1">
        <w:t>e</w:t>
      </w:r>
      <w:r w:rsidRPr="000F02E2">
        <w:t>ur</w:t>
      </w:r>
      <w:r w:rsidR="00713DC1">
        <w:t>ų</w:t>
      </w:r>
      <w:r w:rsidRPr="000F02E2">
        <w:t xml:space="preserve">) į Užimtumo tarnybą besikreipiančių asmenų skaičius. Tam įtakos turi </w:t>
      </w:r>
      <w:r w:rsidR="00C06CCC">
        <w:t xml:space="preserve">ir siekiant didesnio priemonės taiklumo </w:t>
      </w:r>
      <w:r w:rsidRPr="000F02E2">
        <w:t>pakeistas teisinis reglamentavimas šiai išmokai gauti (gali pretenduoti tik Užimtumo tarnyboje registruoti ir bedarbio statusą turintys asmenys, nedalyvaujantys aktyvios darbo rinkos politikos priemonėse, darbo netekę ne anksčiau kaip 3 mėn. iki ekstremalios situacijos ar karantino paskelbimo). Šiuo metu teisę į darbo paieško išmoką turi nuo pandemijos nukentėję beveik 44 tūkst. gyventojų. Nuo metų pradžios šiems darbo paieškos išmokų gavėjams išmokėta 7,1 mln. eurų.</w:t>
      </w:r>
    </w:p>
    <w:p w14:paraId="4B5467BB" w14:textId="4D0626B8" w:rsidR="00780406" w:rsidRPr="00551BCC" w:rsidRDefault="00780406" w:rsidP="00AB4CB8">
      <w:pPr>
        <w:spacing w:line="300" w:lineRule="exact"/>
        <w:ind w:firstLine="720"/>
        <w:jc w:val="both"/>
        <w:rPr>
          <w:rFonts w:ascii="Times" w:hAnsi="Times"/>
          <w:bCs/>
          <w:szCs w:val="24"/>
        </w:rPr>
      </w:pPr>
      <w:r w:rsidRPr="00CC2E93">
        <w:rPr>
          <w:rFonts w:ascii="Times" w:hAnsi="Times"/>
          <w:szCs w:val="24"/>
        </w:rPr>
        <w:lastRenderedPageBreak/>
        <w:t xml:space="preserve">Socialines paslaugas pandemijos metu teikiančioms </w:t>
      </w:r>
      <w:r>
        <w:rPr>
          <w:rFonts w:ascii="Times" w:hAnsi="Times"/>
          <w:szCs w:val="24"/>
        </w:rPr>
        <w:t>nevyriausybinėms organizacijoms</w:t>
      </w:r>
      <w:r w:rsidRPr="00CC2E93">
        <w:rPr>
          <w:rFonts w:ascii="Times" w:hAnsi="Times"/>
          <w:szCs w:val="24"/>
        </w:rPr>
        <w:t xml:space="preserve"> skirta papildoma parama. Socialinės apsaugos ir darbo ministerija pakvietė nevyriausybines organizacijas teikti paraiškas ir gauti papildomą iki 10 tūkst. eurų siekiančią finansinę paramą. </w:t>
      </w:r>
      <w:r>
        <w:rPr>
          <w:rFonts w:ascii="Times" w:hAnsi="Times"/>
          <w:szCs w:val="24"/>
        </w:rPr>
        <w:t>Nevyriausybinių organizacijų</w:t>
      </w:r>
      <w:r w:rsidRPr="00CC2E93">
        <w:rPr>
          <w:rFonts w:ascii="Times" w:hAnsi="Times"/>
          <w:szCs w:val="24"/>
        </w:rPr>
        <w:t xml:space="preserve"> veiklai papildomai skir</w:t>
      </w:r>
      <w:r>
        <w:rPr>
          <w:rFonts w:ascii="Times" w:hAnsi="Times"/>
          <w:szCs w:val="24"/>
        </w:rPr>
        <w:t>tas</w:t>
      </w:r>
      <w:r w:rsidRPr="00CC2E93">
        <w:rPr>
          <w:rFonts w:ascii="Times" w:hAnsi="Times"/>
          <w:szCs w:val="24"/>
        </w:rPr>
        <w:t xml:space="preserve"> 1 mln. eurų.</w:t>
      </w:r>
      <w:r>
        <w:rPr>
          <w:rFonts w:ascii="Times" w:hAnsi="Times"/>
          <w:szCs w:val="24"/>
        </w:rPr>
        <w:t xml:space="preserve"> </w:t>
      </w:r>
    </w:p>
    <w:p w14:paraId="68CFFCC1" w14:textId="7E76353B" w:rsidR="00470A79" w:rsidRDefault="00F67DE2" w:rsidP="00896281">
      <w:pPr>
        <w:pStyle w:val="Pagrindinistekstas"/>
        <w:spacing w:line="300" w:lineRule="exact"/>
        <w:ind w:firstLine="851"/>
      </w:pPr>
      <w:r w:rsidRPr="003D6525">
        <w:rPr>
          <w:szCs w:val="24"/>
        </w:rPr>
        <w:t xml:space="preserve">Vyriausybės strateginės analizės centras (STRATA), bendradarbiaudamas kartu su Ekonomikos ir inovacijų ministerija bei Lietuvos statistikos departamentu, parengė naują švieslentę. Joje realiu laiku skelbiami paramos verslui, nukentėjusiam nuo </w:t>
      </w:r>
      <w:r w:rsidR="00FA3753">
        <w:rPr>
          <w:szCs w:val="24"/>
        </w:rPr>
        <w:t>COVID</w:t>
      </w:r>
      <w:r w:rsidRPr="003D6525">
        <w:rPr>
          <w:szCs w:val="24"/>
        </w:rPr>
        <w:t>-19 pandemijos, duomenys</w:t>
      </w:r>
      <w:r>
        <w:rPr>
          <w:szCs w:val="24"/>
        </w:rPr>
        <w:t xml:space="preserve">, </w:t>
      </w:r>
      <w:r w:rsidRPr="003D6525">
        <w:rPr>
          <w:szCs w:val="24"/>
        </w:rPr>
        <w:t>viešai prieinama informacija apie paramą gavusių įmonių skaičių ir jų veiklos pobūdį, gautų subsidijų sumą, regioninį pasiskirstymą.</w:t>
      </w:r>
      <w:r>
        <w:rPr>
          <w:szCs w:val="24"/>
        </w:rPr>
        <w:t xml:space="preserve"> </w:t>
      </w:r>
      <w:r w:rsidRPr="003D6525">
        <w:rPr>
          <w:szCs w:val="24"/>
        </w:rPr>
        <w:t>Statistiką</w:t>
      </w:r>
      <w:r>
        <w:rPr>
          <w:szCs w:val="24"/>
        </w:rPr>
        <w:t xml:space="preserve"> galima rasti interneto puslapyje – </w:t>
      </w:r>
      <w:hyperlink r:id="rId16" w:history="1">
        <w:r w:rsidRPr="00F07E08">
          <w:rPr>
            <w:rStyle w:val="Hipersaitas"/>
          </w:rPr>
          <w:t>https://eimin.lrv.lt/lt/priemones-verslui/ekonomine-situacija-ir-paramos-verslui-statistika</w:t>
        </w:r>
      </w:hyperlink>
      <w:r w:rsidRPr="00F07E08">
        <w:t xml:space="preserve"> </w:t>
      </w:r>
    </w:p>
    <w:p w14:paraId="120CA584" w14:textId="64B00796" w:rsidR="00470A79" w:rsidRDefault="00057978" w:rsidP="00896281">
      <w:pPr>
        <w:pStyle w:val="Pagrindinistekstas"/>
        <w:spacing w:line="276" w:lineRule="auto"/>
        <w:ind w:firstLine="851"/>
        <w:rPr>
          <w:rFonts w:ascii="Times" w:hAnsi="Times"/>
          <w:szCs w:val="24"/>
        </w:rPr>
      </w:pPr>
      <w:r w:rsidRPr="00344761">
        <w:rPr>
          <w:rFonts w:ascii="Times" w:hAnsi="Times"/>
          <w:szCs w:val="24"/>
        </w:rPr>
        <w:t xml:space="preserve">2021 m. vasario mėn. </w:t>
      </w:r>
      <w:r w:rsidRPr="00344761">
        <w:rPr>
          <w:rFonts w:ascii="Times" w:hAnsi="Times"/>
          <w:kern w:val="36"/>
          <w:szCs w:val="24"/>
        </w:rPr>
        <w:t>Lietuvos pritaikytas ekonomines priemones COVID-19 šokui atremti</w:t>
      </w:r>
      <w:r w:rsidRPr="00344761">
        <w:rPr>
          <w:rFonts w:ascii="Times" w:hAnsi="Times"/>
          <w:szCs w:val="24"/>
        </w:rPr>
        <w:t xml:space="preserve"> </w:t>
      </w:r>
      <w:r w:rsidRPr="00344761">
        <w:rPr>
          <w:rFonts w:ascii="Times" w:hAnsi="Times"/>
          <w:kern w:val="36"/>
          <w:szCs w:val="24"/>
        </w:rPr>
        <w:t>palankiai įvertino Tarptautinis valiutos fondas, kuris p</w:t>
      </w:r>
      <w:r w:rsidRPr="00344761">
        <w:rPr>
          <w:rFonts w:ascii="Times" w:hAnsi="Times"/>
          <w:szCs w:val="24"/>
        </w:rPr>
        <w:t xml:space="preserve">askelbtame pranešime reiškia palaikymą naujosios Vyriausybės prioritetams ir siekiui mažinti ekonominius skirtumus šalyje, didinti ūkio produktyvumą ir spręsti įsisenėjusias problemas švietimo ir sveikatos apsaugos sistemose. </w:t>
      </w:r>
    </w:p>
    <w:p w14:paraId="6D27038B" w14:textId="427382BC" w:rsidR="00470A79" w:rsidRPr="00BA0101" w:rsidRDefault="00057978" w:rsidP="00896281">
      <w:pPr>
        <w:pStyle w:val="Pagrindinistekstas"/>
        <w:spacing w:line="276" w:lineRule="auto"/>
        <w:ind w:firstLine="851"/>
        <w:rPr>
          <w:szCs w:val="24"/>
        </w:rPr>
      </w:pPr>
      <w:r w:rsidRPr="00CC2E93">
        <w:rPr>
          <w:rFonts w:ascii="Times" w:hAnsi="Times"/>
          <w:kern w:val="36"/>
          <w:szCs w:val="24"/>
        </w:rPr>
        <w:t>Antrojo karantino parama verslui tikslingesnė ir greitesnė – parodė tyrimas</w:t>
      </w:r>
      <w:r>
        <w:rPr>
          <w:rStyle w:val="Puslapioinaosnuoroda"/>
          <w:rFonts w:ascii="Times" w:hAnsi="Times"/>
          <w:kern w:val="36"/>
          <w:szCs w:val="24"/>
        </w:rPr>
        <w:footnoteReference w:id="2"/>
      </w:r>
      <w:r>
        <w:rPr>
          <w:rFonts w:ascii="Times" w:hAnsi="Times"/>
          <w:kern w:val="36"/>
          <w:szCs w:val="24"/>
        </w:rPr>
        <w:t xml:space="preserve">. </w:t>
      </w:r>
      <w:r w:rsidRPr="00CC2E93">
        <w:rPr>
          <w:rFonts w:ascii="Times" w:hAnsi="Times"/>
          <w:szCs w:val="24"/>
        </w:rPr>
        <w:t>Parama verslui tapo labiau orientuota į daugiausia nuo COVID-19 nukentėjusius sektorius: padidėjo paramos dalis maitinimo ir kelionių organizavimo sektoriams. Tai parodė pagalbos verslui subsidijų forma pirmojo ir antrojo karantino metu duomenų analizė. Be to, lyginant abiejų karantino laikotarpių pagalbos skirstymo tempą, antrojo karantino subsidijų atveju verslams pagalba teikiama bemaž dvigubai didesniu greičiu.</w:t>
      </w:r>
      <w:r w:rsidRPr="00CC2E93">
        <w:rPr>
          <w:rFonts w:ascii="Times" w:hAnsi="Times"/>
          <w:kern w:val="36"/>
          <w:szCs w:val="24"/>
        </w:rPr>
        <w:t xml:space="preserve"> </w:t>
      </w:r>
      <w:r w:rsidRPr="00CC2E93">
        <w:rPr>
          <w:rFonts w:ascii="Times" w:hAnsi="Times"/>
          <w:szCs w:val="24"/>
        </w:rPr>
        <w:t>Lyginant abiejų karantino laikotarpių subsidijų skirstymo tempą, matyti, kad pavasarį subsidijų nukentėjusiems verslams srautas vidutiniškai siekė 450 tūkst. eurų per dieną, o antrojo karantino subsidijų atveju verslams pagalba teikiama bemaž dvigubai didesniu srautu – apie 800 tūkst. eurų per dieną.</w:t>
      </w:r>
    </w:p>
    <w:p w14:paraId="0E206D4E" w14:textId="0EEBA8AB" w:rsidR="00470A79" w:rsidRPr="00470A79" w:rsidRDefault="00470A79" w:rsidP="00A17761">
      <w:pPr>
        <w:pStyle w:val="Pagrindinistekstas"/>
        <w:spacing w:line="276" w:lineRule="auto"/>
        <w:ind w:firstLine="709"/>
        <w:jc w:val="left"/>
        <w:rPr>
          <w:szCs w:val="24"/>
        </w:rPr>
      </w:pPr>
      <w:r w:rsidRPr="00470A79">
        <w:rPr>
          <w:szCs w:val="24"/>
        </w:rPr>
        <w:t>2020 vykdytas paramos verslui priemones galima rasti</w:t>
      </w:r>
      <w:r>
        <w:rPr>
          <w:szCs w:val="24"/>
        </w:rPr>
        <w:t xml:space="preserve"> adresu</w:t>
      </w:r>
      <w:r w:rsidR="00A17761">
        <w:rPr>
          <w:szCs w:val="24"/>
        </w:rPr>
        <w:t xml:space="preserve"> </w:t>
      </w:r>
      <w:hyperlink r:id="rId17" w:history="1">
        <w:r w:rsidR="00B665FE" w:rsidRPr="00CF4E8D">
          <w:rPr>
            <w:rStyle w:val="Hipersaitas"/>
            <w:szCs w:val="24"/>
          </w:rPr>
          <w:t>https://koronastop.lrv.lt/lt/pagalba-verslui</w:t>
        </w:r>
      </w:hyperlink>
      <w:r w:rsidR="00B665FE">
        <w:rPr>
          <w:szCs w:val="24"/>
        </w:rPr>
        <w:t xml:space="preserve">. </w:t>
      </w:r>
    </w:p>
    <w:p w14:paraId="0D984D20" w14:textId="58A6BDB7" w:rsidR="00242863" w:rsidRDefault="00242863" w:rsidP="00FF0D00">
      <w:pPr>
        <w:tabs>
          <w:tab w:val="left" w:pos="993"/>
        </w:tabs>
        <w:spacing w:line="276" w:lineRule="auto"/>
        <w:jc w:val="both"/>
      </w:pPr>
    </w:p>
    <w:p w14:paraId="0FC8F0D2" w14:textId="77777777" w:rsidR="009E34EF" w:rsidRDefault="009E34EF" w:rsidP="00FF0D00">
      <w:pPr>
        <w:tabs>
          <w:tab w:val="left" w:pos="993"/>
        </w:tabs>
        <w:spacing w:line="276" w:lineRule="auto"/>
        <w:jc w:val="both"/>
      </w:pPr>
    </w:p>
    <w:p w14:paraId="27FE8DF3" w14:textId="676F7320" w:rsidR="00163B14" w:rsidRPr="007318AE" w:rsidRDefault="007318AE" w:rsidP="007318AE">
      <w:pPr>
        <w:pStyle w:val="Antrat1"/>
        <w:ind w:firstLine="709"/>
        <w:jc w:val="left"/>
        <w:rPr>
          <w:color w:val="17365D" w:themeColor="text2" w:themeShade="BF"/>
        </w:rPr>
      </w:pPr>
      <w:bookmarkStart w:id="10" w:name="_Toc68079179"/>
      <w:r w:rsidRPr="007318AE">
        <w:rPr>
          <w:color w:val="17365D" w:themeColor="text2" w:themeShade="BF"/>
          <w:kern w:val="24"/>
          <w:szCs w:val="24"/>
        </w:rPr>
        <w:t xml:space="preserve">1.4. </w:t>
      </w:r>
      <w:r w:rsidR="001575A8" w:rsidRPr="007318AE">
        <w:rPr>
          <w:color w:val="17365D" w:themeColor="text2" w:themeShade="BF"/>
          <w:szCs w:val="24"/>
        </w:rPr>
        <w:t>Švietimo sistemos iššūkiai dėl COVID-19 pandemijos ir jų sprendimai</w:t>
      </w:r>
      <w:bookmarkEnd w:id="10"/>
      <w:r w:rsidR="001575A8" w:rsidRPr="007318AE">
        <w:rPr>
          <w:color w:val="17365D" w:themeColor="text2" w:themeShade="BF"/>
          <w:szCs w:val="24"/>
        </w:rPr>
        <w:t xml:space="preserve">  </w:t>
      </w:r>
    </w:p>
    <w:p w14:paraId="3437E13E" w14:textId="77777777" w:rsidR="00242863" w:rsidRDefault="00242863" w:rsidP="00163B14">
      <w:pPr>
        <w:tabs>
          <w:tab w:val="left" w:pos="993"/>
        </w:tabs>
        <w:suppressAutoHyphens/>
        <w:autoSpaceDN w:val="0"/>
        <w:spacing w:line="276" w:lineRule="auto"/>
        <w:ind w:firstLine="720"/>
        <w:jc w:val="both"/>
        <w:textAlignment w:val="baseline"/>
        <w:rPr>
          <w:b/>
          <w:bCs/>
          <w:color w:val="17365D" w:themeColor="text2" w:themeShade="BF"/>
          <w:szCs w:val="24"/>
        </w:rPr>
      </w:pPr>
    </w:p>
    <w:p w14:paraId="3E4F05AA" w14:textId="77777777" w:rsidR="00057978" w:rsidRDefault="00057978" w:rsidP="00057978">
      <w:pPr>
        <w:tabs>
          <w:tab w:val="left" w:pos="993"/>
        </w:tabs>
        <w:suppressAutoHyphens/>
        <w:autoSpaceDN w:val="0"/>
        <w:spacing w:line="276" w:lineRule="auto"/>
        <w:ind w:firstLine="720"/>
        <w:jc w:val="both"/>
        <w:textAlignment w:val="baseline"/>
        <w:rPr>
          <w:b/>
          <w:bCs/>
          <w:color w:val="17365D" w:themeColor="text2" w:themeShade="BF"/>
          <w:szCs w:val="24"/>
        </w:rPr>
      </w:pPr>
      <w:r>
        <w:rPr>
          <w:color w:val="000000" w:themeColor="text1"/>
          <w:szCs w:val="24"/>
        </w:rPr>
        <w:t xml:space="preserve">COVID-19 pandemija visiškai pakeitė mokymosi ir studijų procesus. </w:t>
      </w:r>
      <w:r w:rsidRPr="00163B14">
        <w:rPr>
          <w:color w:val="000000" w:themeColor="text1"/>
          <w:szCs w:val="24"/>
        </w:rPr>
        <w:t>Mokymosi tęstinumui užtikrinti visais švietimo lygmenimis buvo pereita prie nuotolinio mokymo(</w:t>
      </w:r>
      <w:proofErr w:type="spellStart"/>
      <w:r w:rsidRPr="00163B14">
        <w:rPr>
          <w:color w:val="000000" w:themeColor="text1"/>
          <w:szCs w:val="24"/>
        </w:rPr>
        <w:t>si</w:t>
      </w:r>
      <w:proofErr w:type="spellEnd"/>
      <w:r w:rsidRPr="00163B14">
        <w:rPr>
          <w:color w:val="000000" w:themeColor="text1"/>
          <w:szCs w:val="24"/>
        </w:rPr>
        <w:t>). Iki pandemijos nuotolinio darbo ar mokymosi patirties turėjo tik dalis pedagogų ir mokinių (apie 20 proc. bendrojo ugdymo mokytojų, apie 50 proc. dėstytojų, apie 60 proc. aukštesniųjų klasių mokinių ir studentų</w:t>
      </w:r>
      <w:r w:rsidRPr="001575A8">
        <w:rPr>
          <w:rStyle w:val="Puslapioinaosnuoroda"/>
          <w:color w:val="000000" w:themeColor="text1"/>
          <w:szCs w:val="24"/>
        </w:rPr>
        <w:footnoteReference w:id="3"/>
      </w:r>
      <w:r w:rsidRPr="00163B14">
        <w:rPr>
          <w:szCs w:val="24"/>
        </w:rPr>
        <w:t xml:space="preserve">), dėl pandemijos šis </w:t>
      </w:r>
      <w:r w:rsidRPr="00163B14">
        <w:rPr>
          <w:color w:val="000000" w:themeColor="text1"/>
          <w:szCs w:val="24"/>
        </w:rPr>
        <w:t>mokymo(</w:t>
      </w:r>
      <w:proofErr w:type="spellStart"/>
      <w:r w:rsidRPr="00163B14">
        <w:rPr>
          <w:color w:val="000000" w:themeColor="text1"/>
          <w:szCs w:val="24"/>
        </w:rPr>
        <w:t>si</w:t>
      </w:r>
      <w:proofErr w:type="spellEnd"/>
      <w:r w:rsidRPr="00163B14">
        <w:rPr>
          <w:color w:val="000000" w:themeColor="text1"/>
          <w:szCs w:val="24"/>
        </w:rPr>
        <w:t>) būdas tapo visuotinis.</w:t>
      </w:r>
      <w:r>
        <w:rPr>
          <w:color w:val="000000" w:themeColor="text1"/>
          <w:szCs w:val="24"/>
        </w:rPr>
        <w:t xml:space="preserve"> </w:t>
      </w:r>
    </w:p>
    <w:p w14:paraId="28940A42" w14:textId="4952D690" w:rsidR="00057978" w:rsidRPr="001575A8" w:rsidRDefault="00057978" w:rsidP="00057978">
      <w:pPr>
        <w:tabs>
          <w:tab w:val="left" w:pos="630"/>
          <w:tab w:val="left" w:pos="993"/>
        </w:tabs>
        <w:suppressAutoHyphens/>
        <w:autoSpaceDN w:val="0"/>
        <w:spacing w:line="276" w:lineRule="auto"/>
        <w:ind w:firstLine="709"/>
        <w:jc w:val="both"/>
        <w:textAlignment w:val="baseline"/>
        <w:rPr>
          <w:szCs w:val="24"/>
        </w:rPr>
      </w:pPr>
      <w:r>
        <w:rPr>
          <w:szCs w:val="24"/>
        </w:rPr>
        <w:t>N</w:t>
      </w:r>
      <w:r w:rsidRPr="001575A8">
        <w:rPr>
          <w:szCs w:val="24"/>
        </w:rPr>
        <w:t>eišvengta neigiamų karantino padarinių švietimui: sutriko kai kurie švietimo procesai (pavyzdžiui, mokinių pasiekimų patikrinimo, mokyklos veiklos kokybės vertinimo), sumenko ugdomoji sąveika ir nukentėjo ugdymo ir mokymo(</w:t>
      </w:r>
      <w:proofErr w:type="spellStart"/>
      <w:r w:rsidRPr="001575A8">
        <w:rPr>
          <w:szCs w:val="24"/>
        </w:rPr>
        <w:t>si</w:t>
      </w:r>
      <w:proofErr w:type="spellEnd"/>
      <w:r w:rsidRPr="001575A8">
        <w:rPr>
          <w:szCs w:val="24"/>
        </w:rPr>
        <w:t xml:space="preserve">) kokybė, paaštrėjo mokymosi rezultatų atotrūkis, socialinės nelygybės švietime problema. </w:t>
      </w:r>
    </w:p>
    <w:p w14:paraId="74C96E67" w14:textId="40ED5B5A" w:rsidR="00057978" w:rsidRDefault="00057978" w:rsidP="00057978">
      <w:pPr>
        <w:tabs>
          <w:tab w:val="left" w:pos="993"/>
        </w:tabs>
        <w:spacing w:line="276" w:lineRule="auto"/>
        <w:ind w:firstLine="709"/>
        <w:jc w:val="both"/>
        <w:rPr>
          <w:szCs w:val="24"/>
        </w:rPr>
      </w:pPr>
      <w:r w:rsidRPr="00464904">
        <w:rPr>
          <w:szCs w:val="24"/>
        </w:rPr>
        <w:t xml:space="preserve">Įvertinus susiklosčiusią situaciją pirmieji </w:t>
      </w:r>
      <w:r>
        <w:rPr>
          <w:szCs w:val="24"/>
        </w:rPr>
        <w:t>Aštuonioliktosios</w:t>
      </w:r>
      <w:r w:rsidRPr="00464904">
        <w:rPr>
          <w:szCs w:val="24"/>
        </w:rPr>
        <w:t xml:space="preserve"> Vyriausybės, o tuo pačiu ir Švietimo, mokslo ir sporto ministerijos darbai buvo nukreipti pandemijos valdymui ir identifikuotų karantino pasekmių mokymui ir mokymuisi mažinimui. </w:t>
      </w:r>
      <w:r w:rsidRPr="00320865">
        <w:rPr>
          <w:szCs w:val="24"/>
        </w:rPr>
        <w:t xml:space="preserve">Pirmiausia buvo peržiūrėtas 2021 m. biudžetas ir </w:t>
      </w:r>
      <w:r>
        <w:rPr>
          <w:szCs w:val="24"/>
        </w:rPr>
        <w:t>skirtos</w:t>
      </w:r>
      <w:r w:rsidRPr="00320865">
        <w:rPr>
          <w:szCs w:val="24"/>
        </w:rPr>
        <w:t xml:space="preserve"> papildomos lėšos švietimo pagalbos specialistams, neformaliajam vaikų švietimui ir kitoms, didžiausius iššūkius keliančioms sritims.</w:t>
      </w:r>
      <w:r>
        <w:rPr>
          <w:szCs w:val="24"/>
        </w:rPr>
        <w:t xml:space="preserve"> </w:t>
      </w:r>
    </w:p>
    <w:p w14:paraId="20279AE0" w14:textId="37F5E013" w:rsidR="00057978" w:rsidRPr="00057978" w:rsidRDefault="00057978" w:rsidP="00057978">
      <w:pPr>
        <w:tabs>
          <w:tab w:val="left" w:pos="993"/>
        </w:tabs>
        <w:spacing w:line="300" w:lineRule="exact"/>
        <w:ind w:firstLine="709"/>
        <w:jc w:val="both"/>
        <w:rPr>
          <w:szCs w:val="24"/>
        </w:rPr>
      </w:pPr>
      <w:r>
        <w:t xml:space="preserve">Specialus dėmesys skirtas </w:t>
      </w:r>
      <w:r w:rsidRPr="00057978">
        <w:rPr>
          <w:rFonts w:ascii="Times" w:hAnsi="Times"/>
        </w:rPr>
        <w:t>dėl nuotolinio mokymo sunkumų patiriantiems mokiniams</w:t>
      </w:r>
      <w:r>
        <w:rPr>
          <w:rStyle w:val="Grietas"/>
          <w:rFonts w:ascii="Times" w:hAnsi="Times"/>
          <w:b w:val="0"/>
          <w:bCs w:val="0"/>
        </w:rPr>
        <w:t xml:space="preserve">. </w:t>
      </w:r>
      <w:r w:rsidRPr="00CC2E93">
        <w:rPr>
          <w:rFonts w:ascii="Times" w:hAnsi="Times"/>
        </w:rPr>
        <w:t xml:space="preserve">Skaičiuojama, kad 14 tūkst. mokinių reikia pagalbos mokantis nuotoliniu būdu – padėti prisijungti prie </w:t>
      </w:r>
      <w:r w:rsidRPr="00CC2E93">
        <w:rPr>
          <w:rFonts w:ascii="Times" w:hAnsi="Times"/>
        </w:rPr>
        <w:lastRenderedPageBreak/>
        <w:t>nuotolinių pamokų, stiprinti jų mokymosi motyvaciją</w:t>
      </w:r>
      <w:r>
        <w:rPr>
          <w:rStyle w:val="Puslapioinaosnuoroda"/>
          <w:rFonts w:ascii="Times" w:hAnsi="Times"/>
        </w:rPr>
        <w:footnoteReference w:id="4"/>
      </w:r>
      <w:r w:rsidRPr="00CC2E93">
        <w:rPr>
          <w:rFonts w:ascii="Times" w:hAnsi="Times"/>
        </w:rPr>
        <w:t xml:space="preserve">. Dar 11 tūkst. mokinių patiria trikdžių dėl nepakankamos technologinės įrangos namuose. </w:t>
      </w:r>
      <w:r w:rsidR="00AD1133">
        <w:rPr>
          <w:rFonts w:ascii="Times" w:hAnsi="Times"/>
        </w:rPr>
        <w:t xml:space="preserve">Mokykloms skirta papildomų lėšų skaitmeninei plėtrai,  nuo 2021 m. sausio 1 d. </w:t>
      </w:r>
      <w:r w:rsidR="00AD1133" w:rsidRPr="00CC2E93">
        <w:rPr>
          <w:rFonts w:ascii="Times" w:hAnsi="Times"/>
        </w:rPr>
        <w:t>– po 30 Eur vienam mokiniui. Iš viso šiam tikslui numatyta daugiau kaip 10 mln. Eur, arba penkis kartus daugiau negu būdavo numatoma ankstesniais metais tikslinėje „krepšelio” dotacijoje. Iš šių lėšų mokyklos mokinius aprūpin</w:t>
      </w:r>
      <w:r w:rsidR="00AD1133">
        <w:rPr>
          <w:rFonts w:ascii="Times" w:hAnsi="Times"/>
        </w:rPr>
        <w:t>a</w:t>
      </w:r>
      <w:r w:rsidR="00AD1133" w:rsidRPr="00CC2E93">
        <w:rPr>
          <w:rFonts w:ascii="Times" w:hAnsi="Times"/>
        </w:rPr>
        <w:t xml:space="preserve"> reikalingu skaitmeniniu turiniu ar papildoma kompiuterine įranga, tobulin</w:t>
      </w:r>
      <w:r w:rsidR="00AD1133">
        <w:rPr>
          <w:rFonts w:ascii="Times" w:hAnsi="Times"/>
        </w:rPr>
        <w:t>amos</w:t>
      </w:r>
      <w:r w:rsidR="00AD1133" w:rsidRPr="00CC2E93">
        <w:rPr>
          <w:rFonts w:ascii="Times" w:hAnsi="Times"/>
        </w:rPr>
        <w:t xml:space="preserve"> mokytojų skaitmeninio raštingumo kompetencij</w:t>
      </w:r>
      <w:r w:rsidR="00AD1133">
        <w:rPr>
          <w:rFonts w:ascii="Times" w:hAnsi="Times"/>
        </w:rPr>
        <w:t>os</w:t>
      </w:r>
      <w:r w:rsidR="00AD1133" w:rsidRPr="00CC2E93">
        <w:rPr>
          <w:rFonts w:ascii="Times" w:hAnsi="Times"/>
        </w:rPr>
        <w:t>.</w:t>
      </w:r>
      <w:r w:rsidR="00AD1133">
        <w:rPr>
          <w:rFonts w:ascii="Times" w:hAnsi="Times"/>
        </w:rPr>
        <w:t xml:space="preserve"> Siekdama v</w:t>
      </w:r>
      <w:r w:rsidR="00AD1133" w:rsidRPr="00CC2E93">
        <w:rPr>
          <w:rFonts w:ascii="Times" w:hAnsi="Times"/>
        </w:rPr>
        <w:t>isiems mokiniams užtikrinti lygias galimybes gauti kokybišką nuotolinį mokymą</w:t>
      </w:r>
      <w:r w:rsidR="00AD1133">
        <w:rPr>
          <w:rFonts w:ascii="Times" w:hAnsi="Times"/>
        </w:rPr>
        <w:t xml:space="preserve"> Švietimo, mokslo ir sporto ministerija </w:t>
      </w:r>
      <w:r w:rsidR="00AD1133" w:rsidRPr="00B5269A">
        <w:t>nuotolinio mokymosi praradimų</w:t>
      </w:r>
      <w:r w:rsidR="00914C86" w:rsidRPr="00914C86">
        <w:t xml:space="preserve"> </w:t>
      </w:r>
      <w:r w:rsidR="00914C86" w:rsidRPr="00B5269A">
        <w:t>patiriantiems</w:t>
      </w:r>
      <w:r w:rsidR="00914C86">
        <w:t xml:space="preserve"> mokiniams parengė paramos paketą</w:t>
      </w:r>
      <w:r w:rsidR="00AD1133" w:rsidRPr="00B5269A">
        <w:t xml:space="preserve">. Jį sudaro </w:t>
      </w:r>
      <w:r w:rsidR="00AD1133">
        <w:t xml:space="preserve">algoritmo parengimas mokiniams, kuriems reikalinga pagalba mokantis nuotoliniu būdu, </w:t>
      </w:r>
      <w:r w:rsidR="00AD1133" w:rsidRPr="00B5269A">
        <w:t xml:space="preserve">papildomos </w:t>
      </w:r>
      <w:r w:rsidR="00AD1133">
        <w:t xml:space="preserve">mokinių ir </w:t>
      </w:r>
      <w:r w:rsidR="00AD1133" w:rsidRPr="00B5269A">
        <w:t>mokytojų konsultacijos, savanorių pagalba, kompiuterinė</w:t>
      </w:r>
      <w:r w:rsidR="00AD1133">
        <w:t>s</w:t>
      </w:r>
      <w:r w:rsidR="00AD1133" w:rsidRPr="00B5269A">
        <w:t xml:space="preserve"> technik</w:t>
      </w:r>
      <w:r w:rsidR="00AD1133">
        <w:t>os</w:t>
      </w:r>
      <w:r w:rsidR="00AD1133" w:rsidRPr="00B5269A">
        <w:t xml:space="preserve"> </w:t>
      </w:r>
      <w:r w:rsidR="00AD1133">
        <w:t xml:space="preserve">pirkimas </w:t>
      </w:r>
      <w:r w:rsidR="00AD1133" w:rsidRPr="00B5269A">
        <w:t xml:space="preserve">nuotolinio ugdymo prieinamumui didinti. </w:t>
      </w:r>
      <w:r w:rsidR="00AD1133" w:rsidRPr="00057978">
        <w:rPr>
          <w:rFonts w:ascii="Times" w:hAnsi="Times"/>
        </w:rPr>
        <w:t>Mokiniams, kuriems sudėtinga mokytis namuose ir Vaiko gerovės komisijos sprendimu yra reikalinga priežiūra įstaigoje, teikiamas nuotolinis mokymas, priežiūra ir nemokamas maitinimas  mokykloje, vaikų dienos centre ar kitoje savivaldybės paskirtoje įstaigoje.</w:t>
      </w:r>
      <w:r w:rsidR="00AD1133">
        <w:rPr>
          <w:rFonts w:ascii="Times" w:hAnsi="Times"/>
        </w:rPr>
        <w:t xml:space="preserve"> </w:t>
      </w:r>
      <w:r w:rsidR="00AD1133" w:rsidRPr="00B5269A">
        <w:t>Pedagogų atlyginimams už papildomas darbo valandas</w:t>
      </w:r>
      <w:r w:rsidR="00AD1133">
        <w:t xml:space="preserve"> vykdant konsultacijas</w:t>
      </w:r>
      <w:r w:rsidR="00AD1133" w:rsidRPr="00B5269A">
        <w:t xml:space="preserve"> skirta 1,3 mln. Eur. Techninei įrangai įsigyti skirta 6 mln. </w:t>
      </w:r>
      <w:r w:rsidR="00AD1133">
        <w:t>E</w:t>
      </w:r>
      <w:r w:rsidR="00AD1133" w:rsidRPr="00B5269A">
        <w:t>ur.</w:t>
      </w:r>
      <w:r w:rsidR="00AD1133">
        <w:t xml:space="preserve"> Vyriausybė taip pat skyrė papildomą finansavimą </w:t>
      </w:r>
      <w:r w:rsidR="00AD1133" w:rsidRPr="00320865">
        <w:rPr>
          <w:szCs w:val="24"/>
        </w:rPr>
        <w:t xml:space="preserve">konsultacijoms, kurių metu siekiama padėti </w:t>
      </w:r>
      <w:r w:rsidR="00AD1133" w:rsidRPr="00D92595">
        <w:rPr>
          <w:szCs w:val="24"/>
        </w:rPr>
        <w:t xml:space="preserve">abiturientams </w:t>
      </w:r>
      <w:r w:rsidR="00AD1133" w:rsidRPr="009D69EB">
        <w:rPr>
          <w:szCs w:val="24"/>
        </w:rPr>
        <w:t>pasirengti brandos egzaminams. Mokytojų atlyginimams už papildomas darbo valandas skirta 390 tūkst. Eur.</w:t>
      </w:r>
      <w:r w:rsidR="00AD1133" w:rsidRPr="00EF69B0">
        <w:rPr>
          <w:szCs w:val="24"/>
        </w:rPr>
        <w:t xml:space="preserve"> </w:t>
      </w:r>
      <w:r w:rsidR="00AD1133">
        <w:rPr>
          <w:szCs w:val="24"/>
        </w:rPr>
        <w:t xml:space="preserve"> </w:t>
      </w:r>
    </w:p>
    <w:p w14:paraId="753DE2B0" w14:textId="6FF46863" w:rsidR="00B5269A" w:rsidRPr="00780406" w:rsidRDefault="00057978" w:rsidP="00896281">
      <w:pPr>
        <w:pStyle w:val="prastasiniatinklio"/>
        <w:spacing w:before="0" w:beforeAutospacing="0" w:after="0" w:afterAutospacing="0" w:line="300" w:lineRule="exact"/>
        <w:ind w:firstLine="709"/>
        <w:jc w:val="both"/>
        <w:rPr>
          <w:rFonts w:ascii="Times" w:hAnsi="Times"/>
          <w:lang w:val="lt-LT"/>
        </w:rPr>
      </w:pPr>
      <w:r w:rsidRPr="00057978">
        <w:rPr>
          <w:lang w:val="lt-LT"/>
        </w:rPr>
        <w:t>2021 metams valstybės finansavimas neformaliajam vaikų švietimui padidintas 40 proc. Tam skirta 17 mln. Eur. Tokiu būdu vaikams bus suteikta daugiau galimybių neformaliojo ugdymo veikloms.</w:t>
      </w:r>
    </w:p>
    <w:p w14:paraId="210A152E" w14:textId="33906B89" w:rsidR="00415C0C" w:rsidRPr="00BA0101" w:rsidRDefault="002E0381" w:rsidP="00896281">
      <w:pPr>
        <w:pStyle w:val="Pagrindinistekstas"/>
        <w:tabs>
          <w:tab w:val="num" w:pos="1134"/>
        </w:tabs>
        <w:spacing w:line="276" w:lineRule="auto"/>
        <w:jc w:val="center"/>
        <w:rPr>
          <w:szCs w:val="24"/>
        </w:rPr>
      </w:pPr>
      <w:r w:rsidRPr="00BA0101">
        <w:rPr>
          <w:szCs w:val="24"/>
        </w:rPr>
        <w:t>***</w:t>
      </w:r>
    </w:p>
    <w:p w14:paraId="4B754327" w14:textId="32CB08A8" w:rsidR="00245FFA" w:rsidRPr="00F07E08" w:rsidRDefault="00896E88" w:rsidP="00002080">
      <w:pPr>
        <w:pStyle w:val="Pagrindinistekstas"/>
        <w:tabs>
          <w:tab w:val="num" w:pos="1134"/>
        </w:tabs>
        <w:spacing w:line="276" w:lineRule="auto"/>
        <w:ind w:firstLine="709"/>
        <w:rPr>
          <w:szCs w:val="24"/>
        </w:rPr>
      </w:pPr>
      <w:r w:rsidRPr="00291900">
        <w:rPr>
          <w:szCs w:val="24"/>
        </w:rPr>
        <w:t xml:space="preserve">Visų </w:t>
      </w:r>
      <w:r w:rsidRPr="00291900">
        <w:rPr>
          <w:rFonts w:eastAsia="Calibri"/>
          <w:szCs w:val="24"/>
          <w:lang w:eastAsia="en-US"/>
        </w:rPr>
        <w:t>COVID-19 pandemijos padarini</w:t>
      </w:r>
      <w:r w:rsidR="002E0381" w:rsidRPr="00291900">
        <w:rPr>
          <w:rFonts w:eastAsia="Calibri"/>
          <w:szCs w:val="24"/>
          <w:lang w:eastAsia="en-US"/>
        </w:rPr>
        <w:t>ų</w:t>
      </w:r>
      <w:r w:rsidRPr="00291900">
        <w:rPr>
          <w:rFonts w:eastAsia="Calibri"/>
          <w:szCs w:val="24"/>
          <w:lang w:eastAsia="en-US"/>
        </w:rPr>
        <w:t xml:space="preserve"> šalin</w:t>
      </w:r>
      <w:r w:rsidR="002E0381" w:rsidRPr="00291900">
        <w:rPr>
          <w:rFonts w:eastAsia="Calibri"/>
          <w:szCs w:val="24"/>
          <w:lang w:eastAsia="en-US"/>
        </w:rPr>
        <w:t xml:space="preserve">imo priemonių įgyvendinimui </w:t>
      </w:r>
      <w:r w:rsidRPr="00291900">
        <w:rPr>
          <w:szCs w:val="24"/>
        </w:rPr>
        <w:t>2021 m. s</w:t>
      </w:r>
      <w:r w:rsidR="00C06CCC" w:rsidRPr="00291900">
        <w:rPr>
          <w:szCs w:val="24"/>
        </w:rPr>
        <w:t>uplanuota</w:t>
      </w:r>
      <w:r w:rsidRPr="00291900">
        <w:rPr>
          <w:szCs w:val="24"/>
        </w:rPr>
        <w:t xml:space="preserve"> daugiau nei 1 mlr</w:t>
      </w:r>
      <w:r w:rsidR="00F07E08" w:rsidRPr="00291900">
        <w:rPr>
          <w:szCs w:val="24"/>
        </w:rPr>
        <w:t>d</w:t>
      </w:r>
      <w:r w:rsidRPr="00291900">
        <w:rPr>
          <w:szCs w:val="24"/>
        </w:rPr>
        <w:t xml:space="preserve">. eurų. Biudžeto paskirstymas pagal </w:t>
      </w:r>
      <w:r w:rsidR="00C138F6" w:rsidRPr="00291900">
        <w:rPr>
          <w:szCs w:val="24"/>
        </w:rPr>
        <w:t xml:space="preserve">politikos sritis pateiktas </w:t>
      </w:r>
      <w:r w:rsidR="00BA0101" w:rsidRPr="00291900">
        <w:rPr>
          <w:szCs w:val="24"/>
        </w:rPr>
        <w:t>5</w:t>
      </w:r>
      <w:r w:rsidR="00C138F6" w:rsidRPr="00291900">
        <w:rPr>
          <w:szCs w:val="24"/>
        </w:rPr>
        <w:t xml:space="preserve"> lentelėje</w:t>
      </w:r>
      <w:r w:rsidR="00C06CCC" w:rsidRPr="00291900">
        <w:rPr>
          <w:szCs w:val="24"/>
        </w:rPr>
        <w:t>.</w:t>
      </w:r>
      <w:r w:rsidR="00C06CCC">
        <w:rPr>
          <w:szCs w:val="24"/>
        </w:rPr>
        <w:t xml:space="preserve"> </w:t>
      </w:r>
      <w:r w:rsidR="00F30128">
        <w:rPr>
          <w:szCs w:val="24"/>
        </w:rPr>
        <w:t>Papildomos lėšos, reikalingos naujai išryškėjusiems ar ilgiau nei planuota trunkantiems poreikiams finansuoti, bus suplanuotos tikslinant 2021 m. biudžetą.</w:t>
      </w:r>
      <w:r w:rsidR="00C06CCC">
        <w:rPr>
          <w:szCs w:val="24"/>
        </w:rPr>
        <w:t xml:space="preserve"> </w:t>
      </w:r>
    </w:p>
    <w:p w14:paraId="1B9B93C4" w14:textId="77777777" w:rsidR="00C138F6" w:rsidRPr="00F07E08" w:rsidRDefault="00C138F6" w:rsidP="00896E88">
      <w:pPr>
        <w:pStyle w:val="Pagrindinistekstas"/>
        <w:tabs>
          <w:tab w:val="num" w:pos="1134"/>
        </w:tabs>
        <w:spacing w:line="276" w:lineRule="auto"/>
        <w:ind w:firstLine="709"/>
        <w:rPr>
          <w:b/>
          <w:bCs/>
          <w:color w:val="17365D" w:themeColor="text2" w:themeShade="BF"/>
          <w:szCs w:val="24"/>
        </w:rPr>
      </w:pPr>
    </w:p>
    <w:p w14:paraId="774A995E" w14:textId="6CA03D0A" w:rsidR="001F6847" w:rsidRPr="00AE19D6" w:rsidRDefault="00626339" w:rsidP="00AF421D">
      <w:pPr>
        <w:spacing w:after="200" w:line="276" w:lineRule="auto"/>
        <w:jc w:val="center"/>
        <w:rPr>
          <w:rFonts w:eastAsia="Calibri"/>
          <w:b/>
          <w:szCs w:val="24"/>
          <w:lang w:eastAsia="en-US"/>
        </w:rPr>
      </w:pPr>
      <w:bookmarkStart w:id="11" w:name="_Hlk67003731"/>
      <w:r>
        <w:rPr>
          <w:rFonts w:eastAsia="Calibri"/>
          <w:b/>
          <w:szCs w:val="24"/>
          <w:lang w:eastAsia="en-US"/>
        </w:rPr>
        <w:t>5</w:t>
      </w:r>
      <w:r w:rsidR="003A2A71" w:rsidRPr="00F07E08">
        <w:rPr>
          <w:rFonts w:eastAsia="Calibri"/>
          <w:b/>
          <w:szCs w:val="24"/>
          <w:lang w:eastAsia="en-US"/>
        </w:rPr>
        <w:t xml:space="preserve"> lentelė. </w:t>
      </w:r>
      <w:r w:rsidR="001F6847" w:rsidRPr="00F07E08">
        <w:rPr>
          <w:rFonts w:eastAsia="Calibri"/>
          <w:b/>
          <w:szCs w:val="24"/>
          <w:lang w:eastAsia="en-US"/>
        </w:rPr>
        <w:t>2021 metų valstybės biudžeto asignavimai CO</w:t>
      </w:r>
      <w:r w:rsidR="001F6847" w:rsidRPr="00AE19D6">
        <w:rPr>
          <w:rFonts w:eastAsia="Calibri"/>
          <w:b/>
          <w:szCs w:val="24"/>
          <w:lang w:eastAsia="en-US"/>
        </w:rPr>
        <w:t>VID-19 pandemijos padariniams šalinti (priemonėms vykdyti)</w:t>
      </w:r>
    </w:p>
    <w:tbl>
      <w:tblPr>
        <w:tblW w:w="9217" w:type="dxa"/>
        <w:tblInd w:w="562" w:type="dxa"/>
        <w:tblLook w:val="04A0" w:firstRow="1" w:lastRow="0" w:firstColumn="1" w:lastColumn="0" w:noHBand="0" w:noVBand="1"/>
      </w:tblPr>
      <w:tblGrid>
        <w:gridCol w:w="570"/>
        <w:gridCol w:w="7513"/>
        <w:gridCol w:w="1134"/>
      </w:tblGrid>
      <w:tr w:rsidR="001F6847" w:rsidRPr="00AE19D6" w14:paraId="092F418B" w14:textId="77777777" w:rsidTr="008603B9">
        <w:trPr>
          <w:trHeight w:val="909"/>
        </w:trPr>
        <w:tc>
          <w:tcPr>
            <w:tcW w:w="57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3EAB03A" w14:textId="77777777" w:rsidR="001F6847" w:rsidRPr="00AE19D6" w:rsidRDefault="001F6847" w:rsidP="00AF421D">
            <w:pPr>
              <w:spacing w:line="276" w:lineRule="auto"/>
              <w:jc w:val="center"/>
              <w:rPr>
                <w:b/>
                <w:color w:val="000000"/>
                <w:szCs w:val="24"/>
              </w:rPr>
            </w:pPr>
            <w:r w:rsidRPr="00AE19D6">
              <w:rPr>
                <w:b/>
                <w:color w:val="000000"/>
                <w:szCs w:val="24"/>
              </w:rPr>
              <w:t>Eil. Nr.</w:t>
            </w:r>
          </w:p>
        </w:tc>
        <w:tc>
          <w:tcPr>
            <w:tcW w:w="75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7744F6" w14:textId="77777777" w:rsidR="001F6847" w:rsidRPr="00AE19D6" w:rsidRDefault="001F6847" w:rsidP="00AF421D">
            <w:pPr>
              <w:spacing w:line="276" w:lineRule="auto"/>
              <w:jc w:val="center"/>
              <w:rPr>
                <w:b/>
                <w:color w:val="000000"/>
                <w:szCs w:val="24"/>
              </w:rPr>
            </w:pPr>
            <w:r w:rsidRPr="00AE19D6">
              <w:rPr>
                <w:b/>
                <w:color w:val="000000"/>
                <w:szCs w:val="24"/>
              </w:rPr>
              <w:t>Asignavimai pagal sritis</w:t>
            </w:r>
          </w:p>
        </w:tc>
        <w:tc>
          <w:tcPr>
            <w:tcW w:w="1134"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39D6B6E" w14:textId="77777777" w:rsidR="001F6847" w:rsidRPr="00AE19D6" w:rsidRDefault="001F6847" w:rsidP="00AF421D">
            <w:pPr>
              <w:spacing w:line="276" w:lineRule="auto"/>
              <w:jc w:val="center"/>
              <w:rPr>
                <w:b/>
                <w:color w:val="000000"/>
                <w:szCs w:val="24"/>
              </w:rPr>
            </w:pPr>
            <w:r w:rsidRPr="00AE19D6">
              <w:rPr>
                <w:b/>
                <w:color w:val="000000"/>
                <w:szCs w:val="24"/>
              </w:rPr>
              <w:t>Suma</w:t>
            </w:r>
            <w:r w:rsidRPr="00AE19D6">
              <w:rPr>
                <w:b/>
                <w:color w:val="000000"/>
                <w:szCs w:val="24"/>
              </w:rPr>
              <w:br/>
              <w:t>mln. eurų</w:t>
            </w:r>
          </w:p>
        </w:tc>
      </w:tr>
      <w:tr w:rsidR="001F6847" w:rsidRPr="00AE19D6" w14:paraId="3D0EC9A9" w14:textId="77777777" w:rsidTr="008603B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4F21828" w14:textId="77777777" w:rsidR="001F6847" w:rsidRPr="00AE19D6" w:rsidRDefault="001F6847" w:rsidP="00AF421D">
            <w:pPr>
              <w:spacing w:line="276" w:lineRule="auto"/>
              <w:rPr>
                <w:b/>
                <w:bCs/>
                <w:color w:val="000000"/>
                <w:szCs w:val="24"/>
              </w:rPr>
            </w:pPr>
            <w:r w:rsidRPr="00AE19D6">
              <w:rPr>
                <w:b/>
                <w:bCs/>
                <w:color w:val="000000"/>
                <w:szCs w:val="24"/>
              </w:rPr>
              <w:t>1</w:t>
            </w:r>
          </w:p>
        </w:tc>
        <w:tc>
          <w:tcPr>
            <w:tcW w:w="7513" w:type="dxa"/>
            <w:tcBorders>
              <w:top w:val="nil"/>
              <w:left w:val="nil"/>
              <w:bottom w:val="single" w:sz="4" w:space="0" w:color="auto"/>
              <w:right w:val="single" w:sz="4" w:space="0" w:color="auto"/>
            </w:tcBorders>
            <w:shd w:val="clear" w:color="auto" w:fill="FDE9D9" w:themeFill="accent6" w:themeFillTint="33"/>
            <w:vAlign w:val="center"/>
            <w:hideMark/>
          </w:tcPr>
          <w:p w14:paraId="0695AC3F" w14:textId="77777777" w:rsidR="001F6847" w:rsidRPr="00AE19D6" w:rsidRDefault="001F6847" w:rsidP="00AF421D">
            <w:pPr>
              <w:spacing w:line="276" w:lineRule="auto"/>
              <w:rPr>
                <w:b/>
                <w:bCs/>
                <w:color w:val="000000"/>
                <w:szCs w:val="24"/>
              </w:rPr>
            </w:pPr>
            <w:r w:rsidRPr="00AE19D6">
              <w:rPr>
                <w:b/>
                <w:bCs/>
                <w:color w:val="000000"/>
                <w:szCs w:val="24"/>
              </w:rPr>
              <w:t xml:space="preserve">Socialinei apsaugai </w:t>
            </w:r>
          </w:p>
        </w:tc>
        <w:tc>
          <w:tcPr>
            <w:tcW w:w="1134" w:type="dxa"/>
            <w:tcBorders>
              <w:top w:val="nil"/>
              <w:left w:val="nil"/>
              <w:bottom w:val="nil"/>
              <w:right w:val="single" w:sz="4" w:space="0" w:color="auto"/>
            </w:tcBorders>
            <w:shd w:val="clear" w:color="auto" w:fill="FDE9D9" w:themeFill="accent6" w:themeFillTint="33"/>
            <w:vAlign w:val="center"/>
            <w:hideMark/>
          </w:tcPr>
          <w:p w14:paraId="36FDAE26" w14:textId="77777777" w:rsidR="001F6847" w:rsidRPr="00AE19D6" w:rsidRDefault="001F6847" w:rsidP="00AF421D">
            <w:pPr>
              <w:spacing w:line="276" w:lineRule="auto"/>
              <w:jc w:val="right"/>
              <w:rPr>
                <w:b/>
                <w:bCs/>
                <w:color w:val="000000"/>
                <w:szCs w:val="24"/>
              </w:rPr>
            </w:pPr>
            <w:r w:rsidRPr="00AE19D6">
              <w:rPr>
                <w:b/>
                <w:bCs/>
                <w:color w:val="000000"/>
                <w:szCs w:val="24"/>
              </w:rPr>
              <w:t xml:space="preserve">572,5 </w:t>
            </w:r>
          </w:p>
        </w:tc>
      </w:tr>
      <w:tr w:rsidR="001F6847" w:rsidRPr="00AE19D6" w14:paraId="2DA3CDF7" w14:textId="77777777" w:rsidTr="008603B9">
        <w:trPr>
          <w:trHeight w:val="342"/>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B5B3AC6"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noWrap/>
            <w:vAlign w:val="center"/>
            <w:hideMark/>
          </w:tcPr>
          <w:p w14:paraId="75EAAAB9" w14:textId="77777777" w:rsidR="001F6847" w:rsidRPr="00AE19D6" w:rsidRDefault="001F6847" w:rsidP="00AF421D">
            <w:pPr>
              <w:spacing w:line="276" w:lineRule="auto"/>
              <w:jc w:val="both"/>
              <w:rPr>
                <w:color w:val="000000"/>
                <w:szCs w:val="24"/>
              </w:rPr>
            </w:pPr>
            <w:r w:rsidRPr="00AE19D6">
              <w:rPr>
                <w:color w:val="000000"/>
                <w:szCs w:val="24"/>
              </w:rPr>
              <w:t>Ligos (nedarbingumo) išmokos</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6A47185" w14:textId="77777777" w:rsidR="001F6847" w:rsidRPr="00AE19D6" w:rsidRDefault="001F6847" w:rsidP="00AF421D">
            <w:pPr>
              <w:spacing w:line="276" w:lineRule="auto"/>
              <w:jc w:val="right"/>
              <w:rPr>
                <w:szCs w:val="24"/>
              </w:rPr>
            </w:pPr>
            <w:r w:rsidRPr="00AE19D6">
              <w:rPr>
                <w:szCs w:val="24"/>
              </w:rPr>
              <w:t>120</w:t>
            </w:r>
          </w:p>
        </w:tc>
      </w:tr>
      <w:tr w:rsidR="001F6847" w:rsidRPr="00AE19D6" w14:paraId="4A87B74C" w14:textId="77777777" w:rsidTr="008603B9">
        <w:trPr>
          <w:trHeight w:val="262"/>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213D9F"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noWrap/>
            <w:vAlign w:val="center"/>
            <w:hideMark/>
          </w:tcPr>
          <w:p w14:paraId="1645BBC7" w14:textId="77777777" w:rsidR="001F6847" w:rsidRPr="00AE19D6" w:rsidRDefault="001F6847" w:rsidP="00AF421D">
            <w:pPr>
              <w:spacing w:line="276" w:lineRule="auto"/>
              <w:jc w:val="both"/>
              <w:rPr>
                <w:color w:val="000000"/>
                <w:szCs w:val="24"/>
              </w:rPr>
            </w:pPr>
            <w:r w:rsidRPr="00AE19D6">
              <w:rPr>
                <w:color w:val="000000"/>
                <w:szCs w:val="24"/>
              </w:rPr>
              <w:t>DU subsidija prastovų metu</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C4191EC" w14:textId="77777777" w:rsidR="001F6847" w:rsidRPr="00AE19D6" w:rsidRDefault="001F6847" w:rsidP="00AF421D">
            <w:pPr>
              <w:spacing w:line="276" w:lineRule="auto"/>
              <w:jc w:val="right"/>
              <w:rPr>
                <w:szCs w:val="24"/>
              </w:rPr>
            </w:pPr>
            <w:r w:rsidRPr="00AE19D6">
              <w:rPr>
                <w:szCs w:val="24"/>
              </w:rPr>
              <w:t>180</w:t>
            </w:r>
          </w:p>
        </w:tc>
      </w:tr>
      <w:tr w:rsidR="001F6847" w:rsidRPr="00AE19D6" w14:paraId="008A5179" w14:textId="77777777" w:rsidTr="008603B9">
        <w:trPr>
          <w:trHeight w:val="58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538FC338"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hideMark/>
          </w:tcPr>
          <w:p w14:paraId="4D411AE0" w14:textId="77777777" w:rsidR="001F6847" w:rsidRPr="00AE19D6" w:rsidRDefault="001F6847" w:rsidP="00AF421D">
            <w:pPr>
              <w:spacing w:line="276" w:lineRule="auto"/>
              <w:rPr>
                <w:color w:val="000000"/>
                <w:szCs w:val="24"/>
              </w:rPr>
            </w:pPr>
            <w:r w:rsidRPr="00AE19D6">
              <w:rPr>
                <w:color w:val="000000"/>
                <w:szCs w:val="24"/>
              </w:rPr>
              <w:t>Subsidijoms prastovų metu, po prastovų ir darbo paieškos išmokai už 2020 m. gruodžio mėn. išmokėti</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5B0F3EB" w14:textId="77777777" w:rsidR="001F6847" w:rsidRPr="00AE19D6" w:rsidRDefault="001F6847" w:rsidP="00AF421D">
            <w:pPr>
              <w:spacing w:line="276" w:lineRule="auto"/>
              <w:jc w:val="right"/>
              <w:rPr>
                <w:szCs w:val="24"/>
              </w:rPr>
            </w:pPr>
            <w:r w:rsidRPr="00AE19D6">
              <w:rPr>
                <w:color w:val="000000"/>
                <w:szCs w:val="24"/>
              </w:rPr>
              <w:t>172,5</w:t>
            </w:r>
          </w:p>
        </w:tc>
      </w:tr>
      <w:tr w:rsidR="001F6847" w:rsidRPr="00AE19D6" w14:paraId="19B021DD" w14:textId="77777777" w:rsidTr="008603B9">
        <w:trPr>
          <w:trHeight w:val="336"/>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55642CED"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noWrap/>
            <w:vAlign w:val="center"/>
            <w:hideMark/>
          </w:tcPr>
          <w:p w14:paraId="7F1C731C" w14:textId="77777777" w:rsidR="001F6847" w:rsidRPr="00AE19D6" w:rsidRDefault="001F6847" w:rsidP="00AF421D">
            <w:pPr>
              <w:spacing w:line="276" w:lineRule="auto"/>
              <w:jc w:val="both"/>
              <w:rPr>
                <w:color w:val="000000"/>
                <w:szCs w:val="24"/>
              </w:rPr>
            </w:pPr>
            <w:r w:rsidRPr="00AE19D6">
              <w:rPr>
                <w:color w:val="000000"/>
                <w:szCs w:val="24"/>
              </w:rPr>
              <w:t>Išmokos savarankiškai dirbantiems</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178FDE0" w14:textId="77777777" w:rsidR="001F6847" w:rsidRPr="00AE19D6" w:rsidRDefault="001F6847" w:rsidP="00AF421D">
            <w:pPr>
              <w:spacing w:line="276" w:lineRule="auto"/>
              <w:jc w:val="right"/>
              <w:rPr>
                <w:szCs w:val="24"/>
              </w:rPr>
            </w:pPr>
            <w:r w:rsidRPr="00AE19D6">
              <w:rPr>
                <w:szCs w:val="24"/>
              </w:rPr>
              <w:t>72</w:t>
            </w:r>
          </w:p>
        </w:tc>
      </w:tr>
      <w:tr w:rsidR="001F6847" w:rsidRPr="00AE19D6" w14:paraId="0E8E56DB" w14:textId="77777777" w:rsidTr="008603B9">
        <w:trPr>
          <w:trHeight w:val="225"/>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50FEA90"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noWrap/>
            <w:vAlign w:val="center"/>
            <w:hideMark/>
          </w:tcPr>
          <w:p w14:paraId="1EA65C09" w14:textId="77777777" w:rsidR="001F6847" w:rsidRPr="00AE19D6" w:rsidRDefault="001F6847" w:rsidP="00AF421D">
            <w:pPr>
              <w:spacing w:line="276" w:lineRule="auto"/>
              <w:jc w:val="both"/>
              <w:rPr>
                <w:color w:val="000000"/>
                <w:szCs w:val="24"/>
              </w:rPr>
            </w:pPr>
            <w:r w:rsidRPr="00AE19D6">
              <w:rPr>
                <w:color w:val="000000"/>
                <w:szCs w:val="24"/>
              </w:rPr>
              <w:t>Darbo paieškos išmoka</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6F258C90" w14:textId="77777777" w:rsidR="001F6847" w:rsidRPr="00AE19D6" w:rsidRDefault="001F6847" w:rsidP="00AF421D">
            <w:pPr>
              <w:spacing w:line="276" w:lineRule="auto"/>
              <w:jc w:val="right"/>
              <w:rPr>
                <w:szCs w:val="24"/>
              </w:rPr>
            </w:pPr>
            <w:r w:rsidRPr="00AE19D6">
              <w:rPr>
                <w:szCs w:val="24"/>
              </w:rPr>
              <w:t>28</w:t>
            </w:r>
          </w:p>
        </w:tc>
      </w:tr>
      <w:tr w:rsidR="001F6847" w:rsidRPr="00AE19D6" w14:paraId="6B259AE2" w14:textId="77777777" w:rsidTr="008603B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A6C609" w14:textId="77777777" w:rsidR="001F6847" w:rsidRPr="00AE19D6" w:rsidRDefault="001F6847" w:rsidP="00AF421D">
            <w:pPr>
              <w:spacing w:line="276" w:lineRule="auto"/>
              <w:rPr>
                <w:b/>
                <w:bCs/>
                <w:color w:val="000000"/>
                <w:szCs w:val="24"/>
              </w:rPr>
            </w:pPr>
            <w:r w:rsidRPr="00AE19D6">
              <w:rPr>
                <w:b/>
                <w:bCs/>
                <w:color w:val="000000"/>
                <w:szCs w:val="24"/>
              </w:rPr>
              <w:t>2</w:t>
            </w:r>
          </w:p>
        </w:tc>
        <w:tc>
          <w:tcPr>
            <w:tcW w:w="7513" w:type="dxa"/>
            <w:tcBorders>
              <w:top w:val="nil"/>
              <w:left w:val="nil"/>
              <w:bottom w:val="single" w:sz="4" w:space="0" w:color="auto"/>
              <w:right w:val="single" w:sz="4" w:space="0" w:color="auto"/>
            </w:tcBorders>
            <w:shd w:val="clear" w:color="auto" w:fill="FDE9D9" w:themeFill="accent6" w:themeFillTint="33"/>
            <w:vAlign w:val="center"/>
            <w:hideMark/>
          </w:tcPr>
          <w:p w14:paraId="6A07FCC4" w14:textId="77777777" w:rsidR="001F6847" w:rsidRPr="00AE19D6" w:rsidRDefault="001F6847" w:rsidP="00AF421D">
            <w:pPr>
              <w:spacing w:line="276" w:lineRule="auto"/>
              <w:rPr>
                <w:b/>
                <w:bCs/>
                <w:color w:val="000000"/>
                <w:szCs w:val="24"/>
              </w:rPr>
            </w:pPr>
            <w:r w:rsidRPr="00AE19D6">
              <w:rPr>
                <w:b/>
                <w:bCs/>
                <w:color w:val="000000"/>
                <w:szCs w:val="24"/>
              </w:rPr>
              <w:t xml:space="preserve">Ekonomikai </w:t>
            </w:r>
          </w:p>
        </w:tc>
        <w:tc>
          <w:tcPr>
            <w:tcW w:w="1134" w:type="dxa"/>
            <w:tcBorders>
              <w:top w:val="nil"/>
              <w:left w:val="nil"/>
              <w:bottom w:val="nil"/>
              <w:right w:val="single" w:sz="4" w:space="0" w:color="auto"/>
            </w:tcBorders>
            <w:shd w:val="clear" w:color="auto" w:fill="FDE9D9" w:themeFill="accent6" w:themeFillTint="33"/>
            <w:vAlign w:val="center"/>
            <w:hideMark/>
          </w:tcPr>
          <w:p w14:paraId="4F78DF91" w14:textId="77777777" w:rsidR="001F6847" w:rsidRPr="00AE19D6" w:rsidRDefault="001F6847" w:rsidP="00AF421D">
            <w:pPr>
              <w:spacing w:line="276" w:lineRule="auto"/>
              <w:jc w:val="right"/>
              <w:rPr>
                <w:b/>
                <w:bCs/>
                <w:color w:val="000000"/>
                <w:szCs w:val="24"/>
              </w:rPr>
            </w:pPr>
            <w:r w:rsidRPr="00AE19D6">
              <w:rPr>
                <w:b/>
                <w:bCs/>
                <w:color w:val="000000"/>
                <w:szCs w:val="24"/>
              </w:rPr>
              <w:t>230</w:t>
            </w:r>
          </w:p>
        </w:tc>
      </w:tr>
      <w:tr w:rsidR="001F6847" w:rsidRPr="00AE19D6" w14:paraId="650762F5" w14:textId="77777777" w:rsidTr="008603B9">
        <w:trPr>
          <w:trHeight w:val="547"/>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3CECF"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hideMark/>
          </w:tcPr>
          <w:p w14:paraId="391194AC" w14:textId="1A655F79" w:rsidR="001F6847" w:rsidRPr="00AE19D6" w:rsidRDefault="00F62423" w:rsidP="00AF421D">
            <w:pPr>
              <w:spacing w:line="276" w:lineRule="auto"/>
              <w:jc w:val="both"/>
              <w:rPr>
                <w:color w:val="000000"/>
                <w:szCs w:val="24"/>
              </w:rPr>
            </w:pPr>
            <w:r>
              <w:rPr>
                <w:color w:val="000000"/>
                <w:szCs w:val="24"/>
              </w:rPr>
              <w:t>Subsidijoms nuo COVID</w:t>
            </w:r>
            <w:r w:rsidR="001F6847" w:rsidRPr="00AE19D6">
              <w:rPr>
                <w:color w:val="000000"/>
                <w:szCs w:val="24"/>
              </w:rPr>
              <w:t xml:space="preserve">-19 nukentėjusioms mažoms vidutinėms įmonėms teikiamą pagal valstybės pagalbos schemą suderintą su </w:t>
            </w:r>
            <w:r w:rsidR="0002580A">
              <w:rPr>
                <w:color w:val="000000"/>
                <w:szCs w:val="24"/>
              </w:rPr>
              <w:t>EK</w:t>
            </w:r>
            <w:r w:rsidR="001F6847" w:rsidRPr="00AE19D6">
              <w:rPr>
                <w:color w:val="000000"/>
                <w:szCs w:val="24"/>
              </w:rPr>
              <w:t xml:space="preserve"> </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2814A2C" w14:textId="77777777" w:rsidR="001F6847" w:rsidRPr="00AE19D6" w:rsidRDefault="001F6847" w:rsidP="00AF421D">
            <w:pPr>
              <w:spacing w:line="276" w:lineRule="auto"/>
              <w:jc w:val="right"/>
              <w:rPr>
                <w:color w:val="000000"/>
                <w:szCs w:val="24"/>
              </w:rPr>
            </w:pPr>
            <w:r w:rsidRPr="00AE19D6">
              <w:rPr>
                <w:color w:val="000000"/>
                <w:szCs w:val="24"/>
              </w:rPr>
              <w:t>150</w:t>
            </w:r>
          </w:p>
        </w:tc>
      </w:tr>
      <w:tr w:rsidR="001F6847" w:rsidRPr="00AE19D6" w14:paraId="781FE3B2" w14:textId="77777777" w:rsidTr="008603B9">
        <w:trPr>
          <w:trHeight w:val="285"/>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76C3D46"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hideMark/>
          </w:tcPr>
          <w:p w14:paraId="3E779254" w14:textId="77777777" w:rsidR="001F6847" w:rsidRPr="00AE19D6" w:rsidRDefault="001F6847" w:rsidP="00AF421D">
            <w:pPr>
              <w:spacing w:line="276" w:lineRule="auto"/>
              <w:rPr>
                <w:color w:val="000000"/>
                <w:szCs w:val="24"/>
              </w:rPr>
            </w:pPr>
            <w:r w:rsidRPr="00AE19D6">
              <w:rPr>
                <w:color w:val="000000"/>
                <w:szCs w:val="24"/>
              </w:rPr>
              <w:t xml:space="preserve">Lengvatinėms paskoloms nuo COVID-19 nukentėjusiems verslams </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0C356993" w14:textId="77777777" w:rsidR="001F6847" w:rsidRPr="00AE19D6" w:rsidRDefault="001F6847" w:rsidP="00AF421D">
            <w:pPr>
              <w:spacing w:line="276" w:lineRule="auto"/>
              <w:jc w:val="right"/>
              <w:rPr>
                <w:color w:val="000000"/>
                <w:szCs w:val="24"/>
              </w:rPr>
            </w:pPr>
            <w:r w:rsidRPr="00AE19D6">
              <w:rPr>
                <w:color w:val="000000"/>
                <w:szCs w:val="24"/>
              </w:rPr>
              <w:t>30</w:t>
            </w:r>
          </w:p>
        </w:tc>
      </w:tr>
      <w:tr w:rsidR="001F6847" w:rsidRPr="00AE19D6" w14:paraId="4A61CDF8" w14:textId="77777777" w:rsidTr="008603B9">
        <w:trPr>
          <w:trHeight w:val="558"/>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F25D0"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vAlign w:val="center"/>
            <w:hideMark/>
          </w:tcPr>
          <w:p w14:paraId="150A8A09" w14:textId="77777777" w:rsidR="001F6847" w:rsidRPr="00AE19D6" w:rsidRDefault="001F6847" w:rsidP="00AF421D">
            <w:pPr>
              <w:spacing w:line="276" w:lineRule="auto"/>
              <w:jc w:val="both"/>
              <w:rPr>
                <w:color w:val="000000"/>
                <w:szCs w:val="24"/>
              </w:rPr>
            </w:pPr>
            <w:r w:rsidRPr="00AE19D6">
              <w:rPr>
                <w:color w:val="000000"/>
                <w:szCs w:val="24"/>
              </w:rPr>
              <w:t>COVID plano dalinio palūkanų kompensavimo priemonei „Palūkanų kompensavimas smulkiojo ir vidutinio verslo subjektams“ vykdyti ir administruoti</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505E3D48" w14:textId="77777777" w:rsidR="001F6847" w:rsidRPr="00AE19D6" w:rsidRDefault="001F6847" w:rsidP="00AF421D">
            <w:pPr>
              <w:spacing w:line="276" w:lineRule="auto"/>
              <w:jc w:val="right"/>
              <w:rPr>
                <w:color w:val="000000"/>
                <w:szCs w:val="24"/>
              </w:rPr>
            </w:pPr>
            <w:r w:rsidRPr="00AE19D6">
              <w:rPr>
                <w:color w:val="000000"/>
                <w:szCs w:val="24"/>
              </w:rPr>
              <w:t>16,9</w:t>
            </w:r>
          </w:p>
        </w:tc>
      </w:tr>
      <w:tr w:rsidR="001F6847" w:rsidRPr="00AE19D6" w14:paraId="113233C2" w14:textId="77777777" w:rsidTr="008603B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252782A1"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hideMark/>
          </w:tcPr>
          <w:p w14:paraId="77CB24AA" w14:textId="77777777" w:rsidR="001F6847" w:rsidRPr="00AE19D6" w:rsidRDefault="001F6847" w:rsidP="00AF421D">
            <w:pPr>
              <w:spacing w:line="276" w:lineRule="auto"/>
              <w:jc w:val="both"/>
              <w:rPr>
                <w:color w:val="000000"/>
                <w:szCs w:val="24"/>
              </w:rPr>
            </w:pPr>
            <w:r w:rsidRPr="00AE19D6">
              <w:rPr>
                <w:color w:val="000000"/>
                <w:szCs w:val="24"/>
              </w:rPr>
              <w:t>Paramai verslui</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74A8737" w14:textId="77777777" w:rsidR="001F6847" w:rsidRPr="00AE19D6" w:rsidRDefault="001F6847" w:rsidP="00AF421D">
            <w:pPr>
              <w:spacing w:line="276" w:lineRule="auto"/>
              <w:jc w:val="right"/>
              <w:rPr>
                <w:color w:val="000000"/>
                <w:szCs w:val="24"/>
              </w:rPr>
            </w:pPr>
            <w:r w:rsidRPr="00AE19D6">
              <w:rPr>
                <w:color w:val="000000"/>
                <w:szCs w:val="24"/>
              </w:rPr>
              <w:t>33,1</w:t>
            </w:r>
          </w:p>
        </w:tc>
      </w:tr>
      <w:tr w:rsidR="001F6847" w:rsidRPr="00AE19D6" w14:paraId="23835B8A" w14:textId="77777777" w:rsidTr="008603B9">
        <w:trPr>
          <w:trHeight w:val="333"/>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F846BC"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vAlign w:val="center"/>
            <w:hideMark/>
          </w:tcPr>
          <w:p w14:paraId="48BE690C" w14:textId="77777777" w:rsidR="001F6847" w:rsidRPr="00AE19D6" w:rsidRDefault="001F6847" w:rsidP="00AF421D">
            <w:pPr>
              <w:spacing w:line="276" w:lineRule="auto"/>
              <w:jc w:val="both"/>
              <w:rPr>
                <w:color w:val="000000"/>
                <w:szCs w:val="24"/>
              </w:rPr>
            </w:pPr>
            <w:r w:rsidRPr="00AE19D6">
              <w:rPr>
                <w:color w:val="000000"/>
                <w:szCs w:val="24"/>
              </w:rPr>
              <w:t>Prekinis kreditas (įtraukta į garantijų limitą)</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4BD0C787" w14:textId="77777777" w:rsidR="001F6847" w:rsidRPr="00AE19D6" w:rsidRDefault="001F6847" w:rsidP="00AF421D">
            <w:pPr>
              <w:spacing w:line="276" w:lineRule="auto"/>
              <w:jc w:val="right"/>
              <w:rPr>
                <w:color w:val="000000"/>
                <w:szCs w:val="24"/>
              </w:rPr>
            </w:pPr>
            <w:r w:rsidRPr="00AE19D6">
              <w:rPr>
                <w:color w:val="000000"/>
                <w:szCs w:val="24"/>
              </w:rPr>
              <w:t> </w:t>
            </w:r>
          </w:p>
        </w:tc>
      </w:tr>
      <w:tr w:rsidR="001F6847" w:rsidRPr="00AE19D6" w14:paraId="16F8C44F" w14:textId="77777777" w:rsidTr="008603B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5B7A47" w14:textId="77777777" w:rsidR="001F6847" w:rsidRPr="00AE19D6" w:rsidRDefault="001F6847" w:rsidP="00AF421D">
            <w:pPr>
              <w:spacing w:line="276" w:lineRule="auto"/>
              <w:rPr>
                <w:b/>
                <w:bCs/>
                <w:color w:val="000000"/>
                <w:szCs w:val="24"/>
              </w:rPr>
            </w:pPr>
            <w:r w:rsidRPr="00AE19D6">
              <w:rPr>
                <w:b/>
                <w:bCs/>
                <w:color w:val="000000"/>
                <w:szCs w:val="24"/>
              </w:rPr>
              <w:t>3</w:t>
            </w:r>
          </w:p>
        </w:tc>
        <w:tc>
          <w:tcPr>
            <w:tcW w:w="7513" w:type="dxa"/>
            <w:tcBorders>
              <w:top w:val="nil"/>
              <w:left w:val="nil"/>
              <w:bottom w:val="single" w:sz="4" w:space="0" w:color="auto"/>
              <w:right w:val="single" w:sz="4" w:space="0" w:color="auto"/>
            </w:tcBorders>
            <w:shd w:val="clear" w:color="auto" w:fill="FDE9D9" w:themeFill="accent6" w:themeFillTint="33"/>
            <w:vAlign w:val="center"/>
            <w:hideMark/>
          </w:tcPr>
          <w:p w14:paraId="2D6EB1AA" w14:textId="77777777" w:rsidR="001F6847" w:rsidRPr="00AE19D6" w:rsidRDefault="001F6847" w:rsidP="00AF421D">
            <w:pPr>
              <w:spacing w:line="276" w:lineRule="auto"/>
              <w:rPr>
                <w:b/>
                <w:bCs/>
                <w:color w:val="000000"/>
                <w:szCs w:val="24"/>
              </w:rPr>
            </w:pPr>
            <w:r w:rsidRPr="00AE19D6">
              <w:rPr>
                <w:b/>
                <w:bCs/>
                <w:color w:val="000000"/>
                <w:szCs w:val="24"/>
              </w:rPr>
              <w:t xml:space="preserve">Sveikatai </w:t>
            </w:r>
          </w:p>
        </w:tc>
        <w:tc>
          <w:tcPr>
            <w:tcW w:w="1134" w:type="dxa"/>
            <w:tcBorders>
              <w:top w:val="nil"/>
              <w:left w:val="nil"/>
              <w:bottom w:val="nil"/>
              <w:right w:val="single" w:sz="4" w:space="0" w:color="auto"/>
            </w:tcBorders>
            <w:shd w:val="clear" w:color="auto" w:fill="FDE9D9" w:themeFill="accent6" w:themeFillTint="33"/>
            <w:vAlign w:val="center"/>
            <w:hideMark/>
          </w:tcPr>
          <w:p w14:paraId="0AA27F42" w14:textId="77777777" w:rsidR="001F6847" w:rsidRPr="00AE19D6" w:rsidRDefault="001F6847" w:rsidP="00AF421D">
            <w:pPr>
              <w:spacing w:line="276" w:lineRule="auto"/>
              <w:jc w:val="right"/>
              <w:rPr>
                <w:b/>
                <w:bCs/>
                <w:color w:val="000000"/>
                <w:szCs w:val="24"/>
              </w:rPr>
            </w:pPr>
            <w:r w:rsidRPr="00AE19D6">
              <w:rPr>
                <w:b/>
                <w:bCs/>
                <w:color w:val="000000"/>
                <w:szCs w:val="24"/>
              </w:rPr>
              <w:t>145</w:t>
            </w:r>
          </w:p>
        </w:tc>
      </w:tr>
      <w:tr w:rsidR="001F6847" w:rsidRPr="00AE19D6" w14:paraId="4489445C" w14:textId="77777777" w:rsidTr="008603B9">
        <w:trPr>
          <w:trHeight w:val="212"/>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08FC4CE"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hideMark/>
          </w:tcPr>
          <w:p w14:paraId="067DFA94" w14:textId="77777777" w:rsidR="001F6847" w:rsidRPr="00AE19D6" w:rsidRDefault="001F6847" w:rsidP="00AF421D">
            <w:pPr>
              <w:spacing w:line="276" w:lineRule="auto"/>
              <w:rPr>
                <w:color w:val="000000"/>
                <w:szCs w:val="24"/>
              </w:rPr>
            </w:pPr>
            <w:r w:rsidRPr="00AE19D6">
              <w:rPr>
                <w:color w:val="000000"/>
                <w:szCs w:val="24"/>
              </w:rPr>
              <w:t>Vakcinai įsigyti</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A02B292" w14:textId="77777777" w:rsidR="001F6847" w:rsidRPr="00AE19D6" w:rsidRDefault="001F6847" w:rsidP="00AF421D">
            <w:pPr>
              <w:spacing w:line="276" w:lineRule="auto"/>
              <w:jc w:val="right"/>
              <w:rPr>
                <w:szCs w:val="24"/>
              </w:rPr>
            </w:pPr>
            <w:r w:rsidRPr="00AE19D6">
              <w:rPr>
                <w:szCs w:val="24"/>
              </w:rPr>
              <w:t>65</w:t>
            </w:r>
          </w:p>
        </w:tc>
      </w:tr>
      <w:tr w:rsidR="001F6847" w:rsidRPr="00AE19D6" w14:paraId="4409133F" w14:textId="77777777" w:rsidTr="008603B9">
        <w:trPr>
          <w:trHeight w:val="270"/>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1105589" w14:textId="77777777" w:rsidR="001F6847" w:rsidRPr="00AE19D6" w:rsidRDefault="001F6847" w:rsidP="00AF421D">
            <w:pPr>
              <w:spacing w:line="276" w:lineRule="auto"/>
              <w:rPr>
                <w:color w:val="000000"/>
                <w:szCs w:val="24"/>
              </w:rPr>
            </w:pPr>
          </w:p>
        </w:tc>
        <w:tc>
          <w:tcPr>
            <w:tcW w:w="7513" w:type="dxa"/>
            <w:tcBorders>
              <w:top w:val="nil"/>
              <w:left w:val="nil"/>
              <w:bottom w:val="single" w:sz="4" w:space="0" w:color="auto"/>
              <w:right w:val="single" w:sz="4" w:space="0" w:color="auto"/>
            </w:tcBorders>
            <w:shd w:val="clear" w:color="auto" w:fill="FFFFFF" w:themeFill="background1"/>
            <w:noWrap/>
            <w:hideMark/>
          </w:tcPr>
          <w:p w14:paraId="4AAE59FC" w14:textId="138FED41" w:rsidR="001F6847" w:rsidRPr="00AE19D6" w:rsidRDefault="001F6847" w:rsidP="00AF421D">
            <w:pPr>
              <w:spacing w:line="276" w:lineRule="auto"/>
              <w:jc w:val="both"/>
              <w:rPr>
                <w:color w:val="000000"/>
                <w:szCs w:val="24"/>
              </w:rPr>
            </w:pPr>
            <w:r w:rsidRPr="00AE19D6">
              <w:rPr>
                <w:color w:val="000000"/>
                <w:szCs w:val="24"/>
              </w:rPr>
              <w:t>Įsipareigojimai tiekėjams ir laboratorijom</w:t>
            </w:r>
            <w:r w:rsidR="00DF7DB6">
              <w:rPr>
                <w:color w:val="000000"/>
                <w:szCs w:val="24"/>
              </w:rPr>
              <w:t>s</w:t>
            </w:r>
            <w:r w:rsidRPr="00AE19D6">
              <w:rPr>
                <w:color w:val="000000"/>
                <w:szCs w:val="24"/>
              </w:rPr>
              <w:t xml:space="preserve"> už tyrimus</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14:paraId="1DBF03FF" w14:textId="77777777" w:rsidR="001F6847" w:rsidRPr="00AE19D6" w:rsidRDefault="001F6847" w:rsidP="00AF421D">
            <w:pPr>
              <w:spacing w:line="276" w:lineRule="auto"/>
              <w:jc w:val="right"/>
              <w:rPr>
                <w:szCs w:val="24"/>
              </w:rPr>
            </w:pPr>
            <w:r w:rsidRPr="00AE19D6">
              <w:rPr>
                <w:szCs w:val="24"/>
              </w:rPr>
              <w:t>80</w:t>
            </w:r>
          </w:p>
        </w:tc>
      </w:tr>
      <w:tr w:rsidR="001F6847" w:rsidRPr="00AE19D6" w14:paraId="794C79AB" w14:textId="77777777" w:rsidTr="008603B9">
        <w:trPr>
          <w:trHeight w:val="315"/>
        </w:trPr>
        <w:tc>
          <w:tcPr>
            <w:tcW w:w="5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3427E9" w14:textId="77777777" w:rsidR="001F6847" w:rsidRPr="00AE19D6" w:rsidRDefault="001F6847" w:rsidP="00AF421D">
            <w:pPr>
              <w:spacing w:line="276" w:lineRule="auto"/>
              <w:rPr>
                <w:b/>
                <w:color w:val="000000"/>
                <w:szCs w:val="24"/>
              </w:rPr>
            </w:pPr>
            <w:r w:rsidRPr="00AE19D6">
              <w:rPr>
                <w:b/>
                <w:color w:val="000000"/>
                <w:szCs w:val="24"/>
              </w:rPr>
              <w:t>4</w:t>
            </w:r>
          </w:p>
        </w:tc>
        <w:tc>
          <w:tcPr>
            <w:tcW w:w="7513" w:type="dxa"/>
            <w:tcBorders>
              <w:top w:val="nil"/>
              <w:left w:val="nil"/>
              <w:bottom w:val="single" w:sz="4" w:space="0" w:color="auto"/>
              <w:right w:val="single" w:sz="4" w:space="0" w:color="auto"/>
            </w:tcBorders>
            <w:shd w:val="clear" w:color="auto" w:fill="FDE9D9" w:themeFill="accent6" w:themeFillTint="33"/>
            <w:vAlign w:val="bottom"/>
            <w:hideMark/>
          </w:tcPr>
          <w:p w14:paraId="0AEBEF30" w14:textId="77777777" w:rsidR="001F6847" w:rsidRPr="00AE19D6" w:rsidRDefault="001F6847" w:rsidP="00AF421D">
            <w:pPr>
              <w:spacing w:line="276" w:lineRule="auto"/>
              <w:jc w:val="both"/>
              <w:rPr>
                <w:color w:val="000000"/>
                <w:szCs w:val="24"/>
              </w:rPr>
            </w:pPr>
            <w:r w:rsidRPr="00AE19D6">
              <w:rPr>
                <w:b/>
                <w:bCs/>
                <w:color w:val="000000"/>
                <w:szCs w:val="24"/>
              </w:rPr>
              <w:t xml:space="preserve">Švietimui </w:t>
            </w:r>
          </w:p>
        </w:tc>
        <w:tc>
          <w:tcPr>
            <w:tcW w:w="1134" w:type="dxa"/>
            <w:tcBorders>
              <w:top w:val="nil"/>
              <w:left w:val="nil"/>
              <w:bottom w:val="single" w:sz="4" w:space="0" w:color="auto"/>
              <w:right w:val="single" w:sz="4" w:space="0" w:color="auto"/>
            </w:tcBorders>
            <w:shd w:val="clear" w:color="auto" w:fill="FDE9D9" w:themeFill="accent6" w:themeFillTint="33"/>
            <w:vAlign w:val="center"/>
            <w:hideMark/>
          </w:tcPr>
          <w:p w14:paraId="1843BA3D" w14:textId="77777777" w:rsidR="001F6847" w:rsidRPr="00AE19D6" w:rsidRDefault="001F6847" w:rsidP="00AF421D">
            <w:pPr>
              <w:spacing w:line="276" w:lineRule="auto"/>
              <w:jc w:val="right"/>
              <w:rPr>
                <w:b/>
                <w:bCs/>
                <w:color w:val="000000"/>
                <w:szCs w:val="24"/>
              </w:rPr>
            </w:pPr>
            <w:r w:rsidRPr="00AE19D6">
              <w:rPr>
                <w:b/>
                <w:bCs/>
                <w:color w:val="000000"/>
                <w:szCs w:val="24"/>
              </w:rPr>
              <w:t>11,7</w:t>
            </w:r>
          </w:p>
        </w:tc>
      </w:tr>
      <w:tr w:rsidR="001F6847" w:rsidRPr="00AE19D6" w14:paraId="3E8B2ABD" w14:textId="77777777" w:rsidTr="008603B9">
        <w:trPr>
          <w:trHeight w:val="51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05E48837" w14:textId="77777777" w:rsidR="001F6847" w:rsidRPr="00AE19D6" w:rsidRDefault="001F6847" w:rsidP="00AF421D">
            <w:pPr>
              <w:spacing w:line="276" w:lineRule="auto"/>
              <w:rPr>
                <w:color w:val="000000"/>
                <w:szCs w:val="24"/>
              </w:rPr>
            </w:pPr>
          </w:p>
        </w:tc>
        <w:tc>
          <w:tcPr>
            <w:tcW w:w="7513" w:type="dxa"/>
            <w:tcBorders>
              <w:top w:val="single" w:sz="4" w:space="0" w:color="auto"/>
              <w:left w:val="nil"/>
              <w:bottom w:val="single" w:sz="4" w:space="0" w:color="auto"/>
              <w:right w:val="single" w:sz="4" w:space="0" w:color="auto"/>
            </w:tcBorders>
            <w:shd w:val="clear" w:color="auto" w:fill="FFFFFF" w:themeFill="background1"/>
            <w:vAlign w:val="bottom"/>
            <w:hideMark/>
          </w:tcPr>
          <w:p w14:paraId="2B4A5975" w14:textId="77777777" w:rsidR="001F6847" w:rsidRPr="00AE19D6" w:rsidRDefault="001F6847" w:rsidP="00AF421D">
            <w:pPr>
              <w:spacing w:line="276" w:lineRule="auto"/>
              <w:rPr>
                <w:color w:val="000000"/>
                <w:szCs w:val="24"/>
              </w:rPr>
            </w:pPr>
            <w:r w:rsidRPr="00AE19D6">
              <w:rPr>
                <w:color w:val="000000"/>
                <w:szCs w:val="24"/>
              </w:rPr>
              <w:t>Skaitmeninio ugdymo plėtrai ir dėl COVID-19 pandemijos patirtiems mokymosi praradimams kompensuoti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56AF2D" w14:textId="77777777" w:rsidR="001F6847" w:rsidRPr="00AE19D6" w:rsidRDefault="001F6847" w:rsidP="00AF421D">
            <w:pPr>
              <w:spacing w:line="276" w:lineRule="auto"/>
              <w:jc w:val="right"/>
              <w:rPr>
                <w:bCs/>
                <w:color w:val="000000"/>
                <w:szCs w:val="24"/>
              </w:rPr>
            </w:pPr>
            <w:r w:rsidRPr="00AE19D6">
              <w:rPr>
                <w:bCs/>
                <w:color w:val="000000"/>
                <w:szCs w:val="24"/>
              </w:rPr>
              <w:t>11,7</w:t>
            </w:r>
          </w:p>
        </w:tc>
      </w:tr>
      <w:tr w:rsidR="001F6847" w:rsidRPr="00AE19D6" w14:paraId="0490B48C" w14:textId="77777777" w:rsidTr="008603B9">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F362E2" w14:textId="77777777" w:rsidR="001F6847" w:rsidRPr="00AE19D6" w:rsidRDefault="001F6847" w:rsidP="00AF421D">
            <w:pPr>
              <w:spacing w:line="276" w:lineRule="auto"/>
              <w:rPr>
                <w:b/>
                <w:bCs/>
                <w:color w:val="000000"/>
                <w:szCs w:val="24"/>
              </w:rPr>
            </w:pPr>
            <w:r w:rsidRPr="00AE19D6">
              <w:rPr>
                <w:b/>
                <w:bCs/>
                <w:color w:val="000000"/>
                <w:szCs w:val="24"/>
              </w:rPr>
              <w:t>5</w:t>
            </w:r>
          </w:p>
        </w:tc>
        <w:tc>
          <w:tcPr>
            <w:tcW w:w="7513"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43256A38" w14:textId="77777777" w:rsidR="001F6847" w:rsidRPr="00AE19D6" w:rsidRDefault="001F6847" w:rsidP="00AF421D">
            <w:pPr>
              <w:spacing w:line="276" w:lineRule="auto"/>
              <w:rPr>
                <w:b/>
                <w:bCs/>
                <w:color w:val="000000"/>
                <w:szCs w:val="24"/>
              </w:rPr>
            </w:pPr>
            <w:r w:rsidRPr="00AE19D6">
              <w:rPr>
                <w:b/>
                <w:bCs/>
                <w:color w:val="000000"/>
                <w:szCs w:val="24"/>
              </w:rPr>
              <w:t xml:space="preserve">Kultūrai </w:t>
            </w:r>
          </w:p>
        </w:tc>
        <w:tc>
          <w:tcPr>
            <w:tcW w:w="1134" w:type="dxa"/>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D68B266" w14:textId="77777777" w:rsidR="001F6847" w:rsidRPr="00AE19D6" w:rsidRDefault="001F6847" w:rsidP="00AF421D">
            <w:pPr>
              <w:spacing w:line="276" w:lineRule="auto"/>
              <w:jc w:val="right"/>
              <w:rPr>
                <w:b/>
                <w:bCs/>
                <w:color w:val="000000"/>
                <w:szCs w:val="24"/>
              </w:rPr>
            </w:pPr>
            <w:r w:rsidRPr="00AE19D6">
              <w:rPr>
                <w:b/>
                <w:bCs/>
                <w:color w:val="000000"/>
                <w:szCs w:val="24"/>
              </w:rPr>
              <w:t>2,5</w:t>
            </w:r>
          </w:p>
        </w:tc>
      </w:tr>
      <w:tr w:rsidR="001F6847" w:rsidRPr="00AE19D6" w14:paraId="39EA4DBB" w14:textId="77777777" w:rsidTr="008603B9">
        <w:trPr>
          <w:trHeight w:val="559"/>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B08E5" w14:textId="77777777" w:rsidR="001F6847" w:rsidRPr="00AE19D6" w:rsidRDefault="001F6847" w:rsidP="00AF421D">
            <w:pPr>
              <w:spacing w:line="276" w:lineRule="auto"/>
              <w:rPr>
                <w:color w:val="000000"/>
                <w:szCs w:val="24"/>
              </w:rPr>
            </w:pPr>
          </w:p>
        </w:tc>
        <w:tc>
          <w:tcPr>
            <w:tcW w:w="7513" w:type="dxa"/>
            <w:tcBorders>
              <w:top w:val="single" w:sz="4" w:space="0" w:color="auto"/>
              <w:left w:val="nil"/>
              <w:bottom w:val="single" w:sz="4" w:space="0" w:color="auto"/>
              <w:right w:val="single" w:sz="4" w:space="0" w:color="auto"/>
            </w:tcBorders>
            <w:shd w:val="clear" w:color="auto" w:fill="FFFFFF" w:themeFill="background1"/>
            <w:hideMark/>
          </w:tcPr>
          <w:p w14:paraId="2B410F36" w14:textId="77777777" w:rsidR="001F6847" w:rsidRPr="00AE19D6" w:rsidRDefault="001F6847" w:rsidP="00AF421D">
            <w:pPr>
              <w:spacing w:line="276" w:lineRule="auto"/>
              <w:jc w:val="both"/>
              <w:rPr>
                <w:color w:val="000000"/>
                <w:szCs w:val="24"/>
              </w:rPr>
            </w:pPr>
            <w:r w:rsidRPr="00AE19D6">
              <w:rPr>
                <w:color w:val="000000"/>
                <w:szCs w:val="24"/>
              </w:rPr>
              <w:t>Kultūros rėmimo fondo 2020 m. nepanaudotos lėšos, susijusios su perkeltais renginiais</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9F1522C" w14:textId="77777777" w:rsidR="001F6847" w:rsidRPr="00AE19D6" w:rsidRDefault="001F6847" w:rsidP="00AF421D">
            <w:pPr>
              <w:spacing w:line="276" w:lineRule="auto"/>
              <w:jc w:val="right"/>
              <w:rPr>
                <w:color w:val="000000"/>
                <w:szCs w:val="24"/>
              </w:rPr>
            </w:pPr>
            <w:r w:rsidRPr="00AE19D6">
              <w:rPr>
                <w:color w:val="000000"/>
                <w:szCs w:val="24"/>
              </w:rPr>
              <w:t>2,5</w:t>
            </w:r>
          </w:p>
        </w:tc>
      </w:tr>
      <w:tr w:rsidR="001F6847" w:rsidRPr="00AE19D6" w14:paraId="09487C60" w14:textId="77777777" w:rsidTr="008603B9">
        <w:trPr>
          <w:trHeight w:val="262"/>
        </w:trPr>
        <w:tc>
          <w:tcPr>
            <w:tcW w:w="57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B4E090" w14:textId="77777777" w:rsidR="001F6847" w:rsidRPr="00AE19D6" w:rsidRDefault="001F6847" w:rsidP="00AF421D">
            <w:pPr>
              <w:spacing w:line="276" w:lineRule="auto"/>
              <w:rPr>
                <w:b/>
                <w:color w:val="000000"/>
                <w:szCs w:val="24"/>
              </w:rPr>
            </w:pPr>
            <w:r w:rsidRPr="00AE19D6">
              <w:rPr>
                <w:b/>
                <w:color w:val="000000"/>
                <w:szCs w:val="24"/>
              </w:rPr>
              <w:t>5</w:t>
            </w:r>
          </w:p>
        </w:tc>
        <w:tc>
          <w:tcPr>
            <w:tcW w:w="7513" w:type="dxa"/>
            <w:tcBorders>
              <w:top w:val="nil"/>
              <w:left w:val="nil"/>
              <w:bottom w:val="single" w:sz="4" w:space="0" w:color="auto"/>
              <w:right w:val="single" w:sz="4" w:space="0" w:color="auto"/>
            </w:tcBorders>
            <w:shd w:val="clear" w:color="auto" w:fill="FDE9D9" w:themeFill="accent6" w:themeFillTint="33"/>
            <w:vAlign w:val="bottom"/>
            <w:hideMark/>
          </w:tcPr>
          <w:p w14:paraId="7217E826" w14:textId="77777777" w:rsidR="001F6847" w:rsidRPr="00AE19D6" w:rsidRDefault="001F6847" w:rsidP="00AF421D">
            <w:pPr>
              <w:spacing w:line="276" w:lineRule="auto"/>
              <w:jc w:val="both"/>
              <w:rPr>
                <w:b/>
                <w:color w:val="000000"/>
                <w:szCs w:val="24"/>
              </w:rPr>
            </w:pPr>
            <w:r w:rsidRPr="00AE19D6">
              <w:rPr>
                <w:b/>
                <w:color w:val="000000"/>
                <w:szCs w:val="24"/>
              </w:rPr>
              <w:t xml:space="preserve">Kitų institucijų, dalyvaujančių </w:t>
            </w:r>
            <w:proofErr w:type="spellStart"/>
            <w:r w:rsidRPr="00AE19D6">
              <w:rPr>
                <w:b/>
                <w:color w:val="000000"/>
                <w:szCs w:val="24"/>
              </w:rPr>
              <w:t>koronaviruso</w:t>
            </w:r>
            <w:proofErr w:type="spellEnd"/>
            <w:r w:rsidRPr="00AE19D6">
              <w:rPr>
                <w:b/>
                <w:color w:val="000000"/>
                <w:szCs w:val="24"/>
              </w:rPr>
              <w:t xml:space="preserve"> valdyme, poreikiai </w:t>
            </w:r>
          </w:p>
        </w:tc>
        <w:tc>
          <w:tcPr>
            <w:tcW w:w="1134" w:type="dxa"/>
            <w:tcBorders>
              <w:top w:val="nil"/>
              <w:left w:val="nil"/>
              <w:bottom w:val="single" w:sz="4" w:space="0" w:color="auto"/>
              <w:right w:val="single" w:sz="4" w:space="0" w:color="auto"/>
            </w:tcBorders>
            <w:shd w:val="clear" w:color="auto" w:fill="FDE9D9" w:themeFill="accent6" w:themeFillTint="33"/>
            <w:noWrap/>
            <w:vAlign w:val="center"/>
            <w:hideMark/>
          </w:tcPr>
          <w:p w14:paraId="1A31F31E" w14:textId="77777777" w:rsidR="001F6847" w:rsidRPr="00AE19D6" w:rsidRDefault="001F6847" w:rsidP="00AF421D">
            <w:pPr>
              <w:spacing w:line="276" w:lineRule="auto"/>
              <w:jc w:val="right"/>
              <w:rPr>
                <w:b/>
                <w:bCs/>
                <w:szCs w:val="24"/>
              </w:rPr>
            </w:pPr>
            <w:r w:rsidRPr="00AE19D6">
              <w:rPr>
                <w:b/>
                <w:bCs/>
                <w:szCs w:val="24"/>
              </w:rPr>
              <w:t>76</w:t>
            </w:r>
          </w:p>
        </w:tc>
      </w:tr>
      <w:tr w:rsidR="001F6847" w:rsidRPr="00AE19D6" w14:paraId="4276ACD5" w14:textId="77777777" w:rsidTr="008603B9">
        <w:trPr>
          <w:trHeight w:val="447"/>
        </w:trPr>
        <w:tc>
          <w:tcPr>
            <w:tcW w:w="5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D82460" w14:textId="77777777" w:rsidR="001F6847" w:rsidRPr="00AE19D6" w:rsidRDefault="001F6847" w:rsidP="00AF421D">
            <w:pPr>
              <w:spacing w:line="276" w:lineRule="auto"/>
              <w:rPr>
                <w:color w:val="000000"/>
                <w:szCs w:val="24"/>
              </w:rPr>
            </w:pPr>
          </w:p>
        </w:tc>
        <w:tc>
          <w:tcPr>
            <w:tcW w:w="751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AF844E0" w14:textId="77777777" w:rsidR="001F6847" w:rsidRPr="00AE19D6" w:rsidRDefault="001F6847" w:rsidP="00AF421D">
            <w:pPr>
              <w:spacing w:line="276" w:lineRule="auto"/>
              <w:jc w:val="both"/>
              <w:rPr>
                <w:b/>
                <w:bCs/>
                <w:i/>
                <w:iCs/>
                <w:color w:val="000000"/>
                <w:szCs w:val="24"/>
              </w:rPr>
            </w:pPr>
            <w:r w:rsidRPr="00AE19D6">
              <w:rPr>
                <w:b/>
                <w:bCs/>
                <w:i/>
                <w:iCs/>
                <w:color w:val="000000"/>
                <w:szCs w:val="24"/>
              </w:rPr>
              <w:t>Iš viso COVID-19 padariniams šalinti numatyta</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1772296" w14:textId="77777777" w:rsidR="001F6847" w:rsidRPr="00AE19D6" w:rsidRDefault="001F6847" w:rsidP="00AF421D">
            <w:pPr>
              <w:spacing w:line="276" w:lineRule="auto"/>
              <w:jc w:val="right"/>
              <w:rPr>
                <w:b/>
                <w:bCs/>
                <w:color w:val="000000"/>
                <w:szCs w:val="24"/>
              </w:rPr>
            </w:pPr>
            <w:r w:rsidRPr="00AE19D6">
              <w:rPr>
                <w:b/>
                <w:bCs/>
                <w:color w:val="000000"/>
                <w:szCs w:val="24"/>
              </w:rPr>
              <w:t xml:space="preserve">1037,7 </w:t>
            </w:r>
          </w:p>
        </w:tc>
      </w:tr>
      <w:bookmarkEnd w:id="11"/>
    </w:tbl>
    <w:p w14:paraId="5A15AE82" w14:textId="0CD49928" w:rsidR="00CD3C5C" w:rsidRDefault="00CD3C5C" w:rsidP="00DC772F">
      <w:pPr>
        <w:pStyle w:val="Pagrindinistekstas"/>
        <w:spacing w:line="276" w:lineRule="auto"/>
        <w:rPr>
          <w:szCs w:val="24"/>
        </w:rPr>
      </w:pPr>
    </w:p>
    <w:p w14:paraId="074B114E" w14:textId="77777777" w:rsidR="00A01532" w:rsidRDefault="00A01532" w:rsidP="0071781B">
      <w:pPr>
        <w:pStyle w:val="Pagrindinistekstas"/>
        <w:spacing w:line="276" w:lineRule="auto"/>
        <w:rPr>
          <w:b/>
          <w:bCs/>
          <w:szCs w:val="24"/>
        </w:rPr>
      </w:pPr>
      <w:r>
        <w:rPr>
          <w:b/>
          <w:bCs/>
          <w:szCs w:val="24"/>
        </w:rPr>
        <w:br w:type="page"/>
      </w:r>
    </w:p>
    <w:p w14:paraId="789BFF5F" w14:textId="5A2DE734" w:rsidR="00CD3C5C" w:rsidRPr="00845CB5" w:rsidRDefault="00011B43" w:rsidP="00816A3A">
      <w:pPr>
        <w:pStyle w:val="Antrat1"/>
        <w:rPr>
          <w:color w:val="17365D" w:themeColor="text2" w:themeShade="BF"/>
        </w:rPr>
      </w:pPr>
      <w:bookmarkStart w:id="12" w:name="_Toc66833035"/>
      <w:bookmarkStart w:id="13" w:name="_Toc68079180"/>
      <w:r w:rsidRPr="00845CB5">
        <w:rPr>
          <w:color w:val="17365D" w:themeColor="text2" w:themeShade="BF"/>
        </w:rPr>
        <w:lastRenderedPageBreak/>
        <w:t>II DALIS</w:t>
      </w:r>
      <w:bookmarkEnd w:id="12"/>
      <w:r w:rsidR="00816A3A">
        <w:rPr>
          <w:color w:val="17365D" w:themeColor="text2" w:themeShade="BF"/>
        </w:rPr>
        <w:t>.</w:t>
      </w:r>
      <w:r w:rsidRPr="00845CB5">
        <w:rPr>
          <w:color w:val="17365D" w:themeColor="text2" w:themeShade="BF"/>
        </w:rPr>
        <w:t xml:space="preserve"> MAKROEKONOMI</w:t>
      </w:r>
      <w:r w:rsidR="00482943" w:rsidRPr="00845CB5">
        <w:rPr>
          <w:color w:val="17365D" w:themeColor="text2" w:themeShade="BF"/>
        </w:rPr>
        <w:t xml:space="preserve">KOS </w:t>
      </w:r>
      <w:r w:rsidRPr="00845CB5">
        <w:rPr>
          <w:color w:val="17365D" w:themeColor="text2" w:themeShade="BF"/>
        </w:rPr>
        <w:t>SITUACIJOS APŽVALGA 2020 METAIS IR ARTIMIAUSIO LAIKOTARPIO PERSPEKTYVOS, VALSTYBĖS BIUDŽETO SITUACIJOS APŽVALGA</w:t>
      </w:r>
      <w:bookmarkEnd w:id="13"/>
      <w:r w:rsidRPr="00845CB5">
        <w:rPr>
          <w:color w:val="17365D" w:themeColor="text2" w:themeShade="BF"/>
        </w:rPr>
        <w:t xml:space="preserve"> </w:t>
      </w:r>
    </w:p>
    <w:p w14:paraId="786A4781" w14:textId="77777777" w:rsidR="00F77027" w:rsidRDefault="00F77027" w:rsidP="00323075">
      <w:pPr>
        <w:pStyle w:val="Pagrindinistekstas"/>
        <w:spacing w:line="276" w:lineRule="auto"/>
        <w:ind w:firstLine="709"/>
        <w:rPr>
          <w:b/>
          <w:bCs/>
          <w:color w:val="17365D" w:themeColor="text2" w:themeShade="BF"/>
        </w:rPr>
      </w:pPr>
    </w:p>
    <w:p w14:paraId="7A07210D" w14:textId="341A2F5D" w:rsidR="00CD3C5C" w:rsidRDefault="00345FCD" w:rsidP="00DB1803">
      <w:pPr>
        <w:pStyle w:val="Antrat1"/>
        <w:ind w:firstLine="709"/>
        <w:jc w:val="left"/>
        <w:rPr>
          <w:color w:val="17365D" w:themeColor="text2" w:themeShade="BF"/>
        </w:rPr>
      </w:pPr>
      <w:bookmarkStart w:id="14" w:name="_Toc68079181"/>
      <w:r w:rsidRPr="00DB1803">
        <w:rPr>
          <w:color w:val="17365D" w:themeColor="text2" w:themeShade="BF"/>
        </w:rPr>
        <w:t xml:space="preserve">2.1. </w:t>
      </w:r>
      <w:r w:rsidR="00323075" w:rsidRPr="00DB1803">
        <w:rPr>
          <w:color w:val="17365D" w:themeColor="text2" w:themeShade="BF"/>
        </w:rPr>
        <w:t>Demografinė ir socialinė situacija</w:t>
      </w:r>
      <w:bookmarkEnd w:id="14"/>
    </w:p>
    <w:p w14:paraId="6B97D2E2" w14:textId="77777777" w:rsidR="001F36EC" w:rsidRPr="001F36EC" w:rsidRDefault="001F36EC" w:rsidP="001F36EC"/>
    <w:p w14:paraId="647AF934" w14:textId="77777777" w:rsidR="007F0699" w:rsidRPr="000223C0" w:rsidRDefault="00AA1497" w:rsidP="00F57AA6">
      <w:pPr>
        <w:tabs>
          <w:tab w:val="left" w:pos="709"/>
        </w:tabs>
        <w:spacing w:line="276" w:lineRule="auto"/>
        <w:ind w:firstLine="709"/>
        <w:jc w:val="both"/>
      </w:pPr>
      <w:r w:rsidRPr="009524EB">
        <w:t xml:space="preserve">Lietuvai </w:t>
      </w:r>
      <w:r>
        <w:t>vienu didžiausių</w:t>
      </w:r>
      <w:r w:rsidRPr="009524EB">
        <w:t xml:space="preserve"> iššūkiu tebėra gyventojų skaičiaus mažėjimas. Lietuvos statistikos departamento duomenimis, 2020 m. gyventojų skaičius padidėjo 1,1 tūkst., tačiau per paskutinius 30 metų bendrai gyventojų sumažėjo ketvirtadaliu</w:t>
      </w:r>
      <w:r w:rsidR="00B15DA9">
        <w:t>. Š</w:t>
      </w:r>
      <w:r w:rsidR="00B15DA9" w:rsidRPr="009524EB">
        <w:t>alies gyventojų skaičiaus dinamiką lemia</w:t>
      </w:r>
      <w:r w:rsidR="00B15DA9">
        <w:t xml:space="preserve">ntys </w:t>
      </w:r>
      <w:r w:rsidR="00B15DA9" w:rsidRPr="009524EB">
        <w:t>demografiniai procesai – migracija, gimstamumas ir mirtingumas</w:t>
      </w:r>
      <w:r w:rsidR="00B15DA9">
        <w:t>, neleidžia tikėtis žymaus situacijos gerėjimo.</w:t>
      </w:r>
      <w:r w:rsidR="00B15DA9" w:rsidRPr="009524EB">
        <w:t xml:space="preserve"> </w:t>
      </w:r>
      <w:r w:rsidR="00B15DA9">
        <w:t>B</w:t>
      </w:r>
      <w:r>
        <w:t>endrasis gimstamumo rodiklis</w:t>
      </w:r>
      <w:r>
        <w:rPr>
          <w:color w:val="000000"/>
          <w:szCs w:val="24"/>
          <w:lang w:eastAsia="en-GB"/>
        </w:rPr>
        <w:t xml:space="preserve"> – </w:t>
      </w:r>
      <w:r w:rsidRPr="00AA1497">
        <w:rPr>
          <w:color w:val="000000"/>
          <w:szCs w:val="24"/>
          <w:lang w:eastAsia="en-GB"/>
        </w:rPr>
        <w:t>gimusių vaikų skaičius 1000 gyventojų</w:t>
      </w:r>
      <w:r>
        <w:rPr>
          <w:color w:val="000000"/>
          <w:szCs w:val="24"/>
          <w:lang w:eastAsia="en-GB"/>
        </w:rPr>
        <w:t xml:space="preserve"> sumažėjo nuo </w:t>
      </w:r>
      <w:r w:rsidRPr="00A32B5F">
        <w:rPr>
          <w:color w:val="000000"/>
          <w:szCs w:val="24"/>
          <w:lang w:eastAsia="en-GB"/>
        </w:rPr>
        <w:t>9,8 2019 m</w:t>
      </w:r>
      <w:r w:rsidRPr="000223C0">
        <w:rPr>
          <w:color w:val="000000"/>
          <w:szCs w:val="24"/>
          <w:lang w:eastAsia="en-GB"/>
        </w:rPr>
        <w:t xml:space="preserve">. iki 8,8 2020 m. </w:t>
      </w:r>
    </w:p>
    <w:p w14:paraId="0EADDFB1" w14:textId="15029579" w:rsidR="0082161C" w:rsidRPr="002263A5" w:rsidRDefault="007F0699" w:rsidP="00F57AA6">
      <w:pPr>
        <w:tabs>
          <w:tab w:val="left" w:pos="709"/>
        </w:tabs>
        <w:spacing w:line="276" w:lineRule="auto"/>
        <w:jc w:val="both"/>
      </w:pPr>
      <w:r w:rsidRPr="000223C0">
        <w:tab/>
        <w:t>P</w:t>
      </w:r>
      <w:r w:rsidR="00AA1497" w:rsidRPr="000223C0">
        <w:t>er 2020-uosius į Lietuvą atvyko 43,1 tūkst. žmonių (7,5 proc. daugiau negu 2019 m.), iš šalies tuo pačiu laikotarpiu emigravo 23,1 tūkst. gyventojų (penktadaliu mažiau nei 2019 m.)</w:t>
      </w:r>
      <w:r w:rsidR="0082161C" w:rsidRPr="00E42857">
        <w:t xml:space="preserve">. 2020 m. išduota </w:t>
      </w:r>
      <w:r w:rsidR="0082161C" w:rsidRPr="004D075A">
        <w:t xml:space="preserve">61 tūkst. vizų ir leidimų užsieniečiams laikinai gyventi darbo pagrindu, t. y. 6 tūkstančiais mažiau nei </w:t>
      </w:r>
      <w:r w:rsidR="0082161C" w:rsidRPr="001F36EC">
        <w:t xml:space="preserve">2019 m. iš jų trūkstamų profesijų užsieniečiams – 46 tūkst. (2019 m. – 55 tūkst.) </w:t>
      </w:r>
    </w:p>
    <w:p w14:paraId="5F36FC0B" w14:textId="5F17114A" w:rsidR="00107C5D" w:rsidRPr="000223C0" w:rsidRDefault="0082161C" w:rsidP="00F57AA6">
      <w:pPr>
        <w:tabs>
          <w:tab w:val="left" w:pos="709"/>
        </w:tabs>
        <w:spacing w:line="276" w:lineRule="auto"/>
        <w:jc w:val="both"/>
      </w:pPr>
      <w:r w:rsidRPr="002263A5">
        <w:tab/>
      </w:r>
      <w:r w:rsidR="00AA1497" w:rsidRPr="002263A5">
        <w:t xml:space="preserve">COVID-19 pandemija įnešė korekcijų į visus demografinius procesus, ypač </w:t>
      </w:r>
      <w:r w:rsidR="007F0699" w:rsidRPr="002263A5">
        <w:t xml:space="preserve">paveikė </w:t>
      </w:r>
      <w:r w:rsidR="00AA1497" w:rsidRPr="002263A5">
        <w:t>mirtingum</w:t>
      </w:r>
      <w:r w:rsidR="007F0699" w:rsidRPr="002263A5">
        <w:t>ą</w:t>
      </w:r>
      <w:r w:rsidR="00AA1497" w:rsidRPr="002263A5">
        <w:t xml:space="preserve"> ir gimstamum</w:t>
      </w:r>
      <w:r w:rsidR="007F0699" w:rsidRPr="002263A5">
        <w:t>ą</w:t>
      </w:r>
      <w:r w:rsidR="00AA1497" w:rsidRPr="002263A5">
        <w:t xml:space="preserve">. 2020 m. Lietuvoje mirė 13 proc. daugiau žmonių negu 2019 metais, gimė 10 proc. mažiau kūdikių negu 2019-aisias. Tai reiškia, kad </w:t>
      </w:r>
      <w:r w:rsidR="007F0699" w:rsidRPr="002263A5">
        <w:t>š</w:t>
      </w:r>
      <w:r w:rsidR="00E8194D">
        <w:t>ias</w:t>
      </w:r>
      <w:r w:rsidR="007F0699" w:rsidRPr="002263A5">
        <w:t xml:space="preserve"> demografines pasekmes</w:t>
      </w:r>
      <w:r w:rsidR="00AA1497" w:rsidRPr="002263A5">
        <w:t xml:space="preserve"> po 16–18 metų </w:t>
      </w:r>
      <w:r w:rsidR="007F0699" w:rsidRPr="002263A5">
        <w:t xml:space="preserve">ypač pajus švietimo sistema ir darbo </w:t>
      </w:r>
      <w:r w:rsidR="00AA1497" w:rsidRPr="002263A5">
        <w:t>rink</w:t>
      </w:r>
      <w:r w:rsidR="007F0699" w:rsidRPr="002263A5">
        <w:t>a</w:t>
      </w:r>
      <w:r w:rsidR="00AA1497" w:rsidRPr="002263A5">
        <w:t>.</w:t>
      </w:r>
    </w:p>
    <w:p w14:paraId="3370A493" w14:textId="2796DC1E" w:rsidR="00323075" w:rsidRPr="00A32B5F" w:rsidRDefault="0013444A" w:rsidP="00F57AA6">
      <w:pPr>
        <w:tabs>
          <w:tab w:val="left" w:pos="709"/>
        </w:tabs>
        <w:spacing w:line="276" w:lineRule="auto"/>
        <w:ind w:firstLine="709"/>
        <w:jc w:val="both"/>
      </w:pPr>
      <w:r w:rsidRPr="000223C0">
        <w:t>COVID-19 pandemijos pasekmės dar neatsispindi skurdo ir pajamų nelygybės statistikoje, nes</w:t>
      </w:r>
      <w:r w:rsidR="00323075" w:rsidRPr="009524EB">
        <w:t xml:space="preserve"> </w:t>
      </w:r>
      <w:r>
        <w:t>s</w:t>
      </w:r>
      <w:r w:rsidRPr="009524EB">
        <w:t>kaičiuojant 2019 metų skurdo rodiklius, remtasi 2018 metais gautomis gyventojų pajamomis</w:t>
      </w:r>
      <w:r>
        <w:t xml:space="preserve">. </w:t>
      </w:r>
      <w:r w:rsidR="00323075" w:rsidRPr="009524EB">
        <w:t xml:space="preserve">Statistikos departamento duomenys rodo, kad 2019 metais mažėjo tiek skurdo rizikos lygis, tiek absoliutaus skurdo lygis. </w:t>
      </w:r>
      <w:r w:rsidR="00470A79">
        <w:t>Nors s</w:t>
      </w:r>
      <w:r w:rsidRPr="009524EB">
        <w:t>kurdo rizikos lygis</w:t>
      </w:r>
      <w:r>
        <w:t xml:space="preserve"> </w:t>
      </w:r>
      <w:r w:rsidRPr="009524EB">
        <w:t>mažėjo nuo 22,9 procentų 2018 metais iki 20,6 procentų 2019 metais</w:t>
      </w:r>
      <w:r w:rsidR="00470A79">
        <w:t xml:space="preserve">, </w:t>
      </w:r>
      <w:r w:rsidR="00A1117C">
        <w:t xml:space="preserve">Lietuvoje skurdo rizikos lygis gerokai viršija ES vidurkį, kuris </w:t>
      </w:r>
      <w:r w:rsidR="00A1117C" w:rsidRPr="00A32B5F">
        <w:t>2019 m. siek</w:t>
      </w:r>
      <w:r w:rsidR="00A1117C">
        <w:t xml:space="preserve">ė </w:t>
      </w:r>
      <w:r w:rsidR="00A1117C" w:rsidRPr="00A32B5F">
        <w:t xml:space="preserve">16,5 proc. </w:t>
      </w:r>
      <w:r w:rsidR="00323075" w:rsidRPr="009524EB">
        <w:t>Kaip ir anksčiau, didžiausią skurdo riziką patiria senjorai</w:t>
      </w:r>
      <w:r w:rsidR="00470A79">
        <w:t>.</w:t>
      </w:r>
    </w:p>
    <w:p w14:paraId="0C64C06F" w14:textId="30AE19D2" w:rsidR="00323075" w:rsidRDefault="00470A79" w:rsidP="00F57AA6">
      <w:pPr>
        <w:tabs>
          <w:tab w:val="left" w:pos="709"/>
        </w:tabs>
        <w:spacing w:line="276" w:lineRule="auto"/>
        <w:ind w:firstLine="709"/>
        <w:jc w:val="both"/>
      </w:pPr>
      <w:r>
        <w:t>Manoma</w:t>
      </w:r>
      <w:r w:rsidR="00323075" w:rsidRPr="009524EB">
        <w:t>, kad pajamų nelygybė 2020 metais t</w:t>
      </w:r>
      <w:r w:rsidR="00E8194D">
        <w:t>oliau</w:t>
      </w:r>
      <w:r w:rsidR="00323075" w:rsidRPr="009524EB">
        <w:t xml:space="preserve"> mažė</w:t>
      </w:r>
      <w:r w:rsidR="00E8194D">
        <w:t>jo, nes dėl</w:t>
      </w:r>
      <w:r w:rsidR="00323075" w:rsidRPr="009524EB">
        <w:t xml:space="preserve"> COVID-19 </w:t>
      </w:r>
      <w:r w:rsidR="00E8194D">
        <w:t xml:space="preserve">kilusios ekonominės </w:t>
      </w:r>
      <w:r w:rsidR="00323075" w:rsidRPr="009524EB">
        <w:t>krizės sparčiausiai mažėja pajamos iš darbo, ypač algų priedai</w:t>
      </w:r>
      <w:r w:rsidR="00E8194D">
        <w:t>, t</w:t>
      </w:r>
      <w:r w:rsidR="00323075" w:rsidRPr="009524EB">
        <w:t>aip pat ženkliai smunka savarankiško darbo pajamos, pajamos iš investicijų, turto ir paskirstyti pelnai. Tuo tarpu pasiskirstymo žemesnėje dalyje esančių žmonių pajamos yra santykinai geriau apsaugotos dėl socialinės apsaugos sistemos teikiamų garantijų. Ankstesnės krizės laikotarpiu taip pat stebėtas nelygybės mažėjimas, po kurio spartus nelygybės didėjimas buvo fiksuotas ekonominio atsigavimo laikotarpiu.</w:t>
      </w:r>
    </w:p>
    <w:p w14:paraId="47E9154A" w14:textId="6FD80D8F" w:rsidR="00AA1497" w:rsidRDefault="00144074" w:rsidP="00626339">
      <w:pPr>
        <w:tabs>
          <w:tab w:val="left" w:pos="709"/>
        </w:tabs>
        <w:spacing w:line="276" w:lineRule="auto"/>
        <w:ind w:firstLine="709"/>
        <w:jc w:val="both"/>
      </w:pPr>
      <w:r>
        <w:t>Pagrindiniai šalies socialinę ir ekonominę situaciją atsk</w:t>
      </w:r>
      <w:r w:rsidR="008D1363">
        <w:t>l</w:t>
      </w:r>
      <w:r>
        <w:t xml:space="preserve">eidžiantys rodikliai pateikiami ataskaitos </w:t>
      </w:r>
      <w:r w:rsidR="00B30037">
        <w:rPr>
          <w:lang w:val="en-GB"/>
        </w:rPr>
        <w:t>2</w:t>
      </w:r>
      <w:r>
        <w:rPr>
          <w:lang w:val="en-GB"/>
        </w:rPr>
        <w:t xml:space="preserve"> </w:t>
      </w:r>
      <w:proofErr w:type="spellStart"/>
      <w:r>
        <w:rPr>
          <w:lang w:val="en-GB"/>
        </w:rPr>
        <w:t>priede</w:t>
      </w:r>
      <w:proofErr w:type="spellEnd"/>
      <w:r>
        <w:rPr>
          <w:lang w:val="en-GB"/>
        </w:rPr>
        <w:t>.</w:t>
      </w:r>
    </w:p>
    <w:p w14:paraId="6252DB61" w14:textId="1FB6FD78" w:rsidR="008A78D6" w:rsidRDefault="008A78D6" w:rsidP="00323075">
      <w:pPr>
        <w:pStyle w:val="Pagrindinistekstas"/>
        <w:spacing w:line="276" w:lineRule="auto"/>
      </w:pPr>
    </w:p>
    <w:p w14:paraId="4A26A748" w14:textId="77777777" w:rsidR="008A78D6" w:rsidRDefault="008A78D6" w:rsidP="00323075">
      <w:pPr>
        <w:pStyle w:val="Pagrindinistekstas"/>
        <w:spacing w:line="276" w:lineRule="auto"/>
      </w:pPr>
    </w:p>
    <w:p w14:paraId="0BEC01B7" w14:textId="39337ED9" w:rsidR="001F6847" w:rsidRDefault="00F92D7E" w:rsidP="00F92D7E">
      <w:pPr>
        <w:pStyle w:val="Antrat1"/>
        <w:ind w:firstLine="709"/>
        <w:jc w:val="left"/>
        <w:rPr>
          <w:color w:val="17365D" w:themeColor="text2" w:themeShade="BF"/>
          <w:szCs w:val="24"/>
        </w:rPr>
      </w:pPr>
      <w:bookmarkStart w:id="15" w:name="_Toc68079182"/>
      <w:r w:rsidRPr="00DB1803">
        <w:rPr>
          <w:color w:val="17365D" w:themeColor="text2" w:themeShade="BF"/>
        </w:rPr>
        <w:t>2.</w:t>
      </w:r>
      <w:r>
        <w:rPr>
          <w:color w:val="17365D" w:themeColor="text2" w:themeShade="BF"/>
        </w:rPr>
        <w:t>2</w:t>
      </w:r>
      <w:r w:rsidRPr="00DB1803">
        <w:rPr>
          <w:color w:val="17365D" w:themeColor="text2" w:themeShade="BF"/>
        </w:rPr>
        <w:t xml:space="preserve">. </w:t>
      </w:r>
      <w:r w:rsidR="00482943" w:rsidRPr="00F92D7E">
        <w:rPr>
          <w:color w:val="17365D" w:themeColor="text2" w:themeShade="BF"/>
          <w:szCs w:val="24"/>
        </w:rPr>
        <w:t>Makroekonomikos situacija</w:t>
      </w:r>
      <w:bookmarkEnd w:id="15"/>
    </w:p>
    <w:p w14:paraId="07960E6C" w14:textId="77777777" w:rsidR="00B44F24" w:rsidRPr="00B44F24" w:rsidRDefault="00B44F24" w:rsidP="00B44F24"/>
    <w:p w14:paraId="261A63FC" w14:textId="2BF9E8FE" w:rsidR="002A479B" w:rsidRPr="001D1A8C" w:rsidRDefault="002A479B" w:rsidP="00551BCC">
      <w:pPr>
        <w:pStyle w:val="Pagrindinistekstas"/>
        <w:tabs>
          <w:tab w:val="num" w:pos="851"/>
        </w:tabs>
        <w:spacing w:line="276" w:lineRule="auto"/>
        <w:ind w:firstLine="709"/>
        <w:rPr>
          <w:szCs w:val="24"/>
        </w:rPr>
      </w:pPr>
      <w:r w:rsidRPr="001D1A8C">
        <w:rPr>
          <w:szCs w:val="24"/>
        </w:rPr>
        <w:t xml:space="preserve">Lietuvos Respublikos 2020 metų valstybės biudžeto ir savivaldybių biudžetų finansinių rodiklių patvirtinimo įstatyme 2020 m. buvo nustatyta 0,2 proc. bendrojo vidaus produkto (toliau – BVP) valdžios sektoriaus pertekliaus užduotis. </w:t>
      </w:r>
      <w:r w:rsidR="00B446C4" w:rsidRPr="001D1A8C">
        <w:t>Išaugęs valdžios sektoriaus deficitas lėmė, kad 2020 m. nuo vidutinio laikotarpio tikslo nukrypta.</w:t>
      </w:r>
      <w:r w:rsidR="00B446C4">
        <w:t xml:space="preserve"> </w:t>
      </w:r>
      <w:r w:rsidR="00551BCC" w:rsidRPr="001D1A8C">
        <w:rPr>
          <w:szCs w:val="24"/>
        </w:rPr>
        <w:t>Iš valstybės vardu pasiskolintų 3,4 mlrd. eurų finansuo</w:t>
      </w:r>
      <w:r w:rsidR="00551BCC">
        <w:rPr>
          <w:szCs w:val="24"/>
        </w:rPr>
        <w:t>tos</w:t>
      </w:r>
      <w:r w:rsidR="00551BCC" w:rsidRPr="001D1A8C">
        <w:rPr>
          <w:szCs w:val="24"/>
        </w:rPr>
        <w:t xml:space="preserve"> </w:t>
      </w:r>
      <w:r w:rsidR="00551BCC">
        <w:rPr>
          <w:szCs w:val="24"/>
        </w:rPr>
        <w:t xml:space="preserve">papildomos </w:t>
      </w:r>
      <w:r w:rsidR="00551BCC" w:rsidRPr="00A32B5F">
        <w:rPr>
          <w:szCs w:val="24"/>
        </w:rPr>
        <w:t xml:space="preserve">išlaidos lėmė, </w:t>
      </w:r>
      <w:r w:rsidR="00551BCC" w:rsidRPr="001D1A8C">
        <w:rPr>
          <w:szCs w:val="24"/>
        </w:rPr>
        <w:t xml:space="preserve">kad valdžios sektoriaus deficitas, išankstiniais duomenimis, 2020 m. siekė apie 7 proc. BVP. </w:t>
      </w:r>
    </w:p>
    <w:p w14:paraId="5D7A8AA5" w14:textId="2D6C29DF" w:rsidR="002A479B" w:rsidRPr="001D1A8C" w:rsidRDefault="002A479B" w:rsidP="002A479B">
      <w:pPr>
        <w:pStyle w:val="Pagrindinistekstas"/>
        <w:tabs>
          <w:tab w:val="num" w:pos="851"/>
        </w:tabs>
        <w:spacing w:line="276" w:lineRule="auto"/>
        <w:ind w:firstLine="709"/>
      </w:pPr>
      <w:r w:rsidRPr="001D1A8C">
        <w:lastRenderedPageBreak/>
        <w:t>2020 m. taikyta bendroji Stabilumo ir augimo pakto (toliau – SAP) išimtis</w:t>
      </w:r>
      <w:r w:rsidRPr="001D1A8C">
        <w:rPr>
          <w:rStyle w:val="Puslapioinaosnuoroda"/>
          <w:szCs w:val="24"/>
        </w:rPr>
        <w:footnoteReference w:id="5"/>
      </w:r>
      <w:r w:rsidRPr="001D1A8C">
        <w:t xml:space="preserve"> – SAP lankstumo sąlyga, kurią EK taiko dėl COVID-19 pandemijos kilus ES, euro zonos ekonomikos krizei, valstybėms patiriant ekonominį nuosmukį. 2020 m. vykdyta fiskalinė politika buvo anticiklinė. </w:t>
      </w:r>
    </w:p>
    <w:p w14:paraId="4125BC73" w14:textId="77777777" w:rsidR="002A479B" w:rsidRPr="001D1A8C" w:rsidRDefault="002A479B" w:rsidP="002A479B">
      <w:pPr>
        <w:pStyle w:val="Pagrindinistekstas"/>
        <w:tabs>
          <w:tab w:val="num" w:pos="851"/>
        </w:tabs>
        <w:spacing w:line="276" w:lineRule="auto"/>
        <w:ind w:firstLine="709"/>
      </w:pPr>
      <w:r w:rsidRPr="001D1A8C">
        <w:rPr>
          <w:szCs w:val="24"/>
        </w:rPr>
        <w:t>2020 m. pirmą kartą parengta Fiskalinių rizikų apžvalga</w:t>
      </w:r>
      <w:r w:rsidRPr="001D1A8C">
        <w:rPr>
          <w:rStyle w:val="Puslapioinaosnuoroda"/>
          <w:szCs w:val="24"/>
        </w:rPr>
        <w:footnoteReference w:id="6"/>
      </w:r>
      <w:r w:rsidRPr="001D1A8C">
        <w:rPr>
          <w:szCs w:val="24"/>
        </w:rPr>
        <w:t>, kurioje analizuojamos rizikos, galinčios neplanuotai neigiamai ir reikšmingai paveikti valdžios sektoriaus finansus. Apžvalgoje pateikiama informacija apie rizikų pasireiškimo tikimybę, galimą poveikį finansams vidutiniu laikotarpiu, priemones, galinčias sumažinti rizikos pasireiškimo tikimybę arba jos poveikį finansams, arba atsverti neigiamą poveikį finansams. Darant prielaidą, kad visos rizikos pasitvirtina vienu metu, poveikis valdžios sektoriaus finansams vidutiniu laikotarpiu sudarytų apie 5,6 mlrd. eurų, arba 11,5 proc. 2019 metų BVP. Iš jų labai mažos ir mažos pasireiškimo tikimybės rizikos sudaro 4,9 proc. BVP, vidutinės ir didelės – 3,1 proc. BVP ir labai didelės tikimybės – 3,5 proc. BVP.</w:t>
      </w:r>
    </w:p>
    <w:p w14:paraId="5FBB5FD1" w14:textId="1C6747D1" w:rsidR="002A479B" w:rsidRPr="001D1A8C" w:rsidRDefault="002A479B" w:rsidP="002A479B">
      <w:pPr>
        <w:pStyle w:val="Pagrindinistekstas"/>
        <w:tabs>
          <w:tab w:val="num" w:pos="851"/>
        </w:tabs>
        <w:spacing w:line="276" w:lineRule="auto"/>
        <w:ind w:firstLine="709"/>
        <w:rPr>
          <w:szCs w:val="24"/>
        </w:rPr>
      </w:pPr>
      <w:r w:rsidRPr="001D1A8C">
        <w:rPr>
          <w:szCs w:val="24"/>
        </w:rPr>
        <w:t xml:space="preserve">Artimuoju laikotarpiu tarp aktualiausių rizikų išlieka COVID-19 pandemija ir tolesnė jos eiga. </w:t>
      </w:r>
      <w:r w:rsidR="00B446C4" w:rsidRPr="001D1A8C">
        <w:rPr>
          <w:szCs w:val="24"/>
        </w:rPr>
        <w:t xml:space="preserve">2020 m. </w:t>
      </w:r>
      <w:r w:rsidRPr="001D1A8C">
        <w:rPr>
          <w:szCs w:val="24"/>
        </w:rPr>
        <w:t>skolos padidėjim</w:t>
      </w:r>
      <w:r w:rsidR="00B446C4">
        <w:rPr>
          <w:szCs w:val="24"/>
        </w:rPr>
        <w:t>as buvo</w:t>
      </w:r>
      <w:r w:rsidRPr="001D1A8C">
        <w:rPr>
          <w:szCs w:val="24"/>
        </w:rPr>
        <w:t xml:space="preserve"> 11 procentinių punktų BVP </w:t>
      </w:r>
      <w:r w:rsidRPr="009524EB">
        <w:t>–</w:t>
      </w:r>
      <w:r>
        <w:t xml:space="preserve"> </w:t>
      </w:r>
      <w:r w:rsidRPr="001D1A8C">
        <w:rPr>
          <w:szCs w:val="24"/>
        </w:rPr>
        <w:t>iki 47,3 proc. BVP. Taip pat 2021 m. COVID-19 pandemijos raida lemia papildomų valdžios sektoriaus lėšų poreikį (2021 m</w:t>
      </w:r>
      <w:r>
        <w:rPr>
          <w:szCs w:val="24"/>
        </w:rPr>
        <w:t>.</w:t>
      </w:r>
      <w:r w:rsidRPr="001D1A8C">
        <w:rPr>
          <w:szCs w:val="24"/>
        </w:rPr>
        <w:t xml:space="preserve"> biudžete pagalbos priemonėms numatyta 2 proc. BVP</w:t>
      </w:r>
      <w:r w:rsidR="00B449A6">
        <w:rPr>
          <w:szCs w:val="24"/>
        </w:rPr>
        <w:t>.</w:t>
      </w:r>
      <w:r w:rsidRPr="001D1A8C">
        <w:rPr>
          <w:szCs w:val="24"/>
        </w:rPr>
        <w:t xml:space="preserve"> Tikslingas ir efektyvus lėšų naudojimas itin svarbus užtikrinant kovos su COVID-19 pandemija ir jos padariniais veiksmingumą </w:t>
      </w:r>
      <w:r>
        <w:rPr>
          <w:szCs w:val="24"/>
        </w:rPr>
        <w:t>ir</w:t>
      </w:r>
      <w:r w:rsidRPr="001D1A8C">
        <w:rPr>
          <w:szCs w:val="24"/>
        </w:rPr>
        <w:t xml:space="preserve"> valdant valdžios sektoriaus finansų tvarumo rizikas vidutiniu ir ilgesniuoju laikotarpiais. </w:t>
      </w:r>
    </w:p>
    <w:p w14:paraId="3257BF2D" w14:textId="17A719AA" w:rsidR="002A479B" w:rsidRPr="001D1A8C" w:rsidRDefault="002A479B" w:rsidP="002A479B">
      <w:pPr>
        <w:pStyle w:val="HTMLiankstoformatuotas"/>
        <w:spacing w:line="276" w:lineRule="auto"/>
        <w:ind w:firstLine="709"/>
        <w:jc w:val="both"/>
        <w:rPr>
          <w:rFonts w:ascii="Times New Roman" w:hAnsi="Times New Roman" w:cs="Times New Roman"/>
          <w:sz w:val="24"/>
          <w:szCs w:val="24"/>
        </w:rPr>
      </w:pPr>
      <w:r w:rsidRPr="001D1A8C">
        <w:rPr>
          <w:rFonts w:ascii="Times New Roman" w:hAnsi="Times New Roman" w:cs="Times New Roman"/>
          <w:sz w:val="24"/>
          <w:szCs w:val="24"/>
        </w:rPr>
        <w:t>Lietuva vykdo 2020 m. liepą pateiktą ES Tarybos fiskalinę rekomendaciją – remti ekonomiką ir jos atsigavimą bei imtis visų priemonių COVID-19 pandemijai suvaldyti. Tam 2021 m. biudžete numatyta 1 mlrd. eurų. Pagal valdžios sektoriui priskirtus Lietuvos Respublikos Seimo patvirtintus biudžetus 2021 m. valdžios sektoriaus deficitas 2021 m. sudarys 7 proc. BVP. E</w:t>
      </w:r>
      <w:r w:rsidR="00E8194D">
        <w:rPr>
          <w:rFonts w:ascii="Times New Roman" w:hAnsi="Times New Roman" w:cs="Times New Roman"/>
          <w:sz w:val="24"/>
          <w:szCs w:val="24"/>
        </w:rPr>
        <w:t xml:space="preserve">uropos </w:t>
      </w:r>
      <w:r w:rsidRPr="001D1A8C">
        <w:rPr>
          <w:rFonts w:ascii="Times New Roman" w:hAnsi="Times New Roman" w:cs="Times New Roman"/>
          <w:sz w:val="24"/>
          <w:szCs w:val="24"/>
        </w:rPr>
        <w:t>K</w:t>
      </w:r>
      <w:r w:rsidR="00E8194D">
        <w:rPr>
          <w:rFonts w:ascii="Times New Roman" w:hAnsi="Times New Roman" w:cs="Times New Roman"/>
          <w:sz w:val="24"/>
          <w:szCs w:val="24"/>
        </w:rPr>
        <w:t>omisijos</w:t>
      </w:r>
      <w:r w:rsidRPr="001D1A8C">
        <w:rPr>
          <w:rFonts w:ascii="Times New Roman" w:hAnsi="Times New Roman" w:cs="Times New Roman"/>
          <w:sz w:val="24"/>
          <w:szCs w:val="24"/>
        </w:rPr>
        <w:t xml:space="preserve"> nuomone, ne visi 2020–2021 m. valstybės prisiimti įsipareigojimai yra padengti juos atsveriančiomis pajamų priemonėmis </w:t>
      </w:r>
      <w:r w:rsidR="00444D11">
        <w:rPr>
          <w:rFonts w:ascii="Times New Roman" w:hAnsi="Times New Roman" w:cs="Times New Roman"/>
          <w:sz w:val="24"/>
          <w:szCs w:val="24"/>
        </w:rPr>
        <w:t>(</w:t>
      </w:r>
      <w:r w:rsidRPr="001D1A8C">
        <w:rPr>
          <w:rFonts w:ascii="Times New Roman" w:hAnsi="Times New Roman" w:cs="Times New Roman"/>
          <w:sz w:val="24"/>
          <w:szCs w:val="24"/>
        </w:rPr>
        <w:t>naujais tvariais pajamų šaltiniais</w:t>
      </w:r>
      <w:r w:rsidR="00444D11">
        <w:rPr>
          <w:rFonts w:ascii="Times New Roman" w:hAnsi="Times New Roman" w:cs="Times New Roman"/>
          <w:sz w:val="24"/>
          <w:szCs w:val="24"/>
        </w:rPr>
        <w:t>), o</w:t>
      </w:r>
      <w:r w:rsidRPr="001D1A8C">
        <w:rPr>
          <w:rFonts w:ascii="Times New Roman" w:hAnsi="Times New Roman" w:cs="Times New Roman"/>
          <w:sz w:val="24"/>
          <w:szCs w:val="24"/>
        </w:rPr>
        <w:t xml:space="preserve"> tai gali lemti finansų tvarumo problemas ilguoju laikotarpiu. </w:t>
      </w:r>
      <w:r w:rsidR="00444D11">
        <w:rPr>
          <w:rFonts w:ascii="Times New Roman" w:hAnsi="Times New Roman" w:cs="Times New Roman"/>
          <w:sz w:val="24"/>
          <w:szCs w:val="24"/>
        </w:rPr>
        <w:t>Todėl f</w:t>
      </w:r>
      <w:r w:rsidRPr="001D1A8C">
        <w:rPr>
          <w:rFonts w:ascii="Times New Roman" w:hAnsi="Times New Roman" w:cs="Times New Roman"/>
          <w:sz w:val="24"/>
          <w:szCs w:val="24"/>
        </w:rPr>
        <w:t>ormuo</w:t>
      </w:r>
      <w:r w:rsidR="00444D11">
        <w:rPr>
          <w:rFonts w:ascii="Times New Roman" w:hAnsi="Times New Roman" w:cs="Times New Roman"/>
          <w:sz w:val="24"/>
          <w:szCs w:val="24"/>
        </w:rPr>
        <w:t>dama</w:t>
      </w:r>
      <w:r w:rsidRPr="001D1A8C">
        <w:rPr>
          <w:rFonts w:ascii="Times New Roman" w:hAnsi="Times New Roman" w:cs="Times New Roman"/>
          <w:sz w:val="24"/>
          <w:szCs w:val="24"/>
        </w:rPr>
        <w:t xml:space="preserve"> būsimųjų metų fiskalinę politiką ir ją įgyvendin</w:t>
      </w:r>
      <w:r w:rsidR="00444D11">
        <w:rPr>
          <w:rFonts w:ascii="Times New Roman" w:hAnsi="Times New Roman" w:cs="Times New Roman"/>
          <w:sz w:val="24"/>
          <w:szCs w:val="24"/>
        </w:rPr>
        <w:t>dama</w:t>
      </w:r>
      <w:r w:rsidRPr="001D1A8C">
        <w:rPr>
          <w:rFonts w:ascii="Times New Roman" w:hAnsi="Times New Roman" w:cs="Times New Roman"/>
          <w:sz w:val="24"/>
          <w:szCs w:val="24"/>
        </w:rPr>
        <w:t xml:space="preserve">, </w:t>
      </w:r>
      <w:r w:rsidR="00444D11">
        <w:rPr>
          <w:rFonts w:ascii="Times New Roman" w:hAnsi="Times New Roman" w:cs="Times New Roman"/>
          <w:sz w:val="24"/>
          <w:szCs w:val="24"/>
        </w:rPr>
        <w:t xml:space="preserve"> Vyriausybė</w:t>
      </w:r>
      <w:r w:rsidRPr="001D1A8C">
        <w:rPr>
          <w:rFonts w:ascii="Times New Roman" w:hAnsi="Times New Roman" w:cs="Times New Roman"/>
          <w:sz w:val="24"/>
          <w:szCs w:val="24"/>
        </w:rPr>
        <w:t xml:space="preserve"> siek</w:t>
      </w:r>
      <w:r w:rsidR="00444D11">
        <w:rPr>
          <w:rFonts w:ascii="Times New Roman" w:hAnsi="Times New Roman" w:cs="Times New Roman"/>
          <w:sz w:val="24"/>
          <w:szCs w:val="24"/>
        </w:rPr>
        <w:t>s</w:t>
      </w:r>
      <w:r w:rsidRPr="001D1A8C">
        <w:rPr>
          <w:rFonts w:ascii="Times New Roman" w:hAnsi="Times New Roman" w:cs="Times New Roman"/>
          <w:sz w:val="24"/>
          <w:szCs w:val="24"/>
        </w:rPr>
        <w:t xml:space="preserve"> ilgalaikio valdžios sektoriaus finansų tvarumo.</w:t>
      </w:r>
    </w:p>
    <w:p w14:paraId="6B4DEA8D" w14:textId="38837265" w:rsidR="002A479B" w:rsidRDefault="002A479B" w:rsidP="002A479B">
      <w:pPr>
        <w:pStyle w:val="Pagrindinistekstas"/>
        <w:tabs>
          <w:tab w:val="num" w:pos="851"/>
        </w:tabs>
        <w:spacing w:line="276" w:lineRule="auto"/>
        <w:ind w:firstLine="709"/>
        <w:rPr>
          <w:bCs/>
          <w:szCs w:val="24"/>
        </w:rPr>
      </w:pPr>
      <w:r w:rsidRPr="000A0FE3">
        <w:rPr>
          <w:bCs/>
          <w:szCs w:val="24"/>
        </w:rPr>
        <w:t>Pandemijos ir jos suvaldymo priemonių įtaka paveikė vidaus paklausą</w:t>
      </w:r>
      <w:r w:rsidR="00444D11">
        <w:rPr>
          <w:bCs/>
          <w:szCs w:val="24"/>
        </w:rPr>
        <w:t xml:space="preserve"> ir</w:t>
      </w:r>
      <w:r w:rsidRPr="000A0FE3">
        <w:rPr>
          <w:bCs/>
          <w:szCs w:val="24"/>
        </w:rPr>
        <w:t xml:space="preserve"> eksporto rezultatus. </w:t>
      </w:r>
      <w:r w:rsidRPr="005E1C97">
        <w:rPr>
          <w:bCs/>
          <w:szCs w:val="24"/>
        </w:rPr>
        <w:t>Išankstiniais Lietuvos statistikos departamento duomenimis, 2020 m</w:t>
      </w:r>
      <w:r>
        <w:rPr>
          <w:bCs/>
          <w:szCs w:val="24"/>
        </w:rPr>
        <w:t>.</w:t>
      </w:r>
      <w:r w:rsidRPr="005E1C97">
        <w:rPr>
          <w:bCs/>
          <w:szCs w:val="24"/>
        </w:rPr>
        <w:t>, palyginti su 2019 m</w:t>
      </w:r>
      <w:r>
        <w:rPr>
          <w:bCs/>
          <w:szCs w:val="24"/>
        </w:rPr>
        <w:t>.</w:t>
      </w:r>
      <w:r w:rsidRPr="005E1C97">
        <w:rPr>
          <w:bCs/>
          <w:szCs w:val="24"/>
        </w:rPr>
        <w:t xml:space="preserve">, bendras Lietuvos prekių eksportas sumažėjo nuo 29,6 mlrd. iki 28,6 mlrd. eurų. Lietuviškos kilmės prekių eksportas per metus sumažėjo 4,8 proc. </w:t>
      </w:r>
      <w:r>
        <w:rPr>
          <w:bCs/>
          <w:szCs w:val="24"/>
        </w:rPr>
        <w:t>Neatsižvelgiant į</w:t>
      </w:r>
      <w:r w:rsidRPr="005E1C97">
        <w:rPr>
          <w:bCs/>
          <w:szCs w:val="24"/>
        </w:rPr>
        <w:t xml:space="preserve"> energetinių produktų (benzino, dyzelino ir kt.), kurių didžiąją dalį gamina AB „</w:t>
      </w:r>
      <w:proofErr w:type="spellStart"/>
      <w:r w:rsidRPr="005E1C97">
        <w:rPr>
          <w:bCs/>
          <w:szCs w:val="24"/>
        </w:rPr>
        <w:t>Orlen</w:t>
      </w:r>
      <w:proofErr w:type="spellEnd"/>
      <w:r w:rsidRPr="005E1C97">
        <w:rPr>
          <w:bCs/>
          <w:szCs w:val="24"/>
        </w:rPr>
        <w:t xml:space="preserve"> Lietuva“, eksportą, lietuviškos kilmės prekių eksportas 2020 metais ūgtelėjo 5,9 proc. per metus. Prekių reeksportas sumažėjo 1,2 proc., </w:t>
      </w:r>
      <w:r w:rsidRPr="00B449A6">
        <w:rPr>
          <w:bCs/>
          <w:szCs w:val="24"/>
        </w:rPr>
        <w:t>o eliminavus energetinių produktų įtaką</w:t>
      </w:r>
      <w:r w:rsidRPr="005E1C97">
        <w:rPr>
          <w:bCs/>
          <w:szCs w:val="24"/>
        </w:rPr>
        <w:t>, reeksporto augimas siekė 0,2 proc.</w:t>
      </w:r>
    </w:p>
    <w:p w14:paraId="11F2626A" w14:textId="77777777" w:rsidR="00783EF6" w:rsidRDefault="002A479B" w:rsidP="00783EF6">
      <w:pPr>
        <w:pStyle w:val="Pagrindinistekstas"/>
        <w:tabs>
          <w:tab w:val="num" w:pos="851"/>
        </w:tabs>
        <w:spacing w:line="276" w:lineRule="auto"/>
        <w:ind w:firstLine="709"/>
        <w:rPr>
          <w:bCs/>
          <w:szCs w:val="24"/>
        </w:rPr>
      </w:pPr>
      <w:r w:rsidRPr="00A32B5F">
        <w:rPr>
          <w:bCs/>
          <w:szCs w:val="24"/>
        </w:rPr>
        <w:t xml:space="preserve">2020 m. </w:t>
      </w:r>
      <w:r w:rsidRPr="001B3AF7">
        <w:rPr>
          <w:bCs/>
          <w:szCs w:val="24"/>
        </w:rPr>
        <w:t>Lietuvos verslo rodikliai buvo kiek prastesni nei 2019 m</w:t>
      </w:r>
      <w:r>
        <w:rPr>
          <w:bCs/>
          <w:szCs w:val="24"/>
        </w:rPr>
        <w:t>.</w:t>
      </w:r>
      <w:r w:rsidR="00B449A6">
        <w:rPr>
          <w:bCs/>
          <w:szCs w:val="24"/>
        </w:rPr>
        <w:t xml:space="preserve"> </w:t>
      </w:r>
      <w:r w:rsidRPr="001B3AF7">
        <w:rPr>
          <w:bCs/>
          <w:szCs w:val="24"/>
        </w:rPr>
        <w:t>Regioninė perspektyv</w:t>
      </w:r>
      <w:r>
        <w:rPr>
          <w:bCs/>
          <w:szCs w:val="24"/>
        </w:rPr>
        <w:t>a</w:t>
      </w:r>
      <w:r w:rsidRPr="001B3AF7">
        <w:rPr>
          <w:bCs/>
          <w:szCs w:val="24"/>
        </w:rPr>
        <w:t xml:space="preserve"> </w:t>
      </w:r>
      <w:r>
        <w:rPr>
          <w:bCs/>
          <w:szCs w:val="24"/>
        </w:rPr>
        <w:t>rodė</w:t>
      </w:r>
      <w:r w:rsidRPr="001B3AF7">
        <w:rPr>
          <w:bCs/>
          <w:szCs w:val="24"/>
        </w:rPr>
        <w:t xml:space="preserve">, kad po pirmosios COVID-19 viruso bangos ekonominiai rodikliai turėjo tendenciją </w:t>
      </w:r>
      <w:r>
        <w:rPr>
          <w:bCs/>
          <w:szCs w:val="24"/>
        </w:rPr>
        <w:t xml:space="preserve">sparčiausiai </w:t>
      </w:r>
      <w:r w:rsidRPr="001B3AF7">
        <w:rPr>
          <w:bCs/>
          <w:szCs w:val="24"/>
        </w:rPr>
        <w:t>atsigauti tose apskrityse, kuriose gera verslų ekosistema</w:t>
      </w:r>
      <w:r>
        <w:rPr>
          <w:bCs/>
          <w:szCs w:val="24"/>
        </w:rPr>
        <w:t>,</w:t>
      </w:r>
      <w:r w:rsidRPr="001B3AF7">
        <w:rPr>
          <w:bCs/>
          <w:szCs w:val="24"/>
        </w:rPr>
        <w:t xml:space="preserve"> – regionuose, kuriuose įsikūrusios didelės įmonės ir sparčiausiai plečiasi </w:t>
      </w:r>
      <w:r>
        <w:rPr>
          <w:bCs/>
          <w:szCs w:val="24"/>
        </w:rPr>
        <w:t>šias įmones</w:t>
      </w:r>
      <w:r w:rsidRPr="001B3AF7">
        <w:rPr>
          <w:bCs/>
          <w:szCs w:val="24"/>
        </w:rPr>
        <w:t xml:space="preserve"> aptarnaujantis verslas. </w:t>
      </w:r>
      <w:r w:rsidR="00783EF6">
        <w:rPr>
          <w:bCs/>
          <w:szCs w:val="24"/>
        </w:rPr>
        <w:t>2020 m. pabaigoje epidemiologinei situacijai pablogėjus ir vėl įvestiems apribojimams besitęsiant ir 2021 m., v</w:t>
      </w:r>
      <w:r w:rsidR="00783EF6" w:rsidRPr="001B3AF7">
        <w:rPr>
          <w:bCs/>
          <w:szCs w:val="24"/>
        </w:rPr>
        <w:t>alstybės finansinė parama verslui ir</w:t>
      </w:r>
      <w:r w:rsidR="00783EF6">
        <w:rPr>
          <w:bCs/>
          <w:szCs w:val="24"/>
        </w:rPr>
        <w:t xml:space="preserve"> užimtumui ir</w:t>
      </w:r>
      <w:r w:rsidR="00783EF6" w:rsidRPr="001B3AF7">
        <w:rPr>
          <w:bCs/>
          <w:szCs w:val="24"/>
        </w:rPr>
        <w:t xml:space="preserve"> toliau bus teikiama, o tai sušvelnins apribojimų poveikį verslo subjektams</w:t>
      </w:r>
      <w:r w:rsidR="00783EF6">
        <w:rPr>
          <w:bCs/>
          <w:szCs w:val="24"/>
        </w:rPr>
        <w:t xml:space="preserve"> ir žmonių pajamoms</w:t>
      </w:r>
      <w:r w:rsidR="00783EF6" w:rsidRPr="001B3AF7">
        <w:rPr>
          <w:bCs/>
          <w:szCs w:val="24"/>
        </w:rPr>
        <w:t>.</w:t>
      </w:r>
    </w:p>
    <w:p w14:paraId="11DBF279" w14:textId="77777777" w:rsidR="00B5113B" w:rsidRPr="00676C43" w:rsidRDefault="00B5113B" w:rsidP="00B5113B">
      <w:pPr>
        <w:pStyle w:val="prastasiniatinklio"/>
        <w:spacing w:before="0" w:beforeAutospacing="0" w:after="0" w:afterAutospacing="0" w:line="276" w:lineRule="auto"/>
        <w:ind w:firstLine="709"/>
        <w:jc w:val="both"/>
      </w:pPr>
      <w:r w:rsidRPr="00676C43">
        <w:rPr>
          <w:color w:val="000000"/>
        </w:rPr>
        <w:t xml:space="preserve">Po </w:t>
      </w:r>
      <w:proofErr w:type="spellStart"/>
      <w:r w:rsidRPr="00676C43">
        <w:rPr>
          <w:color w:val="000000"/>
        </w:rPr>
        <w:t>pandemijos</w:t>
      </w:r>
      <w:proofErr w:type="spellEnd"/>
      <w:r w:rsidRPr="00676C43">
        <w:rPr>
          <w:color w:val="000000"/>
        </w:rPr>
        <w:t xml:space="preserve"> </w:t>
      </w:r>
      <w:proofErr w:type="spellStart"/>
      <w:r w:rsidRPr="00676C43">
        <w:rPr>
          <w:color w:val="000000"/>
        </w:rPr>
        <w:t>sukelto</w:t>
      </w:r>
      <w:proofErr w:type="spellEnd"/>
      <w:r w:rsidRPr="00676C43">
        <w:rPr>
          <w:color w:val="000000"/>
        </w:rPr>
        <w:t xml:space="preserve"> </w:t>
      </w:r>
      <w:proofErr w:type="spellStart"/>
      <w:r w:rsidRPr="00676C43">
        <w:rPr>
          <w:color w:val="000000"/>
        </w:rPr>
        <w:t>nuosmukio</w:t>
      </w:r>
      <w:proofErr w:type="spellEnd"/>
      <w:r w:rsidRPr="00676C43">
        <w:rPr>
          <w:color w:val="000000"/>
        </w:rPr>
        <w:t xml:space="preserve"> 2020 m</w:t>
      </w:r>
      <w:r>
        <w:rPr>
          <w:color w:val="000000"/>
        </w:rPr>
        <w:t>.</w:t>
      </w:r>
      <w:r w:rsidRPr="00676C43">
        <w:rPr>
          <w:color w:val="000000"/>
        </w:rPr>
        <w:t xml:space="preserve"> </w:t>
      </w:r>
      <w:proofErr w:type="spellStart"/>
      <w:r w:rsidRPr="00676C43">
        <w:rPr>
          <w:color w:val="000000"/>
        </w:rPr>
        <w:t>Lietuvos</w:t>
      </w:r>
      <w:proofErr w:type="spellEnd"/>
      <w:r w:rsidRPr="00676C43">
        <w:rPr>
          <w:color w:val="000000"/>
        </w:rPr>
        <w:t xml:space="preserve"> </w:t>
      </w:r>
      <w:proofErr w:type="spellStart"/>
      <w:r w:rsidRPr="00676C43">
        <w:rPr>
          <w:color w:val="000000"/>
        </w:rPr>
        <w:t>ekonomika</w:t>
      </w:r>
      <w:proofErr w:type="spellEnd"/>
      <w:r w:rsidRPr="00676C43">
        <w:rPr>
          <w:color w:val="000000"/>
        </w:rPr>
        <w:t xml:space="preserve"> 2021 m</w:t>
      </w:r>
      <w:r>
        <w:rPr>
          <w:color w:val="000000"/>
        </w:rPr>
        <w:t>.</w:t>
      </w:r>
      <w:r w:rsidRPr="00676C43">
        <w:rPr>
          <w:color w:val="000000"/>
        </w:rPr>
        <w:t xml:space="preserve"> </w:t>
      </w:r>
      <w:proofErr w:type="spellStart"/>
      <w:r w:rsidRPr="00676C43">
        <w:rPr>
          <w:color w:val="000000"/>
        </w:rPr>
        <w:t>turėtų</w:t>
      </w:r>
      <w:proofErr w:type="spellEnd"/>
      <w:r w:rsidRPr="00676C43">
        <w:rPr>
          <w:color w:val="000000"/>
        </w:rPr>
        <w:t xml:space="preserve"> </w:t>
      </w:r>
      <w:proofErr w:type="spellStart"/>
      <w:r w:rsidRPr="00676C43">
        <w:rPr>
          <w:color w:val="000000"/>
        </w:rPr>
        <w:t>atsigauti</w:t>
      </w:r>
      <w:proofErr w:type="spellEnd"/>
      <w:r w:rsidRPr="00676C43">
        <w:rPr>
          <w:color w:val="000000"/>
        </w:rPr>
        <w:t xml:space="preserve">. </w:t>
      </w:r>
      <w:proofErr w:type="spellStart"/>
      <w:r w:rsidRPr="00676C43">
        <w:rPr>
          <w:color w:val="000000"/>
        </w:rPr>
        <w:t>Ketvirtąjį</w:t>
      </w:r>
      <w:proofErr w:type="spellEnd"/>
      <w:r w:rsidRPr="00676C43">
        <w:rPr>
          <w:color w:val="000000"/>
        </w:rPr>
        <w:t xml:space="preserve"> 2020 m</w:t>
      </w:r>
      <w:r>
        <w:rPr>
          <w:color w:val="000000"/>
        </w:rPr>
        <w:t>.</w:t>
      </w:r>
      <w:r w:rsidRPr="00676C43">
        <w:rPr>
          <w:color w:val="000000"/>
        </w:rPr>
        <w:t xml:space="preserve"> </w:t>
      </w:r>
      <w:proofErr w:type="spellStart"/>
      <w:r w:rsidRPr="00676C43">
        <w:rPr>
          <w:color w:val="000000"/>
        </w:rPr>
        <w:t>ketvirtį</w:t>
      </w:r>
      <w:proofErr w:type="spellEnd"/>
      <w:r w:rsidRPr="00676C43">
        <w:rPr>
          <w:color w:val="000000"/>
        </w:rPr>
        <w:t xml:space="preserve"> </w:t>
      </w:r>
      <w:proofErr w:type="spellStart"/>
      <w:r w:rsidRPr="00676C43">
        <w:rPr>
          <w:color w:val="000000"/>
        </w:rPr>
        <w:t>pastebimai</w:t>
      </w:r>
      <w:proofErr w:type="spellEnd"/>
      <w:r w:rsidRPr="00676C43">
        <w:rPr>
          <w:color w:val="000000"/>
        </w:rPr>
        <w:t xml:space="preserve"> </w:t>
      </w:r>
      <w:proofErr w:type="spellStart"/>
      <w:r w:rsidRPr="00676C43">
        <w:rPr>
          <w:color w:val="000000"/>
        </w:rPr>
        <w:t>pablogėjus</w:t>
      </w:r>
      <w:proofErr w:type="spellEnd"/>
      <w:r w:rsidRPr="00676C43">
        <w:rPr>
          <w:color w:val="000000"/>
        </w:rPr>
        <w:t xml:space="preserve"> </w:t>
      </w:r>
      <w:proofErr w:type="spellStart"/>
      <w:r w:rsidRPr="00676C43">
        <w:rPr>
          <w:color w:val="000000"/>
        </w:rPr>
        <w:t>epidemiologinei</w:t>
      </w:r>
      <w:proofErr w:type="spellEnd"/>
      <w:r w:rsidRPr="00676C43">
        <w:rPr>
          <w:color w:val="000000"/>
        </w:rPr>
        <w:t xml:space="preserve"> </w:t>
      </w:r>
      <w:proofErr w:type="spellStart"/>
      <w:r w:rsidRPr="00676C43">
        <w:rPr>
          <w:color w:val="000000"/>
        </w:rPr>
        <w:t>situacijai</w:t>
      </w:r>
      <w:proofErr w:type="spellEnd"/>
      <w:r w:rsidRPr="00676C43">
        <w:rPr>
          <w:color w:val="000000"/>
        </w:rPr>
        <w:t xml:space="preserve"> </w:t>
      </w:r>
      <w:proofErr w:type="spellStart"/>
      <w:r w:rsidRPr="00676C43">
        <w:rPr>
          <w:color w:val="000000"/>
        </w:rPr>
        <w:t>neigiamas</w:t>
      </w:r>
      <w:proofErr w:type="spellEnd"/>
      <w:r w:rsidRPr="00676C43">
        <w:rPr>
          <w:color w:val="000000"/>
        </w:rPr>
        <w:t xml:space="preserve"> COVID-19 </w:t>
      </w:r>
      <w:proofErr w:type="spellStart"/>
      <w:r w:rsidRPr="00676C43">
        <w:rPr>
          <w:color w:val="000000"/>
        </w:rPr>
        <w:t>viruso</w:t>
      </w:r>
      <w:proofErr w:type="spellEnd"/>
      <w:r w:rsidRPr="00676C43">
        <w:rPr>
          <w:color w:val="000000"/>
        </w:rPr>
        <w:t xml:space="preserve"> </w:t>
      </w:r>
      <w:proofErr w:type="spellStart"/>
      <w:r w:rsidRPr="00676C43">
        <w:rPr>
          <w:color w:val="000000"/>
        </w:rPr>
        <w:t>poveikis</w:t>
      </w:r>
      <w:proofErr w:type="spellEnd"/>
      <w:r w:rsidRPr="00676C43">
        <w:rPr>
          <w:color w:val="000000"/>
        </w:rPr>
        <w:t xml:space="preserve"> </w:t>
      </w:r>
      <w:proofErr w:type="spellStart"/>
      <w:r w:rsidRPr="00676C43">
        <w:rPr>
          <w:color w:val="000000"/>
        </w:rPr>
        <w:t>ekonomikai</w:t>
      </w:r>
      <w:proofErr w:type="spellEnd"/>
      <w:r w:rsidRPr="00676C43">
        <w:rPr>
          <w:color w:val="000000"/>
        </w:rPr>
        <w:t xml:space="preserve"> </w:t>
      </w:r>
      <w:proofErr w:type="spellStart"/>
      <w:r w:rsidRPr="00676C43">
        <w:rPr>
          <w:color w:val="000000"/>
        </w:rPr>
        <w:t>juntamas</w:t>
      </w:r>
      <w:proofErr w:type="spellEnd"/>
      <w:r w:rsidRPr="00676C43">
        <w:rPr>
          <w:color w:val="000000"/>
        </w:rPr>
        <w:t xml:space="preserve"> </w:t>
      </w:r>
      <w:proofErr w:type="spellStart"/>
      <w:r w:rsidRPr="00676C43">
        <w:rPr>
          <w:color w:val="000000"/>
        </w:rPr>
        <w:t>ir</w:t>
      </w:r>
      <w:proofErr w:type="spellEnd"/>
      <w:r w:rsidRPr="00676C43">
        <w:rPr>
          <w:color w:val="000000"/>
        </w:rPr>
        <w:t xml:space="preserve"> </w:t>
      </w:r>
      <w:proofErr w:type="spellStart"/>
      <w:r w:rsidRPr="00676C43">
        <w:rPr>
          <w:color w:val="000000"/>
        </w:rPr>
        <w:t>pirmąjį</w:t>
      </w:r>
      <w:proofErr w:type="spellEnd"/>
      <w:r w:rsidRPr="00676C43">
        <w:rPr>
          <w:color w:val="000000"/>
        </w:rPr>
        <w:t xml:space="preserve"> 2021 m. </w:t>
      </w:r>
      <w:proofErr w:type="spellStart"/>
      <w:r w:rsidRPr="00676C43">
        <w:rPr>
          <w:color w:val="000000"/>
        </w:rPr>
        <w:t>ketvirtį</w:t>
      </w:r>
      <w:proofErr w:type="spellEnd"/>
      <w:r w:rsidRPr="00676C43">
        <w:rPr>
          <w:color w:val="000000"/>
        </w:rPr>
        <w:t xml:space="preserve">, o </w:t>
      </w:r>
      <w:proofErr w:type="spellStart"/>
      <w:r w:rsidRPr="00676C43">
        <w:rPr>
          <w:color w:val="000000"/>
        </w:rPr>
        <w:t>įsibėgėjant</w:t>
      </w:r>
      <w:proofErr w:type="spellEnd"/>
      <w:r w:rsidRPr="00676C43">
        <w:rPr>
          <w:color w:val="000000"/>
        </w:rPr>
        <w:t xml:space="preserve"> </w:t>
      </w:r>
      <w:proofErr w:type="spellStart"/>
      <w:r w:rsidRPr="00676C43">
        <w:rPr>
          <w:color w:val="000000"/>
        </w:rPr>
        <w:t>masiniam</w:t>
      </w:r>
      <w:proofErr w:type="spellEnd"/>
      <w:r w:rsidRPr="00676C43">
        <w:rPr>
          <w:color w:val="000000"/>
        </w:rPr>
        <w:t xml:space="preserve"> </w:t>
      </w:r>
      <w:proofErr w:type="spellStart"/>
      <w:r w:rsidRPr="00676C43">
        <w:rPr>
          <w:color w:val="000000"/>
        </w:rPr>
        <w:t>visuomenės</w:t>
      </w:r>
      <w:proofErr w:type="spellEnd"/>
      <w:r w:rsidRPr="00676C43">
        <w:rPr>
          <w:color w:val="000000"/>
        </w:rPr>
        <w:t xml:space="preserve"> </w:t>
      </w:r>
      <w:proofErr w:type="spellStart"/>
      <w:r w:rsidRPr="00676C43">
        <w:rPr>
          <w:color w:val="000000"/>
        </w:rPr>
        <w:lastRenderedPageBreak/>
        <w:t>vakcinavimui</w:t>
      </w:r>
      <w:proofErr w:type="spellEnd"/>
      <w:r w:rsidRPr="00676C43">
        <w:rPr>
          <w:color w:val="000000"/>
        </w:rPr>
        <w:t xml:space="preserve"> </w:t>
      </w:r>
      <w:proofErr w:type="spellStart"/>
      <w:r w:rsidRPr="00676C43">
        <w:rPr>
          <w:color w:val="000000"/>
        </w:rPr>
        <w:t>nuo</w:t>
      </w:r>
      <w:proofErr w:type="spellEnd"/>
      <w:r w:rsidRPr="00676C43">
        <w:rPr>
          <w:color w:val="000000"/>
        </w:rPr>
        <w:t xml:space="preserve"> </w:t>
      </w:r>
      <w:proofErr w:type="spellStart"/>
      <w:r w:rsidRPr="00676C43">
        <w:rPr>
          <w:color w:val="000000"/>
        </w:rPr>
        <w:t>antrojo</w:t>
      </w:r>
      <w:proofErr w:type="spellEnd"/>
      <w:r w:rsidRPr="00676C43">
        <w:rPr>
          <w:color w:val="000000"/>
        </w:rPr>
        <w:t xml:space="preserve"> </w:t>
      </w:r>
      <w:proofErr w:type="spellStart"/>
      <w:r w:rsidRPr="00676C43">
        <w:rPr>
          <w:color w:val="000000"/>
        </w:rPr>
        <w:t>ketvirčio</w:t>
      </w:r>
      <w:proofErr w:type="spellEnd"/>
      <w:r w:rsidRPr="00676C43">
        <w:rPr>
          <w:color w:val="000000"/>
        </w:rPr>
        <w:t xml:space="preserve">, </w:t>
      </w:r>
      <w:proofErr w:type="spellStart"/>
      <w:r w:rsidRPr="00676C43">
        <w:rPr>
          <w:color w:val="000000"/>
        </w:rPr>
        <w:t>tikėtina</w:t>
      </w:r>
      <w:proofErr w:type="spellEnd"/>
      <w:r w:rsidRPr="00676C43">
        <w:rPr>
          <w:color w:val="000000"/>
        </w:rPr>
        <w:t xml:space="preserve">, </w:t>
      </w:r>
      <w:proofErr w:type="spellStart"/>
      <w:r w:rsidRPr="00676C43">
        <w:rPr>
          <w:color w:val="000000"/>
        </w:rPr>
        <w:t>sulauksime</w:t>
      </w:r>
      <w:proofErr w:type="spellEnd"/>
      <w:r w:rsidRPr="00676C43">
        <w:rPr>
          <w:color w:val="000000"/>
        </w:rPr>
        <w:t xml:space="preserve"> </w:t>
      </w:r>
      <w:proofErr w:type="spellStart"/>
      <w:r w:rsidRPr="00676C43">
        <w:rPr>
          <w:color w:val="000000"/>
        </w:rPr>
        <w:t>ekonominio</w:t>
      </w:r>
      <w:proofErr w:type="spellEnd"/>
      <w:r w:rsidRPr="00676C43">
        <w:rPr>
          <w:color w:val="000000"/>
        </w:rPr>
        <w:t xml:space="preserve"> </w:t>
      </w:r>
      <w:proofErr w:type="spellStart"/>
      <w:r w:rsidRPr="00676C43">
        <w:rPr>
          <w:color w:val="000000"/>
        </w:rPr>
        <w:t>aktyvumo</w:t>
      </w:r>
      <w:proofErr w:type="spellEnd"/>
      <w:r w:rsidRPr="00676C43">
        <w:rPr>
          <w:color w:val="000000"/>
        </w:rPr>
        <w:t xml:space="preserve"> </w:t>
      </w:r>
      <w:proofErr w:type="spellStart"/>
      <w:r w:rsidRPr="00676C43">
        <w:rPr>
          <w:color w:val="000000"/>
        </w:rPr>
        <w:t>didėjimo</w:t>
      </w:r>
      <w:proofErr w:type="spellEnd"/>
      <w:r w:rsidRPr="00676C43">
        <w:rPr>
          <w:color w:val="000000"/>
        </w:rPr>
        <w:t xml:space="preserve">. Per </w:t>
      </w:r>
      <w:proofErr w:type="spellStart"/>
      <w:r w:rsidRPr="00676C43">
        <w:rPr>
          <w:color w:val="000000"/>
        </w:rPr>
        <w:t>visus</w:t>
      </w:r>
      <w:proofErr w:type="spellEnd"/>
      <w:r w:rsidRPr="00676C43">
        <w:rPr>
          <w:color w:val="000000"/>
        </w:rPr>
        <w:t xml:space="preserve"> 2021 m</w:t>
      </w:r>
      <w:r>
        <w:rPr>
          <w:color w:val="000000"/>
        </w:rPr>
        <w:t>.</w:t>
      </w:r>
      <w:r w:rsidRPr="00676C43">
        <w:rPr>
          <w:color w:val="000000"/>
        </w:rPr>
        <w:t xml:space="preserve"> </w:t>
      </w:r>
      <w:proofErr w:type="spellStart"/>
      <w:r w:rsidRPr="00676C43">
        <w:rPr>
          <w:color w:val="000000"/>
        </w:rPr>
        <w:t>Lietuvos</w:t>
      </w:r>
      <w:proofErr w:type="spellEnd"/>
      <w:r w:rsidRPr="00676C43">
        <w:rPr>
          <w:color w:val="000000"/>
        </w:rPr>
        <w:t xml:space="preserve"> </w:t>
      </w:r>
      <w:proofErr w:type="spellStart"/>
      <w:r w:rsidRPr="00676C43">
        <w:rPr>
          <w:color w:val="000000"/>
        </w:rPr>
        <w:t>ekonomika</w:t>
      </w:r>
      <w:proofErr w:type="spellEnd"/>
      <w:r w:rsidRPr="00676C43">
        <w:rPr>
          <w:color w:val="000000"/>
        </w:rPr>
        <w:t xml:space="preserve"> </w:t>
      </w:r>
      <w:proofErr w:type="spellStart"/>
      <w:r w:rsidRPr="00676C43">
        <w:rPr>
          <w:color w:val="000000"/>
        </w:rPr>
        <w:t>galėtų</w:t>
      </w:r>
      <w:proofErr w:type="spellEnd"/>
      <w:r w:rsidRPr="00676C43">
        <w:rPr>
          <w:color w:val="000000"/>
        </w:rPr>
        <w:t xml:space="preserve"> </w:t>
      </w:r>
      <w:proofErr w:type="spellStart"/>
      <w:r w:rsidRPr="00676C43">
        <w:rPr>
          <w:color w:val="000000"/>
        </w:rPr>
        <w:t>augti</w:t>
      </w:r>
      <w:proofErr w:type="spellEnd"/>
      <w:r w:rsidRPr="00676C43">
        <w:rPr>
          <w:color w:val="000000"/>
        </w:rPr>
        <w:t xml:space="preserve"> 2,6 </w:t>
      </w:r>
      <w:proofErr w:type="spellStart"/>
      <w:r w:rsidRPr="00676C43">
        <w:rPr>
          <w:color w:val="000000"/>
        </w:rPr>
        <w:t>proc</w:t>
      </w:r>
      <w:r>
        <w:rPr>
          <w:color w:val="000000"/>
        </w:rPr>
        <w:t>ento</w:t>
      </w:r>
      <w:proofErr w:type="spellEnd"/>
      <w:r>
        <w:rPr>
          <w:color w:val="000000"/>
        </w:rPr>
        <w:t>.</w:t>
      </w:r>
    </w:p>
    <w:p w14:paraId="3DF1C4D4" w14:textId="77777777" w:rsidR="00B5113B" w:rsidRDefault="00B5113B" w:rsidP="00B5113B">
      <w:pPr>
        <w:pStyle w:val="Pagrindinistekstas"/>
        <w:tabs>
          <w:tab w:val="num" w:pos="851"/>
        </w:tabs>
        <w:spacing w:line="276" w:lineRule="auto"/>
        <w:ind w:firstLine="709"/>
        <w:rPr>
          <w:szCs w:val="24"/>
        </w:rPr>
      </w:pPr>
      <w:r>
        <w:rPr>
          <w:szCs w:val="24"/>
        </w:rPr>
        <w:t xml:space="preserve">2020 m. </w:t>
      </w:r>
      <w:r w:rsidRPr="00676C43">
        <w:rPr>
          <w:szCs w:val="24"/>
        </w:rPr>
        <w:t>COVID-19 viruso pandemija visuomenėje kėlė nerimą, jos suvaldymo priemonėmis apribotos galimybės naudotis tam tikromis paslaugomis, laikinai sutrikusi dalis prekybinių procesų pernai lėmė mažesnes gyventojų išlaidas vartojimui. Namų ūkių vartojimo išlaidos 2020 m. smuko 1,5</w:t>
      </w:r>
      <w:r>
        <w:rPr>
          <w:szCs w:val="24"/>
        </w:rPr>
        <w:t> </w:t>
      </w:r>
      <w:r w:rsidRPr="00676C43">
        <w:rPr>
          <w:szCs w:val="24"/>
        </w:rPr>
        <w:t>procento.</w:t>
      </w:r>
      <w:r w:rsidRPr="00F01BD9">
        <w:rPr>
          <w:szCs w:val="24"/>
        </w:rPr>
        <w:t xml:space="preserve"> </w:t>
      </w:r>
      <w:r w:rsidRPr="00676C43">
        <w:rPr>
          <w:szCs w:val="24"/>
        </w:rPr>
        <w:t>2021 m. namų ūkių vartojimo išlaidos 2021 m. galėtų augti 2,6 procento.</w:t>
      </w:r>
      <w:r w:rsidRPr="00F01BD9">
        <w:rPr>
          <w:szCs w:val="24"/>
        </w:rPr>
        <w:t xml:space="preserve"> </w:t>
      </w:r>
    </w:p>
    <w:p w14:paraId="7F18CDAE" w14:textId="77777777" w:rsidR="00B5113B" w:rsidRDefault="00B5113B" w:rsidP="00B5113B">
      <w:pPr>
        <w:pStyle w:val="Pagrindinistekstas"/>
        <w:tabs>
          <w:tab w:val="num" w:pos="851"/>
        </w:tabs>
        <w:spacing w:line="276" w:lineRule="auto"/>
        <w:ind w:firstLine="709"/>
        <w:rPr>
          <w:szCs w:val="24"/>
        </w:rPr>
      </w:pPr>
      <w:r w:rsidRPr="00676C43">
        <w:rPr>
          <w:szCs w:val="24"/>
        </w:rPr>
        <w:t>Pandemijos sukeltas itin didelis neapibrėžtumas lėmė mažesnes išlaidas investiciniams projektams. Susidūrus su COVID-19 virusu dauguma įmonių atidėjo investicinius planus. Išlaidos bendrojo pagrindinio kapitalo formavimui 2020 m. Lietuvoje smuko 0,2 procento.</w:t>
      </w:r>
      <w:r w:rsidRPr="00F01BD9">
        <w:rPr>
          <w:szCs w:val="24"/>
        </w:rPr>
        <w:t xml:space="preserve"> </w:t>
      </w:r>
      <w:r w:rsidRPr="00676C43">
        <w:rPr>
          <w:szCs w:val="24"/>
        </w:rPr>
        <w:t>2021 m. išlaidos bendrojo pagrindinio kapitalo formavimui galėtų augti 4,6 procento</w:t>
      </w:r>
      <w:r>
        <w:rPr>
          <w:szCs w:val="24"/>
        </w:rPr>
        <w:t xml:space="preserve">. </w:t>
      </w:r>
    </w:p>
    <w:p w14:paraId="75979627" w14:textId="77777777" w:rsidR="00B5113B" w:rsidRPr="001F6847" w:rsidRDefault="00B5113B" w:rsidP="00B5113B">
      <w:pPr>
        <w:pStyle w:val="Pagrindinistekstas"/>
        <w:tabs>
          <w:tab w:val="num" w:pos="851"/>
        </w:tabs>
        <w:spacing w:line="276" w:lineRule="auto"/>
        <w:ind w:firstLine="709"/>
        <w:rPr>
          <w:bCs/>
          <w:szCs w:val="24"/>
        </w:rPr>
      </w:pPr>
      <w:r w:rsidRPr="001F6847">
        <w:rPr>
          <w:bCs/>
          <w:szCs w:val="24"/>
        </w:rPr>
        <w:t>Dėl neigiamai pandemijos paveiktų užsienio prekybos rinkų</w:t>
      </w:r>
      <w:r>
        <w:rPr>
          <w:bCs/>
          <w:szCs w:val="24"/>
        </w:rPr>
        <w:t xml:space="preserve"> </w:t>
      </w:r>
      <w:r w:rsidRPr="001F6847">
        <w:rPr>
          <w:bCs/>
          <w:szCs w:val="24"/>
        </w:rPr>
        <w:t>2020 m. Lietuvos prekių ir paslaugų eksportas</w:t>
      </w:r>
      <w:r>
        <w:rPr>
          <w:bCs/>
          <w:szCs w:val="24"/>
        </w:rPr>
        <w:t xml:space="preserve"> sumažėjo 1,3 procento. R</w:t>
      </w:r>
      <w:r w:rsidRPr="00676C43">
        <w:t xml:space="preserve">emiantis prielaidomis dėl užsienio paklausos atsigavimo 2021 m. tikėtinas 4,8 proc. prekių ir paslaugų eksporto augimas. </w:t>
      </w:r>
    </w:p>
    <w:p w14:paraId="53683F71" w14:textId="29F51441" w:rsidR="00B5113B" w:rsidRDefault="00B5113B" w:rsidP="00B5113B">
      <w:pPr>
        <w:pStyle w:val="Pagrindinistekstas"/>
        <w:tabs>
          <w:tab w:val="num" w:pos="851"/>
        </w:tabs>
        <w:spacing w:line="276" w:lineRule="auto"/>
        <w:ind w:firstLine="709"/>
      </w:pPr>
      <w:r w:rsidRPr="00676C43">
        <w:t>2020 m. COVID-19 pandemija reikšmingai pablogino darbo rinkos būklę šalyje. Nedarbo lygis, apskaičiuotas pagal gyventojų užimtumo tyrimo metodologiją, 2020 m. padidėjo 2,2 procentinio punkto iki 8,5 proc., o užimtų gyventojų sumažėjo 1,5 procento. 2021</w:t>
      </w:r>
      <w:r>
        <w:t> </w:t>
      </w:r>
      <w:r w:rsidRPr="00676C43">
        <w:t xml:space="preserve">m. užimtų gyventojų skaičius išaugs 0,7 proc., o nedarbo lygis, apskaičiuotas pagal gyventojų užimtumo tyrimo metodiką, </w:t>
      </w:r>
      <w:r>
        <w:t xml:space="preserve">išliks tokiame pačiame lygyje kaip pernai </w:t>
      </w:r>
      <w:r w:rsidRPr="00676C43">
        <w:rPr>
          <w:color w:val="000000"/>
        </w:rPr>
        <w:t>–</w:t>
      </w:r>
      <w:r>
        <w:t xml:space="preserve"> </w:t>
      </w:r>
      <w:r w:rsidRPr="00676C43">
        <w:t>sudarys 8,5 procento.</w:t>
      </w:r>
      <w:r w:rsidRPr="00C42B27">
        <w:t xml:space="preserve"> </w:t>
      </w:r>
    </w:p>
    <w:p w14:paraId="6156B3D5" w14:textId="21040977" w:rsidR="00B5113B" w:rsidRDefault="00B5113B" w:rsidP="00B5113B">
      <w:pPr>
        <w:pStyle w:val="Pagrindinistekstas"/>
        <w:tabs>
          <w:tab w:val="num" w:pos="851"/>
        </w:tabs>
        <w:spacing w:line="276" w:lineRule="auto"/>
        <w:ind w:firstLine="709"/>
      </w:pPr>
      <w:r>
        <w:t xml:space="preserve">2020 m. vidutinis mėnesinis bruto darbo užmokestis šalyje </w:t>
      </w:r>
      <w:r w:rsidRPr="004314C1">
        <w:t xml:space="preserve">sudarė 1421,2 </w:t>
      </w:r>
      <w:r w:rsidR="00F049C9">
        <w:t>eurų</w:t>
      </w:r>
      <w:r w:rsidRPr="004314C1">
        <w:t xml:space="preserve"> ir padidėjo 9,6 procento</w:t>
      </w:r>
      <w:r>
        <w:t xml:space="preserve">. 2021 m. vidutinis mėnesinis bruto darbo užmokestis augs lėčiau nei 2020 m. ir augimo tempas galėtų siekti 5,2 procento. </w:t>
      </w:r>
    </w:p>
    <w:p w14:paraId="563DCDCA" w14:textId="77777777" w:rsidR="00B5113B" w:rsidRPr="001F6847" w:rsidRDefault="00B5113B" w:rsidP="00B5113B">
      <w:pPr>
        <w:pStyle w:val="Pagrindinistekstas"/>
        <w:tabs>
          <w:tab w:val="num" w:pos="851"/>
        </w:tabs>
        <w:spacing w:line="276" w:lineRule="auto"/>
        <w:ind w:firstLine="709"/>
        <w:rPr>
          <w:bCs/>
          <w:szCs w:val="24"/>
        </w:rPr>
      </w:pPr>
      <w:r w:rsidRPr="00676C43">
        <w:rPr>
          <w:szCs w:val="24"/>
        </w:rPr>
        <w:t>Infliacinis spaudimas Lietuvoje 2020 m. II pusmetį mažėjo dėl palankesnių importuojamų prekių kainų, kurias lėmė pandemijos sukeltas pasaulinis ekonominis nuosmukis ir susilpnėjusi energijos ir maisto žaliavų paklausa tarptautinėse rinkose, taip pat dėl pandemijos neigiamo poveikio Lietuvos ekonomikai, ypač paslaugų sektoriui, lėmusio mažesnę dalies vartojimo paslaugų paklausą ir kainas.</w:t>
      </w:r>
      <w:r w:rsidRPr="001F6847">
        <w:rPr>
          <w:bCs/>
          <w:szCs w:val="24"/>
        </w:rPr>
        <w:t xml:space="preserve">2020 m. vidutinė metinė infliacija sumažėjo iki 1,1 proc. (2019 m. ji siekė 2,2 proc.). </w:t>
      </w:r>
      <w:r w:rsidRPr="00676C43">
        <w:rPr>
          <w:szCs w:val="24"/>
        </w:rPr>
        <w:t xml:space="preserve">2021 </w:t>
      </w:r>
      <w:r>
        <w:rPr>
          <w:szCs w:val="24"/>
        </w:rPr>
        <w:t>m.</w:t>
      </w:r>
      <w:r w:rsidRPr="00676C43">
        <w:rPr>
          <w:szCs w:val="24"/>
        </w:rPr>
        <w:t xml:space="preserve"> vidutinė metin</w:t>
      </w:r>
      <w:r>
        <w:rPr>
          <w:szCs w:val="24"/>
        </w:rPr>
        <w:t>ė infliacija sieks 1,8 procento.</w:t>
      </w:r>
    </w:p>
    <w:p w14:paraId="26CB2993" w14:textId="77777777" w:rsidR="002A479B" w:rsidRPr="001F6847" w:rsidRDefault="002A479B" w:rsidP="002A479B">
      <w:pPr>
        <w:pStyle w:val="Pagrindinistekstas"/>
        <w:tabs>
          <w:tab w:val="num" w:pos="851"/>
        </w:tabs>
        <w:spacing w:line="276" w:lineRule="auto"/>
        <w:ind w:firstLine="709"/>
        <w:rPr>
          <w:bCs/>
          <w:szCs w:val="24"/>
        </w:rPr>
      </w:pPr>
      <w:r w:rsidRPr="001F6847">
        <w:rPr>
          <w:bCs/>
          <w:szCs w:val="24"/>
        </w:rPr>
        <w:t>Epidemiologinė situacija Lietuvoje ir užsienio valstybėse vis dar sudėtinga, tvyro neapibrėžtumas dėl neigiamą įtaką ekonomikai darančių viruso suvaldymo priemonių taikymo trukmės. Išlieka rizika dėl globalios ekonomikos atsigavimo, geopolitinių įtampų. Visgi, nors susiduriama su tiekimo trikdžiais, vakcinavimo procesas jau prasidėjęs, o sėkmingas šio proceso veikimas galėtų prisidėti prie greitesnio ekonomikos atsigavimo.</w:t>
      </w:r>
    </w:p>
    <w:p w14:paraId="1C21400D" w14:textId="769454EC" w:rsidR="000740EA" w:rsidRDefault="00444D11" w:rsidP="00B87D0C">
      <w:pPr>
        <w:pStyle w:val="Pagrindinistekstas"/>
        <w:tabs>
          <w:tab w:val="num" w:pos="851"/>
        </w:tabs>
        <w:spacing w:line="276" w:lineRule="auto"/>
        <w:ind w:firstLine="709"/>
        <w:rPr>
          <w:bCs/>
          <w:szCs w:val="24"/>
        </w:rPr>
      </w:pPr>
      <w:r>
        <w:rPr>
          <w:bCs/>
          <w:szCs w:val="24"/>
        </w:rPr>
        <w:t xml:space="preserve">Pagrindiniai </w:t>
      </w:r>
      <w:r w:rsidR="002A479B" w:rsidRPr="001F6847">
        <w:rPr>
          <w:bCs/>
          <w:szCs w:val="24"/>
        </w:rPr>
        <w:t>F</w:t>
      </w:r>
      <w:r>
        <w:rPr>
          <w:bCs/>
          <w:szCs w:val="24"/>
        </w:rPr>
        <w:t xml:space="preserve">inansų ministerijos parengto </w:t>
      </w:r>
      <w:r w:rsidR="002A479B">
        <w:rPr>
          <w:bCs/>
          <w:szCs w:val="24"/>
        </w:rPr>
        <w:t xml:space="preserve">ekonominės raidos scenarijaus </w:t>
      </w:r>
      <w:r w:rsidR="002A479B" w:rsidRPr="001F6847">
        <w:rPr>
          <w:bCs/>
          <w:szCs w:val="24"/>
        </w:rPr>
        <w:t xml:space="preserve">rodikliai pateikti </w:t>
      </w:r>
      <w:r w:rsidR="008D1363">
        <w:rPr>
          <w:bCs/>
          <w:szCs w:val="24"/>
        </w:rPr>
        <w:t xml:space="preserve">6 </w:t>
      </w:r>
      <w:r w:rsidR="002A479B" w:rsidRPr="001F6847">
        <w:rPr>
          <w:bCs/>
          <w:szCs w:val="24"/>
        </w:rPr>
        <w:t>lentelėje</w:t>
      </w:r>
      <w:r w:rsidR="000740EA">
        <w:rPr>
          <w:bCs/>
          <w:szCs w:val="24"/>
        </w:rPr>
        <w:t>:</w:t>
      </w:r>
    </w:p>
    <w:p w14:paraId="0168618B" w14:textId="77777777" w:rsidR="000740EA" w:rsidRDefault="000740EA" w:rsidP="002A479B">
      <w:pPr>
        <w:pStyle w:val="Pagrindinistekstas"/>
        <w:spacing w:line="276" w:lineRule="auto"/>
        <w:ind w:left="1440"/>
        <w:rPr>
          <w:bCs/>
          <w:szCs w:val="24"/>
        </w:rPr>
      </w:pPr>
    </w:p>
    <w:p w14:paraId="7B0D1EDA" w14:textId="6FCBCAB5" w:rsidR="002A479B" w:rsidRDefault="00626339" w:rsidP="00B87D0C">
      <w:pPr>
        <w:autoSpaceDE w:val="0"/>
        <w:autoSpaceDN w:val="0"/>
        <w:adjustRightInd w:val="0"/>
        <w:spacing w:line="276" w:lineRule="auto"/>
        <w:jc w:val="center"/>
        <w:rPr>
          <w:b/>
          <w:bCs/>
          <w:color w:val="004080"/>
          <w:szCs w:val="24"/>
        </w:rPr>
      </w:pPr>
      <w:r>
        <w:rPr>
          <w:b/>
          <w:bCs/>
          <w:color w:val="004080"/>
          <w:szCs w:val="24"/>
        </w:rPr>
        <w:t>6</w:t>
      </w:r>
      <w:r w:rsidR="00CA399D">
        <w:rPr>
          <w:b/>
          <w:bCs/>
          <w:color w:val="004080"/>
          <w:szCs w:val="24"/>
        </w:rPr>
        <w:t xml:space="preserve"> lentelė</w:t>
      </w:r>
      <w:r w:rsidR="006137AF">
        <w:rPr>
          <w:b/>
          <w:bCs/>
          <w:color w:val="004080"/>
          <w:szCs w:val="24"/>
        </w:rPr>
        <w:t xml:space="preserve">. </w:t>
      </w:r>
      <w:r w:rsidR="002A479B" w:rsidRPr="00AE19D6">
        <w:rPr>
          <w:b/>
          <w:bCs/>
          <w:color w:val="004080"/>
          <w:szCs w:val="24"/>
        </w:rPr>
        <w:t>Pagrindiniai ekonominės raidos scenarijaus rodikliai (2020 m. gruodis)</w:t>
      </w:r>
    </w:p>
    <w:p w14:paraId="41659478" w14:textId="77777777" w:rsidR="002A479B" w:rsidRPr="00AE19D6" w:rsidRDefault="002A479B" w:rsidP="002A479B">
      <w:pPr>
        <w:autoSpaceDE w:val="0"/>
        <w:autoSpaceDN w:val="0"/>
        <w:adjustRightInd w:val="0"/>
        <w:spacing w:line="276" w:lineRule="auto"/>
        <w:ind w:left="1134" w:firstLine="284"/>
        <w:jc w:val="both"/>
        <w:rPr>
          <w:b/>
          <w:bCs/>
          <w:color w:val="004080"/>
          <w:szCs w:val="24"/>
        </w:rPr>
      </w:pPr>
    </w:p>
    <w:tbl>
      <w:tblPr>
        <w:tblW w:w="8930" w:type="dxa"/>
        <w:jc w:val="center"/>
        <w:tblLayout w:type="fixed"/>
        <w:tblCellMar>
          <w:top w:w="7" w:type="dxa"/>
          <w:left w:w="15" w:type="dxa"/>
          <w:bottom w:w="7" w:type="dxa"/>
          <w:right w:w="15" w:type="dxa"/>
        </w:tblCellMar>
        <w:tblLook w:val="00A0" w:firstRow="1" w:lastRow="0" w:firstColumn="1" w:lastColumn="0" w:noHBand="0" w:noVBand="0"/>
      </w:tblPr>
      <w:tblGrid>
        <w:gridCol w:w="4670"/>
        <w:gridCol w:w="858"/>
        <w:gridCol w:w="851"/>
        <w:gridCol w:w="850"/>
        <w:gridCol w:w="851"/>
        <w:gridCol w:w="850"/>
      </w:tblGrid>
      <w:tr w:rsidR="00B5113B" w:rsidRPr="00AE19D6" w14:paraId="2AE7F55C"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004080"/>
            <w:vAlign w:val="center"/>
          </w:tcPr>
          <w:p w14:paraId="70FDA26C" w14:textId="77777777" w:rsidR="00B5113B" w:rsidRPr="00AE19D6" w:rsidRDefault="00B5113B" w:rsidP="00B5113B">
            <w:pPr>
              <w:autoSpaceDE w:val="0"/>
              <w:autoSpaceDN w:val="0"/>
              <w:adjustRightInd w:val="0"/>
              <w:spacing w:line="276" w:lineRule="auto"/>
              <w:jc w:val="both"/>
              <w:rPr>
                <w:b/>
                <w:bCs/>
                <w:color w:val="FFFFFF"/>
                <w:szCs w:val="24"/>
              </w:rPr>
            </w:pPr>
            <w:r w:rsidRPr="00AE19D6">
              <w:rPr>
                <w:b/>
                <w:bCs/>
                <w:color w:val="FFFFFF"/>
                <w:szCs w:val="24"/>
              </w:rPr>
              <w:t xml:space="preserve"> Rodiklio pavadinimas</w:t>
            </w:r>
          </w:p>
        </w:tc>
        <w:tc>
          <w:tcPr>
            <w:tcW w:w="858" w:type="dxa"/>
            <w:tcBorders>
              <w:top w:val="single" w:sz="6" w:space="0" w:color="000000"/>
              <w:left w:val="single" w:sz="6" w:space="0" w:color="000000"/>
              <w:bottom w:val="single" w:sz="6" w:space="0" w:color="000000"/>
              <w:right w:val="single" w:sz="6" w:space="0" w:color="000000"/>
            </w:tcBorders>
            <w:shd w:val="clear" w:color="auto" w:fill="004080"/>
            <w:vAlign w:val="center"/>
          </w:tcPr>
          <w:p w14:paraId="4D4CF97A" w14:textId="6CCCCD93" w:rsidR="00B5113B" w:rsidRPr="00AE19D6" w:rsidRDefault="00B5113B" w:rsidP="00B5113B">
            <w:pPr>
              <w:autoSpaceDE w:val="0"/>
              <w:autoSpaceDN w:val="0"/>
              <w:adjustRightInd w:val="0"/>
              <w:spacing w:line="276" w:lineRule="auto"/>
              <w:jc w:val="center"/>
              <w:rPr>
                <w:b/>
                <w:bCs/>
                <w:color w:val="FFFFFF"/>
                <w:szCs w:val="24"/>
              </w:rPr>
            </w:pPr>
            <w:r>
              <w:rPr>
                <w:b/>
                <w:bCs/>
                <w:color w:val="FFFFFF"/>
                <w:szCs w:val="24"/>
              </w:rPr>
              <w:t>2020</w:t>
            </w:r>
          </w:p>
        </w:tc>
        <w:tc>
          <w:tcPr>
            <w:tcW w:w="851" w:type="dxa"/>
            <w:tcBorders>
              <w:top w:val="single" w:sz="6" w:space="0" w:color="000000"/>
              <w:left w:val="single" w:sz="6" w:space="0" w:color="000000"/>
              <w:bottom w:val="single" w:sz="6" w:space="0" w:color="000000"/>
              <w:right w:val="single" w:sz="6" w:space="0" w:color="000000"/>
            </w:tcBorders>
            <w:shd w:val="clear" w:color="auto" w:fill="004080"/>
            <w:vAlign w:val="center"/>
          </w:tcPr>
          <w:p w14:paraId="1D0B9B0F" w14:textId="391119E4" w:rsidR="00B5113B" w:rsidRPr="00AE19D6" w:rsidRDefault="00B5113B" w:rsidP="00B5113B">
            <w:pPr>
              <w:autoSpaceDE w:val="0"/>
              <w:autoSpaceDN w:val="0"/>
              <w:adjustRightInd w:val="0"/>
              <w:spacing w:line="276" w:lineRule="auto"/>
              <w:jc w:val="center"/>
              <w:rPr>
                <w:b/>
                <w:bCs/>
                <w:color w:val="FFFFFF"/>
                <w:szCs w:val="24"/>
              </w:rPr>
            </w:pPr>
            <w:r w:rsidRPr="00AE19D6">
              <w:rPr>
                <w:b/>
                <w:bCs/>
                <w:color w:val="FFFFFF"/>
                <w:szCs w:val="24"/>
              </w:rPr>
              <w:t>202</w:t>
            </w:r>
            <w:r>
              <w:rPr>
                <w:b/>
                <w:bCs/>
                <w:color w:val="FFFFFF"/>
                <w:szCs w:val="24"/>
              </w:rPr>
              <w:t>1</w:t>
            </w:r>
            <w:r w:rsidRPr="00AE19D6">
              <w:rPr>
                <w:b/>
                <w:bCs/>
                <w:color w:val="FFFFFF"/>
                <w:szCs w:val="24"/>
              </w:rPr>
              <w:t>P</w:t>
            </w:r>
          </w:p>
        </w:tc>
        <w:tc>
          <w:tcPr>
            <w:tcW w:w="850" w:type="dxa"/>
            <w:tcBorders>
              <w:top w:val="single" w:sz="6" w:space="0" w:color="000000"/>
              <w:left w:val="single" w:sz="6" w:space="0" w:color="000000"/>
              <w:bottom w:val="single" w:sz="6" w:space="0" w:color="000000"/>
              <w:right w:val="single" w:sz="6" w:space="0" w:color="000000"/>
            </w:tcBorders>
            <w:shd w:val="clear" w:color="auto" w:fill="004080"/>
            <w:vAlign w:val="center"/>
          </w:tcPr>
          <w:p w14:paraId="61484AD7" w14:textId="0B699EA6" w:rsidR="00B5113B" w:rsidRPr="00AE19D6" w:rsidRDefault="00B5113B" w:rsidP="00B5113B">
            <w:pPr>
              <w:autoSpaceDE w:val="0"/>
              <w:autoSpaceDN w:val="0"/>
              <w:adjustRightInd w:val="0"/>
              <w:spacing w:line="276" w:lineRule="auto"/>
              <w:jc w:val="center"/>
              <w:rPr>
                <w:b/>
                <w:bCs/>
                <w:color w:val="FFFFFF"/>
                <w:szCs w:val="24"/>
              </w:rPr>
            </w:pPr>
            <w:r w:rsidRPr="00AE19D6">
              <w:rPr>
                <w:b/>
                <w:bCs/>
                <w:color w:val="FFFFFF"/>
                <w:szCs w:val="24"/>
              </w:rPr>
              <w:t>202</w:t>
            </w:r>
            <w:r>
              <w:rPr>
                <w:b/>
                <w:bCs/>
                <w:color w:val="FFFFFF"/>
                <w:szCs w:val="24"/>
              </w:rPr>
              <w:t>2</w:t>
            </w:r>
            <w:r w:rsidRPr="00AE19D6">
              <w:rPr>
                <w:b/>
                <w:bCs/>
                <w:color w:val="FFFFFF"/>
                <w:szCs w:val="24"/>
              </w:rPr>
              <w:t>P</w:t>
            </w:r>
          </w:p>
        </w:tc>
        <w:tc>
          <w:tcPr>
            <w:tcW w:w="851" w:type="dxa"/>
            <w:tcBorders>
              <w:top w:val="single" w:sz="6" w:space="0" w:color="000000"/>
              <w:left w:val="single" w:sz="6" w:space="0" w:color="000000"/>
              <w:bottom w:val="single" w:sz="6" w:space="0" w:color="000000"/>
              <w:right w:val="single" w:sz="6" w:space="0" w:color="000000"/>
            </w:tcBorders>
            <w:shd w:val="clear" w:color="auto" w:fill="004080"/>
            <w:vAlign w:val="center"/>
          </w:tcPr>
          <w:p w14:paraId="2D6C0362" w14:textId="5E7B10B6" w:rsidR="00B5113B" w:rsidRPr="00AE19D6" w:rsidRDefault="00B5113B" w:rsidP="00B5113B">
            <w:pPr>
              <w:autoSpaceDE w:val="0"/>
              <w:autoSpaceDN w:val="0"/>
              <w:adjustRightInd w:val="0"/>
              <w:spacing w:line="276" w:lineRule="auto"/>
              <w:jc w:val="center"/>
              <w:rPr>
                <w:b/>
                <w:bCs/>
                <w:color w:val="FFFFFF"/>
                <w:szCs w:val="24"/>
              </w:rPr>
            </w:pPr>
            <w:r w:rsidRPr="00AE19D6">
              <w:rPr>
                <w:b/>
                <w:bCs/>
                <w:color w:val="FFFFFF"/>
                <w:szCs w:val="24"/>
              </w:rPr>
              <w:t>202</w:t>
            </w:r>
            <w:r>
              <w:rPr>
                <w:b/>
                <w:bCs/>
                <w:color w:val="FFFFFF"/>
                <w:szCs w:val="24"/>
              </w:rPr>
              <w:t>3</w:t>
            </w:r>
            <w:r w:rsidRPr="00AE19D6">
              <w:rPr>
                <w:b/>
                <w:bCs/>
                <w:color w:val="FFFFFF"/>
                <w:szCs w:val="24"/>
              </w:rPr>
              <w:t>P</w:t>
            </w:r>
          </w:p>
        </w:tc>
        <w:tc>
          <w:tcPr>
            <w:tcW w:w="850" w:type="dxa"/>
            <w:tcBorders>
              <w:top w:val="single" w:sz="6" w:space="0" w:color="000000"/>
              <w:left w:val="single" w:sz="6" w:space="0" w:color="000000"/>
              <w:bottom w:val="single" w:sz="6" w:space="0" w:color="000000"/>
              <w:right w:val="single" w:sz="6" w:space="0" w:color="000000"/>
            </w:tcBorders>
            <w:shd w:val="clear" w:color="auto" w:fill="004080"/>
            <w:vAlign w:val="center"/>
          </w:tcPr>
          <w:p w14:paraId="23CA81F2" w14:textId="6BB3A34A" w:rsidR="00B5113B" w:rsidRPr="00AE19D6" w:rsidRDefault="00B5113B" w:rsidP="00B5113B">
            <w:pPr>
              <w:autoSpaceDE w:val="0"/>
              <w:autoSpaceDN w:val="0"/>
              <w:adjustRightInd w:val="0"/>
              <w:spacing w:line="276" w:lineRule="auto"/>
              <w:jc w:val="center"/>
              <w:rPr>
                <w:b/>
                <w:bCs/>
                <w:color w:val="FFFFFF"/>
                <w:szCs w:val="24"/>
              </w:rPr>
            </w:pPr>
            <w:r w:rsidRPr="00AE19D6">
              <w:rPr>
                <w:b/>
                <w:bCs/>
                <w:color w:val="FFFFFF"/>
                <w:szCs w:val="24"/>
              </w:rPr>
              <w:t>202</w:t>
            </w:r>
            <w:r>
              <w:rPr>
                <w:b/>
                <w:bCs/>
                <w:color w:val="FFFFFF"/>
                <w:szCs w:val="24"/>
              </w:rPr>
              <w:t>4</w:t>
            </w:r>
            <w:r w:rsidRPr="00AE19D6">
              <w:rPr>
                <w:b/>
                <w:bCs/>
                <w:color w:val="FFFFFF"/>
                <w:szCs w:val="24"/>
              </w:rPr>
              <w:t>P</w:t>
            </w:r>
          </w:p>
        </w:tc>
      </w:tr>
      <w:tr w:rsidR="00B5113B" w:rsidRPr="00AE19D6" w14:paraId="22766B85"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vAlign w:val="center"/>
          </w:tcPr>
          <w:p w14:paraId="1FBC9919"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 xml:space="preserve">BVP (to meto kainomis), mln. </w:t>
            </w:r>
            <w:r>
              <w:rPr>
                <w:color w:val="000000"/>
                <w:szCs w:val="24"/>
              </w:rPr>
              <w:t>E</w:t>
            </w:r>
            <w:r w:rsidRPr="00AE19D6">
              <w:rPr>
                <w:color w:val="000000"/>
                <w:szCs w:val="24"/>
              </w:rPr>
              <w:t>ur</w:t>
            </w:r>
          </w:p>
        </w:tc>
        <w:tc>
          <w:tcPr>
            <w:tcW w:w="858" w:type="dxa"/>
            <w:tcBorders>
              <w:top w:val="single" w:sz="6" w:space="0" w:color="000000"/>
              <w:left w:val="single" w:sz="6" w:space="0" w:color="000000"/>
              <w:bottom w:val="single" w:sz="6" w:space="0" w:color="000000"/>
              <w:right w:val="single" w:sz="6" w:space="0" w:color="000000"/>
            </w:tcBorders>
          </w:tcPr>
          <w:p w14:paraId="214A2349" w14:textId="4DBCEBDE"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48794</w:t>
            </w:r>
          </w:p>
        </w:tc>
        <w:tc>
          <w:tcPr>
            <w:tcW w:w="851" w:type="dxa"/>
            <w:tcBorders>
              <w:top w:val="single" w:sz="6" w:space="0" w:color="000000"/>
              <w:left w:val="single" w:sz="6" w:space="0" w:color="000000"/>
              <w:bottom w:val="single" w:sz="6" w:space="0" w:color="000000"/>
              <w:right w:val="single" w:sz="6" w:space="0" w:color="000000"/>
            </w:tcBorders>
          </w:tcPr>
          <w:p w14:paraId="34385AC6" w14:textId="29F463EC"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50966</w:t>
            </w:r>
          </w:p>
        </w:tc>
        <w:tc>
          <w:tcPr>
            <w:tcW w:w="850" w:type="dxa"/>
            <w:tcBorders>
              <w:top w:val="single" w:sz="6" w:space="0" w:color="000000"/>
              <w:left w:val="single" w:sz="6" w:space="0" w:color="000000"/>
              <w:bottom w:val="single" w:sz="6" w:space="0" w:color="000000"/>
              <w:right w:val="single" w:sz="6" w:space="0" w:color="000000"/>
            </w:tcBorders>
          </w:tcPr>
          <w:p w14:paraId="70FF1AB2" w14:textId="5BCFD158"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53564</w:t>
            </w:r>
          </w:p>
        </w:tc>
        <w:tc>
          <w:tcPr>
            <w:tcW w:w="851" w:type="dxa"/>
            <w:tcBorders>
              <w:top w:val="single" w:sz="6" w:space="0" w:color="000000"/>
              <w:left w:val="single" w:sz="6" w:space="0" w:color="000000"/>
              <w:bottom w:val="single" w:sz="6" w:space="0" w:color="000000"/>
              <w:right w:val="single" w:sz="6" w:space="0" w:color="000000"/>
            </w:tcBorders>
          </w:tcPr>
          <w:p w14:paraId="05B0046C" w14:textId="460CF6BD"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56312</w:t>
            </w:r>
          </w:p>
        </w:tc>
        <w:tc>
          <w:tcPr>
            <w:tcW w:w="850" w:type="dxa"/>
            <w:tcBorders>
              <w:top w:val="single" w:sz="6" w:space="0" w:color="000000"/>
              <w:left w:val="single" w:sz="6" w:space="0" w:color="000000"/>
              <w:bottom w:val="single" w:sz="6" w:space="0" w:color="000000"/>
              <w:right w:val="single" w:sz="6" w:space="0" w:color="000000"/>
            </w:tcBorders>
          </w:tcPr>
          <w:p w14:paraId="4CA64A1F" w14:textId="312BC4E4"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59251</w:t>
            </w:r>
          </w:p>
        </w:tc>
      </w:tr>
      <w:tr w:rsidR="00B5113B" w:rsidRPr="00AE19D6" w14:paraId="2E200EDA"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E0F1FF"/>
            <w:vAlign w:val="center"/>
          </w:tcPr>
          <w:p w14:paraId="34078224"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BVP (palyginamosiomis kainomis) pokytis, proc.</w:t>
            </w:r>
          </w:p>
        </w:tc>
        <w:tc>
          <w:tcPr>
            <w:tcW w:w="858" w:type="dxa"/>
            <w:tcBorders>
              <w:top w:val="single" w:sz="6" w:space="0" w:color="000000"/>
              <w:left w:val="single" w:sz="6" w:space="0" w:color="000000"/>
              <w:bottom w:val="single" w:sz="6" w:space="0" w:color="000000"/>
              <w:right w:val="single" w:sz="6" w:space="0" w:color="000000"/>
            </w:tcBorders>
            <w:shd w:val="clear" w:color="auto" w:fill="E0F1FF"/>
          </w:tcPr>
          <w:p w14:paraId="1F187B18" w14:textId="188E3BB7"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–0,8</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0936FD4C" w14:textId="3E3500AC"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2,6</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1D9FFB38" w14:textId="2CE01D6E"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3,2</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1D754613" w14:textId="1FFFDC1E"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3,2</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370DF941" w14:textId="2A0738AA"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3,2</w:t>
            </w:r>
          </w:p>
        </w:tc>
      </w:tr>
      <w:tr w:rsidR="00B5113B" w:rsidRPr="00AE19D6" w14:paraId="66A532E9"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vAlign w:val="center"/>
          </w:tcPr>
          <w:p w14:paraId="1EE68BAD"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 xml:space="preserve">Suderintas vartotojų kainų indeksas </w:t>
            </w:r>
          </w:p>
          <w:p w14:paraId="0D893475"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(vidutinis metinis)</w:t>
            </w:r>
          </w:p>
        </w:tc>
        <w:tc>
          <w:tcPr>
            <w:tcW w:w="858" w:type="dxa"/>
            <w:tcBorders>
              <w:top w:val="single" w:sz="6" w:space="0" w:color="000000"/>
              <w:left w:val="single" w:sz="6" w:space="0" w:color="000000"/>
              <w:bottom w:val="single" w:sz="6" w:space="0" w:color="000000"/>
              <w:right w:val="single" w:sz="6" w:space="0" w:color="000000"/>
            </w:tcBorders>
          </w:tcPr>
          <w:p w14:paraId="63AE205A" w14:textId="437EE89A"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1,1</w:t>
            </w:r>
          </w:p>
        </w:tc>
        <w:tc>
          <w:tcPr>
            <w:tcW w:w="851" w:type="dxa"/>
            <w:tcBorders>
              <w:top w:val="single" w:sz="6" w:space="0" w:color="000000"/>
              <w:left w:val="single" w:sz="6" w:space="0" w:color="000000"/>
              <w:bottom w:val="single" w:sz="6" w:space="0" w:color="000000"/>
              <w:right w:val="single" w:sz="6" w:space="0" w:color="000000"/>
            </w:tcBorders>
          </w:tcPr>
          <w:p w14:paraId="2A1C1136" w14:textId="11F0CD1D"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1,8</w:t>
            </w:r>
          </w:p>
        </w:tc>
        <w:tc>
          <w:tcPr>
            <w:tcW w:w="850" w:type="dxa"/>
            <w:tcBorders>
              <w:top w:val="single" w:sz="6" w:space="0" w:color="000000"/>
              <w:left w:val="single" w:sz="6" w:space="0" w:color="000000"/>
              <w:bottom w:val="single" w:sz="6" w:space="0" w:color="000000"/>
              <w:right w:val="single" w:sz="6" w:space="0" w:color="000000"/>
            </w:tcBorders>
          </w:tcPr>
          <w:p w14:paraId="11CD0968" w14:textId="4717A548"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1,8</w:t>
            </w:r>
          </w:p>
        </w:tc>
        <w:tc>
          <w:tcPr>
            <w:tcW w:w="851" w:type="dxa"/>
            <w:tcBorders>
              <w:top w:val="single" w:sz="6" w:space="0" w:color="000000"/>
              <w:left w:val="single" w:sz="6" w:space="0" w:color="000000"/>
              <w:bottom w:val="single" w:sz="6" w:space="0" w:color="000000"/>
              <w:right w:val="single" w:sz="6" w:space="0" w:color="000000"/>
            </w:tcBorders>
          </w:tcPr>
          <w:p w14:paraId="01EE8485" w14:textId="55AA9453"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1,9</w:t>
            </w:r>
          </w:p>
        </w:tc>
        <w:tc>
          <w:tcPr>
            <w:tcW w:w="850" w:type="dxa"/>
            <w:tcBorders>
              <w:top w:val="single" w:sz="6" w:space="0" w:color="000000"/>
              <w:left w:val="single" w:sz="6" w:space="0" w:color="000000"/>
              <w:bottom w:val="single" w:sz="6" w:space="0" w:color="000000"/>
              <w:right w:val="single" w:sz="6" w:space="0" w:color="000000"/>
            </w:tcBorders>
          </w:tcPr>
          <w:p w14:paraId="365E9C76" w14:textId="5624F002"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2,0</w:t>
            </w:r>
          </w:p>
        </w:tc>
      </w:tr>
      <w:tr w:rsidR="00B5113B" w:rsidRPr="00AE19D6" w14:paraId="600E4DDE"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E0F1FF"/>
            <w:vAlign w:val="center"/>
          </w:tcPr>
          <w:p w14:paraId="6A9EEF88"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lastRenderedPageBreak/>
              <w:t xml:space="preserve">Investicijų (palyginamosiomis kainomis) </w:t>
            </w:r>
          </w:p>
          <w:p w14:paraId="6E581AE8"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Pokytis</w:t>
            </w:r>
            <w:r>
              <w:rPr>
                <w:color w:val="000000"/>
                <w:szCs w:val="24"/>
              </w:rPr>
              <w:t xml:space="preserve">, </w:t>
            </w:r>
            <w:r w:rsidRPr="00AE19D6">
              <w:rPr>
                <w:color w:val="000000"/>
                <w:szCs w:val="24"/>
              </w:rPr>
              <w:t>proc.</w:t>
            </w:r>
          </w:p>
        </w:tc>
        <w:tc>
          <w:tcPr>
            <w:tcW w:w="858" w:type="dxa"/>
            <w:tcBorders>
              <w:top w:val="single" w:sz="6" w:space="0" w:color="000000"/>
              <w:left w:val="single" w:sz="6" w:space="0" w:color="000000"/>
              <w:bottom w:val="single" w:sz="6" w:space="0" w:color="000000"/>
              <w:right w:val="single" w:sz="6" w:space="0" w:color="000000"/>
            </w:tcBorders>
            <w:shd w:val="clear" w:color="auto" w:fill="E0F1FF"/>
          </w:tcPr>
          <w:p w14:paraId="450D22B4" w14:textId="5C9AF4E1"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–0,2</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23F926F0" w14:textId="0D473618"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4,6</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28578CF8" w14:textId="2753F7B7"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5,3</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41C7E062" w14:textId="1650278A"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5,7</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2BF7E4B9" w14:textId="35E84865"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5,7</w:t>
            </w:r>
          </w:p>
        </w:tc>
      </w:tr>
      <w:tr w:rsidR="00B5113B" w:rsidRPr="00AE19D6" w14:paraId="1A585F4E"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vAlign w:val="center"/>
          </w:tcPr>
          <w:p w14:paraId="1FCE347D"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Prekių ir paslaugų eksporto (palyginamosiomis kainomis) pokytis, proc.</w:t>
            </w:r>
          </w:p>
        </w:tc>
        <w:tc>
          <w:tcPr>
            <w:tcW w:w="858" w:type="dxa"/>
            <w:tcBorders>
              <w:top w:val="single" w:sz="6" w:space="0" w:color="000000"/>
              <w:left w:val="single" w:sz="6" w:space="0" w:color="000000"/>
              <w:bottom w:val="single" w:sz="6" w:space="0" w:color="000000"/>
              <w:right w:val="single" w:sz="6" w:space="0" w:color="000000"/>
            </w:tcBorders>
          </w:tcPr>
          <w:p w14:paraId="44C05608" w14:textId="248143FA"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–1,3</w:t>
            </w:r>
          </w:p>
        </w:tc>
        <w:tc>
          <w:tcPr>
            <w:tcW w:w="851" w:type="dxa"/>
            <w:tcBorders>
              <w:top w:val="single" w:sz="6" w:space="0" w:color="000000"/>
              <w:left w:val="single" w:sz="6" w:space="0" w:color="000000"/>
              <w:bottom w:val="single" w:sz="6" w:space="0" w:color="000000"/>
              <w:right w:val="single" w:sz="6" w:space="0" w:color="000000"/>
            </w:tcBorders>
          </w:tcPr>
          <w:p w14:paraId="21B15AB5" w14:textId="05DDB720"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4,8</w:t>
            </w:r>
          </w:p>
        </w:tc>
        <w:tc>
          <w:tcPr>
            <w:tcW w:w="850" w:type="dxa"/>
            <w:tcBorders>
              <w:top w:val="single" w:sz="6" w:space="0" w:color="000000"/>
              <w:left w:val="single" w:sz="6" w:space="0" w:color="000000"/>
              <w:bottom w:val="single" w:sz="6" w:space="0" w:color="000000"/>
              <w:right w:val="single" w:sz="6" w:space="0" w:color="000000"/>
            </w:tcBorders>
          </w:tcPr>
          <w:p w14:paraId="2BF19784" w14:textId="5FEDECAA"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6,7</w:t>
            </w:r>
          </w:p>
        </w:tc>
        <w:tc>
          <w:tcPr>
            <w:tcW w:w="851" w:type="dxa"/>
            <w:tcBorders>
              <w:top w:val="single" w:sz="6" w:space="0" w:color="000000"/>
              <w:left w:val="single" w:sz="6" w:space="0" w:color="000000"/>
              <w:bottom w:val="single" w:sz="6" w:space="0" w:color="000000"/>
              <w:right w:val="single" w:sz="6" w:space="0" w:color="000000"/>
            </w:tcBorders>
          </w:tcPr>
          <w:p w14:paraId="6E4E5A8C" w14:textId="37775AB8"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6,0</w:t>
            </w:r>
          </w:p>
        </w:tc>
        <w:tc>
          <w:tcPr>
            <w:tcW w:w="850" w:type="dxa"/>
            <w:tcBorders>
              <w:top w:val="single" w:sz="6" w:space="0" w:color="000000"/>
              <w:left w:val="single" w:sz="6" w:space="0" w:color="000000"/>
              <w:bottom w:val="single" w:sz="6" w:space="0" w:color="000000"/>
              <w:right w:val="single" w:sz="6" w:space="0" w:color="000000"/>
            </w:tcBorders>
          </w:tcPr>
          <w:p w14:paraId="4EF4A485" w14:textId="45CA167E"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6,0</w:t>
            </w:r>
          </w:p>
        </w:tc>
      </w:tr>
      <w:tr w:rsidR="00B5113B" w:rsidRPr="00AE19D6" w14:paraId="6E842D3D"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E0F1FF"/>
            <w:vAlign w:val="center"/>
          </w:tcPr>
          <w:p w14:paraId="4B4CF6C5"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 xml:space="preserve">Nedarbo lygis (pagal gyventojų užimtumo </w:t>
            </w:r>
          </w:p>
          <w:p w14:paraId="62A3CFB0"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tyrimo apibrėžtį), proc.</w:t>
            </w:r>
          </w:p>
        </w:tc>
        <w:tc>
          <w:tcPr>
            <w:tcW w:w="858" w:type="dxa"/>
            <w:tcBorders>
              <w:top w:val="single" w:sz="6" w:space="0" w:color="000000"/>
              <w:left w:val="single" w:sz="6" w:space="0" w:color="000000"/>
              <w:bottom w:val="single" w:sz="6" w:space="0" w:color="000000"/>
              <w:right w:val="single" w:sz="6" w:space="0" w:color="000000"/>
            </w:tcBorders>
            <w:shd w:val="clear" w:color="auto" w:fill="E0F1FF"/>
          </w:tcPr>
          <w:p w14:paraId="416370E6" w14:textId="12EF125E"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8,5</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1EEEF8DB" w14:textId="38E5FC1C"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8,5</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50CDA01B" w14:textId="72130EDD"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7,5</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7B840EA3" w14:textId="67C8AF58"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6,9</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14327376" w14:textId="0B8FB6C6"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6,5</w:t>
            </w:r>
          </w:p>
        </w:tc>
      </w:tr>
      <w:tr w:rsidR="00B5113B" w:rsidRPr="00AE19D6" w14:paraId="62AB3290"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vAlign w:val="center"/>
          </w:tcPr>
          <w:p w14:paraId="5FC85FEA"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 xml:space="preserve">Vidutinio mėnesinio bruto darbo užmokesčio </w:t>
            </w:r>
          </w:p>
          <w:p w14:paraId="25147D6F" w14:textId="77777777" w:rsidR="00B5113B" w:rsidRPr="00AE19D6" w:rsidRDefault="00B5113B" w:rsidP="00B5113B">
            <w:pPr>
              <w:autoSpaceDE w:val="0"/>
              <w:autoSpaceDN w:val="0"/>
              <w:adjustRightInd w:val="0"/>
              <w:spacing w:line="276" w:lineRule="auto"/>
              <w:jc w:val="both"/>
              <w:rPr>
                <w:color w:val="000000"/>
                <w:szCs w:val="24"/>
              </w:rPr>
            </w:pPr>
            <w:r w:rsidRPr="00AE19D6">
              <w:rPr>
                <w:color w:val="000000"/>
                <w:szCs w:val="24"/>
              </w:rPr>
              <w:t>pokytis, proc.</w:t>
            </w:r>
          </w:p>
        </w:tc>
        <w:tc>
          <w:tcPr>
            <w:tcW w:w="858" w:type="dxa"/>
            <w:tcBorders>
              <w:top w:val="single" w:sz="6" w:space="0" w:color="000000"/>
              <w:left w:val="single" w:sz="6" w:space="0" w:color="000000"/>
              <w:bottom w:val="single" w:sz="6" w:space="0" w:color="000000"/>
              <w:right w:val="single" w:sz="6" w:space="0" w:color="000000"/>
            </w:tcBorders>
          </w:tcPr>
          <w:p w14:paraId="1E1CD49B" w14:textId="3CDCD8C9"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9,6</w:t>
            </w:r>
          </w:p>
        </w:tc>
        <w:tc>
          <w:tcPr>
            <w:tcW w:w="851" w:type="dxa"/>
            <w:tcBorders>
              <w:top w:val="single" w:sz="6" w:space="0" w:color="000000"/>
              <w:left w:val="single" w:sz="6" w:space="0" w:color="000000"/>
              <w:bottom w:val="single" w:sz="6" w:space="0" w:color="000000"/>
              <w:right w:val="single" w:sz="6" w:space="0" w:color="000000"/>
            </w:tcBorders>
          </w:tcPr>
          <w:p w14:paraId="53150A83" w14:textId="595D43BD"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5,2</w:t>
            </w:r>
          </w:p>
        </w:tc>
        <w:tc>
          <w:tcPr>
            <w:tcW w:w="850" w:type="dxa"/>
            <w:tcBorders>
              <w:top w:val="single" w:sz="6" w:space="0" w:color="000000"/>
              <w:left w:val="single" w:sz="6" w:space="0" w:color="000000"/>
              <w:bottom w:val="single" w:sz="6" w:space="0" w:color="000000"/>
              <w:right w:val="single" w:sz="6" w:space="0" w:color="000000"/>
            </w:tcBorders>
          </w:tcPr>
          <w:p w14:paraId="69411303" w14:textId="165C220A"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4,5</w:t>
            </w:r>
          </w:p>
        </w:tc>
        <w:tc>
          <w:tcPr>
            <w:tcW w:w="851" w:type="dxa"/>
            <w:tcBorders>
              <w:top w:val="single" w:sz="6" w:space="0" w:color="000000"/>
              <w:left w:val="single" w:sz="6" w:space="0" w:color="000000"/>
              <w:bottom w:val="single" w:sz="6" w:space="0" w:color="000000"/>
              <w:right w:val="single" w:sz="6" w:space="0" w:color="000000"/>
            </w:tcBorders>
          </w:tcPr>
          <w:p w14:paraId="0083489D" w14:textId="7C4D7C10"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5,0</w:t>
            </w:r>
          </w:p>
        </w:tc>
        <w:tc>
          <w:tcPr>
            <w:tcW w:w="850" w:type="dxa"/>
            <w:tcBorders>
              <w:top w:val="single" w:sz="6" w:space="0" w:color="000000"/>
              <w:left w:val="single" w:sz="6" w:space="0" w:color="000000"/>
              <w:bottom w:val="single" w:sz="6" w:space="0" w:color="000000"/>
              <w:right w:val="single" w:sz="6" w:space="0" w:color="000000"/>
            </w:tcBorders>
          </w:tcPr>
          <w:p w14:paraId="47855F70" w14:textId="0C25BE71"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5,4</w:t>
            </w:r>
          </w:p>
        </w:tc>
      </w:tr>
      <w:tr w:rsidR="00B5113B" w:rsidRPr="00AE19D6" w14:paraId="391D4ABC" w14:textId="77777777" w:rsidTr="00B87D0C">
        <w:trPr>
          <w:trHeight w:val="610"/>
          <w:jc w:val="center"/>
        </w:trPr>
        <w:tc>
          <w:tcPr>
            <w:tcW w:w="4670" w:type="dxa"/>
            <w:tcBorders>
              <w:top w:val="single" w:sz="6" w:space="0" w:color="000000"/>
              <w:left w:val="single" w:sz="6" w:space="0" w:color="000000"/>
              <w:bottom w:val="single" w:sz="6" w:space="0" w:color="000000"/>
              <w:right w:val="single" w:sz="6" w:space="0" w:color="000000"/>
            </w:tcBorders>
            <w:shd w:val="clear" w:color="auto" w:fill="E0F1FF"/>
            <w:vAlign w:val="center"/>
          </w:tcPr>
          <w:p w14:paraId="5CBFB2AD" w14:textId="77777777" w:rsidR="00B5113B" w:rsidRPr="00AE19D6" w:rsidRDefault="00B5113B" w:rsidP="00B5113B">
            <w:pPr>
              <w:autoSpaceDE w:val="0"/>
              <w:autoSpaceDN w:val="0"/>
              <w:adjustRightInd w:val="0"/>
              <w:spacing w:line="276" w:lineRule="auto"/>
              <w:jc w:val="both"/>
              <w:rPr>
                <w:color w:val="000000"/>
                <w:szCs w:val="24"/>
              </w:rPr>
            </w:pPr>
            <w:r w:rsidRPr="002A479B">
              <w:rPr>
                <w:color w:val="000000"/>
                <w:szCs w:val="24"/>
              </w:rPr>
              <w:t>Užimtųjų</w:t>
            </w:r>
            <w:r w:rsidRPr="00AE19D6">
              <w:rPr>
                <w:color w:val="000000"/>
                <w:szCs w:val="24"/>
              </w:rPr>
              <w:t xml:space="preserve"> skaičiaus pokytis, proc.</w:t>
            </w:r>
          </w:p>
        </w:tc>
        <w:tc>
          <w:tcPr>
            <w:tcW w:w="858" w:type="dxa"/>
            <w:tcBorders>
              <w:top w:val="single" w:sz="6" w:space="0" w:color="000000"/>
              <w:left w:val="single" w:sz="6" w:space="0" w:color="000000"/>
              <w:bottom w:val="single" w:sz="6" w:space="0" w:color="000000"/>
              <w:right w:val="single" w:sz="6" w:space="0" w:color="000000"/>
            </w:tcBorders>
            <w:shd w:val="clear" w:color="auto" w:fill="E0F1FF"/>
          </w:tcPr>
          <w:p w14:paraId="4136740F" w14:textId="055D2342"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–1,5</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610F3BCA" w14:textId="6580499C"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0,7</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20759425" w14:textId="37E5665B"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0,9</w:t>
            </w:r>
          </w:p>
        </w:tc>
        <w:tc>
          <w:tcPr>
            <w:tcW w:w="851" w:type="dxa"/>
            <w:tcBorders>
              <w:top w:val="single" w:sz="6" w:space="0" w:color="000000"/>
              <w:left w:val="single" w:sz="6" w:space="0" w:color="000000"/>
              <w:bottom w:val="single" w:sz="6" w:space="0" w:color="000000"/>
              <w:right w:val="single" w:sz="6" w:space="0" w:color="000000"/>
            </w:tcBorders>
            <w:shd w:val="clear" w:color="auto" w:fill="E0F1FF"/>
          </w:tcPr>
          <w:p w14:paraId="59C10829" w14:textId="3A56DA1A"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–0,1</w:t>
            </w:r>
          </w:p>
        </w:tc>
        <w:tc>
          <w:tcPr>
            <w:tcW w:w="850" w:type="dxa"/>
            <w:tcBorders>
              <w:top w:val="single" w:sz="6" w:space="0" w:color="000000"/>
              <w:left w:val="single" w:sz="6" w:space="0" w:color="000000"/>
              <w:bottom w:val="single" w:sz="6" w:space="0" w:color="000000"/>
              <w:right w:val="single" w:sz="6" w:space="0" w:color="000000"/>
            </w:tcBorders>
            <w:shd w:val="clear" w:color="auto" w:fill="E0F1FF"/>
          </w:tcPr>
          <w:p w14:paraId="5D62F9FD" w14:textId="7BE47AA4" w:rsidR="00B5113B" w:rsidRPr="00AE19D6" w:rsidRDefault="00B5113B" w:rsidP="00B5113B">
            <w:pPr>
              <w:autoSpaceDE w:val="0"/>
              <w:autoSpaceDN w:val="0"/>
              <w:adjustRightInd w:val="0"/>
              <w:spacing w:after="240" w:line="276" w:lineRule="auto"/>
              <w:jc w:val="center"/>
              <w:rPr>
                <w:color w:val="000000"/>
                <w:szCs w:val="24"/>
              </w:rPr>
            </w:pPr>
            <w:r w:rsidRPr="00857156">
              <w:rPr>
                <w:sz w:val="20"/>
              </w:rPr>
              <w:t>–0,5</w:t>
            </w:r>
          </w:p>
        </w:tc>
      </w:tr>
    </w:tbl>
    <w:p w14:paraId="33C8D062" w14:textId="77777777" w:rsidR="002A479B" w:rsidRPr="00853681" w:rsidRDefault="002A479B" w:rsidP="00B87D0C">
      <w:pPr>
        <w:pStyle w:val="Pagrindinistekstas"/>
        <w:spacing w:line="276" w:lineRule="auto"/>
        <w:jc w:val="center"/>
        <w:rPr>
          <w:rFonts w:eastAsia="Calibri"/>
          <w:iCs/>
          <w:color w:val="000000"/>
          <w:szCs w:val="24"/>
          <w:lang w:eastAsia="en-US"/>
        </w:rPr>
      </w:pPr>
      <w:r w:rsidRPr="00853681">
        <w:rPr>
          <w:rFonts w:eastAsia="Calibri"/>
          <w:iCs/>
          <w:color w:val="000000"/>
          <w:szCs w:val="24"/>
          <w:lang w:eastAsia="en-US"/>
        </w:rPr>
        <w:t>Šaltiniai: Finansų ministerija, Statistikos departamentas</w:t>
      </w:r>
    </w:p>
    <w:p w14:paraId="39EF2162" w14:textId="77777777" w:rsidR="002A479B" w:rsidRDefault="002A479B" w:rsidP="002A479B">
      <w:pPr>
        <w:pStyle w:val="Pagrindinistekstas"/>
        <w:spacing w:line="276" w:lineRule="auto"/>
        <w:ind w:left="1440"/>
        <w:rPr>
          <w:bCs/>
          <w:szCs w:val="24"/>
        </w:rPr>
      </w:pPr>
    </w:p>
    <w:p w14:paraId="25E08804" w14:textId="77777777" w:rsidR="002A479B" w:rsidRPr="00993F34" w:rsidRDefault="002A479B" w:rsidP="002A479B">
      <w:pPr>
        <w:pStyle w:val="Antrat1"/>
        <w:ind w:firstLine="709"/>
        <w:jc w:val="left"/>
        <w:rPr>
          <w:color w:val="17365D" w:themeColor="text2" w:themeShade="BF"/>
        </w:rPr>
      </w:pPr>
      <w:bookmarkStart w:id="16" w:name="_Toc67422856"/>
      <w:bookmarkStart w:id="17" w:name="_Toc68079183"/>
      <w:r w:rsidRPr="00DB1803">
        <w:rPr>
          <w:color w:val="17365D" w:themeColor="text2" w:themeShade="BF"/>
        </w:rPr>
        <w:t>2.</w:t>
      </w:r>
      <w:r>
        <w:rPr>
          <w:color w:val="17365D" w:themeColor="text2" w:themeShade="BF"/>
        </w:rPr>
        <w:t>3</w:t>
      </w:r>
      <w:r w:rsidRPr="00DB1803">
        <w:rPr>
          <w:color w:val="17365D" w:themeColor="text2" w:themeShade="BF"/>
        </w:rPr>
        <w:t xml:space="preserve">. </w:t>
      </w:r>
      <w:r w:rsidRPr="00993F34">
        <w:rPr>
          <w:bCs/>
          <w:color w:val="17365D" w:themeColor="text2" w:themeShade="BF"/>
          <w:szCs w:val="24"/>
        </w:rPr>
        <w:t>Valstybės biudžeto apžvalga</w:t>
      </w:r>
      <w:bookmarkEnd w:id="16"/>
      <w:bookmarkEnd w:id="17"/>
    </w:p>
    <w:p w14:paraId="38A14310" w14:textId="48AEBBA8" w:rsidR="002A479B" w:rsidRDefault="002A479B" w:rsidP="000740EA">
      <w:pPr>
        <w:pStyle w:val="Pagrindinistekstas"/>
        <w:tabs>
          <w:tab w:val="left" w:pos="142"/>
        </w:tabs>
        <w:spacing w:line="276" w:lineRule="auto"/>
        <w:ind w:firstLine="709"/>
        <w:rPr>
          <w:bCs/>
          <w:szCs w:val="24"/>
        </w:rPr>
      </w:pPr>
      <w:r>
        <w:rPr>
          <w:bCs/>
          <w:szCs w:val="24"/>
        </w:rPr>
        <w:t>Aštuonioliktoji</w:t>
      </w:r>
      <w:r w:rsidRPr="00E17250">
        <w:rPr>
          <w:bCs/>
          <w:szCs w:val="24"/>
        </w:rPr>
        <w:t xml:space="preserve"> Lietuvos Respublikos Vyriausybė peržiūrėjo ankstesnės Vyriausybės parengtą 2021 metų valstybės biudžeto projektą ir jį patikslino, papildomai įtraukdama lėšas COVID-19 pandemijos padariniams šalinti (priemonėms vykdyti) ir </w:t>
      </w:r>
      <w:r w:rsidR="00B446C4">
        <w:rPr>
          <w:bCs/>
          <w:szCs w:val="24"/>
        </w:rPr>
        <w:t>peržiūrė</w:t>
      </w:r>
      <w:r w:rsidR="00B9423F">
        <w:rPr>
          <w:bCs/>
          <w:szCs w:val="24"/>
        </w:rPr>
        <w:t>dama</w:t>
      </w:r>
      <w:r w:rsidR="00B446C4">
        <w:rPr>
          <w:bCs/>
          <w:szCs w:val="24"/>
        </w:rPr>
        <w:t xml:space="preserve"> priemon</w:t>
      </w:r>
      <w:r w:rsidR="00B9423F">
        <w:rPr>
          <w:bCs/>
          <w:szCs w:val="24"/>
        </w:rPr>
        <w:t>e</w:t>
      </w:r>
      <w:r w:rsidR="00B446C4">
        <w:rPr>
          <w:bCs/>
          <w:szCs w:val="24"/>
        </w:rPr>
        <w:t>s</w:t>
      </w:r>
      <w:r w:rsidRPr="00E17250">
        <w:rPr>
          <w:bCs/>
          <w:szCs w:val="24"/>
        </w:rPr>
        <w:t xml:space="preserve">, kurioms buvo planuojama skirti lėšų iš </w:t>
      </w:r>
      <w:r w:rsidR="00444D11">
        <w:rPr>
          <w:bCs/>
          <w:szCs w:val="24"/>
        </w:rPr>
        <w:t xml:space="preserve">Lietuvos su Europos Komisija dar nesuderėtos </w:t>
      </w:r>
      <w:r w:rsidRPr="00E17250">
        <w:rPr>
          <w:szCs w:val="24"/>
        </w:rPr>
        <w:t xml:space="preserve">Europos ekonomikos gaivinimo ir atsparumo didinimo priemonės </w:t>
      </w:r>
      <w:r>
        <w:rPr>
          <w:szCs w:val="24"/>
        </w:rPr>
        <w:t xml:space="preserve">(angl. </w:t>
      </w:r>
      <w:proofErr w:type="spellStart"/>
      <w:r w:rsidRPr="0045603F">
        <w:rPr>
          <w:i/>
          <w:szCs w:val="24"/>
        </w:rPr>
        <w:t>Recovery</w:t>
      </w:r>
      <w:proofErr w:type="spellEnd"/>
      <w:r w:rsidRPr="0045603F">
        <w:rPr>
          <w:i/>
          <w:szCs w:val="24"/>
        </w:rPr>
        <w:t xml:space="preserve"> </w:t>
      </w:r>
      <w:proofErr w:type="spellStart"/>
      <w:r w:rsidRPr="0045603F">
        <w:rPr>
          <w:i/>
          <w:szCs w:val="24"/>
        </w:rPr>
        <w:t>and</w:t>
      </w:r>
      <w:proofErr w:type="spellEnd"/>
      <w:r w:rsidRPr="0045603F">
        <w:rPr>
          <w:i/>
          <w:szCs w:val="24"/>
        </w:rPr>
        <w:t xml:space="preserve"> </w:t>
      </w:r>
      <w:proofErr w:type="spellStart"/>
      <w:r w:rsidRPr="0045603F">
        <w:rPr>
          <w:i/>
          <w:szCs w:val="24"/>
        </w:rPr>
        <w:t>Resilience</w:t>
      </w:r>
      <w:proofErr w:type="spellEnd"/>
      <w:r w:rsidRPr="0045603F">
        <w:rPr>
          <w:i/>
          <w:szCs w:val="24"/>
        </w:rPr>
        <w:t xml:space="preserve"> </w:t>
      </w:r>
      <w:proofErr w:type="spellStart"/>
      <w:r w:rsidRPr="0045603F">
        <w:rPr>
          <w:i/>
          <w:szCs w:val="24"/>
        </w:rPr>
        <w:t>Facility</w:t>
      </w:r>
      <w:proofErr w:type="spellEnd"/>
      <w:r>
        <w:rPr>
          <w:szCs w:val="24"/>
        </w:rPr>
        <w:t xml:space="preserve">) </w:t>
      </w:r>
      <w:r w:rsidRPr="00BC491D">
        <w:rPr>
          <w:szCs w:val="24"/>
        </w:rPr>
        <w:t xml:space="preserve">(toliau – </w:t>
      </w:r>
      <w:r>
        <w:rPr>
          <w:szCs w:val="24"/>
        </w:rPr>
        <w:t>EGADP</w:t>
      </w:r>
      <w:r w:rsidRPr="00BC491D">
        <w:rPr>
          <w:szCs w:val="24"/>
        </w:rPr>
        <w:t>)</w:t>
      </w:r>
      <w:r w:rsidRPr="00E17250">
        <w:rPr>
          <w:bCs/>
          <w:szCs w:val="24"/>
        </w:rPr>
        <w:t>.</w:t>
      </w:r>
    </w:p>
    <w:p w14:paraId="39408059" w14:textId="54E1BBDB" w:rsidR="002A479B" w:rsidRPr="00E661F9" w:rsidRDefault="002A479B" w:rsidP="000740EA">
      <w:pPr>
        <w:pStyle w:val="Pagrindinistekstas"/>
        <w:tabs>
          <w:tab w:val="left" w:pos="142"/>
        </w:tabs>
        <w:spacing w:line="276" w:lineRule="auto"/>
        <w:ind w:firstLine="709"/>
        <w:rPr>
          <w:bCs/>
          <w:szCs w:val="24"/>
        </w:rPr>
      </w:pPr>
      <w:r>
        <w:rPr>
          <w:bCs/>
          <w:szCs w:val="24"/>
        </w:rPr>
        <w:t>2021 m. biudžete b</w:t>
      </w:r>
      <w:r w:rsidRPr="00E661F9">
        <w:rPr>
          <w:bCs/>
          <w:szCs w:val="24"/>
        </w:rPr>
        <w:t>e lėšų</w:t>
      </w:r>
      <w:r>
        <w:rPr>
          <w:bCs/>
          <w:szCs w:val="24"/>
        </w:rPr>
        <w:t>,</w:t>
      </w:r>
      <w:r w:rsidRPr="00E661F9">
        <w:rPr>
          <w:bCs/>
          <w:szCs w:val="24"/>
        </w:rPr>
        <w:t xml:space="preserve"> skirtų kovai su pandemijos iššūkiais, </w:t>
      </w:r>
      <w:r>
        <w:rPr>
          <w:bCs/>
          <w:szCs w:val="24"/>
        </w:rPr>
        <w:t>numatytos lėšos</w:t>
      </w:r>
      <w:r w:rsidRPr="00E661F9">
        <w:rPr>
          <w:bCs/>
          <w:szCs w:val="24"/>
        </w:rPr>
        <w:t xml:space="preserve"> minimal</w:t>
      </w:r>
      <w:r>
        <w:rPr>
          <w:bCs/>
          <w:szCs w:val="24"/>
        </w:rPr>
        <w:t>au</w:t>
      </w:r>
      <w:r w:rsidRPr="00E661F9">
        <w:rPr>
          <w:bCs/>
          <w:szCs w:val="24"/>
        </w:rPr>
        <w:t>s mėnesini</w:t>
      </w:r>
      <w:r>
        <w:rPr>
          <w:bCs/>
          <w:szCs w:val="24"/>
        </w:rPr>
        <w:t>o</w:t>
      </w:r>
      <w:r w:rsidRPr="00E661F9">
        <w:rPr>
          <w:bCs/>
          <w:szCs w:val="24"/>
        </w:rPr>
        <w:t xml:space="preserve"> atlygi</w:t>
      </w:r>
      <w:r>
        <w:rPr>
          <w:bCs/>
          <w:szCs w:val="24"/>
        </w:rPr>
        <w:t>o didinimui</w:t>
      </w:r>
      <w:r w:rsidRPr="00E661F9">
        <w:rPr>
          <w:bCs/>
          <w:szCs w:val="24"/>
        </w:rPr>
        <w:t>, pensijų indeksavimui, vaiko pinig</w:t>
      </w:r>
      <w:r w:rsidR="009E3CA4">
        <w:rPr>
          <w:bCs/>
          <w:szCs w:val="24"/>
        </w:rPr>
        <w:t>ų didinimui ir kitų anksčiau prisiimtų įsipareigojimų vykdymui</w:t>
      </w:r>
      <w:r>
        <w:rPr>
          <w:bCs/>
          <w:szCs w:val="24"/>
        </w:rPr>
        <w:t xml:space="preserve">. </w:t>
      </w:r>
      <w:r w:rsidRPr="00E661F9">
        <w:rPr>
          <w:bCs/>
          <w:szCs w:val="24"/>
        </w:rPr>
        <w:t>Ben</w:t>
      </w:r>
      <w:r>
        <w:rPr>
          <w:bCs/>
          <w:szCs w:val="24"/>
        </w:rPr>
        <w:t>drai pensijoms didinti 2021 m. biudžete skirta</w:t>
      </w:r>
      <w:r w:rsidRPr="00E661F9">
        <w:rPr>
          <w:bCs/>
          <w:szCs w:val="24"/>
        </w:rPr>
        <w:t xml:space="preserve"> api</w:t>
      </w:r>
      <w:r>
        <w:rPr>
          <w:bCs/>
          <w:szCs w:val="24"/>
        </w:rPr>
        <w:t xml:space="preserve">e 353 mln. eurų: </w:t>
      </w:r>
      <w:r w:rsidRPr="00E661F9">
        <w:rPr>
          <w:bCs/>
          <w:szCs w:val="24"/>
        </w:rPr>
        <w:t>vidutinė senatvės pensija didė</w:t>
      </w:r>
      <w:r>
        <w:rPr>
          <w:bCs/>
          <w:szCs w:val="24"/>
        </w:rPr>
        <w:t>ja</w:t>
      </w:r>
      <w:r w:rsidRPr="00E661F9">
        <w:rPr>
          <w:bCs/>
          <w:szCs w:val="24"/>
        </w:rPr>
        <w:t xml:space="preserve"> 38 eurais (nuo 377 iki 415 eurų), o turintiems būtinąjį stažą –</w:t>
      </w:r>
      <w:r>
        <w:rPr>
          <w:bCs/>
          <w:szCs w:val="24"/>
        </w:rPr>
        <w:t xml:space="preserve"> </w:t>
      </w:r>
      <w:r w:rsidRPr="00E661F9">
        <w:rPr>
          <w:bCs/>
          <w:szCs w:val="24"/>
        </w:rPr>
        <w:t>apie 40 eurų (nuo 399,4 iki 440 eurų).</w:t>
      </w:r>
      <w:r>
        <w:rPr>
          <w:bCs/>
          <w:szCs w:val="24"/>
        </w:rPr>
        <w:t xml:space="preserve"> </w:t>
      </w:r>
      <w:r w:rsidRPr="00E661F9">
        <w:rPr>
          <w:bCs/>
          <w:szCs w:val="24"/>
        </w:rPr>
        <w:t>Socialinės paramos išmokoms ir valstybini</w:t>
      </w:r>
      <w:r>
        <w:rPr>
          <w:bCs/>
          <w:szCs w:val="24"/>
        </w:rPr>
        <w:t>ų pensijų indeksavimui 2021 m.</w:t>
      </w:r>
      <w:r w:rsidRPr="00E661F9">
        <w:rPr>
          <w:bCs/>
          <w:szCs w:val="24"/>
        </w:rPr>
        <w:t xml:space="preserve"> biudžete papildomai numatyta 29 mln. eurų. D</w:t>
      </w:r>
      <w:r>
        <w:rPr>
          <w:bCs/>
          <w:szCs w:val="24"/>
        </w:rPr>
        <w:t>arbuotojams</w:t>
      </w:r>
      <w:r w:rsidRPr="00E661F9">
        <w:rPr>
          <w:bCs/>
          <w:szCs w:val="24"/>
        </w:rPr>
        <w:t xml:space="preserve"> minimalus mėnesinis uždarbis iki mokesčių padidė</w:t>
      </w:r>
      <w:r w:rsidR="00ED1272">
        <w:rPr>
          <w:bCs/>
          <w:szCs w:val="24"/>
        </w:rPr>
        <w:t>jo</w:t>
      </w:r>
      <w:r w:rsidRPr="00E661F9">
        <w:rPr>
          <w:bCs/>
          <w:szCs w:val="24"/>
        </w:rPr>
        <w:t xml:space="preserve"> 35 eurais (nuo 607 iki 642 eurų).</w:t>
      </w:r>
      <w:r w:rsidR="00444D11">
        <w:rPr>
          <w:bCs/>
          <w:szCs w:val="24"/>
        </w:rPr>
        <w:t xml:space="preserve"> </w:t>
      </w:r>
      <w:r>
        <w:rPr>
          <w:bCs/>
          <w:szCs w:val="24"/>
        </w:rPr>
        <w:t>2021 m.</w:t>
      </w:r>
      <w:r w:rsidRPr="00E661F9">
        <w:rPr>
          <w:bCs/>
          <w:szCs w:val="24"/>
        </w:rPr>
        <w:t xml:space="preserve"> didė</w:t>
      </w:r>
      <w:r>
        <w:rPr>
          <w:bCs/>
          <w:szCs w:val="24"/>
        </w:rPr>
        <w:t>ja</w:t>
      </w:r>
      <w:r w:rsidRPr="00E661F9">
        <w:rPr>
          <w:bCs/>
          <w:szCs w:val="24"/>
        </w:rPr>
        <w:t xml:space="preserve"> ir vaiko pinigai – nuo 60 iki 70 eurų, o neįgaliesiems, gausių ir nepasiturinčių šeimų vaikams – nuo 100 iki 110 eurų. Tam biudžete numatyta 63 mln. eurų.</w:t>
      </w:r>
    </w:p>
    <w:p w14:paraId="7A889977" w14:textId="77777777" w:rsidR="002A479B" w:rsidRDefault="002A479B" w:rsidP="000740EA">
      <w:pPr>
        <w:pStyle w:val="Pagrindinistekstas"/>
        <w:tabs>
          <w:tab w:val="left" w:pos="142"/>
        </w:tabs>
        <w:spacing w:line="276" w:lineRule="auto"/>
        <w:ind w:firstLine="709"/>
        <w:rPr>
          <w:bCs/>
          <w:szCs w:val="24"/>
        </w:rPr>
      </w:pPr>
      <w:r w:rsidRPr="00E661F9">
        <w:rPr>
          <w:bCs/>
          <w:szCs w:val="24"/>
        </w:rPr>
        <w:t>Savivaldybių biudžetų pajamos kartu su val</w:t>
      </w:r>
      <w:r>
        <w:rPr>
          <w:bCs/>
          <w:szCs w:val="24"/>
        </w:rPr>
        <w:t>stybės biudžeto dotacijomis auga</w:t>
      </w:r>
      <w:r w:rsidRPr="00E661F9">
        <w:rPr>
          <w:bCs/>
          <w:szCs w:val="24"/>
        </w:rPr>
        <w:t xml:space="preserve"> beveik 11 proc.</w:t>
      </w:r>
      <w:r>
        <w:rPr>
          <w:bCs/>
          <w:szCs w:val="24"/>
        </w:rPr>
        <w:t xml:space="preserve"> </w:t>
      </w:r>
      <w:r w:rsidRPr="00955E9F">
        <w:rPr>
          <w:szCs w:val="24"/>
        </w:rPr>
        <w:t>–</w:t>
      </w:r>
      <w:r w:rsidRPr="00E661F9">
        <w:rPr>
          <w:bCs/>
          <w:szCs w:val="24"/>
        </w:rPr>
        <w:t xml:space="preserve"> iki 358 mln. eurų. Dėl </w:t>
      </w:r>
      <w:r w:rsidRPr="000868EC">
        <w:rPr>
          <w:szCs w:val="24"/>
        </w:rPr>
        <w:t>COVID-19</w:t>
      </w:r>
      <w:r w:rsidRPr="00E661F9">
        <w:rPr>
          <w:bCs/>
          <w:szCs w:val="24"/>
        </w:rPr>
        <w:t xml:space="preserve"> susidarius neįprastoms aplinkybėms ir nukentėjus savivaldybių biudžetų pajamų surinkimui, iš valstybės biudžeto bus skiriam</w:t>
      </w:r>
      <w:r>
        <w:rPr>
          <w:bCs/>
          <w:szCs w:val="24"/>
        </w:rPr>
        <w:t>a</w:t>
      </w:r>
      <w:r w:rsidRPr="00E661F9">
        <w:rPr>
          <w:bCs/>
          <w:szCs w:val="24"/>
        </w:rPr>
        <w:t xml:space="preserve"> lėš</w:t>
      </w:r>
      <w:r>
        <w:rPr>
          <w:bCs/>
          <w:szCs w:val="24"/>
        </w:rPr>
        <w:t>ų</w:t>
      </w:r>
      <w:r w:rsidRPr="00E661F9">
        <w:rPr>
          <w:bCs/>
          <w:szCs w:val="24"/>
        </w:rPr>
        <w:t xml:space="preserve"> 2020 m. negaut</w:t>
      </w:r>
      <w:r>
        <w:rPr>
          <w:bCs/>
          <w:szCs w:val="24"/>
        </w:rPr>
        <w:t>oms</w:t>
      </w:r>
      <w:r w:rsidRPr="00E661F9">
        <w:rPr>
          <w:bCs/>
          <w:szCs w:val="24"/>
        </w:rPr>
        <w:t xml:space="preserve"> pajam</w:t>
      </w:r>
      <w:r>
        <w:rPr>
          <w:bCs/>
          <w:szCs w:val="24"/>
        </w:rPr>
        <w:t>om</w:t>
      </w:r>
      <w:r w:rsidRPr="00E661F9">
        <w:rPr>
          <w:bCs/>
          <w:szCs w:val="24"/>
        </w:rPr>
        <w:t>s</w:t>
      </w:r>
      <w:r w:rsidRPr="00464C2E">
        <w:rPr>
          <w:bCs/>
          <w:szCs w:val="24"/>
        </w:rPr>
        <w:t xml:space="preserve"> </w:t>
      </w:r>
      <w:r w:rsidRPr="00E661F9">
        <w:rPr>
          <w:bCs/>
          <w:szCs w:val="24"/>
        </w:rPr>
        <w:t xml:space="preserve">kompensuoti. Taip pat savivaldybės, </w:t>
      </w:r>
      <w:r>
        <w:rPr>
          <w:bCs/>
          <w:szCs w:val="24"/>
        </w:rPr>
        <w:t>jeigu prireiktų</w:t>
      </w:r>
      <w:r w:rsidRPr="00E661F9">
        <w:rPr>
          <w:bCs/>
          <w:szCs w:val="24"/>
        </w:rPr>
        <w:t>, galės papildomai skolintis iki 58 mln. eurų.</w:t>
      </w:r>
      <w:r>
        <w:rPr>
          <w:bCs/>
          <w:szCs w:val="24"/>
        </w:rPr>
        <w:t xml:space="preserve"> </w:t>
      </w:r>
    </w:p>
    <w:p w14:paraId="657460D7" w14:textId="351940B9" w:rsidR="002A479B" w:rsidRPr="00E36952" w:rsidRDefault="002A479B" w:rsidP="000740EA">
      <w:pPr>
        <w:pStyle w:val="Pagrindinistekstas"/>
        <w:tabs>
          <w:tab w:val="left" w:pos="142"/>
        </w:tabs>
        <w:spacing w:line="276" w:lineRule="auto"/>
        <w:ind w:firstLine="709"/>
        <w:rPr>
          <w:szCs w:val="24"/>
        </w:rPr>
      </w:pPr>
      <w:r w:rsidRPr="00955E9F">
        <w:rPr>
          <w:szCs w:val="24"/>
        </w:rPr>
        <w:t xml:space="preserve">2020 m. </w:t>
      </w:r>
      <w:r>
        <w:rPr>
          <w:szCs w:val="24"/>
        </w:rPr>
        <w:t>buvo rengiama</w:t>
      </w:r>
      <w:r w:rsidRPr="00955E9F">
        <w:rPr>
          <w:szCs w:val="24"/>
        </w:rPr>
        <w:t xml:space="preserve"> 2021–2027 m. ES fondų investicijų program</w:t>
      </w:r>
      <w:r>
        <w:rPr>
          <w:szCs w:val="24"/>
        </w:rPr>
        <w:t xml:space="preserve">a (toliau – Programa). </w:t>
      </w:r>
      <w:r w:rsidRPr="006B7B80">
        <w:rPr>
          <w:szCs w:val="24"/>
        </w:rPr>
        <w:t xml:space="preserve">EK buvo pateiktas trečiasis Programos projektas, kartu su juo </w:t>
      </w:r>
      <w:r>
        <w:rPr>
          <w:szCs w:val="24"/>
        </w:rPr>
        <w:t>–</w:t>
      </w:r>
      <w:r w:rsidRPr="006B7B80">
        <w:rPr>
          <w:szCs w:val="24"/>
        </w:rPr>
        <w:t xml:space="preserve"> Lietuvos partnerystės </w:t>
      </w:r>
      <w:r w:rsidRPr="00E36952">
        <w:rPr>
          <w:szCs w:val="24"/>
        </w:rPr>
        <w:t xml:space="preserve">sutarties projektas </w:t>
      </w:r>
      <w:r>
        <w:rPr>
          <w:szCs w:val="24"/>
        </w:rPr>
        <w:t>ir</w:t>
      </w:r>
      <w:r w:rsidRPr="00E36952">
        <w:rPr>
          <w:szCs w:val="24"/>
        </w:rPr>
        <w:t xml:space="preserve"> kiti reikiamas </w:t>
      </w:r>
      <w:r w:rsidR="00746D85">
        <w:rPr>
          <w:szCs w:val="24"/>
        </w:rPr>
        <w:t xml:space="preserve">ES sanglaudos politikos reglamentų projektų </w:t>
      </w:r>
      <w:r w:rsidRPr="00E36952">
        <w:rPr>
          <w:szCs w:val="24"/>
        </w:rPr>
        <w:t xml:space="preserve">sąlygas įgyvendinančių kriterijų dokumentai ar jų projektai: Investicijų į </w:t>
      </w:r>
      <w:r w:rsidRPr="00E36952">
        <w:rPr>
          <w:color w:val="000000"/>
          <w:szCs w:val="24"/>
        </w:rPr>
        <w:t>mokslinius tyrimus ir eksperimentinę plėtrą</w:t>
      </w:r>
      <w:r w:rsidRPr="00E36952">
        <w:rPr>
          <w:szCs w:val="24"/>
        </w:rPr>
        <w:t xml:space="preserve"> ir inovatyviosios bei sumaniosios ekonomikos vystymą žemėlapis, Investicijų poreikio sveikatos apsaugos ir ilgalaikės priežiūros srityje analizė, Socialinio būsto investicijų poreikio analizės žemėlapis, Institucinės globos pertvarkos investicijų poreikio žemėlapis ir k</w:t>
      </w:r>
      <w:r>
        <w:rPr>
          <w:szCs w:val="24"/>
        </w:rPr>
        <w:t>iti</w:t>
      </w:r>
      <w:r w:rsidRPr="00E36952">
        <w:rPr>
          <w:szCs w:val="24"/>
        </w:rPr>
        <w:t>; reikiamas</w:t>
      </w:r>
      <w:r w:rsidRPr="00B05B6B">
        <w:rPr>
          <w:szCs w:val="24"/>
        </w:rPr>
        <w:t xml:space="preserve"> </w:t>
      </w:r>
      <w:r w:rsidRPr="00E36952">
        <w:rPr>
          <w:szCs w:val="24"/>
        </w:rPr>
        <w:t>temines sąlygas įgyvendinantys dokumentai (sumaniosios specializacijos koncepcijos projektas, Lietuvos susisiekimo plėtros iki 2050 m. strategija, k</w:t>
      </w:r>
      <w:r>
        <w:rPr>
          <w:szCs w:val="24"/>
        </w:rPr>
        <w:t>ita</w:t>
      </w:r>
      <w:r w:rsidRPr="00E36952">
        <w:rPr>
          <w:szCs w:val="24"/>
        </w:rPr>
        <w:t>); horizontaliąsias reikiamas sąlygas įgyvendinantys dokumentai (dėl viešųjų pirkimų, valstybės pagalbos, k</w:t>
      </w:r>
      <w:r>
        <w:rPr>
          <w:szCs w:val="24"/>
        </w:rPr>
        <w:t>ita</w:t>
      </w:r>
      <w:r w:rsidRPr="00E36952">
        <w:rPr>
          <w:szCs w:val="24"/>
        </w:rPr>
        <w:t xml:space="preserve">). </w:t>
      </w:r>
    </w:p>
    <w:p w14:paraId="3CB406A0" w14:textId="6E6343A1" w:rsidR="002A479B" w:rsidRPr="00E36952" w:rsidRDefault="00746D85" w:rsidP="002A479B">
      <w:pPr>
        <w:pStyle w:val="Pagrindinistekstas"/>
        <w:tabs>
          <w:tab w:val="left" w:pos="142"/>
        </w:tabs>
        <w:spacing w:line="276" w:lineRule="auto"/>
        <w:ind w:firstLine="709"/>
        <w:rPr>
          <w:szCs w:val="24"/>
        </w:rPr>
      </w:pPr>
      <w:r>
        <w:rPr>
          <w:szCs w:val="24"/>
        </w:rPr>
        <w:t>T</w:t>
      </w:r>
      <w:r w:rsidR="002A479B" w:rsidRPr="00E36952">
        <w:rPr>
          <w:szCs w:val="24"/>
        </w:rPr>
        <w:t xml:space="preserve">am tikrais atvejais reikiamos </w:t>
      </w:r>
      <w:r>
        <w:rPr>
          <w:szCs w:val="24"/>
        </w:rPr>
        <w:t xml:space="preserve">ES sanglaudos politikos reglamentų projektų </w:t>
      </w:r>
      <w:r w:rsidR="002A479B" w:rsidRPr="00E36952">
        <w:rPr>
          <w:szCs w:val="24"/>
        </w:rPr>
        <w:t>sąlygos</w:t>
      </w:r>
      <w:r>
        <w:rPr>
          <w:szCs w:val="24"/>
        </w:rPr>
        <w:t xml:space="preserve"> Lietuvoje</w:t>
      </w:r>
      <w:r w:rsidR="002A479B" w:rsidRPr="00E36952">
        <w:rPr>
          <w:szCs w:val="24"/>
        </w:rPr>
        <w:t xml:space="preserve"> bus įgyvendinamos per </w:t>
      </w:r>
      <w:r>
        <w:rPr>
          <w:szCs w:val="24"/>
        </w:rPr>
        <w:t xml:space="preserve">Nacionalinio pažangos plano </w:t>
      </w:r>
      <w:r w:rsidR="002A479B" w:rsidRPr="00E36952">
        <w:rPr>
          <w:szCs w:val="24"/>
        </w:rPr>
        <w:t>plėtros programas ir jų priemones, kurias ministerijos pradėjo rengti 2020 m. antroje pusėje ir baigs rengti 2021 m.</w:t>
      </w:r>
      <w:r>
        <w:rPr>
          <w:szCs w:val="24"/>
        </w:rPr>
        <w:t>, o taip pat</w:t>
      </w:r>
      <w:r w:rsidR="002A479B" w:rsidRPr="00E36952">
        <w:rPr>
          <w:szCs w:val="24"/>
        </w:rPr>
        <w:t xml:space="preserve"> </w:t>
      </w:r>
      <w:r>
        <w:rPr>
          <w:szCs w:val="24"/>
        </w:rPr>
        <w:t>i</w:t>
      </w:r>
      <w:r w:rsidR="002A479B" w:rsidRPr="00E36952">
        <w:rPr>
          <w:szCs w:val="24"/>
        </w:rPr>
        <w:t xml:space="preserve">ki 2021 m. vidurio </w:t>
      </w:r>
      <w:r>
        <w:rPr>
          <w:szCs w:val="24"/>
        </w:rPr>
        <w:t xml:space="preserve">planuojamus </w:t>
      </w:r>
      <w:r w:rsidR="002A479B" w:rsidRPr="00E36952">
        <w:rPr>
          <w:szCs w:val="24"/>
        </w:rPr>
        <w:t xml:space="preserve"> parengti dokumentus: Nacionalinę ilgalaikę renovacijos strategiją (Aplinkos ministerija), Valstybinį atliekų prevencijos ir tvarkymo 2021–2027 m. planą (Aplinkos ministerija), Nacionalinę rizikos analizę (Aplinkos ministerija ir Vidaus reikalų ministerija), Nacionalinį plačiajuosčio ryšio planą (Susisiekimo ministerija). </w:t>
      </w:r>
    </w:p>
    <w:p w14:paraId="616EFEE4" w14:textId="7FD2C75E" w:rsidR="002A479B" w:rsidRDefault="00746D85" w:rsidP="002A479B">
      <w:pPr>
        <w:pStyle w:val="Pagrindinistekstas"/>
        <w:tabs>
          <w:tab w:val="left" w:pos="142"/>
        </w:tabs>
        <w:spacing w:line="276" w:lineRule="auto"/>
        <w:ind w:firstLine="709"/>
        <w:rPr>
          <w:szCs w:val="24"/>
        </w:rPr>
      </w:pPr>
      <w:r>
        <w:rPr>
          <w:szCs w:val="24"/>
        </w:rPr>
        <w:lastRenderedPageBreak/>
        <w:t xml:space="preserve">Tikimasi, kad </w:t>
      </w:r>
      <w:r w:rsidR="002A479B" w:rsidRPr="00E36952">
        <w:rPr>
          <w:szCs w:val="24"/>
        </w:rPr>
        <w:t xml:space="preserve">2021–2027 m. ES sanglaudos politikos reglamentai </w:t>
      </w:r>
      <w:r>
        <w:rPr>
          <w:szCs w:val="24"/>
        </w:rPr>
        <w:t>bus</w:t>
      </w:r>
      <w:r w:rsidR="002A479B" w:rsidRPr="00E36952">
        <w:rPr>
          <w:szCs w:val="24"/>
        </w:rPr>
        <w:t xml:space="preserve"> patvirtinti 2021 m. gegužę. </w:t>
      </w:r>
      <w:r>
        <w:rPr>
          <w:szCs w:val="24"/>
        </w:rPr>
        <w:t>J</w:t>
      </w:r>
      <w:r w:rsidR="002A479B">
        <w:rPr>
          <w:szCs w:val="24"/>
        </w:rPr>
        <w:t>uos</w:t>
      </w:r>
      <w:r w:rsidR="002A479B" w:rsidRPr="00E36952">
        <w:rPr>
          <w:szCs w:val="24"/>
        </w:rPr>
        <w:t xml:space="preserve"> patvirtin</w:t>
      </w:r>
      <w:r w:rsidR="002A479B">
        <w:rPr>
          <w:szCs w:val="24"/>
        </w:rPr>
        <w:t>us,</w:t>
      </w:r>
      <w:r w:rsidR="002A479B" w:rsidRPr="00E36952">
        <w:rPr>
          <w:szCs w:val="24"/>
        </w:rPr>
        <w:t xml:space="preserve"> Programos projektą </w:t>
      </w:r>
      <w:r>
        <w:rPr>
          <w:szCs w:val="24"/>
        </w:rPr>
        <w:t xml:space="preserve">Vyriausybė </w:t>
      </w:r>
      <w:r w:rsidR="002A479B" w:rsidRPr="00E36952">
        <w:rPr>
          <w:szCs w:val="24"/>
        </w:rPr>
        <w:t>oficialiai</w:t>
      </w:r>
      <w:r w:rsidR="002A479B" w:rsidRPr="00955E9F">
        <w:rPr>
          <w:szCs w:val="24"/>
        </w:rPr>
        <w:t xml:space="preserve"> </w:t>
      </w:r>
      <w:r>
        <w:rPr>
          <w:szCs w:val="24"/>
        </w:rPr>
        <w:t xml:space="preserve">pateiks </w:t>
      </w:r>
      <w:r w:rsidR="002A479B" w:rsidRPr="00955E9F">
        <w:rPr>
          <w:szCs w:val="24"/>
        </w:rPr>
        <w:t>derinti E</w:t>
      </w:r>
      <w:r>
        <w:rPr>
          <w:szCs w:val="24"/>
        </w:rPr>
        <w:t xml:space="preserve">uropos </w:t>
      </w:r>
      <w:r w:rsidR="002A479B" w:rsidRPr="00955E9F">
        <w:rPr>
          <w:szCs w:val="24"/>
        </w:rPr>
        <w:t>K</w:t>
      </w:r>
      <w:r>
        <w:rPr>
          <w:szCs w:val="24"/>
        </w:rPr>
        <w:t>omisija</w:t>
      </w:r>
      <w:r w:rsidR="002A479B" w:rsidRPr="00955E9F">
        <w:rPr>
          <w:szCs w:val="24"/>
        </w:rPr>
        <w:t>, kuri</w:t>
      </w:r>
      <w:r>
        <w:rPr>
          <w:szCs w:val="24"/>
        </w:rPr>
        <w:t>, kaip tikimasi, 2021 m. rudenį</w:t>
      </w:r>
      <w:r w:rsidR="002A479B" w:rsidRPr="00955E9F">
        <w:rPr>
          <w:szCs w:val="24"/>
        </w:rPr>
        <w:t xml:space="preserve"> priim</w:t>
      </w:r>
      <w:r>
        <w:rPr>
          <w:szCs w:val="24"/>
        </w:rPr>
        <w:t>s</w:t>
      </w:r>
      <w:r w:rsidR="002A479B" w:rsidRPr="00955E9F">
        <w:rPr>
          <w:szCs w:val="24"/>
        </w:rPr>
        <w:t xml:space="preserve"> tvirtinamąjį sprendimą. </w:t>
      </w:r>
      <w:r>
        <w:rPr>
          <w:szCs w:val="24"/>
        </w:rPr>
        <w:t xml:space="preserve"> </w:t>
      </w:r>
    </w:p>
    <w:p w14:paraId="6B727D4A" w14:textId="3DFEBBA6" w:rsidR="002A479B" w:rsidRPr="00CA2F34" w:rsidRDefault="00746D85" w:rsidP="007619A7">
      <w:pPr>
        <w:pStyle w:val="Pagrindinistekstas"/>
        <w:tabs>
          <w:tab w:val="left" w:pos="142"/>
        </w:tabs>
        <w:spacing w:line="276" w:lineRule="auto"/>
        <w:ind w:firstLine="709"/>
        <w:rPr>
          <w:szCs w:val="24"/>
        </w:rPr>
      </w:pPr>
      <w:r>
        <w:rPr>
          <w:szCs w:val="24"/>
        </w:rPr>
        <w:t>R</w:t>
      </w:r>
      <w:r w:rsidR="002A479B" w:rsidRPr="00CA2F34">
        <w:rPr>
          <w:szCs w:val="24"/>
        </w:rPr>
        <w:t xml:space="preserve">eaguodama į COVID-19 sukeltas pasekmes ekonomikai, </w:t>
      </w:r>
      <w:r>
        <w:rPr>
          <w:szCs w:val="24"/>
        </w:rPr>
        <w:t xml:space="preserve">Europos Komisija </w:t>
      </w:r>
      <w:r w:rsidR="002A479B" w:rsidRPr="00CA2F34">
        <w:rPr>
          <w:szCs w:val="24"/>
        </w:rPr>
        <w:t xml:space="preserve">2020 m. viduryje pasiūlė dar vieną naują instrumentą – </w:t>
      </w:r>
      <w:r w:rsidR="002A479B">
        <w:rPr>
          <w:szCs w:val="24"/>
        </w:rPr>
        <w:t>EGADP</w:t>
      </w:r>
      <w:r w:rsidR="002A479B" w:rsidRPr="00CA2F34">
        <w:rPr>
          <w:szCs w:val="24"/>
        </w:rPr>
        <w:t xml:space="preserve">. </w:t>
      </w:r>
      <w:r w:rsidR="00B446C4">
        <w:rPr>
          <w:szCs w:val="24"/>
        </w:rPr>
        <w:t xml:space="preserve">Aštuonioliktoji </w:t>
      </w:r>
      <w:r>
        <w:rPr>
          <w:szCs w:val="24"/>
        </w:rPr>
        <w:t xml:space="preserve">Vyriausybė Lietuvos paraišką </w:t>
      </w:r>
      <w:r w:rsidR="002A479B">
        <w:rPr>
          <w:szCs w:val="24"/>
        </w:rPr>
        <w:t>EGADP</w:t>
      </w:r>
      <w:r>
        <w:rPr>
          <w:szCs w:val="24"/>
        </w:rPr>
        <w:t xml:space="preserve"> susiejo su Vyriausybės programos nuostatų įgyvendinimo planu ir jo struktūrinėmis reformomis</w:t>
      </w:r>
      <w:r w:rsidR="007619A7">
        <w:rPr>
          <w:szCs w:val="24"/>
        </w:rPr>
        <w:t xml:space="preserve">, kurioms </w:t>
      </w:r>
      <w:r w:rsidR="002A479B" w:rsidRPr="00CA2F34">
        <w:rPr>
          <w:szCs w:val="24"/>
        </w:rPr>
        <w:t xml:space="preserve"> įgyvendinti reikaling</w:t>
      </w:r>
      <w:r w:rsidR="007619A7">
        <w:rPr>
          <w:szCs w:val="24"/>
        </w:rPr>
        <w:t>os</w:t>
      </w:r>
      <w:r w:rsidR="002A479B" w:rsidRPr="00CA2F34">
        <w:rPr>
          <w:szCs w:val="24"/>
        </w:rPr>
        <w:t xml:space="preserve"> investicij</w:t>
      </w:r>
      <w:r w:rsidR="007619A7">
        <w:rPr>
          <w:szCs w:val="24"/>
        </w:rPr>
        <w:t xml:space="preserve">os yra planuojamos paraiškoje EGADP, prioritetą teikiant žaliajai ir skaitmeninei transformacijai, švietimo ir mokymosi visą gyvenimą reformai, sveikatos apsaugai ir inovacijoms bei mokslui.  </w:t>
      </w:r>
      <w:r w:rsidR="002A479B" w:rsidRPr="00CA2F34">
        <w:rPr>
          <w:szCs w:val="24"/>
        </w:rPr>
        <w:t>Lietuvai numatyta 2,225 mlrd. eurų dotacijoms (2,092 mlrd. eurų fiksuota, 0,133 mlrd. eurų tik prognozuojama ir bus perskaičiuojama 2022 m. pagal faktinius makroekonominius rodiklius)</w:t>
      </w:r>
      <w:r w:rsidR="002A479B">
        <w:rPr>
          <w:szCs w:val="24"/>
        </w:rPr>
        <w:t xml:space="preserve"> ir galimybė gauti iki 3 mlrd. e</w:t>
      </w:r>
      <w:r w:rsidR="002A479B" w:rsidRPr="00CA2F34">
        <w:rPr>
          <w:szCs w:val="24"/>
        </w:rPr>
        <w:t>ur</w:t>
      </w:r>
      <w:r w:rsidR="002A479B">
        <w:rPr>
          <w:szCs w:val="24"/>
        </w:rPr>
        <w:t>ų</w:t>
      </w:r>
      <w:r w:rsidR="002A479B" w:rsidRPr="00CA2F34">
        <w:rPr>
          <w:szCs w:val="24"/>
        </w:rPr>
        <w:t xml:space="preserve"> paskolų. </w:t>
      </w:r>
      <w:r w:rsidR="007619A7">
        <w:rPr>
          <w:szCs w:val="24"/>
        </w:rPr>
        <w:t xml:space="preserve"> Vyriausybė </w:t>
      </w:r>
      <w:r w:rsidR="002A479B" w:rsidRPr="00CA2F34">
        <w:rPr>
          <w:szCs w:val="24"/>
        </w:rPr>
        <w:t>E</w:t>
      </w:r>
      <w:r w:rsidR="007619A7">
        <w:rPr>
          <w:szCs w:val="24"/>
        </w:rPr>
        <w:t xml:space="preserve">uropos </w:t>
      </w:r>
      <w:r w:rsidR="002A479B" w:rsidRPr="00CA2F34">
        <w:rPr>
          <w:szCs w:val="24"/>
        </w:rPr>
        <w:t>K</w:t>
      </w:r>
      <w:r w:rsidR="007619A7">
        <w:rPr>
          <w:szCs w:val="24"/>
        </w:rPr>
        <w:t xml:space="preserve">omisijai oficialiai </w:t>
      </w:r>
      <w:r w:rsidR="002A479B" w:rsidRPr="00CA2F34">
        <w:rPr>
          <w:szCs w:val="24"/>
        </w:rPr>
        <w:t>pateik</w:t>
      </w:r>
      <w:r w:rsidR="007619A7">
        <w:rPr>
          <w:szCs w:val="24"/>
        </w:rPr>
        <w:t>s</w:t>
      </w:r>
      <w:r w:rsidR="002A479B" w:rsidRPr="00CA2F34">
        <w:rPr>
          <w:szCs w:val="24"/>
        </w:rPr>
        <w:t xml:space="preserve"> derinti </w:t>
      </w:r>
      <w:r w:rsidR="002A479B">
        <w:rPr>
          <w:szCs w:val="24"/>
        </w:rPr>
        <w:t>EGADP</w:t>
      </w:r>
      <w:r w:rsidR="002A479B" w:rsidRPr="00CA2F34">
        <w:rPr>
          <w:szCs w:val="24"/>
        </w:rPr>
        <w:t xml:space="preserve"> planą </w:t>
      </w:r>
      <w:r w:rsidR="007619A7">
        <w:rPr>
          <w:szCs w:val="24"/>
        </w:rPr>
        <w:t>iki</w:t>
      </w:r>
      <w:r w:rsidR="002A479B" w:rsidRPr="00CA2F34">
        <w:rPr>
          <w:szCs w:val="24"/>
        </w:rPr>
        <w:t xml:space="preserve"> 2021 m. balandžio 30 d.</w:t>
      </w:r>
      <w:r w:rsidR="007619A7">
        <w:rPr>
          <w:szCs w:val="24"/>
        </w:rPr>
        <w:t>, o šiuo metu, be jo rengimo darbų, vyksta derybos su Europos Komisija.</w:t>
      </w:r>
    </w:p>
    <w:p w14:paraId="223D651D" w14:textId="38D2EF7F" w:rsidR="002A479B" w:rsidRDefault="002A479B" w:rsidP="002A479B">
      <w:pPr>
        <w:pStyle w:val="Pagrindinistekstas"/>
        <w:tabs>
          <w:tab w:val="left" w:pos="142"/>
        </w:tabs>
        <w:spacing w:line="276" w:lineRule="auto"/>
        <w:ind w:firstLine="709"/>
        <w:rPr>
          <w:szCs w:val="24"/>
        </w:rPr>
      </w:pPr>
      <w:r w:rsidRPr="00CA2F34">
        <w:rPr>
          <w:szCs w:val="24"/>
        </w:rPr>
        <w:t xml:space="preserve">Su </w:t>
      </w:r>
      <w:r>
        <w:rPr>
          <w:szCs w:val="24"/>
        </w:rPr>
        <w:t>EGADP</w:t>
      </w:r>
      <w:r w:rsidRPr="00CA2F34">
        <w:rPr>
          <w:szCs w:val="24"/>
        </w:rPr>
        <w:t xml:space="preserve"> plano įgyvendinimu susijusios išlaidos</w:t>
      </w:r>
      <w:r w:rsidR="007619A7">
        <w:rPr>
          <w:szCs w:val="24"/>
        </w:rPr>
        <w:t xml:space="preserve"> ir pajamos, paaiškėjus konkrečiai Lietuvą 2021 m. pasieksiančiai šių lėšų daliai, </w:t>
      </w:r>
      <w:r w:rsidRPr="00CA2F34">
        <w:rPr>
          <w:szCs w:val="24"/>
        </w:rPr>
        <w:t>bus įvertintos peržiūrint 2021 m. biudžetą. Seimo pavasario sesijos metu ir atitinkamai valdžios sektoriaus finansų projekcijose, pateiktose Lietuvos stabilumo 2021 m. programoje</w:t>
      </w:r>
      <w:r>
        <w:rPr>
          <w:szCs w:val="24"/>
        </w:rPr>
        <w:t>.</w:t>
      </w:r>
    </w:p>
    <w:p w14:paraId="285CCC4C" w14:textId="77777777" w:rsidR="002A479B" w:rsidRDefault="002A479B" w:rsidP="002A479B">
      <w:pPr>
        <w:pStyle w:val="Pagrindinistekstas"/>
        <w:tabs>
          <w:tab w:val="left" w:pos="142"/>
        </w:tabs>
        <w:spacing w:line="276" w:lineRule="auto"/>
        <w:ind w:firstLine="709"/>
        <w:rPr>
          <w:szCs w:val="24"/>
        </w:rPr>
      </w:pPr>
    </w:p>
    <w:p w14:paraId="14DF06B5" w14:textId="77777777" w:rsidR="00107CE9" w:rsidRDefault="00107CE9" w:rsidP="001B3AF7">
      <w:pPr>
        <w:pStyle w:val="Pagrindinistekstas"/>
        <w:tabs>
          <w:tab w:val="left" w:pos="142"/>
        </w:tabs>
        <w:spacing w:line="276" w:lineRule="auto"/>
        <w:ind w:firstLine="709"/>
        <w:rPr>
          <w:szCs w:val="24"/>
        </w:rPr>
      </w:pPr>
    </w:p>
    <w:p w14:paraId="7AB36DE8" w14:textId="26BED1AC" w:rsidR="00107CE9" w:rsidRDefault="00107CE9" w:rsidP="001B3AF7">
      <w:pPr>
        <w:pStyle w:val="Pagrindinistekstas"/>
        <w:tabs>
          <w:tab w:val="left" w:pos="142"/>
        </w:tabs>
        <w:spacing w:line="276" w:lineRule="auto"/>
        <w:ind w:firstLine="709"/>
        <w:rPr>
          <w:szCs w:val="24"/>
        </w:rPr>
      </w:pPr>
      <w:r>
        <w:rPr>
          <w:szCs w:val="24"/>
        </w:rPr>
        <w:br w:type="page"/>
      </w:r>
    </w:p>
    <w:p w14:paraId="71576C6C" w14:textId="77777777" w:rsidR="00107CE9" w:rsidRDefault="00107CE9" w:rsidP="00AF421D">
      <w:pPr>
        <w:pStyle w:val="Pagrindinistekstas"/>
        <w:tabs>
          <w:tab w:val="left" w:pos="142"/>
        </w:tabs>
        <w:spacing w:line="276" w:lineRule="auto"/>
        <w:ind w:firstLine="851"/>
        <w:rPr>
          <w:szCs w:val="24"/>
        </w:rPr>
      </w:pPr>
    </w:p>
    <w:p w14:paraId="26298658" w14:textId="77777777" w:rsidR="007A7540" w:rsidRPr="007B2FAD" w:rsidRDefault="007A7540" w:rsidP="007A7540">
      <w:pPr>
        <w:pStyle w:val="Antrat1"/>
        <w:rPr>
          <w:color w:val="17365D" w:themeColor="text2" w:themeShade="BF"/>
        </w:rPr>
      </w:pPr>
      <w:bookmarkStart w:id="18" w:name="_Toc68079184"/>
      <w:r w:rsidRPr="007B2FAD">
        <w:rPr>
          <w:color w:val="17365D" w:themeColor="text2" w:themeShade="BF"/>
        </w:rPr>
        <w:t xml:space="preserve">III DALIS. </w:t>
      </w:r>
      <w:r>
        <w:rPr>
          <w:color w:val="17365D" w:themeColor="text2" w:themeShade="BF"/>
        </w:rPr>
        <w:t>AŠTUONIOLIKTOSIOS</w:t>
      </w:r>
      <w:r w:rsidRPr="007B2FAD">
        <w:rPr>
          <w:color w:val="17365D" w:themeColor="text2" w:themeShade="BF"/>
        </w:rPr>
        <w:t xml:space="preserve"> VYRIAUSYBĖS PRIORITETAI</w:t>
      </w:r>
      <w:bookmarkEnd w:id="18"/>
    </w:p>
    <w:p w14:paraId="2213AAB3" w14:textId="77777777" w:rsidR="007A7540" w:rsidRDefault="007A7540" w:rsidP="007A7540">
      <w:pPr>
        <w:pStyle w:val="Pagrindinistekstas"/>
        <w:tabs>
          <w:tab w:val="left" w:pos="142"/>
        </w:tabs>
        <w:spacing w:line="276" w:lineRule="auto"/>
        <w:rPr>
          <w:bCs/>
          <w:szCs w:val="24"/>
        </w:rPr>
      </w:pPr>
    </w:p>
    <w:p w14:paraId="67884880" w14:textId="77777777" w:rsidR="007A7540" w:rsidRPr="00645666" w:rsidRDefault="007A7540" w:rsidP="00AB4CB8">
      <w:pPr>
        <w:pStyle w:val="Antrat1"/>
        <w:spacing w:line="276" w:lineRule="auto"/>
        <w:rPr>
          <w:color w:val="17365D" w:themeColor="text2" w:themeShade="BF"/>
        </w:rPr>
      </w:pPr>
      <w:bookmarkStart w:id="19" w:name="_Toc68079185"/>
      <w:r>
        <w:rPr>
          <w:color w:val="17365D" w:themeColor="text2" w:themeShade="BF"/>
        </w:rPr>
        <w:t>3.1.</w:t>
      </w:r>
      <w:r w:rsidRPr="007B2FAD">
        <w:rPr>
          <w:color w:val="17365D" w:themeColor="text2" w:themeShade="BF"/>
        </w:rPr>
        <w:t xml:space="preserve"> </w:t>
      </w:r>
      <w:r w:rsidRPr="00A44F65">
        <w:rPr>
          <w:bCs/>
          <w:color w:val="17365D" w:themeColor="text2" w:themeShade="BF"/>
          <w:szCs w:val="24"/>
        </w:rPr>
        <w:t>Vyriausybės kadencijos reformos ir svarbiausieji strateginės darbotvarkės darbai</w:t>
      </w:r>
      <w:bookmarkEnd w:id="19"/>
    </w:p>
    <w:p w14:paraId="72524E88" w14:textId="77777777" w:rsidR="007A7540" w:rsidRDefault="007A7540" w:rsidP="00AB4CB8">
      <w:pPr>
        <w:spacing w:line="276" w:lineRule="auto"/>
        <w:ind w:firstLine="709"/>
        <w:jc w:val="both"/>
        <w:rPr>
          <w:szCs w:val="24"/>
        </w:rPr>
      </w:pPr>
      <w:r>
        <w:rPr>
          <w:szCs w:val="24"/>
        </w:rPr>
        <w:t>Aštuonioliktosios Vyriausybės programos nuostatų įgyvendinimo planas buvo patvirtintas 2021 m. kovo 10 d. Vyriausybės nutarimu Nr. 155. Vyriausybės ir ministrų strateginei darbotvarkei įgyvendinti jame numatyta 70 strateginių darbų (projektų), priklausančių Vyriausybės programos misijoms (prioritetams). Vyriausybės ir ministrų strateginė darbotvarkė bus įgyvendinta per projektinio valdymo sistemą, išskiriami keturi</w:t>
      </w:r>
      <w:r w:rsidRPr="00A70C98">
        <w:rPr>
          <w:szCs w:val="24"/>
        </w:rPr>
        <w:t xml:space="preserve"> </w:t>
      </w:r>
      <w:r>
        <w:rPr>
          <w:szCs w:val="24"/>
        </w:rPr>
        <w:t>jos valdymo lygiai.</w:t>
      </w:r>
    </w:p>
    <w:p w14:paraId="5A9BB728" w14:textId="77777777" w:rsidR="007A7540" w:rsidRDefault="007A7540" w:rsidP="00AB4CB8">
      <w:pPr>
        <w:spacing w:line="276" w:lineRule="auto"/>
        <w:ind w:firstLine="709"/>
        <w:jc w:val="both"/>
        <w:rPr>
          <w:szCs w:val="24"/>
        </w:rPr>
      </w:pPr>
      <w:r>
        <w:rPr>
          <w:szCs w:val="24"/>
        </w:rPr>
        <w:t xml:space="preserve">Didžiausias dėmesys bus skiriamas penkioms </w:t>
      </w:r>
      <w:r w:rsidRPr="00666029">
        <w:rPr>
          <w:szCs w:val="24"/>
        </w:rPr>
        <w:t>Vyriausybės kadencijos reformoms, į kurių rengimą, įgyvendinimą ir komunikaciją su visuomene įsitrauks Ministrė Pirmininkė</w:t>
      </w:r>
      <w:bookmarkStart w:id="20" w:name="_Hlk66203962"/>
      <w:r w:rsidRPr="00666029">
        <w:rPr>
          <w:szCs w:val="24"/>
        </w:rPr>
        <w:t xml:space="preserve">. </w:t>
      </w:r>
      <w:bookmarkEnd w:id="20"/>
      <w:r>
        <w:rPr>
          <w:szCs w:val="24"/>
        </w:rPr>
        <w:t>Ministro Pirmininko</w:t>
      </w:r>
      <w:r w:rsidRPr="00666029">
        <w:rPr>
          <w:szCs w:val="24"/>
        </w:rPr>
        <w:t xml:space="preserve"> strateginių darbų (projektų) portfelyje yra šios reformos</w:t>
      </w:r>
      <w:r>
        <w:rPr>
          <w:szCs w:val="24"/>
        </w:rPr>
        <w:t xml:space="preserve">: </w:t>
      </w:r>
      <w:r w:rsidRPr="00666029">
        <w:rPr>
          <w:szCs w:val="24"/>
        </w:rPr>
        <w:t xml:space="preserve">a) valstybės tarnybos pertvarka; b) pažangos programa „Tūkstantmečio mokyklos“; c) </w:t>
      </w:r>
      <w:proofErr w:type="spellStart"/>
      <w:r w:rsidRPr="00666029">
        <w:rPr>
          <w:szCs w:val="24"/>
        </w:rPr>
        <w:t>EDtech</w:t>
      </w:r>
      <w:proofErr w:type="spellEnd"/>
      <w:r w:rsidRPr="00666029">
        <w:rPr>
          <w:szCs w:val="24"/>
        </w:rPr>
        <w:t xml:space="preserve"> skaitmeninė švietimo transformacija; d) inovacijų ekosistemų mokslo centruose, inovacijų agentūros ir misijomis grįstų mokslo ir verslo inovacijų programų sukūrimas; e) ilgalaikės priežiūros paslaugų teikimo modelio sukūrimas.</w:t>
      </w:r>
    </w:p>
    <w:p w14:paraId="22CE6E32" w14:textId="77777777" w:rsidR="007A7540" w:rsidRPr="00F3127A" w:rsidRDefault="007A7540" w:rsidP="00AB4CB8">
      <w:pPr>
        <w:spacing w:line="276" w:lineRule="auto"/>
        <w:ind w:firstLine="709"/>
        <w:jc w:val="both"/>
        <w:rPr>
          <w:szCs w:val="24"/>
        </w:rPr>
      </w:pPr>
      <w:r w:rsidRPr="00A07577">
        <w:rPr>
          <w:szCs w:val="24"/>
        </w:rPr>
        <w:t>Į Ministro Pirmininko strateginių darbų (projektų) portfelį taip pat įtraukiamas Aštuonioliktosios Vyriausybės programos nuostatų įgyvendinimo plano įsipareigojimas parengti</w:t>
      </w:r>
      <w:r w:rsidRPr="00A07577">
        <w:rPr>
          <w:b/>
          <w:bCs/>
          <w:szCs w:val="24"/>
        </w:rPr>
        <w:t xml:space="preserve"> </w:t>
      </w:r>
      <w:r w:rsidRPr="00A07577">
        <w:rPr>
          <w:szCs w:val="24"/>
        </w:rPr>
        <w:t xml:space="preserve">Valstybės pažangos strategiją „Lietuva 2050“ ir dar </w:t>
      </w:r>
      <w:r w:rsidRPr="00A32B5F">
        <w:rPr>
          <w:szCs w:val="24"/>
        </w:rPr>
        <w:t xml:space="preserve">septyni </w:t>
      </w:r>
      <w:r w:rsidRPr="00A07577">
        <w:rPr>
          <w:szCs w:val="24"/>
        </w:rPr>
        <w:t>ministrų viešojo valdymo, švietimo ir strateginės infrastruktūros strateginiai darbai (projektai)</w:t>
      </w:r>
      <w:r>
        <w:rPr>
          <w:szCs w:val="24"/>
        </w:rPr>
        <w:t xml:space="preserve">: a) </w:t>
      </w:r>
      <w:r w:rsidRPr="00F3127A">
        <w:rPr>
          <w:szCs w:val="24"/>
        </w:rPr>
        <w:t>Funkcijų peržiūra ir optimalus institucijų tinklas (</w:t>
      </w:r>
      <w:r w:rsidRPr="00F3127A">
        <w:rPr>
          <w:i/>
          <w:iCs/>
          <w:szCs w:val="24"/>
        </w:rPr>
        <w:t>Viešojo valdymo sąranga</w:t>
      </w:r>
      <w:r w:rsidRPr="00F3127A">
        <w:rPr>
          <w:szCs w:val="24"/>
        </w:rPr>
        <w:t>)</w:t>
      </w:r>
      <w:r>
        <w:rPr>
          <w:szCs w:val="24"/>
        </w:rPr>
        <w:t xml:space="preserve">; b) </w:t>
      </w:r>
      <w:r w:rsidRPr="00F3127A">
        <w:rPr>
          <w:szCs w:val="24"/>
        </w:rPr>
        <w:t>Viešosios ir administracinės paslaugos (</w:t>
      </w:r>
      <w:r w:rsidRPr="00F3127A">
        <w:rPr>
          <w:i/>
          <w:iCs/>
          <w:szCs w:val="24"/>
        </w:rPr>
        <w:t>įskaitant jų kokybės užtikrinimą regionuose</w:t>
      </w:r>
      <w:r w:rsidRPr="00F3127A">
        <w:rPr>
          <w:szCs w:val="24"/>
        </w:rPr>
        <w:t>)</w:t>
      </w:r>
      <w:r>
        <w:rPr>
          <w:szCs w:val="24"/>
        </w:rPr>
        <w:t>; c) Į</w:t>
      </w:r>
      <w:r w:rsidRPr="00F3127A">
        <w:rPr>
          <w:szCs w:val="24"/>
        </w:rPr>
        <w:t xml:space="preserve"> strateginius tikslus orientuotas valdžios sektoriaus finansų planavimas (Finansų ministerija)</w:t>
      </w:r>
      <w:r>
        <w:rPr>
          <w:szCs w:val="24"/>
        </w:rPr>
        <w:t xml:space="preserve">; d) </w:t>
      </w:r>
      <w:r w:rsidRPr="00F3127A">
        <w:rPr>
          <w:szCs w:val="24"/>
        </w:rPr>
        <w:t>Tvari kultūros ir švietimo sąveika (</w:t>
      </w:r>
      <w:r w:rsidRPr="00F3127A">
        <w:rPr>
          <w:i/>
          <w:iCs/>
          <w:szCs w:val="24"/>
        </w:rPr>
        <w:t>kultūros ir kūrybiškumo integravimas į švietimą</w:t>
      </w:r>
      <w:r w:rsidRPr="00F3127A">
        <w:rPr>
          <w:szCs w:val="24"/>
        </w:rPr>
        <w:t>)</w:t>
      </w:r>
      <w:r>
        <w:rPr>
          <w:szCs w:val="24"/>
        </w:rPr>
        <w:t xml:space="preserve">; e) </w:t>
      </w:r>
      <w:r w:rsidRPr="00F3127A">
        <w:rPr>
          <w:szCs w:val="24"/>
        </w:rPr>
        <w:t>Veiksminga atsparumo grėsmėms didinimo, krizių ir ekstremaliųjų situacijų valdymo sistema</w:t>
      </w:r>
      <w:r w:rsidRPr="00F3127A">
        <w:rPr>
          <w:szCs w:val="24"/>
          <w:vertAlign w:val="superscript"/>
        </w:rPr>
        <w:footnoteReference w:id="7"/>
      </w:r>
      <w:r>
        <w:rPr>
          <w:szCs w:val="24"/>
        </w:rPr>
        <w:t xml:space="preserve">; f) </w:t>
      </w:r>
      <w:r w:rsidRPr="00F3127A">
        <w:rPr>
          <w:szCs w:val="24"/>
        </w:rPr>
        <w:t>Saugi elektros energetikos sistema (</w:t>
      </w:r>
      <w:r w:rsidRPr="00F3127A">
        <w:rPr>
          <w:i/>
          <w:iCs/>
          <w:szCs w:val="24"/>
        </w:rPr>
        <w:t>Elektros energijos sistemos sinchronizavimas su Vakarais ir Astravo atominės elektrinės blokada</w:t>
      </w:r>
      <w:r w:rsidRPr="00F3127A">
        <w:rPr>
          <w:szCs w:val="24"/>
        </w:rPr>
        <w:t>)</w:t>
      </w:r>
      <w:r>
        <w:rPr>
          <w:szCs w:val="24"/>
        </w:rPr>
        <w:t xml:space="preserve">; g) </w:t>
      </w:r>
      <w:r w:rsidRPr="00F3127A">
        <w:rPr>
          <w:szCs w:val="24"/>
        </w:rPr>
        <w:t>Strateginių geležinkelio ir kelių transporto jungčių plėtra</w:t>
      </w:r>
      <w:r>
        <w:rPr>
          <w:szCs w:val="24"/>
        </w:rPr>
        <w:t>.</w:t>
      </w:r>
    </w:p>
    <w:p w14:paraId="646646E2" w14:textId="77777777" w:rsidR="007A7540" w:rsidRDefault="007A7540" w:rsidP="00AB4CB8">
      <w:pPr>
        <w:spacing w:line="276" w:lineRule="auto"/>
        <w:ind w:firstLine="709"/>
        <w:jc w:val="both"/>
        <w:rPr>
          <w:szCs w:val="24"/>
        </w:rPr>
      </w:pPr>
      <w:r>
        <w:rPr>
          <w:szCs w:val="24"/>
        </w:rPr>
        <w:t>Trečią lygį sudaro m</w:t>
      </w:r>
      <w:r w:rsidRPr="00A44FC4">
        <w:rPr>
          <w:szCs w:val="24"/>
        </w:rPr>
        <w:t>inistrų strateginiai darbai (projektai), susiję arba įgyvendinantys Vyriausybės programos nuostatų įgyvendinimo plano horizontaliuosius tikslus (skaitmeninę transformaciją, žaliąjį kursą ir atskirties mažinimą (įskaitant regionų plėtrą)</w:t>
      </w:r>
      <w:r>
        <w:rPr>
          <w:szCs w:val="24"/>
        </w:rPr>
        <w:t xml:space="preserve">: a) </w:t>
      </w:r>
      <w:r w:rsidRPr="00F3127A">
        <w:rPr>
          <w:szCs w:val="24"/>
        </w:rPr>
        <w:t>E-Vyriausybė 360°: Atviri duomenys</w:t>
      </w:r>
      <w:r>
        <w:rPr>
          <w:szCs w:val="24"/>
        </w:rPr>
        <w:t xml:space="preserve">; b) </w:t>
      </w:r>
      <w:r w:rsidRPr="00F3127A">
        <w:rPr>
          <w:szCs w:val="24"/>
        </w:rPr>
        <w:t>E-Vyriausybė 360°: Skaitmeninė transformacija</w:t>
      </w:r>
      <w:r>
        <w:rPr>
          <w:szCs w:val="24"/>
        </w:rPr>
        <w:t xml:space="preserve">; c) </w:t>
      </w:r>
      <w:r w:rsidRPr="00F3127A">
        <w:rPr>
          <w:szCs w:val="24"/>
        </w:rPr>
        <w:t>E-Kultūra</w:t>
      </w:r>
      <w:r>
        <w:rPr>
          <w:szCs w:val="24"/>
        </w:rPr>
        <w:t xml:space="preserve">; d) </w:t>
      </w:r>
      <w:r w:rsidRPr="00F3127A">
        <w:rPr>
          <w:szCs w:val="24"/>
        </w:rPr>
        <w:t>Socialinės apsaugos ir užimtumo sistemų skaitmenizavimas ir IT sistemų integracija</w:t>
      </w:r>
      <w:r>
        <w:rPr>
          <w:szCs w:val="24"/>
        </w:rPr>
        <w:t xml:space="preserve">; f) </w:t>
      </w:r>
      <w:r w:rsidRPr="00F3127A">
        <w:rPr>
          <w:szCs w:val="24"/>
        </w:rPr>
        <w:t>Sveikatos sistemos skaitmeninimas</w:t>
      </w:r>
      <w:r>
        <w:rPr>
          <w:szCs w:val="24"/>
        </w:rPr>
        <w:t xml:space="preserve">; g) </w:t>
      </w:r>
      <w:r w:rsidRPr="00F3127A">
        <w:rPr>
          <w:szCs w:val="24"/>
        </w:rPr>
        <w:t>Laiko dvasią atliepianti migracijos politika (</w:t>
      </w:r>
      <w:r w:rsidRPr="00F3127A">
        <w:rPr>
          <w:i/>
          <w:iCs/>
          <w:szCs w:val="24"/>
        </w:rPr>
        <w:t>ir integracija</w:t>
      </w:r>
      <w:r w:rsidRPr="00F3127A">
        <w:rPr>
          <w:szCs w:val="24"/>
        </w:rPr>
        <w:t>)</w:t>
      </w:r>
      <w:r>
        <w:rPr>
          <w:szCs w:val="24"/>
        </w:rPr>
        <w:t xml:space="preserve">; h) </w:t>
      </w:r>
      <w:r w:rsidRPr="00F3127A">
        <w:rPr>
          <w:szCs w:val="24"/>
        </w:rPr>
        <w:t>Aplinkosaugos ekonominių instrumentų įgyvendinimas ir investicijų tvarumo didinimas</w:t>
      </w:r>
      <w:r>
        <w:rPr>
          <w:szCs w:val="24"/>
        </w:rPr>
        <w:t xml:space="preserve">; i) </w:t>
      </w:r>
      <w:r w:rsidRPr="00F3127A">
        <w:rPr>
          <w:szCs w:val="24"/>
        </w:rPr>
        <w:t>Regionų investicinio potencialo ir patrauklumo didinimas, sudarant palankias sąlygas verslui ir užimtumui</w:t>
      </w:r>
      <w:r>
        <w:rPr>
          <w:szCs w:val="24"/>
        </w:rPr>
        <w:t xml:space="preserve">; j) </w:t>
      </w:r>
      <w:r w:rsidRPr="00F3127A">
        <w:rPr>
          <w:szCs w:val="24"/>
        </w:rPr>
        <w:t>Įtrauki ir socialinėms, ekonominėms ir teritorinėms problemoms spręsti įgalinta savivalda</w:t>
      </w:r>
      <w:r>
        <w:rPr>
          <w:szCs w:val="24"/>
        </w:rPr>
        <w:t xml:space="preserve">; k) </w:t>
      </w:r>
      <w:r w:rsidRPr="00F3127A">
        <w:rPr>
          <w:szCs w:val="24"/>
        </w:rPr>
        <w:t>Kokybiškų viešųjų paslaugų užtikrinimas regionuose (</w:t>
      </w:r>
      <w:r w:rsidRPr="00F3127A">
        <w:rPr>
          <w:i/>
          <w:iCs/>
          <w:szCs w:val="24"/>
        </w:rPr>
        <w:t>kokybiškos gyvenimo sąlygos)</w:t>
      </w:r>
      <w:r>
        <w:rPr>
          <w:szCs w:val="24"/>
        </w:rPr>
        <w:t xml:space="preserve">; l) </w:t>
      </w:r>
      <w:r w:rsidRPr="00F3127A">
        <w:rPr>
          <w:szCs w:val="24"/>
        </w:rPr>
        <w:t>Savivaldybių finansinio savarankiškumo didinimas</w:t>
      </w:r>
      <w:r>
        <w:rPr>
          <w:szCs w:val="24"/>
        </w:rPr>
        <w:t>.</w:t>
      </w:r>
      <w:r w:rsidRPr="00B35D9B">
        <w:rPr>
          <w:szCs w:val="24"/>
        </w:rPr>
        <w:t xml:space="preserve"> </w:t>
      </w:r>
      <w:r w:rsidRPr="00A44FC4">
        <w:rPr>
          <w:szCs w:val="24"/>
        </w:rPr>
        <w:t>Su šių horizontaliųjų tikslų pasiekimu susijusius 11 ministrų strateginius darbus (projektus) suplanuos ir pažangą prižiūrės atsakingi ministrai, o įgyvendinimą koordinuos ir konsultacinę paramą teiks Vyriausybės kancleris ir Vyriausybės kanceliarija</w:t>
      </w:r>
    </w:p>
    <w:p w14:paraId="42BA3A52" w14:textId="77777777" w:rsidR="007A7540" w:rsidRDefault="007A7540" w:rsidP="00AB4CB8">
      <w:pPr>
        <w:spacing w:line="276" w:lineRule="auto"/>
        <w:ind w:firstLine="709"/>
        <w:jc w:val="both"/>
        <w:rPr>
          <w:szCs w:val="24"/>
        </w:rPr>
      </w:pPr>
      <w:r>
        <w:rPr>
          <w:szCs w:val="24"/>
        </w:rPr>
        <w:t>Ketvirtąjį lygį sudaro ministrų strateginiai darbai (projektai), kurių parengimas, įgyvendinimas ir projektinio valdymo stebėsena vyks ministerijos lygiu, o apie pažangą Vyriausybė bus informuojama pagal poreikį, bet ne rečiau kaip sykį į ketvirtį (per Vyriausybės programos nuostatų įgyvendinimo plano stebėsenos ataskaitą).</w:t>
      </w:r>
    </w:p>
    <w:p w14:paraId="7D5C3D0B" w14:textId="6663D126" w:rsidR="007A7540" w:rsidRPr="00F3127A" w:rsidRDefault="007A7540" w:rsidP="00AB4CB8">
      <w:pPr>
        <w:spacing w:line="276" w:lineRule="auto"/>
        <w:ind w:firstLine="709"/>
        <w:jc w:val="both"/>
        <w:rPr>
          <w:szCs w:val="24"/>
        </w:rPr>
      </w:pPr>
      <w:r>
        <w:rPr>
          <w:szCs w:val="24"/>
        </w:rPr>
        <w:t xml:space="preserve">Atsižvelgdama į Vyriausybės programos nuostatų įgyvendinimo planą, iki 2021 m. liepos 1 d. Vyriausybė numato patikslinti 2021–2030 metų nacionalinį pažangos planą. Vyriausybės suplanuotų ir planuojamų reformų ir kitų Vyriausybės programos nuostatų įgyvendinimo plano veiksmų pagrindu </w:t>
      </w:r>
      <w:r>
        <w:rPr>
          <w:szCs w:val="24"/>
        </w:rPr>
        <w:lastRenderedPageBreak/>
        <w:t xml:space="preserve">Vyriausybė rengia ir iki balandžio 30 d. numato </w:t>
      </w:r>
      <w:r w:rsidR="0002580A">
        <w:rPr>
          <w:szCs w:val="24"/>
        </w:rPr>
        <w:t>EK</w:t>
      </w:r>
      <w:r w:rsidRPr="00B7732C">
        <w:rPr>
          <w:szCs w:val="24"/>
        </w:rPr>
        <w:t xml:space="preserve"> </w:t>
      </w:r>
      <w:r>
        <w:rPr>
          <w:szCs w:val="24"/>
        </w:rPr>
        <w:t>pateikti Lietuvos paraišką finansavimui iš Europos e</w:t>
      </w:r>
      <w:r w:rsidRPr="006A760D">
        <w:rPr>
          <w:szCs w:val="24"/>
        </w:rPr>
        <w:t>konomikos gaivinimo ir atsparumo didinimo fondo (EEGAF, angl. – RRF)</w:t>
      </w:r>
      <w:r>
        <w:rPr>
          <w:szCs w:val="24"/>
        </w:rPr>
        <w:t xml:space="preserve"> gauti</w:t>
      </w:r>
      <w:r w:rsidRPr="006A760D">
        <w:rPr>
          <w:szCs w:val="24"/>
        </w:rPr>
        <w:t>.</w:t>
      </w:r>
    </w:p>
    <w:p w14:paraId="569EC65B" w14:textId="77777777" w:rsidR="007A7540" w:rsidRDefault="007A7540" w:rsidP="00AB4CB8">
      <w:pPr>
        <w:spacing w:line="276" w:lineRule="auto"/>
        <w:ind w:firstLine="709"/>
        <w:jc w:val="both"/>
        <w:rPr>
          <w:szCs w:val="24"/>
        </w:rPr>
      </w:pPr>
      <w:r>
        <w:rPr>
          <w:szCs w:val="24"/>
        </w:rPr>
        <w:t xml:space="preserve">2021 m. </w:t>
      </w:r>
      <w:r w:rsidRPr="00175AD7">
        <w:rPr>
          <w:szCs w:val="24"/>
        </w:rPr>
        <w:t xml:space="preserve">bus </w:t>
      </w:r>
      <w:r>
        <w:rPr>
          <w:szCs w:val="24"/>
        </w:rPr>
        <w:t>tęsiama</w:t>
      </w:r>
      <w:r w:rsidRPr="00175AD7">
        <w:rPr>
          <w:szCs w:val="24"/>
        </w:rPr>
        <w:t xml:space="preserve"> </w:t>
      </w:r>
      <w:r w:rsidRPr="002A2527">
        <w:rPr>
          <w:szCs w:val="24"/>
        </w:rPr>
        <w:t>Lietuvos Respublikos Vyriausybės vykdomos strateginio planavimo ir biudžeto formavimo sistemos pertvark</w:t>
      </w:r>
      <w:r>
        <w:rPr>
          <w:szCs w:val="24"/>
        </w:rPr>
        <w:t xml:space="preserve">a. </w:t>
      </w:r>
      <w:r w:rsidRPr="002A2527">
        <w:rPr>
          <w:szCs w:val="24"/>
        </w:rPr>
        <w:t xml:space="preserve"> </w:t>
      </w:r>
      <w:r>
        <w:rPr>
          <w:szCs w:val="24"/>
        </w:rPr>
        <w:t xml:space="preserve">Įgyvendinant </w:t>
      </w:r>
      <w:r w:rsidRPr="002A2527">
        <w:rPr>
          <w:szCs w:val="24"/>
        </w:rPr>
        <w:t>2020 m. birželio 25 d. priimt</w:t>
      </w:r>
      <w:r>
        <w:rPr>
          <w:szCs w:val="24"/>
        </w:rPr>
        <w:t>ą</w:t>
      </w:r>
      <w:r w:rsidRPr="002A2527">
        <w:rPr>
          <w:szCs w:val="24"/>
        </w:rPr>
        <w:t xml:space="preserve"> Lietuvos Respublikos strateginio valdymo įstatym</w:t>
      </w:r>
      <w:r>
        <w:rPr>
          <w:szCs w:val="24"/>
        </w:rPr>
        <w:t xml:space="preserve">ą, kuriuo siekiama </w:t>
      </w:r>
      <w:r w:rsidRPr="002A2527">
        <w:rPr>
          <w:szCs w:val="24"/>
        </w:rPr>
        <w:t xml:space="preserve">sukurti ir plėtoti į rezultatus orientuotą strateginio valdymo sistemą, sudarant </w:t>
      </w:r>
      <w:r>
        <w:rPr>
          <w:szCs w:val="24"/>
        </w:rPr>
        <w:t>sąlygas</w:t>
      </w:r>
      <w:r w:rsidRPr="002A2527">
        <w:rPr>
          <w:szCs w:val="24"/>
        </w:rPr>
        <w:t xml:space="preserve"> ilgalaikei ir darniai valstybės pažangai ir efektyviam valdžios sektoriaus finansų planavimui ir panaudojimui</w:t>
      </w:r>
      <w:r>
        <w:rPr>
          <w:szCs w:val="24"/>
        </w:rPr>
        <w:t xml:space="preserve">, bus </w:t>
      </w:r>
      <w:r w:rsidRPr="002A2527">
        <w:rPr>
          <w:szCs w:val="24"/>
        </w:rPr>
        <w:t xml:space="preserve"> priimtas šio įstatymo įgyvendinamasis teisės aktas – Vyriausybės nutarimu tvirtinama Strateginio valdymo metodika. </w:t>
      </w:r>
      <w:r>
        <w:rPr>
          <w:szCs w:val="24"/>
        </w:rPr>
        <w:t>2021 m. Vyriausybė numato pabaigti rengti ir patvirtinti  2021</w:t>
      </w:r>
      <w:bookmarkStart w:id="21" w:name="_Hlk67504275"/>
      <w:r>
        <w:rPr>
          <w:szCs w:val="24"/>
        </w:rPr>
        <w:t>–</w:t>
      </w:r>
      <w:bookmarkEnd w:id="21"/>
      <w:r>
        <w:rPr>
          <w:szCs w:val="24"/>
        </w:rPr>
        <w:t>2030 metų nacionalinį pažangos planą įgyvendinančias plėtros programas, rengti reikiamus, jas detalizuojančius priemonių aprašus, parengti ir pagal naują strateginio valdymo sistemą pradėti įgyvendinti investicinius projektus.</w:t>
      </w:r>
    </w:p>
    <w:p w14:paraId="242C7889" w14:textId="77777777" w:rsidR="007A7540" w:rsidRDefault="007A7540" w:rsidP="00AB4CB8">
      <w:pPr>
        <w:spacing w:line="276" w:lineRule="auto"/>
        <w:ind w:firstLine="709"/>
        <w:jc w:val="both"/>
        <w:rPr>
          <w:szCs w:val="24"/>
        </w:rPr>
      </w:pPr>
      <w:r>
        <w:rPr>
          <w:szCs w:val="24"/>
        </w:rPr>
        <w:t xml:space="preserve">Vyriausybė, įgyvendindama Strateginio valdymo įstatymo įpareigojimą ir savo programinę nuostatą, </w:t>
      </w:r>
      <w:r w:rsidRPr="00C35FDD">
        <w:rPr>
          <w:szCs w:val="24"/>
        </w:rPr>
        <w:t>2021 m.</w:t>
      </w:r>
      <w:r>
        <w:rPr>
          <w:szCs w:val="24"/>
        </w:rPr>
        <w:t>,</w:t>
      </w:r>
      <w:r w:rsidRPr="00C35FDD">
        <w:rPr>
          <w:szCs w:val="24"/>
        </w:rPr>
        <w:t xml:space="preserve"> </w:t>
      </w:r>
      <w:r>
        <w:rPr>
          <w:szCs w:val="24"/>
        </w:rPr>
        <w:t xml:space="preserve">bendradarbiaudama su Seimo Ateities komitetu, numato pradėti rengti </w:t>
      </w:r>
      <w:r w:rsidRPr="00C35FDD">
        <w:rPr>
          <w:szCs w:val="24"/>
        </w:rPr>
        <w:t>Lietuvos pažangos strategij</w:t>
      </w:r>
      <w:r>
        <w:rPr>
          <w:szCs w:val="24"/>
        </w:rPr>
        <w:t xml:space="preserve">ą „Lietuva </w:t>
      </w:r>
      <w:r w:rsidRPr="00C35FDD">
        <w:rPr>
          <w:szCs w:val="24"/>
        </w:rPr>
        <w:t xml:space="preserve"> 2050</w:t>
      </w:r>
      <w:r>
        <w:rPr>
          <w:szCs w:val="24"/>
        </w:rPr>
        <w:t>“. Tam tikslui šiemet numatoma surengti</w:t>
      </w:r>
      <w:r w:rsidRPr="00C35FDD">
        <w:rPr>
          <w:szCs w:val="24"/>
        </w:rPr>
        <w:t xml:space="preserve"> plačias ir </w:t>
      </w:r>
      <w:proofErr w:type="spellStart"/>
      <w:r w:rsidRPr="00C35FDD">
        <w:rPr>
          <w:szCs w:val="24"/>
        </w:rPr>
        <w:t>įtraukias</w:t>
      </w:r>
      <w:proofErr w:type="spellEnd"/>
      <w:r w:rsidRPr="00C35FDD">
        <w:rPr>
          <w:szCs w:val="24"/>
        </w:rPr>
        <w:t xml:space="preserve"> konsultacijas su visuomene, taip pat</w:t>
      </w:r>
      <w:r>
        <w:rPr>
          <w:szCs w:val="24"/>
        </w:rPr>
        <w:t xml:space="preserve"> diskutuoti su Lietuvos </w:t>
      </w:r>
      <w:r w:rsidRPr="00C35FDD">
        <w:rPr>
          <w:szCs w:val="24"/>
        </w:rPr>
        <w:t>mokslo, ekspertų ir politin</w:t>
      </w:r>
      <w:r>
        <w:rPr>
          <w:szCs w:val="24"/>
        </w:rPr>
        <w:t>e</w:t>
      </w:r>
      <w:r w:rsidRPr="00C35FDD">
        <w:rPr>
          <w:szCs w:val="24"/>
        </w:rPr>
        <w:t xml:space="preserve"> bendruomenėmis apie Lietuvos ilgalaikės ateities viziją ir  Lietuvos Europos viziją.</w:t>
      </w:r>
    </w:p>
    <w:p w14:paraId="5918F3B0" w14:textId="77777777" w:rsidR="007A7540" w:rsidRDefault="007A7540" w:rsidP="00AB4CB8">
      <w:pPr>
        <w:spacing w:line="276" w:lineRule="auto"/>
        <w:ind w:firstLine="709"/>
        <w:rPr>
          <w:szCs w:val="24"/>
        </w:rPr>
      </w:pPr>
    </w:p>
    <w:p w14:paraId="2D499190" w14:textId="77777777" w:rsidR="007A7540" w:rsidRPr="00A2280A" w:rsidRDefault="007A7540" w:rsidP="00AB4CB8">
      <w:pPr>
        <w:pStyle w:val="Antrat1"/>
        <w:spacing w:line="276" w:lineRule="auto"/>
        <w:rPr>
          <w:color w:val="17365D" w:themeColor="text2" w:themeShade="BF"/>
        </w:rPr>
      </w:pPr>
      <w:bookmarkStart w:id="22" w:name="_Toc68079186"/>
      <w:r>
        <w:rPr>
          <w:color w:val="17365D" w:themeColor="text2" w:themeShade="BF"/>
        </w:rPr>
        <w:t xml:space="preserve">3.2. </w:t>
      </w:r>
      <w:r w:rsidRPr="00A44F65">
        <w:rPr>
          <w:bCs/>
          <w:color w:val="17365D" w:themeColor="text2" w:themeShade="BF"/>
          <w:szCs w:val="24"/>
        </w:rPr>
        <w:t>Vyriausybės svarbiausieji 2021 m. darbai pagal Vyriausybės programos misijas (prioritetus)</w:t>
      </w:r>
      <w:bookmarkEnd w:id="22"/>
    </w:p>
    <w:p w14:paraId="7A6206FE" w14:textId="77777777" w:rsidR="007A7540" w:rsidRDefault="007A7540" w:rsidP="00AB4CB8">
      <w:pPr>
        <w:spacing w:line="276" w:lineRule="auto"/>
        <w:ind w:firstLine="709"/>
        <w:jc w:val="both"/>
        <w:rPr>
          <w:b/>
          <w:bCs/>
          <w:color w:val="17365D" w:themeColor="text2" w:themeShade="BF"/>
          <w:szCs w:val="24"/>
        </w:rPr>
      </w:pPr>
    </w:p>
    <w:p w14:paraId="1DB33BA2" w14:textId="77777777" w:rsidR="007A7540" w:rsidRPr="00251DAB" w:rsidRDefault="007A7540" w:rsidP="00AB4CB8">
      <w:pPr>
        <w:spacing w:line="276" w:lineRule="auto"/>
        <w:ind w:firstLine="709"/>
        <w:jc w:val="both"/>
        <w:rPr>
          <w:color w:val="17365D" w:themeColor="text2" w:themeShade="BF"/>
          <w:szCs w:val="24"/>
        </w:rPr>
      </w:pPr>
      <w:r w:rsidRPr="00251DAB">
        <w:rPr>
          <w:b/>
          <w:bCs/>
          <w:color w:val="17365D" w:themeColor="text2" w:themeShade="BF"/>
          <w:szCs w:val="24"/>
        </w:rPr>
        <w:t>Švietimas</w:t>
      </w:r>
    </w:p>
    <w:p w14:paraId="000364FC" w14:textId="77777777" w:rsidR="007A7540" w:rsidRDefault="007A7540" w:rsidP="00AB4CB8">
      <w:pPr>
        <w:spacing w:line="276" w:lineRule="auto"/>
        <w:ind w:firstLine="709"/>
        <w:jc w:val="both"/>
        <w:rPr>
          <w:szCs w:val="24"/>
        </w:rPr>
      </w:pPr>
      <w:r w:rsidRPr="00205544">
        <w:rPr>
          <w:szCs w:val="24"/>
        </w:rPr>
        <w:t>Aštuonioliktosios Vyriausybės vienas iš pagrindinių prioritetų</w:t>
      </w:r>
      <w:r>
        <w:rPr>
          <w:szCs w:val="24"/>
        </w:rPr>
        <w:t xml:space="preserve"> –</w:t>
      </w:r>
      <w:r w:rsidRPr="00205544">
        <w:rPr>
          <w:szCs w:val="24"/>
        </w:rPr>
        <w:t xml:space="preserve"> </w:t>
      </w:r>
      <w:r w:rsidRPr="000A1528">
        <w:rPr>
          <w:szCs w:val="24"/>
        </w:rPr>
        <w:t>švietimas</w:t>
      </w:r>
      <w:r w:rsidRPr="00205544">
        <w:rPr>
          <w:szCs w:val="24"/>
        </w:rPr>
        <w:t xml:space="preserve">. </w:t>
      </w:r>
      <w:r w:rsidRPr="006A063A">
        <w:rPr>
          <w:szCs w:val="24"/>
        </w:rPr>
        <w:t>Daugelyje švietimo reformos sričių 2021</w:t>
      </w:r>
      <w:r>
        <w:rPr>
          <w:szCs w:val="24"/>
        </w:rPr>
        <w:t>-ieji</w:t>
      </w:r>
      <w:r w:rsidRPr="006A063A">
        <w:rPr>
          <w:szCs w:val="24"/>
        </w:rPr>
        <w:t xml:space="preserve"> bus pasiruošimo ir veiksmų įgyvendinimo pradžios metai, tačiau numatomi ir pirmieji rezultatai</w:t>
      </w:r>
      <w:r>
        <w:rPr>
          <w:szCs w:val="24"/>
        </w:rPr>
        <w:t xml:space="preserve">. </w:t>
      </w:r>
    </w:p>
    <w:p w14:paraId="1D45D4B1" w14:textId="1A5657E5" w:rsidR="007A7540" w:rsidRPr="00205544" w:rsidRDefault="007A7540" w:rsidP="00AB4CB8">
      <w:pPr>
        <w:spacing w:line="276" w:lineRule="auto"/>
        <w:ind w:firstLine="709"/>
        <w:jc w:val="both"/>
        <w:rPr>
          <w:szCs w:val="24"/>
        </w:rPr>
      </w:pPr>
      <w:r w:rsidRPr="00205544">
        <w:rPr>
          <w:szCs w:val="24"/>
        </w:rPr>
        <w:t xml:space="preserve">Pagrindinis siekis </w:t>
      </w:r>
      <w:r>
        <w:rPr>
          <w:szCs w:val="24"/>
        </w:rPr>
        <w:t xml:space="preserve">– </w:t>
      </w:r>
      <w:r w:rsidRPr="000A1528">
        <w:rPr>
          <w:szCs w:val="24"/>
        </w:rPr>
        <w:t>sudaryti lygias starto galimybes siekti išsilavinimo visiems Lietuvos žmonėms</w:t>
      </w:r>
      <w:r w:rsidRPr="00205544">
        <w:rPr>
          <w:szCs w:val="24"/>
        </w:rPr>
        <w:t xml:space="preserve">, pradedant ikimokykliniu ugdymu. 2021 m. </w:t>
      </w:r>
      <w:r w:rsidRPr="008A57E0">
        <w:rPr>
          <w:szCs w:val="24"/>
        </w:rPr>
        <w:t xml:space="preserve">bus </w:t>
      </w:r>
      <w:r w:rsidR="005C4135">
        <w:rPr>
          <w:szCs w:val="24"/>
        </w:rPr>
        <w:t xml:space="preserve">siekiama </w:t>
      </w:r>
      <w:r w:rsidRPr="00205544">
        <w:rPr>
          <w:szCs w:val="24"/>
        </w:rPr>
        <w:t>sudaryt</w:t>
      </w:r>
      <w:r w:rsidR="005C4135">
        <w:rPr>
          <w:szCs w:val="24"/>
        </w:rPr>
        <w:t>i</w:t>
      </w:r>
      <w:r w:rsidRPr="00205544">
        <w:rPr>
          <w:szCs w:val="24"/>
        </w:rPr>
        <w:t xml:space="preserve"> sąlyg</w:t>
      </w:r>
      <w:r w:rsidR="005C4135">
        <w:rPr>
          <w:szCs w:val="24"/>
        </w:rPr>
        <w:t>a</w:t>
      </w:r>
      <w:r w:rsidRPr="00205544">
        <w:rPr>
          <w:szCs w:val="24"/>
        </w:rPr>
        <w:t xml:space="preserve">s ikimokykliniame ugdyme dalyvauti vaikams iš socialinę riziką patiriančių šeimų ar </w:t>
      </w:r>
      <w:r w:rsidR="00377FA9">
        <w:rPr>
          <w:szCs w:val="24"/>
        </w:rPr>
        <w:t xml:space="preserve">vaikų, </w:t>
      </w:r>
      <w:r w:rsidRPr="00C13447">
        <w:rPr>
          <w:szCs w:val="24"/>
        </w:rPr>
        <w:t>turinčių</w:t>
      </w:r>
      <w:r w:rsidRPr="00205544">
        <w:rPr>
          <w:szCs w:val="24"/>
        </w:rPr>
        <w:t xml:space="preserve"> specialiųjų poreikių</w:t>
      </w:r>
      <w:r>
        <w:rPr>
          <w:szCs w:val="24"/>
        </w:rPr>
        <w:t>.</w:t>
      </w:r>
      <w:r w:rsidR="007D0C23">
        <w:rPr>
          <w:szCs w:val="24"/>
        </w:rPr>
        <w:t xml:space="preserve"> </w:t>
      </w:r>
      <w:r w:rsidR="008A6B7E" w:rsidRPr="00205544">
        <w:rPr>
          <w:szCs w:val="24"/>
        </w:rPr>
        <w:t xml:space="preserve">Vyriausybė </w:t>
      </w:r>
      <w:r w:rsidR="008A6B7E">
        <w:rPr>
          <w:szCs w:val="24"/>
        </w:rPr>
        <w:t>parengs ir pradės įgyvendinti</w:t>
      </w:r>
      <w:r w:rsidR="008A6B7E" w:rsidRPr="00205544">
        <w:rPr>
          <w:szCs w:val="24"/>
        </w:rPr>
        <w:t xml:space="preserve"> pažangą skatinančią </w:t>
      </w:r>
      <w:r w:rsidR="008A6B7E" w:rsidRPr="000A1528">
        <w:rPr>
          <w:szCs w:val="24"/>
        </w:rPr>
        <w:t>Tūkstantmečio mokyklų programą</w:t>
      </w:r>
      <w:r w:rsidR="008A6B7E">
        <w:rPr>
          <w:szCs w:val="24"/>
        </w:rPr>
        <w:t xml:space="preserve">, </w:t>
      </w:r>
      <w:r w:rsidR="008A6B7E" w:rsidRPr="00205544">
        <w:rPr>
          <w:szCs w:val="24"/>
        </w:rPr>
        <w:t xml:space="preserve"> teiks </w:t>
      </w:r>
      <w:r w:rsidR="008A6B7E">
        <w:rPr>
          <w:szCs w:val="24"/>
        </w:rPr>
        <w:t xml:space="preserve">realią </w:t>
      </w:r>
      <w:r w:rsidR="008A6B7E" w:rsidRPr="00205544">
        <w:rPr>
          <w:szCs w:val="24"/>
        </w:rPr>
        <w:t>ekspertinę-konsultacinę pagalbą mokykloms ugdymo kokybės skirtumams mažinti ir lygioms galimybėms užtikrinti</w:t>
      </w:r>
      <w:r w:rsidR="008A6B7E" w:rsidRPr="008A57E0">
        <w:rPr>
          <w:szCs w:val="24"/>
        </w:rPr>
        <w:t>.</w:t>
      </w:r>
      <w:r w:rsidR="008A6B7E">
        <w:rPr>
          <w:szCs w:val="24"/>
        </w:rPr>
        <w:t xml:space="preserve"> </w:t>
      </w:r>
      <w:r>
        <w:rPr>
          <w:szCs w:val="24"/>
        </w:rPr>
        <w:t>Š</w:t>
      </w:r>
      <w:r w:rsidRPr="00205544">
        <w:rPr>
          <w:szCs w:val="24"/>
        </w:rPr>
        <w:t>iais metais taip pat bus skir</w:t>
      </w:r>
      <w:r>
        <w:rPr>
          <w:szCs w:val="24"/>
        </w:rPr>
        <w:t>iamas dėmesys</w:t>
      </w:r>
      <w:r w:rsidRPr="00205544">
        <w:rPr>
          <w:szCs w:val="24"/>
        </w:rPr>
        <w:t xml:space="preserve"> pedagogo motyvacijos programos parengimui, nacionalin</w:t>
      </w:r>
      <w:r>
        <w:rPr>
          <w:szCs w:val="24"/>
        </w:rPr>
        <w:t>ės</w:t>
      </w:r>
      <w:r w:rsidRPr="00205544">
        <w:rPr>
          <w:szCs w:val="24"/>
        </w:rPr>
        <w:t xml:space="preserve"> ugdymo krypties mokslinių tyrimų programos kūrimui. Kartu bus žengti pirmieji žingsniai stiprin</w:t>
      </w:r>
      <w:r>
        <w:rPr>
          <w:szCs w:val="24"/>
        </w:rPr>
        <w:t>ant</w:t>
      </w:r>
      <w:r w:rsidRPr="00205544">
        <w:rPr>
          <w:szCs w:val="24"/>
        </w:rPr>
        <w:t xml:space="preserve"> mokyklų vadovų korpusą. </w:t>
      </w:r>
    </w:p>
    <w:p w14:paraId="1AFD462C" w14:textId="5B90BE54" w:rsidR="007A7540" w:rsidRDefault="007A7540" w:rsidP="00AB4CB8">
      <w:pPr>
        <w:spacing w:line="276" w:lineRule="auto"/>
        <w:ind w:firstLine="709"/>
        <w:jc w:val="both"/>
        <w:rPr>
          <w:szCs w:val="24"/>
        </w:rPr>
      </w:pPr>
      <w:bookmarkStart w:id="23" w:name="_Hlk67406163"/>
      <w:r>
        <w:rPr>
          <w:szCs w:val="24"/>
        </w:rPr>
        <w:t>Siekdama</w:t>
      </w:r>
      <w:r w:rsidRPr="00205544">
        <w:rPr>
          <w:szCs w:val="24"/>
        </w:rPr>
        <w:t xml:space="preserve"> stipri</w:t>
      </w:r>
      <w:r>
        <w:rPr>
          <w:szCs w:val="24"/>
        </w:rPr>
        <w:t>os</w:t>
      </w:r>
      <w:r w:rsidRPr="00205544">
        <w:rPr>
          <w:szCs w:val="24"/>
        </w:rPr>
        <w:t xml:space="preserve"> studijų ir aukštojo mokslo sistem</w:t>
      </w:r>
      <w:r>
        <w:rPr>
          <w:szCs w:val="24"/>
        </w:rPr>
        <w:t>os</w:t>
      </w:r>
      <w:r w:rsidRPr="00205544">
        <w:rPr>
          <w:szCs w:val="24"/>
        </w:rPr>
        <w:t>, 2021 m</w:t>
      </w:r>
      <w:r>
        <w:rPr>
          <w:szCs w:val="24"/>
        </w:rPr>
        <w:t>.</w:t>
      </w:r>
      <w:r w:rsidRPr="00205544">
        <w:rPr>
          <w:szCs w:val="24"/>
        </w:rPr>
        <w:t xml:space="preserve"> Vyriausybė pradės </w:t>
      </w:r>
      <w:r>
        <w:rPr>
          <w:szCs w:val="24"/>
        </w:rPr>
        <w:t xml:space="preserve">kurti </w:t>
      </w:r>
      <w:r w:rsidRPr="00205544">
        <w:rPr>
          <w:szCs w:val="24"/>
        </w:rPr>
        <w:t>misijomis grįstų mokslo ir inovacijų programų model</w:t>
      </w:r>
      <w:r>
        <w:rPr>
          <w:szCs w:val="24"/>
        </w:rPr>
        <w:t>į</w:t>
      </w:r>
      <w:r w:rsidRPr="00205544">
        <w:rPr>
          <w:szCs w:val="24"/>
        </w:rPr>
        <w:t xml:space="preserve"> </w:t>
      </w:r>
      <w:r>
        <w:rPr>
          <w:szCs w:val="24"/>
        </w:rPr>
        <w:t>ir</w:t>
      </w:r>
      <w:r w:rsidRPr="00205544">
        <w:rPr>
          <w:szCs w:val="24"/>
        </w:rPr>
        <w:t xml:space="preserve"> kompetencijos centr</w:t>
      </w:r>
      <w:r>
        <w:rPr>
          <w:szCs w:val="24"/>
        </w:rPr>
        <w:t>us</w:t>
      </w:r>
      <w:r w:rsidRPr="00205544">
        <w:rPr>
          <w:szCs w:val="24"/>
        </w:rPr>
        <w:t xml:space="preserve"> prioritetinėse srityse</w:t>
      </w:r>
      <w:r>
        <w:rPr>
          <w:szCs w:val="24"/>
        </w:rPr>
        <w:t xml:space="preserve">. </w:t>
      </w:r>
      <w:r w:rsidRPr="00A32B5F">
        <w:rPr>
          <w:szCs w:val="24"/>
        </w:rPr>
        <w:t xml:space="preserve">2021 m. </w:t>
      </w:r>
      <w:r>
        <w:rPr>
          <w:szCs w:val="24"/>
        </w:rPr>
        <w:t>k</w:t>
      </w:r>
      <w:r w:rsidRPr="00205544">
        <w:rPr>
          <w:szCs w:val="24"/>
        </w:rPr>
        <w:t xml:space="preserve">artu su bendruomene </w:t>
      </w:r>
      <w:r w:rsidRPr="00A32B5F">
        <w:rPr>
          <w:szCs w:val="24"/>
        </w:rPr>
        <w:t>bus i</w:t>
      </w:r>
      <w:r>
        <w:rPr>
          <w:szCs w:val="24"/>
        </w:rPr>
        <w:t>šgryninti</w:t>
      </w:r>
      <w:r w:rsidRPr="00205544">
        <w:rPr>
          <w:color w:val="FF0000"/>
          <w:szCs w:val="24"/>
        </w:rPr>
        <w:t xml:space="preserve"> </w:t>
      </w:r>
      <w:r w:rsidRPr="00205544">
        <w:rPr>
          <w:szCs w:val="24"/>
        </w:rPr>
        <w:t>mokslo ir studijų institucijų veiklos tiksl</w:t>
      </w:r>
      <w:r>
        <w:rPr>
          <w:szCs w:val="24"/>
        </w:rPr>
        <w:t xml:space="preserve">ai, </w:t>
      </w:r>
      <w:r w:rsidRPr="00377FA9">
        <w:rPr>
          <w:szCs w:val="24"/>
        </w:rPr>
        <w:t>sukurtas</w:t>
      </w:r>
      <w:r w:rsidRPr="00205544">
        <w:rPr>
          <w:szCs w:val="24"/>
        </w:rPr>
        <w:t xml:space="preserve"> MTEP vertinimo ir finansavimo model</w:t>
      </w:r>
      <w:r>
        <w:rPr>
          <w:szCs w:val="24"/>
        </w:rPr>
        <w:t xml:space="preserve">is, </w:t>
      </w:r>
      <w:r w:rsidR="00B92B23">
        <w:rPr>
          <w:szCs w:val="24"/>
        </w:rPr>
        <w:t xml:space="preserve">nustatytas </w:t>
      </w:r>
      <w:r w:rsidRPr="00205544">
        <w:rPr>
          <w:szCs w:val="24"/>
        </w:rPr>
        <w:t xml:space="preserve">valstybės finansuojamų vietų planavimo ir stojančiųjų priėmimo </w:t>
      </w:r>
      <w:r w:rsidRPr="00B92B23">
        <w:rPr>
          <w:szCs w:val="24"/>
        </w:rPr>
        <w:t>procesas.</w:t>
      </w:r>
      <w:bookmarkEnd w:id="23"/>
    </w:p>
    <w:p w14:paraId="0179CC4F" w14:textId="77777777" w:rsidR="007A7540" w:rsidRPr="00676148" w:rsidRDefault="007A7540" w:rsidP="00AB4CB8">
      <w:pPr>
        <w:spacing w:line="276" w:lineRule="auto"/>
        <w:ind w:firstLine="709"/>
        <w:jc w:val="both"/>
        <w:rPr>
          <w:szCs w:val="24"/>
        </w:rPr>
      </w:pPr>
      <w:r w:rsidRPr="00205544">
        <w:rPr>
          <w:szCs w:val="24"/>
        </w:rPr>
        <w:t xml:space="preserve">2021 </w:t>
      </w:r>
      <w:r w:rsidRPr="008A57E0">
        <w:rPr>
          <w:szCs w:val="24"/>
        </w:rPr>
        <w:t>m</w:t>
      </w:r>
      <w:r>
        <w:rPr>
          <w:szCs w:val="24"/>
        </w:rPr>
        <w:t>.</w:t>
      </w:r>
      <w:r w:rsidRPr="008A57E0">
        <w:rPr>
          <w:szCs w:val="24"/>
        </w:rPr>
        <w:t xml:space="preserve"> bus sukurtas naujas </w:t>
      </w:r>
      <w:r w:rsidRPr="00205544">
        <w:rPr>
          <w:szCs w:val="24"/>
        </w:rPr>
        <w:t>mokymosi visą gyvenimą sistemos modelis</w:t>
      </w:r>
      <w:r>
        <w:rPr>
          <w:szCs w:val="24"/>
        </w:rPr>
        <w:t>,</w:t>
      </w:r>
      <w:r w:rsidRPr="00205544">
        <w:rPr>
          <w:szCs w:val="24"/>
        </w:rPr>
        <w:t xml:space="preserve"> toliau populiarinamas profesinis mokymas, pavyzdžiui, skatinant bendrojo ugdymo ir profesinio mokymo</w:t>
      </w:r>
      <w:r>
        <w:rPr>
          <w:szCs w:val="24"/>
        </w:rPr>
        <w:t xml:space="preserve"> </w:t>
      </w:r>
      <w:r w:rsidRPr="009B3603">
        <w:rPr>
          <w:szCs w:val="24"/>
        </w:rPr>
        <w:t>mokinius įgyti profesinę kvalifikaciją ar jos dalį kartu su viduriniu išsilavinimu</w:t>
      </w:r>
      <w:r>
        <w:rPr>
          <w:szCs w:val="24"/>
        </w:rPr>
        <w:t xml:space="preserve">. Sporto srityje bus peržiūrėtos </w:t>
      </w:r>
      <w:r w:rsidRPr="009B3603">
        <w:rPr>
          <w:szCs w:val="24"/>
        </w:rPr>
        <w:t>sporto sistemos stebėsen</w:t>
      </w:r>
      <w:r>
        <w:rPr>
          <w:szCs w:val="24"/>
        </w:rPr>
        <w:t>os galimybės</w:t>
      </w:r>
      <w:r w:rsidRPr="009B3603">
        <w:rPr>
          <w:szCs w:val="24"/>
        </w:rPr>
        <w:t xml:space="preserve"> ir įtvirtint</w:t>
      </w:r>
      <w:r>
        <w:rPr>
          <w:szCs w:val="24"/>
        </w:rPr>
        <w:t>as</w:t>
      </w:r>
      <w:r w:rsidRPr="009B3603">
        <w:rPr>
          <w:szCs w:val="24"/>
        </w:rPr>
        <w:t xml:space="preserve"> nauj</w:t>
      </w:r>
      <w:r>
        <w:rPr>
          <w:szCs w:val="24"/>
        </w:rPr>
        <w:t>as</w:t>
      </w:r>
      <w:r w:rsidRPr="009B3603">
        <w:rPr>
          <w:szCs w:val="24"/>
        </w:rPr>
        <w:t xml:space="preserve"> sporto rėmimo model</w:t>
      </w:r>
      <w:r>
        <w:rPr>
          <w:szCs w:val="24"/>
        </w:rPr>
        <w:t>is.</w:t>
      </w:r>
    </w:p>
    <w:p w14:paraId="389FA504" w14:textId="77777777" w:rsidR="007A7540" w:rsidRDefault="007A7540" w:rsidP="00AB4CB8">
      <w:pPr>
        <w:spacing w:line="276" w:lineRule="auto"/>
        <w:ind w:firstLine="709"/>
        <w:jc w:val="both"/>
        <w:rPr>
          <w:szCs w:val="24"/>
        </w:rPr>
      </w:pPr>
      <w:r w:rsidRPr="00676148">
        <w:rPr>
          <w:szCs w:val="24"/>
        </w:rPr>
        <w:t>V</w:t>
      </w:r>
      <w:r>
        <w:rPr>
          <w:szCs w:val="24"/>
        </w:rPr>
        <w:t>yriausybė ne tik planuoja, bet ir reaguoja: atsižvelgiant į pandemijos</w:t>
      </w:r>
      <w:r w:rsidRPr="00676148">
        <w:rPr>
          <w:szCs w:val="24"/>
        </w:rPr>
        <w:t xml:space="preserve"> situaciją, nedels</w:t>
      </w:r>
      <w:r>
        <w:rPr>
          <w:szCs w:val="24"/>
        </w:rPr>
        <w:t xml:space="preserve">iant  </w:t>
      </w:r>
      <w:r w:rsidRPr="00676148">
        <w:rPr>
          <w:szCs w:val="24"/>
        </w:rPr>
        <w:t>pradė</w:t>
      </w:r>
      <w:r>
        <w:rPr>
          <w:szCs w:val="24"/>
        </w:rPr>
        <w:t>tos</w:t>
      </w:r>
      <w:r w:rsidRPr="00676148">
        <w:rPr>
          <w:szCs w:val="24"/>
        </w:rPr>
        <w:t xml:space="preserve"> įgyvendinti mokymosi praradimų dėl COVID-19 pandemijos kompensavimo priemon</w:t>
      </w:r>
      <w:r>
        <w:rPr>
          <w:szCs w:val="24"/>
        </w:rPr>
        <w:t>ė</w:t>
      </w:r>
      <w:r w:rsidRPr="00676148">
        <w:rPr>
          <w:szCs w:val="24"/>
        </w:rPr>
        <w:t>s</w:t>
      </w:r>
      <w:r>
        <w:rPr>
          <w:szCs w:val="24"/>
        </w:rPr>
        <w:t>,</w:t>
      </w:r>
      <w:r w:rsidRPr="00676148">
        <w:rPr>
          <w:szCs w:val="24"/>
        </w:rPr>
        <w:t xml:space="preserve">  kartu su mokyklų bendruomenėmis išband</w:t>
      </w:r>
      <w:r>
        <w:rPr>
          <w:szCs w:val="24"/>
        </w:rPr>
        <w:t>yti</w:t>
      </w:r>
      <w:r w:rsidRPr="00676148">
        <w:rPr>
          <w:szCs w:val="24"/>
        </w:rPr>
        <w:t xml:space="preserve"> saugiausi būd</w:t>
      </w:r>
      <w:r>
        <w:rPr>
          <w:szCs w:val="24"/>
        </w:rPr>
        <w:t>ai</w:t>
      </w:r>
      <w:r w:rsidRPr="00676148">
        <w:rPr>
          <w:szCs w:val="24"/>
        </w:rPr>
        <w:t xml:space="preserve"> sugrįžti į kontaktinį mokymąsi. </w:t>
      </w:r>
      <w:r w:rsidRPr="001625CF">
        <w:rPr>
          <w:szCs w:val="24"/>
        </w:rPr>
        <w:t xml:space="preserve">Stengiantis mažinti mokymosi praradimus, į pagalbą pasitelkti savanoriai. </w:t>
      </w:r>
      <w:r>
        <w:rPr>
          <w:szCs w:val="24"/>
        </w:rPr>
        <w:t>Pandemija taip pat paspartino švietimo skaitmenizavimo procesą: ugdymo įstaigos</w:t>
      </w:r>
      <w:r w:rsidRPr="00D825ED">
        <w:rPr>
          <w:szCs w:val="24"/>
        </w:rPr>
        <w:t xml:space="preserve"> </w:t>
      </w:r>
      <w:r>
        <w:rPr>
          <w:szCs w:val="24"/>
        </w:rPr>
        <w:t xml:space="preserve">toliau aprūpinamos kompiuterine įranga, </w:t>
      </w:r>
      <w:r w:rsidRPr="00A32B5F">
        <w:rPr>
          <w:szCs w:val="24"/>
        </w:rPr>
        <w:t>2021 m</w:t>
      </w:r>
      <w:r>
        <w:rPr>
          <w:szCs w:val="24"/>
        </w:rPr>
        <w:t>. valstybės biudžete skirta lėšų skaitmeniniam turiniui įsigyti.</w:t>
      </w:r>
    </w:p>
    <w:p w14:paraId="5F8A5006" w14:textId="77777777" w:rsidR="007A7540" w:rsidRPr="00A32B5F" w:rsidRDefault="007A7540" w:rsidP="00AB4CB8">
      <w:pPr>
        <w:spacing w:line="276" w:lineRule="auto"/>
        <w:ind w:firstLine="709"/>
        <w:jc w:val="both"/>
        <w:rPr>
          <w:szCs w:val="24"/>
        </w:rPr>
      </w:pPr>
      <w:r>
        <w:rPr>
          <w:szCs w:val="24"/>
        </w:rPr>
        <w:lastRenderedPageBreak/>
        <w:t>Vyriausybė, suprasdama, kad švietimo pokyčių rezultatai bus matomi mažiausiai po kelerių metų, jei ne po dešimtmečio, inicijavo Nacionalinio susitarimo dėl švietimo rengimą, suburdama parlamentinių partijų, mišrios Seimo narių grupės atstovus kartu su Lietuvos savivaldybių asociacija ir Lietuvos švietimo taryba. Nacionalinis susitarimas dėl švietimo turėtų padėti nubrėžti pagrindines švietimo kryptis dešimčiai metų, kad švietimo politika, jos įgyvendinimo pagrindiniai principai nebūtų drastiškai keičiami.</w:t>
      </w:r>
    </w:p>
    <w:p w14:paraId="582CE167" w14:textId="77777777" w:rsidR="007A7540" w:rsidRDefault="007A7540" w:rsidP="00AB4CB8">
      <w:pPr>
        <w:spacing w:line="276" w:lineRule="auto"/>
        <w:ind w:firstLine="709"/>
        <w:rPr>
          <w:b/>
          <w:bCs/>
          <w:color w:val="17365D" w:themeColor="text2" w:themeShade="BF"/>
          <w:szCs w:val="24"/>
        </w:rPr>
      </w:pPr>
    </w:p>
    <w:p w14:paraId="4CD0037C"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Kultūra</w:t>
      </w:r>
    </w:p>
    <w:p w14:paraId="6322886E" w14:textId="1CBB8E2E" w:rsidR="007A7540" w:rsidRPr="002E3C49" w:rsidRDefault="007A7540" w:rsidP="00AB4CB8">
      <w:pPr>
        <w:spacing w:line="276" w:lineRule="auto"/>
        <w:ind w:firstLine="709"/>
        <w:jc w:val="both"/>
        <w:rPr>
          <w:szCs w:val="24"/>
        </w:rPr>
      </w:pPr>
      <w:r w:rsidRPr="000A1528">
        <w:rPr>
          <w:szCs w:val="24"/>
        </w:rPr>
        <w:t>Kultūros misij</w:t>
      </w:r>
      <w:r>
        <w:rPr>
          <w:szCs w:val="24"/>
        </w:rPr>
        <w:t>ą</w:t>
      </w:r>
      <w:r w:rsidRPr="000A1528">
        <w:rPr>
          <w:szCs w:val="24"/>
        </w:rPr>
        <w:t xml:space="preserve"> (prioritet</w:t>
      </w:r>
      <w:r>
        <w:rPr>
          <w:szCs w:val="24"/>
        </w:rPr>
        <w:t>ą</w:t>
      </w:r>
      <w:r w:rsidRPr="000A1528">
        <w:rPr>
          <w:szCs w:val="24"/>
        </w:rPr>
        <w:t xml:space="preserve">) 2021 m. </w:t>
      </w:r>
      <w:r>
        <w:rPr>
          <w:szCs w:val="24"/>
        </w:rPr>
        <w:t>numatoma įgyvendinti</w:t>
      </w:r>
      <w:r w:rsidRPr="000A1528">
        <w:rPr>
          <w:szCs w:val="24"/>
        </w:rPr>
        <w:t xml:space="preserve"> keturio</w:t>
      </w:r>
      <w:r>
        <w:rPr>
          <w:szCs w:val="24"/>
        </w:rPr>
        <w:t>mi</w:t>
      </w:r>
      <w:r w:rsidRPr="000A1528">
        <w:rPr>
          <w:szCs w:val="24"/>
        </w:rPr>
        <w:t>s krypt</w:t>
      </w:r>
      <w:r>
        <w:rPr>
          <w:szCs w:val="24"/>
        </w:rPr>
        <w:t>imi</w:t>
      </w:r>
      <w:r w:rsidRPr="000A1528">
        <w:rPr>
          <w:szCs w:val="24"/>
        </w:rPr>
        <w:t>s. Pirma</w:t>
      </w:r>
      <w:r w:rsidRPr="002E3C49">
        <w:rPr>
          <w:szCs w:val="24"/>
        </w:rPr>
        <w:t>, atsižvelgdama į švietimo ir kultūros sanglaudos svarbą tvariam kultūros vystymuisi, Vyriausybė sieks kultūros ir švietimo sąveikos</w:t>
      </w:r>
      <w:r>
        <w:rPr>
          <w:szCs w:val="24"/>
        </w:rPr>
        <w:t>,</w:t>
      </w:r>
      <w:r w:rsidRPr="002E3C49">
        <w:rPr>
          <w:szCs w:val="24"/>
        </w:rPr>
        <w:t xml:space="preserve"> apimančios kultūros ir kūrybiškumo integraciją į visus švietimo sistemos lygmenis. Per 2021 m</w:t>
      </w:r>
      <w:r>
        <w:rPr>
          <w:szCs w:val="24"/>
        </w:rPr>
        <w:t>.</w:t>
      </w:r>
      <w:r w:rsidRPr="002E3C49">
        <w:rPr>
          <w:szCs w:val="24"/>
        </w:rPr>
        <w:t xml:space="preserve"> bus rasti sprendimai</w:t>
      </w:r>
      <w:r>
        <w:rPr>
          <w:szCs w:val="24"/>
        </w:rPr>
        <w:t>,</w:t>
      </w:r>
      <w:r w:rsidRPr="002E3C49">
        <w:rPr>
          <w:szCs w:val="24"/>
        </w:rPr>
        <w:t xml:space="preserve"> </w:t>
      </w:r>
      <w:r w:rsidRPr="00B92B23">
        <w:rPr>
          <w:szCs w:val="24"/>
        </w:rPr>
        <w:t>siekiant</w:t>
      </w:r>
      <w:r w:rsidRPr="002E3C49">
        <w:rPr>
          <w:szCs w:val="24"/>
        </w:rPr>
        <w:t xml:space="preserve"> kultūros edukacijos pasiūlos ir jos paklausos </w:t>
      </w:r>
      <w:r w:rsidR="00B92B23">
        <w:rPr>
          <w:szCs w:val="24"/>
        </w:rPr>
        <w:t>atitikimo</w:t>
      </w:r>
      <w:r w:rsidRPr="002E3C49">
        <w:rPr>
          <w:szCs w:val="24"/>
        </w:rPr>
        <w:t>. Kultūra ir kūryba bus integruojama į formalųjį švietimą</w:t>
      </w:r>
      <w:r>
        <w:rPr>
          <w:szCs w:val="24"/>
        </w:rPr>
        <w:t>,</w:t>
      </w:r>
      <w:r w:rsidRPr="002E3C49">
        <w:rPr>
          <w:szCs w:val="24"/>
        </w:rPr>
        <w:t xml:space="preserve"> orientuojantis į kultūros paslaugų kokybę, jų įvairovę ir prieinamumo didinimą neformaliojo ugdymo </w:t>
      </w:r>
      <w:r>
        <w:rPr>
          <w:szCs w:val="24"/>
        </w:rPr>
        <w:t>srityje</w:t>
      </w:r>
      <w:r w:rsidRPr="002E3C49">
        <w:rPr>
          <w:szCs w:val="24"/>
        </w:rPr>
        <w:t>. Bus efektyvinama kultūrinių kompetencijų ir kūrybiškumo ugdymo visą gyvenimą sistema. Plėsis kultūros edukacij</w:t>
      </w:r>
      <w:r>
        <w:rPr>
          <w:szCs w:val="24"/>
        </w:rPr>
        <w:t>a,</w:t>
      </w:r>
      <w:r w:rsidRPr="002E3C49">
        <w:rPr>
          <w:szCs w:val="24"/>
        </w:rPr>
        <w:t xml:space="preserve"> siekiant platesnio ir tvaraus įvairių visuomenės grupių įsitraukimo. </w:t>
      </w:r>
      <w:r w:rsidRPr="000A1528">
        <w:rPr>
          <w:szCs w:val="24"/>
        </w:rPr>
        <w:t>Antra</w:t>
      </w:r>
      <w:r w:rsidRPr="009C1F61">
        <w:rPr>
          <w:szCs w:val="24"/>
        </w:rPr>
        <w:t>,</w:t>
      </w:r>
      <w:r w:rsidRPr="002E3C49">
        <w:rPr>
          <w:szCs w:val="24"/>
        </w:rPr>
        <w:t xml:space="preserve"> </w:t>
      </w:r>
      <w:r>
        <w:rPr>
          <w:szCs w:val="24"/>
        </w:rPr>
        <w:t xml:space="preserve">siekdama </w:t>
      </w:r>
      <w:r w:rsidRPr="002E3C49">
        <w:rPr>
          <w:szCs w:val="24"/>
        </w:rPr>
        <w:t>efektyvi</w:t>
      </w:r>
      <w:r>
        <w:rPr>
          <w:szCs w:val="24"/>
        </w:rPr>
        <w:t>n</w:t>
      </w:r>
      <w:r w:rsidRPr="002E3C49">
        <w:rPr>
          <w:szCs w:val="24"/>
        </w:rPr>
        <w:t>t</w:t>
      </w:r>
      <w:r>
        <w:rPr>
          <w:szCs w:val="24"/>
        </w:rPr>
        <w:t>i</w:t>
      </w:r>
      <w:r w:rsidRPr="002E3C49">
        <w:rPr>
          <w:szCs w:val="24"/>
        </w:rPr>
        <w:t xml:space="preserve"> teisinį kultūros srities reglamentavimą, 2021 m. Vyriausybė parengs ir Seimui pateiks Tautinių mažumų įstatymo</w:t>
      </w:r>
      <w:r>
        <w:rPr>
          <w:szCs w:val="24"/>
        </w:rPr>
        <w:t xml:space="preserve"> ir</w:t>
      </w:r>
      <w:r w:rsidRPr="002E3C49">
        <w:rPr>
          <w:szCs w:val="24"/>
        </w:rPr>
        <w:t xml:space="preserve"> Kilnojamųjų kultūros vertybių įstatymo pakeitimo projektus, iki 2021 m. pabaigos parengs Dainų švenčių</w:t>
      </w:r>
      <w:r>
        <w:rPr>
          <w:szCs w:val="24"/>
        </w:rPr>
        <w:t xml:space="preserve"> įstatymo,</w:t>
      </w:r>
      <w:r w:rsidRPr="002E3C49">
        <w:rPr>
          <w:szCs w:val="24"/>
        </w:rPr>
        <w:t xml:space="preserve"> Kultūros centrų įstatym</w:t>
      </w:r>
      <w:r>
        <w:rPr>
          <w:szCs w:val="24"/>
        </w:rPr>
        <w:t>o,</w:t>
      </w:r>
      <w:r w:rsidRPr="002E3C49">
        <w:rPr>
          <w:szCs w:val="24"/>
        </w:rPr>
        <w:t xml:space="preserve"> Meno kūrėjo ir meno kūrėjų organizacijų statuso įstatymo, Sveikatos draudimo</w:t>
      </w:r>
      <w:r>
        <w:rPr>
          <w:szCs w:val="24"/>
        </w:rPr>
        <w:t xml:space="preserve"> įstatymo</w:t>
      </w:r>
      <w:r w:rsidRPr="002E3C49">
        <w:rPr>
          <w:szCs w:val="24"/>
        </w:rPr>
        <w:t xml:space="preserve"> ir Valstybinio socialinio draudimo įstatym</w:t>
      </w:r>
      <w:r>
        <w:rPr>
          <w:szCs w:val="24"/>
        </w:rPr>
        <w:t>o</w:t>
      </w:r>
      <w:r w:rsidRPr="002E3C49">
        <w:rPr>
          <w:szCs w:val="24"/>
        </w:rPr>
        <w:t xml:space="preserve"> pakeitimų projektus. Bus atnaujintas Kultūros rėmimo fondo finansavimo modelis. </w:t>
      </w:r>
      <w:r w:rsidRPr="000A1528">
        <w:rPr>
          <w:szCs w:val="24"/>
        </w:rPr>
        <w:t>Trečia</w:t>
      </w:r>
      <w:r w:rsidRPr="009C1F61">
        <w:rPr>
          <w:szCs w:val="24"/>
        </w:rPr>
        <w:t>,</w:t>
      </w:r>
      <w:r w:rsidRPr="002E3C49">
        <w:rPr>
          <w:szCs w:val="24"/>
        </w:rPr>
        <w:t xml:space="preserve"> siekiant tolygios kultūros sklaidos regionuose</w:t>
      </w:r>
      <w:r>
        <w:rPr>
          <w:szCs w:val="24"/>
        </w:rPr>
        <w:t>,</w:t>
      </w:r>
      <w:r w:rsidRPr="002E3C49">
        <w:rPr>
          <w:szCs w:val="24"/>
        </w:rPr>
        <w:t xml:space="preserve"> 2021 m. bus atliktas kultūros paslaugų ir jų teikėjų regionuose kokybinis vertinimas, teisinės bazės </w:t>
      </w:r>
      <w:r>
        <w:rPr>
          <w:szCs w:val="24"/>
        </w:rPr>
        <w:t>ir</w:t>
      </w:r>
      <w:r w:rsidRPr="002E3C49">
        <w:rPr>
          <w:szCs w:val="24"/>
        </w:rPr>
        <w:t xml:space="preserve"> jos įgyvendinimo </w:t>
      </w:r>
      <w:r>
        <w:rPr>
          <w:szCs w:val="24"/>
        </w:rPr>
        <w:t>bei</w:t>
      </w:r>
      <w:r w:rsidRPr="002E3C49">
        <w:rPr>
          <w:szCs w:val="24"/>
        </w:rPr>
        <w:t xml:space="preserve"> priežiūros priemonių analizė, taip pat kultūros paslaugų tinklo regione veiklos vertinimas. </w:t>
      </w:r>
      <w:r w:rsidRPr="000A1528">
        <w:rPr>
          <w:szCs w:val="24"/>
        </w:rPr>
        <w:t>Ketvirta</w:t>
      </w:r>
      <w:r w:rsidRPr="009C1F61">
        <w:rPr>
          <w:szCs w:val="24"/>
        </w:rPr>
        <w:t>,</w:t>
      </w:r>
      <w:r w:rsidRPr="002E3C49">
        <w:rPr>
          <w:szCs w:val="24"/>
        </w:rPr>
        <w:t xml:space="preserve"> revizuojant ir optimizuojant kultūrinės diplomatijos sistemą</w:t>
      </w:r>
      <w:r>
        <w:rPr>
          <w:szCs w:val="24"/>
        </w:rPr>
        <w:t>,</w:t>
      </w:r>
      <w:r w:rsidRPr="002E3C49">
        <w:rPr>
          <w:szCs w:val="24"/>
        </w:rPr>
        <w:t xml:space="preserve"> 2021 m. bus brėžiamos ilgalaikės ir tvarios kultūrinės diplomatijos vystymosi kryptys, atlikta kultūrinės diplomatijos išteklių peržiūra, siekiant pradėti kurti tvarią kultūrinės diplomatijos strategiją. Bus atnaujintos ir plėtojamos tikslinės kultūrinio tarptautiškumo skatinimo priemonės</w:t>
      </w:r>
      <w:r>
        <w:rPr>
          <w:szCs w:val="24"/>
        </w:rPr>
        <w:t>, atitinkančios</w:t>
      </w:r>
      <w:r w:rsidRPr="002E3C49">
        <w:rPr>
          <w:szCs w:val="24"/>
        </w:rPr>
        <w:t xml:space="preserve"> pasikeitusį tarptautinio kultūrinio bendradarbiavimo kontekstą ir jo galimybes</w:t>
      </w:r>
      <w:r>
        <w:rPr>
          <w:szCs w:val="24"/>
        </w:rPr>
        <w:t xml:space="preserve">, </w:t>
      </w:r>
      <w:r w:rsidRPr="00DA2392">
        <w:rPr>
          <w:szCs w:val="24"/>
        </w:rPr>
        <w:t>pasibaigus</w:t>
      </w:r>
      <w:r w:rsidRPr="002E3C49">
        <w:rPr>
          <w:szCs w:val="24"/>
        </w:rPr>
        <w:t xml:space="preserve"> </w:t>
      </w:r>
      <w:r w:rsidR="00DA2392">
        <w:rPr>
          <w:szCs w:val="24"/>
        </w:rPr>
        <w:t xml:space="preserve">dėl </w:t>
      </w:r>
      <w:r w:rsidRPr="002E3C49">
        <w:rPr>
          <w:szCs w:val="24"/>
        </w:rPr>
        <w:t>COVID-19</w:t>
      </w:r>
      <w:r w:rsidR="00DA2392">
        <w:rPr>
          <w:szCs w:val="24"/>
        </w:rPr>
        <w:t xml:space="preserve"> pandemijos įvestiems apribojimams</w:t>
      </w:r>
      <w:r w:rsidRPr="002E3C49">
        <w:rPr>
          <w:szCs w:val="24"/>
        </w:rPr>
        <w:t xml:space="preserve">. </w:t>
      </w:r>
    </w:p>
    <w:p w14:paraId="3ED8E2BD" w14:textId="77777777" w:rsidR="007A7540" w:rsidRDefault="007A7540" w:rsidP="00AB4CB8">
      <w:pPr>
        <w:spacing w:line="276" w:lineRule="auto"/>
        <w:rPr>
          <w:szCs w:val="24"/>
        </w:rPr>
      </w:pPr>
    </w:p>
    <w:p w14:paraId="217F5364"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Socialinė apsauga</w:t>
      </w:r>
    </w:p>
    <w:p w14:paraId="2CAED7EE" w14:textId="184E13F3" w:rsidR="007A7540" w:rsidRDefault="007A7540" w:rsidP="00AB4CB8">
      <w:pPr>
        <w:pStyle w:val="Default"/>
        <w:spacing w:line="276" w:lineRule="auto"/>
        <w:ind w:firstLine="709"/>
        <w:jc w:val="both"/>
      </w:pPr>
      <w:r w:rsidRPr="00C47614">
        <w:t xml:space="preserve">Vyriausybės programos </w:t>
      </w:r>
      <w:r w:rsidRPr="000A1528">
        <w:t>trečiąją misiją (prioritetą)</w:t>
      </w:r>
      <w:r>
        <w:rPr>
          <w:b/>
          <w:bCs/>
        </w:rPr>
        <w:t xml:space="preserve"> </w:t>
      </w:r>
      <w:r>
        <w:t>–</w:t>
      </w:r>
      <w:r>
        <w:rPr>
          <w:b/>
          <w:bCs/>
        </w:rPr>
        <w:t xml:space="preserve"> </w:t>
      </w:r>
      <w:r w:rsidRPr="00BA760C">
        <w:t xml:space="preserve">socialiai </w:t>
      </w:r>
      <w:r>
        <w:t xml:space="preserve">labiausiai </w:t>
      </w:r>
      <w:r w:rsidRPr="00BA760C">
        <w:t>pažeidžiamų visuomenės grupių įgalinim</w:t>
      </w:r>
      <w:r>
        <w:t xml:space="preserve">ą – numatyta per Vyriausybės darbo kadenciją įgyvendinti trimis strateginiais socialinės apsaugos ir darbo ministro darbais (projektais): </w:t>
      </w:r>
      <w:r w:rsidRPr="00112822">
        <w:t>a) individualizuoti socialines paslaugas ir įgalinti socialinės srities darbuotojus</w:t>
      </w:r>
      <w:r>
        <w:t>;</w:t>
      </w:r>
      <w:r w:rsidRPr="00112822">
        <w:t xml:space="preserve"> b) plėsti neįgaliųjų teisių apsaugą ir paslaugas</w:t>
      </w:r>
      <w:r>
        <w:t xml:space="preserve">; </w:t>
      </w:r>
      <w:r w:rsidRPr="00112822">
        <w:t>c) pasirūpinti  socialinės apsaugos išmokų adekvatumu ir tvarumu</w:t>
      </w:r>
      <w:r>
        <w:rPr>
          <w:i/>
          <w:iCs/>
        </w:rPr>
        <w:t>.</w:t>
      </w:r>
      <w:r w:rsidRPr="00BA760C">
        <w:t xml:space="preserve"> </w:t>
      </w:r>
      <w:r w:rsidRPr="00BA760C">
        <w:rPr>
          <w:rFonts w:eastAsia="Times New Roman"/>
        </w:rPr>
        <w:t xml:space="preserve">2021 m. </w:t>
      </w:r>
      <w:r>
        <w:rPr>
          <w:rFonts w:eastAsia="Times New Roman"/>
        </w:rPr>
        <w:t xml:space="preserve">Vyriausybė </w:t>
      </w:r>
      <w:r w:rsidRPr="00BA760C">
        <w:rPr>
          <w:rFonts w:eastAsia="Times New Roman"/>
        </w:rPr>
        <w:t>numat</w:t>
      </w:r>
      <w:r>
        <w:rPr>
          <w:rFonts w:eastAsia="Times New Roman"/>
        </w:rPr>
        <w:t xml:space="preserve">o parengti ir Seimui pateikti </w:t>
      </w:r>
      <w:r w:rsidRPr="000A1528">
        <w:t xml:space="preserve">Socialinių paslaugų įstatymo pakeitimus, </w:t>
      </w:r>
      <w:r w:rsidR="007D0C23">
        <w:t>didinančius</w:t>
      </w:r>
      <w:r w:rsidRPr="000A1528">
        <w:t xml:space="preserve"> paslaugų šeimai prieinamumą.</w:t>
      </w:r>
      <w:r>
        <w:rPr>
          <w:i/>
          <w:iCs/>
        </w:rPr>
        <w:t xml:space="preserve"> </w:t>
      </w:r>
      <w:r w:rsidRPr="00C82DEF">
        <w:t>Kartu su savivaldybėmis ir nevyriausybinėmis organizacijomis Socialinės apsaugos ir darbo ministerija numato pradėti rengti regionų perėjimo nuo žmon</w:t>
      </w:r>
      <w:r>
        <w:t>ių</w:t>
      </w:r>
      <w:r w:rsidRPr="00C82DEF">
        <w:t xml:space="preserve"> su proto ir (arba) su psichikos negalia</w:t>
      </w:r>
      <w:r w:rsidRPr="006E6EFA">
        <w:t xml:space="preserve"> </w:t>
      </w:r>
      <w:r w:rsidRPr="00C82DEF">
        <w:t>institucinės globos prie šeimoje ir bendruomenėje teikiamų paslaugų infrastruktūros</w:t>
      </w:r>
      <w:r w:rsidR="0004350F">
        <w:t xml:space="preserve"> </w:t>
      </w:r>
      <w:r w:rsidRPr="0004350F">
        <w:rPr>
          <w:color w:val="auto"/>
        </w:rPr>
        <w:t>planus</w:t>
      </w:r>
      <w:r w:rsidRPr="00C82DEF">
        <w:t xml:space="preserve"> ir paslaugų plėtros žemėlapius</w:t>
      </w:r>
      <w:r w:rsidRPr="00BA760C">
        <w:t>.</w:t>
      </w:r>
      <w:r>
        <w:t xml:space="preserve"> 2021 m. Vyriausybė numato suplanuoti i</w:t>
      </w:r>
      <w:r w:rsidRPr="00BA760C">
        <w:t>nvesticij</w:t>
      </w:r>
      <w:r>
        <w:t>a</w:t>
      </w:r>
      <w:r w:rsidRPr="00BA760C">
        <w:t xml:space="preserve">s </w:t>
      </w:r>
      <w:r w:rsidRPr="00112822">
        <w:t>tvarios ilgalaikės priežiūros paslaugų asmens namuose sistemos (integralios pagalbos) plėtrai</w:t>
      </w:r>
      <w:r>
        <w:t xml:space="preserve">, o ilgalaikės priežiūros paslaugų teikimo modelio sukūrimą Vyriausybė paskelbė viena iš penkių Vyriausybės kadencijos reformų. </w:t>
      </w:r>
    </w:p>
    <w:p w14:paraId="4A9E8C91" w14:textId="77777777" w:rsidR="007A7540" w:rsidRPr="00BA760C" w:rsidRDefault="007A7540" w:rsidP="00AB4CB8">
      <w:pPr>
        <w:pStyle w:val="Default"/>
        <w:spacing w:line="276" w:lineRule="auto"/>
        <w:ind w:firstLine="709"/>
        <w:jc w:val="both"/>
      </w:pPr>
      <w:r>
        <w:t xml:space="preserve">Plėtojant </w:t>
      </w:r>
      <w:r w:rsidRPr="000A1528">
        <w:t>neįgaliųjų teisių apsaugą ir jiems skirtas paslaugas</w:t>
      </w:r>
      <w:r>
        <w:t xml:space="preserve">, 2021 m. bus pradėti rengti teisės aktų pakeitimai, kad būtų išplėstas įvairių (švietimo, sveikatos, socialinių, kultūros ir kitų) paslaugų ir pastatų prieinamumas visų amžiaus grupių neįgaliesiems. Nors dauguma šių pokyčių įvyks vėlesniais kadencijos metais, numatoma, kad jau 2021 m. bus sukurta asmeninio asistento paslaugų teikimo sistema (atlikus reglamentavimo pakeitimus </w:t>
      </w:r>
      <w:r w:rsidRPr="000A1528">
        <w:t>Neįgaliųjų socialinės integracijos įstatyme</w:t>
      </w:r>
      <w:r>
        <w:t xml:space="preserve">).  2021 m. bus pradėta išsami </w:t>
      </w:r>
      <w:r>
        <w:lastRenderedPageBreak/>
        <w:t xml:space="preserve">įvairių išmokų – pensijų, nedarbo, motinystės, neįgalumo ir kitų – peržiūra, siekiant </w:t>
      </w:r>
      <w:r w:rsidRPr="000A1528">
        <w:t>didesnio socialinės apsaugos išmokų adekvatumo, socialinio teisingumo ir tvarumo</w:t>
      </w:r>
      <w:r>
        <w:t>. 2021 m. numatoma pabaigti peržiūrėti pensijų indeksavimo teisinį reguliavimą ir padidinti globojamų vaikų globos (rūpybos) išmokos dydį (Vyriausybė numato Seimui pateikti Išmokų vaikams įstatymo pakeitimo įstatymo projektą).</w:t>
      </w:r>
    </w:p>
    <w:p w14:paraId="3F837EFA" w14:textId="77777777" w:rsidR="007A7540" w:rsidRDefault="007A7540" w:rsidP="00AB4CB8">
      <w:pPr>
        <w:spacing w:line="276" w:lineRule="auto"/>
        <w:ind w:firstLine="709"/>
        <w:rPr>
          <w:szCs w:val="24"/>
        </w:rPr>
      </w:pPr>
    </w:p>
    <w:p w14:paraId="32AB10AB"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Sveikatos apsauga</w:t>
      </w:r>
    </w:p>
    <w:p w14:paraId="67AB2D69" w14:textId="7B81CF1A" w:rsidR="007A7540" w:rsidRDefault="007A7540" w:rsidP="00AB4CB8">
      <w:pPr>
        <w:spacing w:line="276" w:lineRule="auto"/>
        <w:ind w:firstLine="709"/>
        <w:jc w:val="both"/>
        <w:rPr>
          <w:szCs w:val="24"/>
        </w:rPr>
      </w:pPr>
      <w:bookmarkStart w:id="24" w:name="_Hlk66969684"/>
      <w:r>
        <w:rPr>
          <w:szCs w:val="24"/>
        </w:rPr>
        <w:t>Atsižvelgiant į silpnąsias sveikatos apsaugos sistemos grandis</w:t>
      </w:r>
      <w:r w:rsidR="00490BD3">
        <w:rPr>
          <w:szCs w:val="24"/>
        </w:rPr>
        <w:t>,</w:t>
      </w:r>
      <w:r>
        <w:rPr>
          <w:szCs w:val="24"/>
        </w:rPr>
        <w:t xml:space="preserve"> atideng</w:t>
      </w:r>
      <w:r w:rsidR="00490BD3">
        <w:rPr>
          <w:szCs w:val="24"/>
        </w:rPr>
        <w:t>tas</w:t>
      </w:r>
      <w:r>
        <w:rPr>
          <w:szCs w:val="24"/>
        </w:rPr>
        <w:t xml:space="preserve"> COVID-19 pandemijos situacij</w:t>
      </w:r>
      <w:r w:rsidR="00490BD3">
        <w:rPr>
          <w:szCs w:val="24"/>
        </w:rPr>
        <w:t>os</w:t>
      </w:r>
      <w:r>
        <w:rPr>
          <w:szCs w:val="24"/>
        </w:rPr>
        <w:t xml:space="preserve">, Aštuonioliktosios Vyriausybės programos nuostatų įgyvendinimo plane numatytas svarbus strateginis darbas (projektas) – kovai su pandemijos sukeltomis pasekmėmis skirtas </w:t>
      </w:r>
      <w:r w:rsidRPr="000A1528">
        <w:rPr>
          <w:szCs w:val="24"/>
        </w:rPr>
        <w:t>psichikos sveikatos raštingumo ir paslaugų įvairovės didinimas</w:t>
      </w:r>
      <w:r>
        <w:rPr>
          <w:i/>
          <w:iCs/>
          <w:szCs w:val="24"/>
        </w:rPr>
        <w:t>.</w:t>
      </w:r>
      <w:r>
        <w:rPr>
          <w:szCs w:val="24"/>
        </w:rPr>
        <w:t xml:space="preserve"> 2021 m. bus parengtas ir patvirtintas </w:t>
      </w:r>
      <w:r w:rsidR="00490BD3">
        <w:rPr>
          <w:szCs w:val="24"/>
        </w:rPr>
        <w:t>I</w:t>
      </w:r>
      <w:r w:rsidRPr="000A1528">
        <w:rPr>
          <w:szCs w:val="24"/>
        </w:rPr>
        <w:t xml:space="preserve">lgalaikių neigiamų </w:t>
      </w:r>
      <w:r>
        <w:rPr>
          <w:szCs w:val="24"/>
        </w:rPr>
        <w:t>COVID</w:t>
      </w:r>
      <w:r w:rsidRPr="000A1528">
        <w:rPr>
          <w:szCs w:val="24"/>
        </w:rPr>
        <w:t>-19 pandemijos pasekmių psichikos sveikatai mažinimo veiksmų planas</w:t>
      </w:r>
      <w:r w:rsidRPr="00B87277">
        <w:rPr>
          <w:szCs w:val="24"/>
        </w:rPr>
        <w:t>.</w:t>
      </w:r>
      <w:r>
        <w:rPr>
          <w:szCs w:val="24"/>
        </w:rPr>
        <w:t xml:space="preserve"> </w:t>
      </w:r>
      <w:r w:rsidR="00490BD3">
        <w:rPr>
          <w:szCs w:val="24"/>
        </w:rPr>
        <w:t>S</w:t>
      </w:r>
      <w:r>
        <w:rPr>
          <w:szCs w:val="24"/>
        </w:rPr>
        <w:t xml:space="preserve">veikatos priežiūros įstaigų kompetencijų ir galimybių reaguoti į grėsmes problemai ir asmens sveikatos priežiūros įstaigų tinklo bei sveikatos duomenų surinkimo, apdorojimo ir kokybiško pateikimo problemoms spręsti Vyriausybės kadencijos metu skirti </w:t>
      </w:r>
      <w:r w:rsidRPr="000A1528">
        <w:rPr>
          <w:szCs w:val="24"/>
        </w:rPr>
        <w:t>kiti trys sveikatos apsaugos ministro strateginiai darbai (projektai)</w:t>
      </w:r>
      <w:r>
        <w:rPr>
          <w:szCs w:val="24"/>
        </w:rPr>
        <w:t xml:space="preserve">: </w:t>
      </w:r>
      <w:r w:rsidRPr="000A1528">
        <w:rPr>
          <w:szCs w:val="24"/>
        </w:rPr>
        <w:t>visuomenės ir asmens sveikatos priežiūros įstaigų veiklos kokybės gerinimas (sistemos pertvarka)</w:t>
      </w:r>
      <w:r>
        <w:rPr>
          <w:szCs w:val="24"/>
        </w:rPr>
        <w:t>;</w:t>
      </w:r>
      <w:r w:rsidRPr="00B87277">
        <w:rPr>
          <w:szCs w:val="24"/>
        </w:rPr>
        <w:t xml:space="preserve"> </w:t>
      </w:r>
      <w:r w:rsidRPr="000A1528">
        <w:rPr>
          <w:szCs w:val="24"/>
        </w:rPr>
        <w:t xml:space="preserve">sveikatos sistemos atsparumo </w:t>
      </w:r>
      <w:r w:rsidR="00490BD3">
        <w:rPr>
          <w:szCs w:val="24"/>
        </w:rPr>
        <w:t xml:space="preserve">ir pasirengimo </w:t>
      </w:r>
      <w:r w:rsidRPr="000A1528">
        <w:rPr>
          <w:szCs w:val="24"/>
        </w:rPr>
        <w:t>grėsmėms užtikrinimas</w:t>
      </w:r>
      <w:r>
        <w:rPr>
          <w:szCs w:val="24"/>
        </w:rPr>
        <w:t>;</w:t>
      </w:r>
      <w:r w:rsidRPr="000A1528">
        <w:rPr>
          <w:szCs w:val="24"/>
        </w:rPr>
        <w:t xml:space="preserve">  </w:t>
      </w:r>
      <w:r w:rsidRPr="00B87277">
        <w:rPr>
          <w:szCs w:val="24"/>
        </w:rPr>
        <w:t xml:space="preserve"> </w:t>
      </w:r>
      <w:r w:rsidRPr="000A1528">
        <w:rPr>
          <w:szCs w:val="24"/>
        </w:rPr>
        <w:t>sveikatos sistemos skaitmeninimas</w:t>
      </w:r>
      <w:r w:rsidRPr="00B87277">
        <w:rPr>
          <w:szCs w:val="24"/>
        </w:rPr>
        <w:t>.</w:t>
      </w:r>
      <w:r>
        <w:rPr>
          <w:szCs w:val="24"/>
        </w:rPr>
        <w:t xml:space="preserve">  Jiems įgyvendinti 2021 m. numatyti šie svarbiausi parengiamieji, analitiniai ir planavimo darbai:  padėties ir sistemų analizė, </w:t>
      </w:r>
      <w:r w:rsidR="00490BD3">
        <w:rPr>
          <w:szCs w:val="24"/>
        </w:rPr>
        <w:t xml:space="preserve">informacinių sistemų </w:t>
      </w:r>
      <w:r>
        <w:rPr>
          <w:szCs w:val="24"/>
        </w:rPr>
        <w:t xml:space="preserve">žemėlapių sudarymas, trūkumų ir silpnųjų vietų nustatymas, pertvarkos planų sudarymas, įgyvendinimui reikalingų teisės aktų parengimas ir investicijų suplanavimas. Pertvarkant tinklą, didelis dėmesys bus skiriamas diskusijai su socialiniais partneriais, siekiant patvirtinti optimaliausią sveikatos paslaugų (įskaitant paslaugų kokybę ir prieinamumą) teikimo modelį. Vyriausybės programos nuostatų įgyvendinimo plane daug dėmesio skirta ateities iššūkiams ir senstančiai Lietuvos visuomenei, siekiant ilgo ir sveiko gyvenimo kokybės. </w:t>
      </w:r>
    </w:p>
    <w:p w14:paraId="2CFA0550" w14:textId="77777777" w:rsidR="007A7540" w:rsidRDefault="007A7540" w:rsidP="00AB4CB8">
      <w:pPr>
        <w:spacing w:line="276" w:lineRule="auto"/>
        <w:ind w:firstLine="709"/>
        <w:rPr>
          <w:szCs w:val="24"/>
        </w:rPr>
      </w:pPr>
    </w:p>
    <w:p w14:paraId="0EAAA4AF"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Aukštos pridėtinės vertės ekonomika</w:t>
      </w:r>
    </w:p>
    <w:p w14:paraId="437C8027" w14:textId="77777777" w:rsidR="007A7540" w:rsidRPr="005123EE" w:rsidRDefault="007A7540" w:rsidP="00AB4CB8">
      <w:pPr>
        <w:spacing w:line="276" w:lineRule="auto"/>
        <w:ind w:firstLine="709"/>
        <w:jc w:val="both"/>
        <w:rPr>
          <w:szCs w:val="24"/>
        </w:rPr>
      </w:pPr>
      <w:r w:rsidRPr="000A1528">
        <w:rPr>
          <w:szCs w:val="24"/>
        </w:rPr>
        <w:t>Aukštos pridėtinės vertės ekonomikos misijos</w:t>
      </w:r>
      <w:r>
        <w:rPr>
          <w:szCs w:val="24"/>
        </w:rPr>
        <w:t xml:space="preserve"> (prioriteto) pagrindas ir viena iš penkių Vyriausybės kadencijos reformų </w:t>
      </w:r>
      <w:r w:rsidRPr="000A1528">
        <w:rPr>
          <w:szCs w:val="24"/>
        </w:rPr>
        <w:t>yra inovacijų ekosistemų mokslo centruose, inovacijų agentūros ir misijomis grįstų mokslo ir verslo inovacijų programų sukūrimas</w:t>
      </w:r>
      <w:r>
        <w:rPr>
          <w:szCs w:val="24"/>
        </w:rPr>
        <w:t xml:space="preserve">. 2021 m. Vyriausybė apsispręs dėl inovacijų agentūros steigimo, </w:t>
      </w:r>
      <w:r w:rsidRPr="00787773">
        <w:rPr>
          <w:szCs w:val="24"/>
        </w:rPr>
        <w:t>konsoliduojant inovacinės veiklos skatinimo funkcijas</w:t>
      </w:r>
      <w:r>
        <w:rPr>
          <w:szCs w:val="24"/>
        </w:rPr>
        <w:t xml:space="preserve"> (steigimą numatyta baigti 2022 m. I ketvirtį). Bus pradėtas kurti </w:t>
      </w:r>
      <w:r w:rsidRPr="00827F24">
        <w:rPr>
          <w:szCs w:val="24"/>
        </w:rPr>
        <w:t>misijomis grįstų mokslo ir inovacijų programų modelis</w:t>
      </w:r>
      <w:r>
        <w:rPr>
          <w:szCs w:val="24"/>
        </w:rPr>
        <w:t xml:space="preserve">. Numatyta išanalizuoti </w:t>
      </w:r>
      <w:r w:rsidRPr="002D0032">
        <w:rPr>
          <w:szCs w:val="24"/>
        </w:rPr>
        <w:t>inovacinę veiklą reglamentuojanči</w:t>
      </w:r>
      <w:r>
        <w:rPr>
          <w:szCs w:val="24"/>
        </w:rPr>
        <w:t>us</w:t>
      </w:r>
      <w:r w:rsidRPr="002D0032">
        <w:rPr>
          <w:szCs w:val="24"/>
        </w:rPr>
        <w:t xml:space="preserve"> teisės akt</w:t>
      </w:r>
      <w:r>
        <w:rPr>
          <w:szCs w:val="24"/>
        </w:rPr>
        <w:t>us</w:t>
      </w:r>
      <w:r w:rsidRPr="002D0032">
        <w:rPr>
          <w:szCs w:val="24"/>
        </w:rPr>
        <w:t xml:space="preserve"> ir priimti</w:t>
      </w:r>
      <w:r w:rsidRPr="00AE794D">
        <w:rPr>
          <w:szCs w:val="24"/>
        </w:rPr>
        <w:t xml:space="preserve"> </w:t>
      </w:r>
      <w:r w:rsidRPr="005123EE">
        <w:rPr>
          <w:szCs w:val="24"/>
        </w:rPr>
        <w:t>inovacinei veiklai skatinti</w:t>
      </w:r>
      <w:r w:rsidRPr="002D0032">
        <w:rPr>
          <w:szCs w:val="24"/>
        </w:rPr>
        <w:t xml:space="preserve"> </w:t>
      </w:r>
      <w:r w:rsidRPr="005123EE">
        <w:rPr>
          <w:szCs w:val="24"/>
        </w:rPr>
        <w:t>reik</w:t>
      </w:r>
      <w:r>
        <w:rPr>
          <w:szCs w:val="24"/>
        </w:rPr>
        <w:t>iamus jų</w:t>
      </w:r>
      <w:r w:rsidRPr="005123EE">
        <w:rPr>
          <w:szCs w:val="24"/>
        </w:rPr>
        <w:t xml:space="preserve"> pakeitimus, suvienodinti atskiruose informacijos šaltiniuose skelbiamą </w:t>
      </w:r>
      <w:r>
        <w:rPr>
          <w:szCs w:val="24"/>
        </w:rPr>
        <w:t>ir</w:t>
      </w:r>
      <w:r w:rsidRPr="005123EE">
        <w:rPr>
          <w:szCs w:val="24"/>
        </w:rPr>
        <w:t xml:space="preserve"> kitą </w:t>
      </w:r>
      <w:r w:rsidRPr="00054C3A">
        <w:rPr>
          <w:szCs w:val="24"/>
        </w:rPr>
        <w:t>aktualią informaciją</w:t>
      </w:r>
      <w:r>
        <w:rPr>
          <w:szCs w:val="24"/>
        </w:rPr>
        <w:t>,</w:t>
      </w:r>
      <w:r w:rsidRPr="005123EE">
        <w:rPr>
          <w:szCs w:val="24"/>
        </w:rPr>
        <w:t xml:space="preserve"> sukurti bendrą informavimo ir konsultavimo intelektinės nuosavybės klausimais platformą. Numatoma parengti ir įgyvendinti energetikos sektoriaus </w:t>
      </w:r>
      <w:proofErr w:type="spellStart"/>
      <w:r w:rsidRPr="005123EE">
        <w:rPr>
          <w:szCs w:val="24"/>
        </w:rPr>
        <w:t>startuolių</w:t>
      </w:r>
      <w:proofErr w:type="spellEnd"/>
      <w:r w:rsidRPr="005123EE">
        <w:rPr>
          <w:szCs w:val="24"/>
        </w:rPr>
        <w:t xml:space="preserve"> </w:t>
      </w:r>
      <w:proofErr w:type="spellStart"/>
      <w:r w:rsidRPr="005123EE">
        <w:rPr>
          <w:szCs w:val="24"/>
        </w:rPr>
        <w:t>akceleravimo</w:t>
      </w:r>
      <w:proofErr w:type="spellEnd"/>
      <w:r w:rsidRPr="005123EE">
        <w:rPr>
          <w:szCs w:val="24"/>
        </w:rPr>
        <w:t xml:space="preserve"> programą, skirtą labai mažų ir mažų energetikos įmonių verslo plėtrai užtikrinti, inicijuoti </w:t>
      </w:r>
      <w:proofErr w:type="spellStart"/>
      <w:r w:rsidRPr="005123EE">
        <w:rPr>
          <w:i/>
          <w:iCs/>
          <w:szCs w:val="24"/>
        </w:rPr>
        <w:t>EnergyTech</w:t>
      </w:r>
      <w:proofErr w:type="spellEnd"/>
      <w:r w:rsidRPr="005123EE">
        <w:rPr>
          <w:szCs w:val="24"/>
        </w:rPr>
        <w:t xml:space="preserve"> projektą, skirtą </w:t>
      </w:r>
      <w:proofErr w:type="spellStart"/>
      <w:r w:rsidRPr="005123EE">
        <w:rPr>
          <w:i/>
          <w:iCs/>
          <w:szCs w:val="24"/>
        </w:rPr>
        <w:t>EnergyTech</w:t>
      </w:r>
      <w:proofErr w:type="spellEnd"/>
      <w:r w:rsidRPr="005123EE">
        <w:rPr>
          <w:i/>
          <w:iCs/>
          <w:szCs w:val="24"/>
        </w:rPr>
        <w:t xml:space="preserve"> </w:t>
      </w:r>
      <w:proofErr w:type="spellStart"/>
      <w:r w:rsidRPr="005123EE">
        <w:rPr>
          <w:szCs w:val="24"/>
        </w:rPr>
        <w:t>startuolių</w:t>
      </w:r>
      <w:proofErr w:type="spellEnd"/>
      <w:r w:rsidRPr="005123EE">
        <w:rPr>
          <w:szCs w:val="24"/>
        </w:rPr>
        <w:t xml:space="preserve"> kūrimui Lietuvoje skatinti ir jų žinomumui didinti</w:t>
      </w:r>
      <w:r>
        <w:rPr>
          <w:szCs w:val="24"/>
        </w:rPr>
        <w:t xml:space="preserve">, </w:t>
      </w:r>
      <w:r w:rsidRPr="00054C3A">
        <w:rPr>
          <w:szCs w:val="24"/>
        </w:rPr>
        <w:t>parengti ir priimti Elektroninių ryšių įstatymo pakeitim</w:t>
      </w:r>
      <w:r>
        <w:rPr>
          <w:szCs w:val="24"/>
        </w:rPr>
        <w:t>us</w:t>
      </w:r>
      <w:r w:rsidRPr="00054C3A">
        <w:rPr>
          <w:szCs w:val="24"/>
        </w:rPr>
        <w:t>, kuri</w:t>
      </w:r>
      <w:r>
        <w:rPr>
          <w:szCs w:val="24"/>
        </w:rPr>
        <w:t>ais</w:t>
      </w:r>
      <w:r w:rsidRPr="00054C3A">
        <w:rPr>
          <w:szCs w:val="24"/>
        </w:rPr>
        <w:t xml:space="preserve"> būtų priimti daiktų interneto (</w:t>
      </w:r>
      <w:proofErr w:type="spellStart"/>
      <w:r w:rsidRPr="00054C3A">
        <w:rPr>
          <w:szCs w:val="24"/>
        </w:rPr>
        <w:t>IoT</w:t>
      </w:r>
      <w:proofErr w:type="spellEnd"/>
      <w:r w:rsidRPr="00054C3A">
        <w:rPr>
          <w:szCs w:val="24"/>
        </w:rPr>
        <w:t>) plėtrą įgalinantys sprendimai</w:t>
      </w:r>
      <w:r>
        <w:rPr>
          <w:szCs w:val="24"/>
        </w:rPr>
        <w:t>. 2021 m. numatyta p</w:t>
      </w:r>
      <w:r w:rsidRPr="00047652">
        <w:rPr>
          <w:szCs w:val="24"/>
        </w:rPr>
        <w:t>arengti viešojo valdymo inovacijų koncepciją ir sukurti koordinuotos viešojo valdymo inovacijų valdysenos modelį – nustatyti viešojo valdymo inovacijų inicijavimo, atrankos, finansavimo, duomenų rinkimo ir kaupimo, įgyvendinimo, rezultatų įvertinimo ir platesnio pritaikymo bei sklaidos tvarką.</w:t>
      </w:r>
    </w:p>
    <w:p w14:paraId="1FFE137F" w14:textId="77777777" w:rsidR="00B7795E" w:rsidRPr="00AB4CB8" w:rsidRDefault="007A7540" w:rsidP="00AB4CB8">
      <w:pPr>
        <w:spacing w:line="276" w:lineRule="auto"/>
        <w:ind w:firstLine="709"/>
        <w:jc w:val="both"/>
        <w:rPr>
          <w:szCs w:val="24"/>
        </w:rPr>
      </w:pPr>
      <w:r w:rsidRPr="00AB4CB8">
        <w:rPr>
          <w:szCs w:val="24"/>
        </w:rPr>
        <w:t xml:space="preserve">Universaliam verslumui svarbūs bus Statybos įstatymo pakeitimai ir statybininko tapatybės identifikavimo (ID) kortelės įteisinimas, taip pat statybvietėse savarankiškai dirbančių asmenų įtraukimas į darbuotojų saugos ir sveikatos teisinio reguliavimo sritį. </w:t>
      </w:r>
    </w:p>
    <w:p w14:paraId="484E00BF" w14:textId="77777777" w:rsidR="00B7795E" w:rsidRPr="00914C86" w:rsidRDefault="00B7795E" w:rsidP="00AB4CB8">
      <w:pPr>
        <w:spacing w:line="276" w:lineRule="auto"/>
        <w:ind w:firstLine="709"/>
        <w:jc w:val="both"/>
        <w:rPr>
          <w:szCs w:val="24"/>
        </w:rPr>
      </w:pPr>
      <w:r w:rsidRPr="00AB4CB8">
        <w:rPr>
          <w:szCs w:val="24"/>
        </w:rPr>
        <w:t>Bus sukurtas ir patvirtintas valstybinės žemės sklypų rezervavimo modelis, užtikrinantis išvystytų didelių žemės sklypų (teritorijų) pasiūlą naujoms gamybos investicijoms pritraukti.</w:t>
      </w:r>
    </w:p>
    <w:p w14:paraId="0A7E37E2" w14:textId="77777777" w:rsidR="00B7795E" w:rsidRPr="00AB4CB8" w:rsidRDefault="007A7540" w:rsidP="00AB4CB8">
      <w:pPr>
        <w:spacing w:line="276" w:lineRule="auto"/>
        <w:ind w:firstLine="709"/>
        <w:jc w:val="both"/>
        <w:rPr>
          <w:szCs w:val="24"/>
        </w:rPr>
      </w:pPr>
      <w:r w:rsidRPr="00AB4CB8">
        <w:rPr>
          <w:szCs w:val="24"/>
        </w:rPr>
        <w:lastRenderedPageBreak/>
        <w:t xml:space="preserve">Siekiant plėtoti turizmo indėlį į Lietuvos ekonomikos augimą, panaudoti kultūros paveldą turizmui skatinti ir Lietuvoje atgaivinti turizmą, pasibaigus COVID-19 pandemijai, numatyta parengti turizmo sektoriaus reformos ir su ja susijusių investicijų į turizmo infrastruktūrą priemones. </w:t>
      </w:r>
    </w:p>
    <w:p w14:paraId="1C428265" w14:textId="77777777" w:rsidR="007A7540" w:rsidRPr="00B44DC5" w:rsidRDefault="007A7540" w:rsidP="00AB4CB8">
      <w:pPr>
        <w:spacing w:line="276" w:lineRule="auto"/>
        <w:ind w:firstLine="709"/>
        <w:jc w:val="both"/>
        <w:rPr>
          <w:szCs w:val="24"/>
        </w:rPr>
      </w:pPr>
      <w:r w:rsidRPr="004D075A">
        <w:rPr>
          <w:szCs w:val="24"/>
        </w:rPr>
        <w:t>Geresniam verslo klimatui</w:t>
      </w:r>
      <w:r w:rsidRPr="00B44DC5">
        <w:rPr>
          <w:szCs w:val="24"/>
        </w:rPr>
        <w:t xml:space="preserve"> svarbūs du 2021 m. darbai. Bus parengta ir Vyriausybės nutarimu patvirtinta Ūkio subjektų prisitaikymo prie reguliavimo išlaidų vertinimo metodika. Taip pat numatyta parengti ir priimti kompleksinius pirkimus bei koncesijas reguliuojančių įstatymų (Viešųjų pirkimų įstatymo,  Viešųjų pirkimų, atliekamų gynybos ir saugumo srityje, įstatymo ir k</w:t>
      </w:r>
      <w:r>
        <w:rPr>
          <w:szCs w:val="24"/>
        </w:rPr>
        <w:t>itų</w:t>
      </w:r>
      <w:r w:rsidRPr="00B44DC5">
        <w:rPr>
          <w:szCs w:val="24"/>
        </w:rPr>
        <w:t>) pakeitim</w:t>
      </w:r>
      <w:r>
        <w:rPr>
          <w:szCs w:val="24"/>
        </w:rPr>
        <w:t>us</w:t>
      </w:r>
      <w:r w:rsidRPr="00B44DC5">
        <w:rPr>
          <w:szCs w:val="24"/>
        </w:rPr>
        <w:t>, siekiant vykdyti veiksmingesnį viešųjų pirkimų procesą ir didinti inovatyvių ir žaliųjų viešųjų pirkimų mastą.</w:t>
      </w:r>
    </w:p>
    <w:p w14:paraId="3E91266C" w14:textId="77777777" w:rsidR="007A7540" w:rsidRPr="00B44DC5" w:rsidRDefault="007A7540" w:rsidP="00AB4CB8">
      <w:pPr>
        <w:spacing w:line="276" w:lineRule="auto"/>
        <w:ind w:firstLine="709"/>
        <w:jc w:val="both"/>
        <w:rPr>
          <w:szCs w:val="24"/>
        </w:rPr>
      </w:pPr>
      <w:r w:rsidRPr="00B44DC5">
        <w:rPr>
          <w:szCs w:val="24"/>
        </w:rPr>
        <w:t xml:space="preserve">Vyriausybė planuoja atnaujinti </w:t>
      </w:r>
      <w:r w:rsidRPr="000A1528">
        <w:rPr>
          <w:szCs w:val="24"/>
        </w:rPr>
        <w:t>valstybės valdomų įmonių pertvarkos ir valdymo centralizavimo priemonių planą</w:t>
      </w:r>
      <w:r w:rsidRPr="00B44DC5">
        <w:rPr>
          <w:szCs w:val="24"/>
        </w:rPr>
        <w:t xml:space="preserve"> ir numatyti valstybės įmonių pertvarkymą į kitos teisinės formos juridinius asmenis, valstybės valdomų bendrovių, vykdančių tik komercinę veiklą ir konkuruojančių su privataus kapitalo bendrovėmis, akcijų privatizavimą, taip pat valstybės valdomas bendroves, kurių vertybinius popierius būtų siūloma įtraukti į prekybą reguliuojamoje rinkoje.</w:t>
      </w:r>
    </w:p>
    <w:p w14:paraId="124C04DE" w14:textId="77777777" w:rsidR="00F64291" w:rsidRPr="00F64291" w:rsidRDefault="00F64291" w:rsidP="00AB4CB8">
      <w:pPr>
        <w:spacing w:line="276" w:lineRule="auto"/>
        <w:ind w:firstLine="709"/>
        <w:jc w:val="both"/>
        <w:rPr>
          <w:szCs w:val="24"/>
        </w:rPr>
      </w:pPr>
      <w:r w:rsidRPr="00F64291">
        <w:rPr>
          <w:szCs w:val="24"/>
        </w:rPr>
        <w:t>Siekdama skaidrumo, efektyvumo, savivaldybių įsitraukimo ir sprendimų depolitizavimo, Vyriausybė patvirtins naują vidutinės trukmės kelių finansavimo sistemą bei valstybinės ir vietinės reikšmės kelių administravimo principus. Kad būtų užtikrintas susisiekimas oru su Lietuvos ekonomikos plėtrai svarbiomis rinkomis, bus patvirtintas skrydžių Lietuvos ekonomikai strateginėmis kryptimis skatinimo planas. Siekiant stiprinti Lietuvos energetinę nepriklausomybę, bus diegiama elektros energijos kaupimo sistema, atliktas elektros energetikos sistemos adekvatumo vertinimas, nustatytas reikalingų rezervinių galių poreikis po 2025 m. ir baigtas dujotiekio jungties tarp Lenkijos ir Lietuvos projektas.</w:t>
      </w:r>
    </w:p>
    <w:p w14:paraId="656FD729" w14:textId="77777777" w:rsidR="007A7540" w:rsidRDefault="007A7540" w:rsidP="00AB4CB8">
      <w:pPr>
        <w:spacing w:line="276" w:lineRule="auto"/>
        <w:ind w:firstLine="709"/>
        <w:jc w:val="both"/>
        <w:rPr>
          <w:szCs w:val="24"/>
        </w:rPr>
      </w:pPr>
    </w:p>
    <w:p w14:paraId="0E9E30AA" w14:textId="77777777" w:rsidR="007A7540" w:rsidRPr="00251DAB" w:rsidRDefault="007A7540" w:rsidP="00AB4CB8">
      <w:pPr>
        <w:spacing w:line="276" w:lineRule="auto"/>
        <w:ind w:firstLine="709"/>
        <w:jc w:val="both"/>
        <w:rPr>
          <w:color w:val="17365D" w:themeColor="text2" w:themeShade="BF"/>
          <w:szCs w:val="24"/>
        </w:rPr>
      </w:pPr>
      <w:r w:rsidRPr="00251DAB">
        <w:rPr>
          <w:b/>
          <w:bCs/>
          <w:color w:val="17365D" w:themeColor="text2" w:themeShade="BF"/>
          <w:szCs w:val="24"/>
        </w:rPr>
        <w:t>Žaliasis kursas</w:t>
      </w:r>
    </w:p>
    <w:p w14:paraId="65BDAB65" w14:textId="1ECF74F7" w:rsidR="007A7540" w:rsidRPr="008C205C" w:rsidRDefault="007A7540" w:rsidP="00AB4CB8">
      <w:pPr>
        <w:spacing w:line="276" w:lineRule="auto"/>
        <w:ind w:firstLine="709"/>
        <w:jc w:val="both"/>
        <w:rPr>
          <w:szCs w:val="24"/>
        </w:rPr>
      </w:pPr>
      <w:bookmarkStart w:id="25" w:name="_Hlk67515003"/>
      <w:r>
        <w:rPr>
          <w:szCs w:val="24"/>
        </w:rPr>
        <w:t xml:space="preserve">Vyriausybės programos </w:t>
      </w:r>
      <w:r w:rsidRPr="000A1528">
        <w:rPr>
          <w:szCs w:val="24"/>
        </w:rPr>
        <w:t>žaliojo kurso</w:t>
      </w:r>
      <w:r w:rsidRPr="008C205C">
        <w:rPr>
          <w:szCs w:val="24"/>
        </w:rPr>
        <w:t xml:space="preserve"> </w:t>
      </w:r>
      <w:r>
        <w:rPr>
          <w:szCs w:val="24"/>
        </w:rPr>
        <w:t>misiją (</w:t>
      </w:r>
      <w:r w:rsidRPr="008C205C">
        <w:rPr>
          <w:szCs w:val="24"/>
        </w:rPr>
        <w:t>prioritet</w:t>
      </w:r>
      <w:r>
        <w:rPr>
          <w:szCs w:val="24"/>
        </w:rPr>
        <w:t>ą)</w:t>
      </w:r>
      <w:r w:rsidRPr="008C205C">
        <w:rPr>
          <w:szCs w:val="24"/>
        </w:rPr>
        <w:t xml:space="preserve"> </w:t>
      </w:r>
      <w:r w:rsidRPr="002C13BE">
        <w:rPr>
          <w:szCs w:val="24"/>
        </w:rPr>
        <w:t>2021 m</w:t>
      </w:r>
      <w:r>
        <w:rPr>
          <w:szCs w:val="24"/>
        </w:rPr>
        <w:t xml:space="preserve">. įgyvendins </w:t>
      </w:r>
      <w:r w:rsidRPr="000A1528">
        <w:rPr>
          <w:szCs w:val="24"/>
        </w:rPr>
        <w:t>penki svarbiausi darbai</w:t>
      </w:r>
      <w:bookmarkEnd w:id="25"/>
      <w:r w:rsidRPr="009C1F61">
        <w:rPr>
          <w:szCs w:val="24"/>
        </w:rPr>
        <w:t xml:space="preserve">. </w:t>
      </w:r>
      <w:r w:rsidRPr="000A1528">
        <w:rPr>
          <w:szCs w:val="24"/>
        </w:rPr>
        <w:t>Pirma</w:t>
      </w:r>
      <w:r w:rsidRPr="009C1F61">
        <w:rPr>
          <w:szCs w:val="24"/>
        </w:rPr>
        <w:t>,</w:t>
      </w:r>
      <w:r w:rsidRPr="008C205C">
        <w:rPr>
          <w:szCs w:val="24"/>
        </w:rPr>
        <w:t xml:space="preserve"> siekiant iki 2030 m</w:t>
      </w:r>
      <w:r>
        <w:rPr>
          <w:szCs w:val="24"/>
        </w:rPr>
        <w:t>.</w:t>
      </w:r>
      <w:r w:rsidRPr="008C205C">
        <w:rPr>
          <w:szCs w:val="24"/>
        </w:rPr>
        <w:t xml:space="preserve"> 30</w:t>
      </w:r>
      <w:r>
        <w:rPr>
          <w:szCs w:val="24"/>
        </w:rPr>
        <w:t xml:space="preserve"> proc. sumažinti </w:t>
      </w:r>
      <w:r w:rsidRPr="008C205C">
        <w:rPr>
          <w:szCs w:val="24"/>
        </w:rPr>
        <w:t xml:space="preserve">šiltnamio efektą sukeliančių dujų </w:t>
      </w:r>
      <w:r>
        <w:rPr>
          <w:szCs w:val="24"/>
        </w:rPr>
        <w:t xml:space="preserve"> ir</w:t>
      </w:r>
      <w:r w:rsidRPr="008C205C">
        <w:rPr>
          <w:szCs w:val="24"/>
        </w:rPr>
        <w:t xml:space="preserve"> iki 2050 m.</w:t>
      </w:r>
      <w:r w:rsidRPr="009036D8">
        <w:rPr>
          <w:szCs w:val="24"/>
        </w:rPr>
        <w:t xml:space="preserve"> </w:t>
      </w:r>
      <w:r>
        <w:rPr>
          <w:szCs w:val="24"/>
        </w:rPr>
        <w:t xml:space="preserve">sukurti klimatui neutralią </w:t>
      </w:r>
      <w:r w:rsidRPr="008C205C">
        <w:rPr>
          <w:szCs w:val="24"/>
        </w:rPr>
        <w:t>ekonomik</w:t>
      </w:r>
      <w:r>
        <w:rPr>
          <w:szCs w:val="24"/>
        </w:rPr>
        <w:t>ą</w:t>
      </w:r>
      <w:r w:rsidRPr="008C205C">
        <w:rPr>
          <w:szCs w:val="24"/>
        </w:rPr>
        <w:t>, bus patvirtinta Nacionalinė klimato kaitos valdymo darbotvarkė, kurioje bus nustatyti nacionaliniai tikslai</w:t>
      </w:r>
      <w:r>
        <w:rPr>
          <w:szCs w:val="24"/>
        </w:rPr>
        <w:t xml:space="preserve"> atsisakyti </w:t>
      </w:r>
      <w:r w:rsidRPr="008C205C">
        <w:rPr>
          <w:szCs w:val="24"/>
        </w:rPr>
        <w:t>iškastin</w:t>
      </w:r>
      <w:r>
        <w:rPr>
          <w:szCs w:val="24"/>
        </w:rPr>
        <w:t>i</w:t>
      </w:r>
      <w:r w:rsidRPr="008C205C">
        <w:rPr>
          <w:szCs w:val="24"/>
        </w:rPr>
        <w:t>o kuro atskiruose sektoriuose</w:t>
      </w:r>
      <w:r>
        <w:rPr>
          <w:szCs w:val="24"/>
        </w:rPr>
        <w:t xml:space="preserve"> ir terminai šiems tikslams pasiekti</w:t>
      </w:r>
      <w:r w:rsidRPr="008C205C">
        <w:rPr>
          <w:szCs w:val="24"/>
        </w:rPr>
        <w:t xml:space="preserve">. </w:t>
      </w:r>
      <w:r w:rsidRPr="000A1528">
        <w:rPr>
          <w:szCs w:val="24"/>
        </w:rPr>
        <w:t>Antra</w:t>
      </w:r>
      <w:r w:rsidRPr="008C205C">
        <w:rPr>
          <w:szCs w:val="24"/>
        </w:rPr>
        <w:t>,</w:t>
      </w:r>
      <w:r>
        <w:rPr>
          <w:szCs w:val="24"/>
        </w:rPr>
        <w:t xml:space="preserve">  </w:t>
      </w:r>
      <w:r w:rsidRPr="008C205C">
        <w:rPr>
          <w:szCs w:val="24"/>
        </w:rPr>
        <w:t>siek</w:t>
      </w:r>
      <w:r>
        <w:rPr>
          <w:szCs w:val="24"/>
        </w:rPr>
        <w:t>dama</w:t>
      </w:r>
      <w:r w:rsidRPr="008C205C">
        <w:rPr>
          <w:szCs w:val="24"/>
        </w:rPr>
        <w:t xml:space="preserve"> tvaraus miestų teritorijų vystymosi</w:t>
      </w:r>
      <w:r>
        <w:rPr>
          <w:szCs w:val="24"/>
        </w:rPr>
        <w:t xml:space="preserve">, </w:t>
      </w:r>
      <w:r w:rsidRPr="008C205C">
        <w:rPr>
          <w:szCs w:val="24"/>
        </w:rPr>
        <w:t xml:space="preserve">Vyriausybė patvirtins Lietuvos Respublikos bendrojo plano sprendinių įgyvendinimo programą. </w:t>
      </w:r>
      <w:r w:rsidRPr="000A1528">
        <w:rPr>
          <w:szCs w:val="24"/>
        </w:rPr>
        <w:t>Trečia</w:t>
      </w:r>
      <w:r w:rsidRPr="008C205C">
        <w:rPr>
          <w:szCs w:val="24"/>
        </w:rPr>
        <w:t>, siek</w:t>
      </w:r>
      <w:r>
        <w:rPr>
          <w:szCs w:val="24"/>
        </w:rPr>
        <w:t>dama</w:t>
      </w:r>
      <w:r w:rsidRPr="008C205C">
        <w:rPr>
          <w:szCs w:val="24"/>
        </w:rPr>
        <w:t xml:space="preserve"> didinti alternatyvių degalų ir atsinaujinančių energijos išteklių panaudojimą transporto sektoriuje, viešojo transporto atnaujinimo, aplinkai draugiško miestų planavimo, Vyriausybė patvirtins Darnaus judumo fondo nuostatus. </w:t>
      </w:r>
      <w:r w:rsidRPr="000A1528">
        <w:rPr>
          <w:szCs w:val="24"/>
        </w:rPr>
        <w:t>Ketvirta</w:t>
      </w:r>
      <w:r w:rsidRPr="009C1F61">
        <w:rPr>
          <w:szCs w:val="24"/>
        </w:rPr>
        <w:t>,</w:t>
      </w:r>
      <w:r w:rsidRPr="008C205C">
        <w:rPr>
          <w:szCs w:val="24"/>
        </w:rPr>
        <w:t xml:space="preserve"> Vyriausybė patvirtins pastatų renovacijos strateginį dokumentą </w:t>
      </w:r>
      <w:r>
        <w:rPr>
          <w:szCs w:val="24"/>
        </w:rPr>
        <w:t>ir</w:t>
      </w:r>
      <w:r w:rsidRPr="008C205C">
        <w:rPr>
          <w:szCs w:val="24"/>
        </w:rPr>
        <w:t xml:space="preserve"> veiksmų planą, kurio tikslas</w:t>
      </w:r>
      <w:r>
        <w:rPr>
          <w:szCs w:val="24"/>
        </w:rPr>
        <w:t xml:space="preserve"> –</w:t>
      </w:r>
      <w:r w:rsidRPr="008C205C">
        <w:rPr>
          <w:szCs w:val="24"/>
        </w:rPr>
        <w:t xml:space="preserve"> iki 2024 m. pasiekti</w:t>
      </w:r>
      <w:r>
        <w:rPr>
          <w:szCs w:val="24"/>
        </w:rPr>
        <w:t>, kad per metus būtų renovuo</w:t>
      </w:r>
      <w:r w:rsidR="00BD6F5F">
        <w:rPr>
          <w:szCs w:val="24"/>
        </w:rPr>
        <w:t>j</w:t>
      </w:r>
      <w:r w:rsidR="00E7060D">
        <w:rPr>
          <w:szCs w:val="24"/>
        </w:rPr>
        <w:t>ama po</w:t>
      </w:r>
      <w:r w:rsidRPr="008C205C">
        <w:rPr>
          <w:szCs w:val="24"/>
        </w:rPr>
        <w:t xml:space="preserve"> 1</w:t>
      </w:r>
      <w:r>
        <w:rPr>
          <w:szCs w:val="24"/>
        </w:rPr>
        <w:t xml:space="preserve"> </w:t>
      </w:r>
      <w:r w:rsidRPr="008C205C">
        <w:rPr>
          <w:szCs w:val="24"/>
        </w:rPr>
        <w:t xml:space="preserve">000 daugiabučių, suteikiant prioritetą </w:t>
      </w:r>
      <w:proofErr w:type="spellStart"/>
      <w:r w:rsidRPr="008C205C">
        <w:rPr>
          <w:szCs w:val="24"/>
        </w:rPr>
        <w:t>kvartalinei</w:t>
      </w:r>
      <w:proofErr w:type="spellEnd"/>
      <w:r w:rsidRPr="008C205C">
        <w:rPr>
          <w:szCs w:val="24"/>
        </w:rPr>
        <w:t xml:space="preserve"> </w:t>
      </w:r>
      <w:r>
        <w:rPr>
          <w:szCs w:val="24"/>
        </w:rPr>
        <w:t>ir</w:t>
      </w:r>
      <w:r w:rsidRPr="008C205C">
        <w:rPr>
          <w:szCs w:val="24"/>
        </w:rPr>
        <w:t xml:space="preserve"> švietimo įstaigų renovacijai. </w:t>
      </w:r>
      <w:r w:rsidRPr="000A1528">
        <w:rPr>
          <w:szCs w:val="24"/>
        </w:rPr>
        <w:t>Penkta</w:t>
      </w:r>
      <w:r w:rsidRPr="009C1F61">
        <w:rPr>
          <w:szCs w:val="24"/>
        </w:rPr>
        <w:t>,</w:t>
      </w:r>
      <w:r w:rsidRPr="008C205C">
        <w:rPr>
          <w:szCs w:val="24"/>
        </w:rPr>
        <w:t xml:space="preserve"> </w:t>
      </w:r>
      <w:r>
        <w:rPr>
          <w:szCs w:val="24"/>
        </w:rPr>
        <w:t>siekiant ilgalaikės miškų, kaip valstybės ištekliaus ir ekosistemos, valdymo ir apsaugos, bus patvirtintas ilgalaikis miškų valdymo planas iki 2030 m. ir siekiama pasirašyti nacionalinį susitarimą dėl miškų apsaugos ir subalansuoto naudojimo.</w:t>
      </w:r>
    </w:p>
    <w:p w14:paraId="38652007" w14:textId="77777777" w:rsidR="007A7540" w:rsidRDefault="007A7540" w:rsidP="00AB4CB8">
      <w:pPr>
        <w:spacing w:line="276" w:lineRule="auto"/>
        <w:ind w:firstLine="709"/>
        <w:rPr>
          <w:b/>
          <w:bCs/>
          <w:color w:val="17365D" w:themeColor="text2" w:themeShade="BF"/>
          <w:szCs w:val="24"/>
        </w:rPr>
      </w:pPr>
    </w:p>
    <w:p w14:paraId="1A8A7A52"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Regionų politika</w:t>
      </w:r>
    </w:p>
    <w:p w14:paraId="44A3D16C" w14:textId="06E877A4" w:rsidR="007A7540" w:rsidRDefault="007A7540" w:rsidP="00AB4CB8">
      <w:pPr>
        <w:pStyle w:val="xmsonormal"/>
        <w:spacing w:line="276" w:lineRule="auto"/>
        <w:ind w:firstLine="709"/>
        <w:jc w:val="both"/>
      </w:pPr>
      <w:r>
        <w:rPr>
          <w:rFonts w:ascii="Times New Roman" w:hAnsi="Times New Roman" w:cs="Times New Roman"/>
          <w:sz w:val="24"/>
          <w:szCs w:val="24"/>
        </w:rPr>
        <w:t xml:space="preserve">Darnios regionų plėtros  ir savivaldos įgalinimo srityje 2021 m. Vyriausybė numato </w:t>
      </w:r>
      <w:r w:rsidRPr="000A1528">
        <w:rPr>
          <w:rFonts w:ascii="Times New Roman" w:hAnsi="Times New Roman" w:cs="Times New Roman"/>
          <w:sz w:val="24"/>
          <w:szCs w:val="24"/>
        </w:rPr>
        <w:t xml:space="preserve">keturis </w:t>
      </w:r>
      <w:r>
        <w:rPr>
          <w:rFonts w:ascii="Times New Roman" w:hAnsi="Times New Roman" w:cs="Times New Roman"/>
          <w:sz w:val="24"/>
          <w:szCs w:val="24"/>
        </w:rPr>
        <w:t xml:space="preserve">pagrindinius darbus. </w:t>
      </w:r>
      <w:r w:rsidRPr="000A1528">
        <w:rPr>
          <w:rFonts w:ascii="Times New Roman" w:hAnsi="Times New Roman" w:cs="Times New Roman"/>
          <w:sz w:val="24"/>
          <w:szCs w:val="24"/>
        </w:rPr>
        <w:t>Pirma,</w:t>
      </w:r>
      <w:r>
        <w:rPr>
          <w:rFonts w:ascii="Times New Roman" w:hAnsi="Times New Roman" w:cs="Times New Roman"/>
          <w:sz w:val="24"/>
          <w:szCs w:val="24"/>
        </w:rPr>
        <w:t xml:space="preserve"> atsižvelgdama į regioninės politikos kompleksiškumą ir jos horizontalų pobūdį, Vyriausybė numato sukurti tarpinstitucinį prioritetų, veiksmų ir  finansavimo šaltinių koordinavimo mechanizmą. Tam Vyriausybės nutarimu bus įsteigta Darnios plėtros komisija. Kartu su atnaujinta dvišale Vyriausybės ir savivaldos partneryste tai leis operatyviai ir kompleksiškai spręsti teritorijų (savivaldybių, regionų, visos Lietuvos) darnios plėtros iššūkius, užtikrinti laiku priimamus tarpsektorinius sprendimus. </w:t>
      </w:r>
      <w:r w:rsidRPr="000A1528">
        <w:rPr>
          <w:rFonts w:ascii="Times New Roman" w:hAnsi="Times New Roman" w:cs="Times New Roman"/>
          <w:sz w:val="24"/>
          <w:szCs w:val="24"/>
        </w:rPr>
        <w:t>Antra</w:t>
      </w:r>
      <w:r w:rsidRPr="009C1F61">
        <w:rPr>
          <w:rFonts w:ascii="Times New Roman" w:hAnsi="Times New Roman" w:cs="Times New Roman"/>
          <w:sz w:val="24"/>
          <w:szCs w:val="24"/>
        </w:rPr>
        <w:t>,</w:t>
      </w:r>
      <w:r>
        <w:rPr>
          <w:rFonts w:ascii="Times New Roman" w:hAnsi="Times New Roman" w:cs="Times New Roman"/>
          <w:sz w:val="24"/>
          <w:szCs w:val="24"/>
        </w:rPr>
        <w:t xml:space="preserve"> bus parengta ir patvirtinta Nacionalinė regionų plėtros programa, kuri sudarys pagrindą regionų ir savivaldybių plėtros planams rengti. </w:t>
      </w:r>
      <w:r w:rsidRPr="000A1528">
        <w:rPr>
          <w:rFonts w:ascii="Times New Roman" w:hAnsi="Times New Roman" w:cs="Times New Roman"/>
          <w:sz w:val="24"/>
          <w:szCs w:val="24"/>
        </w:rPr>
        <w:t>Trečia</w:t>
      </w:r>
      <w:r w:rsidRPr="009C1F61">
        <w:rPr>
          <w:rFonts w:ascii="Times New Roman" w:hAnsi="Times New Roman" w:cs="Times New Roman"/>
          <w:sz w:val="24"/>
          <w:szCs w:val="24"/>
        </w:rPr>
        <w:t>,</w:t>
      </w:r>
      <w:r>
        <w:rPr>
          <w:rFonts w:ascii="Times New Roman" w:hAnsi="Times New Roman" w:cs="Times New Roman"/>
          <w:sz w:val="24"/>
          <w:szCs w:val="24"/>
        </w:rPr>
        <w:t xml:space="preserve"> peržiūrint ir tobulinant teisinį reglamentavimą, bus sudarytas </w:t>
      </w:r>
      <w:r w:rsidRPr="00710E76">
        <w:rPr>
          <w:rFonts w:ascii="Times New Roman" w:hAnsi="Times New Roman" w:cs="Times New Roman"/>
          <w:sz w:val="24"/>
          <w:szCs w:val="24"/>
        </w:rPr>
        <w:t xml:space="preserve">teisinis, institucinis ir finansinis pagrindas bendrai savivaldybių veiklai, įgyvendinant regionų plėtros planus. Ketvirta, iki 2021 m. pabaigos, planuojant užbaigti savivaldybių </w:t>
      </w:r>
      <w:r w:rsidRPr="00710E76">
        <w:rPr>
          <w:rFonts w:ascii="Times New Roman" w:hAnsi="Times New Roman" w:cs="Times New Roman"/>
          <w:sz w:val="24"/>
          <w:szCs w:val="24"/>
        </w:rPr>
        <w:lastRenderedPageBreak/>
        <w:t xml:space="preserve">skolinimosi galimybių ir lankstumo didinimo vertinimą, bus priimti Vyriausybės sprendimai </w:t>
      </w:r>
      <w:r w:rsidR="00BD6F5F" w:rsidRPr="00710E76">
        <w:rPr>
          <w:rFonts w:ascii="Times New Roman" w:hAnsi="Times New Roman" w:cs="Times New Roman"/>
          <w:sz w:val="24"/>
          <w:szCs w:val="24"/>
        </w:rPr>
        <w:t xml:space="preserve">dėl </w:t>
      </w:r>
      <w:r w:rsidR="004B4391" w:rsidRPr="00710E76">
        <w:rPr>
          <w:rFonts w:ascii="Times New Roman" w:hAnsi="Times New Roman" w:cs="Times New Roman"/>
          <w:sz w:val="24"/>
          <w:szCs w:val="24"/>
        </w:rPr>
        <w:t>savivaldybių finansin</w:t>
      </w:r>
      <w:r w:rsidR="00BD6F5F" w:rsidRPr="00710E76">
        <w:rPr>
          <w:rFonts w:ascii="Times New Roman" w:hAnsi="Times New Roman" w:cs="Times New Roman"/>
          <w:sz w:val="24"/>
          <w:szCs w:val="24"/>
        </w:rPr>
        <w:t>io</w:t>
      </w:r>
      <w:r w:rsidR="004B4391" w:rsidRPr="00710E76">
        <w:rPr>
          <w:rFonts w:ascii="Times New Roman" w:hAnsi="Times New Roman" w:cs="Times New Roman"/>
          <w:sz w:val="24"/>
          <w:szCs w:val="24"/>
        </w:rPr>
        <w:t xml:space="preserve"> savarankiškum</w:t>
      </w:r>
      <w:r w:rsidR="00BD6F5F" w:rsidRPr="00710E76">
        <w:rPr>
          <w:rFonts w:ascii="Times New Roman" w:hAnsi="Times New Roman" w:cs="Times New Roman"/>
          <w:sz w:val="24"/>
          <w:szCs w:val="24"/>
        </w:rPr>
        <w:t>o</w:t>
      </w:r>
      <w:r w:rsidR="004B4391" w:rsidRPr="00710E76">
        <w:rPr>
          <w:rFonts w:ascii="Times New Roman" w:hAnsi="Times New Roman" w:cs="Times New Roman"/>
          <w:sz w:val="24"/>
          <w:szCs w:val="24"/>
        </w:rPr>
        <w:t xml:space="preserve">. </w:t>
      </w:r>
    </w:p>
    <w:p w14:paraId="5BA5FADE" w14:textId="77777777" w:rsidR="007A7540" w:rsidRDefault="007A7540" w:rsidP="00AB4CB8">
      <w:pPr>
        <w:spacing w:line="276" w:lineRule="auto"/>
        <w:ind w:firstLine="709"/>
        <w:rPr>
          <w:szCs w:val="24"/>
        </w:rPr>
      </w:pPr>
    </w:p>
    <w:p w14:paraId="0996004D"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Teisingumo sistema</w:t>
      </w:r>
    </w:p>
    <w:p w14:paraId="5A9641CB" w14:textId="22382B4B" w:rsidR="007A7540" w:rsidRDefault="007A7540" w:rsidP="00AB4CB8">
      <w:pPr>
        <w:spacing w:line="276" w:lineRule="auto"/>
        <w:ind w:firstLine="709"/>
        <w:jc w:val="both"/>
        <w:rPr>
          <w:szCs w:val="24"/>
        </w:rPr>
      </w:pPr>
      <w:r w:rsidRPr="00F2001C">
        <w:rPr>
          <w:szCs w:val="24"/>
        </w:rPr>
        <w:t>Vyriausybė</w:t>
      </w:r>
      <w:r>
        <w:rPr>
          <w:b/>
          <w:bCs/>
          <w:szCs w:val="24"/>
        </w:rPr>
        <w:t xml:space="preserve"> </w:t>
      </w:r>
      <w:r w:rsidRPr="000A1528">
        <w:rPr>
          <w:szCs w:val="24"/>
        </w:rPr>
        <w:t>teisėkūros srityje</w:t>
      </w:r>
      <w:r>
        <w:rPr>
          <w:b/>
          <w:bCs/>
          <w:szCs w:val="24"/>
        </w:rPr>
        <w:t xml:space="preserve"> </w:t>
      </w:r>
      <w:r w:rsidRPr="00F2001C">
        <w:rPr>
          <w:szCs w:val="24"/>
        </w:rPr>
        <w:t>numato laikytis</w:t>
      </w:r>
      <w:r>
        <w:rPr>
          <w:b/>
          <w:bCs/>
          <w:szCs w:val="24"/>
        </w:rPr>
        <w:t xml:space="preserve"> </w:t>
      </w:r>
      <w:r w:rsidRPr="000A1528">
        <w:rPr>
          <w:szCs w:val="24"/>
        </w:rPr>
        <w:t>principo „</w:t>
      </w:r>
      <w:r w:rsidR="00EF37EF" w:rsidRPr="000A1528">
        <w:rPr>
          <w:szCs w:val="24"/>
        </w:rPr>
        <w:t xml:space="preserve">mažiau yra </w:t>
      </w:r>
      <w:r w:rsidRPr="000A1528">
        <w:rPr>
          <w:szCs w:val="24"/>
        </w:rPr>
        <w:t>daugiau“</w:t>
      </w:r>
      <w:r>
        <w:rPr>
          <w:b/>
          <w:bCs/>
          <w:szCs w:val="24"/>
        </w:rPr>
        <w:t xml:space="preserve"> </w:t>
      </w:r>
      <w:r w:rsidRPr="00F2001C">
        <w:rPr>
          <w:szCs w:val="24"/>
        </w:rPr>
        <w:t>ir siekti</w:t>
      </w:r>
      <w:r>
        <w:rPr>
          <w:b/>
          <w:bCs/>
          <w:szCs w:val="24"/>
        </w:rPr>
        <w:t xml:space="preserve"> </w:t>
      </w:r>
      <w:r w:rsidRPr="000A1528">
        <w:rPr>
          <w:szCs w:val="24"/>
        </w:rPr>
        <w:t>didesnio teisėkūros tvarumo</w:t>
      </w:r>
      <w:r>
        <w:rPr>
          <w:szCs w:val="24"/>
        </w:rPr>
        <w:t xml:space="preserve">. Todėl numatoma mažinti itin dažną bei smulkmenišką pakartotinį tų pačių teisės aktų keitimą, telkti institucijas, kad jos viešosios politikos problemas spręstų sistemiškai ir kompleksiškai, ir siekti reguliavimo pakeitimų didesnio pagrindimo įrodymais ir mokslo žiniomis. 2021 m. </w:t>
      </w:r>
      <w:r w:rsidRPr="000A1528">
        <w:rPr>
          <w:szCs w:val="24"/>
        </w:rPr>
        <w:t>bus pakeista numatomo teisinio reguliavimo poveikio vertinimo tvarka</w:t>
      </w:r>
      <w:r>
        <w:rPr>
          <w:szCs w:val="24"/>
        </w:rPr>
        <w:t xml:space="preserve"> ir nustatyti procesai, kad </w:t>
      </w:r>
      <w:r w:rsidRPr="00451E84">
        <w:rPr>
          <w:szCs w:val="24"/>
        </w:rPr>
        <w:t>poveikio vertinimas įsitvirtintų</w:t>
      </w:r>
      <w:r>
        <w:rPr>
          <w:b/>
          <w:bCs/>
          <w:szCs w:val="24"/>
        </w:rPr>
        <w:t xml:space="preserve"> </w:t>
      </w:r>
      <w:r w:rsidRPr="000A1528">
        <w:rPr>
          <w:szCs w:val="24"/>
        </w:rPr>
        <w:t>ankstyvojoje viešosios politikos problemų sprendimų paieškos ir teisėkūros stadijoje</w:t>
      </w:r>
      <w:r w:rsidRPr="00AF4D95">
        <w:rPr>
          <w:szCs w:val="24"/>
        </w:rPr>
        <w:t xml:space="preserve"> </w:t>
      </w:r>
      <w:r>
        <w:rPr>
          <w:szCs w:val="24"/>
        </w:rPr>
        <w:t>per įtraukų konsultavimąsi su visuomene, poveikio vertinimo planavimą ir rezultatų viešinimą.</w:t>
      </w:r>
    </w:p>
    <w:p w14:paraId="5166EEF3" w14:textId="77777777" w:rsidR="007A7540" w:rsidRDefault="007A7540" w:rsidP="00AB4CB8">
      <w:pPr>
        <w:spacing w:line="276" w:lineRule="auto"/>
        <w:ind w:firstLine="709"/>
        <w:jc w:val="both"/>
        <w:rPr>
          <w:szCs w:val="24"/>
        </w:rPr>
      </w:pPr>
      <w:r w:rsidRPr="00EA74CF">
        <w:rPr>
          <w:szCs w:val="24"/>
        </w:rPr>
        <w:t xml:space="preserve">Vyriausybė planuoja pradėti jau </w:t>
      </w:r>
      <w:r w:rsidRPr="00AF4D95">
        <w:rPr>
          <w:szCs w:val="24"/>
        </w:rPr>
        <w:t>galiojančių</w:t>
      </w:r>
      <w:r w:rsidRPr="000A1528">
        <w:rPr>
          <w:szCs w:val="24"/>
        </w:rPr>
        <w:t xml:space="preserve"> teisės aktų supaprastinimą </w:t>
      </w:r>
      <w:r w:rsidRPr="00AF4D95">
        <w:rPr>
          <w:szCs w:val="24"/>
        </w:rPr>
        <w:t xml:space="preserve">ir </w:t>
      </w:r>
      <w:r>
        <w:rPr>
          <w:szCs w:val="24"/>
        </w:rPr>
        <w:t>atsisakyti</w:t>
      </w:r>
      <w:r w:rsidRPr="000A1528">
        <w:rPr>
          <w:szCs w:val="24"/>
        </w:rPr>
        <w:t xml:space="preserve"> perteklinio reguliavimo, neaktualių ir pasenusių nuostatų</w:t>
      </w:r>
      <w:r>
        <w:rPr>
          <w:szCs w:val="24"/>
        </w:rPr>
        <w:t xml:space="preserve">. Tam tikslui bus </w:t>
      </w:r>
      <w:r w:rsidRPr="00EA74CF">
        <w:rPr>
          <w:szCs w:val="24"/>
        </w:rPr>
        <w:t>parengt</w:t>
      </w:r>
      <w:r>
        <w:rPr>
          <w:szCs w:val="24"/>
        </w:rPr>
        <w:t>os</w:t>
      </w:r>
      <w:r w:rsidRPr="00EA74CF">
        <w:rPr>
          <w:szCs w:val="24"/>
        </w:rPr>
        <w:t xml:space="preserve"> galiojančių norminių</w:t>
      </w:r>
      <w:r>
        <w:rPr>
          <w:b/>
          <w:bCs/>
          <w:szCs w:val="24"/>
        </w:rPr>
        <w:t xml:space="preserve"> </w:t>
      </w:r>
      <w:r w:rsidRPr="000A1528">
        <w:rPr>
          <w:szCs w:val="24"/>
        </w:rPr>
        <w:t>teisės aktų kodifikavimo</w:t>
      </w:r>
      <w:r>
        <w:rPr>
          <w:b/>
          <w:bCs/>
          <w:szCs w:val="24"/>
        </w:rPr>
        <w:t xml:space="preserve"> </w:t>
      </w:r>
      <w:r w:rsidRPr="00EA74CF">
        <w:rPr>
          <w:szCs w:val="24"/>
        </w:rPr>
        <w:t>ir sisteminių galiojančio</w:t>
      </w:r>
      <w:r>
        <w:rPr>
          <w:b/>
          <w:bCs/>
          <w:szCs w:val="24"/>
        </w:rPr>
        <w:t xml:space="preserve"> </w:t>
      </w:r>
      <w:r w:rsidRPr="000A1528">
        <w:rPr>
          <w:szCs w:val="24"/>
        </w:rPr>
        <w:t>teisinio reguliavimo peržiūrų priemonės</w:t>
      </w:r>
      <w:r>
        <w:rPr>
          <w:szCs w:val="24"/>
        </w:rPr>
        <w:t>,</w:t>
      </w:r>
      <w:r w:rsidRPr="000A1528">
        <w:rPr>
          <w:szCs w:val="24"/>
        </w:rPr>
        <w:t xml:space="preserve"> </w:t>
      </w:r>
      <w:r w:rsidRPr="00377FA9">
        <w:rPr>
          <w:szCs w:val="24"/>
        </w:rPr>
        <w:t>siekiant atsisakyti perteklinio, pasenusio, neproporcingo reguliavimo</w:t>
      </w:r>
      <w:r w:rsidRPr="0011588E">
        <w:rPr>
          <w:szCs w:val="24"/>
        </w:rPr>
        <w:t>, mažinti administracinę ir reguliavimo naštą, sisteminti reguliavimo nuostatas ir išsklaidytą susijusį reguliavimą</w:t>
      </w:r>
      <w:r>
        <w:rPr>
          <w:szCs w:val="24"/>
        </w:rPr>
        <w:t>. Taip pat bus sudaryti kodifikavimo ir sisteminių peržiūrų artimiausio laikotarpio planai.</w:t>
      </w:r>
    </w:p>
    <w:p w14:paraId="74E9B0D3" w14:textId="77777777" w:rsidR="007A7540" w:rsidRPr="00EB6BE0" w:rsidRDefault="007A7540" w:rsidP="00AB4CB8">
      <w:pPr>
        <w:spacing w:line="276" w:lineRule="auto"/>
        <w:ind w:firstLine="709"/>
        <w:jc w:val="both"/>
        <w:rPr>
          <w:szCs w:val="24"/>
        </w:rPr>
      </w:pPr>
      <w:r w:rsidRPr="00DF0566">
        <w:rPr>
          <w:szCs w:val="24"/>
        </w:rPr>
        <w:t>Vyriausybė numato</w:t>
      </w:r>
      <w:r>
        <w:rPr>
          <w:b/>
          <w:bCs/>
          <w:szCs w:val="24"/>
        </w:rPr>
        <w:t xml:space="preserve"> </w:t>
      </w:r>
      <w:r w:rsidRPr="000A1528">
        <w:rPr>
          <w:szCs w:val="24"/>
        </w:rPr>
        <w:t xml:space="preserve">aktyviai ir viešai konsultuotis su visuomene ne tik teisėkūros, </w:t>
      </w:r>
      <w:r w:rsidRPr="00AF4D95">
        <w:rPr>
          <w:szCs w:val="24"/>
        </w:rPr>
        <w:t>bet ir visais kitais</w:t>
      </w:r>
      <w:r w:rsidRPr="000A1528">
        <w:rPr>
          <w:szCs w:val="24"/>
        </w:rPr>
        <w:t xml:space="preserve"> svarbiais ir reikšmingais klausima</w:t>
      </w:r>
      <w:r>
        <w:rPr>
          <w:szCs w:val="24"/>
        </w:rPr>
        <w:t>i</w:t>
      </w:r>
      <w:r w:rsidRPr="000A1528">
        <w:rPr>
          <w:szCs w:val="24"/>
        </w:rPr>
        <w:t>s</w:t>
      </w:r>
      <w:r>
        <w:rPr>
          <w:szCs w:val="24"/>
        </w:rPr>
        <w:t>. Per 2021 m. numatoma įtvirtinti bendrą viešųjų konsultacijų komunikaciją Vyriausybės lygiu</w:t>
      </w:r>
      <w:r w:rsidRPr="00AC1FD1">
        <w:rPr>
          <w:b/>
          <w:bCs/>
          <w:szCs w:val="24"/>
        </w:rPr>
        <w:t xml:space="preserve"> </w:t>
      </w:r>
      <w:r>
        <w:rPr>
          <w:b/>
          <w:bCs/>
          <w:szCs w:val="24"/>
        </w:rPr>
        <w:t>–</w:t>
      </w:r>
      <w:r>
        <w:rPr>
          <w:szCs w:val="24"/>
        </w:rPr>
        <w:t xml:space="preserve"> </w:t>
      </w:r>
      <w:r w:rsidRPr="000A1528">
        <w:rPr>
          <w:szCs w:val="24"/>
        </w:rPr>
        <w:t>svetainėje „E. pilietis“ sudaryti galimybę stebėti viešųjų konsultacijų proces</w:t>
      </w:r>
      <w:r>
        <w:rPr>
          <w:szCs w:val="24"/>
        </w:rPr>
        <w:t>ą</w:t>
      </w:r>
      <w:r w:rsidRPr="000A1528">
        <w:rPr>
          <w:szCs w:val="24"/>
        </w:rPr>
        <w:t xml:space="preserve">, </w:t>
      </w:r>
      <w:r w:rsidRPr="00AF4D95">
        <w:rPr>
          <w:szCs w:val="24"/>
        </w:rPr>
        <w:t>aktyviai įtraukti suinteresuotas šalis ir už</w:t>
      </w:r>
      <w:r w:rsidRPr="00EB6BE0">
        <w:rPr>
          <w:szCs w:val="24"/>
        </w:rPr>
        <w:t xml:space="preserve">tikrinti grįžtamąjį ryšį. Taip pat </w:t>
      </w:r>
      <w:r w:rsidRPr="00A937A5">
        <w:rPr>
          <w:szCs w:val="24"/>
        </w:rPr>
        <w:t>pirmą kartą bus pradėti</w:t>
      </w:r>
      <w:r w:rsidRPr="000A1528">
        <w:rPr>
          <w:szCs w:val="24"/>
        </w:rPr>
        <w:t xml:space="preserve"> iš anksto skelbti Vyriausybės planuojamų viešųjų konsultacijų sąrašai</w:t>
      </w:r>
      <w:r w:rsidRPr="00AF4D95">
        <w:rPr>
          <w:szCs w:val="24"/>
        </w:rPr>
        <w:t>.</w:t>
      </w:r>
    </w:p>
    <w:p w14:paraId="4431729B" w14:textId="77777777" w:rsidR="007A7540" w:rsidRDefault="007A7540" w:rsidP="00AB4CB8">
      <w:pPr>
        <w:spacing w:line="276" w:lineRule="auto"/>
        <w:ind w:firstLine="709"/>
        <w:jc w:val="both"/>
        <w:rPr>
          <w:szCs w:val="24"/>
        </w:rPr>
      </w:pPr>
      <w:r>
        <w:rPr>
          <w:szCs w:val="24"/>
        </w:rPr>
        <w:t xml:space="preserve">2021 m. prasidėjo ir iki metų pabaigos įsibėgės </w:t>
      </w:r>
      <w:r w:rsidRPr="000A1528">
        <w:rPr>
          <w:szCs w:val="24"/>
        </w:rPr>
        <w:t>bausmių vykdymo sistemos pertvarkos planavimas</w:t>
      </w:r>
      <w:r>
        <w:rPr>
          <w:szCs w:val="24"/>
        </w:rPr>
        <w:t xml:space="preserve">, kurį numatoma pabaigti 2022 m. antrą pusmetį, taip pat pradėtos planuoti tam reikalingos investicijos ir reglamentavimo pokyčiai. </w:t>
      </w:r>
    </w:p>
    <w:p w14:paraId="38068A23" w14:textId="77777777" w:rsidR="007A7540" w:rsidRPr="005A796E" w:rsidRDefault="007A7540" w:rsidP="00AB4CB8">
      <w:pPr>
        <w:spacing w:line="276" w:lineRule="auto"/>
        <w:ind w:firstLine="709"/>
        <w:jc w:val="both"/>
        <w:rPr>
          <w:szCs w:val="24"/>
        </w:rPr>
      </w:pPr>
      <w:r w:rsidRPr="005A796E">
        <w:rPr>
          <w:szCs w:val="24"/>
        </w:rPr>
        <w:t xml:space="preserve">Atsižvelgiant į pasaulinės pandemijos pamokas </w:t>
      </w:r>
      <w:r>
        <w:rPr>
          <w:szCs w:val="24"/>
        </w:rPr>
        <w:t>ir</w:t>
      </w:r>
      <w:r w:rsidRPr="005A796E">
        <w:rPr>
          <w:szCs w:val="24"/>
        </w:rPr>
        <w:t xml:space="preserve"> norint pritaikyti teisingumo sistemą prie XXI a. realijų, siekiama tobulinti baudžiamąjį procesą: 2021 m.  bus parengti </w:t>
      </w:r>
      <w:r w:rsidRPr="000A1528">
        <w:rPr>
          <w:szCs w:val="24"/>
        </w:rPr>
        <w:t>Baudžiamojo proceso kodekso pakeitimai, kuriais būtų įtvirtinta nuotolinio baudžiamojo proceso galimybė</w:t>
      </w:r>
      <w:r w:rsidRPr="005A796E">
        <w:rPr>
          <w:szCs w:val="24"/>
        </w:rPr>
        <w:t xml:space="preserve"> atlikti ikiteisminius tyrimus ir organizuoti baudžiamųjų bylų teisminį nagrinėjimą naudojant garso </w:t>
      </w:r>
      <w:r>
        <w:rPr>
          <w:szCs w:val="24"/>
        </w:rPr>
        <w:t>bei</w:t>
      </w:r>
      <w:r w:rsidRPr="005A796E">
        <w:rPr>
          <w:szCs w:val="24"/>
        </w:rPr>
        <w:t xml:space="preserve"> vaizdo nuotolinio perdavimo priemones</w:t>
      </w:r>
      <w:r>
        <w:rPr>
          <w:szCs w:val="24"/>
        </w:rPr>
        <w:t>,</w:t>
      </w:r>
      <w:r w:rsidRPr="005A796E">
        <w:rPr>
          <w:szCs w:val="24"/>
        </w:rPr>
        <w:t xml:space="preserve"> </w:t>
      </w:r>
      <w:r>
        <w:rPr>
          <w:szCs w:val="24"/>
        </w:rPr>
        <w:t>ir</w:t>
      </w:r>
      <w:r w:rsidRPr="005A796E">
        <w:rPr>
          <w:szCs w:val="24"/>
        </w:rPr>
        <w:t xml:space="preserve"> įvertintos tam reikalingos  techninės ir (ar) organizacinės priemon</w:t>
      </w:r>
      <w:r>
        <w:rPr>
          <w:szCs w:val="24"/>
        </w:rPr>
        <w:t>ė</w:t>
      </w:r>
      <w:r w:rsidRPr="005A796E">
        <w:rPr>
          <w:szCs w:val="24"/>
        </w:rPr>
        <w:t>s.</w:t>
      </w:r>
    </w:p>
    <w:p w14:paraId="6DEE34C8" w14:textId="77777777" w:rsidR="007A7540" w:rsidRDefault="007A7540" w:rsidP="00AB4CB8">
      <w:pPr>
        <w:spacing w:line="276" w:lineRule="auto"/>
        <w:ind w:firstLine="709"/>
        <w:rPr>
          <w:szCs w:val="24"/>
        </w:rPr>
      </w:pPr>
    </w:p>
    <w:p w14:paraId="666BD537"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Viešasis valdymas</w:t>
      </w:r>
    </w:p>
    <w:p w14:paraId="51DF82DC" w14:textId="2C7C0D3B" w:rsidR="007A7540" w:rsidRDefault="007A7540" w:rsidP="00AB4CB8">
      <w:pPr>
        <w:spacing w:line="276" w:lineRule="auto"/>
        <w:ind w:firstLine="709"/>
        <w:jc w:val="both"/>
        <w:rPr>
          <w:szCs w:val="24"/>
        </w:rPr>
      </w:pPr>
      <w:r w:rsidRPr="000A1528">
        <w:rPr>
          <w:szCs w:val="24"/>
        </w:rPr>
        <w:t>Viešojo valdymo misij</w:t>
      </w:r>
      <w:r>
        <w:rPr>
          <w:szCs w:val="24"/>
        </w:rPr>
        <w:t>ą</w:t>
      </w:r>
      <w:r w:rsidRPr="000A1528">
        <w:rPr>
          <w:szCs w:val="24"/>
        </w:rPr>
        <w:t xml:space="preserve"> (prioritet</w:t>
      </w:r>
      <w:r>
        <w:rPr>
          <w:szCs w:val="24"/>
        </w:rPr>
        <w:t>ą</w:t>
      </w:r>
      <w:r w:rsidRPr="000A1528">
        <w:rPr>
          <w:szCs w:val="24"/>
        </w:rPr>
        <w:t>)</w:t>
      </w:r>
      <w:r>
        <w:rPr>
          <w:szCs w:val="24"/>
        </w:rPr>
        <w:t xml:space="preserve"> 2021 m. įgyvendins </w:t>
      </w:r>
      <w:r w:rsidRPr="000A1528">
        <w:rPr>
          <w:szCs w:val="24"/>
        </w:rPr>
        <w:t>keturi</w:t>
      </w:r>
      <w:r>
        <w:rPr>
          <w:szCs w:val="24"/>
        </w:rPr>
        <w:t xml:space="preserve"> svarbiausi</w:t>
      </w:r>
      <w:r w:rsidRPr="00356A21">
        <w:rPr>
          <w:b/>
          <w:bCs/>
          <w:szCs w:val="24"/>
        </w:rPr>
        <w:t xml:space="preserve"> </w:t>
      </w:r>
      <w:r>
        <w:rPr>
          <w:b/>
          <w:bCs/>
          <w:szCs w:val="24"/>
        </w:rPr>
        <w:t xml:space="preserve"> </w:t>
      </w:r>
      <w:r>
        <w:rPr>
          <w:szCs w:val="24"/>
        </w:rPr>
        <w:t xml:space="preserve">darbai. </w:t>
      </w:r>
      <w:r w:rsidRPr="000A1528">
        <w:rPr>
          <w:szCs w:val="24"/>
        </w:rPr>
        <w:t>Pirma,</w:t>
      </w:r>
      <w:r>
        <w:rPr>
          <w:szCs w:val="24"/>
        </w:rPr>
        <w:t xml:space="preserve"> atsižvelgdama į žmonių išteklių valdymo valstybės tarnyboje atotrūkio analizės rezultatus, Vyriausybė numato apsispręsti dėl valstybės tarnybos pertvarkos koncepcijos. Ši koncepcija taps pagrindu įsteigti valstybės tarnybos valdymo kompetencijų centrą, suformuoti talentingų viešojo sektoriaus vadovų korpusą  ir įtvirtinti lankstesnį ir motyvacija pagrįstą darbuotojų valstybės tarnyboje valdymą.  </w:t>
      </w:r>
      <w:r w:rsidRPr="000A1528">
        <w:rPr>
          <w:szCs w:val="24"/>
        </w:rPr>
        <w:t>Antra</w:t>
      </w:r>
      <w:r w:rsidRPr="00DE2FC0">
        <w:rPr>
          <w:szCs w:val="24"/>
        </w:rPr>
        <w:t>,</w:t>
      </w:r>
      <w:r>
        <w:rPr>
          <w:szCs w:val="24"/>
        </w:rPr>
        <w:t xml:space="preserve"> Vyriausybė nuspręs dėl viešojo sektoriaus institucinės sąrangos tobulinimo, įskaitant administracinės gebos stiprinimą per viešąją politiką įgyvendinančias institucijas. Taip pat bus patvirtintas viešojo valdymo funkcijų pertvarkos planas. </w:t>
      </w:r>
      <w:r w:rsidRPr="000A1528">
        <w:rPr>
          <w:szCs w:val="24"/>
        </w:rPr>
        <w:t>Trečia</w:t>
      </w:r>
      <w:r w:rsidRPr="00DE2FC0">
        <w:rPr>
          <w:szCs w:val="24"/>
        </w:rPr>
        <w:t>,</w:t>
      </w:r>
      <w:r>
        <w:rPr>
          <w:szCs w:val="24"/>
        </w:rPr>
        <w:t xml:space="preserve"> bus skurtos prielaidos E-Vyriausybės 360° projektui įgyvendinti: įsteigtas ir sukomplektuotas atvirų duomenų ir skaitmeninės transformacijos centras,  sudarytos sąlygos institucijose įteisinti už institucijų vidinės skaitmeninės transformacijos strategijos formavimą atsakingo skaitmeninės transformacijos vadovo vaidmenį, numatoma paskirtojo valstybės IT paslaugų teikėjo funkcijas išplėsti taip, kad jos apimtų taikomųjų IT programų priežiūrą. Taip pat bus sudarytos paskatos ir nustatyta prievolė institucijoms atverti duomenis. </w:t>
      </w:r>
      <w:r w:rsidRPr="00377FA9">
        <w:rPr>
          <w:szCs w:val="24"/>
        </w:rPr>
        <w:t>Ketvirta,</w:t>
      </w:r>
      <w:r>
        <w:rPr>
          <w:szCs w:val="24"/>
        </w:rPr>
        <w:t xml:space="preserve"> iki 2021 m. pabaigos turėtų būti įpusėta viešojo sektoriaus subjektų teikiamų administracinių ir viešųjų paslaugų peržiūra, </w:t>
      </w:r>
      <w:r>
        <w:rPr>
          <w:szCs w:val="24"/>
        </w:rPr>
        <w:lastRenderedPageBreak/>
        <w:t xml:space="preserve">siekiant jas inventorizuoti </w:t>
      </w:r>
      <w:r w:rsidRPr="00710E76">
        <w:rPr>
          <w:szCs w:val="24"/>
        </w:rPr>
        <w:t xml:space="preserve">ir </w:t>
      </w:r>
      <w:r w:rsidR="00847420" w:rsidRPr="00710E76">
        <w:rPr>
          <w:szCs w:val="24"/>
        </w:rPr>
        <w:t>sudaryti sąlygas tolesniems veiksmams siekiant nustatyti paslaugų kokybės standartą</w:t>
      </w:r>
      <w:r w:rsidR="00847420">
        <w:rPr>
          <w:szCs w:val="24"/>
        </w:rPr>
        <w:t>.</w:t>
      </w:r>
    </w:p>
    <w:p w14:paraId="06AC10A3" w14:textId="77777777" w:rsidR="007A7540" w:rsidRDefault="007A7540" w:rsidP="00AB4CB8">
      <w:pPr>
        <w:spacing w:line="276" w:lineRule="auto"/>
        <w:ind w:firstLine="709"/>
        <w:jc w:val="both"/>
        <w:rPr>
          <w:szCs w:val="24"/>
        </w:rPr>
      </w:pPr>
      <w:r>
        <w:rPr>
          <w:szCs w:val="24"/>
        </w:rPr>
        <w:t>Viešojo valdymo prioritetas ir jam įgyvendinti būtina valstybės tarnybos pertvarka yra viena iš penkių Aštuonioliktosios Vyriausybės kadencijos reformų.</w:t>
      </w:r>
    </w:p>
    <w:p w14:paraId="1206E11C" w14:textId="77777777" w:rsidR="007A7540" w:rsidRDefault="007A7540" w:rsidP="00AB4CB8">
      <w:pPr>
        <w:spacing w:line="276" w:lineRule="auto"/>
        <w:ind w:firstLine="709"/>
        <w:rPr>
          <w:b/>
          <w:bCs/>
          <w:color w:val="17365D" w:themeColor="text2" w:themeShade="BF"/>
          <w:szCs w:val="24"/>
        </w:rPr>
      </w:pPr>
    </w:p>
    <w:p w14:paraId="2CF6A2E0" w14:textId="77777777" w:rsidR="007A7540" w:rsidRPr="00251DAB" w:rsidRDefault="007A7540" w:rsidP="00AB4CB8">
      <w:pPr>
        <w:spacing w:line="276" w:lineRule="auto"/>
        <w:ind w:firstLine="709"/>
        <w:rPr>
          <w:b/>
          <w:bCs/>
          <w:color w:val="17365D" w:themeColor="text2" w:themeShade="BF"/>
          <w:szCs w:val="24"/>
        </w:rPr>
      </w:pPr>
      <w:r w:rsidRPr="00251DAB">
        <w:rPr>
          <w:b/>
          <w:bCs/>
          <w:color w:val="17365D" w:themeColor="text2" w:themeShade="BF"/>
          <w:szCs w:val="24"/>
        </w:rPr>
        <w:t>Finansų politika</w:t>
      </w:r>
    </w:p>
    <w:p w14:paraId="0CD32B98" w14:textId="62626C12" w:rsidR="007A7540" w:rsidRPr="00F5507D" w:rsidRDefault="007A7540" w:rsidP="00AB4CB8">
      <w:pPr>
        <w:spacing w:line="276" w:lineRule="auto"/>
        <w:ind w:firstLine="709"/>
        <w:jc w:val="both"/>
        <w:rPr>
          <w:szCs w:val="24"/>
        </w:rPr>
      </w:pPr>
      <w:r w:rsidRPr="000A1528">
        <w:rPr>
          <w:szCs w:val="24"/>
        </w:rPr>
        <w:t>Atsakingos finansų politikos</w:t>
      </w:r>
      <w:r w:rsidRPr="00F5507D">
        <w:rPr>
          <w:b/>
          <w:bCs/>
          <w:szCs w:val="24"/>
        </w:rPr>
        <w:t xml:space="preserve"> </w:t>
      </w:r>
      <w:r w:rsidRPr="00F5507D">
        <w:rPr>
          <w:szCs w:val="24"/>
        </w:rPr>
        <w:t>misij</w:t>
      </w:r>
      <w:r>
        <w:rPr>
          <w:szCs w:val="24"/>
        </w:rPr>
        <w:t>ą</w:t>
      </w:r>
      <w:r w:rsidRPr="00F5507D">
        <w:rPr>
          <w:szCs w:val="24"/>
        </w:rPr>
        <w:t xml:space="preserve"> (priori</w:t>
      </w:r>
      <w:r w:rsidR="00377FA9">
        <w:rPr>
          <w:szCs w:val="24"/>
        </w:rPr>
        <w:t>te</w:t>
      </w:r>
      <w:r w:rsidRPr="00F5507D">
        <w:rPr>
          <w:szCs w:val="24"/>
        </w:rPr>
        <w:t>t</w:t>
      </w:r>
      <w:r>
        <w:rPr>
          <w:szCs w:val="24"/>
        </w:rPr>
        <w:t>ą</w:t>
      </w:r>
      <w:r w:rsidRPr="00F5507D">
        <w:rPr>
          <w:szCs w:val="24"/>
        </w:rPr>
        <w:t>) 2021 m</w:t>
      </w:r>
      <w:r>
        <w:rPr>
          <w:szCs w:val="24"/>
        </w:rPr>
        <w:t>. įgyvendins</w:t>
      </w:r>
      <w:r w:rsidRPr="00F5507D">
        <w:rPr>
          <w:szCs w:val="24"/>
        </w:rPr>
        <w:t xml:space="preserve"> keli svarbiausi darbai. </w:t>
      </w:r>
      <w:r w:rsidRPr="00AF4D95">
        <w:rPr>
          <w:szCs w:val="24"/>
        </w:rPr>
        <w:t>B</w:t>
      </w:r>
      <w:r w:rsidRPr="000A1528">
        <w:rPr>
          <w:szCs w:val="24"/>
        </w:rPr>
        <w:t>us pabaigta kurti visa naujosios strateginio valdymo sistemos teisinė bazė ir parengtos jos praktinės įgyvendinimo rekomendacijos</w:t>
      </w:r>
      <w:r w:rsidRPr="00F5507D">
        <w:rPr>
          <w:szCs w:val="24"/>
        </w:rPr>
        <w:t xml:space="preserve">, kurios padės valstybės institucijoms pradėti dirbti </w:t>
      </w:r>
      <w:r>
        <w:rPr>
          <w:szCs w:val="24"/>
        </w:rPr>
        <w:t xml:space="preserve">pagal </w:t>
      </w:r>
      <w:r w:rsidRPr="00F5507D">
        <w:rPr>
          <w:szCs w:val="24"/>
        </w:rPr>
        <w:t>naujosios sistemos princip</w:t>
      </w:r>
      <w:r>
        <w:rPr>
          <w:szCs w:val="24"/>
        </w:rPr>
        <w:t>us</w:t>
      </w:r>
      <w:r w:rsidRPr="00F5507D">
        <w:rPr>
          <w:szCs w:val="24"/>
        </w:rPr>
        <w:t>, tiksl</w:t>
      </w:r>
      <w:r>
        <w:rPr>
          <w:szCs w:val="24"/>
        </w:rPr>
        <w:t>us</w:t>
      </w:r>
      <w:r w:rsidRPr="00F5507D">
        <w:rPr>
          <w:szCs w:val="24"/>
        </w:rPr>
        <w:t xml:space="preserve"> ir proces</w:t>
      </w:r>
      <w:r>
        <w:rPr>
          <w:szCs w:val="24"/>
        </w:rPr>
        <w:t>us</w:t>
      </w:r>
      <w:r w:rsidRPr="00F5507D">
        <w:rPr>
          <w:szCs w:val="24"/>
        </w:rPr>
        <w:t xml:space="preserve">. Taip pat šiais metais </w:t>
      </w:r>
      <w:r w:rsidRPr="00B62D7C">
        <w:rPr>
          <w:szCs w:val="24"/>
        </w:rPr>
        <w:t>planuojama pabaigti rengti ir</w:t>
      </w:r>
      <w:r w:rsidRPr="00F5507D">
        <w:rPr>
          <w:b/>
          <w:bCs/>
          <w:szCs w:val="24"/>
        </w:rPr>
        <w:t xml:space="preserve"> </w:t>
      </w:r>
      <w:r w:rsidRPr="000A1528">
        <w:rPr>
          <w:szCs w:val="24"/>
        </w:rPr>
        <w:t>patvirtinti visas nacionalines plėtros programas</w:t>
      </w:r>
      <w:r w:rsidRPr="00F5507D">
        <w:rPr>
          <w:szCs w:val="24"/>
        </w:rPr>
        <w:t>, kuriose bus suplanuoti visi svarbiausi 2021</w:t>
      </w:r>
      <w:r>
        <w:rPr>
          <w:szCs w:val="24"/>
        </w:rPr>
        <w:t>–</w:t>
      </w:r>
      <w:r w:rsidRPr="00F5507D">
        <w:rPr>
          <w:szCs w:val="24"/>
        </w:rPr>
        <w:t xml:space="preserve">2030 metų </w:t>
      </w:r>
      <w:r>
        <w:rPr>
          <w:szCs w:val="24"/>
        </w:rPr>
        <w:t>n</w:t>
      </w:r>
      <w:r w:rsidRPr="00F5507D">
        <w:rPr>
          <w:szCs w:val="24"/>
        </w:rPr>
        <w:t xml:space="preserve">acionalinio pažangos plano pokyčiai. </w:t>
      </w:r>
    </w:p>
    <w:p w14:paraId="1C3C0CE2" w14:textId="77777777" w:rsidR="007A7540" w:rsidRPr="00F5507D" w:rsidRDefault="007A7540" w:rsidP="00AB4CB8">
      <w:pPr>
        <w:spacing w:line="276" w:lineRule="auto"/>
        <w:ind w:firstLine="709"/>
        <w:jc w:val="both"/>
        <w:rPr>
          <w:szCs w:val="24"/>
        </w:rPr>
      </w:pPr>
      <w:r>
        <w:rPr>
          <w:szCs w:val="24"/>
        </w:rPr>
        <w:t>2021 m. b</w:t>
      </w:r>
      <w:r w:rsidRPr="00D02C92">
        <w:rPr>
          <w:szCs w:val="24"/>
        </w:rPr>
        <w:t>us atlikta</w:t>
      </w:r>
      <w:r w:rsidRPr="00F5507D">
        <w:rPr>
          <w:b/>
          <w:bCs/>
          <w:szCs w:val="24"/>
        </w:rPr>
        <w:t xml:space="preserve"> </w:t>
      </w:r>
      <w:r w:rsidRPr="000A1528">
        <w:rPr>
          <w:szCs w:val="24"/>
        </w:rPr>
        <w:t>neterminuotų mokesčių lengvatų ir specialiųjų apmokestinimo sąlygų kaštų ir naudos analizė</w:t>
      </w:r>
      <w:r w:rsidRPr="00F5507D">
        <w:rPr>
          <w:szCs w:val="24"/>
        </w:rPr>
        <w:t xml:space="preserve">. </w:t>
      </w:r>
      <w:r>
        <w:rPr>
          <w:szCs w:val="24"/>
        </w:rPr>
        <w:t>Ji</w:t>
      </w:r>
      <w:r w:rsidRPr="00F5507D">
        <w:rPr>
          <w:szCs w:val="24"/>
        </w:rPr>
        <w:t xml:space="preserve"> bus labai svarb</w:t>
      </w:r>
      <w:r>
        <w:rPr>
          <w:szCs w:val="24"/>
        </w:rPr>
        <w:t>i</w:t>
      </w:r>
      <w:r w:rsidRPr="00F5507D">
        <w:rPr>
          <w:szCs w:val="24"/>
        </w:rPr>
        <w:t xml:space="preserve"> įvertinant esamą mokesčių sistemą ir siekiant pasiūlyti bei įgyvendinti sprendimus, kurie padėtų ją daryti teisingesnę ir palankesnę</w:t>
      </w:r>
      <w:r>
        <w:rPr>
          <w:szCs w:val="24"/>
        </w:rPr>
        <w:t xml:space="preserve"> </w:t>
      </w:r>
      <w:r w:rsidRPr="00F5507D">
        <w:rPr>
          <w:szCs w:val="24"/>
        </w:rPr>
        <w:t>aug</w:t>
      </w:r>
      <w:r>
        <w:rPr>
          <w:szCs w:val="24"/>
        </w:rPr>
        <w:t>ti</w:t>
      </w:r>
      <w:r w:rsidRPr="00F5507D">
        <w:rPr>
          <w:szCs w:val="24"/>
        </w:rPr>
        <w:t xml:space="preserve">. </w:t>
      </w:r>
      <w:r>
        <w:rPr>
          <w:szCs w:val="24"/>
        </w:rPr>
        <w:t>Svarbiausias darbas, skirtas k</w:t>
      </w:r>
      <w:r w:rsidRPr="00623014">
        <w:rPr>
          <w:szCs w:val="24"/>
        </w:rPr>
        <w:t>ov</w:t>
      </w:r>
      <w:r>
        <w:rPr>
          <w:szCs w:val="24"/>
        </w:rPr>
        <w:t>ai</w:t>
      </w:r>
      <w:r w:rsidRPr="00623014">
        <w:rPr>
          <w:szCs w:val="24"/>
        </w:rPr>
        <w:t xml:space="preserve"> su šešėliu ir skaidrum</w:t>
      </w:r>
      <w:r>
        <w:rPr>
          <w:szCs w:val="24"/>
        </w:rPr>
        <w:t>ui</w:t>
      </w:r>
      <w:r w:rsidRPr="00623014">
        <w:rPr>
          <w:szCs w:val="24"/>
        </w:rPr>
        <w:t xml:space="preserve"> didin</w:t>
      </w:r>
      <w:r>
        <w:rPr>
          <w:szCs w:val="24"/>
        </w:rPr>
        <w:t>ti,</w:t>
      </w:r>
      <w:r w:rsidRPr="00623014">
        <w:rPr>
          <w:szCs w:val="24"/>
        </w:rPr>
        <w:t xml:space="preserve"> </w:t>
      </w:r>
      <w:r>
        <w:rPr>
          <w:szCs w:val="24"/>
        </w:rPr>
        <w:t xml:space="preserve">– </w:t>
      </w:r>
      <w:r w:rsidRPr="000A1528">
        <w:rPr>
          <w:szCs w:val="24"/>
        </w:rPr>
        <w:t>parengti ir patvirtinti šešėlinę ekonomiką ir PVM atotrūkį mažinančių veiksmų planą</w:t>
      </w:r>
      <w:r w:rsidRPr="00F5507D">
        <w:rPr>
          <w:szCs w:val="24"/>
        </w:rPr>
        <w:t>. Į jį numatyta įtraukti įvairaus pobūdžio veiksmus, kurie skatintų verslą formalizuotis, numatytų šešėlinės veiklos prevenciją ir sąmoningumo ugdymą, taiklesnį administravimą ir efektyv</w:t>
      </w:r>
      <w:r>
        <w:rPr>
          <w:szCs w:val="24"/>
        </w:rPr>
        <w:t>ų verslo skaidrinimą</w:t>
      </w:r>
      <w:r w:rsidRPr="00F5507D">
        <w:rPr>
          <w:szCs w:val="24"/>
        </w:rPr>
        <w:t xml:space="preserve">. </w:t>
      </w:r>
      <w:r>
        <w:rPr>
          <w:szCs w:val="24"/>
        </w:rPr>
        <w:t xml:space="preserve">Vyriausybė apsispręs dėl </w:t>
      </w:r>
      <w:r w:rsidRPr="000A1528">
        <w:rPr>
          <w:szCs w:val="24"/>
        </w:rPr>
        <w:t>Nacionalinio plėtros fondo steigimo.</w:t>
      </w:r>
      <w:r>
        <w:rPr>
          <w:b/>
          <w:bCs/>
          <w:szCs w:val="24"/>
        </w:rPr>
        <w:t xml:space="preserve"> </w:t>
      </w:r>
      <w:r w:rsidRPr="00F5507D">
        <w:rPr>
          <w:szCs w:val="24"/>
        </w:rPr>
        <w:t xml:space="preserve">Stiprinant valdžios sektoriaus finansų tvarumą, </w:t>
      </w:r>
      <w:r w:rsidRPr="000A1528">
        <w:rPr>
          <w:szCs w:val="24"/>
        </w:rPr>
        <w:t xml:space="preserve">numatyta pradėti rengti </w:t>
      </w:r>
      <w:r w:rsidRPr="00AF4D95">
        <w:rPr>
          <w:szCs w:val="24"/>
        </w:rPr>
        <w:t>dėl COVID-19 pandemijos išaugusios</w:t>
      </w:r>
      <w:r w:rsidRPr="000A1528">
        <w:rPr>
          <w:szCs w:val="24"/>
        </w:rPr>
        <w:t xml:space="preserve"> valdžios sektoriaus skolos valdymo strategiją</w:t>
      </w:r>
      <w:r w:rsidRPr="00F5507D">
        <w:rPr>
          <w:szCs w:val="24"/>
        </w:rPr>
        <w:t>. Paminėtinas finansų rinkos plėtros 2021 m</w:t>
      </w:r>
      <w:r>
        <w:rPr>
          <w:szCs w:val="24"/>
        </w:rPr>
        <w:t>.</w:t>
      </w:r>
      <w:r w:rsidRPr="00F5507D">
        <w:rPr>
          <w:szCs w:val="24"/>
        </w:rPr>
        <w:t xml:space="preserve"> darbas </w:t>
      </w:r>
      <w:bookmarkStart w:id="26" w:name="_Hlk67551346"/>
      <w:r>
        <w:rPr>
          <w:szCs w:val="24"/>
        </w:rPr>
        <w:t>–</w:t>
      </w:r>
      <w:bookmarkEnd w:id="26"/>
      <w:r w:rsidRPr="00F5507D">
        <w:rPr>
          <w:szCs w:val="24"/>
        </w:rPr>
        <w:t xml:space="preserve"> </w:t>
      </w:r>
      <w:r>
        <w:rPr>
          <w:szCs w:val="24"/>
        </w:rPr>
        <w:t xml:space="preserve">pradėtas rengti </w:t>
      </w:r>
      <w:r w:rsidRPr="000A1528">
        <w:rPr>
          <w:szCs w:val="24"/>
        </w:rPr>
        <w:t>Lietuvos tvariųjų (žaliųjų) finansų veiksmų planas</w:t>
      </w:r>
      <w:r w:rsidRPr="00F5507D">
        <w:rPr>
          <w:szCs w:val="24"/>
        </w:rPr>
        <w:t xml:space="preserve">, siekiant kurti tvarioms investicijoms palankią ekosistemą, pritraukti investicijas į tvarius produktus. </w:t>
      </w:r>
    </w:p>
    <w:p w14:paraId="46C70973" w14:textId="77777777" w:rsidR="007A7540" w:rsidRDefault="007A7540" w:rsidP="00AB4CB8">
      <w:pPr>
        <w:spacing w:line="276" w:lineRule="auto"/>
        <w:ind w:firstLine="709"/>
        <w:rPr>
          <w:szCs w:val="24"/>
        </w:rPr>
      </w:pPr>
    </w:p>
    <w:p w14:paraId="5CC26854" w14:textId="77777777" w:rsidR="007A7540" w:rsidRPr="00864337" w:rsidRDefault="007A7540" w:rsidP="00AB4CB8">
      <w:pPr>
        <w:spacing w:line="276" w:lineRule="auto"/>
        <w:ind w:firstLine="709"/>
        <w:rPr>
          <w:color w:val="17365D" w:themeColor="text2" w:themeShade="BF"/>
          <w:szCs w:val="24"/>
        </w:rPr>
      </w:pPr>
      <w:r w:rsidRPr="00864337">
        <w:rPr>
          <w:b/>
          <w:bCs/>
          <w:color w:val="17365D" w:themeColor="text2" w:themeShade="BF"/>
          <w:szCs w:val="24"/>
        </w:rPr>
        <w:t>Saugi ir atspari Lietuva</w:t>
      </w:r>
    </w:p>
    <w:p w14:paraId="29293968" w14:textId="77777777" w:rsidR="007A7540" w:rsidRPr="001F7D8D" w:rsidRDefault="007A7540" w:rsidP="00AB4CB8">
      <w:pPr>
        <w:spacing w:line="276" w:lineRule="auto"/>
        <w:ind w:firstLine="709"/>
        <w:jc w:val="both"/>
        <w:rPr>
          <w:szCs w:val="24"/>
        </w:rPr>
      </w:pPr>
      <w:r w:rsidRPr="000A1528">
        <w:rPr>
          <w:szCs w:val="24"/>
        </w:rPr>
        <w:t>Stiprinant šalies gynybą</w:t>
      </w:r>
      <w:r>
        <w:rPr>
          <w:szCs w:val="24"/>
        </w:rPr>
        <w:t>,</w:t>
      </w:r>
      <w:r w:rsidRPr="000A1528">
        <w:rPr>
          <w:szCs w:val="24"/>
        </w:rPr>
        <w:t xml:space="preserve"> 2021 m.</w:t>
      </w:r>
      <w:r w:rsidRPr="0080750D">
        <w:rPr>
          <w:szCs w:val="24"/>
        </w:rPr>
        <w:t xml:space="preserve"> tarp svarbiausių Vyriausybės  darbų bus</w:t>
      </w:r>
      <w:r w:rsidRPr="001F7D8D">
        <w:rPr>
          <w:b/>
          <w:bCs/>
          <w:szCs w:val="24"/>
        </w:rPr>
        <w:t xml:space="preserve"> </w:t>
      </w:r>
      <w:r w:rsidRPr="000A1528">
        <w:rPr>
          <w:szCs w:val="24"/>
        </w:rPr>
        <w:t>Lietuvos kariuomenės gynybinių pajėgumų, teikiant prioritetą sausumos manevro, logistikos ir oro gynybos pajėgumams</w:t>
      </w:r>
      <w:r w:rsidRPr="00AF4D95">
        <w:rPr>
          <w:szCs w:val="24"/>
        </w:rPr>
        <w:t xml:space="preserve">, </w:t>
      </w:r>
      <w:r w:rsidRPr="000A1528">
        <w:rPr>
          <w:szCs w:val="24"/>
        </w:rPr>
        <w:t>plėtojimas</w:t>
      </w:r>
      <w:r>
        <w:rPr>
          <w:szCs w:val="24"/>
        </w:rPr>
        <w:t xml:space="preserve">, </w:t>
      </w:r>
      <w:r w:rsidRPr="001F7D8D">
        <w:rPr>
          <w:szCs w:val="24"/>
        </w:rPr>
        <w:t xml:space="preserve">įsigyjant ir kariniuose vienetuose integruojant naują ginkluotę, techniką ir įrangą. </w:t>
      </w:r>
      <w:r>
        <w:rPr>
          <w:szCs w:val="24"/>
        </w:rPr>
        <w:t>Kartu bus toliau didinamas s</w:t>
      </w:r>
      <w:r w:rsidRPr="001F7D8D">
        <w:rPr>
          <w:szCs w:val="24"/>
        </w:rPr>
        <w:t>ubalansuotas kariuomenės pajėgumų vystymo planus atitinkantis profesinės karo tarnybos karių, privalomosios pradinės karo tarnybos karių</w:t>
      </w:r>
      <w:r>
        <w:rPr>
          <w:szCs w:val="24"/>
        </w:rPr>
        <w:t xml:space="preserve"> ir</w:t>
      </w:r>
      <w:r w:rsidRPr="001F7D8D">
        <w:rPr>
          <w:szCs w:val="24"/>
        </w:rPr>
        <w:t xml:space="preserve"> aktyviojo kariuomenės personalo rezervo karių skaičius, </w:t>
      </w:r>
      <w:r>
        <w:rPr>
          <w:szCs w:val="24"/>
        </w:rPr>
        <w:t xml:space="preserve">gerinamos </w:t>
      </w:r>
      <w:r w:rsidRPr="001F7D8D">
        <w:rPr>
          <w:szCs w:val="24"/>
        </w:rPr>
        <w:t>jų tarnybos sąlyg</w:t>
      </w:r>
      <w:r>
        <w:rPr>
          <w:szCs w:val="24"/>
        </w:rPr>
        <w:t>os</w:t>
      </w:r>
      <w:r w:rsidRPr="001F7D8D">
        <w:rPr>
          <w:szCs w:val="24"/>
        </w:rPr>
        <w:t xml:space="preserve"> ir rūpin</w:t>
      </w:r>
      <w:r>
        <w:rPr>
          <w:szCs w:val="24"/>
        </w:rPr>
        <w:t>a</w:t>
      </w:r>
      <w:r w:rsidRPr="001F7D8D">
        <w:rPr>
          <w:szCs w:val="24"/>
        </w:rPr>
        <w:t>masi karių gerove</w:t>
      </w:r>
      <w:r>
        <w:rPr>
          <w:szCs w:val="24"/>
        </w:rPr>
        <w:t xml:space="preserve">. Plėtojant </w:t>
      </w:r>
      <w:r w:rsidRPr="000A1528">
        <w:rPr>
          <w:szCs w:val="24"/>
        </w:rPr>
        <w:t>Lietuvos kariuomenei ir sąjungininkų pajėgoms reikalingą infrastruktūrą, 2021 m. bus pradėta vystyti visiškai nauja tri</w:t>
      </w:r>
      <w:r>
        <w:rPr>
          <w:szCs w:val="24"/>
        </w:rPr>
        <w:t>jų</w:t>
      </w:r>
      <w:r w:rsidRPr="000A1528">
        <w:rPr>
          <w:szCs w:val="24"/>
        </w:rPr>
        <w:t xml:space="preserve"> bataliono dydžio karini</w:t>
      </w:r>
      <w:r>
        <w:rPr>
          <w:szCs w:val="24"/>
        </w:rPr>
        <w:t>ų</w:t>
      </w:r>
      <w:r w:rsidRPr="000A1528">
        <w:rPr>
          <w:szCs w:val="24"/>
        </w:rPr>
        <w:t xml:space="preserve"> vienet</w:t>
      </w:r>
      <w:r>
        <w:rPr>
          <w:szCs w:val="24"/>
        </w:rPr>
        <w:t>ų</w:t>
      </w:r>
      <w:r w:rsidRPr="00FB0077">
        <w:rPr>
          <w:szCs w:val="24"/>
        </w:rPr>
        <w:t xml:space="preserve"> </w:t>
      </w:r>
      <w:r w:rsidRPr="00940557">
        <w:rPr>
          <w:szCs w:val="24"/>
        </w:rPr>
        <w:t>infrastruktūra</w:t>
      </w:r>
      <w:r>
        <w:rPr>
          <w:szCs w:val="24"/>
        </w:rPr>
        <w:t>,</w:t>
      </w:r>
      <w:r w:rsidRPr="00AF4D95" w:rsidDel="00FB0077">
        <w:rPr>
          <w:szCs w:val="24"/>
        </w:rPr>
        <w:t xml:space="preserve"> </w:t>
      </w:r>
      <w:r w:rsidRPr="001F7D8D">
        <w:rPr>
          <w:szCs w:val="24"/>
        </w:rPr>
        <w:t>plėtojama kariniam rengimui skirta esamų karinių poligonų infrastruktūra ir atliekami parengiamieji naujo karinio poligono steigim</w:t>
      </w:r>
      <w:r>
        <w:rPr>
          <w:szCs w:val="24"/>
        </w:rPr>
        <w:t>o</w:t>
      </w:r>
      <w:r w:rsidRPr="00FB0077">
        <w:rPr>
          <w:szCs w:val="24"/>
        </w:rPr>
        <w:t xml:space="preserve"> </w:t>
      </w:r>
      <w:r w:rsidRPr="001F7D8D">
        <w:rPr>
          <w:szCs w:val="24"/>
        </w:rPr>
        <w:t xml:space="preserve">darbai.   </w:t>
      </w:r>
    </w:p>
    <w:p w14:paraId="2D8C0AEC" w14:textId="77777777" w:rsidR="007A7540" w:rsidRPr="00EB6BE0" w:rsidRDefault="007A7540" w:rsidP="00AB4CB8">
      <w:pPr>
        <w:spacing w:line="276" w:lineRule="auto"/>
        <w:ind w:firstLine="709"/>
        <w:jc w:val="both"/>
        <w:rPr>
          <w:szCs w:val="24"/>
        </w:rPr>
      </w:pPr>
      <w:r w:rsidRPr="0080750D">
        <w:rPr>
          <w:szCs w:val="24"/>
        </w:rPr>
        <w:t>Siekiant didinti visuomenės atsparumą ir stiprinant piliečių  valią bei gebėjimus priešintis</w:t>
      </w:r>
      <w:r w:rsidRPr="001F7D8D">
        <w:rPr>
          <w:szCs w:val="24"/>
        </w:rPr>
        <w:t xml:space="preserve"> </w:t>
      </w:r>
      <w:r w:rsidRPr="000A1528">
        <w:rPr>
          <w:szCs w:val="24"/>
        </w:rPr>
        <w:t>bus parengta Nacionalinė darbotvarkė „Lietuvos Respublikos piliečių rengimo pilietiniam pasipriešinimui strategija“</w:t>
      </w:r>
      <w:r>
        <w:rPr>
          <w:szCs w:val="24"/>
        </w:rPr>
        <w:t>, o siekiant vykdyti koordinuotą ir kryptingą kovos su dezinformacija politiką –</w:t>
      </w:r>
      <w:r>
        <w:rPr>
          <w:b/>
          <w:bCs/>
          <w:szCs w:val="24"/>
        </w:rPr>
        <w:t xml:space="preserve"> </w:t>
      </w:r>
      <w:r w:rsidRPr="000A1528">
        <w:rPr>
          <w:szCs w:val="24"/>
        </w:rPr>
        <w:t>parengtas ir pradėtas įgyvendinti nacionalinis kovos su dezinformacija veiksmų planas</w:t>
      </w:r>
      <w:r w:rsidRPr="00AF4D95">
        <w:rPr>
          <w:szCs w:val="24"/>
        </w:rPr>
        <w:t>.</w:t>
      </w:r>
    </w:p>
    <w:p w14:paraId="708BC5CA" w14:textId="2F435A86" w:rsidR="007A7540" w:rsidRPr="001F7D8D" w:rsidRDefault="007A7540" w:rsidP="00AB4CB8">
      <w:pPr>
        <w:spacing w:line="276" w:lineRule="auto"/>
        <w:ind w:firstLine="709"/>
        <w:jc w:val="both"/>
        <w:rPr>
          <w:szCs w:val="24"/>
        </w:rPr>
      </w:pPr>
      <w:r w:rsidRPr="000A1528">
        <w:rPr>
          <w:szCs w:val="24"/>
        </w:rPr>
        <w:t>Viešojo saugumo srityje</w:t>
      </w:r>
      <w:r>
        <w:rPr>
          <w:szCs w:val="24"/>
        </w:rPr>
        <w:t>, s</w:t>
      </w:r>
      <w:r w:rsidRPr="001F7D8D">
        <w:rPr>
          <w:szCs w:val="24"/>
        </w:rPr>
        <w:t>iek</w:t>
      </w:r>
      <w:r>
        <w:rPr>
          <w:szCs w:val="24"/>
        </w:rPr>
        <w:t>dama</w:t>
      </w:r>
      <w:r w:rsidRPr="001F7D8D">
        <w:rPr>
          <w:szCs w:val="24"/>
        </w:rPr>
        <w:t xml:space="preserve"> mažinti sunkaus nusikalstamumo ir terorizmo grėsm</w:t>
      </w:r>
      <w:r>
        <w:rPr>
          <w:szCs w:val="24"/>
        </w:rPr>
        <w:t>ių,</w:t>
      </w:r>
      <w:r w:rsidRPr="001F7D8D">
        <w:rPr>
          <w:szCs w:val="24"/>
        </w:rPr>
        <w:t xml:space="preserve"> </w:t>
      </w:r>
      <w:r w:rsidRPr="000A1528">
        <w:rPr>
          <w:szCs w:val="24"/>
        </w:rPr>
        <w:t>Vyriausybė 2021 m. numato priimti sprendimą dėl nusikaltimų ir kitų teisės pažeidimų prevencijos organizavimo Lietuvos Respublikoje sistemos</w:t>
      </w:r>
      <w:r w:rsidRPr="001F7D8D">
        <w:rPr>
          <w:szCs w:val="24"/>
        </w:rPr>
        <w:t>, kad teisėsaugos institucijų veikla būtų orientuota užkardyti teisės pažeidimus, šalinti jiems atsirasti palankias sąlygas, o ne išskirtinai tik reaguoti ir tirti įvykusius teisės pažeidimus</w:t>
      </w:r>
      <w:r w:rsidR="00514CEE">
        <w:rPr>
          <w:szCs w:val="24"/>
        </w:rPr>
        <w:t xml:space="preserve"> (dirbti su priežastimis, o ne pasekmėmis)</w:t>
      </w:r>
      <w:r>
        <w:rPr>
          <w:szCs w:val="24"/>
        </w:rPr>
        <w:t>.</w:t>
      </w:r>
      <w:r w:rsidRPr="001F7D8D">
        <w:rPr>
          <w:szCs w:val="24"/>
        </w:rPr>
        <w:t xml:space="preserve"> </w:t>
      </w:r>
      <w:r w:rsidR="00514CEE" w:rsidRPr="00514CEE">
        <w:rPr>
          <w:szCs w:val="24"/>
        </w:rPr>
        <w:t xml:space="preserve"> </w:t>
      </w:r>
      <w:r w:rsidR="00514CEE">
        <w:rPr>
          <w:szCs w:val="24"/>
        </w:rPr>
        <w:t xml:space="preserve">Planuojama tęsti ir užbaigti diegti modernias išorinės ES sienos </w:t>
      </w:r>
      <w:r w:rsidR="00514CEE" w:rsidRPr="00AF53D0">
        <w:rPr>
          <w:szCs w:val="24"/>
        </w:rPr>
        <w:t>stebėjimo sistem</w:t>
      </w:r>
      <w:r w:rsidR="00514CEE">
        <w:rPr>
          <w:szCs w:val="24"/>
        </w:rPr>
        <w:t xml:space="preserve">as </w:t>
      </w:r>
      <w:r w:rsidR="00514CEE" w:rsidRPr="00AF53D0">
        <w:rPr>
          <w:szCs w:val="24"/>
        </w:rPr>
        <w:t xml:space="preserve">– vertinant esamą šių sistemų funkcionavimo įtaką sienos pažeidimų, įskaitant kontrabandą, dinamikai, investavimo į šią infrastruktūrą nauda yra akivaizdi. </w:t>
      </w:r>
      <w:r w:rsidR="00514CEE" w:rsidRPr="00AF53D0">
        <w:rPr>
          <w:color w:val="444444"/>
          <w:spacing w:val="2"/>
          <w:szCs w:val="24"/>
          <w:shd w:val="clear" w:color="auto" w:fill="FFFFFF"/>
        </w:rPr>
        <w:t>Priešgaisrinės apsaugos sistema taip pat subrendo pokyčiams, tą be kita ko patvirtino ir 2021 m. kovo mėn. baigtas Valstybės kontrolės auditas, identifikavęs koreguotinus vei</w:t>
      </w:r>
      <w:r w:rsidR="00514CEE">
        <w:rPr>
          <w:color w:val="444444"/>
          <w:spacing w:val="2"/>
          <w:szCs w:val="24"/>
          <w:shd w:val="clear" w:color="auto" w:fill="FFFFFF"/>
        </w:rPr>
        <w:t>k</w:t>
      </w:r>
      <w:r w:rsidR="00514CEE" w:rsidRPr="00AF53D0">
        <w:rPr>
          <w:color w:val="444444"/>
          <w:spacing w:val="2"/>
          <w:szCs w:val="24"/>
          <w:shd w:val="clear" w:color="auto" w:fill="FFFFFF"/>
        </w:rPr>
        <w:t xml:space="preserve">los, valdymo ir aprūpinimo </w:t>
      </w:r>
      <w:r w:rsidR="00514CEE" w:rsidRPr="00AF53D0">
        <w:rPr>
          <w:color w:val="444444"/>
          <w:spacing w:val="2"/>
          <w:szCs w:val="24"/>
          <w:shd w:val="clear" w:color="auto" w:fill="FFFFFF"/>
        </w:rPr>
        <w:lastRenderedPageBreak/>
        <w:t>aspektus. Įvertintina ir tai, kad ugniagesiai gelbėtojai turi didžiausią visuomenės pasitikėjimą, tad būtina užtikrinti, kad šis pasitikėjimas būtų pateisintas ir užtikrinant veiklos efektyvumą</w:t>
      </w:r>
      <w:r w:rsidR="00514CEE" w:rsidRPr="00896B6C">
        <w:rPr>
          <w:color w:val="444444"/>
          <w:spacing w:val="2"/>
          <w:shd w:val="clear" w:color="auto" w:fill="FFFFFF"/>
        </w:rPr>
        <w:t>.</w:t>
      </w:r>
    </w:p>
    <w:p w14:paraId="3D2FD037" w14:textId="45F48C5D" w:rsidR="007A7540" w:rsidRDefault="007A7540" w:rsidP="00AB4CB8">
      <w:pPr>
        <w:spacing w:line="276" w:lineRule="auto"/>
        <w:ind w:firstLine="709"/>
        <w:jc w:val="both"/>
        <w:rPr>
          <w:szCs w:val="24"/>
        </w:rPr>
      </w:pPr>
      <w:bookmarkStart w:id="27" w:name="_Hlk67399023"/>
      <w:r>
        <w:rPr>
          <w:szCs w:val="24"/>
        </w:rPr>
        <w:t>Siekiant</w:t>
      </w:r>
      <w:r w:rsidRPr="000A1528">
        <w:rPr>
          <w:szCs w:val="24"/>
        </w:rPr>
        <w:t xml:space="preserve"> koordinuot</w:t>
      </w:r>
      <w:r>
        <w:rPr>
          <w:szCs w:val="24"/>
        </w:rPr>
        <w:t>o</w:t>
      </w:r>
      <w:r w:rsidRPr="000A1528">
        <w:rPr>
          <w:szCs w:val="24"/>
        </w:rPr>
        <w:t xml:space="preserve"> ir efektyv</w:t>
      </w:r>
      <w:r>
        <w:rPr>
          <w:szCs w:val="24"/>
        </w:rPr>
        <w:t>aus</w:t>
      </w:r>
      <w:r w:rsidRPr="008341D1">
        <w:rPr>
          <w:szCs w:val="24"/>
        </w:rPr>
        <w:t xml:space="preserve"> </w:t>
      </w:r>
      <w:r>
        <w:rPr>
          <w:szCs w:val="24"/>
        </w:rPr>
        <w:t xml:space="preserve">valstybės institucijų ir įstaigų </w:t>
      </w:r>
      <w:r w:rsidRPr="000A1528">
        <w:rPr>
          <w:szCs w:val="24"/>
        </w:rPr>
        <w:t>pasirengim</w:t>
      </w:r>
      <w:r>
        <w:rPr>
          <w:szCs w:val="24"/>
        </w:rPr>
        <w:t>o</w:t>
      </w:r>
      <w:r w:rsidRPr="000A1528">
        <w:rPr>
          <w:szCs w:val="24"/>
        </w:rPr>
        <w:t xml:space="preserve"> kovoti su hibridinėmis grėsmėmis ir valdyti ekstremaliąsias situacijas, </w:t>
      </w:r>
      <w:r>
        <w:rPr>
          <w:szCs w:val="24"/>
        </w:rPr>
        <w:t xml:space="preserve">laiku nustatyti </w:t>
      </w:r>
      <w:r w:rsidRPr="000A1528">
        <w:rPr>
          <w:szCs w:val="24"/>
        </w:rPr>
        <w:t>grėsm</w:t>
      </w:r>
      <w:r>
        <w:rPr>
          <w:szCs w:val="24"/>
        </w:rPr>
        <w:t>es</w:t>
      </w:r>
      <w:r w:rsidRPr="000A1528">
        <w:rPr>
          <w:szCs w:val="24"/>
        </w:rPr>
        <w:t xml:space="preserve"> ir pavoj</w:t>
      </w:r>
      <w:r>
        <w:rPr>
          <w:szCs w:val="24"/>
        </w:rPr>
        <w:t>us</w:t>
      </w:r>
      <w:r w:rsidRPr="00AF4D95">
        <w:rPr>
          <w:szCs w:val="24"/>
        </w:rPr>
        <w:t xml:space="preserve"> Lietuvos Respublikos nacionaliniam saugumui</w:t>
      </w:r>
      <w:r w:rsidRPr="000A1528">
        <w:rPr>
          <w:szCs w:val="24"/>
        </w:rPr>
        <w:t xml:space="preserve">, </w:t>
      </w:r>
      <w:r>
        <w:rPr>
          <w:szCs w:val="24"/>
        </w:rPr>
        <w:t>juos vertinti</w:t>
      </w:r>
      <w:r w:rsidRPr="000A1528">
        <w:rPr>
          <w:szCs w:val="24"/>
        </w:rPr>
        <w:t>, greit</w:t>
      </w:r>
      <w:r>
        <w:rPr>
          <w:szCs w:val="24"/>
        </w:rPr>
        <w:t>ai</w:t>
      </w:r>
      <w:r w:rsidRPr="000A1528">
        <w:rPr>
          <w:szCs w:val="24"/>
        </w:rPr>
        <w:t xml:space="preserve"> reag</w:t>
      </w:r>
      <w:r>
        <w:rPr>
          <w:szCs w:val="24"/>
        </w:rPr>
        <w:t>uoti</w:t>
      </w:r>
      <w:r w:rsidRPr="000A1528">
        <w:rPr>
          <w:szCs w:val="24"/>
        </w:rPr>
        <w:t xml:space="preserve"> ir</w:t>
      </w:r>
      <w:r>
        <w:rPr>
          <w:szCs w:val="24"/>
        </w:rPr>
        <w:t xml:space="preserve"> likviduoti</w:t>
      </w:r>
      <w:r w:rsidRPr="000A1528">
        <w:rPr>
          <w:szCs w:val="24"/>
        </w:rPr>
        <w:t xml:space="preserve"> padarini</w:t>
      </w:r>
      <w:r>
        <w:rPr>
          <w:szCs w:val="24"/>
        </w:rPr>
        <w:t>us</w:t>
      </w:r>
      <w:r w:rsidRPr="00AF4D95">
        <w:rPr>
          <w:szCs w:val="24"/>
        </w:rPr>
        <w:t xml:space="preserve">, </w:t>
      </w:r>
      <w:r w:rsidRPr="000A1528">
        <w:rPr>
          <w:szCs w:val="24"/>
        </w:rPr>
        <w:t>2021 m.</w:t>
      </w:r>
      <w:r w:rsidRPr="00AF4D95">
        <w:t xml:space="preserve"> </w:t>
      </w:r>
      <w:r w:rsidRPr="000A1528">
        <w:rPr>
          <w:szCs w:val="24"/>
        </w:rPr>
        <w:t xml:space="preserve">bus sukurtas nacionalinio lygmens </w:t>
      </w:r>
      <w:r w:rsidR="00514CEE">
        <w:rPr>
          <w:szCs w:val="24"/>
        </w:rPr>
        <w:t>integruoto</w:t>
      </w:r>
      <w:r w:rsidRPr="000A1528">
        <w:rPr>
          <w:szCs w:val="24"/>
        </w:rPr>
        <w:t xml:space="preserve"> krizių ir  ekstremaliųjų situacijų valdymo centro steigimo modelis</w:t>
      </w:r>
      <w:r w:rsidRPr="00AF4D95">
        <w:rPr>
          <w:szCs w:val="24"/>
        </w:rPr>
        <w:t>,</w:t>
      </w:r>
      <w:r>
        <w:rPr>
          <w:szCs w:val="24"/>
        </w:rPr>
        <w:t xml:space="preserve"> parengtas šio centro steigimo veiksmų planas ir pradėti rengti centrui steigti ir įgalinti būtini teisės aktų pakeitimai. C</w:t>
      </w:r>
      <w:r w:rsidRPr="00E26789">
        <w:rPr>
          <w:szCs w:val="24"/>
        </w:rPr>
        <w:t>entr</w:t>
      </w:r>
      <w:r>
        <w:rPr>
          <w:szCs w:val="24"/>
        </w:rPr>
        <w:t>as</w:t>
      </w:r>
      <w:r w:rsidRPr="00E26789">
        <w:rPr>
          <w:szCs w:val="24"/>
        </w:rPr>
        <w:t xml:space="preserve"> </w:t>
      </w:r>
      <w:r>
        <w:rPr>
          <w:szCs w:val="24"/>
        </w:rPr>
        <w:t>ap</w:t>
      </w:r>
      <w:r w:rsidRPr="000D7BE8">
        <w:rPr>
          <w:szCs w:val="24"/>
        </w:rPr>
        <w:t>jung</w:t>
      </w:r>
      <w:r>
        <w:rPr>
          <w:szCs w:val="24"/>
        </w:rPr>
        <w:t>s</w:t>
      </w:r>
      <w:r w:rsidRPr="000D7BE8">
        <w:rPr>
          <w:szCs w:val="24"/>
        </w:rPr>
        <w:t xml:space="preserve"> </w:t>
      </w:r>
      <w:r>
        <w:rPr>
          <w:szCs w:val="24"/>
        </w:rPr>
        <w:t>šiuo metu atskirus g</w:t>
      </w:r>
      <w:r w:rsidRPr="000D7BE8">
        <w:rPr>
          <w:szCs w:val="24"/>
        </w:rPr>
        <w:t>rėsmių stebėjimo, vertinimo</w:t>
      </w:r>
      <w:r>
        <w:rPr>
          <w:szCs w:val="24"/>
        </w:rPr>
        <w:t>,</w:t>
      </w:r>
      <w:r w:rsidRPr="000D7BE8">
        <w:rPr>
          <w:szCs w:val="24"/>
        </w:rPr>
        <w:t xml:space="preserve"> perspėjimo apie grėsmes</w:t>
      </w:r>
      <w:r w:rsidR="00514CEE">
        <w:rPr>
          <w:szCs w:val="24"/>
        </w:rPr>
        <w:t>, pasirengimo grėsmėms</w:t>
      </w:r>
      <w:r w:rsidRPr="000D7BE8">
        <w:rPr>
          <w:szCs w:val="24"/>
        </w:rPr>
        <w:t xml:space="preserve"> ir ekstremaliųjų situacijų valdymo mechanizmus</w:t>
      </w:r>
      <w:r>
        <w:rPr>
          <w:szCs w:val="24"/>
        </w:rPr>
        <w:t xml:space="preserve">. </w:t>
      </w:r>
    </w:p>
    <w:bookmarkEnd w:id="27"/>
    <w:p w14:paraId="6E53B54E" w14:textId="51B9A2C7" w:rsidR="007A7540" w:rsidRPr="00EB6BE0" w:rsidRDefault="007A7540" w:rsidP="00AB4CB8">
      <w:pPr>
        <w:spacing w:line="276" w:lineRule="auto"/>
        <w:ind w:firstLine="709"/>
        <w:jc w:val="both"/>
        <w:rPr>
          <w:szCs w:val="24"/>
        </w:rPr>
      </w:pPr>
      <w:r w:rsidRPr="000A1528">
        <w:rPr>
          <w:szCs w:val="24"/>
        </w:rPr>
        <w:t>Stiprinant šalies pasirengimą galimai branduolinei ar radiologinei avarijai Baltarusijos atominėje elektrinėje,</w:t>
      </w:r>
      <w:r w:rsidRPr="00AF4D95">
        <w:rPr>
          <w:szCs w:val="24"/>
        </w:rPr>
        <w:t xml:space="preserve"> </w:t>
      </w:r>
      <w:r w:rsidRPr="000A1528">
        <w:rPr>
          <w:szCs w:val="24"/>
        </w:rPr>
        <w:t xml:space="preserve">2021 m. bus </w:t>
      </w:r>
      <w:r w:rsidR="00514CEE">
        <w:rPr>
          <w:szCs w:val="24"/>
        </w:rPr>
        <w:t>pradėtos rengti</w:t>
      </w:r>
      <w:r w:rsidR="00514CEE" w:rsidRPr="000A1528">
        <w:rPr>
          <w:szCs w:val="24"/>
        </w:rPr>
        <w:t xml:space="preserve"> </w:t>
      </w:r>
      <w:r w:rsidRPr="000A1528">
        <w:rPr>
          <w:szCs w:val="24"/>
        </w:rPr>
        <w:t>kompleksinės nacionalinio lygio pratybos</w:t>
      </w:r>
      <w:r w:rsidRPr="00AF4D95">
        <w:rPr>
          <w:szCs w:val="24"/>
        </w:rPr>
        <w:t>, kurio</w:t>
      </w:r>
      <w:r>
        <w:rPr>
          <w:szCs w:val="24"/>
        </w:rPr>
        <w:t>se</w:t>
      </w:r>
      <w:r w:rsidRPr="00FA4D77">
        <w:rPr>
          <w:szCs w:val="24"/>
        </w:rPr>
        <w:t xml:space="preserve"> bus vertinamas institucijų ir įstaigų pasirengimas, ypatingą dėmesį skiriant valstybės ir savivaldybių institucijų sąveikai, </w:t>
      </w:r>
      <w:r w:rsidRPr="000A1528">
        <w:rPr>
          <w:szCs w:val="24"/>
        </w:rPr>
        <w:t>tęsiamas gyventojų perspėjimo ir informavimo apie gresiančią ar susidariusią ekstremaliąją situaciją sistemos modernizavimas</w:t>
      </w:r>
      <w:r w:rsidRPr="00AF4D95">
        <w:rPr>
          <w:szCs w:val="24"/>
        </w:rPr>
        <w:t xml:space="preserve">, </w:t>
      </w:r>
      <w:r w:rsidRPr="000A1528">
        <w:rPr>
          <w:szCs w:val="24"/>
        </w:rPr>
        <w:t>plečiama ir tobulinama infrastruktūra, skirta fonin</w:t>
      </w:r>
      <w:r>
        <w:rPr>
          <w:szCs w:val="24"/>
        </w:rPr>
        <w:t>ei</w:t>
      </w:r>
      <w:r w:rsidRPr="000A1528">
        <w:rPr>
          <w:szCs w:val="24"/>
        </w:rPr>
        <w:t xml:space="preserve"> spinduliuot</w:t>
      </w:r>
      <w:r>
        <w:rPr>
          <w:szCs w:val="24"/>
        </w:rPr>
        <w:t>ei</w:t>
      </w:r>
      <w:r w:rsidRPr="000A1528">
        <w:rPr>
          <w:szCs w:val="24"/>
        </w:rPr>
        <w:t xml:space="preserve"> stebė</w:t>
      </w:r>
      <w:r>
        <w:rPr>
          <w:szCs w:val="24"/>
        </w:rPr>
        <w:t>t</w:t>
      </w:r>
      <w:r w:rsidRPr="000A1528">
        <w:rPr>
          <w:szCs w:val="24"/>
        </w:rPr>
        <w:t>i ir perspė</w:t>
      </w:r>
      <w:r>
        <w:rPr>
          <w:szCs w:val="24"/>
        </w:rPr>
        <w:t>t</w:t>
      </w:r>
      <w:r w:rsidRPr="000A1528">
        <w:rPr>
          <w:szCs w:val="24"/>
        </w:rPr>
        <w:t>i</w:t>
      </w:r>
      <w:r w:rsidRPr="00AF4D95">
        <w:rPr>
          <w:szCs w:val="24"/>
        </w:rPr>
        <w:t xml:space="preserve">. </w:t>
      </w:r>
      <w:r w:rsidR="00514CEE">
        <w:rPr>
          <w:szCs w:val="24"/>
        </w:rPr>
        <w:t xml:space="preserve">Atsižvelgiant į nuolatinę </w:t>
      </w:r>
      <w:r w:rsidR="00514CEE" w:rsidRPr="000A1528">
        <w:rPr>
          <w:szCs w:val="24"/>
        </w:rPr>
        <w:t>Baltarusijos atominė</w:t>
      </w:r>
      <w:r w:rsidR="00514CEE">
        <w:rPr>
          <w:szCs w:val="24"/>
        </w:rPr>
        <w:t>s elektrinės eksploatavimo keliamą grėsmę, aktualus periodinis ir nuolatinis pratybų rengimas, siekiant palaikyti tinkamą parengtį ir didinti valstybės ir savivaldybių pasirengimo lygį.</w:t>
      </w:r>
    </w:p>
    <w:p w14:paraId="1C5F5DAF" w14:textId="77777777" w:rsidR="007A7540" w:rsidRPr="001F7D8D" w:rsidRDefault="007A7540" w:rsidP="00AB4CB8">
      <w:pPr>
        <w:spacing w:line="276" w:lineRule="auto"/>
        <w:ind w:firstLine="709"/>
        <w:jc w:val="both"/>
        <w:rPr>
          <w:szCs w:val="24"/>
        </w:rPr>
      </w:pPr>
      <w:r w:rsidRPr="004D075A">
        <w:rPr>
          <w:szCs w:val="24"/>
        </w:rPr>
        <w:t>Energetinio saugumo srityje</w:t>
      </w:r>
      <w:r w:rsidRPr="00ED0568">
        <w:rPr>
          <w:szCs w:val="24"/>
        </w:rPr>
        <w:t>,</w:t>
      </w:r>
      <w:r w:rsidRPr="001F7D8D">
        <w:rPr>
          <w:szCs w:val="24"/>
        </w:rPr>
        <w:t xml:space="preserve"> siekiant tinkam</w:t>
      </w:r>
      <w:r>
        <w:rPr>
          <w:szCs w:val="24"/>
        </w:rPr>
        <w:t>ai</w:t>
      </w:r>
      <w:r w:rsidRPr="001F7D8D">
        <w:rPr>
          <w:szCs w:val="24"/>
        </w:rPr>
        <w:t xml:space="preserve"> pasireng</w:t>
      </w:r>
      <w:r>
        <w:rPr>
          <w:szCs w:val="24"/>
        </w:rPr>
        <w:t>ti</w:t>
      </w:r>
      <w:r w:rsidRPr="001F7D8D">
        <w:rPr>
          <w:szCs w:val="24"/>
        </w:rPr>
        <w:t xml:space="preserve"> Lietuvos elektros energetikos sistemos sinchronizavimui su kontinentinės Europos tinklais ir </w:t>
      </w:r>
      <w:r>
        <w:rPr>
          <w:szCs w:val="24"/>
        </w:rPr>
        <w:t xml:space="preserve"> iki to užtikrinti </w:t>
      </w:r>
      <w:r w:rsidRPr="001F7D8D">
        <w:rPr>
          <w:szCs w:val="24"/>
        </w:rPr>
        <w:t xml:space="preserve">Lietuvos elektros energetikos sistemos patikimą veikimą, </w:t>
      </w:r>
      <w:r w:rsidRPr="000A1528">
        <w:rPr>
          <w:szCs w:val="24"/>
        </w:rPr>
        <w:t>iki 2021 m. pabaigos numatoma įgyvendinti jungties „</w:t>
      </w:r>
      <w:proofErr w:type="spellStart"/>
      <w:r w:rsidRPr="000A1528">
        <w:rPr>
          <w:szCs w:val="24"/>
        </w:rPr>
        <w:t>LitPol</w:t>
      </w:r>
      <w:proofErr w:type="spellEnd"/>
      <w:r w:rsidRPr="000A1528">
        <w:rPr>
          <w:szCs w:val="24"/>
        </w:rPr>
        <w:t xml:space="preserve"> Link“  išplėtimo darbus</w:t>
      </w:r>
      <w:r w:rsidRPr="001F7D8D">
        <w:rPr>
          <w:szCs w:val="24"/>
        </w:rPr>
        <w:t xml:space="preserve"> ir atlikti Lietuvos Respublikos elektros energetikos sistemos avarinio darbo su Lenkijos elektros energetikos sistema sinchroniniu režimu bandymą. Taip pat, siekiant</w:t>
      </w:r>
      <w:r>
        <w:rPr>
          <w:szCs w:val="24"/>
        </w:rPr>
        <w:t>,</w:t>
      </w:r>
      <w:r w:rsidRPr="001F7D8D">
        <w:rPr>
          <w:szCs w:val="24"/>
        </w:rPr>
        <w:t xml:space="preserve"> kad į Lietuvos elektros energijos rinką nepatektų elektra iš Baltarusijos, Lietuvos infrastruktūra negalėtų būti naudojama trečiųjų šalių elektros patekimui į Baltijos ir kitų ES valstybių narių elektros rinką, </w:t>
      </w:r>
      <w:r w:rsidRPr="000A1528">
        <w:rPr>
          <w:szCs w:val="24"/>
        </w:rPr>
        <w:t>bus sukurtas elektros energijos, patenkančios iš trečiųjų šalių, prekybos ir pralaidumo nustatymo teisinis reguliavimas</w:t>
      </w:r>
      <w:r w:rsidRPr="00AF4D95">
        <w:rPr>
          <w:szCs w:val="24"/>
        </w:rPr>
        <w:t>.</w:t>
      </w:r>
    </w:p>
    <w:p w14:paraId="1199CF3B" w14:textId="77777777" w:rsidR="007A7540" w:rsidRPr="001F7D8D" w:rsidRDefault="007A7540" w:rsidP="00AB4CB8">
      <w:pPr>
        <w:spacing w:line="276" w:lineRule="auto"/>
        <w:ind w:firstLine="709"/>
        <w:jc w:val="both"/>
        <w:rPr>
          <w:szCs w:val="24"/>
        </w:rPr>
      </w:pPr>
      <w:r w:rsidRPr="000A1528">
        <w:rPr>
          <w:szCs w:val="24"/>
        </w:rPr>
        <w:t>Siekiant užtikrinti kritinės infrastruktūros atsparumą</w:t>
      </w:r>
      <w:r>
        <w:rPr>
          <w:szCs w:val="24"/>
        </w:rPr>
        <w:t xml:space="preserve">, numatoma </w:t>
      </w:r>
      <w:r w:rsidRPr="001F7D8D">
        <w:rPr>
          <w:szCs w:val="24"/>
        </w:rPr>
        <w:t>parengti</w:t>
      </w:r>
      <w:r>
        <w:rPr>
          <w:szCs w:val="24"/>
        </w:rPr>
        <w:t xml:space="preserve"> norminių aktų </w:t>
      </w:r>
      <w:r w:rsidRPr="001F7D8D">
        <w:rPr>
          <w:szCs w:val="24"/>
        </w:rPr>
        <w:t>p</w:t>
      </w:r>
      <w:r>
        <w:rPr>
          <w:szCs w:val="24"/>
        </w:rPr>
        <w:t xml:space="preserve">akeitimus, kuriais būtų nustatyta, jog </w:t>
      </w:r>
      <w:r w:rsidRPr="001F7D8D">
        <w:rPr>
          <w:szCs w:val="24"/>
        </w:rPr>
        <w:t>kritinėje infrastruktūroje (įskaitant 5G) būtų naudojama tik patikimų gamintojų įranga</w:t>
      </w:r>
      <w:r>
        <w:rPr>
          <w:szCs w:val="24"/>
        </w:rPr>
        <w:t>.</w:t>
      </w:r>
    </w:p>
    <w:p w14:paraId="54AFB6F1" w14:textId="77777777" w:rsidR="007A7540" w:rsidRDefault="007A7540" w:rsidP="00AB4CB8">
      <w:pPr>
        <w:spacing w:line="276" w:lineRule="auto"/>
        <w:ind w:firstLine="709"/>
        <w:rPr>
          <w:szCs w:val="24"/>
        </w:rPr>
      </w:pPr>
    </w:p>
    <w:p w14:paraId="740A1157" w14:textId="77777777" w:rsidR="007A7540" w:rsidRPr="00251DAB" w:rsidRDefault="007A7540" w:rsidP="00AB4CB8">
      <w:pPr>
        <w:spacing w:line="276" w:lineRule="auto"/>
        <w:ind w:firstLine="709"/>
        <w:rPr>
          <w:color w:val="17365D" w:themeColor="text2" w:themeShade="BF"/>
          <w:szCs w:val="24"/>
        </w:rPr>
      </w:pPr>
      <w:r w:rsidRPr="00251DAB">
        <w:rPr>
          <w:b/>
          <w:bCs/>
          <w:color w:val="17365D" w:themeColor="text2" w:themeShade="BF"/>
          <w:szCs w:val="24"/>
        </w:rPr>
        <w:t>Užsienio ir ES politika</w:t>
      </w:r>
    </w:p>
    <w:p w14:paraId="414835FC" w14:textId="77777777" w:rsidR="007A7540" w:rsidRPr="00F43702" w:rsidRDefault="007A7540" w:rsidP="00AB4CB8">
      <w:pPr>
        <w:spacing w:line="276" w:lineRule="auto"/>
        <w:ind w:firstLine="709"/>
        <w:jc w:val="both"/>
        <w:rPr>
          <w:szCs w:val="24"/>
        </w:rPr>
      </w:pPr>
      <w:r>
        <w:rPr>
          <w:szCs w:val="24"/>
        </w:rPr>
        <w:t xml:space="preserve">Vyriausybė išlaikys Lietuvos </w:t>
      </w:r>
      <w:r w:rsidRPr="000A1528">
        <w:rPr>
          <w:szCs w:val="24"/>
        </w:rPr>
        <w:t>užsienio</w:t>
      </w:r>
      <w:r>
        <w:rPr>
          <w:szCs w:val="24"/>
        </w:rPr>
        <w:t xml:space="preserve"> politikos</w:t>
      </w:r>
      <w:r w:rsidRPr="000A1528">
        <w:rPr>
          <w:szCs w:val="24"/>
        </w:rPr>
        <w:t xml:space="preserve"> ir ES politik</w:t>
      </w:r>
      <w:r>
        <w:rPr>
          <w:szCs w:val="24"/>
        </w:rPr>
        <w:t>os</w:t>
      </w:r>
      <w:r w:rsidRPr="000A1528">
        <w:rPr>
          <w:szCs w:val="24"/>
        </w:rPr>
        <w:t xml:space="preserve"> tęstinumą</w:t>
      </w:r>
      <w:r w:rsidRPr="00AF4D95">
        <w:rPr>
          <w:szCs w:val="24"/>
        </w:rPr>
        <w:t xml:space="preserve"> ir </w:t>
      </w:r>
      <w:r w:rsidRPr="000A1528">
        <w:rPr>
          <w:szCs w:val="24"/>
        </w:rPr>
        <w:t>stiprins strategines partnerystes</w:t>
      </w:r>
      <w:r w:rsidRPr="00F43702">
        <w:rPr>
          <w:szCs w:val="24"/>
        </w:rPr>
        <w:t xml:space="preserve"> su JAV, Prancūzija, Vokietija, Lenkija ir Jungtine Karalyste. </w:t>
      </w:r>
      <w:r>
        <w:rPr>
          <w:szCs w:val="24"/>
        </w:rPr>
        <w:t>Bus s</w:t>
      </w:r>
      <w:r w:rsidRPr="00F43702">
        <w:rPr>
          <w:szCs w:val="24"/>
        </w:rPr>
        <w:t>iek</w:t>
      </w:r>
      <w:r>
        <w:rPr>
          <w:szCs w:val="24"/>
        </w:rPr>
        <w:t xml:space="preserve">iama </w:t>
      </w:r>
      <w:r w:rsidRPr="000A1528">
        <w:rPr>
          <w:szCs w:val="24"/>
        </w:rPr>
        <w:t>didinti Lietuvos įtaką ES ir NATO</w:t>
      </w:r>
      <w:r>
        <w:rPr>
          <w:szCs w:val="24"/>
        </w:rPr>
        <w:t xml:space="preserve"> ir </w:t>
      </w:r>
      <w:r w:rsidRPr="00F43702">
        <w:rPr>
          <w:szCs w:val="24"/>
        </w:rPr>
        <w:t>per šios Vyriausybės kadenciją</w:t>
      </w:r>
      <w:r>
        <w:rPr>
          <w:szCs w:val="24"/>
        </w:rPr>
        <w:t xml:space="preserve"> su</w:t>
      </w:r>
      <w:r w:rsidRPr="00F43702">
        <w:rPr>
          <w:szCs w:val="24"/>
        </w:rPr>
        <w:t xml:space="preserve">organizuoti NATO viršūnių susitikimą Lietuvoje. Daugiašaliuose </w:t>
      </w:r>
      <w:r>
        <w:rPr>
          <w:szCs w:val="24"/>
        </w:rPr>
        <w:t>susitikimuose</w:t>
      </w:r>
      <w:r w:rsidRPr="00F43702">
        <w:rPr>
          <w:szCs w:val="24"/>
        </w:rPr>
        <w:t xml:space="preserve"> </w:t>
      </w:r>
      <w:r>
        <w:rPr>
          <w:szCs w:val="24"/>
        </w:rPr>
        <w:t xml:space="preserve">bus </w:t>
      </w:r>
      <w:r w:rsidRPr="000A1528">
        <w:rPr>
          <w:szCs w:val="24"/>
        </w:rPr>
        <w:t>akcentuojama žmogaus teisių svarba ir demokratijos sklaida</w:t>
      </w:r>
      <w:r w:rsidRPr="00F43702">
        <w:rPr>
          <w:szCs w:val="24"/>
        </w:rPr>
        <w:t xml:space="preserve">, ypač Baltarusijoje ir Rusijoje. Išskirtinį dėmesį </w:t>
      </w:r>
      <w:r>
        <w:rPr>
          <w:szCs w:val="24"/>
        </w:rPr>
        <w:t xml:space="preserve">Vyriausybė </w:t>
      </w:r>
      <w:r w:rsidRPr="00F43702">
        <w:rPr>
          <w:szCs w:val="24"/>
        </w:rPr>
        <w:t>skirs</w:t>
      </w:r>
      <w:r>
        <w:rPr>
          <w:szCs w:val="24"/>
        </w:rPr>
        <w:t xml:space="preserve"> </w:t>
      </w:r>
      <w:r w:rsidRPr="00F43702">
        <w:rPr>
          <w:szCs w:val="24"/>
        </w:rPr>
        <w:t>Rytų Partnerystės šalims</w:t>
      </w:r>
      <w:r>
        <w:rPr>
          <w:szCs w:val="24"/>
        </w:rPr>
        <w:t xml:space="preserve">. Europos Sąjungoje Vyriausybė </w:t>
      </w:r>
      <w:r w:rsidRPr="00F43702">
        <w:rPr>
          <w:szCs w:val="24"/>
        </w:rPr>
        <w:t xml:space="preserve">sieks </w:t>
      </w:r>
      <w:r w:rsidRPr="000A1528">
        <w:rPr>
          <w:szCs w:val="24"/>
        </w:rPr>
        <w:t>grąžinti politinę ambiciją ES Rytų Partnerystės politikai</w:t>
      </w:r>
      <w:r w:rsidRPr="00F43702">
        <w:rPr>
          <w:szCs w:val="24"/>
        </w:rPr>
        <w:t>, ypač r</w:t>
      </w:r>
      <w:r>
        <w:rPr>
          <w:szCs w:val="24"/>
        </w:rPr>
        <w:t>engiantis</w:t>
      </w:r>
      <w:r w:rsidRPr="00F43702">
        <w:rPr>
          <w:szCs w:val="24"/>
        </w:rPr>
        <w:t xml:space="preserve"> viršūnių susitikimui  2021 m.</w:t>
      </w:r>
      <w:r w:rsidRPr="00717389">
        <w:rPr>
          <w:szCs w:val="24"/>
        </w:rPr>
        <w:t xml:space="preserve"> </w:t>
      </w:r>
      <w:r w:rsidRPr="00F43702">
        <w:rPr>
          <w:szCs w:val="24"/>
        </w:rPr>
        <w:t>antr</w:t>
      </w:r>
      <w:r>
        <w:rPr>
          <w:szCs w:val="24"/>
        </w:rPr>
        <w:t>ąjį</w:t>
      </w:r>
      <w:r w:rsidRPr="00F43702">
        <w:rPr>
          <w:szCs w:val="24"/>
        </w:rPr>
        <w:t xml:space="preserve"> pus</w:t>
      </w:r>
      <w:r>
        <w:rPr>
          <w:szCs w:val="24"/>
        </w:rPr>
        <w:t xml:space="preserve">metį. Vyriausybė </w:t>
      </w:r>
      <w:r w:rsidRPr="00F43702">
        <w:rPr>
          <w:szCs w:val="24"/>
        </w:rPr>
        <w:t>rem</w:t>
      </w:r>
      <w:r>
        <w:rPr>
          <w:szCs w:val="24"/>
        </w:rPr>
        <w:t>s</w:t>
      </w:r>
      <w:r w:rsidRPr="00F43702">
        <w:rPr>
          <w:szCs w:val="24"/>
        </w:rPr>
        <w:t xml:space="preserve"> trijų </w:t>
      </w:r>
      <w:r>
        <w:rPr>
          <w:szCs w:val="24"/>
        </w:rPr>
        <w:t xml:space="preserve">ES </w:t>
      </w:r>
      <w:r w:rsidRPr="00F43702">
        <w:rPr>
          <w:szCs w:val="24"/>
        </w:rPr>
        <w:t xml:space="preserve">asocijuotų narių – Ukrainos, </w:t>
      </w:r>
      <w:proofErr w:type="spellStart"/>
      <w:r w:rsidRPr="00F43702">
        <w:rPr>
          <w:szCs w:val="24"/>
        </w:rPr>
        <w:t>Sakartvelo</w:t>
      </w:r>
      <w:proofErr w:type="spellEnd"/>
      <w:r w:rsidRPr="00F43702">
        <w:rPr>
          <w:szCs w:val="24"/>
        </w:rPr>
        <w:t xml:space="preserve"> ir Moldovos – europin</w:t>
      </w:r>
      <w:r>
        <w:rPr>
          <w:szCs w:val="24"/>
        </w:rPr>
        <w:t>ė</w:t>
      </w:r>
      <w:r w:rsidRPr="00F43702">
        <w:rPr>
          <w:szCs w:val="24"/>
        </w:rPr>
        <w:t xml:space="preserve">s ir euroatlantinės integracijos </w:t>
      </w:r>
      <w:r>
        <w:rPr>
          <w:szCs w:val="24"/>
        </w:rPr>
        <w:t>siekius</w:t>
      </w:r>
      <w:r w:rsidRPr="00F43702">
        <w:rPr>
          <w:szCs w:val="24"/>
        </w:rPr>
        <w:t xml:space="preserve">. </w:t>
      </w:r>
      <w:r>
        <w:rPr>
          <w:szCs w:val="24"/>
        </w:rPr>
        <w:t xml:space="preserve">Bus stiprinamos </w:t>
      </w:r>
      <w:r w:rsidRPr="00F43702">
        <w:rPr>
          <w:szCs w:val="24"/>
        </w:rPr>
        <w:t xml:space="preserve">vystomojo bendradarbiavimo </w:t>
      </w:r>
      <w:r>
        <w:rPr>
          <w:szCs w:val="24"/>
        </w:rPr>
        <w:t>priemonės</w:t>
      </w:r>
      <w:r w:rsidRPr="00F43702">
        <w:rPr>
          <w:szCs w:val="24"/>
        </w:rPr>
        <w:t xml:space="preserve">. 2021 m. liepą Vilniuje vyks Ukrainos reformų konferencija. </w:t>
      </w:r>
    </w:p>
    <w:p w14:paraId="0A4BD64C" w14:textId="77777777" w:rsidR="007A7540" w:rsidRDefault="007A7540" w:rsidP="00AB4CB8">
      <w:pPr>
        <w:spacing w:line="276" w:lineRule="auto"/>
        <w:ind w:firstLine="709"/>
        <w:jc w:val="both"/>
        <w:rPr>
          <w:color w:val="000000"/>
        </w:rPr>
      </w:pPr>
      <w:r>
        <w:rPr>
          <w:szCs w:val="24"/>
        </w:rPr>
        <w:t>Vyriausybė sieks s</w:t>
      </w:r>
      <w:r w:rsidRPr="00F43702">
        <w:rPr>
          <w:szCs w:val="24"/>
        </w:rPr>
        <w:t>trateginės diversifikacijos</w:t>
      </w:r>
      <w:r>
        <w:rPr>
          <w:szCs w:val="24"/>
        </w:rPr>
        <w:t xml:space="preserve">, todėl bus </w:t>
      </w:r>
      <w:r w:rsidRPr="000A1528">
        <w:rPr>
          <w:szCs w:val="24"/>
        </w:rPr>
        <w:t>stiprinamas Lietuvos užsienio politikos vektorius į Pietryčių Aziją</w:t>
      </w:r>
      <w:r>
        <w:rPr>
          <w:szCs w:val="24"/>
        </w:rPr>
        <w:t xml:space="preserve">: </w:t>
      </w:r>
      <w:r w:rsidRPr="00F43702">
        <w:rPr>
          <w:szCs w:val="24"/>
        </w:rPr>
        <w:t>planuojam</w:t>
      </w:r>
      <w:r>
        <w:rPr>
          <w:szCs w:val="24"/>
        </w:rPr>
        <w:t xml:space="preserve">a </w:t>
      </w:r>
      <w:r w:rsidRPr="00F43702">
        <w:rPr>
          <w:szCs w:val="24"/>
        </w:rPr>
        <w:t>atidaryti ambasadą Pietų Korėjoje, gilinti bendradarbiavimą su Japonija, aktyviau veikti Indijos</w:t>
      </w:r>
      <w:r>
        <w:rPr>
          <w:szCs w:val="24"/>
        </w:rPr>
        <w:t xml:space="preserve"> ir</w:t>
      </w:r>
      <w:r w:rsidRPr="00F43702">
        <w:rPr>
          <w:szCs w:val="24"/>
        </w:rPr>
        <w:t xml:space="preserve"> Ramiojo vandenyno regione. </w:t>
      </w:r>
      <w:bookmarkEnd w:id="24"/>
      <w:r>
        <w:rPr>
          <w:color w:val="000000"/>
          <w:szCs w:val="24"/>
        </w:rPr>
        <w:t>Bus </w:t>
      </w:r>
      <w:r w:rsidRPr="000A1528">
        <w:rPr>
          <w:color w:val="000000"/>
          <w:szCs w:val="24"/>
        </w:rPr>
        <w:t>stiprinama ekonominė diplomatija</w:t>
      </w:r>
      <w:r w:rsidRPr="00AF4D95">
        <w:rPr>
          <w:color w:val="000000"/>
          <w:szCs w:val="24"/>
        </w:rPr>
        <w:t> ir </w:t>
      </w:r>
      <w:r w:rsidRPr="000A1528">
        <w:rPr>
          <w:color w:val="000000"/>
          <w:szCs w:val="24"/>
        </w:rPr>
        <w:t>diasporos politika</w:t>
      </w:r>
      <w:r w:rsidRPr="00AF4D95">
        <w:rPr>
          <w:color w:val="000000"/>
          <w:szCs w:val="24"/>
        </w:rPr>
        <w:t>, </w:t>
      </w:r>
      <w:r w:rsidRPr="000A1528">
        <w:rPr>
          <w:color w:val="000000"/>
          <w:szCs w:val="24"/>
        </w:rPr>
        <w:t>lengvinamos</w:t>
      </w:r>
      <w:r>
        <w:rPr>
          <w:color w:val="000000"/>
          <w:szCs w:val="24"/>
        </w:rPr>
        <w:t> sąlygos Lietuvos Respublikos  piliečiams grįžti į Lietuvą</w:t>
      </w:r>
      <w:r w:rsidRPr="000A1528">
        <w:rPr>
          <w:color w:val="000000"/>
          <w:szCs w:val="24"/>
        </w:rPr>
        <w:t>.</w:t>
      </w:r>
      <w:r>
        <w:rPr>
          <w:b/>
          <w:bCs/>
          <w:color w:val="000000"/>
          <w:szCs w:val="24"/>
        </w:rPr>
        <w:t xml:space="preserve"> </w:t>
      </w:r>
      <w:r w:rsidRPr="000A1528">
        <w:rPr>
          <w:color w:val="000000"/>
          <w:szCs w:val="24"/>
        </w:rPr>
        <w:t>Kultūrinės diplomatijos</w:t>
      </w:r>
      <w:r>
        <w:rPr>
          <w:color w:val="000000"/>
          <w:szCs w:val="24"/>
        </w:rPr>
        <w:t> srityje daugiausia dėmesio bus skiriama </w:t>
      </w:r>
      <w:r w:rsidRPr="000A1528">
        <w:rPr>
          <w:color w:val="000000"/>
          <w:szCs w:val="24"/>
        </w:rPr>
        <w:t>istorinei atminčiai</w:t>
      </w:r>
      <w:r>
        <w:rPr>
          <w:color w:val="000000"/>
          <w:szCs w:val="24"/>
        </w:rPr>
        <w:t>. Vyriausybė </w:t>
      </w:r>
      <w:r w:rsidRPr="000A1528">
        <w:rPr>
          <w:color w:val="000000"/>
          <w:szCs w:val="24"/>
        </w:rPr>
        <w:t>sistemiškai reformuos diplomatinę tarnybą</w:t>
      </w:r>
      <w:r>
        <w:rPr>
          <w:color w:val="000000"/>
          <w:szCs w:val="24"/>
        </w:rPr>
        <w:t> ir stiprins jos kompetencijas. Bus tęsiama aktyvi kampanija, kad 2021 m. rudenį </w:t>
      </w:r>
      <w:r w:rsidRPr="000A1528">
        <w:rPr>
          <w:color w:val="000000"/>
          <w:szCs w:val="24"/>
        </w:rPr>
        <w:t xml:space="preserve">Lietuva būtų išrinkta į  JT Žmogaus </w:t>
      </w:r>
      <w:r>
        <w:rPr>
          <w:color w:val="000000"/>
          <w:szCs w:val="24"/>
        </w:rPr>
        <w:t>t</w:t>
      </w:r>
      <w:r w:rsidRPr="000A1528">
        <w:rPr>
          <w:color w:val="000000"/>
          <w:szCs w:val="24"/>
        </w:rPr>
        <w:t xml:space="preserve">eisių </w:t>
      </w:r>
      <w:r>
        <w:rPr>
          <w:color w:val="000000"/>
          <w:szCs w:val="24"/>
        </w:rPr>
        <w:t>t</w:t>
      </w:r>
      <w:r w:rsidRPr="000A1528">
        <w:rPr>
          <w:color w:val="000000"/>
          <w:szCs w:val="24"/>
        </w:rPr>
        <w:t>arybą</w:t>
      </w:r>
      <w:r>
        <w:rPr>
          <w:color w:val="000000"/>
          <w:szCs w:val="24"/>
        </w:rPr>
        <w:t>. </w:t>
      </w:r>
    </w:p>
    <w:p w14:paraId="6C0EF99A" w14:textId="3856730A" w:rsidR="00C515ED" w:rsidRDefault="00C515ED">
      <w:pPr>
        <w:rPr>
          <w:bCs/>
          <w:szCs w:val="24"/>
        </w:rPr>
      </w:pPr>
      <w:r>
        <w:rPr>
          <w:bCs/>
          <w:szCs w:val="24"/>
        </w:rPr>
        <w:br w:type="page"/>
      </w:r>
    </w:p>
    <w:p w14:paraId="67882B2F" w14:textId="28DE1AF0" w:rsidR="00C515ED" w:rsidRDefault="00C515ED">
      <w:pPr>
        <w:rPr>
          <w:bCs/>
          <w:szCs w:val="24"/>
        </w:rPr>
      </w:pPr>
    </w:p>
    <w:p w14:paraId="1628582C" w14:textId="56770218" w:rsidR="0058571D" w:rsidRPr="002624F5" w:rsidRDefault="00C515ED" w:rsidP="002624F5">
      <w:pPr>
        <w:pStyle w:val="Antrat1"/>
        <w:rPr>
          <w:color w:val="17365D" w:themeColor="text2" w:themeShade="BF"/>
          <w:szCs w:val="24"/>
        </w:rPr>
      </w:pPr>
      <w:bookmarkStart w:id="28" w:name="_Toc68079187"/>
      <w:r>
        <w:rPr>
          <w:color w:val="17365D" w:themeColor="text2" w:themeShade="BF"/>
          <w:lang w:val="en-GB"/>
        </w:rPr>
        <w:t>1</w:t>
      </w:r>
      <w:r w:rsidRPr="007B2FAD">
        <w:rPr>
          <w:color w:val="17365D" w:themeColor="text2" w:themeShade="BF"/>
        </w:rPr>
        <w:t xml:space="preserve"> PRIEDAS</w:t>
      </w:r>
      <w:r>
        <w:rPr>
          <w:color w:val="17365D" w:themeColor="text2" w:themeShade="BF"/>
        </w:rPr>
        <w:t>.</w:t>
      </w:r>
      <w:r w:rsidRPr="007B2FAD">
        <w:rPr>
          <w:color w:val="17365D" w:themeColor="text2" w:themeShade="BF"/>
        </w:rPr>
        <w:t xml:space="preserve"> </w:t>
      </w:r>
      <w:bookmarkStart w:id="29" w:name="_Toc56532328"/>
      <w:r w:rsidR="0058571D" w:rsidRPr="005C66E9">
        <w:rPr>
          <w:color w:val="17365D" w:themeColor="text2" w:themeShade="BF"/>
          <w:szCs w:val="24"/>
        </w:rPr>
        <w:t>COVID-19 VALDYMO ĮVYKIŲ LIETUVOJE LAIKO JUOSTA</w:t>
      </w:r>
      <w:bookmarkEnd w:id="28"/>
      <w:bookmarkEnd w:id="29"/>
    </w:p>
    <w:p w14:paraId="24CB4A6E" w14:textId="13DD211E" w:rsidR="0058571D" w:rsidRPr="008535D4" w:rsidRDefault="0058571D" w:rsidP="0058571D"/>
    <w:tbl>
      <w:tblPr>
        <w:tblStyle w:val="Lentelstinklelis"/>
        <w:tblW w:w="10065" w:type="dxa"/>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01"/>
        <w:gridCol w:w="8364"/>
      </w:tblGrid>
      <w:tr w:rsidR="0058571D" w:rsidRPr="008535D4" w14:paraId="1499196E" w14:textId="77777777" w:rsidTr="00AB4CB8">
        <w:trPr>
          <w:trHeight w:val="64"/>
        </w:trPr>
        <w:tc>
          <w:tcPr>
            <w:tcW w:w="1701" w:type="dxa"/>
            <w:shd w:val="clear" w:color="auto" w:fill="B8CCE4" w:themeFill="accent1" w:themeFillTint="66"/>
            <w:hideMark/>
          </w:tcPr>
          <w:p w14:paraId="25F32B83" w14:textId="77777777" w:rsidR="0058571D" w:rsidRPr="008535D4" w:rsidRDefault="0058571D" w:rsidP="002624F5">
            <w:pPr>
              <w:rPr>
                <w:rFonts w:cstheme="minorHAnsi"/>
                <w:b/>
                <w:bCs/>
                <w:color w:val="000000" w:themeColor="text1"/>
              </w:rPr>
            </w:pPr>
            <w:r w:rsidRPr="008535D4">
              <w:rPr>
                <w:rFonts w:cstheme="minorHAnsi"/>
                <w:b/>
                <w:bCs/>
                <w:color w:val="000000" w:themeColor="text1"/>
              </w:rPr>
              <w:t>Data</w:t>
            </w:r>
          </w:p>
        </w:tc>
        <w:tc>
          <w:tcPr>
            <w:tcW w:w="8364" w:type="dxa"/>
            <w:shd w:val="clear" w:color="auto" w:fill="B8CCE4" w:themeFill="accent1" w:themeFillTint="66"/>
            <w:hideMark/>
          </w:tcPr>
          <w:p w14:paraId="7CD91A5A" w14:textId="77777777" w:rsidR="0058571D" w:rsidRPr="008535D4" w:rsidRDefault="0058571D" w:rsidP="002624F5">
            <w:pPr>
              <w:rPr>
                <w:rFonts w:cstheme="minorHAnsi"/>
                <w:b/>
                <w:bCs/>
              </w:rPr>
            </w:pPr>
            <w:r w:rsidRPr="008535D4">
              <w:rPr>
                <w:rFonts w:cstheme="minorHAnsi"/>
                <w:b/>
                <w:bCs/>
              </w:rPr>
              <w:t>Įvykis</w:t>
            </w:r>
          </w:p>
          <w:p w14:paraId="2FD4DFC3" w14:textId="77777777" w:rsidR="0058571D" w:rsidRPr="008535D4" w:rsidRDefault="0058571D" w:rsidP="002624F5">
            <w:pPr>
              <w:rPr>
                <w:rFonts w:cstheme="minorHAnsi"/>
                <w:b/>
                <w:bCs/>
              </w:rPr>
            </w:pPr>
          </w:p>
        </w:tc>
      </w:tr>
      <w:tr w:rsidR="0058571D" w:rsidRPr="008535D4" w14:paraId="016C4224" w14:textId="77777777" w:rsidTr="00AB4CB8">
        <w:tc>
          <w:tcPr>
            <w:tcW w:w="1701" w:type="dxa"/>
            <w:hideMark/>
          </w:tcPr>
          <w:p w14:paraId="50713F6A" w14:textId="1A5CDD25" w:rsidR="0058571D" w:rsidRPr="002624F5" w:rsidRDefault="004F6630" w:rsidP="002624F5">
            <w:pPr>
              <w:rPr>
                <w:rFonts w:cstheme="minorHAnsi"/>
                <w:u w:val="single"/>
              </w:rPr>
            </w:pPr>
            <w:r>
              <w:rPr>
                <w:rFonts w:cstheme="minorHAnsi"/>
                <w:u w:val="single"/>
              </w:rPr>
              <w:t xml:space="preserve">2020 m. </w:t>
            </w:r>
            <w:r w:rsidR="00F97468">
              <w:rPr>
                <w:rFonts w:cstheme="minorHAnsi"/>
                <w:u w:val="single"/>
              </w:rPr>
              <w:t>s</w:t>
            </w:r>
            <w:hyperlink r:id="rId18" w:tooltip="Sausio 25" w:history="1">
              <w:r w:rsidR="0058571D" w:rsidRPr="002624F5">
                <w:rPr>
                  <w:rStyle w:val="Hipersaitas"/>
                  <w:rFonts w:cstheme="minorHAnsi"/>
                  <w:color w:val="auto"/>
                </w:rPr>
                <w:t>ausio 24</w:t>
              </w:r>
            </w:hyperlink>
            <w:r w:rsidR="0058571D" w:rsidRPr="002624F5">
              <w:rPr>
                <w:rFonts w:cstheme="minorHAnsi"/>
                <w:u w:val="single"/>
              </w:rPr>
              <w:t> d.</w:t>
            </w:r>
          </w:p>
        </w:tc>
        <w:tc>
          <w:tcPr>
            <w:tcW w:w="8364" w:type="dxa"/>
            <w:hideMark/>
          </w:tcPr>
          <w:p w14:paraId="239AB707" w14:textId="77777777" w:rsidR="0058571D" w:rsidRPr="008535D4" w:rsidRDefault="0058571D" w:rsidP="002624F5">
            <w:pPr>
              <w:jc w:val="both"/>
              <w:rPr>
                <w:rFonts w:cstheme="minorHAnsi"/>
              </w:rPr>
            </w:pPr>
            <w:r w:rsidRPr="008535D4">
              <w:rPr>
                <w:rFonts w:cstheme="minorHAnsi"/>
              </w:rPr>
              <w:t xml:space="preserve">Vilniaus, </w:t>
            </w:r>
            <w:r w:rsidRPr="00073837">
              <w:rPr>
                <w:rFonts w:cstheme="minorHAnsi"/>
              </w:rPr>
              <w:t>Kauno</w:t>
            </w:r>
            <w:r w:rsidRPr="008535D4">
              <w:rPr>
                <w:rFonts w:cstheme="minorHAnsi"/>
              </w:rPr>
              <w:t xml:space="preserve"> ir </w:t>
            </w:r>
            <w:r w:rsidRPr="00073837">
              <w:rPr>
                <w:rFonts w:cstheme="minorHAnsi"/>
              </w:rPr>
              <w:t>Palangos oro uostų</w:t>
            </w:r>
            <w:r w:rsidRPr="008535D4">
              <w:rPr>
                <w:rFonts w:cstheme="minorHAnsi"/>
              </w:rPr>
              <w:t xml:space="preserve"> atvykimo salėse keliautojams informaciją apie </w:t>
            </w:r>
            <w:proofErr w:type="spellStart"/>
            <w:r w:rsidRPr="008535D4">
              <w:rPr>
                <w:rFonts w:cstheme="minorHAnsi"/>
              </w:rPr>
              <w:t>koronavirusą</w:t>
            </w:r>
            <w:proofErr w:type="spellEnd"/>
            <w:r w:rsidRPr="008535D4">
              <w:rPr>
                <w:rFonts w:cstheme="minorHAnsi"/>
              </w:rPr>
              <w:t xml:space="preserve"> pradėjo teikti </w:t>
            </w:r>
            <w:r w:rsidRPr="00073837">
              <w:rPr>
                <w:rFonts w:cstheme="minorHAnsi"/>
              </w:rPr>
              <w:t>Nacionalinio visuomenės sveikatos centro</w:t>
            </w:r>
            <w:r w:rsidRPr="008535D4">
              <w:rPr>
                <w:rFonts w:cstheme="minorHAnsi"/>
              </w:rPr>
              <w:t xml:space="preserve"> prie Sveikatos apsaugos ministerijos (toliau – Nacionalinis visuomenės sveikatos centras) specialistai, pradėtas i</w:t>
            </w:r>
            <w:r w:rsidRPr="008535D4">
              <w:rPr>
                <w:rFonts w:cstheme="minorHAnsi"/>
                <w:color w:val="000000" w:themeColor="text1"/>
              </w:rPr>
              <w:t>š Azijos šalių atvykstančių žmonių</w:t>
            </w:r>
            <w:r w:rsidRPr="008535D4">
              <w:rPr>
                <w:rFonts w:cstheme="minorHAnsi"/>
                <w:b/>
                <w:bCs/>
                <w:color w:val="000000" w:themeColor="text1"/>
              </w:rPr>
              <w:t xml:space="preserve"> </w:t>
            </w:r>
            <w:r w:rsidRPr="008535D4">
              <w:rPr>
                <w:rFonts w:cstheme="minorHAnsi"/>
                <w:color w:val="000000" w:themeColor="text1"/>
              </w:rPr>
              <w:t>sveikatos tikrinimas oro uostuose.</w:t>
            </w:r>
          </w:p>
        </w:tc>
      </w:tr>
      <w:tr w:rsidR="0058571D" w:rsidRPr="008535D4" w14:paraId="05D71977" w14:textId="77777777" w:rsidTr="00AB4CB8">
        <w:tc>
          <w:tcPr>
            <w:tcW w:w="1701" w:type="dxa"/>
          </w:tcPr>
          <w:p w14:paraId="31321434" w14:textId="77777777" w:rsidR="0058571D" w:rsidRPr="002624F5" w:rsidRDefault="0058571D" w:rsidP="002624F5">
            <w:pPr>
              <w:rPr>
                <w:rFonts w:cstheme="minorHAnsi"/>
                <w:u w:val="single"/>
              </w:rPr>
            </w:pPr>
            <w:bookmarkStart w:id="30" w:name="_Hlk43970516"/>
            <w:r w:rsidRPr="002624F5">
              <w:rPr>
                <w:rFonts w:cstheme="minorHAnsi"/>
                <w:u w:val="single"/>
              </w:rPr>
              <w:t>Sausio 27 d.</w:t>
            </w:r>
          </w:p>
        </w:tc>
        <w:tc>
          <w:tcPr>
            <w:tcW w:w="8364" w:type="dxa"/>
          </w:tcPr>
          <w:p w14:paraId="693DE069" w14:textId="77777777" w:rsidR="0058571D" w:rsidRPr="008535D4" w:rsidRDefault="0058571D" w:rsidP="002624F5">
            <w:pPr>
              <w:jc w:val="both"/>
              <w:rPr>
                <w:rFonts w:cstheme="minorHAnsi"/>
              </w:rPr>
            </w:pPr>
            <w:r w:rsidRPr="008535D4">
              <w:rPr>
                <w:rFonts w:cstheme="minorHAnsi"/>
                <w:color w:val="000000" w:themeColor="text1"/>
              </w:rPr>
              <w:t xml:space="preserve">Darbą pradėjo Sveikatos apsaugos ministerijos Ekstremaliųjų situacijų operacijų centras. </w:t>
            </w:r>
          </w:p>
        </w:tc>
      </w:tr>
      <w:bookmarkEnd w:id="30"/>
      <w:tr w:rsidR="0058571D" w:rsidRPr="008535D4" w14:paraId="030A767B" w14:textId="77777777" w:rsidTr="00AB4CB8">
        <w:tc>
          <w:tcPr>
            <w:tcW w:w="1701" w:type="dxa"/>
            <w:hideMark/>
          </w:tcPr>
          <w:p w14:paraId="27F8A906" w14:textId="77777777" w:rsidR="0058571D" w:rsidRPr="002624F5" w:rsidRDefault="0058571D" w:rsidP="002624F5">
            <w:pPr>
              <w:rPr>
                <w:rFonts w:cstheme="minorHAnsi"/>
                <w:u w:val="single"/>
              </w:rPr>
            </w:pPr>
            <w:r w:rsidRPr="002624F5">
              <w:rPr>
                <w:rFonts w:cstheme="minorBidi"/>
              </w:rPr>
              <w:fldChar w:fldCharType="begin"/>
            </w:r>
            <w:r w:rsidRPr="002624F5">
              <w:rPr>
                <w:rFonts w:cstheme="minorHAnsi"/>
                <w:u w:val="single"/>
              </w:rPr>
              <w:instrText xml:space="preserve"> HYPERLINK "https://lt.wikipedia.org/wiki/Vasario_26" \o "Vasario 26" </w:instrText>
            </w:r>
            <w:r w:rsidRPr="002624F5">
              <w:rPr>
                <w:rFonts w:cstheme="minorBidi"/>
              </w:rPr>
              <w:fldChar w:fldCharType="separate"/>
            </w:r>
            <w:r w:rsidRPr="002624F5">
              <w:rPr>
                <w:rStyle w:val="Hipersaitas"/>
                <w:rFonts w:cstheme="minorHAnsi"/>
                <w:color w:val="auto"/>
              </w:rPr>
              <w:t>Vasario 26</w:t>
            </w:r>
            <w:r w:rsidRPr="002624F5">
              <w:rPr>
                <w:rStyle w:val="Hipersaitas"/>
                <w:rFonts w:cstheme="minorHAnsi"/>
                <w:color w:val="auto"/>
              </w:rPr>
              <w:fldChar w:fldCharType="end"/>
            </w:r>
            <w:r w:rsidRPr="002624F5">
              <w:rPr>
                <w:rFonts w:cstheme="minorHAnsi"/>
                <w:u w:val="single"/>
              </w:rPr>
              <w:t> d.</w:t>
            </w:r>
          </w:p>
        </w:tc>
        <w:tc>
          <w:tcPr>
            <w:tcW w:w="8364" w:type="dxa"/>
            <w:hideMark/>
          </w:tcPr>
          <w:p w14:paraId="097906E7" w14:textId="0E68FB0D" w:rsidR="0058571D" w:rsidRPr="008535D4" w:rsidRDefault="0058571D" w:rsidP="002624F5">
            <w:pPr>
              <w:jc w:val="both"/>
              <w:rPr>
                <w:rFonts w:cstheme="minorHAnsi"/>
              </w:rPr>
            </w:pPr>
            <w:r w:rsidRPr="008535D4">
              <w:rPr>
                <w:rFonts w:cstheme="minorHAnsi"/>
              </w:rPr>
              <w:t xml:space="preserve">Dėl </w:t>
            </w:r>
            <w:proofErr w:type="spellStart"/>
            <w:r w:rsidRPr="008535D4">
              <w:rPr>
                <w:rFonts w:cstheme="minorHAnsi"/>
              </w:rPr>
              <w:t>koronaviruso</w:t>
            </w:r>
            <w:proofErr w:type="spellEnd"/>
            <w:r w:rsidRPr="008535D4">
              <w:rPr>
                <w:rFonts w:cstheme="minorHAnsi"/>
              </w:rPr>
              <w:t xml:space="preserve"> grėsmės </w:t>
            </w:r>
            <w:r w:rsidRPr="00073837">
              <w:rPr>
                <w:rFonts w:cstheme="minorHAnsi"/>
              </w:rPr>
              <w:t>Vyriausybė</w:t>
            </w:r>
            <w:r w:rsidRPr="008535D4">
              <w:rPr>
                <w:rFonts w:cstheme="minorHAnsi"/>
              </w:rPr>
              <w:t xml:space="preserve"> </w:t>
            </w:r>
            <w:r w:rsidR="00D018F6">
              <w:rPr>
                <w:rFonts w:cstheme="minorHAnsi"/>
              </w:rPr>
              <w:t>Vyriausybės ekstremalių situacijų komisijos siūlymu</w:t>
            </w:r>
            <w:r w:rsidR="00D018F6" w:rsidRPr="008535D4">
              <w:rPr>
                <w:rFonts w:cstheme="minorHAnsi"/>
              </w:rPr>
              <w:t xml:space="preserve"> </w:t>
            </w:r>
            <w:r w:rsidRPr="008535D4">
              <w:rPr>
                <w:rFonts w:cstheme="minorHAnsi"/>
              </w:rPr>
              <w:t>šalyje paskelbė ekstremaliąją situaciją. Nuspręsta sušaukti Valstybės ekstremaliųjų situacijų operacijų centrą (toliau – Valstybės operacijų centras).</w:t>
            </w:r>
          </w:p>
        </w:tc>
      </w:tr>
      <w:tr w:rsidR="0058571D" w:rsidRPr="008535D4" w14:paraId="4CAE6F72" w14:textId="77777777" w:rsidTr="00AB4CB8">
        <w:tc>
          <w:tcPr>
            <w:tcW w:w="1701" w:type="dxa"/>
            <w:hideMark/>
          </w:tcPr>
          <w:p w14:paraId="437006C1" w14:textId="77777777" w:rsidR="0058571D" w:rsidRPr="002624F5" w:rsidRDefault="00C64DAC" w:rsidP="002624F5">
            <w:pPr>
              <w:rPr>
                <w:rFonts w:cstheme="minorHAnsi"/>
                <w:u w:val="single"/>
              </w:rPr>
            </w:pPr>
            <w:hyperlink r:id="rId19" w:history="1">
              <w:r w:rsidR="0058571D" w:rsidRPr="002624F5">
                <w:rPr>
                  <w:rStyle w:val="Hipersaitas"/>
                  <w:rFonts w:cstheme="minorHAnsi"/>
                  <w:color w:val="auto"/>
                </w:rPr>
                <w:t>Vasario 28</w:t>
              </w:r>
            </w:hyperlink>
            <w:r w:rsidR="0058571D" w:rsidRPr="002624F5">
              <w:rPr>
                <w:rFonts w:cstheme="minorHAnsi"/>
                <w:u w:val="single"/>
              </w:rPr>
              <w:t> d.</w:t>
            </w:r>
          </w:p>
        </w:tc>
        <w:tc>
          <w:tcPr>
            <w:tcW w:w="8364" w:type="dxa"/>
            <w:hideMark/>
          </w:tcPr>
          <w:p w14:paraId="3BBFEB30" w14:textId="77777777" w:rsidR="0058571D" w:rsidRPr="008535D4" w:rsidRDefault="0058571D" w:rsidP="002624F5">
            <w:pPr>
              <w:jc w:val="both"/>
              <w:rPr>
                <w:rFonts w:cstheme="minorHAnsi"/>
              </w:rPr>
            </w:pPr>
            <w:r w:rsidRPr="008535D4">
              <w:rPr>
                <w:rFonts w:cstheme="minorHAnsi"/>
              </w:rPr>
              <w:t xml:space="preserve">Lietuvoje nustatytas pirmasis COVID-19 ligos atvejis. </w:t>
            </w:r>
          </w:p>
        </w:tc>
      </w:tr>
      <w:tr w:rsidR="0058571D" w:rsidRPr="008535D4" w14:paraId="68B364FA" w14:textId="77777777" w:rsidTr="00AB4CB8">
        <w:tc>
          <w:tcPr>
            <w:tcW w:w="1701" w:type="dxa"/>
            <w:hideMark/>
          </w:tcPr>
          <w:p w14:paraId="5AF64E8A" w14:textId="77777777" w:rsidR="0058571D" w:rsidRPr="002624F5" w:rsidRDefault="0058571D" w:rsidP="002624F5">
            <w:pPr>
              <w:rPr>
                <w:rFonts w:cstheme="minorHAnsi"/>
                <w:u w:val="single"/>
              </w:rPr>
            </w:pPr>
            <w:r w:rsidRPr="002624F5">
              <w:rPr>
                <w:rFonts w:cstheme="minorHAnsi"/>
                <w:u w:val="single"/>
              </w:rPr>
              <w:t>Kovo 5 d.</w:t>
            </w:r>
          </w:p>
        </w:tc>
        <w:tc>
          <w:tcPr>
            <w:tcW w:w="8364" w:type="dxa"/>
            <w:hideMark/>
          </w:tcPr>
          <w:p w14:paraId="362FF414" w14:textId="77777777" w:rsidR="0058571D" w:rsidRPr="008535D4" w:rsidRDefault="0058571D" w:rsidP="002624F5">
            <w:pPr>
              <w:jc w:val="both"/>
              <w:rPr>
                <w:rFonts w:cstheme="minorHAnsi"/>
              </w:rPr>
            </w:pPr>
            <w:r w:rsidRPr="008535D4">
              <w:rPr>
                <w:rFonts w:cstheme="minorHAnsi"/>
              </w:rPr>
              <w:t xml:space="preserve">Daugiau kaip 10 Lietuvos įmonių išduoti leidimai gaminti </w:t>
            </w:r>
            <w:proofErr w:type="spellStart"/>
            <w:r w:rsidRPr="008535D4">
              <w:rPr>
                <w:rFonts w:cstheme="minorHAnsi"/>
              </w:rPr>
              <w:t>dezinfekantus</w:t>
            </w:r>
            <w:proofErr w:type="spellEnd"/>
            <w:r w:rsidRPr="008535D4">
              <w:rPr>
                <w:rFonts w:cstheme="minorHAnsi"/>
              </w:rPr>
              <w:t xml:space="preserve"> – taip išspręstas dezinfekcinio skysčio poreikio klausimas.</w:t>
            </w:r>
          </w:p>
        </w:tc>
      </w:tr>
      <w:tr w:rsidR="0058571D" w:rsidRPr="008535D4" w14:paraId="56AFE3D6" w14:textId="77777777" w:rsidTr="00AB4CB8">
        <w:tc>
          <w:tcPr>
            <w:tcW w:w="1701" w:type="dxa"/>
            <w:hideMark/>
          </w:tcPr>
          <w:p w14:paraId="4535B020" w14:textId="77777777" w:rsidR="0058571D" w:rsidRPr="002624F5" w:rsidRDefault="0058571D" w:rsidP="002624F5">
            <w:pPr>
              <w:rPr>
                <w:rFonts w:cstheme="minorHAnsi"/>
                <w:u w:val="single"/>
              </w:rPr>
            </w:pPr>
            <w:r w:rsidRPr="002624F5">
              <w:rPr>
                <w:rFonts w:cstheme="minorHAnsi"/>
                <w:u w:val="single"/>
              </w:rPr>
              <w:t>Kovo 10 d.</w:t>
            </w:r>
          </w:p>
        </w:tc>
        <w:tc>
          <w:tcPr>
            <w:tcW w:w="8364" w:type="dxa"/>
            <w:hideMark/>
          </w:tcPr>
          <w:p w14:paraId="37B28548" w14:textId="77777777" w:rsidR="0058571D" w:rsidRPr="008535D4" w:rsidRDefault="0058571D" w:rsidP="002624F5">
            <w:pPr>
              <w:jc w:val="both"/>
              <w:rPr>
                <w:rFonts w:cstheme="minorHAnsi"/>
              </w:rPr>
            </w:pPr>
            <w:r w:rsidRPr="008535D4">
              <w:rPr>
                <w:rFonts w:cstheme="minorHAnsi"/>
              </w:rPr>
              <w:t>Suformuota Visuomenės informavimo grupė.</w:t>
            </w:r>
          </w:p>
        </w:tc>
      </w:tr>
      <w:tr w:rsidR="0058571D" w:rsidRPr="008535D4" w14:paraId="6DED7E25" w14:textId="77777777" w:rsidTr="00AB4CB8">
        <w:tc>
          <w:tcPr>
            <w:tcW w:w="1701" w:type="dxa"/>
            <w:hideMark/>
          </w:tcPr>
          <w:p w14:paraId="34C469ED" w14:textId="77777777" w:rsidR="0058571D" w:rsidRPr="002624F5" w:rsidRDefault="00C64DAC" w:rsidP="002624F5">
            <w:pPr>
              <w:rPr>
                <w:rFonts w:cstheme="minorHAnsi"/>
                <w:u w:val="single"/>
              </w:rPr>
            </w:pPr>
            <w:hyperlink r:id="rId20" w:history="1">
              <w:r w:rsidR="0058571D" w:rsidRPr="002624F5">
                <w:rPr>
                  <w:rStyle w:val="Hipersaitas"/>
                  <w:rFonts w:cstheme="minorHAnsi"/>
                  <w:color w:val="auto"/>
                </w:rPr>
                <w:t>Kovo 12</w:t>
              </w:r>
            </w:hyperlink>
            <w:r w:rsidR="0058571D" w:rsidRPr="002624F5">
              <w:rPr>
                <w:rFonts w:cstheme="minorHAnsi"/>
                <w:u w:val="single"/>
              </w:rPr>
              <w:t> d.</w:t>
            </w:r>
          </w:p>
        </w:tc>
        <w:tc>
          <w:tcPr>
            <w:tcW w:w="8364" w:type="dxa"/>
            <w:hideMark/>
          </w:tcPr>
          <w:p w14:paraId="6E207320" w14:textId="77777777" w:rsidR="0058571D" w:rsidRPr="008535D4" w:rsidRDefault="0058571D" w:rsidP="002624F5">
            <w:pPr>
              <w:jc w:val="both"/>
              <w:rPr>
                <w:rFonts w:cstheme="minorHAnsi"/>
              </w:rPr>
            </w:pPr>
            <w:r w:rsidRPr="008535D4">
              <w:rPr>
                <w:rFonts w:cstheme="minorHAnsi"/>
              </w:rPr>
              <w:t>Vyriausybės sprendimu dėl viruso prevencijos paskelbti pirmieji draudimai, 2 savaitėms stabdantys švietimo, kultūros, sporto ir laisvalaikio įstaigų veiklą, viešus renginius patalpų viduje bei renginius lauke, jeigu dalyvių skaičius viršija 100.</w:t>
            </w:r>
          </w:p>
        </w:tc>
      </w:tr>
      <w:tr w:rsidR="0058571D" w:rsidRPr="008535D4" w14:paraId="6B458B89" w14:textId="77777777" w:rsidTr="00AB4CB8">
        <w:tc>
          <w:tcPr>
            <w:tcW w:w="1701" w:type="dxa"/>
            <w:hideMark/>
          </w:tcPr>
          <w:p w14:paraId="4B0D4475" w14:textId="77777777" w:rsidR="0058571D" w:rsidRPr="002624F5" w:rsidRDefault="00C64DAC" w:rsidP="002624F5">
            <w:pPr>
              <w:rPr>
                <w:rFonts w:cstheme="minorHAnsi"/>
                <w:u w:val="single"/>
              </w:rPr>
            </w:pPr>
            <w:hyperlink r:id="rId21" w:history="1">
              <w:r w:rsidR="0058571D" w:rsidRPr="002624F5">
                <w:rPr>
                  <w:rStyle w:val="Hipersaitas"/>
                  <w:rFonts w:cstheme="minorHAnsi"/>
                  <w:color w:val="auto"/>
                </w:rPr>
                <w:t>Kovo 1</w:t>
              </w:r>
            </w:hyperlink>
            <w:r w:rsidR="0058571D" w:rsidRPr="002624F5">
              <w:rPr>
                <w:rFonts w:cstheme="minorHAnsi"/>
                <w:u w:val="single"/>
              </w:rPr>
              <w:t>3 d.</w:t>
            </w:r>
          </w:p>
        </w:tc>
        <w:tc>
          <w:tcPr>
            <w:tcW w:w="8364" w:type="dxa"/>
            <w:hideMark/>
          </w:tcPr>
          <w:p w14:paraId="57080F73" w14:textId="77777777" w:rsidR="0058571D" w:rsidRPr="008535D4" w:rsidRDefault="0058571D" w:rsidP="002624F5">
            <w:pPr>
              <w:jc w:val="both"/>
              <w:rPr>
                <w:rFonts w:cstheme="minorHAnsi"/>
              </w:rPr>
            </w:pPr>
            <w:r w:rsidRPr="008535D4">
              <w:rPr>
                <w:rFonts w:cstheme="minorHAnsi"/>
              </w:rPr>
              <w:t xml:space="preserve">Pradėjo veikti nemokama karštoji </w:t>
            </w:r>
            <w:proofErr w:type="spellStart"/>
            <w:r w:rsidRPr="008535D4">
              <w:rPr>
                <w:rFonts w:cstheme="minorHAnsi"/>
              </w:rPr>
              <w:t>koronaviruso</w:t>
            </w:r>
            <w:proofErr w:type="spellEnd"/>
            <w:r w:rsidRPr="008535D4">
              <w:rPr>
                <w:rFonts w:cstheme="minorHAnsi"/>
              </w:rPr>
              <w:t xml:space="preserve"> linija gyventojams 1808. </w:t>
            </w:r>
          </w:p>
        </w:tc>
      </w:tr>
      <w:tr w:rsidR="006D2FBC" w:rsidRPr="008535D4" w14:paraId="4CFC3165" w14:textId="77777777" w:rsidTr="00AB4CB8">
        <w:tc>
          <w:tcPr>
            <w:tcW w:w="1701" w:type="dxa"/>
          </w:tcPr>
          <w:p w14:paraId="0893E509" w14:textId="7CEF375A" w:rsidR="006D2FBC" w:rsidRDefault="006D2FBC" w:rsidP="006D2FBC">
            <w:r w:rsidRPr="002624F5">
              <w:rPr>
                <w:rFonts w:cstheme="minorHAnsi"/>
                <w:u w:val="single"/>
              </w:rPr>
              <w:t>Kovo 14</w:t>
            </w:r>
            <w:r>
              <w:rPr>
                <w:rFonts w:cstheme="minorHAnsi"/>
                <w:u w:val="single"/>
              </w:rPr>
              <w:t xml:space="preserve"> d.</w:t>
            </w:r>
          </w:p>
        </w:tc>
        <w:tc>
          <w:tcPr>
            <w:tcW w:w="8364" w:type="dxa"/>
          </w:tcPr>
          <w:p w14:paraId="2CC642C4" w14:textId="002B62FF" w:rsidR="006D2FBC" w:rsidRPr="008535D4" w:rsidRDefault="006D2FBC" w:rsidP="006D2FBC">
            <w:pPr>
              <w:jc w:val="both"/>
              <w:rPr>
                <w:rFonts w:cstheme="minorHAnsi"/>
              </w:rPr>
            </w:pPr>
            <w:r>
              <w:rPr>
                <w:rFonts w:cstheme="minorHAnsi"/>
              </w:rPr>
              <w:t>Atnaujinta ES vidaus sienų kontrolė</w:t>
            </w:r>
          </w:p>
        </w:tc>
      </w:tr>
      <w:tr w:rsidR="0058571D" w:rsidRPr="008535D4" w14:paraId="44216E77" w14:textId="77777777" w:rsidTr="00AB4CB8">
        <w:trPr>
          <w:trHeight w:val="210"/>
        </w:trPr>
        <w:tc>
          <w:tcPr>
            <w:tcW w:w="1701" w:type="dxa"/>
          </w:tcPr>
          <w:p w14:paraId="66070206" w14:textId="77777777" w:rsidR="0058571D" w:rsidRPr="002624F5" w:rsidRDefault="0058571D" w:rsidP="002624F5">
            <w:pPr>
              <w:rPr>
                <w:rFonts w:cstheme="minorHAnsi"/>
                <w:u w:val="single"/>
              </w:rPr>
            </w:pPr>
            <w:r w:rsidRPr="002624F5">
              <w:rPr>
                <w:rFonts w:cstheme="minorHAnsi"/>
                <w:u w:val="single"/>
              </w:rPr>
              <w:t>Kovo 14 – gegužės 13 d.</w:t>
            </w:r>
          </w:p>
        </w:tc>
        <w:tc>
          <w:tcPr>
            <w:tcW w:w="8364" w:type="dxa"/>
          </w:tcPr>
          <w:p w14:paraId="35E598BE" w14:textId="77777777" w:rsidR="0058571D" w:rsidRPr="008535D4" w:rsidRDefault="0058571D" w:rsidP="002624F5">
            <w:pPr>
              <w:jc w:val="both"/>
              <w:rPr>
                <w:rFonts w:cstheme="minorHAnsi"/>
              </w:rPr>
            </w:pPr>
            <w:r w:rsidRPr="008535D4">
              <w:rPr>
                <w:rFonts w:cstheme="minorHAnsi"/>
              </w:rPr>
              <w:t>Užsienio reikalų ministerijoje organizuotas skambučių centras, skirtas Lietuvos piliečiams, buvusiems užsienyje, konsultuoti, pirmiausia jų sugrįžimo į Lietuvą klausimams spręsti.</w:t>
            </w:r>
          </w:p>
        </w:tc>
      </w:tr>
      <w:tr w:rsidR="0058571D" w:rsidRPr="008535D4" w14:paraId="4D7DDD11" w14:textId="77777777" w:rsidTr="00AB4CB8">
        <w:tc>
          <w:tcPr>
            <w:tcW w:w="1701" w:type="dxa"/>
            <w:shd w:val="clear" w:color="auto" w:fill="auto"/>
            <w:hideMark/>
          </w:tcPr>
          <w:p w14:paraId="5197A2F9" w14:textId="77777777" w:rsidR="0058571D" w:rsidRPr="002624F5" w:rsidRDefault="00C64DAC" w:rsidP="002624F5">
            <w:pPr>
              <w:rPr>
                <w:rFonts w:cstheme="minorHAnsi"/>
                <w:u w:val="single"/>
              </w:rPr>
            </w:pPr>
            <w:hyperlink r:id="rId22" w:tooltip="Kovo 16" w:history="1">
              <w:r w:rsidR="0058571D" w:rsidRPr="002624F5">
                <w:rPr>
                  <w:rStyle w:val="Hipersaitas"/>
                  <w:rFonts w:cstheme="minorHAnsi"/>
                  <w:color w:val="auto"/>
                </w:rPr>
                <w:t>Kovo 16</w:t>
              </w:r>
            </w:hyperlink>
            <w:r w:rsidR="0058571D" w:rsidRPr="002624F5">
              <w:rPr>
                <w:rFonts w:cstheme="minorHAnsi"/>
                <w:u w:val="single"/>
              </w:rPr>
              <w:t> d.</w:t>
            </w:r>
          </w:p>
        </w:tc>
        <w:tc>
          <w:tcPr>
            <w:tcW w:w="8364" w:type="dxa"/>
            <w:shd w:val="clear" w:color="auto" w:fill="auto"/>
            <w:hideMark/>
          </w:tcPr>
          <w:p w14:paraId="4153F8D5" w14:textId="77777777" w:rsidR="0058571D" w:rsidRPr="008535D4" w:rsidRDefault="0058571D" w:rsidP="002624F5">
            <w:pPr>
              <w:jc w:val="both"/>
              <w:rPr>
                <w:rFonts w:cstheme="minorHAnsi"/>
              </w:rPr>
            </w:pPr>
            <w:r w:rsidRPr="008535D4">
              <w:rPr>
                <w:rFonts w:cstheme="minorHAnsi"/>
              </w:rPr>
              <w:t>Nuo vidurnakčio iki kovo 26 d. Lietuvoje paskelbtas </w:t>
            </w:r>
            <w:r w:rsidRPr="00073837">
              <w:rPr>
                <w:rFonts w:cstheme="minorHAnsi"/>
              </w:rPr>
              <w:t>karantinas</w:t>
            </w:r>
            <w:r>
              <w:rPr>
                <w:rFonts w:cstheme="minorHAnsi"/>
              </w:rPr>
              <w:t xml:space="preserve">. </w:t>
            </w:r>
          </w:p>
        </w:tc>
      </w:tr>
      <w:tr w:rsidR="0058571D" w:rsidRPr="008535D4" w14:paraId="1D05AD5E" w14:textId="77777777" w:rsidTr="00AB4CB8">
        <w:trPr>
          <w:trHeight w:val="581"/>
        </w:trPr>
        <w:tc>
          <w:tcPr>
            <w:tcW w:w="1701" w:type="dxa"/>
            <w:hideMark/>
          </w:tcPr>
          <w:p w14:paraId="7096BF46" w14:textId="77777777" w:rsidR="0058571D" w:rsidRPr="002624F5" w:rsidRDefault="00C64DAC" w:rsidP="002624F5">
            <w:pPr>
              <w:rPr>
                <w:rFonts w:cstheme="minorHAnsi"/>
                <w:u w:val="single"/>
              </w:rPr>
            </w:pPr>
            <w:hyperlink r:id="rId23" w:tooltip="Kovo 16" w:history="1">
              <w:r w:rsidR="0058571D" w:rsidRPr="002624F5">
                <w:rPr>
                  <w:rStyle w:val="Hipersaitas"/>
                  <w:rFonts w:cstheme="minorHAnsi"/>
                  <w:color w:val="auto"/>
                </w:rPr>
                <w:t>Kovo 16</w:t>
              </w:r>
            </w:hyperlink>
            <w:r w:rsidR="0058571D" w:rsidRPr="002624F5">
              <w:rPr>
                <w:rFonts w:cstheme="minorHAnsi"/>
                <w:u w:val="single"/>
              </w:rPr>
              <w:t> d.</w:t>
            </w:r>
          </w:p>
        </w:tc>
        <w:tc>
          <w:tcPr>
            <w:tcW w:w="8364" w:type="dxa"/>
            <w:hideMark/>
          </w:tcPr>
          <w:p w14:paraId="6234C20F" w14:textId="77777777" w:rsidR="0058571D" w:rsidRPr="008535D4" w:rsidRDefault="0058571D" w:rsidP="002624F5">
            <w:pPr>
              <w:jc w:val="both"/>
              <w:rPr>
                <w:rFonts w:cstheme="minorHAnsi"/>
              </w:rPr>
            </w:pPr>
            <w:r>
              <w:rPr>
                <w:rFonts w:cstheme="minorHAnsi"/>
              </w:rPr>
              <w:t>Pritarta</w:t>
            </w:r>
            <w:r w:rsidRPr="008535D4">
              <w:rPr>
                <w:rFonts w:cstheme="minorHAnsi"/>
              </w:rPr>
              <w:t xml:space="preserve"> Ekonomikos skatinimo ir </w:t>
            </w:r>
            <w:proofErr w:type="spellStart"/>
            <w:r w:rsidRPr="008535D4">
              <w:rPr>
                <w:rFonts w:cstheme="minorHAnsi"/>
              </w:rPr>
              <w:t>koronaviruso</w:t>
            </w:r>
            <w:proofErr w:type="spellEnd"/>
            <w:r w:rsidRPr="008535D4">
              <w:rPr>
                <w:rFonts w:cstheme="minorHAnsi"/>
              </w:rPr>
              <w:t xml:space="preserve"> (COVID-19) plitimo sukeltų pasekmių mažinimo priemonių plan</w:t>
            </w:r>
            <w:r>
              <w:rPr>
                <w:rFonts w:cstheme="minorHAnsi"/>
              </w:rPr>
              <w:t>ui</w:t>
            </w:r>
          </w:p>
        </w:tc>
      </w:tr>
      <w:tr w:rsidR="0058571D" w:rsidRPr="008535D4" w14:paraId="1C15F2B0" w14:textId="77777777" w:rsidTr="00AB4CB8">
        <w:tc>
          <w:tcPr>
            <w:tcW w:w="1701" w:type="dxa"/>
            <w:hideMark/>
          </w:tcPr>
          <w:p w14:paraId="7DD8A28C" w14:textId="77777777" w:rsidR="0058571D" w:rsidRPr="002624F5" w:rsidRDefault="00C64DAC" w:rsidP="002624F5">
            <w:pPr>
              <w:rPr>
                <w:rFonts w:cstheme="minorHAnsi"/>
                <w:u w:val="single"/>
              </w:rPr>
            </w:pPr>
            <w:hyperlink r:id="rId24" w:tooltip="Kovo 18" w:history="1">
              <w:r w:rsidR="0058571D" w:rsidRPr="002624F5">
                <w:rPr>
                  <w:rStyle w:val="Hipersaitas"/>
                  <w:rFonts w:cstheme="minorHAnsi"/>
                  <w:color w:val="auto"/>
                </w:rPr>
                <w:t>Kovo 18</w:t>
              </w:r>
            </w:hyperlink>
            <w:r w:rsidR="0058571D" w:rsidRPr="002624F5">
              <w:rPr>
                <w:rFonts w:cstheme="minorHAnsi"/>
                <w:u w:val="single"/>
              </w:rPr>
              <w:t> d.</w:t>
            </w:r>
          </w:p>
        </w:tc>
        <w:tc>
          <w:tcPr>
            <w:tcW w:w="8364" w:type="dxa"/>
            <w:hideMark/>
          </w:tcPr>
          <w:p w14:paraId="7AE0C5EC" w14:textId="77777777" w:rsidR="0058571D" w:rsidRPr="008535D4" w:rsidRDefault="0058571D" w:rsidP="002624F5">
            <w:pPr>
              <w:jc w:val="both"/>
              <w:rPr>
                <w:rFonts w:cstheme="minorHAnsi"/>
              </w:rPr>
            </w:pPr>
            <w:r w:rsidRPr="008535D4">
              <w:rPr>
                <w:rFonts w:cstheme="minorHAnsi"/>
              </w:rPr>
              <w:t>Pradėti kraujo mėginių testavimai Vilniaus, Kauno, Klaipėdos</w:t>
            </w:r>
            <w:r>
              <w:rPr>
                <w:rFonts w:cstheme="minorHAnsi"/>
              </w:rPr>
              <w:t xml:space="preserve"> </w:t>
            </w:r>
            <w:r w:rsidRPr="008535D4">
              <w:rPr>
                <w:rFonts w:cstheme="minorHAnsi"/>
              </w:rPr>
              <w:t>ir </w:t>
            </w:r>
            <w:r w:rsidRPr="00073837">
              <w:rPr>
                <w:rFonts w:cstheme="minorHAnsi"/>
              </w:rPr>
              <w:t>Šiaulių</w:t>
            </w:r>
            <w:r w:rsidRPr="008535D4">
              <w:rPr>
                <w:rFonts w:cstheme="minorHAnsi"/>
              </w:rPr>
              <w:t> ligoninių laboratorijose.</w:t>
            </w:r>
          </w:p>
        </w:tc>
      </w:tr>
      <w:tr w:rsidR="0058571D" w:rsidRPr="008535D4" w14:paraId="48447A51" w14:textId="77777777" w:rsidTr="00AB4CB8">
        <w:tc>
          <w:tcPr>
            <w:tcW w:w="1701" w:type="dxa"/>
            <w:hideMark/>
          </w:tcPr>
          <w:p w14:paraId="110BF879" w14:textId="77777777" w:rsidR="0058571D" w:rsidRPr="002624F5" w:rsidRDefault="00C64DAC" w:rsidP="002624F5">
            <w:pPr>
              <w:rPr>
                <w:rFonts w:cstheme="minorHAnsi"/>
                <w:u w:val="single"/>
              </w:rPr>
            </w:pPr>
            <w:hyperlink r:id="rId25" w:tooltip="Kovo 17" w:history="1">
              <w:r w:rsidR="0058571D" w:rsidRPr="002624F5">
                <w:rPr>
                  <w:rStyle w:val="Hipersaitas"/>
                  <w:rFonts w:cstheme="minorHAnsi"/>
                  <w:color w:val="auto"/>
                </w:rPr>
                <w:t>Kovo 1</w:t>
              </w:r>
            </w:hyperlink>
            <w:r w:rsidR="0058571D" w:rsidRPr="002624F5">
              <w:rPr>
                <w:rFonts w:cstheme="minorHAnsi"/>
                <w:u w:val="single"/>
              </w:rPr>
              <w:t>9 d.</w:t>
            </w:r>
          </w:p>
        </w:tc>
        <w:tc>
          <w:tcPr>
            <w:tcW w:w="8364" w:type="dxa"/>
            <w:hideMark/>
          </w:tcPr>
          <w:p w14:paraId="1347E5B8" w14:textId="77777777" w:rsidR="0058571D" w:rsidRPr="008535D4" w:rsidRDefault="0058571D" w:rsidP="002624F5">
            <w:pPr>
              <w:jc w:val="both"/>
              <w:rPr>
                <w:rFonts w:cstheme="minorHAnsi"/>
              </w:rPr>
            </w:pPr>
            <w:r w:rsidRPr="008535D4">
              <w:rPr>
                <w:rFonts w:cstheme="minorHAnsi"/>
              </w:rPr>
              <w:t>Įrengti ir pradėti naudoti trys pirmieji mobilieji COVID-19 patikros punktai – du Vilniuje ir vienas Kaune.</w:t>
            </w:r>
          </w:p>
        </w:tc>
      </w:tr>
      <w:tr w:rsidR="0058571D" w:rsidRPr="008535D4" w14:paraId="713E284F" w14:textId="77777777" w:rsidTr="00AB4CB8">
        <w:tc>
          <w:tcPr>
            <w:tcW w:w="1701" w:type="dxa"/>
            <w:hideMark/>
          </w:tcPr>
          <w:p w14:paraId="0615514B" w14:textId="77777777" w:rsidR="0058571D" w:rsidRPr="002624F5" w:rsidRDefault="00C64DAC" w:rsidP="002624F5">
            <w:pPr>
              <w:rPr>
                <w:rFonts w:cstheme="minorHAnsi"/>
                <w:u w:val="single"/>
              </w:rPr>
            </w:pPr>
            <w:hyperlink r:id="rId26" w:tooltip="Kovo 17" w:history="1">
              <w:r w:rsidR="0058571D" w:rsidRPr="002624F5">
                <w:rPr>
                  <w:rStyle w:val="Hipersaitas"/>
                  <w:rFonts w:cstheme="minorHAnsi"/>
                  <w:color w:val="auto"/>
                </w:rPr>
                <w:t>Kovo 1</w:t>
              </w:r>
            </w:hyperlink>
            <w:r w:rsidR="0058571D" w:rsidRPr="002624F5">
              <w:rPr>
                <w:rFonts w:cstheme="minorHAnsi"/>
                <w:u w:val="single"/>
              </w:rPr>
              <w:t>9 d.</w:t>
            </w:r>
          </w:p>
        </w:tc>
        <w:tc>
          <w:tcPr>
            <w:tcW w:w="8364" w:type="dxa"/>
            <w:hideMark/>
          </w:tcPr>
          <w:p w14:paraId="7ADC51E1" w14:textId="77777777" w:rsidR="0058571D" w:rsidRPr="008535D4" w:rsidRDefault="0058571D" w:rsidP="002624F5">
            <w:pPr>
              <w:jc w:val="both"/>
              <w:rPr>
                <w:rFonts w:cstheme="minorHAnsi"/>
              </w:rPr>
            </w:pPr>
            <w:r w:rsidRPr="008535D4">
              <w:rPr>
                <w:rFonts w:cstheme="minorHAnsi"/>
              </w:rPr>
              <w:t xml:space="preserve">Pradėjo veikti interneto svetainė </w:t>
            </w:r>
            <w:hyperlink r:id="rId27" w:history="1">
              <w:r w:rsidRPr="008535D4">
                <w:rPr>
                  <w:rStyle w:val="Hipersaitas"/>
                  <w:rFonts w:cstheme="minorHAnsi"/>
                </w:rPr>
                <w:t>www.koronastop.lt</w:t>
              </w:r>
            </w:hyperlink>
            <w:r w:rsidRPr="008535D4">
              <w:rPr>
                <w:rFonts w:cstheme="minorHAnsi"/>
              </w:rPr>
              <w:t xml:space="preserve">, kurioje skelbiama visa informacija apie </w:t>
            </w:r>
            <w:proofErr w:type="spellStart"/>
            <w:r w:rsidRPr="008535D4">
              <w:rPr>
                <w:rFonts w:cstheme="minorHAnsi"/>
              </w:rPr>
              <w:t>koronavirusą</w:t>
            </w:r>
            <w:proofErr w:type="spellEnd"/>
            <w:r w:rsidRPr="008535D4">
              <w:rPr>
                <w:rFonts w:cstheme="minorHAnsi"/>
              </w:rPr>
              <w:t xml:space="preserve">. </w:t>
            </w:r>
          </w:p>
        </w:tc>
      </w:tr>
      <w:tr w:rsidR="0058571D" w:rsidRPr="008535D4" w14:paraId="6C503560" w14:textId="77777777" w:rsidTr="00AB4CB8">
        <w:tc>
          <w:tcPr>
            <w:tcW w:w="1701" w:type="dxa"/>
            <w:hideMark/>
          </w:tcPr>
          <w:p w14:paraId="789D5D66" w14:textId="77777777" w:rsidR="0058571D" w:rsidRPr="002624F5" w:rsidRDefault="00C64DAC" w:rsidP="002624F5">
            <w:pPr>
              <w:rPr>
                <w:rFonts w:cstheme="minorHAnsi"/>
                <w:u w:val="single"/>
              </w:rPr>
            </w:pPr>
            <w:hyperlink r:id="rId28" w:tooltip="Kovo 17" w:history="1">
              <w:r w:rsidR="0058571D" w:rsidRPr="002624F5">
                <w:rPr>
                  <w:rStyle w:val="Hipersaitas"/>
                  <w:rFonts w:cstheme="minorHAnsi"/>
                  <w:color w:val="auto"/>
                </w:rPr>
                <w:t xml:space="preserve">Kovo </w:t>
              </w:r>
            </w:hyperlink>
            <w:r w:rsidR="0058571D" w:rsidRPr="002624F5">
              <w:rPr>
                <w:rFonts w:cstheme="minorHAnsi"/>
                <w:u w:val="single"/>
              </w:rPr>
              <w:t>20 d., balandžio 22 d., gegužės 22 d.</w:t>
            </w:r>
          </w:p>
        </w:tc>
        <w:tc>
          <w:tcPr>
            <w:tcW w:w="8364" w:type="dxa"/>
            <w:hideMark/>
          </w:tcPr>
          <w:p w14:paraId="48151840" w14:textId="77777777" w:rsidR="0058571D" w:rsidRPr="008535D4" w:rsidRDefault="0058571D" w:rsidP="002624F5">
            <w:pPr>
              <w:jc w:val="both"/>
              <w:rPr>
                <w:rFonts w:cstheme="minorHAnsi"/>
              </w:rPr>
            </w:pPr>
            <w:r w:rsidRPr="008535D4">
              <w:rPr>
                <w:rFonts w:cstheme="minorHAnsi"/>
              </w:rPr>
              <w:t>Lietuvą pasiekė humanitarinės siuntos iš Kinijos (apsauginės kaukės, pirštinės), Taivano (apsauginės kaukės), Europos Komisijos (respiratoriai FFP2).</w:t>
            </w:r>
          </w:p>
        </w:tc>
      </w:tr>
      <w:tr w:rsidR="0058571D" w:rsidRPr="008535D4" w14:paraId="22B6220C" w14:textId="77777777" w:rsidTr="00AB4CB8">
        <w:tc>
          <w:tcPr>
            <w:tcW w:w="1701" w:type="dxa"/>
            <w:hideMark/>
          </w:tcPr>
          <w:p w14:paraId="5C1C93D1" w14:textId="77777777" w:rsidR="0058571D" w:rsidRPr="002624F5" w:rsidRDefault="00C64DAC" w:rsidP="002624F5">
            <w:pPr>
              <w:rPr>
                <w:rFonts w:cstheme="minorHAnsi"/>
                <w:u w:val="single"/>
              </w:rPr>
            </w:pPr>
            <w:hyperlink r:id="rId29" w:tooltip="Kovo 17" w:history="1">
              <w:r w:rsidR="0058571D" w:rsidRPr="002624F5">
                <w:rPr>
                  <w:rStyle w:val="Hipersaitas"/>
                  <w:rFonts w:cstheme="minorHAnsi"/>
                  <w:color w:val="auto"/>
                </w:rPr>
                <w:t xml:space="preserve">Kovo </w:t>
              </w:r>
            </w:hyperlink>
            <w:r w:rsidR="0058571D" w:rsidRPr="002624F5">
              <w:rPr>
                <w:rFonts w:cstheme="minorHAnsi"/>
                <w:u w:val="single"/>
              </w:rPr>
              <w:t>21 d.</w:t>
            </w:r>
          </w:p>
        </w:tc>
        <w:tc>
          <w:tcPr>
            <w:tcW w:w="8364" w:type="dxa"/>
            <w:hideMark/>
          </w:tcPr>
          <w:p w14:paraId="4F5FA127" w14:textId="77777777" w:rsidR="0058571D" w:rsidRPr="008535D4" w:rsidRDefault="0058571D" w:rsidP="002624F5">
            <w:pPr>
              <w:jc w:val="both"/>
              <w:rPr>
                <w:rFonts w:cstheme="minorHAnsi"/>
              </w:rPr>
            </w:pPr>
            <w:r w:rsidRPr="008535D4">
              <w:rPr>
                <w:rFonts w:cstheme="minorHAnsi"/>
              </w:rPr>
              <w:t xml:space="preserve">Pirmasis mirties atvejis nuo </w:t>
            </w:r>
            <w:proofErr w:type="spellStart"/>
            <w:r w:rsidRPr="008535D4">
              <w:rPr>
                <w:rFonts w:cstheme="minorHAnsi"/>
              </w:rPr>
              <w:t>koronaviruso</w:t>
            </w:r>
            <w:proofErr w:type="spellEnd"/>
            <w:r w:rsidRPr="008535D4">
              <w:rPr>
                <w:rFonts w:cstheme="minorHAnsi"/>
              </w:rPr>
              <w:t xml:space="preserve"> Lietuvoje. </w:t>
            </w:r>
          </w:p>
        </w:tc>
      </w:tr>
      <w:tr w:rsidR="0058571D" w:rsidRPr="008535D4" w14:paraId="7489838F" w14:textId="77777777" w:rsidTr="00AB4CB8">
        <w:tc>
          <w:tcPr>
            <w:tcW w:w="1701" w:type="dxa"/>
            <w:hideMark/>
          </w:tcPr>
          <w:p w14:paraId="4044E7C6" w14:textId="77777777" w:rsidR="0058571D" w:rsidRPr="002624F5" w:rsidRDefault="00C64DAC" w:rsidP="002624F5">
            <w:pPr>
              <w:rPr>
                <w:rFonts w:cstheme="minorHAnsi"/>
                <w:u w:val="single"/>
              </w:rPr>
            </w:pPr>
            <w:hyperlink r:id="rId30" w:tooltip="Kovo 17" w:history="1">
              <w:r w:rsidR="0058571D" w:rsidRPr="002624F5">
                <w:rPr>
                  <w:rStyle w:val="Hipersaitas"/>
                  <w:rFonts w:cstheme="minorHAnsi"/>
                  <w:color w:val="auto"/>
                </w:rPr>
                <w:t xml:space="preserve">Kovo </w:t>
              </w:r>
            </w:hyperlink>
            <w:r w:rsidR="0058571D" w:rsidRPr="002624F5">
              <w:rPr>
                <w:rFonts w:cstheme="minorHAnsi"/>
                <w:u w:val="single"/>
              </w:rPr>
              <w:t>22 – birželio 30 d.</w:t>
            </w:r>
          </w:p>
        </w:tc>
        <w:tc>
          <w:tcPr>
            <w:tcW w:w="8364" w:type="dxa"/>
            <w:hideMark/>
          </w:tcPr>
          <w:p w14:paraId="2E7C605C" w14:textId="77777777" w:rsidR="0058571D" w:rsidRPr="008535D4" w:rsidRDefault="0058571D" w:rsidP="002624F5">
            <w:pPr>
              <w:jc w:val="both"/>
              <w:rPr>
                <w:rFonts w:cstheme="minorHAnsi"/>
              </w:rPr>
            </w:pPr>
            <w:r w:rsidRPr="008535D4">
              <w:rPr>
                <w:rFonts w:cstheme="minorHAnsi"/>
              </w:rPr>
              <w:t>Į Lietuvą aktyviai gabentos ir gydymo, globos bei kitoms įstaigoms skirstytos asmens apsaugos priemonės, laboratorijoms – testavimo priemonės, pildytas medicinos valstybės rezervas.</w:t>
            </w:r>
          </w:p>
        </w:tc>
      </w:tr>
      <w:tr w:rsidR="0058571D" w:rsidRPr="008535D4" w14:paraId="6CD92475" w14:textId="77777777" w:rsidTr="00AB4CB8">
        <w:tc>
          <w:tcPr>
            <w:tcW w:w="1701" w:type="dxa"/>
            <w:shd w:val="clear" w:color="auto" w:fill="auto"/>
            <w:hideMark/>
          </w:tcPr>
          <w:p w14:paraId="5A88F27E" w14:textId="77777777" w:rsidR="0058571D" w:rsidRPr="002624F5" w:rsidRDefault="00C64DAC" w:rsidP="002624F5">
            <w:pPr>
              <w:rPr>
                <w:rFonts w:cstheme="minorHAnsi"/>
                <w:u w:val="single"/>
              </w:rPr>
            </w:pPr>
            <w:hyperlink r:id="rId31" w:tooltip="Kovo 17" w:history="1">
              <w:r w:rsidR="0058571D" w:rsidRPr="002624F5">
                <w:rPr>
                  <w:rStyle w:val="Hipersaitas"/>
                  <w:rFonts w:cstheme="minorHAnsi"/>
                  <w:color w:val="auto"/>
                </w:rPr>
                <w:t xml:space="preserve">Kovo </w:t>
              </w:r>
            </w:hyperlink>
            <w:r w:rsidR="0058571D" w:rsidRPr="002624F5">
              <w:rPr>
                <w:rFonts w:cstheme="minorHAnsi"/>
                <w:u w:val="single"/>
              </w:rPr>
              <w:t>22 d.</w:t>
            </w:r>
          </w:p>
        </w:tc>
        <w:tc>
          <w:tcPr>
            <w:tcW w:w="8364" w:type="dxa"/>
            <w:shd w:val="clear" w:color="auto" w:fill="auto"/>
            <w:hideMark/>
          </w:tcPr>
          <w:p w14:paraId="52CBBB31" w14:textId="77777777" w:rsidR="0058571D" w:rsidRPr="008535D4" w:rsidRDefault="0058571D" w:rsidP="002624F5">
            <w:pPr>
              <w:jc w:val="both"/>
              <w:rPr>
                <w:rFonts w:cstheme="minorHAnsi"/>
              </w:rPr>
            </w:pPr>
            <w:r w:rsidRPr="008535D4">
              <w:rPr>
                <w:rFonts w:cstheme="minorHAnsi"/>
              </w:rPr>
              <w:t>Lietuvoje karantinas pratęstas iki balandžio 13 d.</w:t>
            </w:r>
          </w:p>
        </w:tc>
      </w:tr>
      <w:tr w:rsidR="0058571D" w:rsidRPr="008535D4" w14:paraId="574DD904" w14:textId="77777777" w:rsidTr="00AB4CB8">
        <w:tc>
          <w:tcPr>
            <w:tcW w:w="1701" w:type="dxa"/>
            <w:hideMark/>
          </w:tcPr>
          <w:p w14:paraId="61589EA7" w14:textId="77777777" w:rsidR="0058571D" w:rsidRPr="002624F5" w:rsidRDefault="00C64DAC" w:rsidP="002624F5">
            <w:pPr>
              <w:rPr>
                <w:rFonts w:cstheme="minorHAnsi"/>
                <w:u w:val="single"/>
              </w:rPr>
            </w:pPr>
            <w:hyperlink r:id="rId32" w:tooltip="Kovo 25" w:history="1">
              <w:r w:rsidR="0058571D" w:rsidRPr="002624F5">
                <w:rPr>
                  <w:rStyle w:val="Hipersaitas"/>
                  <w:rFonts w:cstheme="minorHAnsi"/>
                  <w:color w:val="auto"/>
                </w:rPr>
                <w:t>Kovo 25</w:t>
              </w:r>
            </w:hyperlink>
            <w:r w:rsidR="0058571D" w:rsidRPr="002624F5">
              <w:rPr>
                <w:rFonts w:cstheme="minorHAnsi"/>
                <w:u w:val="single"/>
              </w:rPr>
              <w:t xml:space="preserve"> d.</w:t>
            </w:r>
          </w:p>
        </w:tc>
        <w:tc>
          <w:tcPr>
            <w:tcW w:w="8364" w:type="dxa"/>
            <w:hideMark/>
          </w:tcPr>
          <w:p w14:paraId="1FCB5A24" w14:textId="77777777" w:rsidR="0058571D" w:rsidRPr="008535D4" w:rsidRDefault="0058571D" w:rsidP="002624F5">
            <w:pPr>
              <w:jc w:val="both"/>
              <w:rPr>
                <w:rFonts w:cstheme="minorHAnsi"/>
              </w:rPr>
            </w:pPr>
            <w:r w:rsidRPr="008535D4">
              <w:rPr>
                <w:rFonts w:cstheme="minorHAnsi"/>
              </w:rPr>
              <w:t>Priimtas sprendimas suburti M</w:t>
            </w:r>
            <w:r w:rsidRPr="00073837">
              <w:rPr>
                <w:rFonts w:cstheme="minorHAnsi"/>
              </w:rPr>
              <w:t>inistro Pirmininko</w:t>
            </w:r>
            <w:r w:rsidRPr="008535D4">
              <w:rPr>
                <w:rFonts w:cstheme="minorHAnsi"/>
              </w:rPr>
              <w:t xml:space="preserve"> vadovaujamą specialųjį situacijos valdymo komitetą, kuris padėtų Vyriausybei valdyti ekstremaliąją padėtį.</w:t>
            </w:r>
          </w:p>
        </w:tc>
      </w:tr>
      <w:tr w:rsidR="0058571D" w:rsidRPr="008535D4" w14:paraId="68839781" w14:textId="77777777" w:rsidTr="00AB4CB8">
        <w:tc>
          <w:tcPr>
            <w:tcW w:w="1701" w:type="dxa"/>
          </w:tcPr>
          <w:p w14:paraId="608B424C" w14:textId="77777777" w:rsidR="0058571D" w:rsidRPr="002624F5" w:rsidRDefault="0058571D" w:rsidP="002624F5">
            <w:pPr>
              <w:rPr>
                <w:rFonts w:cstheme="minorHAnsi"/>
                <w:highlight w:val="yellow"/>
                <w:u w:val="single"/>
              </w:rPr>
            </w:pPr>
            <w:r w:rsidRPr="002624F5">
              <w:rPr>
                <w:rStyle w:val="Hipersaitas"/>
                <w:rFonts w:cstheme="minorHAnsi"/>
                <w:color w:val="auto"/>
              </w:rPr>
              <w:t>Kovo 30 d.</w:t>
            </w:r>
          </w:p>
        </w:tc>
        <w:tc>
          <w:tcPr>
            <w:tcW w:w="8364" w:type="dxa"/>
          </w:tcPr>
          <w:p w14:paraId="597B4143" w14:textId="77777777" w:rsidR="0058571D" w:rsidRPr="008535D4" w:rsidRDefault="0058571D" w:rsidP="002624F5">
            <w:pPr>
              <w:jc w:val="both"/>
              <w:rPr>
                <w:rFonts w:cstheme="minorHAnsi"/>
                <w:highlight w:val="yellow"/>
              </w:rPr>
            </w:pPr>
            <w:r w:rsidRPr="008535D4">
              <w:rPr>
                <w:rFonts w:cstheme="minorHAnsi"/>
              </w:rPr>
              <w:t>Bendrasis ugdymas pradėtas vykdyti nuotoliniu būdu.</w:t>
            </w:r>
          </w:p>
        </w:tc>
      </w:tr>
      <w:tr w:rsidR="0058571D" w:rsidRPr="008535D4" w14:paraId="156A0DED" w14:textId="77777777" w:rsidTr="00AB4CB8">
        <w:trPr>
          <w:trHeight w:val="593"/>
        </w:trPr>
        <w:tc>
          <w:tcPr>
            <w:tcW w:w="1701" w:type="dxa"/>
            <w:hideMark/>
          </w:tcPr>
          <w:p w14:paraId="1B582CD9" w14:textId="77777777" w:rsidR="0058571D" w:rsidRPr="002624F5" w:rsidRDefault="0058571D" w:rsidP="002624F5">
            <w:pPr>
              <w:rPr>
                <w:rFonts w:cstheme="minorHAnsi"/>
                <w:u w:val="single"/>
              </w:rPr>
            </w:pPr>
            <w:r w:rsidRPr="002624F5">
              <w:rPr>
                <w:rFonts w:cstheme="minorHAnsi"/>
                <w:u w:val="single"/>
              </w:rPr>
              <w:t>Kovo 31 d.</w:t>
            </w:r>
          </w:p>
        </w:tc>
        <w:tc>
          <w:tcPr>
            <w:tcW w:w="8364" w:type="dxa"/>
            <w:hideMark/>
          </w:tcPr>
          <w:p w14:paraId="20BD3369" w14:textId="77777777" w:rsidR="0058571D" w:rsidRPr="008535D4" w:rsidRDefault="0058571D" w:rsidP="002624F5">
            <w:pPr>
              <w:jc w:val="both"/>
              <w:rPr>
                <w:rFonts w:cstheme="minorHAnsi"/>
              </w:rPr>
            </w:pPr>
            <w:r w:rsidRPr="008535D4">
              <w:rPr>
                <w:rFonts w:cstheme="minorHAnsi"/>
              </w:rPr>
              <w:t xml:space="preserve">Pradėjo veikti karščiavimo klinikos, kuriose viršutinių kvėpavimo takų infekcijos simptomų turintiems pacientams atliekami išsamesni tyrimai, įtariant </w:t>
            </w:r>
            <w:proofErr w:type="spellStart"/>
            <w:r w:rsidRPr="008535D4">
              <w:rPr>
                <w:rFonts w:cstheme="minorHAnsi"/>
              </w:rPr>
              <w:t>koronaviruso</w:t>
            </w:r>
            <w:proofErr w:type="spellEnd"/>
            <w:r w:rsidRPr="008535D4">
              <w:rPr>
                <w:rFonts w:cstheme="minorHAnsi"/>
              </w:rPr>
              <w:t xml:space="preserve"> infekciją.</w:t>
            </w:r>
          </w:p>
        </w:tc>
      </w:tr>
      <w:tr w:rsidR="0058571D" w:rsidRPr="008535D4" w14:paraId="44ADB3C4" w14:textId="77777777" w:rsidTr="00AB4CB8">
        <w:trPr>
          <w:trHeight w:val="203"/>
        </w:trPr>
        <w:tc>
          <w:tcPr>
            <w:tcW w:w="1701" w:type="dxa"/>
          </w:tcPr>
          <w:p w14:paraId="20A4FB37" w14:textId="77777777" w:rsidR="0058571D" w:rsidRPr="002624F5" w:rsidRDefault="0058571D" w:rsidP="002624F5">
            <w:pPr>
              <w:rPr>
                <w:rFonts w:cstheme="minorHAnsi"/>
              </w:rPr>
            </w:pPr>
            <w:r w:rsidRPr="002624F5">
              <w:rPr>
                <w:rFonts w:cstheme="minorHAnsi"/>
              </w:rPr>
              <w:t xml:space="preserve">Kovas–balandis </w:t>
            </w:r>
          </w:p>
        </w:tc>
        <w:tc>
          <w:tcPr>
            <w:tcW w:w="8364" w:type="dxa"/>
          </w:tcPr>
          <w:p w14:paraId="744636B5" w14:textId="77777777" w:rsidR="0058571D" w:rsidRPr="008535D4" w:rsidRDefault="0058571D" w:rsidP="002624F5">
            <w:pPr>
              <w:jc w:val="both"/>
              <w:rPr>
                <w:rFonts w:cstheme="minorHAnsi"/>
              </w:rPr>
            </w:pPr>
            <w:r w:rsidRPr="008535D4">
              <w:rPr>
                <w:rFonts w:cstheme="minorHAnsi"/>
              </w:rPr>
              <w:t xml:space="preserve">Organizuota daugiau kaip 20 </w:t>
            </w:r>
            <w:proofErr w:type="spellStart"/>
            <w:r w:rsidRPr="008535D4">
              <w:rPr>
                <w:rFonts w:cstheme="minorHAnsi"/>
              </w:rPr>
              <w:t>repatriacinių</w:t>
            </w:r>
            <w:proofErr w:type="spellEnd"/>
            <w:r w:rsidRPr="008535D4">
              <w:rPr>
                <w:rFonts w:cstheme="minorHAnsi"/>
              </w:rPr>
              <w:t xml:space="preserve"> komercinių skrydžių į Lietuvą.</w:t>
            </w:r>
          </w:p>
        </w:tc>
      </w:tr>
      <w:tr w:rsidR="0058571D" w:rsidRPr="008535D4" w14:paraId="24A427B4" w14:textId="77777777" w:rsidTr="00AB4CB8">
        <w:tc>
          <w:tcPr>
            <w:tcW w:w="1701" w:type="dxa"/>
            <w:hideMark/>
          </w:tcPr>
          <w:p w14:paraId="56D64357" w14:textId="77777777" w:rsidR="0058571D" w:rsidRPr="002624F5" w:rsidRDefault="00C64DAC" w:rsidP="002624F5">
            <w:pPr>
              <w:rPr>
                <w:rFonts w:cstheme="minorHAnsi"/>
              </w:rPr>
            </w:pPr>
            <w:hyperlink r:id="rId33" w:tooltip="Balandžio 8" w:history="1">
              <w:r w:rsidR="0058571D" w:rsidRPr="002624F5">
                <w:rPr>
                  <w:rStyle w:val="Hipersaitas"/>
                  <w:rFonts w:cstheme="minorHAnsi"/>
                  <w:color w:val="auto"/>
                  <w:u w:val="none"/>
                </w:rPr>
                <w:t>Balandžio 8</w:t>
              </w:r>
            </w:hyperlink>
            <w:r w:rsidR="0058571D" w:rsidRPr="002624F5">
              <w:rPr>
                <w:rFonts w:cstheme="minorHAnsi"/>
              </w:rPr>
              <w:t> d. </w:t>
            </w:r>
          </w:p>
        </w:tc>
        <w:tc>
          <w:tcPr>
            <w:tcW w:w="8364" w:type="dxa"/>
            <w:hideMark/>
          </w:tcPr>
          <w:p w14:paraId="74E231FA" w14:textId="77777777" w:rsidR="0058571D" w:rsidRPr="008535D4" w:rsidRDefault="0058571D" w:rsidP="002624F5">
            <w:pPr>
              <w:jc w:val="both"/>
              <w:rPr>
                <w:rFonts w:cstheme="minorHAnsi"/>
              </w:rPr>
            </w:pPr>
            <w:r w:rsidRPr="008535D4">
              <w:rPr>
                <w:rFonts w:cstheme="minorHAnsi"/>
              </w:rPr>
              <w:t xml:space="preserve">Vyriausybė pranešė apie draudimą </w:t>
            </w:r>
            <w:r w:rsidRPr="00073837">
              <w:rPr>
                <w:rFonts w:cstheme="minorHAnsi"/>
              </w:rPr>
              <w:t>Velykų</w:t>
            </w:r>
            <w:r w:rsidRPr="008535D4">
              <w:rPr>
                <w:rFonts w:cstheme="minorHAnsi"/>
              </w:rPr>
              <w:t xml:space="preserve"> savaitgalį į visas </w:t>
            </w:r>
            <w:r w:rsidRPr="00073837">
              <w:rPr>
                <w:rFonts w:cstheme="minorHAnsi"/>
              </w:rPr>
              <w:t>gyvenvietes</w:t>
            </w:r>
            <w:r w:rsidRPr="008535D4">
              <w:rPr>
                <w:rFonts w:cstheme="minorHAnsi"/>
              </w:rPr>
              <w:t xml:space="preserve"> atvykti ne jų gyventojams.</w:t>
            </w:r>
          </w:p>
        </w:tc>
      </w:tr>
      <w:tr w:rsidR="0058571D" w:rsidRPr="008535D4" w14:paraId="4B113CF6" w14:textId="77777777" w:rsidTr="00AB4CB8">
        <w:tc>
          <w:tcPr>
            <w:tcW w:w="1701" w:type="dxa"/>
            <w:shd w:val="clear" w:color="auto" w:fill="auto"/>
            <w:hideMark/>
          </w:tcPr>
          <w:p w14:paraId="4893DCD0" w14:textId="77777777" w:rsidR="0058571D" w:rsidRPr="002624F5" w:rsidRDefault="00C64DAC" w:rsidP="002624F5">
            <w:pPr>
              <w:rPr>
                <w:rFonts w:cstheme="minorHAnsi"/>
              </w:rPr>
            </w:pPr>
            <w:hyperlink r:id="rId34" w:tooltip="Balandžio 8" w:history="1">
              <w:r w:rsidR="0058571D" w:rsidRPr="002624F5">
                <w:rPr>
                  <w:rStyle w:val="Hipersaitas"/>
                  <w:rFonts w:cstheme="minorHAnsi"/>
                  <w:color w:val="auto"/>
                  <w:u w:val="none"/>
                </w:rPr>
                <w:t>Balandžio 8</w:t>
              </w:r>
            </w:hyperlink>
            <w:r w:rsidR="0058571D" w:rsidRPr="002624F5">
              <w:rPr>
                <w:rFonts w:cstheme="minorHAnsi"/>
              </w:rPr>
              <w:t> d. </w:t>
            </w:r>
          </w:p>
        </w:tc>
        <w:tc>
          <w:tcPr>
            <w:tcW w:w="8364" w:type="dxa"/>
            <w:shd w:val="clear" w:color="auto" w:fill="auto"/>
            <w:hideMark/>
          </w:tcPr>
          <w:p w14:paraId="6B8AE8C8" w14:textId="77777777" w:rsidR="0058571D" w:rsidRPr="008535D4" w:rsidRDefault="0058571D" w:rsidP="002624F5">
            <w:pPr>
              <w:jc w:val="both"/>
              <w:rPr>
                <w:rFonts w:cstheme="minorHAnsi"/>
              </w:rPr>
            </w:pPr>
            <w:r w:rsidRPr="008535D4">
              <w:rPr>
                <w:rFonts w:cstheme="minorHAnsi"/>
              </w:rPr>
              <w:t>Lietuvoje karantinas pratęstas iki balandžio 27 d.</w:t>
            </w:r>
          </w:p>
        </w:tc>
      </w:tr>
      <w:tr w:rsidR="0058571D" w:rsidRPr="008535D4" w14:paraId="50497F65" w14:textId="77777777" w:rsidTr="00AB4CB8">
        <w:tc>
          <w:tcPr>
            <w:tcW w:w="1701" w:type="dxa"/>
            <w:shd w:val="clear" w:color="auto" w:fill="auto"/>
            <w:hideMark/>
          </w:tcPr>
          <w:p w14:paraId="6F5C9064" w14:textId="77777777" w:rsidR="0058571D" w:rsidRPr="002624F5" w:rsidRDefault="00C64DAC" w:rsidP="002624F5">
            <w:pPr>
              <w:rPr>
                <w:rFonts w:cstheme="minorHAnsi"/>
              </w:rPr>
            </w:pPr>
            <w:hyperlink r:id="rId35" w:tooltip="Balandžio 15" w:history="1">
              <w:r w:rsidR="0058571D" w:rsidRPr="002624F5">
                <w:rPr>
                  <w:rStyle w:val="Hipersaitas"/>
                  <w:rFonts w:cstheme="minorHAnsi"/>
                  <w:color w:val="auto"/>
                  <w:u w:val="none"/>
                </w:rPr>
                <w:t>Balandžio 15</w:t>
              </w:r>
            </w:hyperlink>
            <w:r w:rsidR="0058571D" w:rsidRPr="002624F5">
              <w:rPr>
                <w:rFonts w:cstheme="minorHAnsi"/>
              </w:rPr>
              <w:t> d. </w:t>
            </w:r>
          </w:p>
        </w:tc>
        <w:tc>
          <w:tcPr>
            <w:tcW w:w="8364" w:type="dxa"/>
            <w:shd w:val="clear" w:color="auto" w:fill="auto"/>
            <w:hideMark/>
          </w:tcPr>
          <w:p w14:paraId="4D1C432A" w14:textId="77777777" w:rsidR="0058571D" w:rsidRPr="008535D4" w:rsidRDefault="0058571D" w:rsidP="002624F5">
            <w:pPr>
              <w:jc w:val="both"/>
              <w:rPr>
                <w:rFonts w:cstheme="minorHAnsi"/>
              </w:rPr>
            </w:pPr>
            <w:r w:rsidRPr="008535D4">
              <w:rPr>
                <w:rFonts w:cstheme="minorHAnsi"/>
              </w:rPr>
              <w:t>Pradėtas karantino švelninimas.</w:t>
            </w:r>
          </w:p>
        </w:tc>
      </w:tr>
      <w:tr w:rsidR="0058571D" w:rsidRPr="008535D4" w14:paraId="5648F902" w14:textId="77777777" w:rsidTr="00AB4CB8">
        <w:tc>
          <w:tcPr>
            <w:tcW w:w="1701" w:type="dxa"/>
            <w:hideMark/>
          </w:tcPr>
          <w:p w14:paraId="2EA91711" w14:textId="77777777" w:rsidR="0058571D" w:rsidRPr="002624F5" w:rsidRDefault="00C64DAC" w:rsidP="002624F5">
            <w:pPr>
              <w:rPr>
                <w:rFonts w:cstheme="minorHAnsi"/>
              </w:rPr>
            </w:pPr>
            <w:hyperlink r:id="rId36" w:tooltip="Balandžio 15" w:history="1">
              <w:r w:rsidR="0058571D" w:rsidRPr="002624F5">
                <w:rPr>
                  <w:rStyle w:val="Hipersaitas"/>
                  <w:rFonts w:cstheme="minorHAnsi"/>
                  <w:color w:val="auto"/>
                  <w:u w:val="none"/>
                </w:rPr>
                <w:t>Balandžio 15</w:t>
              </w:r>
            </w:hyperlink>
            <w:r w:rsidR="0058571D" w:rsidRPr="002624F5">
              <w:rPr>
                <w:rFonts w:cstheme="minorHAnsi"/>
              </w:rPr>
              <w:t> d. </w:t>
            </w:r>
          </w:p>
        </w:tc>
        <w:tc>
          <w:tcPr>
            <w:tcW w:w="8364" w:type="dxa"/>
            <w:hideMark/>
          </w:tcPr>
          <w:p w14:paraId="27E6A4B2" w14:textId="77777777" w:rsidR="0058571D" w:rsidRPr="008535D4" w:rsidRDefault="0058571D" w:rsidP="002624F5">
            <w:pPr>
              <w:jc w:val="both"/>
              <w:rPr>
                <w:rFonts w:cstheme="minorHAnsi"/>
              </w:rPr>
            </w:pPr>
            <w:r w:rsidRPr="008535D4">
              <w:rPr>
                <w:rFonts w:cstheme="minorHAnsi"/>
              </w:rPr>
              <w:t xml:space="preserve">Dėl ligos protrūkio vietos fabrike nuspręsta uždaryti </w:t>
            </w:r>
            <w:r w:rsidRPr="00073837">
              <w:rPr>
                <w:rFonts w:cstheme="minorHAnsi"/>
              </w:rPr>
              <w:t>Nemenčinės</w:t>
            </w:r>
            <w:r w:rsidRPr="008535D4">
              <w:rPr>
                <w:rFonts w:cstheme="minorHAnsi"/>
              </w:rPr>
              <w:t xml:space="preserve"> miestelį (balandžio 16–30 d.). </w:t>
            </w:r>
          </w:p>
        </w:tc>
      </w:tr>
      <w:tr w:rsidR="0058571D" w:rsidRPr="008535D4" w14:paraId="44627D7C" w14:textId="77777777" w:rsidTr="00AB4CB8">
        <w:tc>
          <w:tcPr>
            <w:tcW w:w="1701" w:type="dxa"/>
            <w:hideMark/>
          </w:tcPr>
          <w:p w14:paraId="4885B258" w14:textId="77777777" w:rsidR="0058571D" w:rsidRPr="002624F5" w:rsidRDefault="00C64DAC" w:rsidP="002624F5">
            <w:pPr>
              <w:rPr>
                <w:rFonts w:cstheme="minorHAnsi"/>
              </w:rPr>
            </w:pPr>
            <w:hyperlink r:id="rId37" w:tooltip="Balandžio 15" w:history="1">
              <w:r w:rsidR="0058571D" w:rsidRPr="002624F5">
                <w:rPr>
                  <w:rStyle w:val="Hipersaitas"/>
                  <w:rFonts w:cstheme="minorHAnsi"/>
                  <w:color w:val="auto"/>
                  <w:u w:val="none"/>
                </w:rPr>
                <w:t>Balandžio 15</w:t>
              </w:r>
            </w:hyperlink>
            <w:r w:rsidR="0058571D" w:rsidRPr="002624F5">
              <w:rPr>
                <w:rFonts w:cstheme="minorHAnsi"/>
              </w:rPr>
              <w:t> d. </w:t>
            </w:r>
          </w:p>
        </w:tc>
        <w:tc>
          <w:tcPr>
            <w:tcW w:w="8364" w:type="dxa"/>
            <w:hideMark/>
          </w:tcPr>
          <w:p w14:paraId="4C17B408" w14:textId="77777777" w:rsidR="0058571D" w:rsidRPr="008535D4" w:rsidRDefault="0058571D" w:rsidP="002624F5">
            <w:pPr>
              <w:jc w:val="both"/>
              <w:rPr>
                <w:rFonts w:cstheme="minorHAnsi"/>
              </w:rPr>
            </w:pPr>
            <w:r w:rsidRPr="008535D4">
              <w:rPr>
                <w:rFonts w:cstheme="minorHAnsi"/>
              </w:rPr>
              <w:t>Vyriausybė pristatė keturių etapų karantino pabaigos planą.</w:t>
            </w:r>
          </w:p>
        </w:tc>
      </w:tr>
      <w:tr w:rsidR="0058571D" w:rsidRPr="008535D4" w14:paraId="2648E9CE" w14:textId="77777777" w:rsidTr="00AB4CB8">
        <w:tc>
          <w:tcPr>
            <w:tcW w:w="1701" w:type="dxa"/>
            <w:hideMark/>
          </w:tcPr>
          <w:p w14:paraId="1174CB14" w14:textId="77777777" w:rsidR="0058571D" w:rsidRPr="002624F5" w:rsidRDefault="0058571D" w:rsidP="002624F5">
            <w:pPr>
              <w:rPr>
                <w:rFonts w:cstheme="minorHAnsi"/>
              </w:rPr>
            </w:pPr>
            <w:r w:rsidRPr="002624F5">
              <w:rPr>
                <w:rFonts w:cstheme="minorHAnsi"/>
              </w:rPr>
              <w:t>Balandžio 16 d.</w:t>
            </w:r>
          </w:p>
        </w:tc>
        <w:tc>
          <w:tcPr>
            <w:tcW w:w="8364" w:type="dxa"/>
            <w:hideMark/>
          </w:tcPr>
          <w:p w14:paraId="489F6740" w14:textId="77777777" w:rsidR="0058571D" w:rsidRPr="008535D4" w:rsidRDefault="0058571D" w:rsidP="002624F5">
            <w:pPr>
              <w:jc w:val="both"/>
              <w:rPr>
                <w:rFonts w:cstheme="minorHAnsi"/>
              </w:rPr>
            </w:pPr>
            <w:r w:rsidRPr="008535D4">
              <w:rPr>
                <w:rFonts w:cstheme="minorHAnsi"/>
              </w:rPr>
              <w:t xml:space="preserve">Pradėjo veikti emocinės paramos linija 1809 ir interneto svetainė </w:t>
            </w:r>
            <w:hyperlink r:id="rId38" w:history="1">
              <w:r w:rsidRPr="008535D4">
                <w:rPr>
                  <w:rStyle w:val="Hipersaitas"/>
                  <w:rFonts w:cstheme="minorHAnsi"/>
                </w:rPr>
                <w:t>www.pagalbasau.lt</w:t>
              </w:r>
            </w:hyperlink>
            <w:r w:rsidRPr="008535D4">
              <w:rPr>
                <w:rFonts w:cstheme="minorHAnsi"/>
              </w:rPr>
              <w:t xml:space="preserve">. </w:t>
            </w:r>
          </w:p>
        </w:tc>
      </w:tr>
      <w:tr w:rsidR="0058571D" w:rsidRPr="008535D4" w14:paraId="580DD528" w14:textId="77777777" w:rsidTr="00AB4CB8">
        <w:tc>
          <w:tcPr>
            <w:tcW w:w="1701" w:type="dxa"/>
            <w:shd w:val="clear" w:color="auto" w:fill="auto"/>
            <w:hideMark/>
          </w:tcPr>
          <w:p w14:paraId="563E385C" w14:textId="77777777" w:rsidR="0058571D" w:rsidRPr="00810199" w:rsidRDefault="0058571D" w:rsidP="002624F5">
            <w:pPr>
              <w:rPr>
                <w:rFonts w:cstheme="minorHAnsi"/>
              </w:rPr>
            </w:pPr>
            <w:r w:rsidRPr="00810199">
              <w:rPr>
                <w:rFonts w:cstheme="minorHAnsi"/>
              </w:rPr>
              <w:t>Balandžio 22 d.</w:t>
            </w:r>
          </w:p>
        </w:tc>
        <w:tc>
          <w:tcPr>
            <w:tcW w:w="8364" w:type="dxa"/>
            <w:shd w:val="clear" w:color="auto" w:fill="auto"/>
            <w:hideMark/>
          </w:tcPr>
          <w:p w14:paraId="2C0507ED" w14:textId="77777777" w:rsidR="0058571D" w:rsidRPr="008535D4" w:rsidRDefault="0058571D" w:rsidP="002624F5">
            <w:pPr>
              <w:jc w:val="both"/>
              <w:rPr>
                <w:rFonts w:cstheme="minorHAnsi"/>
              </w:rPr>
            </w:pPr>
            <w:r w:rsidRPr="008535D4">
              <w:rPr>
                <w:rFonts w:cstheme="minorHAnsi"/>
              </w:rPr>
              <w:t>Lietuvoje karantinas pratęstas iki gegužės 11 d., toliau švelninant jo sąlygas.</w:t>
            </w:r>
          </w:p>
        </w:tc>
      </w:tr>
      <w:tr w:rsidR="0058571D" w:rsidRPr="008535D4" w14:paraId="438B92C2" w14:textId="77777777" w:rsidTr="00AB4CB8">
        <w:tc>
          <w:tcPr>
            <w:tcW w:w="1701" w:type="dxa"/>
            <w:hideMark/>
          </w:tcPr>
          <w:p w14:paraId="25B73301" w14:textId="77777777" w:rsidR="0058571D" w:rsidRPr="00810199" w:rsidRDefault="0058571D" w:rsidP="002624F5">
            <w:pPr>
              <w:rPr>
                <w:rFonts w:cstheme="minorHAnsi"/>
              </w:rPr>
            </w:pPr>
            <w:r w:rsidRPr="00810199">
              <w:rPr>
                <w:rFonts w:cstheme="minorHAnsi"/>
              </w:rPr>
              <w:t>Balandžio 29 d.</w:t>
            </w:r>
          </w:p>
        </w:tc>
        <w:tc>
          <w:tcPr>
            <w:tcW w:w="8364" w:type="dxa"/>
            <w:hideMark/>
          </w:tcPr>
          <w:p w14:paraId="002C6E2E" w14:textId="77777777" w:rsidR="0058571D" w:rsidRPr="008535D4" w:rsidRDefault="0058571D" w:rsidP="002624F5">
            <w:pPr>
              <w:jc w:val="both"/>
              <w:rPr>
                <w:rFonts w:cstheme="minorHAnsi"/>
              </w:rPr>
            </w:pPr>
            <w:r w:rsidRPr="008535D4">
              <w:rPr>
                <w:rFonts w:cstheme="minorHAnsi"/>
              </w:rPr>
              <w:t>Vyriausybė nustatė tvarką, kaip bus skiriami priedai gydymo įstaigų darbuotojams, kurie dirba su ypač pavojingomis užkrečiamosiomis ligomis sergančiais pacientais, ir sveikatos priežiūros specialistams, kurie vykdo prevenciją ypač pavojingų užkrečiamųjų ligų židiniuose. Seimas jau anksčiau buvo pritaręs sprendimui šiems darbuotojams mokėti 60–100 proc. didesnius atlyginimus. Nustatyta, kad priedai bus mokami nuo karantino paskelbimo mėnesio pradžios, t. y. nuo kovo, iki karantino galiojimo mėnesio pabaigos. </w:t>
            </w:r>
          </w:p>
        </w:tc>
      </w:tr>
      <w:tr w:rsidR="0058571D" w:rsidRPr="008535D4" w14:paraId="6BE38613" w14:textId="77777777" w:rsidTr="00AB4CB8">
        <w:tc>
          <w:tcPr>
            <w:tcW w:w="1701" w:type="dxa"/>
          </w:tcPr>
          <w:p w14:paraId="5C89F138" w14:textId="77777777" w:rsidR="0058571D" w:rsidRPr="00810199" w:rsidRDefault="0058571D" w:rsidP="002624F5">
            <w:pPr>
              <w:rPr>
                <w:rFonts w:cstheme="minorHAnsi"/>
              </w:rPr>
            </w:pPr>
            <w:r w:rsidRPr="00810199">
              <w:rPr>
                <w:rFonts w:cstheme="minorHAnsi"/>
              </w:rPr>
              <w:t>Balandis–liepa</w:t>
            </w:r>
          </w:p>
        </w:tc>
        <w:tc>
          <w:tcPr>
            <w:tcW w:w="8364" w:type="dxa"/>
          </w:tcPr>
          <w:p w14:paraId="32F7EA47" w14:textId="77777777" w:rsidR="0058571D" w:rsidRPr="008535D4" w:rsidRDefault="0058571D" w:rsidP="002624F5">
            <w:pPr>
              <w:jc w:val="both"/>
              <w:rPr>
                <w:rFonts w:cstheme="minorHAnsi"/>
              </w:rPr>
            </w:pPr>
            <w:r w:rsidRPr="008535D4">
              <w:rPr>
                <w:rFonts w:cstheme="minorHAnsi"/>
              </w:rPr>
              <w:t xml:space="preserve">Suteikta humanitarinė pagalba Italijai, Ispanijai, Palestinai (balandžio 8 d.), Armėnijai, </w:t>
            </w:r>
            <w:proofErr w:type="spellStart"/>
            <w:r w:rsidRPr="008535D4">
              <w:rPr>
                <w:rFonts w:cstheme="minorHAnsi"/>
              </w:rPr>
              <w:t>Sakartvelui</w:t>
            </w:r>
            <w:proofErr w:type="spellEnd"/>
            <w:r w:rsidRPr="008535D4">
              <w:rPr>
                <w:rFonts w:cstheme="minorHAnsi"/>
              </w:rPr>
              <w:t xml:space="preserve">, Moldovai ir Ukrainai (balandžio 22 d.), </w:t>
            </w:r>
            <w:proofErr w:type="spellStart"/>
            <w:r w:rsidRPr="008535D4">
              <w:rPr>
                <w:rFonts w:cstheme="minorHAnsi"/>
              </w:rPr>
              <w:t>Juntinėms</w:t>
            </w:r>
            <w:proofErr w:type="spellEnd"/>
            <w:r w:rsidRPr="008535D4">
              <w:rPr>
                <w:rFonts w:cstheme="minorHAnsi"/>
              </w:rPr>
              <w:t xml:space="preserve"> Amerikos Valstijoms (gegužės 20 d.), Baltarusijai (gegužės 27 d.), Jemenui (liepos 8 d.), Uzbekistanui (liepos 22 d.), Pietų Afrikos Respublikai (liepos 29 d.), organizuota pagalbos misija Armėnijoje (birželio 17–liepos 4 d.).  </w:t>
            </w:r>
          </w:p>
        </w:tc>
      </w:tr>
      <w:tr w:rsidR="0058571D" w:rsidRPr="008535D4" w14:paraId="137E3B35" w14:textId="77777777" w:rsidTr="00AB4CB8">
        <w:tc>
          <w:tcPr>
            <w:tcW w:w="1701" w:type="dxa"/>
            <w:hideMark/>
          </w:tcPr>
          <w:p w14:paraId="129B7068" w14:textId="77777777" w:rsidR="0058571D" w:rsidRPr="00810199" w:rsidRDefault="0058571D" w:rsidP="002624F5">
            <w:pPr>
              <w:rPr>
                <w:rFonts w:cstheme="minorHAnsi"/>
              </w:rPr>
            </w:pPr>
            <w:r w:rsidRPr="00810199">
              <w:rPr>
                <w:rFonts w:cstheme="minorHAnsi"/>
              </w:rPr>
              <w:t>Gegužės 1–3 d.</w:t>
            </w:r>
          </w:p>
        </w:tc>
        <w:tc>
          <w:tcPr>
            <w:tcW w:w="8364" w:type="dxa"/>
            <w:hideMark/>
          </w:tcPr>
          <w:p w14:paraId="7033EFAA" w14:textId="77777777" w:rsidR="0058571D" w:rsidRPr="008535D4" w:rsidRDefault="0058571D" w:rsidP="0058571D">
            <w:pPr>
              <w:jc w:val="both"/>
              <w:rPr>
                <w:rFonts w:cstheme="minorHAnsi"/>
              </w:rPr>
            </w:pPr>
            <w:r w:rsidRPr="008535D4">
              <w:rPr>
                <w:rFonts w:cstheme="minorHAnsi"/>
              </w:rPr>
              <w:t xml:space="preserve">Pradėti tirti visi norintys ir nejaučiantys jokių </w:t>
            </w:r>
            <w:proofErr w:type="spellStart"/>
            <w:r w:rsidRPr="008535D4">
              <w:rPr>
                <w:rFonts w:cstheme="minorHAnsi"/>
              </w:rPr>
              <w:t>koronaviruso</w:t>
            </w:r>
            <w:proofErr w:type="spellEnd"/>
            <w:r w:rsidRPr="008535D4">
              <w:rPr>
                <w:rFonts w:cstheme="minorHAnsi"/>
              </w:rPr>
              <w:t xml:space="preserve"> simptomų asmenys (išdalyta beveik 9 tūkst. kvietimų, pasitikrino 3 762 žmonės).</w:t>
            </w:r>
          </w:p>
        </w:tc>
      </w:tr>
      <w:tr w:rsidR="0058571D" w:rsidRPr="008535D4" w14:paraId="296D8048" w14:textId="77777777" w:rsidTr="00AB4CB8">
        <w:tc>
          <w:tcPr>
            <w:tcW w:w="1701" w:type="dxa"/>
            <w:hideMark/>
          </w:tcPr>
          <w:p w14:paraId="6CB209D6" w14:textId="77777777" w:rsidR="0058571D" w:rsidRPr="00810199" w:rsidRDefault="0058571D" w:rsidP="002624F5">
            <w:pPr>
              <w:rPr>
                <w:rFonts w:cstheme="minorHAnsi"/>
              </w:rPr>
            </w:pPr>
            <w:r w:rsidRPr="00810199">
              <w:rPr>
                <w:rFonts w:cstheme="minorHAnsi"/>
              </w:rPr>
              <w:t>Gegužės 6 d.</w:t>
            </w:r>
          </w:p>
        </w:tc>
        <w:tc>
          <w:tcPr>
            <w:tcW w:w="8364" w:type="dxa"/>
            <w:hideMark/>
          </w:tcPr>
          <w:p w14:paraId="05304FAE" w14:textId="77777777" w:rsidR="0058571D" w:rsidRPr="008535D4" w:rsidRDefault="0058571D" w:rsidP="0058571D">
            <w:pPr>
              <w:jc w:val="both"/>
              <w:rPr>
                <w:rFonts w:cstheme="minorHAnsi"/>
              </w:rPr>
            </w:pPr>
            <w:r w:rsidRPr="008535D4">
              <w:rPr>
                <w:rFonts w:cstheme="minorHAnsi"/>
              </w:rPr>
              <w:t>Vyriausybė patvirtino COVID-19 valdymo strategiją 2 metams.</w:t>
            </w:r>
          </w:p>
        </w:tc>
      </w:tr>
      <w:tr w:rsidR="0058571D" w:rsidRPr="008535D4" w14:paraId="5AADADE1" w14:textId="77777777" w:rsidTr="00AB4CB8">
        <w:tc>
          <w:tcPr>
            <w:tcW w:w="1701" w:type="dxa"/>
            <w:shd w:val="clear" w:color="auto" w:fill="auto"/>
            <w:hideMark/>
          </w:tcPr>
          <w:p w14:paraId="68DF1B3A" w14:textId="77777777" w:rsidR="0058571D" w:rsidRPr="00810199" w:rsidRDefault="0058571D" w:rsidP="002624F5">
            <w:pPr>
              <w:rPr>
                <w:rFonts w:cstheme="minorHAnsi"/>
              </w:rPr>
            </w:pPr>
            <w:r w:rsidRPr="00810199">
              <w:rPr>
                <w:rFonts w:cstheme="minorHAnsi"/>
              </w:rPr>
              <w:t>Gegužės 6 d.</w:t>
            </w:r>
          </w:p>
        </w:tc>
        <w:tc>
          <w:tcPr>
            <w:tcW w:w="8364" w:type="dxa"/>
            <w:shd w:val="clear" w:color="auto" w:fill="auto"/>
            <w:hideMark/>
          </w:tcPr>
          <w:p w14:paraId="52246E70" w14:textId="77777777" w:rsidR="0058571D" w:rsidRPr="008535D4" w:rsidRDefault="0058571D" w:rsidP="0058571D">
            <w:pPr>
              <w:jc w:val="both"/>
              <w:rPr>
                <w:rFonts w:cstheme="minorHAnsi"/>
              </w:rPr>
            </w:pPr>
            <w:r w:rsidRPr="008535D4">
              <w:rPr>
                <w:rFonts w:cstheme="minorHAnsi"/>
              </w:rPr>
              <w:t>Lietuvoje karantinas pratęstas iki gegužės 31 d., toliau švelninant jo sąlygas.</w:t>
            </w:r>
          </w:p>
        </w:tc>
      </w:tr>
      <w:tr w:rsidR="0058571D" w:rsidRPr="008535D4" w14:paraId="71F4F806" w14:textId="77777777" w:rsidTr="00AB4CB8">
        <w:tc>
          <w:tcPr>
            <w:tcW w:w="1701" w:type="dxa"/>
            <w:hideMark/>
          </w:tcPr>
          <w:p w14:paraId="53F47FDB" w14:textId="77777777" w:rsidR="0058571D" w:rsidRPr="00810199" w:rsidRDefault="0058571D" w:rsidP="002624F5">
            <w:pPr>
              <w:rPr>
                <w:rFonts w:cstheme="minorHAnsi"/>
              </w:rPr>
            </w:pPr>
            <w:r w:rsidRPr="00810199">
              <w:rPr>
                <w:rFonts w:cstheme="minorHAnsi"/>
              </w:rPr>
              <w:t>Gegužės 7 d.</w:t>
            </w:r>
          </w:p>
        </w:tc>
        <w:tc>
          <w:tcPr>
            <w:tcW w:w="8364" w:type="dxa"/>
            <w:hideMark/>
          </w:tcPr>
          <w:p w14:paraId="65D9DCB5" w14:textId="77777777" w:rsidR="0058571D" w:rsidRPr="008535D4" w:rsidRDefault="0058571D" w:rsidP="0058571D">
            <w:pPr>
              <w:jc w:val="both"/>
              <w:rPr>
                <w:rFonts w:cstheme="minorHAnsi"/>
              </w:rPr>
            </w:pPr>
            <w:r w:rsidRPr="008535D4">
              <w:rPr>
                <w:rFonts w:cstheme="minorHAnsi"/>
              </w:rPr>
              <w:t>Vyriausybė pritarė, kad būtų skirta ne mažiau kaip 100 tūkst. eurų vakcinai nuo COVID</w:t>
            </w:r>
            <w:r w:rsidRPr="008535D4">
              <w:rPr>
                <w:rFonts w:cstheme="minorHAnsi"/>
              </w:rPr>
              <w:noBreakHyphen/>
              <w:t>19 sukurti ir jos prieinamumui visame pasaulyje užtikrinti.</w:t>
            </w:r>
          </w:p>
        </w:tc>
      </w:tr>
      <w:tr w:rsidR="0058571D" w:rsidRPr="008535D4" w14:paraId="6AF18972" w14:textId="77777777" w:rsidTr="00AB4CB8">
        <w:trPr>
          <w:trHeight w:val="224"/>
        </w:trPr>
        <w:tc>
          <w:tcPr>
            <w:tcW w:w="1701" w:type="dxa"/>
            <w:hideMark/>
          </w:tcPr>
          <w:p w14:paraId="5DDBEA13" w14:textId="77777777" w:rsidR="0058571D" w:rsidRPr="00810199" w:rsidRDefault="0058571D" w:rsidP="002624F5">
            <w:pPr>
              <w:rPr>
                <w:rFonts w:cstheme="minorHAnsi"/>
              </w:rPr>
            </w:pPr>
            <w:r w:rsidRPr="00810199">
              <w:rPr>
                <w:rFonts w:cstheme="minorHAnsi"/>
              </w:rPr>
              <w:t>Gegužės 7 d.</w:t>
            </w:r>
          </w:p>
        </w:tc>
        <w:tc>
          <w:tcPr>
            <w:tcW w:w="8364" w:type="dxa"/>
            <w:hideMark/>
          </w:tcPr>
          <w:p w14:paraId="58AFCA52" w14:textId="77777777" w:rsidR="0058571D" w:rsidRPr="008535D4" w:rsidRDefault="0058571D" w:rsidP="0058571D">
            <w:pPr>
              <w:jc w:val="both"/>
              <w:rPr>
                <w:rFonts w:cstheme="minorHAnsi"/>
              </w:rPr>
            </w:pPr>
            <w:r w:rsidRPr="008535D4">
              <w:rPr>
                <w:rFonts w:cstheme="minorHAnsi"/>
              </w:rPr>
              <w:t>Pradėjo veikti pagalbos priemonių verslui linija 1824.</w:t>
            </w:r>
          </w:p>
        </w:tc>
      </w:tr>
      <w:tr w:rsidR="0058571D" w:rsidRPr="008535D4" w14:paraId="753479F4" w14:textId="77777777" w:rsidTr="00AB4CB8">
        <w:tc>
          <w:tcPr>
            <w:tcW w:w="1701" w:type="dxa"/>
            <w:hideMark/>
          </w:tcPr>
          <w:p w14:paraId="4F32DC90" w14:textId="77777777" w:rsidR="0058571D" w:rsidRPr="00810199" w:rsidRDefault="0058571D" w:rsidP="002624F5">
            <w:pPr>
              <w:rPr>
                <w:rFonts w:cstheme="minorHAnsi"/>
              </w:rPr>
            </w:pPr>
            <w:r w:rsidRPr="00810199">
              <w:rPr>
                <w:rFonts w:cstheme="minorHAnsi"/>
              </w:rPr>
              <w:t>Gegužės 11 d.</w:t>
            </w:r>
          </w:p>
        </w:tc>
        <w:tc>
          <w:tcPr>
            <w:tcW w:w="8364" w:type="dxa"/>
            <w:hideMark/>
          </w:tcPr>
          <w:p w14:paraId="6D446DC8" w14:textId="77777777" w:rsidR="0058571D" w:rsidRPr="008535D4" w:rsidRDefault="0058571D" w:rsidP="0058571D">
            <w:pPr>
              <w:jc w:val="both"/>
              <w:rPr>
                <w:rFonts w:cstheme="minorHAnsi"/>
              </w:rPr>
            </w:pPr>
            <w:r w:rsidRPr="008535D4">
              <w:rPr>
                <w:rFonts w:cstheme="minorHAnsi"/>
              </w:rPr>
              <w:t>Lietuvos piliečiams leista išvykti į Lenkiją darbo, verslo ar mokslo reikalais.</w:t>
            </w:r>
          </w:p>
        </w:tc>
      </w:tr>
      <w:tr w:rsidR="0058571D" w:rsidRPr="008535D4" w14:paraId="1E66E42A" w14:textId="77777777" w:rsidTr="00AB4CB8">
        <w:tc>
          <w:tcPr>
            <w:tcW w:w="1701" w:type="dxa"/>
            <w:hideMark/>
          </w:tcPr>
          <w:p w14:paraId="79377FD8" w14:textId="77777777" w:rsidR="0058571D" w:rsidRPr="00810199" w:rsidRDefault="0058571D" w:rsidP="002624F5">
            <w:pPr>
              <w:rPr>
                <w:rFonts w:cstheme="minorHAnsi"/>
              </w:rPr>
            </w:pPr>
            <w:r w:rsidRPr="00810199">
              <w:rPr>
                <w:rFonts w:cstheme="minorHAnsi"/>
              </w:rPr>
              <w:t>Gegužės 15 d.</w:t>
            </w:r>
          </w:p>
        </w:tc>
        <w:tc>
          <w:tcPr>
            <w:tcW w:w="8364" w:type="dxa"/>
            <w:hideMark/>
          </w:tcPr>
          <w:p w14:paraId="61308B8F" w14:textId="77777777" w:rsidR="0058571D" w:rsidRPr="008535D4" w:rsidRDefault="0058571D" w:rsidP="0058571D">
            <w:pPr>
              <w:jc w:val="both"/>
              <w:rPr>
                <w:rFonts w:cstheme="minorHAnsi"/>
              </w:rPr>
            </w:pPr>
            <w:r w:rsidRPr="008535D4">
              <w:rPr>
                <w:rFonts w:cstheme="minorHAnsi"/>
              </w:rPr>
              <w:t xml:space="preserve">Panaikintas 2 savaičių izoliacijos reikalavimas Lietuvos, Latvijos ir Estijos piliečiams, keliaujantiems tarp Baltijos valstybių („Baltic </w:t>
            </w:r>
            <w:proofErr w:type="spellStart"/>
            <w:r w:rsidRPr="008535D4">
              <w:rPr>
                <w:rFonts w:cstheme="minorHAnsi"/>
              </w:rPr>
              <w:t>Travel</w:t>
            </w:r>
            <w:proofErr w:type="spellEnd"/>
            <w:r w:rsidRPr="008535D4">
              <w:rPr>
                <w:rFonts w:cstheme="minorHAnsi"/>
              </w:rPr>
              <w:t xml:space="preserve"> </w:t>
            </w:r>
            <w:proofErr w:type="spellStart"/>
            <w:r w:rsidRPr="008535D4">
              <w:rPr>
                <w:rFonts w:cstheme="minorHAnsi"/>
              </w:rPr>
              <w:t>Bubble</w:t>
            </w:r>
            <w:proofErr w:type="spellEnd"/>
            <w:r w:rsidRPr="008535D4">
              <w:rPr>
                <w:rFonts w:cstheme="minorHAnsi"/>
              </w:rPr>
              <w:t>“).</w:t>
            </w:r>
          </w:p>
        </w:tc>
      </w:tr>
      <w:tr w:rsidR="0058571D" w:rsidRPr="008535D4" w14:paraId="16D5BD1C" w14:textId="77777777" w:rsidTr="00AB4CB8">
        <w:trPr>
          <w:trHeight w:val="215"/>
        </w:trPr>
        <w:tc>
          <w:tcPr>
            <w:tcW w:w="1701" w:type="dxa"/>
            <w:hideMark/>
          </w:tcPr>
          <w:p w14:paraId="6C4BD25B" w14:textId="77777777" w:rsidR="0058571D" w:rsidRPr="00810199" w:rsidRDefault="0058571D" w:rsidP="002624F5">
            <w:pPr>
              <w:rPr>
                <w:rFonts w:cstheme="minorHAnsi"/>
              </w:rPr>
            </w:pPr>
            <w:r w:rsidRPr="00810199">
              <w:rPr>
                <w:rFonts w:cstheme="minorHAnsi"/>
              </w:rPr>
              <w:t>Gegužės 20 d.</w:t>
            </w:r>
          </w:p>
        </w:tc>
        <w:tc>
          <w:tcPr>
            <w:tcW w:w="8364" w:type="dxa"/>
            <w:hideMark/>
          </w:tcPr>
          <w:p w14:paraId="33D1E89E" w14:textId="77777777" w:rsidR="0058571D" w:rsidRPr="008535D4" w:rsidRDefault="0058571D" w:rsidP="0058571D">
            <w:pPr>
              <w:jc w:val="both"/>
              <w:rPr>
                <w:rFonts w:cstheme="minorHAnsi"/>
              </w:rPr>
            </w:pPr>
            <w:r w:rsidRPr="008535D4">
              <w:rPr>
                <w:rFonts w:cstheme="minorHAnsi"/>
              </w:rPr>
              <w:t xml:space="preserve">Patvirtintas planas, kaip sušvelninti </w:t>
            </w:r>
            <w:proofErr w:type="spellStart"/>
            <w:r w:rsidRPr="008535D4">
              <w:rPr>
                <w:rFonts w:cstheme="minorHAnsi"/>
              </w:rPr>
              <w:t>koronaviruso</w:t>
            </w:r>
            <w:proofErr w:type="spellEnd"/>
            <w:r w:rsidRPr="008535D4">
              <w:rPr>
                <w:rFonts w:cstheme="minorHAnsi"/>
              </w:rPr>
              <w:t xml:space="preserve"> įtaką psichikos sveikatai.</w:t>
            </w:r>
          </w:p>
        </w:tc>
      </w:tr>
      <w:tr w:rsidR="0058571D" w:rsidRPr="008535D4" w14:paraId="5F651EB8" w14:textId="77777777" w:rsidTr="00AB4CB8">
        <w:tc>
          <w:tcPr>
            <w:tcW w:w="1701" w:type="dxa"/>
            <w:hideMark/>
          </w:tcPr>
          <w:p w14:paraId="20C48822" w14:textId="77777777" w:rsidR="0058571D" w:rsidRPr="00810199" w:rsidRDefault="0058571D" w:rsidP="002624F5">
            <w:pPr>
              <w:rPr>
                <w:rFonts w:cstheme="minorHAnsi"/>
              </w:rPr>
            </w:pPr>
            <w:r w:rsidRPr="00810199">
              <w:rPr>
                <w:rFonts w:cstheme="minorHAnsi"/>
              </w:rPr>
              <w:t>Gegužės 20 d.</w:t>
            </w:r>
          </w:p>
        </w:tc>
        <w:tc>
          <w:tcPr>
            <w:tcW w:w="8364" w:type="dxa"/>
            <w:hideMark/>
          </w:tcPr>
          <w:p w14:paraId="2EA7333B" w14:textId="77777777" w:rsidR="0058571D" w:rsidRPr="008535D4" w:rsidRDefault="0058571D" w:rsidP="0058571D">
            <w:pPr>
              <w:jc w:val="both"/>
              <w:rPr>
                <w:rFonts w:cstheme="minorHAnsi"/>
              </w:rPr>
            </w:pPr>
            <w:r w:rsidRPr="008535D4">
              <w:rPr>
                <w:rFonts w:cstheme="minorHAnsi"/>
              </w:rPr>
              <w:t xml:space="preserve">Sukurtas virtualus </w:t>
            </w:r>
            <w:proofErr w:type="spellStart"/>
            <w:r w:rsidRPr="008535D4">
              <w:rPr>
                <w:rFonts w:cstheme="minorHAnsi"/>
              </w:rPr>
              <w:t>koronaviruso</w:t>
            </w:r>
            <w:proofErr w:type="spellEnd"/>
            <w:r w:rsidRPr="008535D4">
              <w:rPr>
                <w:rFonts w:cstheme="minorHAnsi"/>
              </w:rPr>
              <w:t xml:space="preserve"> žemėlapis.</w:t>
            </w:r>
          </w:p>
        </w:tc>
      </w:tr>
      <w:tr w:rsidR="0058571D" w:rsidRPr="008535D4" w14:paraId="0C292FD4" w14:textId="77777777" w:rsidTr="00AB4CB8">
        <w:tc>
          <w:tcPr>
            <w:tcW w:w="1701" w:type="dxa"/>
            <w:shd w:val="clear" w:color="auto" w:fill="auto"/>
            <w:hideMark/>
          </w:tcPr>
          <w:p w14:paraId="45587334" w14:textId="77777777" w:rsidR="0058571D" w:rsidRPr="00810199" w:rsidRDefault="0058571D" w:rsidP="002624F5">
            <w:pPr>
              <w:rPr>
                <w:rFonts w:cstheme="minorHAnsi"/>
              </w:rPr>
            </w:pPr>
            <w:r w:rsidRPr="00810199">
              <w:rPr>
                <w:rFonts w:cstheme="minorHAnsi"/>
              </w:rPr>
              <w:t>Gegužės 27 d.</w:t>
            </w:r>
          </w:p>
        </w:tc>
        <w:tc>
          <w:tcPr>
            <w:tcW w:w="8364" w:type="dxa"/>
            <w:shd w:val="clear" w:color="auto" w:fill="auto"/>
            <w:hideMark/>
          </w:tcPr>
          <w:p w14:paraId="6D485D1E" w14:textId="77777777" w:rsidR="0058571D" w:rsidRPr="008535D4" w:rsidRDefault="0058571D" w:rsidP="0058571D">
            <w:pPr>
              <w:jc w:val="both"/>
              <w:rPr>
                <w:rFonts w:cstheme="minorHAnsi"/>
              </w:rPr>
            </w:pPr>
            <w:r w:rsidRPr="008535D4">
              <w:rPr>
                <w:rFonts w:cstheme="minorHAnsi"/>
              </w:rPr>
              <w:t>Lietuvoje karantinas pratęstas iki birželio 16 d., toliau švelninant jo sąlygas.</w:t>
            </w:r>
          </w:p>
        </w:tc>
      </w:tr>
      <w:tr w:rsidR="0058571D" w:rsidRPr="008535D4" w14:paraId="3A6EDC4E" w14:textId="77777777" w:rsidTr="00AB4CB8">
        <w:tc>
          <w:tcPr>
            <w:tcW w:w="1701" w:type="dxa"/>
            <w:shd w:val="clear" w:color="auto" w:fill="auto"/>
            <w:hideMark/>
          </w:tcPr>
          <w:p w14:paraId="231C8919" w14:textId="77777777" w:rsidR="0058571D" w:rsidRPr="00810199" w:rsidRDefault="0058571D" w:rsidP="002624F5">
            <w:pPr>
              <w:jc w:val="both"/>
              <w:rPr>
                <w:rFonts w:cstheme="minorHAnsi"/>
              </w:rPr>
            </w:pPr>
            <w:r w:rsidRPr="00810199">
              <w:rPr>
                <w:rFonts w:cstheme="minorHAnsi"/>
              </w:rPr>
              <w:t>Birželio 10 d.</w:t>
            </w:r>
          </w:p>
        </w:tc>
        <w:tc>
          <w:tcPr>
            <w:tcW w:w="8364" w:type="dxa"/>
            <w:shd w:val="clear" w:color="auto" w:fill="auto"/>
            <w:hideMark/>
          </w:tcPr>
          <w:p w14:paraId="18C43696" w14:textId="77777777" w:rsidR="0058571D" w:rsidRPr="008535D4" w:rsidRDefault="0058571D" w:rsidP="0058571D">
            <w:pPr>
              <w:jc w:val="both"/>
              <w:rPr>
                <w:rFonts w:cstheme="minorHAnsi"/>
              </w:rPr>
            </w:pPr>
            <w:r w:rsidRPr="008535D4">
              <w:rPr>
                <w:rFonts w:cstheme="minorHAnsi"/>
              </w:rPr>
              <w:t xml:space="preserve">Vyriausybė nusprendė karantiną nutraukti nuo birželio 17 d. </w:t>
            </w:r>
          </w:p>
        </w:tc>
      </w:tr>
      <w:tr w:rsidR="0058571D" w:rsidRPr="008535D4" w14:paraId="161543A6" w14:textId="77777777" w:rsidTr="00AB4CB8">
        <w:tc>
          <w:tcPr>
            <w:tcW w:w="1701" w:type="dxa"/>
            <w:hideMark/>
          </w:tcPr>
          <w:p w14:paraId="4A065E92" w14:textId="77777777" w:rsidR="0058571D" w:rsidRPr="00810199" w:rsidRDefault="0058571D" w:rsidP="002624F5">
            <w:pPr>
              <w:jc w:val="both"/>
              <w:rPr>
                <w:rFonts w:cstheme="minorHAnsi"/>
              </w:rPr>
            </w:pPr>
            <w:r w:rsidRPr="00810199">
              <w:rPr>
                <w:rFonts w:cstheme="minorHAnsi"/>
              </w:rPr>
              <w:t>Birželio 13 d.</w:t>
            </w:r>
          </w:p>
        </w:tc>
        <w:tc>
          <w:tcPr>
            <w:tcW w:w="8364" w:type="dxa"/>
            <w:hideMark/>
          </w:tcPr>
          <w:p w14:paraId="7166F6C1" w14:textId="77777777" w:rsidR="0058571D" w:rsidRPr="008535D4" w:rsidRDefault="0058571D" w:rsidP="0058571D">
            <w:pPr>
              <w:jc w:val="both"/>
              <w:rPr>
                <w:rFonts w:cstheme="minorHAnsi"/>
              </w:rPr>
            </w:pPr>
            <w:r w:rsidRPr="008535D4">
              <w:rPr>
                <w:rFonts w:cstheme="minorHAnsi"/>
              </w:rPr>
              <w:t>Lietuvos ir Lenkijos Vyriausybės priėmė sprendimą atsisakyti laikinos vidaus sienos kontrolės, vykdant keliaujančių asmenų patikrinimus pasienio kontrolės punktuose prie bendros sienos. Atsivėrė laisvas judėjimas tarp Baltijos šalių ir Lenkijos.</w:t>
            </w:r>
          </w:p>
        </w:tc>
      </w:tr>
      <w:tr w:rsidR="0058571D" w:rsidRPr="008535D4" w14:paraId="2A6EE8EB" w14:textId="77777777" w:rsidTr="00AB4CB8">
        <w:tc>
          <w:tcPr>
            <w:tcW w:w="1701" w:type="dxa"/>
            <w:shd w:val="clear" w:color="auto" w:fill="auto"/>
            <w:hideMark/>
          </w:tcPr>
          <w:p w14:paraId="48D102C2" w14:textId="77777777" w:rsidR="0058571D" w:rsidRPr="00810199" w:rsidRDefault="0058571D" w:rsidP="002624F5">
            <w:pPr>
              <w:jc w:val="both"/>
              <w:rPr>
                <w:rFonts w:cstheme="minorHAnsi"/>
              </w:rPr>
            </w:pPr>
            <w:r w:rsidRPr="00810199">
              <w:rPr>
                <w:rFonts w:cstheme="minorHAnsi"/>
              </w:rPr>
              <w:t>Birželio 17 d.</w:t>
            </w:r>
          </w:p>
        </w:tc>
        <w:tc>
          <w:tcPr>
            <w:tcW w:w="8364" w:type="dxa"/>
            <w:shd w:val="clear" w:color="auto" w:fill="auto"/>
            <w:hideMark/>
          </w:tcPr>
          <w:p w14:paraId="1563A2F2" w14:textId="77777777" w:rsidR="0058571D" w:rsidRPr="008535D4" w:rsidRDefault="0058571D" w:rsidP="0058571D">
            <w:pPr>
              <w:jc w:val="both"/>
              <w:rPr>
                <w:rFonts w:cstheme="minorHAnsi"/>
              </w:rPr>
            </w:pPr>
            <w:r w:rsidRPr="008535D4">
              <w:rPr>
                <w:rFonts w:cstheme="minorHAnsi"/>
              </w:rPr>
              <w:t>Po 3 mėnesių baigė galioti karantinas, šalyje liko galioti valstybės lygio ekstremaliosios situacijos režimas.</w:t>
            </w:r>
          </w:p>
        </w:tc>
      </w:tr>
      <w:tr w:rsidR="0058571D" w:rsidRPr="008535D4" w14:paraId="0EF3D24D" w14:textId="77777777" w:rsidTr="00AB4CB8">
        <w:tc>
          <w:tcPr>
            <w:tcW w:w="1701" w:type="dxa"/>
            <w:shd w:val="clear" w:color="auto" w:fill="auto"/>
          </w:tcPr>
          <w:p w14:paraId="7BEA5263" w14:textId="77777777" w:rsidR="0058571D" w:rsidRPr="00810199" w:rsidRDefault="0058571D" w:rsidP="002624F5">
            <w:pPr>
              <w:jc w:val="both"/>
              <w:rPr>
                <w:rFonts w:cstheme="minorHAnsi"/>
              </w:rPr>
            </w:pPr>
            <w:r w:rsidRPr="00810199">
              <w:rPr>
                <w:rFonts w:cstheme="minorHAnsi"/>
              </w:rPr>
              <w:t>Liepos 1 d.</w:t>
            </w:r>
          </w:p>
        </w:tc>
        <w:tc>
          <w:tcPr>
            <w:tcW w:w="8364" w:type="dxa"/>
            <w:shd w:val="clear" w:color="auto" w:fill="auto"/>
          </w:tcPr>
          <w:p w14:paraId="6767AA0E" w14:textId="77777777" w:rsidR="0058571D" w:rsidRPr="008535D4" w:rsidRDefault="0058571D" w:rsidP="002624F5">
            <w:pPr>
              <w:jc w:val="both"/>
              <w:rPr>
                <w:rFonts w:cstheme="minorHAnsi"/>
              </w:rPr>
            </w:pPr>
            <w:r w:rsidRPr="008535D4">
              <w:rPr>
                <w:rFonts w:cstheme="minorHAnsi"/>
              </w:rPr>
              <w:t>Patvirtintas Ateities ekonomikos DNR planas.</w:t>
            </w:r>
          </w:p>
        </w:tc>
      </w:tr>
      <w:tr w:rsidR="0058571D" w:rsidRPr="008535D4" w14:paraId="4E7ABBB7" w14:textId="77777777" w:rsidTr="00AB4CB8">
        <w:tc>
          <w:tcPr>
            <w:tcW w:w="1701" w:type="dxa"/>
            <w:shd w:val="clear" w:color="auto" w:fill="auto"/>
          </w:tcPr>
          <w:p w14:paraId="3AD78713" w14:textId="77777777" w:rsidR="0058571D" w:rsidRPr="00810199" w:rsidRDefault="0058571D" w:rsidP="002624F5">
            <w:pPr>
              <w:jc w:val="both"/>
              <w:rPr>
                <w:rFonts w:cstheme="minorHAnsi"/>
              </w:rPr>
            </w:pPr>
            <w:r w:rsidRPr="00810199">
              <w:rPr>
                <w:rFonts w:cstheme="minorHAnsi"/>
              </w:rPr>
              <w:t>Liepos 17 d.</w:t>
            </w:r>
          </w:p>
        </w:tc>
        <w:tc>
          <w:tcPr>
            <w:tcW w:w="8364" w:type="dxa"/>
            <w:shd w:val="clear" w:color="auto" w:fill="auto"/>
          </w:tcPr>
          <w:p w14:paraId="7965B918" w14:textId="77777777" w:rsidR="0058571D" w:rsidRPr="008535D4" w:rsidRDefault="0058571D" w:rsidP="0058571D">
            <w:pPr>
              <w:jc w:val="both"/>
              <w:rPr>
                <w:rFonts w:cstheme="minorHAnsi"/>
              </w:rPr>
            </w:pPr>
            <w:r w:rsidRPr="008535D4">
              <w:rPr>
                <w:rFonts w:cstheme="minorHAnsi"/>
              </w:rPr>
              <w:t>Iš trečiųjų šalių, nepriklausančių EEE valstybėms, Šveicarijai ir Jungtinei Karalystei, atvykusiems užsieniečiams privaloma 2 savaičių izoliacija.</w:t>
            </w:r>
          </w:p>
        </w:tc>
      </w:tr>
      <w:tr w:rsidR="0058571D" w:rsidRPr="008535D4" w:rsidDel="001F3621" w14:paraId="77877FEF" w14:textId="77777777" w:rsidTr="00AB4CB8">
        <w:tc>
          <w:tcPr>
            <w:tcW w:w="1701" w:type="dxa"/>
            <w:shd w:val="clear" w:color="auto" w:fill="auto"/>
          </w:tcPr>
          <w:p w14:paraId="558027D5" w14:textId="77777777" w:rsidR="0058571D" w:rsidRPr="00810199" w:rsidRDefault="0058571D" w:rsidP="002624F5">
            <w:r w:rsidRPr="00810199">
              <w:t>Liepos 29 d.</w:t>
            </w:r>
          </w:p>
        </w:tc>
        <w:tc>
          <w:tcPr>
            <w:tcW w:w="8364" w:type="dxa"/>
            <w:shd w:val="clear" w:color="auto" w:fill="auto"/>
          </w:tcPr>
          <w:p w14:paraId="3084F3BE" w14:textId="77777777" w:rsidR="0058571D" w:rsidRPr="008535D4" w:rsidRDefault="0058571D" w:rsidP="0058571D">
            <w:pPr>
              <w:jc w:val="both"/>
            </w:pPr>
            <w:r w:rsidRPr="008535D4">
              <w:t>Vyriausybė pritarė, kad Europos Komisijos vykdomame centralizuotame vakcinų nuo COVID-19 pirkime kartu su kitomis ES valstybėmis narėmis Lietuva sieks įsigyti vakciną, reikalingą paskiepyti 70 proc. Lietuvos gyventojų.</w:t>
            </w:r>
          </w:p>
        </w:tc>
      </w:tr>
      <w:tr w:rsidR="0058571D" w:rsidRPr="008535D4" w:rsidDel="001F3621" w14:paraId="540A7EC2" w14:textId="77777777" w:rsidTr="00AB4CB8">
        <w:tc>
          <w:tcPr>
            <w:tcW w:w="1701" w:type="dxa"/>
            <w:shd w:val="clear" w:color="auto" w:fill="auto"/>
          </w:tcPr>
          <w:p w14:paraId="2443F1B5" w14:textId="77777777" w:rsidR="0058571D" w:rsidRPr="00810199" w:rsidRDefault="0058571D" w:rsidP="002624F5">
            <w:r w:rsidRPr="00810199">
              <w:t>Rugpjūčio 10 d.</w:t>
            </w:r>
          </w:p>
        </w:tc>
        <w:tc>
          <w:tcPr>
            <w:tcW w:w="8364" w:type="dxa"/>
            <w:shd w:val="clear" w:color="auto" w:fill="auto"/>
          </w:tcPr>
          <w:p w14:paraId="5D9C6639" w14:textId="77777777" w:rsidR="0058571D" w:rsidRPr="00AD64D4" w:rsidRDefault="0058571D" w:rsidP="0058571D">
            <w:pPr>
              <w:jc w:val="both"/>
            </w:pPr>
            <w:r w:rsidRPr="00AD64D4">
              <w:t>Valstybės rezervas papildytas beveik 42 tūkst. apsauginių kombinezonų (tiek jų atgabenta iš Kinijos).</w:t>
            </w:r>
          </w:p>
        </w:tc>
      </w:tr>
      <w:tr w:rsidR="0058571D" w:rsidRPr="008535D4" w:rsidDel="001F3621" w14:paraId="3D22BAFC" w14:textId="77777777" w:rsidTr="00AB4CB8">
        <w:tc>
          <w:tcPr>
            <w:tcW w:w="1701" w:type="dxa"/>
            <w:shd w:val="clear" w:color="auto" w:fill="auto"/>
          </w:tcPr>
          <w:p w14:paraId="60DB4837" w14:textId="77777777" w:rsidR="0058571D" w:rsidRPr="00810199" w:rsidRDefault="0058571D" w:rsidP="002624F5">
            <w:r w:rsidRPr="00810199">
              <w:lastRenderedPageBreak/>
              <w:t>Rugsėjo 1 d.</w:t>
            </w:r>
          </w:p>
        </w:tc>
        <w:tc>
          <w:tcPr>
            <w:tcW w:w="8364" w:type="dxa"/>
            <w:shd w:val="clear" w:color="auto" w:fill="auto"/>
          </w:tcPr>
          <w:p w14:paraId="576E4A3C" w14:textId="2E992121" w:rsidR="0058571D" w:rsidRPr="00A33F5C" w:rsidRDefault="0058571D" w:rsidP="0058571D">
            <w:pPr>
              <w:jc w:val="both"/>
            </w:pPr>
            <w:r w:rsidRPr="00A33F5C">
              <w:t xml:space="preserve">Valstybės rezervą jau papildė visi Lietuvoje pagaminti respiratoriai (respiratorių siunta </w:t>
            </w:r>
            <w:r w:rsidR="000740EA">
              <w:t>–</w:t>
            </w:r>
            <w:r w:rsidRPr="00A33F5C">
              <w:t xml:space="preserve"> 20 740)</w:t>
            </w:r>
            <w:r>
              <w:t>.</w:t>
            </w:r>
          </w:p>
        </w:tc>
      </w:tr>
      <w:tr w:rsidR="0058571D" w:rsidRPr="008535D4" w:rsidDel="001F3621" w14:paraId="0998D783" w14:textId="77777777" w:rsidTr="00AB4CB8">
        <w:tc>
          <w:tcPr>
            <w:tcW w:w="1701" w:type="dxa"/>
            <w:shd w:val="clear" w:color="auto" w:fill="auto"/>
          </w:tcPr>
          <w:p w14:paraId="786C318E" w14:textId="77777777" w:rsidR="0058571D" w:rsidRPr="00810199" w:rsidRDefault="0058571D" w:rsidP="002624F5">
            <w:r w:rsidRPr="00810199">
              <w:t>Rugsėjo 11 d.</w:t>
            </w:r>
          </w:p>
        </w:tc>
        <w:tc>
          <w:tcPr>
            <w:tcW w:w="8364" w:type="dxa"/>
            <w:shd w:val="clear" w:color="auto" w:fill="auto"/>
          </w:tcPr>
          <w:p w14:paraId="69B616E2" w14:textId="77777777" w:rsidR="0058571D" w:rsidRPr="008535D4" w:rsidRDefault="0058571D" w:rsidP="0058571D">
            <w:pPr>
              <w:jc w:val="both"/>
            </w:pPr>
            <w:r>
              <w:t>P</w:t>
            </w:r>
            <w:r w:rsidRPr="000A0280">
              <w:t>ristat</w:t>
            </w:r>
            <w:r>
              <w:t>ytas</w:t>
            </w:r>
            <w:r w:rsidRPr="000A0280">
              <w:t xml:space="preserve"> pirm</w:t>
            </w:r>
            <w:r>
              <w:t>o</w:t>
            </w:r>
            <w:r w:rsidRPr="000A0280">
              <w:t xml:space="preserve"> populiacijos tyrimo rezultat</w:t>
            </w:r>
            <w:r>
              <w:t>ai</w:t>
            </w:r>
            <w:r w:rsidRPr="000A0280">
              <w:t xml:space="preserve">. Šešiose savivaldybėse vykdytas testavimas parodė, kad </w:t>
            </w:r>
            <w:proofErr w:type="spellStart"/>
            <w:r w:rsidRPr="000A0280">
              <w:t>koronavirusu</w:t>
            </w:r>
            <w:proofErr w:type="spellEnd"/>
            <w:r w:rsidRPr="000A0280">
              <w:t xml:space="preserve"> (COVID-19) persirgo nuo 1,3 iki 2,8 proc. gyventojų.</w:t>
            </w:r>
          </w:p>
        </w:tc>
      </w:tr>
      <w:tr w:rsidR="002E5614" w:rsidRPr="008535D4" w:rsidDel="001F3621" w14:paraId="06389C10" w14:textId="77777777" w:rsidTr="00AB4CB8">
        <w:tc>
          <w:tcPr>
            <w:tcW w:w="1701" w:type="dxa"/>
            <w:shd w:val="clear" w:color="auto" w:fill="auto"/>
          </w:tcPr>
          <w:p w14:paraId="2C571A1E" w14:textId="78B27838" w:rsidR="002E5614" w:rsidRPr="00810199" w:rsidRDefault="002E5614" w:rsidP="002E5614">
            <w:r w:rsidRPr="00810199">
              <w:t>Rugsėjo 1</w:t>
            </w:r>
            <w:r>
              <w:t>4</w:t>
            </w:r>
            <w:r w:rsidRPr="00810199">
              <w:t xml:space="preserve"> d.</w:t>
            </w:r>
          </w:p>
        </w:tc>
        <w:tc>
          <w:tcPr>
            <w:tcW w:w="8364" w:type="dxa"/>
            <w:shd w:val="clear" w:color="auto" w:fill="auto"/>
          </w:tcPr>
          <w:p w14:paraId="2491BE27" w14:textId="71BAEADC" w:rsidR="002E5614" w:rsidRDefault="002E5614" w:rsidP="002E5614">
            <w:pPr>
              <w:jc w:val="both"/>
            </w:pPr>
            <w:r>
              <w:rPr>
                <w:rFonts w:cstheme="minorHAnsi"/>
              </w:rPr>
              <w:t>Baigtas ES vidaus sienų kontrolės taikymas</w:t>
            </w:r>
          </w:p>
        </w:tc>
      </w:tr>
      <w:tr w:rsidR="0058571D" w:rsidRPr="008535D4" w:rsidDel="001F3621" w14:paraId="5B7C6C25" w14:textId="77777777" w:rsidTr="00AB4CB8">
        <w:tc>
          <w:tcPr>
            <w:tcW w:w="1701" w:type="dxa"/>
            <w:shd w:val="clear" w:color="auto" w:fill="auto"/>
          </w:tcPr>
          <w:p w14:paraId="47907649" w14:textId="77777777" w:rsidR="0058571D" w:rsidRPr="00810199" w:rsidRDefault="0058571D" w:rsidP="002624F5">
            <w:r w:rsidRPr="00810199">
              <w:t>Rugsėjo 16 d.</w:t>
            </w:r>
          </w:p>
        </w:tc>
        <w:tc>
          <w:tcPr>
            <w:tcW w:w="8364" w:type="dxa"/>
            <w:shd w:val="clear" w:color="auto" w:fill="auto"/>
          </w:tcPr>
          <w:p w14:paraId="0C16A31E" w14:textId="77777777" w:rsidR="0058571D" w:rsidRPr="008535D4" w:rsidRDefault="0058571D" w:rsidP="0058571D">
            <w:pPr>
              <w:jc w:val="both"/>
            </w:pPr>
            <w:r w:rsidRPr="001D7848">
              <w:t xml:space="preserve">Lietuva sutinka skirti 2,5 mln. eurų vakcinos nuo </w:t>
            </w:r>
            <w:proofErr w:type="spellStart"/>
            <w:r w:rsidRPr="001D7848">
              <w:t>koronaviruso</w:t>
            </w:r>
            <w:proofErr w:type="spellEnd"/>
            <w:r w:rsidRPr="001D7848">
              <w:t xml:space="preserve"> kūrimui</w:t>
            </w:r>
            <w:r>
              <w:t>.</w:t>
            </w:r>
          </w:p>
        </w:tc>
      </w:tr>
      <w:tr w:rsidR="0058571D" w:rsidRPr="008535D4" w:rsidDel="001F3621" w14:paraId="2615E1FB" w14:textId="77777777" w:rsidTr="00AB4CB8">
        <w:tc>
          <w:tcPr>
            <w:tcW w:w="1701" w:type="dxa"/>
            <w:shd w:val="clear" w:color="auto" w:fill="auto"/>
          </w:tcPr>
          <w:p w14:paraId="4F4DB4C3" w14:textId="77777777" w:rsidR="0058571D" w:rsidRPr="00810199" w:rsidRDefault="0058571D" w:rsidP="002624F5">
            <w:r w:rsidRPr="00810199">
              <w:t>Spalio 21 d.</w:t>
            </w:r>
          </w:p>
        </w:tc>
        <w:tc>
          <w:tcPr>
            <w:tcW w:w="8364" w:type="dxa"/>
            <w:shd w:val="clear" w:color="auto" w:fill="auto"/>
          </w:tcPr>
          <w:p w14:paraId="731C7733" w14:textId="77777777" w:rsidR="0058571D" w:rsidRPr="008535D4" w:rsidRDefault="0058571D" w:rsidP="0058571D">
            <w:pPr>
              <w:jc w:val="both"/>
            </w:pPr>
            <w:r w:rsidRPr="00160B80">
              <w:t xml:space="preserve">Vyriausybė pritarė savivaldybių skirstymui į tris zonas pagal epidemiologinius rodiklius – geltoną, žalią ir raudoną. Į raudoną zoną patekusiose savivaldybėse, siekiant suvaldyti </w:t>
            </w:r>
            <w:proofErr w:type="spellStart"/>
            <w:r w:rsidRPr="00160B80">
              <w:t>koronaviruso</w:t>
            </w:r>
            <w:proofErr w:type="spellEnd"/>
            <w:r w:rsidRPr="00160B80">
              <w:t xml:space="preserve"> (COVID-19) plitimą, galės būti skelbiamas vietinis karantinas, ribojama gyventojų veikla.</w:t>
            </w:r>
          </w:p>
        </w:tc>
      </w:tr>
      <w:tr w:rsidR="0058571D" w:rsidRPr="008535D4" w:rsidDel="001F3621" w14:paraId="27BD823A" w14:textId="77777777" w:rsidTr="00AB4CB8">
        <w:tc>
          <w:tcPr>
            <w:tcW w:w="1701" w:type="dxa"/>
            <w:shd w:val="clear" w:color="auto" w:fill="auto"/>
          </w:tcPr>
          <w:p w14:paraId="308B16CD" w14:textId="77777777" w:rsidR="0058571D" w:rsidRPr="00810199" w:rsidRDefault="0058571D" w:rsidP="002624F5">
            <w:r w:rsidRPr="00810199">
              <w:t>Lapkričio 6 d.</w:t>
            </w:r>
          </w:p>
        </w:tc>
        <w:tc>
          <w:tcPr>
            <w:tcW w:w="8364" w:type="dxa"/>
            <w:shd w:val="clear" w:color="auto" w:fill="auto"/>
          </w:tcPr>
          <w:p w14:paraId="62F68E49" w14:textId="77777777" w:rsidR="0058571D" w:rsidRPr="008535D4" w:rsidRDefault="0058571D" w:rsidP="0058571D">
            <w:pPr>
              <w:jc w:val="both"/>
            </w:pPr>
            <w:r>
              <w:t xml:space="preserve">Pradeda veikti </w:t>
            </w:r>
            <w:r w:rsidRPr="00B11A3A">
              <w:t>mobili</w:t>
            </w:r>
            <w:r>
              <w:t xml:space="preserve">oji </w:t>
            </w:r>
            <w:r w:rsidRPr="00B11A3A">
              <w:t>programėl</w:t>
            </w:r>
            <w:r>
              <w:t>ė</w:t>
            </w:r>
            <w:r w:rsidRPr="00B11A3A">
              <w:t xml:space="preserve"> KORONA STOP LT</w:t>
            </w:r>
            <w:r>
              <w:t>.</w:t>
            </w:r>
          </w:p>
        </w:tc>
      </w:tr>
      <w:tr w:rsidR="0058571D" w:rsidRPr="008535D4" w:rsidDel="001F3621" w14:paraId="1EB9990D" w14:textId="77777777" w:rsidTr="00AB4CB8">
        <w:tc>
          <w:tcPr>
            <w:tcW w:w="1701" w:type="dxa"/>
            <w:shd w:val="clear" w:color="auto" w:fill="auto"/>
          </w:tcPr>
          <w:p w14:paraId="2C39C0A4" w14:textId="77777777" w:rsidR="0058571D" w:rsidRPr="00810199" w:rsidRDefault="0058571D" w:rsidP="002624F5">
            <w:r w:rsidRPr="00810199">
              <w:t>Lapkričio 7 d.</w:t>
            </w:r>
          </w:p>
        </w:tc>
        <w:tc>
          <w:tcPr>
            <w:tcW w:w="8364" w:type="dxa"/>
            <w:shd w:val="clear" w:color="auto" w:fill="auto"/>
          </w:tcPr>
          <w:p w14:paraId="3EA017B0" w14:textId="77777777" w:rsidR="0058571D" w:rsidRPr="008535D4" w:rsidRDefault="0058571D" w:rsidP="0058571D">
            <w:pPr>
              <w:jc w:val="both"/>
            </w:pPr>
            <w:r w:rsidRPr="000C0587">
              <w:t>Lietuvoje skelbiamas karantinas</w:t>
            </w:r>
            <w:r>
              <w:t xml:space="preserve"> iki lapkričio 29 d.</w:t>
            </w:r>
          </w:p>
        </w:tc>
      </w:tr>
      <w:tr w:rsidR="0058571D" w:rsidRPr="008535D4" w:rsidDel="001F3621" w14:paraId="1C0B770C" w14:textId="77777777" w:rsidTr="00AB4CB8">
        <w:tc>
          <w:tcPr>
            <w:tcW w:w="1701" w:type="dxa"/>
            <w:shd w:val="clear" w:color="auto" w:fill="auto"/>
          </w:tcPr>
          <w:p w14:paraId="51314098" w14:textId="77777777" w:rsidR="0058571D" w:rsidRPr="00810199" w:rsidRDefault="0058571D" w:rsidP="002624F5">
            <w:r w:rsidRPr="00810199">
              <w:t>Lapkričio 25 d.</w:t>
            </w:r>
          </w:p>
        </w:tc>
        <w:tc>
          <w:tcPr>
            <w:tcW w:w="8364" w:type="dxa"/>
            <w:shd w:val="clear" w:color="auto" w:fill="auto"/>
          </w:tcPr>
          <w:p w14:paraId="6987DBE3" w14:textId="77777777" w:rsidR="0058571D" w:rsidRPr="006B6646" w:rsidRDefault="0058571D" w:rsidP="0058571D">
            <w:pPr>
              <w:jc w:val="both"/>
              <w:rPr>
                <w:lang w:val="en-GB"/>
              </w:rPr>
            </w:pPr>
            <w:r>
              <w:t>Karantinas pratęsiamas iki gruodžio 17 d.</w:t>
            </w:r>
          </w:p>
        </w:tc>
      </w:tr>
      <w:tr w:rsidR="0058571D" w:rsidRPr="008535D4" w:rsidDel="001F3621" w14:paraId="3BD6088F" w14:textId="77777777" w:rsidTr="00AB4CB8">
        <w:tc>
          <w:tcPr>
            <w:tcW w:w="1701" w:type="dxa"/>
            <w:shd w:val="clear" w:color="auto" w:fill="auto"/>
          </w:tcPr>
          <w:p w14:paraId="7EE2CA31" w14:textId="77777777" w:rsidR="0058571D" w:rsidRPr="00810199" w:rsidRDefault="0058571D" w:rsidP="002624F5">
            <w:r w:rsidRPr="00810199">
              <w:t>Gruodžio 14 d.</w:t>
            </w:r>
          </w:p>
        </w:tc>
        <w:tc>
          <w:tcPr>
            <w:tcW w:w="8364" w:type="dxa"/>
            <w:shd w:val="clear" w:color="auto" w:fill="auto"/>
          </w:tcPr>
          <w:p w14:paraId="5D73BAE7" w14:textId="0AD39DB1" w:rsidR="0058571D" w:rsidRDefault="0058571D" w:rsidP="0058571D">
            <w:pPr>
              <w:jc w:val="both"/>
            </w:pPr>
            <w:r>
              <w:t>Karantinas pratęsiamas iki sausio 31 d.</w:t>
            </w:r>
            <w:r w:rsidR="00EC16E9">
              <w:t xml:space="preserve"> Įvedami judėjimo tarp savivaldybių ribojimai, reikšmingai griežtinamos karantino sąlygos.</w:t>
            </w:r>
          </w:p>
        </w:tc>
      </w:tr>
      <w:tr w:rsidR="0058571D" w:rsidRPr="008535D4" w:rsidDel="001F3621" w14:paraId="642599DE" w14:textId="77777777" w:rsidTr="00AB4CB8">
        <w:tc>
          <w:tcPr>
            <w:tcW w:w="1701" w:type="dxa"/>
            <w:shd w:val="clear" w:color="auto" w:fill="auto"/>
          </w:tcPr>
          <w:p w14:paraId="7731DE2C" w14:textId="77777777" w:rsidR="0058571D" w:rsidRPr="00810199" w:rsidRDefault="0058571D" w:rsidP="002624F5">
            <w:pPr>
              <w:rPr>
                <w:highlight w:val="yellow"/>
              </w:rPr>
            </w:pPr>
            <w:r w:rsidRPr="00810199">
              <w:t>Gruodžio 18 d.</w:t>
            </w:r>
          </w:p>
        </w:tc>
        <w:tc>
          <w:tcPr>
            <w:tcW w:w="8364" w:type="dxa"/>
            <w:shd w:val="clear" w:color="auto" w:fill="auto"/>
          </w:tcPr>
          <w:p w14:paraId="4F25471A" w14:textId="77777777" w:rsidR="0058571D" w:rsidRPr="00546913" w:rsidRDefault="0058571D" w:rsidP="0058571D">
            <w:pPr>
              <w:jc w:val="both"/>
              <w:rPr>
                <w:highlight w:val="yellow"/>
              </w:rPr>
            </w:pPr>
            <w:r w:rsidRPr="00171D67">
              <w:t xml:space="preserve">Ministrė Pirmininkė Ingrida </w:t>
            </w:r>
            <w:proofErr w:type="spellStart"/>
            <w:r w:rsidRPr="00171D67">
              <w:t>Šimonytė</w:t>
            </w:r>
            <w:proofErr w:type="spellEnd"/>
            <w:r w:rsidRPr="00171D67">
              <w:t xml:space="preserve"> sudarė darbo grupę – Nepriklausomų ekspertų patariamąją tarybą pasiūlymams dėl COVID-19 ligos valdymo.</w:t>
            </w:r>
            <w:r>
              <w:t xml:space="preserve"> </w:t>
            </w:r>
            <w:r w:rsidRPr="003151E5">
              <w:t>Taip pat sudaryta darbo grupė klausimams, susijusiems su pagalbos COVID-19 ligos (</w:t>
            </w:r>
            <w:proofErr w:type="spellStart"/>
            <w:r w:rsidRPr="003151E5">
              <w:t>koronaviruso</w:t>
            </w:r>
            <w:proofErr w:type="spellEnd"/>
            <w:r w:rsidRPr="003151E5">
              <w:t xml:space="preserve"> infekcijos) sukeltos pandemijos paveiktoms asmenų grupėms teikimu, koordinuoti ir spręsti.</w:t>
            </w:r>
          </w:p>
        </w:tc>
      </w:tr>
      <w:tr w:rsidR="0058571D" w:rsidRPr="008535D4" w:rsidDel="001F3621" w14:paraId="78A1F980" w14:textId="77777777" w:rsidTr="00AB4CB8">
        <w:tc>
          <w:tcPr>
            <w:tcW w:w="1701" w:type="dxa"/>
            <w:shd w:val="clear" w:color="auto" w:fill="auto"/>
          </w:tcPr>
          <w:p w14:paraId="25EC900C" w14:textId="77777777" w:rsidR="0058571D" w:rsidRPr="00810199" w:rsidRDefault="0058571D" w:rsidP="002624F5">
            <w:r w:rsidRPr="00810199">
              <w:t>Gruodžio 26 d.</w:t>
            </w:r>
          </w:p>
        </w:tc>
        <w:tc>
          <w:tcPr>
            <w:tcW w:w="8364" w:type="dxa"/>
            <w:shd w:val="clear" w:color="auto" w:fill="auto"/>
          </w:tcPr>
          <w:p w14:paraId="7F5EF31F" w14:textId="77777777" w:rsidR="0058571D" w:rsidRPr="00C33C9D" w:rsidRDefault="0058571D" w:rsidP="0058571D">
            <w:pPr>
              <w:jc w:val="both"/>
            </w:pPr>
            <w:r w:rsidRPr="001C1683">
              <w:t>Į Lietuvą atvyko pirmoji COVID-19 vakcinų siunta</w:t>
            </w:r>
            <w:r>
              <w:t>.</w:t>
            </w:r>
          </w:p>
        </w:tc>
      </w:tr>
      <w:tr w:rsidR="0058571D" w:rsidRPr="008535D4" w:rsidDel="001F3621" w14:paraId="58509F0A" w14:textId="77777777" w:rsidTr="00AB4CB8">
        <w:tc>
          <w:tcPr>
            <w:tcW w:w="1701" w:type="dxa"/>
            <w:shd w:val="clear" w:color="auto" w:fill="auto"/>
          </w:tcPr>
          <w:p w14:paraId="78ED8C79" w14:textId="77777777" w:rsidR="0058571D" w:rsidRPr="00810199" w:rsidRDefault="0058571D" w:rsidP="002624F5">
            <w:r w:rsidRPr="00810199">
              <w:t>Gruodžio 27 d.</w:t>
            </w:r>
          </w:p>
        </w:tc>
        <w:tc>
          <w:tcPr>
            <w:tcW w:w="8364" w:type="dxa"/>
            <w:shd w:val="clear" w:color="auto" w:fill="auto"/>
          </w:tcPr>
          <w:p w14:paraId="4C32EA3A" w14:textId="77777777" w:rsidR="0058571D" w:rsidRPr="00C33C9D" w:rsidRDefault="0058571D" w:rsidP="0058571D">
            <w:pPr>
              <w:jc w:val="both"/>
            </w:pPr>
            <w:r w:rsidRPr="008B4D65">
              <w:t xml:space="preserve">Nuo </w:t>
            </w:r>
            <w:proofErr w:type="spellStart"/>
            <w:r w:rsidRPr="008B4D65">
              <w:t>koronaviruso</w:t>
            </w:r>
            <w:proofErr w:type="spellEnd"/>
            <w:r w:rsidRPr="008B4D65">
              <w:t xml:space="preserve"> pradėti skiepyti Lietuvos medikai</w:t>
            </w:r>
            <w:r>
              <w:t>.</w:t>
            </w:r>
          </w:p>
        </w:tc>
      </w:tr>
      <w:tr w:rsidR="0058571D" w:rsidRPr="008535D4" w:rsidDel="001F3621" w14:paraId="2C04D539" w14:textId="77777777" w:rsidTr="00AB4CB8">
        <w:tc>
          <w:tcPr>
            <w:tcW w:w="1701" w:type="dxa"/>
            <w:shd w:val="clear" w:color="auto" w:fill="auto"/>
          </w:tcPr>
          <w:p w14:paraId="27F23905" w14:textId="77777777" w:rsidR="0058571D" w:rsidRPr="00810199" w:rsidRDefault="0058571D" w:rsidP="002624F5">
            <w:r w:rsidRPr="00810199">
              <w:t>Gruodžio 30 d.</w:t>
            </w:r>
          </w:p>
        </w:tc>
        <w:tc>
          <w:tcPr>
            <w:tcW w:w="8364" w:type="dxa"/>
            <w:shd w:val="clear" w:color="auto" w:fill="auto"/>
          </w:tcPr>
          <w:p w14:paraId="12824E5C" w14:textId="77777777" w:rsidR="0058571D" w:rsidRPr="00C33C9D" w:rsidRDefault="0058571D" w:rsidP="0058571D">
            <w:pPr>
              <w:jc w:val="both"/>
            </w:pPr>
            <w:r>
              <w:t>Vyriausybė n</w:t>
            </w:r>
            <w:r w:rsidRPr="00D37084">
              <w:t>ustat</w:t>
            </w:r>
            <w:r>
              <w:t>ė</w:t>
            </w:r>
            <w:r w:rsidRPr="00D37084">
              <w:t>, k</w:t>
            </w:r>
            <w:r>
              <w:t>urios institucijos</w:t>
            </w:r>
            <w:r w:rsidRPr="00D37084">
              <w:t xml:space="preserve"> privalės kaupti apsaugos priemonių nuo COVID-19 rezervą</w:t>
            </w:r>
            <w:r>
              <w:t>.</w:t>
            </w:r>
          </w:p>
        </w:tc>
      </w:tr>
      <w:tr w:rsidR="00D3557D" w:rsidRPr="008535D4" w:rsidDel="001F3621" w14:paraId="0542DB8F" w14:textId="77777777" w:rsidTr="00AB4CB8">
        <w:tc>
          <w:tcPr>
            <w:tcW w:w="1701" w:type="dxa"/>
            <w:shd w:val="clear" w:color="auto" w:fill="auto"/>
          </w:tcPr>
          <w:p w14:paraId="4B2C228F" w14:textId="779C818C" w:rsidR="00D3557D" w:rsidRPr="00810199" w:rsidRDefault="003E43CA" w:rsidP="002624F5">
            <w:r>
              <w:t>2021 m. s</w:t>
            </w:r>
            <w:r w:rsidR="00D3557D">
              <w:t xml:space="preserve">ausio 1 d. </w:t>
            </w:r>
          </w:p>
        </w:tc>
        <w:tc>
          <w:tcPr>
            <w:tcW w:w="8364" w:type="dxa"/>
            <w:shd w:val="clear" w:color="auto" w:fill="auto"/>
          </w:tcPr>
          <w:p w14:paraId="77369D70" w14:textId="229A5167" w:rsidR="00D3557D" w:rsidRDefault="00D3557D" w:rsidP="0058571D">
            <w:pPr>
              <w:jc w:val="both"/>
            </w:pPr>
            <w:r>
              <w:t xml:space="preserve">Įsigaliojo </w:t>
            </w:r>
            <w:r w:rsidRPr="00D3557D">
              <w:t xml:space="preserve">Užimtumo įstatymo Nr. XII-2470 38, 41, 42 ir 48-1 straipsnių pakeitimo įstatymas Nr. XIV-131, pagal kurį numatyta darbdaviams kompensuoti visą (100 proc.) prastovų metu darbuotojui priskaičiuotą ir išmokamą darbo užmokestį bei padidinti subsidijos darbo užmokesčiui maksimalų dydį iki 1,5 MMA, t. y. iki 963 Eur. </w:t>
            </w:r>
          </w:p>
        </w:tc>
      </w:tr>
      <w:tr w:rsidR="0058571D" w:rsidRPr="008535D4" w:rsidDel="001F3621" w14:paraId="78D8C060" w14:textId="77777777" w:rsidTr="00AB4CB8">
        <w:tc>
          <w:tcPr>
            <w:tcW w:w="1701" w:type="dxa"/>
            <w:shd w:val="clear" w:color="auto" w:fill="auto"/>
          </w:tcPr>
          <w:p w14:paraId="5074AF37" w14:textId="77777777" w:rsidR="0058571D" w:rsidRPr="00810199" w:rsidRDefault="0058571D" w:rsidP="002624F5">
            <w:r w:rsidRPr="00810199">
              <w:t>Sausio 20 d.</w:t>
            </w:r>
          </w:p>
        </w:tc>
        <w:tc>
          <w:tcPr>
            <w:tcW w:w="8364" w:type="dxa"/>
            <w:shd w:val="clear" w:color="auto" w:fill="auto"/>
          </w:tcPr>
          <w:p w14:paraId="2772C412" w14:textId="77777777" w:rsidR="0058571D" w:rsidRPr="00C33C9D" w:rsidRDefault="0058571D" w:rsidP="0058571D">
            <w:pPr>
              <w:jc w:val="both"/>
            </w:pPr>
            <w:r w:rsidRPr="002547AE">
              <w:t xml:space="preserve">Vyriausybė pritarė </w:t>
            </w:r>
            <w:r>
              <w:t xml:space="preserve">socialinio </w:t>
            </w:r>
            <w:r w:rsidRPr="002547AE">
              <w:t>palaikymo „burbulų“ kūrimui – bus leidžiama susitikti su vienišais žmonėmis</w:t>
            </w:r>
            <w:r>
              <w:t>.</w:t>
            </w:r>
          </w:p>
        </w:tc>
      </w:tr>
      <w:tr w:rsidR="0058571D" w:rsidRPr="008535D4" w:rsidDel="001F3621" w14:paraId="24AD853D" w14:textId="77777777" w:rsidTr="00AB4CB8">
        <w:tc>
          <w:tcPr>
            <w:tcW w:w="1701" w:type="dxa"/>
            <w:shd w:val="clear" w:color="auto" w:fill="auto"/>
          </w:tcPr>
          <w:p w14:paraId="2E591AE9" w14:textId="77777777" w:rsidR="0058571D" w:rsidRPr="00810199" w:rsidRDefault="0058571D" w:rsidP="002624F5">
            <w:r w:rsidRPr="00810199">
              <w:t xml:space="preserve">Sausio 27 d. </w:t>
            </w:r>
          </w:p>
        </w:tc>
        <w:tc>
          <w:tcPr>
            <w:tcW w:w="8364" w:type="dxa"/>
            <w:shd w:val="clear" w:color="auto" w:fill="auto"/>
          </w:tcPr>
          <w:p w14:paraId="2B6A362F" w14:textId="77777777" w:rsidR="0058571D" w:rsidRPr="00C33C9D" w:rsidRDefault="0058571D" w:rsidP="0058571D">
            <w:pPr>
              <w:jc w:val="both"/>
            </w:pPr>
            <w:r>
              <w:t>Karantinas pratęsiamas iki vasario 28 d.</w:t>
            </w:r>
          </w:p>
        </w:tc>
      </w:tr>
      <w:tr w:rsidR="0058571D" w:rsidRPr="008535D4" w:rsidDel="001F3621" w14:paraId="60F35074" w14:textId="77777777" w:rsidTr="00AB4CB8">
        <w:tc>
          <w:tcPr>
            <w:tcW w:w="1701" w:type="dxa"/>
            <w:shd w:val="clear" w:color="auto" w:fill="auto"/>
          </w:tcPr>
          <w:p w14:paraId="2FDD38AC" w14:textId="77777777" w:rsidR="0058571D" w:rsidRPr="00810199" w:rsidRDefault="0058571D" w:rsidP="002624F5">
            <w:r w:rsidRPr="00810199">
              <w:t>Sausio 28 d.</w:t>
            </w:r>
          </w:p>
        </w:tc>
        <w:tc>
          <w:tcPr>
            <w:tcW w:w="8364" w:type="dxa"/>
            <w:shd w:val="clear" w:color="auto" w:fill="auto"/>
          </w:tcPr>
          <w:p w14:paraId="54D3EB36" w14:textId="77777777" w:rsidR="0058571D" w:rsidRPr="00C33C9D" w:rsidRDefault="0058571D" w:rsidP="0058571D">
            <w:pPr>
              <w:jc w:val="both"/>
            </w:pPr>
            <w:r w:rsidRPr="003B3295">
              <w:t>Socialinės globos įstaigų globotiniai ir darbuotojai</w:t>
            </w:r>
            <w:r>
              <w:t xml:space="preserve"> </w:t>
            </w:r>
            <w:r w:rsidRPr="003B3295">
              <w:t>paskiepyti pirmuoju skiepu nuo COVID-19</w:t>
            </w:r>
            <w:r>
              <w:t>.</w:t>
            </w:r>
            <w:r w:rsidRPr="003B3295">
              <w:t xml:space="preserve"> </w:t>
            </w:r>
          </w:p>
        </w:tc>
      </w:tr>
      <w:tr w:rsidR="0058571D" w:rsidRPr="008535D4" w:rsidDel="001F3621" w14:paraId="1E3835F6" w14:textId="77777777" w:rsidTr="00AB4CB8">
        <w:tc>
          <w:tcPr>
            <w:tcW w:w="1701" w:type="dxa"/>
            <w:shd w:val="clear" w:color="auto" w:fill="auto"/>
          </w:tcPr>
          <w:p w14:paraId="71626A2C" w14:textId="77777777" w:rsidR="0058571D" w:rsidRPr="00810199" w:rsidRDefault="0058571D" w:rsidP="002624F5">
            <w:r w:rsidRPr="00810199">
              <w:t>Vasario 3 d.</w:t>
            </w:r>
          </w:p>
        </w:tc>
        <w:tc>
          <w:tcPr>
            <w:tcW w:w="8364" w:type="dxa"/>
            <w:shd w:val="clear" w:color="auto" w:fill="auto"/>
          </w:tcPr>
          <w:p w14:paraId="679019BC" w14:textId="4A22BF09" w:rsidR="0058571D" w:rsidRPr="00C33C9D" w:rsidRDefault="0058571D" w:rsidP="0058571D">
            <w:pPr>
              <w:jc w:val="both"/>
            </w:pPr>
            <w:r w:rsidRPr="00DF7638">
              <w:t xml:space="preserve">Vyriausybė </w:t>
            </w:r>
            <w:proofErr w:type="spellStart"/>
            <w:r w:rsidRPr="00DF7638">
              <w:t>dekonstruoja</w:t>
            </w:r>
            <w:proofErr w:type="spellEnd"/>
            <w:r w:rsidRPr="00DF7638">
              <w:t xml:space="preserve"> Ateities ekonomikos DNR planą</w:t>
            </w:r>
            <w:r w:rsidR="004B2CC0">
              <w:t xml:space="preserve"> (Lietuvos paraiška </w:t>
            </w:r>
            <w:r w:rsidR="004B2CC0" w:rsidRPr="00E17250">
              <w:rPr>
                <w:szCs w:val="24"/>
              </w:rPr>
              <w:t>Europos ekonomikos gaivinimo ir atsparumo didinimo priemon</w:t>
            </w:r>
            <w:r w:rsidR="004B2CC0">
              <w:rPr>
                <w:szCs w:val="24"/>
              </w:rPr>
              <w:t>ei</w:t>
            </w:r>
            <w:r w:rsidR="004B2CC0" w:rsidRPr="00E17250">
              <w:rPr>
                <w:szCs w:val="24"/>
              </w:rPr>
              <w:t xml:space="preserve"> </w:t>
            </w:r>
            <w:r w:rsidR="004B2CC0">
              <w:rPr>
                <w:szCs w:val="24"/>
              </w:rPr>
              <w:t xml:space="preserve">(angl. </w:t>
            </w:r>
            <w:proofErr w:type="spellStart"/>
            <w:r w:rsidR="004B2CC0" w:rsidRPr="0045603F">
              <w:rPr>
                <w:i/>
                <w:szCs w:val="24"/>
              </w:rPr>
              <w:t>Recovery</w:t>
            </w:r>
            <w:proofErr w:type="spellEnd"/>
            <w:r w:rsidR="004B2CC0" w:rsidRPr="0045603F">
              <w:rPr>
                <w:i/>
                <w:szCs w:val="24"/>
              </w:rPr>
              <w:t xml:space="preserve"> </w:t>
            </w:r>
            <w:proofErr w:type="spellStart"/>
            <w:r w:rsidR="004B2CC0" w:rsidRPr="0045603F">
              <w:rPr>
                <w:i/>
                <w:szCs w:val="24"/>
              </w:rPr>
              <w:t>and</w:t>
            </w:r>
            <w:proofErr w:type="spellEnd"/>
            <w:r w:rsidR="004B2CC0" w:rsidRPr="0045603F">
              <w:rPr>
                <w:i/>
                <w:szCs w:val="24"/>
              </w:rPr>
              <w:t xml:space="preserve"> </w:t>
            </w:r>
            <w:proofErr w:type="spellStart"/>
            <w:r w:rsidR="004B2CC0" w:rsidRPr="0045603F">
              <w:rPr>
                <w:i/>
                <w:szCs w:val="24"/>
              </w:rPr>
              <w:t>Resilience</w:t>
            </w:r>
            <w:proofErr w:type="spellEnd"/>
            <w:r w:rsidR="004B2CC0" w:rsidRPr="0045603F">
              <w:rPr>
                <w:i/>
                <w:szCs w:val="24"/>
              </w:rPr>
              <w:t xml:space="preserve"> </w:t>
            </w:r>
            <w:proofErr w:type="spellStart"/>
            <w:r w:rsidR="004B2CC0" w:rsidRPr="0045603F">
              <w:rPr>
                <w:i/>
                <w:szCs w:val="24"/>
              </w:rPr>
              <w:t>Facility</w:t>
            </w:r>
            <w:proofErr w:type="spellEnd"/>
            <w:r w:rsidR="004B2CC0">
              <w:rPr>
                <w:szCs w:val="24"/>
              </w:rPr>
              <w:t xml:space="preserve">) </w:t>
            </w:r>
            <w:r w:rsidR="00BC1F80">
              <w:rPr>
                <w:szCs w:val="24"/>
              </w:rPr>
              <w:t xml:space="preserve">jau anksčiau </w:t>
            </w:r>
            <w:r w:rsidR="00A33752">
              <w:rPr>
                <w:szCs w:val="24"/>
              </w:rPr>
              <w:t>susie</w:t>
            </w:r>
            <w:r w:rsidR="00F337CD">
              <w:rPr>
                <w:szCs w:val="24"/>
              </w:rPr>
              <w:t>ta</w:t>
            </w:r>
            <w:r w:rsidR="00A33752">
              <w:rPr>
                <w:szCs w:val="24"/>
              </w:rPr>
              <w:t xml:space="preserve"> su Vyriausybės programos nuostatų įgyvendinimo plan</w:t>
            </w:r>
            <w:r w:rsidR="00F337CD">
              <w:rPr>
                <w:szCs w:val="24"/>
              </w:rPr>
              <w:t>o svarbiausiomis reformomis ir jų finansavimu).</w:t>
            </w:r>
          </w:p>
        </w:tc>
      </w:tr>
      <w:tr w:rsidR="0058571D" w:rsidRPr="008535D4" w:rsidDel="001F3621" w14:paraId="610A43F3" w14:textId="77777777" w:rsidTr="00AB4CB8">
        <w:tc>
          <w:tcPr>
            <w:tcW w:w="1701" w:type="dxa"/>
            <w:shd w:val="clear" w:color="auto" w:fill="auto"/>
          </w:tcPr>
          <w:p w14:paraId="6D7AF116" w14:textId="77777777" w:rsidR="0058571D" w:rsidRPr="00810199" w:rsidRDefault="0058571D" w:rsidP="002624F5">
            <w:pPr>
              <w:rPr>
                <w:lang w:val="en-GB"/>
              </w:rPr>
            </w:pPr>
            <w:r w:rsidRPr="00810199">
              <w:t xml:space="preserve">Vasario </w:t>
            </w:r>
            <w:r w:rsidRPr="00810199">
              <w:rPr>
                <w:lang w:val="en-GB"/>
              </w:rPr>
              <w:t>4 d.</w:t>
            </w:r>
          </w:p>
        </w:tc>
        <w:tc>
          <w:tcPr>
            <w:tcW w:w="8364" w:type="dxa"/>
            <w:shd w:val="clear" w:color="auto" w:fill="auto"/>
          </w:tcPr>
          <w:p w14:paraId="207FC737" w14:textId="77777777" w:rsidR="0058571D" w:rsidRPr="00DF7638" w:rsidRDefault="0058571D" w:rsidP="0058571D">
            <w:pPr>
              <w:jc w:val="both"/>
            </w:pPr>
            <w:r w:rsidRPr="00D85621">
              <w:t>Nacionaliniu mastu pradedami vykdyti COVID-19 mutacijų tyrimai</w:t>
            </w:r>
            <w:r>
              <w:t>.</w:t>
            </w:r>
          </w:p>
        </w:tc>
      </w:tr>
      <w:tr w:rsidR="0058571D" w:rsidRPr="008535D4" w:rsidDel="001F3621" w14:paraId="54DA2629" w14:textId="77777777" w:rsidTr="00AB4CB8">
        <w:tc>
          <w:tcPr>
            <w:tcW w:w="1701" w:type="dxa"/>
            <w:shd w:val="clear" w:color="auto" w:fill="auto"/>
          </w:tcPr>
          <w:p w14:paraId="61DD993E" w14:textId="77777777" w:rsidR="0058571D" w:rsidRPr="00810199" w:rsidRDefault="0058571D" w:rsidP="002624F5">
            <w:r w:rsidRPr="00810199">
              <w:t xml:space="preserve">Vasario </w:t>
            </w:r>
            <w:r w:rsidRPr="00810199">
              <w:rPr>
                <w:lang w:val="en-GB"/>
              </w:rPr>
              <w:t>6 d.</w:t>
            </w:r>
          </w:p>
        </w:tc>
        <w:tc>
          <w:tcPr>
            <w:tcW w:w="8364" w:type="dxa"/>
            <w:shd w:val="clear" w:color="auto" w:fill="auto"/>
          </w:tcPr>
          <w:p w14:paraId="0D4CC2CF" w14:textId="77777777" w:rsidR="0058571D" w:rsidRPr="00DF7638" w:rsidRDefault="0058571D" w:rsidP="0058571D">
            <w:pPr>
              <w:jc w:val="both"/>
            </w:pPr>
            <w:r w:rsidRPr="007042C8">
              <w:t>Į Lietuvą atkeliavo pirmoji „</w:t>
            </w:r>
            <w:proofErr w:type="spellStart"/>
            <w:r w:rsidRPr="007042C8">
              <w:t>AstraZeneca</w:t>
            </w:r>
            <w:proofErr w:type="spellEnd"/>
            <w:r w:rsidRPr="007042C8">
              <w:t>“ vakcinų siunta</w:t>
            </w:r>
            <w:r>
              <w:t>.</w:t>
            </w:r>
          </w:p>
        </w:tc>
      </w:tr>
      <w:tr w:rsidR="0058571D" w:rsidRPr="008535D4" w:rsidDel="001F3621" w14:paraId="23A63159" w14:textId="77777777" w:rsidTr="00AB4CB8">
        <w:tc>
          <w:tcPr>
            <w:tcW w:w="1701" w:type="dxa"/>
            <w:shd w:val="clear" w:color="auto" w:fill="auto"/>
          </w:tcPr>
          <w:p w14:paraId="420ECA50" w14:textId="77777777" w:rsidR="0058571D" w:rsidRPr="00810199" w:rsidRDefault="0058571D" w:rsidP="002624F5">
            <w:r w:rsidRPr="00810199">
              <w:t>Vasario 12</w:t>
            </w:r>
            <w:r w:rsidRPr="00810199">
              <w:rPr>
                <w:lang w:val="en-GB"/>
              </w:rPr>
              <w:t xml:space="preserve"> d.</w:t>
            </w:r>
          </w:p>
        </w:tc>
        <w:tc>
          <w:tcPr>
            <w:tcW w:w="8364" w:type="dxa"/>
            <w:shd w:val="clear" w:color="auto" w:fill="auto"/>
          </w:tcPr>
          <w:p w14:paraId="4C7445CA" w14:textId="77777777" w:rsidR="0058571D" w:rsidRPr="00DF7638" w:rsidRDefault="0058571D" w:rsidP="0058571D">
            <w:pPr>
              <w:jc w:val="both"/>
            </w:pPr>
            <w:r w:rsidRPr="00872491">
              <w:t>Vyriausybė pritarė pilotiniam profilaktinių COVID-19 tyrimų projektui</w:t>
            </w:r>
            <w:r>
              <w:t>.</w:t>
            </w:r>
          </w:p>
        </w:tc>
      </w:tr>
      <w:tr w:rsidR="0058571D" w:rsidRPr="008535D4" w:rsidDel="001F3621" w14:paraId="7A8C67C0" w14:textId="77777777" w:rsidTr="00AB4CB8">
        <w:tc>
          <w:tcPr>
            <w:tcW w:w="1701" w:type="dxa"/>
            <w:shd w:val="clear" w:color="auto" w:fill="auto"/>
          </w:tcPr>
          <w:p w14:paraId="39BFEA71" w14:textId="77777777" w:rsidR="0058571D" w:rsidRPr="00810199" w:rsidRDefault="0058571D" w:rsidP="002624F5">
            <w:r w:rsidRPr="00810199">
              <w:t>Vasario 15</w:t>
            </w:r>
            <w:r w:rsidRPr="00810199">
              <w:rPr>
                <w:lang w:val="en-GB"/>
              </w:rPr>
              <w:t xml:space="preserve"> d.</w:t>
            </w:r>
          </w:p>
        </w:tc>
        <w:tc>
          <w:tcPr>
            <w:tcW w:w="8364" w:type="dxa"/>
            <w:shd w:val="clear" w:color="auto" w:fill="auto"/>
          </w:tcPr>
          <w:p w14:paraId="1291B2FE" w14:textId="77777777" w:rsidR="0058571D" w:rsidRPr="00DF7638" w:rsidRDefault="0058571D" w:rsidP="0058571D">
            <w:pPr>
              <w:jc w:val="both"/>
            </w:pPr>
            <w:r w:rsidRPr="002A5497">
              <w:t>Atnaujintas vakcinacijos planas</w:t>
            </w:r>
            <w:r>
              <w:t xml:space="preserve">, </w:t>
            </w:r>
            <w:r w:rsidRPr="00D45BA4">
              <w:t>atsižvelgdam</w:t>
            </w:r>
            <w:r>
              <w:t>i</w:t>
            </w:r>
            <w:r w:rsidRPr="00D45BA4">
              <w:t xml:space="preserve"> į farmacijos kompanijų „</w:t>
            </w:r>
            <w:proofErr w:type="spellStart"/>
            <w:r w:rsidRPr="00D45BA4">
              <w:t>AstraZeneca</w:t>
            </w:r>
            <w:proofErr w:type="spellEnd"/>
            <w:r w:rsidRPr="00D45BA4">
              <w:t>“, „</w:t>
            </w:r>
            <w:proofErr w:type="spellStart"/>
            <w:r w:rsidRPr="00D45BA4">
              <w:t>BioNTech</w:t>
            </w:r>
            <w:proofErr w:type="spellEnd"/>
            <w:r w:rsidRPr="00D45BA4">
              <w:t>“ ir „</w:t>
            </w:r>
            <w:proofErr w:type="spellStart"/>
            <w:r w:rsidRPr="00D45BA4">
              <w:t>Pfizer</w:t>
            </w:r>
            <w:proofErr w:type="spellEnd"/>
            <w:r w:rsidRPr="00D45BA4">
              <w:t>“ bei „</w:t>
            </w:r>
            <w:proofErr w:type="spellStart"/>
            <w:r w:rsidRPr="00D45BA4">
              <w:t>Moderna</w:t>
            </w:r>
            <w:proofErr w:type="spellEnd"/>
            <w:r w:rsidRPr="00D45BA4">
              <w:t>“ pateiktus vakcinų pristatymo planus.</w:t>
            </w:r>
          </w:p>
        </w:tc>
      </w:tr>
      <w:tr w:rsidR="0058571D" w:rsidRPr="008535D4" w:rsidDel="001F3621" w14:paraId="5E160FF2" w14:textId="77777777" w:rsidTr="00AB4CB8">
        <w:tc>
          <w:tcPr>
            <w:tcW w:w="1701" w:type="dxa"/>
            <w:shd w:val="clear" w:color="auto" w:fill="auto"/>
          </w:tcPr>
          <w:p w14:paraId="77753AC4" w14:textId="77777777" w:rsidR="0058571D" w:rsidRPr="00810199" w:rsidRDefault="0058571D" w:rsidP="002624F5">
            <w:r w:rsidRPr="00810199">
              <w:t xml:space="preserve">Vasario </w:t>
            </w:r>
            <w:r w:rsidRPr="00810199">
              <w:rPr>
                <w:lang w:val="en-GB"/>
              </w:rPr>
              <w:t>24 d.</w:t>
            </w:r>
          </w:p>
        </w:tc>
        <w:tc>
          <w:tcPr>
            <w:tcW w:w="8364" w:type="dxa"/>
            <w:shd w:val="clear" w:color="auto" w:fill="auto"/>
          </w:tcPr>
          <w:p w14:paraId="675C6185" w14:textId="77777777" w:rsidR="0058571D" w:rsidRPr="00DF7638" w:rsidRDefault="0058571D" w:rsidP="0058571D">
            <w:pPr>
              <w:jc w:val="both"/>
            </w:pPr>
            <w:r>
              <w:t xml:space="preserve">Karantinas pratęsiamas iki kovo </w:t>
            </w:r>
            <w:r>
              <w:rPr>
                <w:lang w:val="en-GB"/>
              </w:rPr>
              <w:t>31</w:t>
            </w:r>
            <w:r>
              <w:t xml:space="preserve"> d.</w:t>
            </w:r>
          </w:p>
        </w:tc>
      </w:tr>
      <w:tr w:rsidR="0058571D" w:rsidRPr="008535D4" w:rsidDel="001F3621" w14:paraId="5B87B294" w14:textId="77777777" w:rsidTr="00AB4CB8">
        <w:tc>
          <w:tcPr>
            <w:tcW w:w="1701" w:type="dxa"/>
            <w:shd w:val="clear" w:color="auto" w:fill="auto"/>
          </w:tcPr>
          <w:p w14:paraId="0F6E8E95" w14:textId="77777777" w:rsidR="0058571D" w:rsidRPr="00810199" w:rsidRDefault="0058571D" w:rsidP="002624F5">
            <w:r w:rsidRPr="00810199">
              <w:t xml:space="preserve">Vasario </w:t>
            </w:r>
            <w:r w:rsidRPr="00810199">
              <w:rPr>
                <w:lang w:val="en-GB"/>
              </w:rPr>
              <w:t>25 d.</w:t>
            </w:r>
          </w:p>
        </w:tc>
        <w:tc>
          <w:tcPr>
            <w:tcW w:w="8364" w:type="dxa"/>
            <w:shd w:val="clear" w:color="auto" w:fill="auto"/>
          </w:tcPr>
          <w:p w14:paraId="1F60B18A" w14:textId="77777777" w:rsidR="0058571D" w:rsidRPr="00DF7638" w:rsidRDefault="0058571D" w:rsidP="0058571D">
            <w:pPr>
              <w:jc w:val="both"/>
            </w:pPr>
            <w:r w:rsidRPr="007A6728">
              <w:t>Baigta sveikatos sistemos darbuotojų vakcinacija: imunitetą turi trys ketvirtadaliai medikų</w:t>
            </w:r>
            <w:r>
              <w:t>.</w:t>
            </w:r>
          </w:p>
        </w:tc>
      </w:tr>
      <w:tr w:rsidR="0058571D" w:rsidRPr="008535D4" w:rsidDel="001F3621" w14:paraId="099E1F8C" w14:textId="77777777" w:rsidTr="00AB4CB8">
        <w:tc>
          <w:tcPr>
            <w:tcW w:w="1701" w:type="dxa"/>
            <w:shd w:val="clear" w:color="auto" w:fill="auto"/>
          </w:tcPr>
          <w:p w14:paraId="7FDAC17C" w14:textId="77777777" w:rsidR="0058571D" w:rsidRPr="00810199" w:rsidRDefault="0058571D" w:rsidP="002624F5">
            <w:r w:rsidRPr="00810199">
              <w:t xml:space="preserve">Kovo </w:t>
            </w:r>
            <w:r w:rsidRPr="00810199">
              <w:rPr>
                <w:lang w:val="en-GB"/>
              </w:rPr>
              <w:t>9 d.</w:t>
            </w:r>
          </w:p>
        </w:tc>
        <w:tc>
          <w:tcPr>
            <w:tcW w:w="8364" w:type="dxa"/>
            <w:shd w:val="clear" w:color="auto" w:fill="auto"/>
          </w:tcPr>
          <w:p w14:paraId="063DBD91" w14:textId="77777777" w:rsidR="0058571D" w:rsidRPr="00DF7638" w:rsidRDefault="0058571D" w:rsidP="0058571D">
            <w:pPr>
              <w:jc w:val="both"/>
            </w:pPr>
            <w:r w:rsidRPr="00A735A4">
              <w:t>Prasideda profilaktinis testavimas dėl COVID-19 greitaisiais antigeno testais</w:t>
            </w:r>
            <w:r>
              <w:t>.</w:t>
            </w:r>
          </w:p>
        </w:tc>
      </w:tr>
      <w:tr w:rsidR="0058571D" w:rsidRPr="008535D4" w:rsidDel="001F3621" w14:paraId="62E23E12" w14:textId="77777777" w:rsidTr="00AB4CB8">
        <w:tc>
          <w:tcPr>
            <w:tcW w:w="1701" w:type="dxa"/>
            <w:shd w:val="clear" w:color="auto" w:fill="auto"/>
          </w:tcPr>
          <w:p w14:paraId="122CF65C" w14:textId="77777777" w:rsidR="0058571D" w:rsidRPr="00810199" w:rsidRDefault="0058571D" w:rsidP="002624F5">
            <w:r w:rsidRPr="00810199">
              <w:t xml:space="preserve">Kovo </w:t>
            </w:r>
            <w:r w:rsidRPr="00810199">
              <w:rPr>
                <w:lang w:val="en-GB"/>
              </w:rPr>
              <w:t>9 d.</w:t>
            </w:r>
          </w:p>
        </w:tc>
        <w:tc>
          <w:tcPr>
            <w:tcW w:w="8364" w:type="dxa"/>
            <w:shd w:val="clear" w:color="auto" w:fill="auto"/>
          </w:tcPr>
          <w:p w14:paraId="61F3D93F" w14:textId="77777777" w:rsidR="0058571D" w:rsidRPr="00A735A4" w:rsidRDefault="0058571D" w:rsidP="0058571D">
            <w:pPr>
              <w:jc w:val="both"/>
            </w:pPr>
            <w:r w:rsidRPr="00AE182A">
              <w:t>Laikinai sustabdytas skiepijimas viena „</w:t>
            </w:r>
            <w:proofErr w:type="spellStart"/>
            <w:r w:rsidRPr="00AE182A">
              <w:t>AstraZeneca</w:t>
            </w:r>
            <w:proofErr w:type="spellEnd"/>
            <w:r w:rsidRPr="00AE182A">
              <w:t>“ vakcinos serija</w:t>
            </w:r>
            <w:r>
              <w:t xml:space="preserve">. </w:t>
            </w:r>
            <w:r w:rsidRPr="00AE182A">
              <w:t>Valstybinė vaistų kontrolės tarnyba, sulaukusi informacijos iš Austrijos kompetentingos institucijos, rekomendavo laikinai sustabdyti vakcinos „</w:t>
            </w:r>
            <w:proofErr w:type="spellStart"/>
            <w:r w:rsidRPr="00AE182A">
              <w:t>AstraZeneca</w:t>
            </w:r>
            <w:proofErr w:type="spellEnd"/>
            <w:r w:rsidRPr="00AE182A">
              <w:t>“ serijos ABV5300 naudojimą.</w:t>
            </w:r>
          </w:p>
        </w:tc>
      </w:tr>
      <w:tr w:rsidR="0058571D" w:rsidRPr="008535D4" w:rsidDel="001F3621" w14:paraId="036A0C5B" w14:textId="77777777" w:rsidTr="00AB4CB8">
        <w:tc>
          <w:tcPr>
            <w:tcW w:w="1701" w:type="dxa"/>
            <w:shd w:val="clear" w:color="auto" w:fill="auto"/>
          </w:tcPr>
          <w:p w14:paraId="1C741FDE" w14:textId="77777777" w:rsidR="0058571D" w:rsidRPr="00810199" w:rsidRDefault="0058571D" w:rsidP="002624F5">
            <w:r w:rsidRPr="00810199">
              <w:lastRenderedPageBreak/>
              <w:t xml:space="preserve">Kovo </w:t>
            </w:r>
            <w:r w:rsidRPr="00810199">
              <w:rPr>
                <w:lang w:val="en-GB"/>
              </w:rPr>
              <w:t>1</w:t>
            </w:r>
            <w:r>
              <w:rPr>
                <w:lang w:val="en-GB"/>
              </w:rPr>
              <w:t>2</w:t>
            </w:r>
            <w:r w:rsidRPr="00810199">
              <w:rPr>
                <w:lang w:val="en-GB"/>
              </w:rPr>
              <w:t xml:space="preserve"> d.</w:t>
            </w:r>
          </w:p>
        </w:tc>
        <w:tc>
          <w:tcPr>
            <w:tcW w:w="8364" w:type="dxa"/>
            <w:shd w:val="clear" w:color="auto" w:fill="auto"/>
          </w:tcPr>
          <w:p w14:paraId="2DF74DA2" w14:textId="77777777" w:rsidR="0058571D" w:rsidRPr="00AE182A" w:rsidRDefault="0058571D" w:rsidP="0058571D">
            <w:pPr>
              <w:jc w:val="both"/>
            </w:pPr>
            <w:r>
              <w:t>V</w:t>
            </w:r>
            <w:r w:rsidRPr="00C25322">
              <w:t>akcinacija „</w:t>
            </w:r>
            <w:proofErr w:type="spellStart"/>
            <w:r w:rsidRPr="00C25322">
              <w:t>AstraZeneca</w:t>
            </w:r>
            <w:proofErr w:type="spellEnd"/>
            <w:r w:rsidRPr="00C25322">
              <w:t>“ vakcina Lietuvoje vyksta toliau, atsižvelgiant į Europos vaistų agentūros (EVA) ir Valstybinės vaistų kontrolės tarnybos (VVKT) rekomendacijas ir ekspertų vertinimą, kad nėra pagrindo abejoti „</w:t>
            </w:r>
            <w:proofErr w:type="spellStart"/>
            <w:r w:rsidRPr="00C25322">
              <w:t>AstraZeneca</w:t>
            </w:r>
            <w:proofErr w:type="spellEnd"/>
            <w:r w:rsidRPr="00C25322">
              <w:t>“ vakcinų efektyvumu ir saugumu</w:t>
            </w:r>
            <w:r>
              <w:t>.</w:t>
            </w:r>
          </w:p>
        </w:tc>
      </w:tr>
      <w:tr w:rsidR="0058571D" w:rsidRPr="008535D4" w:rsidDel="001F3621" w14:paraId="79253FF6" w14:textId="77777777" w:rsidTr="00AB4CB8">
        <w:tc>
          <w:tcPr>
            <w:tcW w:w="1701" w:type="dxa"/>
            <w:shd w:val="clear" w:color="auto" w:fill="auto"/>
          </w:tcPr>
          <w:p w14:paraId="1668C3FF" w14:textId="77777777" w:rsidR="0058571D" w:rsidRPr="00810199" w:rsidRDefault="0058571D" w:rsidP="002624F5">
            <w:r w:rsidRPr="00810199">
              <w:t xml:space="preserve">Kovo </w:t>
            </w:r>
            <w:r w:rsidRPr="00810199">
              <w:rPr>
                <w:lang w:val="en-GB"/>
              </w:rPr>
              <w:t>1</w:t>
            </w:r>
            <w:r>
              <w:rPr>
                <w:lang w:val="en-GB"/>
              </w:rPr>
              <w:t>6</w:t>
            </w:r>
            <w:r w:rsidRPr="00810199">
              <w:rPr>
                <w:lang w:val="en-GB"/>
              </w:rPr>
              <w:t xml:space="preserve"> d.</w:t>
            </w:r>
          </w:p>
        </w:tc>
        <w:tc>
          <w:tcPr>
            <w:tcW w:w="8364" w:type="dxa"/>
            <w:shd w:val="clear" w:color="auto" w:fill="auto"/>
          </w:tcPr>
          <w:p w14:paraId="4C33C54F" w14:textId="77777777" w:rsidR="0058571D" w:rsidRDefault="0058571D" w:rsidP="0058571D">
            <w:pPr>
              <w:jc w:val="both"/>
            </w:pPr>
            <w:r w:rsidRPr="00772CA8">
              <w:t>Laikinai stabdomas skiepijimas „</w:t>
            </w:r>
            <w:proofErr w:type="spellStart"/>
            <w:r w:rsidRPr="00772CA8">
              <w:t>AstraZeneca</w:t>
            </w:r>
            <w:proofErr w:type="spellEnd"/>
            <w:r w:rsidRPr="00772CA8">
              <w:t>“ vakcina</w:t>
            </w:r>
            <w:r>
              <w:t xml:space="preserve">. </w:t>
            </w:r>
            <w:r w:rsidRPr="00772CA8">
              <w:t>Gaunant duomenų dėl Europoje fiksuojamų tromboembolijos reiškinių, VVKT ministerijai pateikė rekomendaciją laikinai stabdyti skiepijimą „</w:t>
            </w:r>
            <w:proofErr w:type="spellStart"/>
            <w:r w:rsidRPr="00772CA8">
              <w:t>AstraZeneca</w:t>
            </w:r>
            <w:proofErr w:type="spellEnd"/>
            <w:r w:rsidRPr="00772CA8">
              <w:t>“ vakcina</w:t>
            </w:r>
            <w:r>
              <w:t>.</w:t>
            </w:r>
          </w:p>
        </w:tc>
      </w:tr>
      <w:tr w:rsidR="0058571D" w:rsidRPr="008535D4" w:rsidDel="001F3621" w14:paraId="06999EE9" w14:textId="77777777" w:rsidTr="00AB4CB8">
        <w:tc>
          <w:tcPr>
            <w:tcW w:w="1701" w:type="dxa"/>
            <w:shd w:val="clear" w:color="auto" w:fill="auto"/>
          </w:tcPr>
          <w:p w14:paraId="2513BF86" w14:textId="77777777" w:rsidR="0058571D" w:rsidRPr="00810199" w:rsidRDefault="0058571D" w:rsidP="002624F5">
            <w:r w:rsidRPr="00810199">
              <w:t xml:space="preserve">Kovo </w:t>
            </w:r>
            <w:r w:rsidRPr="00810199">
              <w:rPr>
                <w:lang w:val="en-GB"/>
              </w:rPr>
              <w:t>1</w:t>
            </w:r>
            <w:r>
              <w:rPr>
                <w:lang w:val="en-GB"/>
              </w:rPr>
              <w:t>8</w:t>
            </w:r>
            <w:r w:rsidRPr="00810199">
              <w:rPr>
                <w:lang w:val="en-GB"/>
              </w:rPr>
              <w:t xml:space="preserve"> d.</w:t>
            </w:r>
          </w:p>
        </w:tc>
        <w:tc>
          <w:tcPr>
            <w:tcW w:w="8364" w:type="dxa"/>
            <w:shd w:val="clear" w:color="auto" w:fill="auto"/>
          </w:tcPr>
          <w:p w14:paraId="01A7349A" w14:textId="77777777" w:rsidR="0058571D" w:rsidRPr="00772CA8" w:rsidRDefault="0058571D" w:rsidP="0058571D">
            <w:pPr>
              <w:jc w:val="both"/>
            </w:pPr>
            <w:r>
              <w:t>G</w:t>
            </w:r>
            <w:r w:rsidRPr="00641CDA">
              <w:t xml:space="preserve">avusi naujas Valstybinės vaistų kontrolės tarnybos rekomendacijas, palaikančias Europos vaistų agentūros (EVA) poziciją dėl vakcinos naudos suvaldant </w:t>
            </w:r>
            <w:proofErr w:type="spellStart"/>
            <w:r w:rsidRPr="00641CDA">
              <w:t>koronaviruso</w:t>
            </w:r>
            <w:proofErr w:type="spellEnd"/>
            <w:r w:rsidRPr="00641CDA">
              <w:t xml:space="preserve"> pandemiją, atnaujina gyventojų skiepijimą „</w:t>
            </w:r>
            <w:proofErr w:type="spellStart"/>
            <w:r w:rsidRPr="00641CDA">
              <w:t>AstraZeneca</w:t>
            </w:r>
            <w:proofErr w:type="spellEnd"/>
            <w:r w:rsidRPr="00641CDA">
              <w:t>“ vakcina</w:t>
            </w:r>
            <w:r>
              <w:t>.</w:t>
            </w:r>
          </w:p>
        </w:tc>
      </w:tr>
      <w:tr w:rsidR="0058571D" w:rsidRPr="008535D4" w:rsidDel="001F3621" w14:paraId="3A0EB107" w14:textId="77777777" w:rsidTr="00AB4CB8">
        <w:tc>
          <w:tcPr>
            <w:tcW w:w="1701" w:type="dxa"/>
            <w:shd w:val="clear" w:color="auto" w:fill="auto"/>
          </w:tcPr>
          <w:p w14:paraId="4E721581" w14:textId="77777777" w:rsidR="0058571D" w:rsidRPr="00810199" w:rsidRDefault="0058571D" w:rsidP="002624F5">
            <w:r w:rsidRPr="00810199">
              <w:t xml:space="preserve">Kovo </w:t>
            </w:r>
            <w:r w:rsidRPr="00810199">
              <w:rPr>
                <w:lang w:val="en-GB"/>
              </w:rPr>
              <w:t>19 d.</w:t>
            </w:r>
          </w:p>
        </w:tc>
        <w:tc>
          <w:tcPr>
            <w:tcW w:w="8364" w:type="dxa"/>
            <w:shd w:val="clear" w:color="auto" w:fill="auto"/>
          </w:tcPr>
          <w:p w14:paraId="09AFD86E" w14:textId="77777777" w:rsidR="0058571D" w:rsidRPr="00DF7638" w:rsidRDefault="0058571D" w:rsidP="0058571D">
            <w:pPr>
              <w:jc w:val="both"/>
            </w:pPr>
            <w:r w:rsidRPr="00321ACF">
              <w:t>Atnaujinta vakcinacijos nuo COVID-19 tvarka: gyventojai gali rinktis vakciną</w:t>
            </w:r>
            <w:r>
              <w:t>.</w:t>
            </w:r>
          </w:p>
        </w:tc>
      </w:tr>
      <w:tr w:rsidR="0058571D" w:rsidRPr="008535D4" w:rsidDel="001F3621" w14:paraId="52BE1ABE" w14:textId="77777777" w:rsidTr="00AB4CB8">
        <w:tc>
          <w:tcPr>
            <w:tcW w:w="1701" w:type="dxa"/>
            <w:shd w:val="clear" w:color="auto" w:fill="auto"/>
          </w:tcPr>
          <w:p w14:paraId="60AA34CE" w14:textId="77777777" w:rsidR="0058571D" w:rsidRPr="00810199" w:rsidRDefault="0058571D" w:rsidP="002624F5">
            <w:r w:rsidRPr="00810199">
              <w:t>Kovo 2</w:t>
            </w:r>
            <w:r>
              <w:t>2</w:t>
            </w:r>
            <w:r w:rsidRPr="00810199">
              <w:rPr>
                <w:lang w:val="en-GB"/>
              </w:rPr>
              <w:t xml:space="preserve"> d.</w:t>
            </w:r>
          </w:p>
        </w:tc>
        <w:tc>
          <w:tcPr>
            <w:tcW w:w="8364" w:type="dxa"/>
            <w:shd w:val="clear" w:color="auto" w:fill="auto"/>
          </w:tcPr>
          <w:p w14:paraId="7CB8A5D0" w14:textId="7A36E4F4" w:rsidR="0058571D" w:rsidRPr="00321ACF" w:rsidRDefault="001C1DDE" w:rsidP="0058571D">
            <w:pPr>
              <w:jc w:val="both"/>
            </w:pPr>
            <w:r>
              <w:t>Valstybės vadovai</w:t>
            </w:r>
            <w:r w:rsidR="0058571D">
              <w:t xml:space="preserve"> paskiepyti „Astra </w:t>
            </w:r>
            <w:proofErr w:type="spellStart"/>
            <w:r w:rsidR="0058571D">
              <w:t>Zeneca</w:t>
            </w:r>
            <w:proofErr w:type="spellEnd"/>
            <w:r w:rsidR="0058571D">
              <w:t>“ vakcina</w:t>
            </w:r>
          </w:p>
        </w:tc>
      </w:tr>
      <w:tr w:rsidR="00626339" w:rsidRPr="008535D4" w:rsidDel="001F3621" w14:paraId="044940A8" w14:textId="77777777" w:rsidTr="00AB4CB8">
        <w:tc>
          <w:tcPr>
            <w:tcW w:w="1701" w:type="dxa"/>
            <w:shd w:val="clear" w:color="auto" w:fill="auto"/>
          </w:tcPr>
          <w:p w14:paraId="4061D342" w14:textId="636E1C59" w:rsidR="00626339" w:rsidRPr="00810199" w:rsidRDefault="00626339" w:rsidP="002624F5">
            <w:r>
              <w:t>Kovo 26 d.</w:t>
            </w:r>
          </w:p>
        </w:tc>
        <w:tc>
          <w:tcPr>
            <w:tcW w:w="8364" w:type="dxa"/>
            <w:shd w:val="clear" w:color="auto" w:fill="auto"/>
          </w:tcPr>
          <w:p w14:paraId="03F25F93" w14:textId="31C75E6F" w:rsidR="00626339" w:rsidRPr="00626339" w:rsidRDefault="00626339" w:rsidP="0058571D">
            <w:pPr>
              <w:jc w:val="both"/>
            </w:pPr>
            <w:r>
              <w:t xml:space="preserve">Karantinas pratęsiamas iki balandžio </w:t>
            </w:r>
            <w:r>
              <w:rPr>
                <w:lang w:val="en-GB"/>
              </w:rPr>
              <w:t xml:space="preserve">30 </w:t>
            </w:r>
            <w:r>
              <w:t xml:space="preserve">dienos. </w:t>
            </w:r>
          </w:p>
        </w:tc>
      </w:tr>
    </w:tbl>
    <w:p w14:paraId="504B873E" w14:textId="3602462A" w:rsidR="0058571D" w:rsidRPr="0008488D" w:rsidRDefault="0058571D" w:rsidP="00107CE9">
      <w:pPr>
        <w:pStyle w:val="Pagrindinistekstas"/>
        <w:tabs>
          <w:tab w:val="left" w:pos="142"/>
        </w:tabs>
        <w:spacing w:line="276" w:lineRule="auto"/>
        <w:rPr>
          <w:bCs/>
          <w:szCs w:val="24"/>
        </w:rPr>
        <w:sectPr w:rsidR="0058571D" w:rsidRPr="0008488D" w:rsidSect="000B5783">
          <w:footerReference w:type="even" r:id="rId39"/>
          <w:footerReference w:type="default" r:id="rId40"/>
          <w:pgSz w:w="11906" w:h="16838"/>
          <w:pgMar w:top="720" w:right="720" w:bottom="720" w:left="1134" w:header="567" w:footer="567" w:gutter="0"/>
          <w:cols w:space="1296"/>
          <w:docGrid w:linePitch="326"/>
        </w:sectPr>
      </w:pPr>
    </w:p>
    <w:p w14:paraId="341CFE74" w14:textId="4DC58CFB" w:rsidR="00A46E65" w:rsidRDefault="00107CE9" w:rsidP="00CA13A1">
      <w:pPr>
        <w:pStyle w:val="Antrat1"/>
        <w:numPr>
          <w:ilvl w:val="0"/>
          <w:numId w:val="35"/>
        </w:numPr>
        <w:rPr>
          <w:color w:val="17365D" w:themeColor="text2" w:themeShade="BF"/>
          <w:szCs w:val="24"/>
        </w:rPr>
      </w:pPr>
      <w:bookmarkStart w:id="31" w:name="_Toc68079188"/>
      <w:bookmarkStart w:id="32" w:name="_Hlk67565944"/>
      <w:r w:rsidRPr="007B2FAD">
        <w:rPr>
          <w:color w:val="17365D" w:themeColor="text2" w:themeShade="BF"/>
        </w:rPr>
        <w:lastRenderedPageBreak/>
        <w:t>PRIEDAS</w:t>
      </w:r>
      <w:r w:rsidR="00F210C0">
        <w:rPr>
          <w:color w:val="17365D" w:themeColor="text2" w:themeShade="BF"/>
        </w:rPr>
        <w:t>.</w:t>
      </w:r>
      <w:r w:rsidRPr="007B2FAD">
        <w:rPr>
          <w:color w:val="17365D" w:themeColor="text2" w:themeShade="BF"/>
        </w:rPr>
        <w:t xml:space="preserve"> </w:t>
      </w:r>
      <w:r w:rsidR="00F210C0" w:rsidRPr="00F210C0">
        <w:rPr>
          <w:color w:val="17365D" w:themeColor="text2" w:themeShade="BF"/>
          <w:szCs w:val="24"/>
        </w:rPr>
        <w:t>LIETUVOS VALSTYBĖS PAŽANGOS VERTINIMO KRITERIJŲ REIKŠMĖS</w:t>
      </w:r>
      <w:r w:rsidR="00A46E65">
        <w:rPr>
          <w:color w:val="17365D" w:themeColor="text2" w:themeShade="BF"/>
          <w:szCs w:val="24"/>
        </w:rPr>
        <w:t xml:space="preserve"> PAGAL VALSTYBĖS VEIKLOS SRITIS</w:t>
      </w:r>
      <w:bookmarkEnd w:id="31"/>
    </w:p>
    <w:bookmarkEnd w:id="32"/>
    <w:p w14:paraId="781E9652" w14:textId="77777777" w:rsidR="00925C7D" w:rsidRPr="00ED0D6D" w:rsidRDefault="00925C7D" w:rsidP="00925C7D">
      <w:pPr>
        <w:pStyle w:val="Betarp2"/>
        <w:rPr>
          <w:sz w:val="20"/>
        </w:rPr>
      </w:pPr>
    </w:p>
    <w:p w14:paraId="4879B6C2" w14:textId="77777777" w:rsidR="00925C7D" w:rsidRPr="00ED0D6D" w:rsidRDefault="00925C7D" w:rsidP="00925C7D">
      <w:pPr>
        <w:pStyle w:val="Default"/>
        <w:jc w:val="both"/>
      </w:pPr>
    </w:p>
    <w:p w14:paraId="00650AC5" w14:textId="2BD3B630" w:rsidR="00925C7D" w:rsidRPr="00ED0D6D" w:rsidRDefault="00CA13A1" w:rsidP="00CA13A1">
      <w:pPr>
        <w:pStyle w:val="Default"/>
        <w:numPr>
          <w:ilvl w:val="1"/>
          <w:numId w:val="35"/>
        </w:numPr>
        <w:jc w:val="both"/>
        <w:rPr>
          <w:b/>
          <w:bCs/>
          <w:color w:val="17365D" w:themeColor="text2" w:themeShade="BF"/>
        </w:rPr>
      </w:pPr>
      <w:r>
        <w:rPr>
          <w:b/>
          <w:bCs/>
          <w:color w:val="17365D" w:themeColor="text2" w:themeShade="BF"/>
        </w:rPr>
        <w:t xml:space="preserve"> </w:t>
      </w:r>
      <w:r w:rsidR="00925C7D" w:rsidRPr="00ED0D6D">
        <w:rPr>
          <w:b/>
          <w:bCs/>
          <w:color w:val="17365D" w:themeColor="text2" w:themeShade="BF"/>
        </w:rPr>
        <w:t>Valstybės pažangos strategijos „Lietuvos pažangos strategija „Lietuva 2030“ įgyvendinimo rodiklių apžvalga</w:t>
      </w:r>
    </w:p>
    <w:p w14:paraId="0A86FD90" w14:textId="77777777" w:rsidR="004C1B81" w:rsidRPr="00ED0D6D" w:rsidRDefault="004C1B81" w:rsidP="007A0F9B">
      <w:pPr>
        <w:pStyle w:val="Default"/>
        <w:jc w:val="both"/>
      </w:pPr>
    </w:p>
    <w:p w14:paraId="34BC8347" w14:textId="1971491F" w:rsidR="00975F26" w:rsidRPr="00ED0D6D" w:rsidRDefault="00975F26" w:rsidP="00975F26">
      <w:pPr>
        <w:pStyle w:val="Default"/>
        <w:jc w:val="both"/>
      </w:pPr>
      <w:r w:rsidRPr="00ED0D6D">
        <w:t>Lietuvos Respublikos Seimo 2012 metais patvirtinta Valstybės pažangos strategija „Lietuvos pažangos strategija „Lietuva 2030“ nubrėžė Lietuvos raidos viziją dvidešimčiai metų į ateitį</w:t>
      </w:r>
      <w:r w:rsidRPr="00ED0D6D">
        <w:rPr>
          <w:color w:val="auto"/>
        </w:rPr>
        <w:t xml:space="preserve">: </w:t>
      </w:r>
      <w:r w:rsidRPr="00ED0D6D">
        <w:rPr>
          <w:b/>
          <w:color w:val="auto"/>
        </w:rPr>
        <w:t>Lietuva sumani šalis, kurioje gera gyventi ir dirbti</w:t>
      </w:r>
      <w:r w:rsidRPr="00ED0D6D">
        <w:rPr>
          <w:color w:val="auto"/>
        </w:rPr>
        <w:t>. Siekiama, kad iki 2020 m. Lietuva patektų tarp 15 pažangiausių E</w:t>
      </w:r>
      <w:r>
        <w:rPr>
          <w:color w:val="auto"/>
        </w:rPr>
        <w:t>uropos Sąjungos (toliau – ES)</w:t>
      </w:r>
      <w:r w:rsidRPr="00ED0D6D">
        <w:rPr>
          <w:color w:val="auto"/>
        </w:rPr>
        <w:t xml:space="preserve"> </w:t>
      </w:r>
      <w:r>
        <w:rPr>
          <w:color w:val="auto"/>
        </w:rPr>
        <w:t>valstybių narių</w:t>
      </w:r>
      <w:r w:rsidRPr="00ED0D6D">
        <w:rPr>
          <w:color w:val="auto"/>
        </w:rPr>
        <w:t xml:space="preserve">, o iki 2030 m. – tarp 10 pažangiausių ES </w:t>
      </w:r>
      <w:r>
        <w:rPr>
          <w:color w:val="auto"/>
        </w:rPr>
        <w:t>valstybių narių</w:t>
      </w:r>
      <w:r w:rsidRPr="00ED0D6D">
        <w:rPr>
          <w:color w:val="auto"/>
        </w:rPr>
        <w:t xml:space="preserve"> pagal išskirtus bendruosius vizijos rodiklius. </w:t>
      </w:r>
      <w:r w:rsidRPr="00ED0D6D">
        <w:t xml:space="preserve">Vizijos įgyvendinimo pažanga </w:t>
      </w:r>
      <w:r w:rsidR="00CA399D">
        <w:t>pateikiama</w:t>
      </w:r>
      <w:r w:rsidRPr="00ED0D6D">
        <w:t xml:space="preserve"> remiantis bendrųjų vizijos rodiklių 2016–2019 m. pasiekimais, kurie lyginami </w:t>
      </w:r>
      <w:r>
        <w:t xml:space="preserve">su </w:t>
      </w:r>
      <w:r w:rsidRPr="00ED0D6D">
        <w:t>esama situacija 2009–2010 m</w:t>
      </w:r>
      <w:r>
        <w:t>.</w:t>
      </w:r>
      <w:r w:rsidRPr="00ED0D6D">
        <w:t xml:space="preserve"> ir siekiamais rezultatais, kurie nustatyti 2020 ir 2030 m. </w:t>
      </w:r>
    </w:p>
    <w:p w14:paraId="3F04FBFB" w14:textId="77777777" w:rsidR="00975F26" w:rsidRPr="00ED0D6D" w:rsidRDefault="00975F26" w:rsidP="00975F26">
      <w:pPr>
        <w:pStyle w:val="Betarp2"/>
        <w:rPr>
          <w:sz w:val="20"/>
        </w:rPr>
      </w:pPr>
    </w:p>
    <w:p w14:paraId="3D43A712" w14:textId="28BD03FB" w:rsidR="00975F26" w:rsidRPr="00ED0D6D" w:rsidRDefault="00CA13A1" w:rsidP="00975F26">
      <w:pPr>
        <w:ind w:firstLine="720"/>
        <w:rPr>
          <w:b/>
          <w:bCs/>
          <w:iCs/>
          <w:szCs w:val="24"/>
        </w:rPr>
      </w:pPr>
      <w:r>
        <w:rPr>
          <w:b/>
          <w:bCs/>
          <w:iCs/>
          <w:szCs w:val="24"/>
          <w:lang w:val="en-GB"/>
        </w:rPr>
        <w:t>2.</w:t>
      </w:r>
      <w:r w:rsidR="00975F26" w:rsidRPr="00ED0D6D">
        <w:rPr>
          <w:b/>
          <w:bCs/>
          <w:iCs/>
          <w:szCs w:val="24"/>
          <w:lang w:val="en-GB"/>
        </w:rPr>
        <w:t>1.</w:t>
      </w:r>
      <w:r w:rsidR="00975F26">
        <w:rPr>
          <w:b/>
          <w:bCs/>
          <w:iCs/>
          <w:szCs w:val="24"/>
          <w:lang w:val="en-GB"/>
        </w:rPr>
        <w:t>1.</w:t>
      </w:r>
      <w:r w:rsidR="00975F26" w:rsidRPr="00ED0D6D">
        <w:rPr>
          <w:b/>
          <w:bCs/>
          <w:iCs/>
          <w:szCs w:val="24"/>
          <w:lang w:val="en-GB"/>
        </w:rPr>
        <w:t xml:space="preserve"> </w:t>
      </w:r>
      <w:r w:rsidR="00975F26" w:rsidRPr="00ED0D6D">
        <w:rPr>
          <w:b/>
          <w:bCs/>
          <w:iCs/>
          <w:szCs w:val="24"/>
        </w:rPr>
        <w:t>Bendrieji vizijos įgyvendinimo rodikliai</w:t>
      </w:r>
    </w:p>
    <w:p w14:paraId="676D440A" w14:textId="77777777" w:rsidR="00975F26" w:rsidRPr="00ED0D6D" w:rsidRDefault="00975F26" w:rsidP="00975F26">
      <w:pPr>
        <w:rPr>
          <w:b/>
          <w:bCs/>
          <w:iCs/>
          <w:szCs w:val="24"/>
        </w:rPr>
      </w:pPr>
    </w:p>
    <w:tbl>
      <w:tblPr>
        <w:tblW w:w="1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1"/>
        <w:gridCol w:w="1606"/>
        <w:gridCol w:w="1369"/>
        <w:gridCol w:w="1560"/>
        <w:gridCol w:w="1329"/>
        <w:gridCol w:w="1363"/>
        <w:gridCol w:w="1324"/>
        <w:gridCol w:w="1134"/>
        <w:gridCol w:w="1674"/>
      </w:tblGrid>
      <w:tr w:rsidR="00975F26" w:rsidRPr="00ED0D6D" w14:paraId="50D5CF5E" w14:textId="77777777" w:rsidTr="002A479B">
        <w:trPr>
          <w:trHeight w:val="20"/>
          <w:tblHeader/>
          <w:jc w:val="center"/>
        </w:trPr>
        <w:tc>
          <w:tcPr>
            <w:tcW w:w="3851" w:type="dxa"/>
            <w:vMerge w:val="restart"/>
            <w:shd w:val="clear" w:color="auto" w:fill="DBE5F1" w:themeFill="accent1" w:themeFillTint="33"/>
            <w:vAlign w:val="center"/>
          </w:tcPr>
          <w:p w14:paraId="65D8200D" w14:textId="77777777" w:rsidR="00975F26" w:rsidRPr="00ED0D6D" w:rsidRDefault="00975F26" w:rsidP="002A479B">
            <w:pPr>
              <w:jc w:val="center"/>
              <w:rPr>
                <w:b/>
                <w:bCs/>
                <w:sz w:val="20"/>
              </w:rPr>
            </w:pPr>
            <w:r w:rsidRPr="00ED0D6D">
              <w:rPr>
                <w:b/>
                <w:bCs/>
                <w:sz w:val="20"/>
              </w:rPr>
              <w:t>R</w:t>
            </w:r>
            <w:r>
              <w:rPr>
                <w:b/>
                <w:bCs/>
                <w:sz w:val="20"/>
              </w:rPr>
              <w:t>odikliai</w:t>
            </w:r>
          </w:p>
        </w:tc>
        <w:tc>
          <w:tcPr>
            <w:tcW w:w="4535" w:type="dxa"/>
            <w:gridSpan w:val="3"/>
            <w:shd w:val="clear" w:color="auto" w:fill="DBE5F1" w:themeFill="accent1" w:themeFillTint="33"/>
            <w:vAlign w:val="center"/>
          </w:tcPr>
          <w:p w14:paraId="2F528C8F" w14:textId="77777777" w:rsidR="00975F26" w:rsidRPr="00ED0D6D" w:rsidRDefault="00975F26" w:rsidP="002A479B">
            <w:pPr>
              <w:jc w:val="center"/>
              <w:rPr>
                <w:b/>
                <w:bCs/>
                <w:sz w:val="20"/>
              </w:rPr>
            </w:pPr>
            <w:r w:rsidRPr="00ED0D6D">
              <w:rPr>
                <w:b/>
                <w:bCs/>
                <w:sz w:val="20"/>
              </w:rPr>
              <w:t>Pradinė situacija</w:t>
            </w:r>
          </w:p>
        </w:tc>
        <w:tc>
          <w:tcPr>
            <w:tcW w:w="1329" w:type="dxa"/>
            <w:shd w:val="clear" w:color="auto" w:fill="DBE5F1" w:themeFill="accent1" w:themeFillTint="33"/>
            <w:vAlign w:val="center"/>
          </w:tcPr>
          <w:p w14:paraId="0CE70AC4" w14:textId="77777777" w:rsidR="00975F26" w:rsidRPr="00ED0D6D" w:rsidRDefault="00975F26" w:rsidP="002A479B">
            <w:pPr>
              <w:jc w:val="center"/>
              <w:rPr>
                <w:b/>
                <w:bCs/>
                <w:sz w:val="20"/>
              </w:rPr>
            </w:pPr>
            <w:r w:rsidRPr="00ED0D6D">
              <w:rPr>
                <w:b/>
                <w:bCs/>
                <w:sz w:val="20"/>
              </w:rPr>
              <w:t>Pasiekta reikšmė</w:t>
            </w:r>
          </w:p>
        </w:tc>
        <w:tc>
          <w:tcPr>
            <w:tcW w:w="1363" w:type="dxa"/>
            <w:vMerge w:val="restart"/>
            <w:shd w:val="clear" w:color="auto" w:fill="DBE5F1" w:themeFill="accent1" w:themeFillTint="33"/>
            <w:vAlign w:val="center"/>
          </w:tcPr>
          <w:p w14:paraId="1694B941" w14:textId="77777777" w:rsidR="00975F26" w:rsidRPr="00ED0D6D" w:rsidRDefault="00975F26" w:rsidP="002A479B">
            <w:pPr>
              <w:jc w:val="center"/>
              <w:rPr>
                <w:b/>
                <w:bCs/>
                <w:sz w:val="20"/>
              </w:rPr>
            </w:pPr>
            <w:r w:rsidRPr="00ED0D6D">
              <w:rPr>
                <w:b/>
                <w:bCs/>
                <w:sz w:val="20"/>
              </w:rPr>
              <w:t>Vietos pokytis</w:t>
            </w:r>
          </w:p>
        </w:tc>
        <w:tc>
          <w:tcPr>
            <w:tcW w:w="1324" w:type="dxa"/>
            <w:vMerge w:val="restart"/>
            <w:shd w:val="clear" w:color="auto" w:fill="DBE5F1" w:themeFill="accent1" w:themeFillTint="33"/>
            <w:vAlign w:val="center"/>
          </w:tcPr>
          <w:p w14:paraId="6293A0FE" w14:textId="77777777" w:rsidR="00975F26" w:rsidRPr="00ED0D6D" w:rsidRDefault="00975F26" w:rsidP="002A479B">
            <w:pPr>
              <w:jc w:val="center"/>
              <w:rPr>
                <w:b/>
                <w:bCs/>
                <w:sz w:val="20"/>
              </w:rPr>
            </w:pPr>
            <w:r w:rsidRPr="00ED0D6D">
              <w:rPr>
                <w:b/>
                <w:bCs/>
                <w:sz w:val="20"/>
              </w:rPr>
              <w:t>Pasiekimo tikimybė</w:t>
            </w:r>
          </w:p>
        </w:tc>
        <w:tc>
          <w:tcPr>
            <w:tcW w:w="2808" w:type="dxa"/>
            <w:gridSpan w:val="2"/>
            <w:shd w:val="clear" w:color="auto" w:fill="DBE5F1" w:themeFill="accent1" w:themeFillTint="33"/>
            <w:vAlign w:val="center"/>
          </w:tcPr>
          <w:p w14:paraId="54941AD2" w14:textId="77777777" w:rsidR="00975F26" w:rsidRPr="00ED0D6D" w:rsidRDefault="00975F26" w:rsidP="002A479B">
            <w:pPr>
              <w:jc w:val="center"/>
              <w:rPr>
                <w:b/>
                <w:bCs/>
                <w:sz w:val="20"/>
              </w:rPr>
            </w:pPr>
            <w:r w:rsidRPr="00ED0D6D">
              <w:rPr>
                <w:b/>
                <w:bCs/>
                <w:sz w:val="20"/>
              </w:rPr>
              <w:t>Siektinos reikšmės</w:t>
            </w:r>
          </w:p>
        </w:tc>
      </w:tr>
      <w:tr w:rsidR="00975F26" w:rsidRPr="00ED0D6D" w14:paraId="702A364A" w14:textId="77777777" w:rsidTr="002A479B">
        <w:trPr>
          <w:trHeight w:val="20"/>
          <w:tblHeader/>
          <w:jc w:val="center"/>
        </w:trPr>
        <w:tc>
          <w:tcPr>
            <w:tcW w:w="3851" w:type="dxa"/>
            <w:vMerge/>
            <w:shd w:val="clear" w:color="auto" w:fill="DBE5F1" w:themeFill="accent1" w:themeFillTint="33"/>
            <w:vAlign w:val="center"/>
          </w:tcPr>
          <w:p w14:paraId="35812443" w14:textId="77777777" w:rsidR="00975F26" w:rsidRPr="00ED0D6D" w:rsidRDefault="00975F26" w:rsidP="002A479B">
            <w:pPr>
              <w:jc w:val="center"/>
              <w:rPr>
                <w:b/>
                <w:bCs/>
                <w:sz w:val="20"/>
              </w:rPr>
            </w:pPr>
          </w:p>
        </w:tc>
        <w:tc>
          <w:tcPr>
            <w:tcW w:w="1606" w:type="dxa"/>
            <w:shd w:val="clear" w:color="auto" w:fill="DBE5F1" w:themeFill="accent1" w:themeFillTint="33"/>
            <w:vAlign w:val="center"/>
          </w:tcPr>
          <w:p w14:paraId="3658F362" w14:textId="77777777" w:rsidR="00975F26" w:rsidRPr="00ED0D6D" w:rsidRDefault="00975F26" w:rsidP="002A479B">
            <w:pPr>
              <w:jc w:val="center"/>
              <w:rPr>
                <w:b/>
                <w:bCs/>
                <w:sz w:val="20"/>
              </w:rPr>
            </w:pPr>
            <w:r w:rsidRPr="00ED0D6D">
              <w:rPr>
                <w:b/>
                <w:bCs/>
                <w:sz w:val="20"/>
              </w:rPr>
              <w:t xml:space="preserve">ES27 </w:t>
            </w:r>
            <w:r>
              <w:rPr>
                <w:b/>
                <w:bCs/>
                <w:sz w:val="20"/>
              </w:rPr>
              <w:t>vidurkis</w:t>
            </w:r>
          </w:p>
        </w:tc>
        <w:tc>
          <w:tcPr>
            <w:tcW w:w="1369" w:type="dxa"/>
            <w:shd w:val="clear" w:color="auto" w:fill="DBE5F1" w:themeFill="accent1" w:themeFillTint="33"/>
            <w:vAlign w:val="center"/>
          </w:tcPr>
          <w:p w14:paraId="0D7DD6AA" w14:textId="77777777" w:rsidR="00975F26" w:rsidRPr="00ED0D6D" w:rsidRDefault="00975F26" w:rsidP="002A479B">
            <w:pPr>
              <w:jc w:val="center"/>
              <w:rPr>
                <w:b/>
                <w:bCs/>
                <w:sz w:val="20"/>
              </w:rPr>
            </w:pPr>
            <w:r>
              <w:rPr>
                <w:b/>
                <w:bCs/>
                <w:sz w:val="20"/>
              </w:rPr>
              <w:t>Lietuva (</w:t>
            </w:r>
            <w:r w:rsidRPr="00ED0D6D">
              <w:rPr>
                <w:b/>
                <w:bCs/>
                <w:sz w:val="20"/>
              </w:rPr>
              <w:t>LT</w:t>
            </w:r>
            <w:r>
              <w:rPr>
                <w:b/>
                <w:bCs/>
                <w:sz w:val="20"/>
              </w:rPr>
              <w:t>)</w:t>
            </w:r>
          </w:p>
        </w:tc>
        <w:tc>
          <w:tcPr>
            <w:tcW w:w="1560" w:type="dxa"/>
            <w:shd w:val="clear" w:color="auto" w:fill="DBE5F1" w:themeFill="accent1" w:themeFillTint="33"/>
            <w:vAlign w:val="center"/>
          </w:tcPr>
          <w:p w14:paraId="2FA0E5FD" w14:textId="77777777" w:rsidR="00975F26" w:rsidRPr="00ED0D6D" w:rsidRDefault="00975F26" w:rsidP="002A479B">
            <w:pPr>
              <w:jc w:val="center"/>
              <w:rPr>
                <w:b/>
                <w:bCs/>
                <w:sz w:val="20"/>
              </w:rPr>
            </w:pPr>
            <w:r w:rsidRPr="00ED0D6D">
              <w:rPr>
                <w:b/>
                <w:bCs/>
                <w:sz w:val="20"/>
              </w:rPr>
              <w:t>2009–2010</w:t>
            </w:r>
          </w:p>
        </w:tc>
        <w:tc>
          <w:tcPr>
            <w:tcW w:w="1329" w:type="dxa"/>
            <w:shd w:val="clear" w:color="auto" w:fill="DBE5F1" w:themeFill="accent1" w:themeFillTint="33"/>
            <w:vAlign w:val="center"/>
          </w:tcPr>
          <w:p w14:paraId="4AA3F785" w14:textId="77777777" w:rsidR="00975F26" w:rsidRPr="00ED0D6D" w:rsidRDefault="00975F26" w:rsidP="002A479B">
            <w:pPr>
              <w:jc w:val="center"/>
              <w:rPr>
                <w:b/>
                <w:bCs/>
                <w:color w:val="FFFFFF" w:themeColor="background1"/>
                <w:sz w:val="20"/>
              </w:rPr>
            </w:pPr>
            <w:r w:rsidRPr="00ED0D6D">
              <w:rPr>
                <w:b/>
                <w:bCs/>
                <w:sz w:val="20"/>
              </w:rPr>
              <w:t>2019–2020</w:t>
            </w:r>
            <w:r>
              <w:rPr>
                <w:b/>
                <w:bCs/>
                <w:sz w:val="20"/>
              </w:rPr>
              <w:t xml:space="preserve"> </w:t>
            </w:r>
          </w:p>
        </w:tc>
        <w:tc>
          <w:tcPr>
            <w:tcW w:w="1363" w:type="dxa"/>
            <w:vMerge/>
            <w:shd w:val="clear" w:color="auto" w:fill="DBE5F1" w:themeFill="accent1" w:themeFillTint="33"/>
            <w:vAlign w:val="center"/>
          </w:tcPr>
          <w:p w14:paraId="0F5B96A4" w14:textId="77777777" w:rsidR="00975F26" w:rsidRPr="00ED0D6D" w:rsidRDefault="00975F26" w:rsidP="002A479B">
            <w:pPr>
              <w:jc w:val="center"/>
              <w:rPr>
                <w:b/>
                <w:bCs/>
                <w:color w:val="FFFFFF" w:themeColor="background1"/>
                <w:sz w:val="20"/>
              </w:rPr>
            </w:pPr>
          </w:p>
        </w:tc>
        <w:tc>
          <w:tcPr>
            <w:tcW w:w="1324" w:type="dxa"/>
            <w:vMerge/>
            <w:shd w:val="clear" w:color="auto" w:fill="DBE5F1" w:themeFill="accent1" w:themeFillTint="33"/>
            <w:vAlign w:val="center"/>
          </w:tcPr>
          <w:p w14:paraId="47AEC594" w14:textId="77777777" w:rsidR="00975F26" w:rsidRPr="00ED0D6D" w:rsidRDefault="00975F26" w:rsidP="002A479B">
            <w:pPr>
              <w:jc w:val="center"/>
              <w:rPr>
                <w:b/>
                <w:bCs/>
                <w:color w:val="FFFFFF" w:themeColor="background1"/>
                <w:sz w:val="20"/>
              </w:rPr>
            </w:pPr>
          </w:p>
        </w:tc>
        <w:tc>
          <w:tcPr>
            <w:tcW w:w="1134" w:type="dxa"/>
            <w:shd w:val="clear" w:color="auto" w:fill="DBE5F1" w:themeFill="accent1" w:themeFillTint="33"/>
            <w:vAlign w:val="center"/>
          </w:tcPr>
          <w:p w14:paraId="16DE9ADB" w14:textId="77777777" w:rsidR="00975F26" w:rsidRPr="00ED0D6D" w:rsidRDefault="00975F26" w:rsidP="002A479B">
            <w:pPr>
              <w:jc w:val="center"/>
              <w:rPr>
                <w:b/>
                <w:bCs/>
                <w:sz w:val="20"/>
              </w:rPr>
            </w:pPr>
            <w:r w:rsidRPr="00ED0D6D">
              <w:rPr>
                <w:b/>
                <w:bCs/>
                <w:sz w:val="20"/>
              </w:rPr>
              <w:t>2020</w:t>
            </w:r>
          </w:p>
        </w:tc>
        <w:tc>
          <w:tcPr>
            <w:tcW w:w="1674" w:type="dxa"/>
            <w:shd w:val="clear" w:color="auto" w:fill="DBE5F1" w:themeFill="accent1" w:themeFillTint="33"/>
            <w:vAlign w:val="center"/>
          </w:tcPr>
          <w:p w14:paraId="74E78019" w14:textId="77777777" w:rsidR="00975F26" w:rsidRPr="00ED0D6D" w:rsidRDefault="00975F26" w:rsidP="002A479B">
            <w:pPr>
              <w:jc w:val="center"/>
              <w:rPr>
                <w:b/>
                <w:bCs/>
                <w:sz w:val="20"/>
              </w:rPr>
            </w:pPr>
            <w:r w:rsidRPr="00ED0D6D">
              <w:rPr>
                <w:b/>
                <w:bCs/>
                <w:sz w:val="20"/>
              </w:rPr>
              <w:t>2030</w:t>
            </w:r>
            <w:r>
              <w:rPr>
                <w:b/>
                <w:bCs/>
                <w:sz w:val="20"/>
              </w:rPr>
              <w:t xml:space="preserve"> </w:t>
            </w:r>
          </w:p>
        </w:tc>
      </w:tr>
      <w:tr w:rsidR="00975F26" w:rsidRPr="00ED0D6D" w14:paraId="5E6D25A9" w14:textId="77777777" w:rsidTr="002A479B">
        <w:trPr>
          <w:trHeight w:val="20"/>
          <w:jc w:val="center"/>
        </w:trPr>
        <w:tc>
          <w:tcPr>
            <w:tcW w:w="3851" w:type="dxa"/>
          </w:tcPr>
          <w:p w14:paraId="1E71B4CA" w14:textId="77777777" w:rsidR="00975F26" w:rsidRPr="00ED0D6D" w:rsidRDefault="00975F26" w:rsidP="002A479B">
            <w:pPr>
              <w:rPr>
                <w:b/>
                <w:bCs/>
                <w:sz w:val="20"/>
              </w:rPr>
            </w:pPr>
            <w:r w:rsidRPr="00ED0D6D">
              <w:rPr>
                <w:b/>
                <w:bCs/>
                <w:sz w:val="20"/>
              </w:rPr>
              <w:t>Gyvenimo kokybės indeksas</w:t>
            </w:r>
          </w:p>
          <w:p w14:paraId="0B315F43" w14:textId="77777777" w:rsidR="00975F26" w:rsidRPr="00ED0D6D" w:rsidRDefault="00975F26" w:rsidP="002A479B">
            <w:pPr>
              <w:rPr>
                <w:sz w:val="20"/>
              </w:rPr>
            </w:pPr>
            <w:r w:rsidRPr="00ED0D6D">
              <w:rPr>
                <w:i/>
                <w:sz w:val="20"/>
              </w:rPr>
              <w:t xml:space="preserve">International </w:t>
            </w:r>
            <w:proofErr w:type="spellStart"/>
            <w:r w:rsidRPr="00ED0D6D">
              <w:rPr>
                <w:i/>
                <w:sz w:val="20"/>
              </w:rPr>
              <w:t>Living</w:t>
            </w:r>
            <w:proofErr w:type="spellEnd"/>
            <w:r w:rsidRPr="00ED0D6D">
              <w:rPr>
                <w:sz w:val="20"/>
              </w:rPr>
              <w:t>, 2011</w:t>
            </w:r>
          </w:p>
        </w:tc>
        <w:tc>
          <w:tcPr>
            <w:tcW w:w="1606" w:type="dxa"/>
            <w:shd w:val="clear" w:color="auto" w:fill="F2F2F2" w:themeFill="background1" w:themeFillShade="F2"/>
          </w:tcPr>
          <w:p w14:paraId="00203176" w14:textId="77777777" w:rsidR="00975F26" w:rsidRPr="00ED0D6D" w:rsidRDefault="00975F26" w:rsidP="002A479B">
            <w:pPr>
              <w:jc w:val="center"/>
              <w:rPr>
                <w:bCs/>
                <w:sz w:val="20"/>
              </w:rPr>
            </w:pPr>
            <w:r w:rsidRPr="00ED0D6D">
              <w:rPr>
                <w:bCs/>
                <w:sz w:val="20"/>
              </w:rPr>
              <w:t>71 balas iš 100</w:t>
            </w:r>
          </w:p>
        </w:tc>
        <w:tc>
          <w:tcPr>
            <w:tcW w:w="1369" w:type="dxa"/>
            <w:shd w:val="clear" w:color="auto" w:fill="F2F2F2" w:themeFill="background1" w:themeFillShade="F2"/>
          </w:tcPr>
          <w:p w14:paraId="6E161E1B" w14:textId="77777777" w:rsidR="00975F26" w:rsidRPr="00ED0D6D" w:rsidRDefault="00975F26" w:rsidP="002A479B">
            <w:pPr>
              <w:jc w:val="center"/>
              <w:rPr>
                <w:bCs/>
                <w:sz w:val="20"/>
              </w:rPr>
            </w:pPr>
            <w:r w:rsidRPr="00ED0D6D">
              <w:rPr>
                <w:bCs/>
                <w:sz w:val="20"/>
              </w:rPr>
              <w:t>68 balai iš 100</w:t>
            </w:r>
          </w:p>
        </w:tc>
        <w:tc>
          <w:tcPr>
            <w:tcW w:w="1560" w:type="dxa"/>
            <w:shd w:val="clear" w:color="auto" w:fill="F2F2F2" w:themeFill="background1" w:themeFillShade="F2"/>
          </w:tcPr>
          <w:p w14:paraId="618DF263" w14:textId="77777777" w:rsidR="00975F26" w:rsidRPr="00ED0D6D" w:rsidRDefault="00975F26" w:rsidP="002A479B">
            <w:pPr>
              <w:jc w:val="center"/>
              <w:rPr>
                <w:bCs/>
                <w:sz w:val="20"/>
              </w:rPr>
            </w:pPr>
            <w:r w:rsidRPr="00ED0D6D">
              <w:rPr>
                <w:bCs/>
                <w:sz w:val="20"/>
              </w:rPr>
              <w:t>23 vieta ES</w:t>
            </w:r>
          </w:p>
        </w:tc>
        <w:tc>
          <w:tcPr>
            <w:tcW w:w="1329" w:type="dxa"/>
            <w:shd w:val="clear" w:color="auto" w:fill="FFFFFF" w:themeFill="background1"/>
          </w:tcPr>
          <w:p w14:paraId="1D989C81" w14:textId="25F0872D" w:rsidR="00975F26" w:rsidRPr="00ED0D6D" w:rsidRDefault="00975F26" w:rsidP="00AF28F7">
            <w:pPr>
              <w:ind w:right="-85"/>
              <w:jc w:val="center"/>
              <w:rPr>
                <w:bCs/>
                <w:sz w:val="20"/>
              </w:rPr>
            </w:pPr>
            <w:r>
              <w:rPr>
                <w:b/>
                <w:bCs/>
                <w:i/>
                <w:iCs/>
                <w:sz w:val="20"/>
              </w:rPr>
              <w:t>nėra apskaičiuot</w:t>
            </w:r>
            <w:r w:rsidR="00AF28F7">
              <w:rPr>
                <w:b/>
                <w:bCs/>
                <w:i/>
                <w:iCs/>
                <w:sz w:val="20"/>
              </w:rPr>
              <w:t>a</w:t>
            </w:r>
            <w:r w:rsidRPr="00F46DD0">
              <w:rPr>
                <w:sz w:val="20"/>
                <w:vertAlign w:val="superscript"/>
              </w:rPr>
              <w:footnoteReference w:id="8"/>
            </w:r>
          </w:p>
        </w:tc>
        <w:tc>
          <w:tcPr>
            <w:tcW w:w="1363" w:type="dxa"/>
            <w:shd w:val="clear" w:color="auto" w:fill="F2F2F2" w:themeFill="background1" w:themeFillShade="F2"/>
          </w:tcPr>
          <w:p w14:paraId="02B8C0DB" w14:textId="77777777" w:rsidR="00975F26" w:rsidRPr="00F46DD0" w:rsidRDefault="00975F26" w:rsidP="002A479B">
            <w:pPr>
              <w:jc w:val="center"/>
              <w:rPr>
                <w:bCs/>
                <w:i/>
                <w:iCs/>
                <w:sz w:val="20"/>
              </w:rPr>
            </w:pPr>
            <w:r>
              <w:rPr>
                <w:bCs/>
                <w:i/>
                <w:iCs/>
                <w:sz w:val="20"/>
              </w:rPr>
              <w:t>nėra apskaičiuota</w:t>
            </w:r>
          </w:p>
        </w:tc>
        <w:tc>
          <w:tcPr>
            <w:tcW w:w="1324" w:type="dxa"/>
            <w:shd w:val="clear" w:color="auto" w:fill="auto"/>
          </w:tcPr>
          <w:p w14:paraId="04CB49AF" w14:textId="77777777" w:rsidR="00975F26" w:rsidRPr="00F46DD0" w:rsidRDefault="00975F26" w:rsidP="002A479B">
            <w:pPr>
              <w:jc w:val="center"/>
              <w:rPr>
                <w:b/>
                <w:bCs/>
                <w:i/>
                <w:iCs/>
                <w:sz w:val="20"/>
              </w:rPr>
            </w:pPr>
            <w:r>
              <w:rPr>
                <w:b/>
                <w:bCs/>
                <w:i/>
                <w:iCs/>
                <w:sz w:val="20"/>
              </w:rPr>
              <w:t>nėra apskaičiuota</w:t>
            </w:r>
          </w:p>
        </w:tc>
        <w:tc>
          <w:tcPr>
            <w:tcW w:w="1134" w:type="dxa"/>
            <w:shd w:val="clear" w:color="auto" w:fill="FFFFFF" w:themeFill="background1"/>
          </w:tcPr>
          <w:p w14:paraId="05D673EE" w14:textId="77777777" w:rsidR="00975F26" w:rsidRPr="00ED0D6D" w:rsidRDefault="00975F26" w:rsidP="002A479B">
            <w:pPr>
              <w:jc w:val="center"/>
              <w:rPr>
                <w:bCs/>
                <w:sz w:val="20"/>
              </w:rPr>
            </w:pPr>
            <w:r w:rsidRPr="00ED0D6D">
              <w:rPr>
                <w:bCs/>
                <w:sz w:val="20"/>
              </w:rPr>
              <w:t>15 vieta ES</w:t>
            </w:r>
          </w:p>
        </w:tc>
        <w:tc>
          <w:tcPr>
            <w:tcW w:w="1674" w:type="dxa"/>
            <w:shd w:val="clear" w:color="auto" w:fill="FFFFFF" w:themeFill="background1"/>
          </w:tcPr>
          <w:p w14:paraId="0F2A2229" w14:textId="77777777" w:rsidR="00975F26" w:rsidRPr="00ED0D6D" w:rsidRDefault="00975F26" w:rsidP="002A479B">
            <w:pPr>
              <w:jc w:val="center"/>
              <w:rPr>
                <w:bCs/>
                <w:sz w:val="20"/>
              </w:rPr>
            </w:pPr>
            <w:r w:rsidRPr="00ED0D6D">
              <w:rPr>
                <w:bCs/>
                <w:sz w:val="20"/>
              </w:rPr>
              <w:t>ne žemesnė negu 10 vieta ES</w:t>
            </w:r>
          </w:p>
        </w:tc>
      </w:tr>
      <w:tr w:rsidR="00975F26" w:rsidRPr="00ED0D6D" w14:paraId="648EE6B0" w14:textId="77777777" w:rsidTr="002A479B">
        <w:trPr>
          <w:trHeight w:val="20"/>
          <w:jc w:val="center"/>
        </w:trPr>
        <w:tc>
          <w:tcPr>
            <w:tcW w:w="3851" w:type="dxa"/>
          </w:tcPr>
          <w:p w14:paraId="1C4AA222" w14:textId="77777777" w:rsidR="00975F26" w:rsidRPr="00ED0D6D" w:rsidRDefault="00975F26" w:rsidP="002A479B">
            <w:pPr>
              <w:rPr>
                <w:b/>
                <w:bCs/>
                <w:sz w:val="20"/>
              </w:rPr>
            </w:pPr>
            <w:r w:rsidRPr="00ED0D6D">
              <w:rPr>
                <w:b/>
                <w:bCs/>
                <w:sz w:val="20"/>
              </w:rPr>
              <w:t>Laimės indeksas</w:t>
            </w:r>
          </w:p>
          <w:p w14:paraId="763AAEBE" w14:textId="77777777" w:rsidR="00975F26" w:rsidRPr="00ED0D6D" w:rsidRDefault="00975F26" w:rsidP="002A479B">
            <w:pPr>
              <w:rPr>
                <w:bCs/>
                <w:sz w:val="20"/>
              </w:rPr>
            </w:pPr>
            <w:proofErr w:type="spellStart"/>
            <w:r w:rsidRPr="00ED0D6D">
              <w:rPr>
                <w:i/>
                <w:sz w:val="20"/>
              </w:rPr>
              <w:t>Gallup</w:t>
            </w:r>
            <w:proofErr w:type="spellEnd"/>
            <w:r w:rsidRPr="00ED0D6D">
              <w:rPr>
                <w:i/>
                <w:sz w:val="20"/>
              </w:rPr>
              <w:t xml:space="preserve"> </w:t>
            </w:r>
            <w:proofErr w:type="spellStart"/>
            <w:r w:rsidRPr="00ED0D6D">
              <w:rPr>
                <w:i/>
                <w:sz w:val="20"/>
              </w:rPr>
              <w:t>World</w:t>
            </w:r>
            <w:proofErr w:type="spellEnd"/>
            <w:r w:rsidRPr="00ED0D6D">
              <w:rPr>
                <w:i/>
                <w:sz w:val="20"/>
              </w:rPr>
              <w:t xml:space="preserve"> </w:t>
            </w:r>
            <w:proofErr w:type="spellStart"/>
            <w:r w:rsidRPr="00ED0D6D">
              <w:rPr>
                <w:i/>
                <w:sz w:val="20"/>
              </w:rPr>
              <w:t>Poll</w:t>
            </w:r>
            <w:proofErr w:type="spellEnd"/>
            <w:r w:rsidRPr="00ED0D6D">
              <w:rPr>
                <w:sz w:val="20"/>
              </w:rPr>
              <w:t xml:space="preserve"> tyrimas (apibendrinti 2005–2009</w:t>
            </w:r>
            <w:r>
              <w:rPr>
                <w:sz w:val="20"/>
              </w:rPr>
              <w:t xml:space="preserve"> </w:t>
            </w:r>
            <w:r w:rsidRPr="00ED0D6D">
              <w:rPr>
                <w:sz w:val="20"/>
              </w:rPr>
              <w:t>duomenys)</w:t>
            </w:r>
          </w:p>
        </w:tc>
        <w:tc>
          <w:tcPr>
            <w:tcW w:w="1606" w:type="dxa"/>
            <w:shd w:val="clear" w:color="auto" w:fill="F2F2F2" w:themeFill="background1" w:themeFillShade="F2"/>
          </w:tcPr>
          <w:p w14:paraId="444E984C" w14:textId="77777777" w:rsidR="00975F26" w:rsidRPr="00ED0D6D" w:rsidRDefault="00975F26" w:rsidP="002A479B">
            <w:pPr>
              <w:jc w:val="center"/>
              <w:rPr>
                <w:bCs/>
                <w:sz w:val="20"/>
              </w:rPr>
            </w:pPr>
            <w:r w:rsidRPr="00ED0D6D">
              <w:rPr>
                <w:bCs/>
                <w:sz w:val="20"/>
              </w:rPr>
              <w:t>39 proc. („laimingų žmonių“)</w:t>
            </w:r>
          </w:p>
        </w:tc>
        <w:tc>
          <w:tcPr>
            <w:tcW w:w="1369" w:type="dxa"/>
            <w:shd w:val="clear" w:color="auto" w:fill="F2F2F2" w:themeFill="background1" w:themeFillShade="F2"/>
          </w:tcPr>
          <w:p w14:paraId="16357D65" w14:textId="77777777" w:rsidR="00975F26" w:rsidRPr="00ED0D6D" w:rsidRDefault="00975F26" w:rsidP="002A479B">
            <w:pPr>
              <w:jc w:val="center"/>
              <w:rPr>
                <w:bCs/>
                <w:sz w:val="20"/>
              </w:rPr>
            </w:pPr>
            <w:r w:rsidRPr="00ED0D6D">
              <w:rPr>
                <w:bCs/>
                <w:sz w:val="20"/>
              </w:rPr>
              <w:t>25 proc.</w:t>
            </w:r>
          </w:p>
        </w:tc>
        <w:tc>
          <w:tcPr>
            <w:tcW w:w="1560" w:type="dxa"/>
            <w:shd w:val="clear" w:color="auto" w:fill="F2F2F2" w:themeFill="background1" w:themeFillShade="F2"/>
          </w:tcPr>
          <w:p w14:paraId="1D1840BE" w14:textId="77777777" w:rsidR="00975F26" w:rsidRPr="00ED0D6D" w:rsidRDefault="00975F26" w:rsidP="002A479B">
            <w:pPr>
              <w:jc w:val="center"/>
              <w:rPr>
                <w:bCs/>
                <w:sz w:val="20"/>
              </w:rPr>
            </w:pPr>
            <w:r w:rsidRPr="00ED0D6D">
              <w:rPr>
                <w:bCs/>
                <w:sz w:val="20"/>
              </w:rPr>
              <w:t>20 vieta ES</w:t>
            </w:r>
          </w:p>
        </w:tc>
        <w:tc>
          <w:tcPr>
            <w:tcW w:w="1329" w:type="dxa"/>
            <w:shd w:val="clear" w:color="auto" w:fill="FFFFFF" w:themeFill="background1"/>
          </w:tcPr>
          <w:p w14:paraId="46788394" w14:textId="77777777" w:rsidR="00975F26" w:rsidRPr="008A557B" w:rsidRDefault="00975F26" w:rsidP="002A479B">
            <w:pPr>
              <w:jc w:val="center"/>
              <w:rPr>
                <w:b/>
                <w:sz w:val="20"/>
              </w:rPr>
            </w:pPr>
            <w:r>
              <w:rPr>
                <w:b/>
                <w:sz w:val="20"/>
              </w:rPr>
              <w:t>17</w:t>
            </w:r>
            <w:r w:rsidRPr="008A557B">
              <w:rPr>
                <w:b/>
                <w:sz w:val="20"/>
              </w:rPr>
              <w:t xml:space="preserve"> vieta ES</w:t>
            </w:r>
          </w:p>
        </w:tc>
        <w:tc>
          <w:tcPr>
            <w:tcW w:w="1363" w:type="dxa"/>
            <w:shd w:val="clear" w:color="auto" w:fill="F2F2F2" w:themeFill="background1" w:themeFillShade="F2"/>
          </w:tcPr>
          <w:p w14:paraId="185C9458" w14:textId="77777777" w:rsidR="00975F26" w:rsidRPr="00ED0D6D" w:rsidRDefault="00975F26" w:rsidP="002A479B">
            <w:pPr>
              <w:jc w:val="center"/>
              <w:rPr>
                <w:bCs/>
                <w:sz w:val="20"/>
                <w:highlight w:val="yellow"/>
              </w:rPr>
            </w:pPr>
            <w:r w:rsidRPr="00ED0D6D">
              <w:rPr>
                <w:bCs/>
                <w:sz w:val="20"/>
              </w:rPr>
              <w:t>+</w:t>
            </w:r>
            <w:r>
              <w:rPr>
                <w:bCs/>
                <w:sz w:val="20"/>
              </w:rPr>
              <w:t>3</w:t>
            </w:r>
          </w:p>
        </w:tc>
        <w:tc>
          <w:tcPr>
            <w:tcW w:w="1324" w:type="dxa"/>
            <w:shd w:val="clear" w:color="auto" w:fill="auto"/>
          </w:tcPr>
          <w:p w14:paraId="32B3A3B3" w14:textId="77777777" w:rsidR="00975F26" w:rsidRPr="00ED0D6D" w:rsidRDefault="00975F26" w:rsidP="002A479B">
            <w:pPr>
              <w:jc w:val="center"/>
              <w:rPr>
                <w:b/>
                <w:bCs/>
                <w:sz w:val="20"/>
              </w:rPr>
            </w:pPr>
            <w:r>
              <w:rPr>
                <w:b/>
                <w:bCs/>
                <w:sz w:val="20"/>
              </w:rPr>
              <w:t>v</w:t>
            </w:r>
            <w:r w:rsidRPr="00ED0D6D">
              <w:rPr>
                <w:b/>
                <w:bCs/>
                <w:sz w:val="20"/>
              </w:rPr>
              <w:t>idutinė</w:t>
            </w:r>
          </w:p>
        </w:tc>
        <w:tc>
          <w:tcPr>
            <w:tcW w:w="1134" w:type="dxa"/>
            <w:shd w:val="clear" w:color="auto" w:fill="FFFFFF" w:themeFill="background1"/>
          </w:tcPr>
          <w:p w14:paraId="309BD88E" w14:textId="77777777" w:rsidR="00975F26" w:rsidRPr="00ED0D6D" w:rsidRDefault="00975F26" w:rsidP="002A479B">
            <w:pPr>
              <w:jc w:val="center"/>
              <w:rPr>
                <w:bCs/>
                <w:sz w:val="20"/>
              </w:rPr>
            </w:pPr>
            <w:r w:rsidRPr="00ED0D6D">
              <w:rPr>
                <w:bCs/>
                <w:sz w:val="20"/>
              </w:rPr>
              <w:t>15 vieta ES</w:t>
            </w:r>
          </w:p>
        </w:tc>
        <w:tc>
          <w:tcPr>
            <w:tcW w:w="1674" w:type="dxa"/>
            <w:shd w:val="clear" w:color="auto" w:fill="FFFFFF" w:themeFill="background1"/>
          </w:tcPr>
          <w:p w14:paraId="65CF80D9" w14:textId="77777777" w:rsidR="00975F26" w:rsidRPr="00ED0D6D" w:rsidRDefault="00975F26" w:rsidP="002A479B">
            <w:pPr>
              <w:jc w:val="center"/>
              <w:rPr>
                <w:bCs/>
                <w:sz w:val="20"/>
              </w:rPr>
            </w:pPr>
            <w:r w:rsidRPr="00ED0D6D">
              <w:rPr>
                <w:bCs/>
                <w:sz w:val="20"/>
              </w:rPr>
              <w:t>ne žemesnė negu 10 vieta ES</w:t>
            </w:r>
          </w:p>
        </w:tc>
      </w:tr>
      <w:tr w:rsidR="00975F26" w:rsidRPr="00ED0D6D" w14:paraId="161A1E6E" w14:textId="77777777" w:rsidTr="002A479B">
        <w:trPr>
          <w:trHeight w:val="20"/>
          <w:jc w:val="center"/>
        </w:trPr>
        <w:tc>
          <w:tcPr>
            <w:tcW w:w="3851" w:type="dxa"/>
          </w:tcPr>
          <w:p w14:paraId="5934D051" w14:textId="77777777" w:rsidR="00975F26" w:rsidRPr="00ED0D6D" w:rsidRDefault="00975F26" w:rsidP="002A479B">
            <w:pPr>
              <w:rPr>
                <w:rFonts w:eastAsia="EcoNewtext"/>
                <w:b/>
                <w:sz w:val="20"/>
              </w:rPr>
            </w:pPr>
            <w:r w:rsidRPr="00ED0D6D">
              <w:rPr>
                <w:rFonts w:eastAsia="EcoNewtext"/>
                <w:b/>
                <w:sz w:val="20"/>
              </w:rPr>
              <w:t>Demokratijos indeksas</w:t>
            </w:r>
          </w:p>
          <w:p w14:paraId="5A28A038" w14:textId="77777777" w:rsidR="00975F26" w:rsidRPr="00ED0D6D" w:rsidRDefault="00975F26" w:rsidP="002A479B">
            <w:pPr>
              <w:rPr>
                <w:b/>
                <w:bCs/>
                <w:sz w:val="20"/>
              </w:rPr>
            </w:pPr>
            <w:proofErr w:type="spellStart"/>
            <w:r w:rsidRPr="00ED0D6D">
              <w:rPr>
                <w:i/>
                <w:sz w:val="20"/>
              </w:rPr>
              <w:t>Economist</w:t>
            </w:r>
            <w:proofErr w:type="spellEnd"/>
            <w:r w:rsidRPr="00ED0D6D">
              <w:rPr>
                <w:i/>
                <w:sz w:val="20"/>
              </w:rPr>
              <w:t xml:space="preserve"> </w:t>
            </w:r>
            <w:proofErr w:type="spellStart"/>
            <w:r w:rsidRPr="00ED0D6D">
              <w:rPr>
                <w:i/>
                <w:sz w:val="20"/>
              </w:rPr>
              <w:t>Intelligence</w:t>
            </w:r>
            <w:proofErr w:type="spellEnd"/>
            <w:r w:rsidRPr="00ED0D6D">
              <w:rPr>
                <w:i/>
                <w:sz w:val="20"/>
              </w:rPr>
              <w:t xml:space="preserve"> </w:t>
            </w:r>
            <w:proofErr w:type="spellStart"/>
            <w:r w:rsidRPr="00ED0D6D">
              <w:rPr>
                <w:i/>
                <w:sz w:val="20"/>
              </w:rPr>
              <w:t>Unit</w:t>
            </w:r>
            <w:proofErr w:type="spellEnd"/>
            <w:r w:rsidRPr="00ED0D6D">
              <w:rPr>
                <w:sz w:val="20"/>
              </w:rPr>
              <w:t>, 2011</w:t>
            </w:r>
          </w:p>
        </w:tc>
        <w:tc>
          <w:tcPr>
            <w:tcW w:w="1606" w:type="dxa"/>
            <w:shd w:val="clear" w:color="auto" w:fill="F2F2F2" w:themeFill="background1" w:themeFillShade="F2"/>
          </w:tcPr>
          <w:p w14:paraId="63977AA7" w14:textId="77777777" w:rsidR="00975F26" w:rsidRPr="00ED0D6D" w:rsidRDefault="00975F26" w:rsidP="002A479B">
            <w:pPr>
              <w:jc w:val="center"/>
              <w:rPr>
                <w:bCs/>
                <w:sz w:val="20"/>
              </w:rPr>
            </w:pPr>
            <w:r w:rsidRPr="00ED0D6D">
              <w:rPr>
                <w:bCs/>
                <w:sz w:val="20"/>
              </w:rPr>
              <w:t>7,96</w:t>
            </w:r>
            <w:r>
              <w:rPr>
                <w:bCs/>
                <w:sz w:val="20"/>
              </w:rPr>
              <w:t xml:space="preserve"> balo</w:t>
            </w:r>
          </w:p>
        </w:tc>
        <w:tc>
          <w:tcPr>
            <w:tcW w:w="1369" w:type="dxa"/>
            <w:shd w:val="clear" w:color="auto" w:fill="F2F2F2" w:themeFill="background1" w:themeFillShade="F2"/>
          </w:tcPr>
          <w:p w14:paraId="4549519A" w14:textId="77777777" w:rsidR="00975F26" w:rsidRPr="00ED0D6D" w:rsidRDefault="00975F26" w:rsidP="002A479B">
            <w:pPr>
              <w:jc w:val="center"/>
              <w:rPr>
                <w:bCs/>
                <w:sz w:val="20"/>
              </w:rPr>
            </w:pPr>
            <w:r w:rsidRPr="00ED0D6D">
              <w:rPr>
                <w:bCs/>
                <w:sz w:val="20"/>
              </w:rPr>
              <w:t>7,24</w:t>
            </w:r>
            <w:r>
              <w:rPr>
                <w:bCs/>
                <w:sz w:val="20"/>
              </w:rPr>
              <w:t xml:space="preserve"> balo</w:t>
            </w:r>
          </w:p>
        </w:tc>
        <w:tc>
          <w:tcPr>
            <w:tcW w:w="1560" w:type="dxa"/>
            <w:shd w:val="clear" w:color="auto" w:fill="F2F2F2" w:themeFill="background1" w:themeFillShade="F2"/>
          </w:tcPr>
          <w:p w14:paraId="28CC613B" w14:textId="77777777" w:rsidR="00975F26" w:rsidRPr="00ED0D6D" w:rsidRDefault="00975F26" w:rsidP="002A479B">
            <w:pPr>
              <w:jc w:val="center"/>
              <w:rPr>
                <w:bCs/>
                <w:sz w:val="20"/>
              </w:rPr>
            </w:pPr>
            <w:r w:rsidRPr="00ED0D6D">
              <w:rPr>
                <w:bCs/>
                <w:sz w:val="20"/>
              </w:rPr>
              <w:t>22 vieta ES</w:t>
            </w:r>
          </w:p>
        </w:tc>
        <w:tc>
          <w:tcPr>
            <w:tcW w:w="1329" w:type="dxa"/>
            <w:shd w:val="clear" w:color="auto" w:fill="FFFFFF" w:themeFill="background1"/>
          </w:tcPr>
          <w:p w14:paraId="43BAD792" w14:textId="77777777" w:rsidR="00975F26" w:rsidRPr="00C97289" w:rsidRDefault="00975F26" w:rsidP="002A479B">
            <w:pPr>
              <w:ind w:firstLine="50"/>
              <w:jc w:val="center"/>
              <w:rPr>
                <w:b/>
                <w:sz w:val="20"/>
                <w:lang w:val="en-GB"/>
              </w:rPr>
            </w:pPr>
            <w:r>
              <w:rPr>
                <w:b/>
                <w:sz w:val="20"/>
                <w:lang w:val="en-GB"/>
              </w:rPr>
              <w:t>22</w:t>
            </w:r>
            <w:r w:rsidRPr="00C97289">
              <w:rPr>
                <w:b/>
                <w:sz w:val="20"/>
                <w:lang w:val="en-GB"/>
              </w:rPr>
              <w:t xml:space="preserve"> </w:t>
            </w:r>
            <w:proofErr w:type="spellStart"/>
            <w:r w:rsidRPr="00C97289">
              <w:rPr>
                <w:b/>
                <w:sz w:val="20"/>
                <w:lang w:val="en-GB"/>
              </w:rPr>
              <w:t>vieta</w:t>
            </w:r>
            <w:proofErr w:type="spellEnd"/>
            <w:r w:rsidRPr="00C97289">
              <w:rPr>
                <w:b/>
                <w:sz w:val="20"/>
                <w:lang w:val="en-GB"/>
              </w:rPr>
              <w:t xml:space="preserve"> </w:t>
            </w:r>
            <w:r>
              <w:rPr>
                <w:b/>
                <w:sz w:val="20"/>
                <w:lang w:val="en-GB"/>
              </w:rPr>
              <w:t>ES</w:t>
            </w:r>
            <w:r w:rsidRPr="00C97289">
              <w:rPr>
                <w:b/>
                <w:sz w:val="20"/>
                <w:lang w:val="en-GB"/>
              </w:rPr>
              <w:t xml:space="preserve"> </w:t>
            </w:r>
          </w:p>
          <w:p w14:paraId="71ECCC49" w14:textId="77777777" w:rsidR="00975F26" w:rsidRPr="00ED0D6D" w:rsidRDefault="00975F26" w:rsidP="002A479B">
            <w:pPr>
              <w:ind w:firstLine="50"/>
              <w:jc w:val="center"/>
              <w:rPr>
                <w:bCs/>
                <w:sz w:val="20"/>
                <w:lang w:val="en-GB"/>
              </w:rPr>
            </w:pPr>
            <w:r w:rsidRPr="00C97289">
              <w:rPr>
                <w:b/>
                <w:sz w:val="20"/>
                <w:lang w:val="en-GB"/>
              </w:rPr>
              <w:t xml:space="preserve">7,13 </w:t>
            </w:r>
            <w:proofErr w:type="spellStart"/>
            <w:r w:rsidRPr="00C97289">
              <w:rPr>
                <w:b/>
                <w:sz w:val="20"/>
                <w:lang w:val="en-GB"/>
              </w:rPr>
              <w:t>balo</w:t>
            </w:r>
            <w:proofErr w:type="spellEnd"/>
          </w:p>
        </w:tc>
        <w:tc>
          <w:tcPr>
            <w:tcW w:w="1363" w:type="dxa"/>
            <w:shd w:val="clear" w:color="auto" w:fill="F2F2F2" w:themeFill="background1" w:themeFillShade="F2"/>
          </w:tcPr>
          <w:p w14:paraId="2465FAF7" w14:textId="77777777" w:rsidR="00975F26" w:rsidRPr="00ED0D6D" w:rsidRDefault="00975F26" w:rsidP="002A479B">
            <w:pPr>
              <w:ind w:firstLine="50"/>
              <w:jc w:val="center"/>
              <w:rPr>
                <w:bCs/>
                <w:sz w:val="20"/>
                <w:highlight w:val="yellow"/>
              </w:rPr>
            </w:pPr>
            <w:r>
              <w:rPr>
                <w:bCs/>
                <w:sz w:val="20"/>
              </w:rPr>
              <w:t>0</w:t>
            </w:r>
          </w:p>
        </w:tc>
        <w:tc>
          <w:tcPr>
            <w:tcW w:w="1324" w:type="dxa"/>
            <w:shd w:val="clear" w:color="auto" w:fill="auto"/>
          </w:tcPr>
          <w:p w14:paraId="7759A5AD" w14:textId="77777777" w:rsidR="00975F26" w:rsidRPr="00ED0D6D" w:rsidRDefault="00975F26" w:rsidP="002A479B">
            <w:pPr>
              <w:ind w:firstLine="50"/>
              <w:jc w:val="center"/>
              <w:rPr>
                <w:b/>
                <w:bCs/>
                <w:sz w:val="20"/>
              </w:rPr>
            </w:pPr>
            <w:r>
              <w:rPr>
                <w:b/>
                <w:bCs/>
                <w:sz w:val="20"/>
              </w:rPr>
              <w:t>m</w:t>
            </w:r>
            <w:r w:rsidRPr="00ED0D6D">
              <w:rPr>
                <w:b/>
                <w:bCs/>
                <w:sz w:val="20"/>
              </w:rPr>
              <w:t>aža</w:t>
            </w:r>
          </w:p>
        </w:tc>
        <w:tc>
          <w:tcPr>
            <w:tcW w:w="1134" w:type="dxa"/>
            <w:shd w:val="clear" w:color="auto" w:fill="FFFFFF" w:themeFill="background1"/>
          </w:tcPr>
          <w:p w14:paraId="4535D6C8" w14:textId="77777777" w:rsidR="00975F26" w:rsidRPr="00ED0D6D" w:rsidRDefault="00975F26" w:rsidP="002A479B">
            <w:pPr>
              <w:ind w:firstLine="50"/>
              <w:jc w:val="center"/>
              <w:rPr>
                <w:bCs/>
                <w:sz w:val="20"/>
              </w:rPr>
            </w:pPr>
            <w:r w:rsidRPr="00ED0D6D">
              <w:rPr>
                <w:bCs/>
                <w:sz w:val="20"/>
              </w:rPr>
              <w:t xml:space="preserve">15 vieta ES </w:t>
            </w:r>
          </w:p>
        </w:tc>
        <w:tc>
          <w:tcPr>
            <w:tcW w:w="1674" w:type="dxa"/>
            <w:shd w:val="clear" w:color="auto" w:fill="FFFFFF" w:themeFill="background1"/>
          </w:tcPr>
          <w:p w14:paraId="3D7D9717" w14:textId="77777777" w:rsidR="00975F26" w:rsidRPr="00ED0D6D" w:rsidRDefault="00975F26" w:rsidP="002A479B">
            <w:pPr>
              <w:jc w:val="center"/>
              <w:rPr>
                <w:bCs/>
                <w:sz w:val="20"/>
              </w:rPr>
            </w:pPr>
            <w:r w:rsidRPr="00ED0D6D">
              <w:rPr>
                <w:bCs/>
                <w:sz w:val="20"/>
              </w:rPr>
              <w:t>ne žemesnė negu 10 vieta ES</w:t>
            </w:r>
          </w:p>
        </w:tc>
      </w:tr>
      <w:tr w:rsidR="00975F26" w:rsidRPr="00ED0D6D" w14:paraId="69E35D10" w14:textId="77777777" w:rsidTr="002A479B">
        <w:trPr>
          <w:trHeight w:val="20"/>
          <w:jc w:val="center"/>
        </w:trPr>
        <w:tc>
          <w:tcPr>
            <w:tcW w:w="3851" w:type="dxa"/>
            <w:shd w:val="clear" w:color="auto" w:fill="FFFFFF" w:themeFill="background1"/>
          </w:tcPr>
          <w:p w14:paraId="030E29F9" w14:textId="77777777" w:rsidR="00975F26" w:rsidRPr="00ED0D6D" w:rsidRDefault="00975F26" w:rsidP="002A479B">
            <w:pPr>
              <w:rPr>
                <w:b/>
                <w:bCs/>
                <w:sz w:val="20"/>
              </w:rPr>
            </w:pPr>
            <w:r w:rsidRPr="00ED0D6D">
              <w:rPr>
                <w:b/>
                <w:bCs/>
                <w:sz w:val="20"/>
              </w:rPr>
              <w:t>Darnios visuomenės indeksas</w:t>
            </w:r>
          </w:p>
          <w:p w14:paraId="516CD7EC" w14:textId="77777777" w:rsidR="00975F26" w:rsidRPr="00ED0D6D" w:rsidRDefault="00975F26" w:rsidP="002A479B">
            <w:pPr>
              <w:rPr>
                <w:rFonts w:eastAsia="EcoNewtext"/>
                <w:b/>
                <w:sz w:val="20"/>
              </w:rPr>
            </w:pPr>
            <w:proofErr w:type="spellStart"/>
            <w:r w:rsidRPr="00ED0D6D">
              <w:rPr>
                <w:rFonts w:eastAsia="MyriadPro-Regular"/>
                <w:i/>
                <w:color w:val="000000"/>
                <w:sz w:val="20"/>
              </w:rPr>
              <w:t>Sustainable</w:t>
            </w:r>
            <w:proofErr w:type="spellEnd"/>
            <w:r w:rsidRPr="00ED0D6D">
              <w:rPr>
                <w:rFonts w:eastAsia="MyriadPro-Regular"/>
                <w:i/>
                <w:color w:val="000000"/>
                <w:sz w:val="20"/>
              </w:rPr>
              <w:t xml:space="preserve"> </w:t>
            </w:r>
            <w:proofErr w:type="spellStart"/>
            <w:r w:rsidRPr="00ED0D6D">
              <w:rPr>
                <w:rFonts w:eastAsia="MyriadPro-Regular"/>
                <w:i/>
                <w:color w:val="000000"/>
                <w:sz w:val="20"/>
              </w:rPr>
              <w:t>Society</w:t>
            </w:r>
            <w:proofErr w:type="spellEnd"/>
            <w:r w:rsidRPr="00ED0D6D">
              <w:rPr>
                <w:rFonts w:eastAsia="MyriadPro-Regular"/>
                <w:i/>
                <w:color w:val="000000"/>
                <w:sz w:val="20"/>
              </w:rPr>
              <w:t xml:space="preserve"> </w:t>
            </w:r>
            <w:proofErr w:type="spellStart"/>
            <w:r w:rsidRPr="00ED0D6D">
              <w:rPr>
                <w:rFonts w:eastAsia="MyriadPro-Regular"/>
                <w:i/>
                <w:color w:val="000000"/>
                <w:sz w:val="20"/>
              </w:rPr>
              <w:t>Foundation</w:t>
            </w:r>
            <w:proofErr w:type="spellEnd"/>
            <w:r w:rsidRPr="00ED0D6D">
              <w:rPr>
                <w:rFonts w:eastAsia="MyriadPro-Regular"/>
                <w:color w:val="000000"/>
                <w:sz w:val="20"/>
              </w:rPr>
              <w:t>, 2010</w:t>
            </w:r>
          </w:p>
        </w:tc>
        <w:tc>
          <w:tcPr>
            <w:tcW w:w="1606" w:type="dxa"/>
            <w:shd w:val="clear" w:color="auto" w:fill="F2F2F2" w:themeFill="background1" w:themeFillShade="F2"/>
          </w:tcPr>
          <w:p w14:paraId="57A467DB" w14:textId="77777777" w:rsidR="00975F26" w:rsidRPr="00ED0D6D" w:rsidRDefault="00975F26" w:rsidP="002A479B">
            <w:pPr>
              <w:jc w:val="center"/>
              <w:rPr>
                <w:bCs/>
                <w:sz w:val="20"/>
              </w:rPr>
            </w:pPr>
            <w:r w:rsidRPr="00ED0D6D">
              <w:rPr>
                <w:bCs/>
                <w:sz w:val="20"/>
              </w:rPr>
              <w:t>6,68 balo</w:t>
            </w:r>
          </w:p>
        </w:tc>
        <w:tc>
          <w:tcPr>
            <w:tcW w:w="1369" w:type="dxa"/>
            <w:shd w:val="clear" w:color="auto" w:fill="F2F2F2" w:themeFill="background1" w:themeFillShade="F2"/>
          </w:tcPr>
          <w:p w14:paraId="59311559" w14:textId="77777777" w:rsidR="00975F26" w:rsidRPr="00ED0D6D" w:rsidRDefault="00975F26" w:rsidP="002A479B">
            <w:pPr>
              <w:jc w:val="center"/>
              <w:rPr>
                <w:bCs/>
                <w:sz w:val="20"/>
              </w:rPr>
            </w:pPr>
            <w:r w:rsidRPr="00ED0D6D">
              <w:rPr>
                <w:bCs/>
                <w:sz w:val="20"/>
              </w:rPr>
              <w:t>6,77 balo</w:t>
            </w:r>
          </w:p>
        </w:tc>
        <w:tc>
          <w:tcPr>
            <w:tcW w:w="1560" w:type="dxa"/>
            <w:shd w:val="clear" w:color="auto" w:fill="F2F2F2" w:themeFill="background1" w:themeFillShade="F2"/>
          </w:tcPr>
          <w:p w14:paraId="4B0CDA89" w14:textId="77777777" w:rsidR="00975F26" w:rsidRPr="00ED0D6D" w:rsidRDefault="00975F26" w:rsidP="002A479B">
            <w:pPr>
              <w:jc w:val="center"/>
              <w:rPr>
                <w:bCs/>
                <w:sz w:val="20"/>
              </w:rPr>
            </w:pPr>
            <w:r w:rsidRPr="00ED0D6D">
              <w:rPr>
                <w:bCs/>
                <w:sz w:val="20"/>
              </w:rPr>
              <w:t>13 vieta ES</w:t>
            </w:r>
          </w:p>
        </w:tc>
        <w:tc>
          <w:tcPr>
            <w:tcW w:w="1329" w:type="dxa"/>
            <w:shd w:val="clear" w:color="auto" w:fill="auto"/>
          </w:tcPr>
          <w:p w14:paraId="4728A67E" w14:textId="77777777" w:rsidR="00975F26" w:rsidRPr="004E0F47" w:rsidRDefault="00975F26" w:rsidP="002A479B">
            <w:pPr>
              <w:jc w:val="center"/>
              <w:rPr>
                <w:b/>
                <w:bCs/>
                <w:sz w:val="20"/>
              </w:rPr>
            </w:pPr>
            <w:r w:rsidRPr="004E0F47">
              <w:rPr>
                <w:b/>
                <w:bCs/>
                <w:sz w:val="20"/>
              </w:rPr>
              <w:t>8 vieta ES</w:t>
            </w:r>
          </w:p>
          <w:p w14:paraId="7D87F8C0" w14:textId="77777777" w:rsidR="00975F26" w:rsidRPr="004E0F47" w:rsidRDefault="00975F26" w:rsidP="002A479B">
            <w:pPr>
              <w:jc w:val="center"/>
              <w:rPr>
                <w:b/>
                <w:bCs/>
                <w:sz w:val="20"/>
              </w:rPr>
            </w:pPr>
            <w:r w:rsidRPr="004E0F47">
              <w:rPr>
                <w:b/>
                <w:bCs/>
                <w:sz w:val="20"/>
              </w:rPr>
              <w:t>6,36 balo</w:t>
            </w:r>
          </w:p>
          <w:p w14:paraId="645EDACE" w14:textId="77777777" w:rsidR="00975F26" w:rsidRPr="00ED0D6D" w:rsidRDefault="00975F26" w:rsidP="002A479B">
            <w:pPr>
              <w:jc w:val="center"/>
              <w:rPr>
                <w:b/>
                <w:bCs/>
                <w:sz w:val="20"/>
              </w:rPr>
            </w:pPr>
            <w:r w:rsidRPr="004E0F47">
              <w:rPr>
                <w:b/>
                <w:bCs/>
                <w:sz w:val="20"/>
              </w:rPr>
              <w:t xml:space="preserve"> (2016)</w:t>
            </w:r>
            <w:r w:rsidRPr="00F46DD0">
              <w:rPr>
                <w:rStyle w:val="Puslapioinaosnuoroda"/>
                <w:sz w:val="20"/>
              </w:rPr>
              <w:footnoteReference w:id="9"/>
            </w:r>
          </w:p>
        </w:tc>
        <w:tc>
          <w:tcPr>
            <w:tcW w:w="1363" w:type="dxa"/>
            <w:shd w:val="clear" w:color="auto" w:fill="F2F2F2" w:themeFill="background1" w:themeFillShade="F2"/>
          </w:tcPr>
          <w:p w14:paraId="25FCF0D2" w14:textId="77777777" w:rsidR="00975F26" w:rsidRPr="00ED0D6D" w:rsidRDefault="00975F26" w:rsidP="002A479B">
            <w:pPr>
              <w:jc w:val="center"/>
              <w:rPr>
                <w:bCs/>
                <w:sz w:val="20"/>
              </w:rPr>
            </w:pPr>
            <w:r w:rsidRPr="00ED0D6D">
              <w:rPr>
                <w:bCs/>
                <w:sz w:val="20"/>
              </w:rPr>
              <w:t>+5</w:t>
            </w:r>
          </w:p>
        </w:tc>
        <w:tc>
          <w:tcPr>
            <w:tcW w:w="1324" w:type="dxa"/>
            <w:shd w:val="clear" w:color="auto" w:fill="auto"/>
          </w:tcPr>
          <w:p w14:paraId="73AF75E9" w14:textId="77777777" w:rsidR="00975F26" w:rsidRPr="00ED0D6D" w:rsidRDefault="00975F26" w:rsidP="002A479B">
            <w:pPr>
              <w:jc w:val="center"/>
              <w:rPr>
                <w:b/>
                <w:bCs/>
                <w:sz w:val="20"/>
              </w:rPr>
            </w:pPr>
            <w:r>
              <w:rPr>
                <w:b/>
                <w:bCs/>
                <w:sz w:val="20"/>
              </w:rPr>
              <w:t>d</w:t>
            </w:r>
            <w:r w:rsidRPr="00ED0D6D">
              <w:rPr>
                <w:b/>
                <w:bCs/>
                <w:sz w:val="20"/>
              </w:rPr>
              <w:t>idelė</w:t>
            </w:r>
          </w:p>
        </w:tc>
        <w:tc>
          <w:tcPr>
            <w:tcW w:w="1134" w:type="dxa"/>
            <w:shd w:val="clear" w:color="auto" w:fill="FFFFFF" w:themeFill="background1"/>
          </w:tcPr>
          <w:p w14:paraId="2D4B72BE" w14:textId="77777777" w:rsidR="00975F26" w:rsidRPr="00ED0D6D" w:rsidRDefault="00975F26" w:rsidP="002A479B">
            <w:pPr>
              <w:jc w:val="center"/>
              <w:rPr>
                <w:bCs/>
                <w:sz w:val="20"/>
              </w:rPr>
            </w:pPr>
            <w:r w:rsidRPr="00ED0D6D">
              <w:rPr>
                <w:bCs/>
                <w:sz w:val="20"/>
              </w:rPr>
              <w:t>10 vieta ES</w:t>
            </w:r>
          </w:p>
        </w:tc>
        <w:tc>
          <w:tcPr>
            <w:tcW w:w="1674" w:type="dxa"/>
            <w:shd w:val="clear" w:color="auto" w:fill="FFFFFF" w:themeFill="background1"/>
          </w:tcPr>
          <w:p w14:paraId="427DA9AE" w14:textId="77777777" w:rsidR="00975F26" w:rsidRPr="00ED0D6D" w:rsidRDefault="00975F26" w:rsidP="002A479B">
            <w:pPr>
              <w:jc w:val="center"/>
              <w:rPr>
                <w:bCs/>
                <w:sz w:val="20"/>
              </w:rPr>
            </w:pPr>
            <w:r w:rsidRPr="00ED0D6D">
              <w:rPr>
                <w:bCs/>
                <w:sz w:val="20"/>
              </w:rPr>
              <w:t>ne žemesnė negu 7 vieta ES</w:t>
            </w:r>
          </w:p>
        </w:tc>
      </w:tr>
      <w:tr w:rsidR="00975F26" w:rsidRPr="00ED0D6D" w14:paraId="059047DF" w14:textId="77777777" w:rsidTr="002A479B">
        <w:trPr>
          <w:trHeight w:val="20"/>
          <w:jc w:val="center"/>
        </w:trPr>
        <w:tc>
          <w:tcPr>
            <w:tcW w:w="3851" w:type="dxa"/>
          </w:tcPr>
          <w:p w14:paraId="52761B62" w14:textId="77777777" w:rsidR="00975F26" w:rsidRPr="00ED0D6D" w:rsidRDefault="00975F26" w:rsidP="002A479B">
            <w:pPr>
              <w:rPr>
                <w:b/>
                <w:bCs/>
                <w:sz w:val="20"/>
              </w:rPr>
            </w:pPr>
            <w:bookmarkStart w:id="33" w:name="_Hlk67300598"/>
            <w:r w:rsidRPr="00ED0D6D">
              <w:rPr>
                <w:b/>
                <w:bCs/>
                <w:sz w:val="20"/>
              </w:rPr>
              <w:t>Pasaulio konkurencingumo indeksas</w:t>
            </w:r>
          </w:p>
          <w:p w14:paraId="18056003" w14:textId="77777777" w:rsidR="00975F26" w:rsidRPr="00ED0D6D" w:rsidRDefault="00975F26" w:rsidP="002A479B">
            <w:pPr>
              <w:rPr>
                <w:bCs/>
                <w:sz w:val="20"/>
              </w:rPr>
            </w:pPr>
            <w:r w:rsidRPr="00ED0D6D">
              <w:rPr>
                <w:sz w:val="20"/>
              </w:rPr>
              <w:t>Pasaulio ekonomikos forumas, 2011–2012</w:t>
            </w:r>
          </w:p>
        </w:tc>
        <w:tc>
          <w:tcPr>
            <w:tcW w:w="1606" w:type="dxa"/>
            <w:shd w:val="clear" w:color="auto" w:fill="F2F2F2" w:themeFill="background1" w:themeFillShade="F2"/>
          </w:tcPr>
          <w:p w14:paraId="21410BAA" w14:textId="77777777" w:rsidR="00975F26" w:rsidRPr="00ED0D6D" w:rsidRDefault="00975F26" w:rsidP="002A479B">
            <w:pPr>
              <w:jc w:val="center"/>
              <w:rPr>
                <w:bCs/>
                <w:sz w:val="20"/>
              </w:rPr>
            </w:pPr>
            <w:r w:rsidRPr="00ED0D6D">
              <w:rPr>
                <w:bCs/>
                <w:sz w:val="20"/>
              </w:rPr>
              <w:t>4,71</w:t>
            </w:r>
          </w:p>
        </w:tc>
        <w:tc>
          <w:tcPr>
            <w:tcW w:w="1369" w:type="dxa"/>
            <w:shd w:val="clear" w:color="auto" w:fill="F2F2F2" w:themeFill="background1" w:themeFillShade="F2"/>
          </w:tcPr>
          <w:p w14:paraId="5769318D" w14:textId="77777777" w:rsidR="00975F26" w:rsidRPr="00ED0D6D" w:rsidRDefault="00975F26" w:rsidP="002A479B">
            <w:pPr>
              <w:jc w:val="center"/>
              <w:rPr>
                <w:bCs/>
                <w:sz w:val="20"/>
              </w:rPr>
            </w:pPr>
            <w:r w:rsidRPr="00ED0D6D">
              <w:rPr>
                <w:bCs/>
                <w:sz w:val="20"/>
              </w:rPr>
              <w:t>4,41</w:t>
            </w:r>
          </w:p>
        </w:tc>
        <w:tc>
          <w:tcPr>
            <w:tcW w:w="1560" w:type="dxa"/>
            <w:shd w:val="clear" w:color="auto" w:fill="F2F2F2" w:themeFill="background1" w:themeFillShade="F2"/>
          </w:tcPr>
          <w:p w14:paraId="799EE249" w14:textId="77777777" w:rsidR="00975F26" w:rsidRPr="00ED0D6D" w:rsidRDefault="00975F26" w:rsidP="002A479B">
            <w:pPr>
              <w:jc w:val="center"/>
              <w:rPr>
                <w:bCs/>
                <w:sz w:val="20"/>
              </w:rPr>
            </w:pPr>
            <w:r w:rsidRPr="00ED0D6D">
              <w:rPr>
                <w:bCs/>
                <w:sz w:val="20"/>
              </w:rPr>
              <w:t>17 vieta ES</w:t>
            </w:r>
          </w:p>
        </w:tc>
        <w:tc>
          <w:tcPr>
            <w:tcW w:w="1329" w:type="dxa"/>
            <w:shd w:val="clear" w:color="auto" w:fill="FFFFFF" w:themeFill="background1"/>
          </w:tcPr>
          <w:p w14:paraId="5F5BF238" w14:textId="77777777" w:rsidR="00975F26" w:rsidRPr="00ED0D6D" w:rsidRDefault="00975F26" w:rsidP="002A479B">
            <w:pPr>
              <w:ind w:firstLine="50"/>
              <w:jc w:val="center"/>
              <w:rPr>
                <w:b/>
                <w:sz w:val="20"/>
              </w:rPr>
            </w:pPr>
            <w:r>
              <w:rPr>
                <w:b/>
                <w:sz w:val="20"/>
              </w:rPr>
              <w:t>20 vieta ES</w:t>
            </w:r>
          </w:p>
        </w:tc>
        <w:tc>
          <w:tcPr>
            <w:tcW w:w="1363" w:type="dxa"/>
            <w:shd w:val="clear" w:color="auto" w:fill="F2F2F2" w:themeFill="background1" w:themeFillShade="F2"/>
          </w:tcPr>
          <w:p w14:paraId="6568372B" w14:textId="77777777" w:rsidR="00975F26" w:rsidRPr="00ED0D6D" w:rsidRDefault="00975F26" w:rsidP="002A479B">
            <w:pPr>
              <w:ind w:firstLine="50"/>
              <w:jc w:val="center"/>
              <w:rPr>
                <w:bCs/>
                <w:sz w:val="20"/>
              </w:rPr>
            </w:pPr>
            <w:r>
              <w:rPr>
                <w:bCs/>
                <w:sz w:val="20"/>
              </w:rPr>
              <w:t>-3</w:t>
            </w:r>
          </w:p>
        </w:tc>
        <w:tc>
          <w:tcPr>
            <w:tcW w:w="1324" w:type="dxa"/>
            <w:shd w:val="clear" w:color="auto" w:fill="auto"/>
          </w:tcPr>
          <w:p w14:paraId="6A194AE1" w14:textId="77777777" w:rsidR="00975F26" w:rsidRPr="00ED0D6D" w:rsidRDefault="00975F26" w:rsidP="002A479B">
            <w:pPr>
              <w:ind w:firstLine="50"/>
              <w:jc w:val="center"/>
              <w:rPr>
                <w:b/>
                <w:bCs/>
                <w:sz w:val="20"/>
              </w:rPr>
            </w:pPr>
            <w:r>
              <w:rPr>
                <w:b/>
                <w:bCs/>
                <w:sz w:val="20"/>
              </w:rPr>
              <w:t>m</w:t>
            </w:r>
            <w:r w:rsidRPr="00ED0D6D">
              <w:rPr>
                <w:b/>
                <w:bCs/>
                <w:sz w:val="20"/>
              </w:rPr>
              <w:t>aža</w:t>
            </w:r>
          </w:p>
        </w:tc>
        <w:tc>
          <w:tcPr>
            <w:tcW w:w="1134" w:type="dxa"/>
            <w:shd w:val="clear" w:color="auto" w:fill="FFFFFF" w:themeFill="background1"/>
          </w:tcPr>
          <w:p w14:paraId="675A86E8" w14:textId="77777777" w:rsidR="00975F26" w:rsidRPr="00ED0D6D" w:rsidRDefault="00975F26" w:rsidP="002A479B">
            <w:pPr>
              <w:ind w:firstLine="50"/>
              <w:jc w:val="center"/>
              <w:rPr>
                <w:bCs/>
                <w:sz w:val="20"/>
              </w:rPr>
            </w:pPr>
            <w:r w:rsidRPr="00ED0D6D">
              <w:rPr>
                <w:bCs/>
                <w:sz w:val="20"/>
              </w:rPr>
              <w:t xml:space="preserve">13 vieta ES </w:t>
            </w:r>
          </w:p>
        </w:tc>
        <w:tc>
          <w:tcPr>
            <w:tcW w:w="1674" w:type="dxa"/>
            <w:shd w:val="clear" w:color="auto" w:fill="FFFFFF" w:themeFill="background1"/>
          </w:tcPr>
          <w:p w14:paraId="16F66513" w14:textId="77777777" w:rsidR="00975F26" w:rsidRPr="00ED0D6D" w:rsidRDefault="00975F26" w:rsidP="002A479B">
            <w:pPr>
              <w:jc w:val="center"/>
              <w:rPr>
                <w:bCs/>
                <w:sz w:val="20"/>
              </w:rPr>
            </w:pPr>
            <w:r w:rsidRPr="00ED0D6D">
              <w:rPr>
                <w:bCs/>
                <w:sz w:val="20"/>
              </w:rPr>
              <w:t>ne žemesnė negu 10 vieta ES</w:t>
            </w:r>
          </w:p>
        </w:tc>
      </w:tr>
      <w:bookmarkEnd w:id="33"/>
      <w:tr w:rsidR="00975F26" w:rsidRPr="00ED0D6D" w14:paraId="2C8393FF" w14:textId="77777777" w:rsidTr="002A479B">
        <w:trPr>
          <w:trHeight w:val="20"/>
          <w:jc w:val="center"/>
        </w:trPr>
        <w:tc>
          <w:tcPr>
            <w:tcW w:w="3851" w:type="dxa"/>
          </w:tcPr>
          <w:p w14:paraId="0B21F1CF" w14:textId="77777777" w:rsidR="00975F26" w:rsidRPr="00ED0D6D" w:rsidRDefault="00975F26" w:rsidP="002A479B">
            <w:pPr>
              <w:rPr>
                <w:b/>
                <w:bCs/>
                <w:sz w:val="20"/>
              </w:rPr>
            </w:pPr>
            <w:r w:rsidRPr="00ED0D6D">
              <w:rPr>
                <w:b/>
                <w:bCs/>
                <w:sz w:val="20"/>
              </w:rPr>
              <w:t>Globalizacijos indeksas</w:t>
            </w:r>
          </w:p>
          <w:p w14:paraId="304643BA" w14:textId="77777777" w:rsidR="00975F26" w:rsidRPr="00ED0D6D" w:rsidRDefault="00975F26" w:rsidP="002A479B">
            <w:pPr>
              <w:rPr>
                <w:b/>
                <w:bCs/>
                <w:sz w:val="20"/>
              </w:rPr>
            </w:pPr>
            <w:bookmarkStart w:id="34" w:name="_Hlk532832280"/>
            <w:r w:rsidRPr="00ED0D6D">
              <w:rPr>
                <w:bCs/>
                <w:i/>
                <w:sz w:val="20"/>
              </w:rPr>
              <w:t xml:space="preserve">KOF </w:t>
            </w:r>
            <w:proofErr w:type="spellStart"/>
            <w:r w:rsidRPr="00ED0D6D">
              <w:rPr>
                <w:bCs/>
                <w:i/>
                <w:sz w:val="20"/>
              </w:rPr>
              <w:t>Globalisation</w:t>
            </w:r>
            <w:proofErr w:type="spellEnd"/>
            <w:r w:rsidRPr="00ED0D6D">
              <w:rPr>
                <w:bCs/>
                <w:i/>
                <w:sz w:val="20"/>
              </w:rPr>
              <w:t xml:space="preserve"> </w:t>
            </w:r>
            <w:proofErr w:type="spellStart"/>
            <w:r w:rsidRPr="00ED0D6D">
              <w:rPr>
                <w:bCs/>
                <w:i/>
                <w:sz w:val="20"/>
              </w:rPr>
              <w:t>index</w:t>
            </w:r>
            <w:bookmarkEnd w:id="34"/>
            <w:proofErr w:type="spellEnd"/>
            <w:r w:rsidRPr="00ED0D6D">
              <w:rPr>
                <w:bCs/>
                <w:sz w:val="20"/>
              </w:rPr>
              <w:t>, 2011</w:t>
            </w:r>
          </w:p>
        </w:tc>
        <w:tc>
          <w:tcPr>
            <w:tcW w:w="1606" w:type="dxa"/>
            <w:shd w:val="clear" w:color="auto" w:fill="F2F2F2" w:themeFill="background1" w:themeFillShade="F2"/>
          </w:tcPr>
          <w:p w14:paraId="12A112E3" w14:textId="77777777" w:rsidR="00975F26" w:rsidRPr="00ED0D6D" w:rsidRDefault="00975F26" w:rsidP="002A479B">
            <w:pPr>
              <w:jc w:val="center"/>
              <w:rPr>
                <w:rFonts w:eastAsia="EcoNewtext"/>
                <w:b/>
                <w:bCs/>
                <w:sz w:val="20"/>
              </w:rPr>
            </w:pPr>
            <w:r w:rsidRPr="00ED0D6D">
              <w:rPr>
                <w:rFonts w:eastAsia="EcoNewtext"/>
                <w:bCs/>
                <w:sz w:val="20"/>
              </w:rPr>
              <w:t>82,82</w:t>
            </w:r>
          </w:p>
        </w:tc>
        <w:tc>
          <w:tcPr>
            <w:tcW w:w="1369" w:type="dxa"/>
            <w:shd w:val="clear" w:color="auto" w:fill="F2F2F2" w:themeFill="background1" w:themeFillShade="F2"/>
          </w:tcPr>
          <w:p w14:paraId="485E398C" w14:textId="77777777" w:rsidR="00975F26" w:rsidRPr="00ED0D6D" w:rsidRDefault="00975F26" w:rsidP="002A479B">
            <w:pPr>
              <w:jc w:val="center"/>
              <w:rPr>
                <w:bCs/>
                <w:sz w:val="20"/>
              </w:rPr>
            </w:pPr>
            <w:r w:rsidRPr="00ED0D6D">
              <w:rPr>
                <w:bCs/>
                <w:sz w:val="20"/>
              </w:rPr>
              <w:t>73,64</w:t>
            </w:r>
          </w:p>
        </w:tc>
        <w:tc>
          <w:tcPr>
            <w:tcW w:w="1560" w:type="dxa"/>
            <w:shd w:val="clear" w:color="auto" w:fill="F2F2F2" w:themeFill="background1" w:themeFillShade="F2"/>
          </w:tcPr>
          <w:p w14:paraId="61D29AB5" w14:textId="77777777" w:rsidR="00975F26" w:rsidRPr="00ED0D6D" w:rsidRDefault="00975F26" w:rsidP="002A479B">
            <w:pPr>
              <w:jc w:val="center"/>
              <w:rPr>
                <w:bCs/>
                <w:sz w:val="20"/>
              </w:rPr>
            </w:pPr>
            <w:r w:rsidRPr="00ED0D6D">
              <w:rPr>
                <w:bCs/>
                <w:sz w:val="20"/>
              </w:rPr>
              <w:t>25 vieta ES</w:t>
            </w:r>
          </w:p>
        </w:tc>
        <w:tc>
          <w:tcPr>
            <w:tcW w:w="1329" w:type="dxa"/>
            <w:shd w:val="clear" w:color="auto" w:fill="FFFFFF" w:themeFill="background1"/>
          </w:tcPr>
          <w:p w14:paraId="6785EC57" w14:textId="77777777" w:rsidR="00975F26" w:rsidRPr="002811D1" w:rsidRDefault="00975F26" w:rsidP="002A479B">
            <w:pPr>
              <w:ind w:firstLine="50"/>
              <w:jc w:val="center"/>
              <w:rPr>
                <w:b/>
                <w:sz w:val="20"/>
              </w:rPr>
            </w:pPr>
            <w:r w:rsidRPr="006C5007">
              <w:rPr>
                <w:b/>
                <w:bCs/>
                <w:sz w:val="20"/>
              </w:rPr>
              <w:t>2</w:t>
            </w:r>
            <w:r>
              <w:rPr>
                <w:b/>
                <w:bCs/>
                <w:sz w:val="20"/>
              </w:rPr>
              <w:t>2</w:t>
            </w:r>
            <w:r w:rsidRPr="006C5007">
              <w:rPr>
                <w:b/>
                <w:bCs/>
                <w:sz w:val="20"/>
              </w:rPr>
              <w:t xml:space="preserve"> vieta </w:t>
            </w:r>
            <w:r w:rsidRPr="002811D1">
              <w:rPr>
                <w:b/>
                <w:sz w:val="20"/>
              </w:rPr>
              <w:t>ES</w:t>
            </w:r>
          </w:p>
          <w:p w14:paraId="17C8B69A" w14:textId="77777777" w:rsidR="00975F26" w:rsidRPr="002811D1" w:rsidRDefault="00975F26" w:rsidP="002A479B">
            <w:pPr>
              <w:ind w:firstLine="50"/>
              <w:jc w:val="center"/>
              <w:rPr>
                <w:b/>
                <w:sz w:val="20"/>
              </w:rPr>
            </w:pPr>
            <w:r w:rsidRPr="002811D1">
              <w:rPr>
                <w:b/>
                <w:sz w:val="20"/>
              </w:rPr>
              <w:t>81</w:t>
            </w:r>
          </w:p>
          <w:p w14:paraId="0A11E221" w14:textId="77777777" w:rsidR="00975F26" w:rsidRPr="00ED0D6D" w:rsidRDefault="00975F26" w:rsidP="002A479B">
            <w:pPr>
              <w:ind w:firstLine="50"/>
              <w:jc w:val="center"/>
              <w:rPr>
                <w:bCs/>
                <w:sz w:val="20"/>
              </w:rPr>
            </w:pPr>
            <w:r w:rsidRPr="002811D1">
              <w:rPr>
                <w:b/>
                <w:sz w:val="20"/>
              </w:rPr>
              <w:t>(2018</w:t>
            </w:r>
            <w:r>
              <w:rPr>
                <w:b/>
                <w:sz w:val="20"/>
              </w:rPr>
              <w:t>)</w:t>
            </w:r>
            <w:r w:rsidRPr="00F46DD0">
              <w:rPr>
                <w:rStyle w:val="Puslapioinaosnuoroda"/>
                <w:bCs/>
                <w:sz w:val="20"/>
              </w:rPr>
              <w:footnoteReference w:id="10"/>
            </w:r>
          </w:p>
        </w:tc>
        <w:tc>
          <w:tcPr>
            <w:tcW w:w="1363" w:type="dxa"/>
            <w:shd w:val="clear" w:color="auto" w:fill="F2F2F2" w:themeFill="background1" w:themeFillShade="F2"/>
          </w:tcPr>
          <w:p w14:paraId="6B1CB798" w14:textId="77777777" w:rsidR="00975F26" w:rsidRPr="00ED0D6D" w:rsidRDefault="00975F26" w:rsidP="002A479B">
            <w:pPr>
              <w:ind w:firstLine="50"/>
              <w:jc w:val="center"/>
              <w:rPr>
                <w:bCs/>
                <w:sz w:val="20"/>
              </w:rPr>
            </w:pPr>
            <w:r w:rsidRPr="00ED0D6D">
              <w:rPr>
                <w:bCs/>
                <w:sz w:val="20"/>
              </w:rPr>
              <w:t>+</w:t>
            </w:r>
            <w:r>
              <w:rPr>
                <w:bCs/>
                <w:sz w:val="20"/>
              </w:rPr>
              <w:t>3</w:t>
            </w:r>
          </w:p>
        </w:tc>
        <w:tc>
          <w:tcPr>
            <w:tcW w:w="1324" w:type="dxa"/>
            <w:shd w:val="clear" w:color="auto" w:fill="auto"/>
          </w:tcPr>
          <w:p w14:paraId="47BC377B" w14:textId="77777777" w:rsidR="00975F26" w:rsidRPr="00ED0D6D" w:rsidRDefault="00975F26" w:rsidP="002A479B">
            <w:pPr>
              <w:ind w:firstLine="50"/>
              <w:jc w:val="center"/>
              <w:rPr>
                <w:b/>
                <w:bCs/>
                <w:sz w:val="20"/>
              </w:rPr>
            </w:pPr>
            <w:r>
              <w:rPr>
                <w:b/>
                <w:bCs/>
                <w:sz w:val="20"/>
              </w:rPr>
              <w:t>m</w:t>
            </w:r>
            <w:r w:rsidRPr="00ED0D6D">
              <w:rPr>
                <w:b/>
                <w:bCs/>
                <w:sz w:val="20"/>
              </w:rPr>
              <w:t xml:space="preserve">aža </w:t>
            </w:r>
          </w:p>
        </w:tc>
        <w:tc>
          <w:tcPr>
            <w:tcW w:w="1134" w:type="dxa"/>
            <w:shd w:val="clear" w:color="auto" w:fill="FFFFFF" w:themeFill="background1"/>
          </w:tcPr>
          <w:p w14:paraId="1AA94DDE" w14:textId="77777777" w:rsidR="00975F26" w:rsidRPr="00ED0D6D" w:rsidRDefault="00975F26" w:rsidP="002A479B">
            <w:pPr>
              <w:ind w:firstLine="50"/>
              <w:jc w:val="center"/>
              <w:rPr>
                <w:bCs/>
                <w:sz w:val="20"/>
              </w:rPr>
            </w:pPr>
            <w:r w:rsidRPr="00ED0D6D">
              <w:rPr>
                <w:bCs/>
                <w:sz w:val="20"/>
              </w:rPr>
              <w:t xml:space="preserve">15 vieta ES </w:t>
            </w:r>
          </w:p>
        </w:tc>
        <w:tc>
          <w:tcPr>
            <w:tcW w:w="1674" w:type="dxa"/>
            <w:shd w:val="clear" w:color="auto" w:fill="FFFFFF" w:themeFill="background1"/>
          </w:tcPr>
          <w:p w14:paraId="6C1CEB81" w14:textId="77777777" w:rsidR="00975F26" w:rsidRPr="00ED0D6D" w:rsidRDefault="00975F26" w:rsidP="002A479B">
            <w:pPr>
              <w:jc w:val="center"/>
              <w:rPr>
                <w:bCs/>
                <w:sz w:val="20"/>
              </w:rPr>
            </w:pPr>
            <w:r w:rsidRPr="00ED0D6D">
              <w:rPr>
                <w:bCs/>
                <w:sz w:val="20"/>
              </w:rPr>
              <w:t>ne žemesnė negu 10 vieta ES</w:t>
            </w:r>
          </w:p>
        </w:tc>
      </w:tr>
    </w:tbl>
    <w:p w14:paraId="4ED17946" w14:textId="77777777" w:rsidR="00975F26" w:rsidRPr="00ED0D6D" w:rsidRDefault="00975F26" w:rsidP="00975F26">
      <w:pPr>
        <w:rPr>
          <w:szCs w:val="24"/>
        </w:rPr>
      </w:pPr>
    </w:p>
    <w:p w14:paraId="552651E3" w14:textId="77777777" w:rsidR="00975F26" w:rsidRDefault="00975F26" w:rsidP="00975F26">
      <w:pPr>
        <w:rPr>
          <w:b/>
          <w:bCs/>
          <w:iCs/>
          <w:szCs w:val="24"/>
        </w:rPr>
      </w:pPr>
    </w:p>
    <w:p w14:paraId="3A205B0A" w14:textId="77777777" w:rsidR="00975F26" w:rsidRDefault="00975F26" w:rsidP="00975F26">
      <w:pPr>
        <w:rPr>
          <w:b/>
          <w:bCs/>
          <w:iCs/>
          <w:szCs w:val="24"/>
        </w:rPr>
      </w:pPr>
    </w:p>
    <w:p w14:paraId="065165DA" w14:textId="77777777" w:rsidR="00975F26" w:rsidRDefault="00975F26" w:rsidP="00975F26">
      <w:pPr>
        <w:rPr>
          <w:b/>
          <w:bCs/>
          <w:iCs/>
          <w:szCs w:val="24"/>
        </w:rPr>
      </w:pPr>
    </w:p>
    <w:p w14:paraId="7BBD2027" w14:textId="77777777" w:rsidR="00975F26" w:rsidRDefault="00975F26" w:rsidP="00975F26">
      <w:pPr>
        <w:rPr>
          <w:b/>
          <w:bCs/>
          <w:iCs/>
          <w:szCs w:val="24"/>
        </w:rPr>
      </w:pPr>
    </w:p>
    <w:p w14:paraId="21876EB5" w14:textId="77777777" w:rsidR="00975F26" w:rsidRDefault="00975F26" w:rsidP="00975F26">
      <w:pPr>
        <w:rPr>
          <w:b/>
          <w:bCs/>
          <w:iCs/>
          <w:szCs w:val="24"/>
        </w:rPr>
      </w:pPr>
    </w:p>
    <w:p w14:paraId="63AED704" w14:textId="77777777" w:rsidR="00975F26" w:rsidRDefault="00975F26" w:rsidP="00975F26">
      <w:pPr>
        <w:rPr>
          <w:b/>
          <w:bCs/>
          <w:iCs/>
          <w:szCs w:val="24"/>
        </w:rPr>
      </w:pPr>
    </w:p>
    <w:p w14:paraId="457B964F" w14:textId="77777777" w:rsidR="00975F26" w:rsidRDefault="00975F26" w:rsidP="00975F26">
      <w:pPr>
        <w:rPr>
          <w:b/>
          <w:bCs/>
          <w:iCs/>
          <w:szCs w:val="24"/>
        </w:rPr>
      </w:pPr>
    </w:p>
    <w:p w14:paraId="31423715" w14:textId="3ED94BC8" w:rsidR="00975F26" w:rsidRPr="00ED0D6D" w:rsidRDefault="00CA13A1" w:rsidP="00975F26">
      <w:pPr>
        <w:ind w:firstLine="720"/>
        <w:rPr>
          <w:b/>
          <w:bCs/>
          <w:iCs/>
          <w:szCs w:val="24"/>
        </w:rPr>
      </w:pPr>
      <w:r>
        <w:rPr>
          <w:b/>
          <w:bCs/>
          <w:iCs/>
          <w:szCs w:val="24"/>
        </w:rPr>
        <w:t>2.</w:t>
      </w:r>
      <w:r w:rsidR="00975F26">
        <w:rPr>
          <w:b/>
          <w:bCs/>
          <w:iCs/>
          <w:szCs w:val="24"/>
        </w:rPr>
        <w:t>1.</w:t>
      </w:r>
      <w:r w:rsidR="00975F26" w:rsidRPr="00ED0D6D">
        <w:rPr>
          <w:b/>
          <w:bCs/>
          <w:iCs/>
          <w:szCs w:val="24"/>
        </w:rPr>
        <w:t xml:space="preserve">2. Sumanios visuomenės rodikliai </w:t>
      </w:r>
    </w:p>
    <w:p w14:paraId="5447E710" w14:textId="77777777" w:rsidR="00975F26" w:rsidRPr="00ED0D6D" w:rsidRDefault="00975F26" w:rsidP="00975F26">
      <w:pPr>
        <w:rPr>
          <w:b/>
          <w:bCs/>
          <w:iCs/>
          <w:szCs w:val="24"/>
        </w:rPr>
      </w:pP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5"/>
        <w:gridCol w:w="1530"/>
        <w:gridCol w:w="1440"/>
        <w:gridCol w:w="1530"/>
        <w:gridCol w:w="1350"/>
        <w:gridCol w:w="1350"/>
        <w:gridCol w:w="1260"/>
        <w:gridCol w:w="1350"/>
        <w:gridCol w:w="1530"/>
      </w:tblGrid>
      <w:tr w:rsidR="00975F26" w:rsidRPr="00ED0D6D" w14:paraId="7D49AE08" w14:textId="77777777" w:rsidTr="002A479B">
        <w:trPr>
          <w:trHeight w:val="20"/>
          <w:tblHeader/>
          <w:jc w:val="center"/>
        </w:trPr>
        <w:tc>
          <w:tcPr>
            <w:tcW w:w="3865" w:type="dxa"/>
            <w:vMerge w:val="restart"/>
            <w:shd w:val="clear" w:color="auto" w:fill="DBE5F1" w:themeFill="accent1" w:themeFillTint="33"/>
            <w:vAlign w:val="center"/>
          </w:tcPr>
          <w:p w14:paraId="657820C2" w14:textId="77777777" w:rsidR="00975F26" w:rsidRPr="00ED0D6D" w:rsidRDefault="00975F26" w:rsidP="002A479B">
            <w:pPr>
              <w:jc w:val="center"/>
              <w:rPr>
                <w:b/>
                <w:bCs/>
                <w:sz w:val="20"/>
              </w:rPr>
            </w:pPr>
            <w:bookmarkStart w:id="35" w:name="_Hlk67318548"/>
            <w:bookmarkStart w:id="36" w:name="_Hlk67294858"/>
            <w:r w:rsidRPr="00ED0D6D">
              <w:rPr>
                <w:b/>
                <w:bCs/>
                <w:sz w:val="20"/>
              </w:rPr>
              <w:t>R</w:t>
            </w:r>
            <w:r>
              <w:rPr>
                <w:b/>
                <w:bCs/>
                <w:sz w:val="20"/>
              </w:rPr>
              <w:t>odikliai</w:t>
            </w:r>
          </w:p>
        </w:tc>
        <w:tc>
          <w:tcPr>
            <w:tcW w:w="4500" w:type="dxa"/>
            <w:gridSpan w:val="3"/>
            <w:shd w:val="clear" w:color="auto" w:fill="DBE5F1" w:themeFill="accent1" w:themeFillTint="33"/>
            <w:vAlign w:val="center"/>
          </w:tcPr>
          <w:p w14:paraId="4C8DAB69" w14:textId="77777777" w:rsidR="00975F26" w:rsidRPr="00ED0D6D" w:rsidRDefault="00975F26" w:rsidP="002A479B">
            <w:pPr>
              <w:jc w:val="center"/>
              <w:rPr>
                <w:b/>
                <w:bCs/>
                <w:sz w:val="20"/>
              </w:rPr>
            </w:pPr>
            <w:r w:rsidRPr="00ED0D6D">
              <w:rPr>
                <w:b/>
                <w:bCs/>
                <w:sz w:val="20"/>
              </w:rPr>
              <w:t>Pradinė situacija</w:t>
            </w:r>
          </w:p>
        </w:tc>
        <w:tc>
          <w:tcPr>
            <w:tcW w:w="1350" w:type="dxa"/>
            <w:shd w:val="clear" w:color="auto" w:fill="DBE5F1" w:themeFill="accent1" w:themeFillTint="33"/>
            <w:vAlign w:val="center"/>
          </w:tcPr>
          <w:p w14:paraId="71F5BB6D" w14:textId="77777777" w:rsidR="00975F26" w:rsidRPr="00ED0D6D" w:rsidRDefault="00975F26" w:rsidP="002A479B">
            <w:pPr>
              <w:jc w:val="center"/>
              <w:rPr>
                <w:b/>
                <w:bCs/>
                <w:sz w:val="20"/>
              </w:rPr>
            </w:pPr>
            <w:r w:rsidRPr="00ED0D6D">
              <w:rPr>
                <w:b/>
                <w:bCs/>
                <w:sz w:val="20"/>
              </w:rPr>
              <w:t>Pasiekta reikšmė</w:t>
            </w:r>
          </w:p>
        </w:tc>
        <w:tc>
          <w:tcPr>
            <w:tcW w:w="1350" w:type="dxa"/>
            <w:vMerge w:val="restart"/>
            <w:shd w:val="clear" w:color="auto" w:fill="DBE5F1" w:themeFill="accent1" w:themeFillTint="33"/>
            <w:vAlign w:val="center"/>
          </w:tcPr>
          <w:p w14:paraId="7B242E18" w14:textId="77777777" w:rsidR="00975F26" w:rsidRPr="00ED0D6D" w:rsidRDefault="00975F26" w:rsidP="002A479B">
            <w:pPr>
              <w:jc w:val="center"/>
              <w:rPr>
                <w:b/>
                <w:bCs/>
                <w:sz w:val="20"/>
              </w:rPr>
            </w:pPr>
            <w:r w:rsidRPr="00ED0D6D">
              <w:rPr>
                <w:b/>
                <w:bCs/>
                <w:sz w:val="20"/>
              </w:rPr>
              <w:t>Vietos pokytis</w:t>
            </w:r>
          </w:p>
        </w:tc>
        <w:tc>
          <w:tcPr>
            <w:tcW w:w="1260" w:type="dxa"/>
            <w:vMerge w:val="restart"/>
            <w:shd w:val="clear" w:color="auto" w:fill="DBE5F1" w:themeFill="accent1" w:themeFillTint="33"/>
            <w:vAlign w:val="center"/>
          </w:tcPr>
          <w:p w14:paraId="36094555" w14:textId="77777777" w:rsidR="00975F26" w:rsidRPr="00ED0D6D" w:rsidRDefault="00975F26" w:rsidP="002A479B">
            <w:pPr>
              <w:jc w:val="center"/>
              <w:rPr>
                <w:b/>
                <w:bCs/>
                <w:sz w:val="20"/>
              </w:rPr>
            </w:pPr>
            <w:r w:rsidRPr="00ED0D6D">
              <w:rPr>
                <w:b/>
                <w:bCs/>
                <w:sz w:val="20"/>
              </w:rPr>
              <w:t>Pasiekimo tikimybė</w:t>
            </w:r>
          </w:p>
        </w:tc>
        <w:tc>
          <w:tcPr>
            <w:tcW w:w="2880" w:type="dxa"/>
            <w:gridSpan w:val="2"/>
            <w:shd w:val="clear" w:color="auto" w:fill="DBE5F1" w:themeFill="accent1" w:themeFillTint="33"/>
            <w:vAlign w:val="center"/>
          </w:tcPr>
          <w:p w14:paraId="1CB5960A" w14:textId="77777777" w:rsidR="00975F26" w:rsidRPr="00ED0D6D" w:rsidRDefault="00975F26" w:rsidP="002A479B">
            <w:pPr>
              <w:jc w:val="center"/>
              <w:rPr>
                <w:b/>
                <w:bCs/>
                <w:sz w:val="20"/>
              </w:rPr>
            </w:pPr>
            <w:r w:rsidRPr="00ED0D6D">
              <w:rPr>
                <w:b/>
                <w:bCs/>
                <w:sz w:val="20"/>
              </w:rPr>
              <w:t>Siektinos reikšmės</w:t>
            </w:r>
          </w:p>
        </w:tc>
      </w:tr>
      <w:tr w:rsidR="00975F26" w:rsidRPr="00ED0D6D" w14:paraId="30BE2805" w14:textId="77777777" w:rsidTr="002A479B">
        <w:trPr>
          <w:trHeight w:val="20"/>
          <w:tblHeader/>
          <w:jc w:val="center"/>
        </w:trPr>
        <w:tc>
          <w:tcPr>
            <w:tcW w:w="3865" w:type="dxa"/>
            <w:vMerge/>
            <w:shd w:val="clear" w:color="auto" w:fill="DBE5F1" w:themeFill="accent1" w:themeFillTint="33"/>
            <w:vAlign w:val="center"/>
          </w:tcPr>
          <w:p w14:paraId="0EA67626" w14:textId="77777777" w:rsidR="00975F26" w:rsidRPr="00ED0D6D" w:rsidRDefault="00975F26" w:rsidP="002A479B">
            <w:pPr>
              <w:jc w:val="center"/>
              <w:rPr>
                <w:b/>
                <w:bCs/>
                <w:sz w:val="20"/>
              </w:rPr>
            </w:pPr>
          </w:p>
        </w:tc>
        <w:tc>
          <w:tcPr>
            <w:tcW w:w="1530" w:type="dxa"/>
            <w:shd w:val="clear" w:color="auto" w:fill="DBE5F1" w:themeFill="accent1" w:themeFillTint="33"/>
            <w:vAlign w:val="center"/>
          </w:tcPr>
          <w:p w14:paraId="230F526B" w14:textId="77777777" w:rsidR="00975F26" w:rsidRPr="00ED0D6D" w:rsidRDefault="00975F26" w:rsidP="002A479B">
            <w:pPr>
              <w:jc w:val="center"/>
              <w:rPr>
                <w:b/>
                <w:bCs/>
                <w:sz w:val="20"/>
              </w:rPr>
            </w:pPr>
            <w:r w:rsidRPr="00ED0D6D">
              <w:rPr>
                <w:b/>
                <w:bCs/>
                <w:sz w:val="20"/>
              </w:rPr>
              <w:t xml:space="preserve">ES27 </w:t>
            </w:r>
            <w:r>
              <w:rPr>
                <w:b/>
                <w:bCs/>
                <w:sz w:val="20"/>
              </w:rPr>
              <w:t>vidurkis</w:t>
            </w:r>
          </w:p>
        </w:tc>
        <w:tc>
          <w:tcPr>
            <w:tcW w:w="1440" w:type="dxa"/>
            <w:shd w:val="clear" w:color="auto" w:fill="DBE5F1" w:themeFill="accent1" w:themeFillTint="33"/>
            <w:vAlign w:val="center"/>
          </w:tcPr>
          <w:p w14:paraId="1DD998B5" w14:textId="77777777" w:rsidR="00975F26" w:rsidRPr="00ED0D6D" w:rsidRDefault="00975F26" w:rsidP="002A479B">
            <w:pPr>
              <w:jc w:val="center"/>
              <w:rPr>
                <w:b/>
                <w:bCs/>
                <w:sz w:val="20"/>
              </w:rPr>
            </w:pPr>
            <w:r>
              <w:rPr>
                <w:b/>
                <w:bCs/>
                <w:sz w:val="20"/>
              </w:rPr>
              <w:t>Lietuva (</w:t>
            </w:r>
            <w:r w:rsidRPr="00ED0D6D">
              <w:rPr>
                <w:b/>
                <w:bCs/>
                <w:sz w:val="20"/>
              </w:rPr>
              <w:t>LT</w:t>
            </w:r>
            <w:r>
              <w:rPr>
                <w:b/>
                <w:bCs/>
                <w:sz w:val="20"/>
              </w:rPr>
              <w:t>)</w:t>
            </w:r>
          </w:p>
        </w:tc>
        <w:tc>
          <w:tcPr>
            <w:tcW w:w="1530" w:type="dxa"/>
            <w:shd w:val="clear" w:color="auto" w:fill="DBE5F1" w:themeFill="accent1" w:themeFillTint="33"/>
            <w:vAlign w:val="center"/>
          </w:tcPr>
          <w:p w14:paraId="3FC41652" w14:textId="77777777" w:rsidR="00975F26" w:rsidRPr="00ED0D6D" w:rsidRDefault="00975F26" w:rsidP="002A479B">
            <w:pPr>
              <w:jc w:val="center"/>
              <w:rPr>
                <w:b/>
                <w:bCs/>
                <w:sz w:val="20"/>
              </w:rPr>
            </w:pPr>
            <w:r w:rsidRPr="00ED0D6D">
              <w:rPr>
                <w:b/>
                <w:bCs/>
                <w:sz w:val="20"/>
              </w:rPr>
              <w:t>2009–2010</w:t>
            </w:r>
          </w:p>
        </w:tc>
        <w:tc>
          <w:tcPr>
            <w:tcW w:w="1350" w:type="dxa"/>
            <w:shd w:val="clear" w:color="auto" w:fill="DBE5F1" w:themeFill="accent1" w:themeFillTint="33"/>
            <w:vAlign w:val="center"/>
          </w:tcPr>
          <w:p w14:paraId="609914F7" w14:textId="77777777" w:rsidR="00975F26" w:rsidRPr="00ED0D6D" w:rsidRDefault="00975F26" w:rsidP="002A479B">
            <w:pPr>
              <w:jc w:val="center"/>
              <w:rPr>
                <w:b/>
                <w:bCs/>
                <w:sz w:val="20"/>
              </w:rPr>
            </w:pPr>
            <w:r w:rsidRPr="00ED0D6D">
              <w:rPr>
                <w:b/>
                <w:bCs/>
                <w:sz w:val="20"/>
              </w:rPr>
              <w:t>2019–2020</w:t>
            </w:r>
          </w:p>
        </w:tc>
        <w:tc>
          <w:tcPr>
            <w:tcW w:w="1350" w:type="dxa"/>
            <w:vMerge/>
            <w:shd w:val="clear" w:color="auto" w:fill="DBE5F1" w:themeFill="accent1" w:themeFillTint="33"/>
            <w:vAlign w:val="center"/>
          </w:tcPr>
          <w:p w14:paraId="6BC62504" w14:textId="77777777" w:rsidR="00975F26" w:rsidRPr="00ED0D6D" w:rsidRDefault="00975F26" w:rsidP="002A479B">
            <w:pPr>
              <w:jc w:val="center"/>
              <w:rPr>
                <w:b/>
                <w:bCs/>
                <w:sz w:val="20"/>
              </w:rPr>
            </w:pPr>
          </w:p>
        </w:tc>
        <w:tc>
          <w:tcPr>
            <w:tcW w:w="1260" w:type="dxa"/>
            <w:vMerge/>
            <w:shd w:val="clear" w:color="auto" w:fill="DBE5F1" w:themeFill="accent1" w:themeFillTint="33"/>
            <w:vAlign w:val="center"/>
          </w:tcPr>
          <w:p w14:paraId="2B86E9C3" w14:textId="77777777" w:rsidR="00975F26" w:rsidRPr="00ED0D6D" w:rsidRDefault="00975F26" w:rsidP="002A479B">
            <w:pPr>
              <w:jc w:val="center"/>
              <w:rPr>
                <w:b/>
                <w:bCs/>
                <w:sz w:val="20"/>
              </w:rPr>
            </w:pPr>
          </w:p>
        </w:tc>
        <w:tc>
          <w:tcPr>
            <w:tcW w:w="1350" w:type="dxa"/>
            <w:shd w:val="clear" w:color="auto" w:fill="DBE5F1" w:themeFill="accent1" w:themeFillTint="33"/>
            <w:vAlign w:val="center"/>
          </w:tcPr>
          <w:p w14:paraId="71C2B979" w14:textId="77777777" w:rsidR="00975F26" w:rsidRPr="00ED0D6D" w:rsidRDefault="00975F26" w:rsidP="002A479B">
            <w:pPr>
              <w:jc w:val="center"/>
              <w:rPr>
                <w:b/>
                <w:bCs/>
                <w:sz w:val="20"/>
              </w:rPr>
            </w:pPr>
            <w:r w:rsidRPr="00ED0D6D">
              <w:rPr>
                <w:b/>
                <w:bCs/>
                <w:sz w:val="20"/>
              </w:rPr>
              <w:t>2020</w:t>
            </w:r>
          </w:p>
        </w:tc>
        <w:tc>
          <w:tcPr>
            <w:tcW w:w="1530" w:type="dxa"/>
            <w:shd w:val="clear" w:color="auto" w:fill="DBE5F1" w:themeFill="accent1" w:themeFillTint="33"/>
            <w:vAlign w:val="center"/>
          </w:tcPr>
          <w:p w14:paraId="56525CC7" w14:textId="77777777" w:rsidR="00975F26" w:rsidRPr="00ED0D6D" w:rsidRDefault="00975F26" w:rsidP="002A479B">
            <w:pPr>
              <w:jc w:val="center"/>
              <w:rPr>
                <w:b/>
                <w:bCs/>
                <w:sz w:val="20"/>
              </w:rPr>
            </w:pPr>
            <w:r w:rsidRPr="00ED0D6D">
              <w:rPr>
                <w:b/>
                <w:bCs/>
                <w:sz w:val="20"/>
              </w:rPr>
              <w:t>2030</w:t>
            </w:r>
          </w:p>
        </w:tc>
      </w:tr>
      <w:tr w:rsidR="00975F26" w:rsidRPr="00ED0D6D" w14:paraId="005D0D88" w14:textId="77777777" w:rsidTr="002A479B">
        <w:trPr>
          <w:trHeight w:val="20"/>
          <w:jc w:val="center"/>
        </w:trPr>
        <w:tc>
          <w:tcPr>
            <w:tcW w:w="3865" w:type="dxa"/>
          </w:tcPr>
          <w:p w14:paraId="0A12069C" w14:textId="77777777" w:rsidR="00975F26" w:rsidRPr="00ED0D6D" w:rsidRDefault="00975F26" w:rsidP="002A479B">
            <w:pPr>
              <w:rPr>
                <w:b/>
                <w:bCs/>
                <w:sz w:val="20"/>
              </w:rPr>
            </w:pPr>
            <w:r w:rsidRPr="00ED0D6D">
              <w:rPr>
                <w:b/>
                <w:bCs/>
                <w:sz w:val="20"/>
              </w:rPr>
              <w:t>Visuomenės dalis, mananti, kad vaizduotė yra viena iš svarbiausių savybių, kurią vaikas turi įgyti namuose</w:t>
            </w:r>
          </w:p>
          <w:p w14:paraId="70944A63" w14:textId="77777777" w:rsidR="00975F26" w:rsidRPr="00ED0D6D" w:rsidRDefault="00975F26" w:rsidP="002A479B">
            <w:pPr>
              <w:rPr>
                <w:b/>
                <w:bCs/>
                <w:sz w:val="20"/>
              </w:rPr>
            </w:pPr>
            <w:r w:rsidRPr="00ED0D6D">
              <w:rPr>
                <w:sz w:val="20"/>
              </w:rPr>
              <w:t>Europos vertybių tyrimas, 2008</w:t>
            </w:r>
          </w:p>
        </w:tc>
        <w:tc>
          <w:tcPr>
            <w:tcW w:w="1530" w:type="dxa"/>
            <w:shd w:val="clear" w:color="auto" w:fill="F2F2F2" w:themeFill="background1" w:themeFillShade="F2"/>
          </w:tcPr>
          <w:p w14:paraId="03F6AF41" w14:textId="77777777" w:rsidR="00975F26" w:rsidRPr="00ED0D6D" w:rsidRDefault="00975F26" w:rsidP="002A479B">
            <w:pPr>
              <w:jc w:val="center"/>
              <w:rPr>
                <w:bCs/>
                <w:sz w:val="20"/>
              </w:rPr>
            </w:pPr>
            <w:r w:rsidRPr="00ED0D6D">
              <w:rPr>
                <w:bCs/>
                <w:sz w:val="20"/>
              </w:rPr>
              <w:t>21 proc.</w:t>
            </w:r>
          </w:p>
        </w:tc>
        <w:tc>
          <w:tcPr>
            <w:tcW w:w="1440" w:type="dxa"/>
            <w:shd w:val="clear" w:color="auto" w:fill="F2F2F2" w:themeFill="background1" w:themeFillShade="F2"/>
          </w:tcPr>
          <w:p w14:paraId="29AE0AAF" w14:textId="77777777" w:rsidR="00975F26" w:rsidRPr="00ED0D6D" w:rsidRDefault="00975F26" w:rsidP="002A479B">
            <w:pPr>
              <w:jc w:val="center"/>
              <w:rPr>
                <w:bCs/>
                <w:sz w:val="20"/>
              </w:rPr>
            </w:pPr>
            <w:r w:rsidRPr="00ED0D6D">
              <w:rPr>
                <w:bCs/>
                <w:sz w:val="20"/>
              </w:rPr>
              <w:t>6 proc.</w:t>
            </w:r>
          </w:p>
        </w:tc>
        <w:tc>
          <w:tcPr>
            <w:tcW w:w="1530" w:type="dxa"/>
            <w:shd w:val="clear" w:color="auto" w:fill="F2F2F2" w:themeFill="background1" w:themeFillShade="F2"/>
          </w:tcPr>
          <w:p w14:paraId="14DCACA6" w14:textId="77777777" w:rsidR="00975F26" w:rsidRPr="00ED0D6D" w:rsidRDefault="00975F26" w:rsidP="002A479B">
            <w:pPr>
              <w:jc w:val="center"/>
              <w:rPr>
                <w:bCs/>
                <w:sz w:val="20"/>
              </w:rPr>
            </w:pPr>
            <w:r w:rsidRPr="00ED0D6D">
              <w:rPr>
                <w:bCs/>
                <w:sz w:val="20"/>
              </w:rPr>
              <w:t>6 proc.</w:t>
            </w:r>
          </w:p>
        </w:tc>
        <w:tc>
          <w:tcPr>
            <w:tcW w:w="1350" w:type="dxa"/>
            <w:shd w:val="clear" w:color="auto" w:fill="FFFFFF" w:themeFill="background1"/>
          </w:tcPr>
          <w:p w14:paraId="70D8244F" w14:textId="77777777" w:rsidR="00975F26" w:rsidRPr="00ED0D6D" w:rsidRDefault="00975F26" w:rsidP="002A479B">
            <w:pPr>
              <w:jc w:val="center"/>
              <w:rPr>
                <w:bCs/>
                <w:sz w:val="20"/>
              </w:rPr>
            </w:pPr>
          </w:p>
        </w:tc>
        <w:tc>
          <w:tcPr>
            <w:tcW w:w="1350" w:type="dxa"/>
            <w:shd w:val="clear" w:color="auto" w:fill="F2F2F2" w:themeFill="background1" w:themeFillShade="F2"/>
          </w:tcPr>
          <w:p w14:paraId="2EF5D9E5" w14:textId="77777777" w:rsidR="00975F26" w:rsidRPr="00F46DD0" w:rsidRDefault="00975F26" w:rsidP="002A479B">
            <w:pPr>
              <w:jc w:val="center"/>
              <w:rPr>
                <w:bCs/>
                <w:i/>
                <w:iCs/>
                <w:sz w:val="20"/>
              </w:rPr>
            </w:pPr>
            <w:r>
              <w:rPr>
                <w:bCs/>
                <w:i/>
                <w:iCs/>
                <w:sz w:val="20"/>
              </w:rPr>
              <w:t>nėra apskaičiuota</w:t>
            </w:r>
          </w:p>
        </w:tc>
        <w:tc>
          <w:tcPr>
            <w:tcW w:w="1260" w:type="dxa"/>
            <w:shd w:val="clear" w:color="auto" w:fill="auto"/>
          </w:tcPr>
          <w:p w14:paraId="28B4EEF3" w14:textId="77777777" w:rsidR="00975F26" w:rsidRPr="00F46DD0" w:rsidRDefault="00975F26" w:rsidP="002A479B">
            <w:pPr>
              <w:jc w:val="center"/>
              <w:rPr>
                <w:b/>
                <w:bCs/>
                <w:i/>
                <w:iCs/>
                <w:sz w:val="20"/>
              </w:rPr>
            </w:pPr>
            <w:r>
              <w:rPr>
                <w:b/>
                <w:bCs/>
                <w:i/>
                <w:iCs/>
                <w:sz w:val="20"/>
              </w:rPr>
              <w:t>nėra apskaičiuota</w:t>
            </w:r>
          </w:p>
        </w:tc>
        <w:tc>
          <w:tcPr>
            <w:tcW w:w="1350" w:type="dxa"/>
            <w:shd w:val="clear" w:color="auto" w:fill="FFFFFF" w:themeFill="background1"/>
          </w:tcPr>
          <w:p w14:paraId="403FA211" w14:textId="77777777" w:rsidR="00975F26" w:rsidRPr="00ED0D6D" w:rsidRDefault="00975F26" w:rsidP="002A479B">
            <w:pPr>
              <w:jc w:val="center"/>
              <w:rPr>
                <w:bCs/>
                <w:sz w:val="20"/>
              </w:rPr>
            </w:pPr>
            <w:r w:rsidRPr="00ED0D6D">
              <w:rPr>
                <w:bCs/>
                <w:sz w:val="20"/>
              </w:rPr>
              <w:t>20 proc.</w:t>
            </w:r>
          </w:p>
        </w:tc>
        <w:tc>
          <w:tcPr>
            <w:tcW w:w="1530" w:type="dxa"/>
            <w:shd w:val="clear" w:color="auto" w:fill="FFFFFF" w:themeFill="background1"/>
          </w:tcPr>
          <w:p w14:paraId="64392C15" w14:textId="77777777" w:rsidR="00975F26" w:rsidRPr="00ED0D6D" w:rsidRDefault="00975F26" w:rsidP="002A479B">
            <w:pPr>
              <w:jc w:val="center"/>
              <w:rPr>
                <w:bCs/>
                <w:sz w:val="20"/>
              </w:rPr>
            </w:pPr>
            <w:r w:rsidRPr="00ED0D6D">
              <w:rPr>
                <w:bCs/>
                <w:sz w:val="20"/>
              </w:rPr>
              <w:t>30 proc.</w:t>
            </w:r>
          </w:p>
        </w:tc>
      </w:tr>
      <w:tr w:rsidR="00975F26" w:rsidRPr="00ED0D6D" w14:paraId="1D9D0B28" w14:textId="77777777" w:rsidTr="002A479B">
        <w:trPr>
          <w:trHeight w:val="20"/>
          <w:jc w:val="center"/>
        </w:trPr>
        <w:tc>
          <w:tcPr>
            <w:tcW w:w="3865" w:type="dxa"/>
            <w:shd w:val="clear" w:color="auto" w:fill="auto"/>
          </w:tcPr>
          <w:p w14:paraId="0CDCBD1A" w14:textId="77777777" w:rsidR="00975F26" w:rsidRPr="004E0F47" w:rsidRDefault="00975F26" w:rsidP="002A479B">
            <w:pPr>
              <w:rPr>
                <w:b/>
                <w:bCs/>
                <w:sz w:val="20"/>
              </w:rPr>
            </w:pPr>
            <w:r w:rsidRPr="004E0F47">
              <w:rPr>
                <w:b/>
                <w:bCs/>
                <w:sz w:val="20"/>
              </w:rPr>
              <w:t>Mokinių, atitinkančių bent 3 (iš 6) mokymosi pasiekimų lygį, dalis</w:t>
            </w:r>
          </w:p>
          <w:p w14:paraId="0B4F45BF" w14:textId="77777777" w:rsidR="00975F26" w:rsidRPr="004E0F47" w:rsidRDefault="00975F26" w:rsidP="002A479B">
            <w:pPr>
              <w:rPr>
                <w:bCs/>
                <w:sz w:val="20"/>
              </w:rPr>
            </w:pPr>
            <w:r w:rsidRPr="004E0F47">
              <w:rPr>
                <w:bCs/>
                <w:sz w:val="20"/>
              </w:rPr>
              <w:t>Tarptautinis penkiolikmečių tyrimas (PISA), OECD</w:t>
            </w:r>
            <w:r>
              <w:rPr>
                <w:bCs/>
                <w:sz w:val="20"/>
              </w:rPr>
              <w:t>,</w:t>
            </w:r>
            <w:r w:rsidRPr="004E0F47">
              <w:rPr>
                <w:bCs/>
                <w:sz w:val="20"/>
              </w:rPr>
              <w:t xml:space="preserve"> 2009</w:t>
            </w:r>
          </w:p>
        </w:tc>
        <w:tc>
          <w:tcPr>
            <w:tcW w:w="1530" w:type="dxa"/>
            <w:tcBorders>
              <w:top w:val="nil"/>
              <w:left w:val="nil"/>
              <w:bottom w:val="single" w:sz="8" w:space="0" w:color="auto"/>
              <w:right w:val="single" w:sz="8" w:space="0" w:color="auto"/>
            </w:tcBorders>
            <w:shd w:val="clear" w:color="auto" w:fill="F2F2F2" w:themeFill="background1" w:themeFillShade="F2"/>
          </w:tcPr>
          <w:p w14:paraId="7B33742F" w14:textId="77777777" w:rsidR="00975F26" w:rsidRPr="004E0F47" w:rsidRDefault="00975F26" w:rsidP="002A479B">
            <w:pPr>
              <w:pStyle w:val="xmsonormal"/>
              <w:jc w:val="center"/>
              <w:rPr>
                <w:rFonts w:ascii="Times New Roman" w:hAnsi="Times New Roman" w:cs="Times New Roman"/>
              </w:rPr>
            </w:pPr>
            <w:r>
              <w:rPr>
                <w:rFonts w:ascii="Times New Roman" w:hAnsi="Times New Roman" w:cs="Times New Roman"/>
                <w:sz w:val="20"/>
                <w:szCs w:val="20"/>
              </w:rPr>
              <w:t>s</w:t>
            </w:r>
            <w:r w:rsidRPr="004E0F47">
              <w:rPr>
                <w:rFonts w:ascii="Times New Roman" w:hAnsi="Times New Roman" w:cs="Times New Roman"/>
                <w:sz w:val="20"/>
                <w:szCs w:val="20"/>
              </w:rPr>
              <w:t xml:space="preserve">kaitymo gebėjimai – 54,5 proc.; </w:t>
            </w:r>
          </w:p>
          <w:p w14:paraId="7FFD2EC7" w14:textId="77777777" w:rsidR="00975F26" w:rsidRPr="004E0F47" w:rsidRDefault="00975F26" w:rsidP="002A479B">
            <w:pPr>
              <w:pStyle w:val="xmsonormal"/>
              <w:jc w:val="center"/>
              <w:rPr>
                <w:rFonts w:ascii="Times New Roman" w:hAnsi="Times New Roman" w:cs="Times New Roman"/>
              </w:rPr>
            </w:pPr>
            <w:r>
              <w:rPr>
                <w:rFonts w:ascii="Times New Roman" w:hAnsi="Times New Roman" w:cs="Times New Roman"/>
                <w:sz w:val="20"/>
                <w:szCs w:val="20"/>
              </w:rPr>
              <w:t>m</w:t>
            </w:r>
            <w:r w:rsidRPr="004E0F47">
              <w:rPr>
                <w:rFonts w:ascii="Times New Roman" w:hAnsi="Times New Roman" w:cs="Times New Roman"/>
                <w:sz w:val="20"/>
                <w:szCs w:val="20"/>
              </w:rPr>
              <w:t xml:space="preserve">atematinis raštingumas – 54,1 proc.; </w:t>
            </w:r>
          </w:p>
          <w:p w14:paraId="2EF87D68" w14:textId="77777777" w:rsidR="00975F26" w:rsidRPr="004E0F47" w:rsidRDefault="00975F26" w:rsidP="002A479B">
            <w:pPr>
              <w:jc w:val="center"/>
              <w:rPr>
                <w:bCs/>
                <w:sz w:val="20"/>
              </w:rPr>
            </w:pPr>
            <w:r w:rsidRPr="004E0F47">
              <w:rPr>
                <w:sz w:val="20"/>
              </w:rPr>
              <w:t>gamtamokslinis raštingumas – 56,5 proc.</w:t>
            </w:r>
          </w:p>
        </w:tc>
        <w:tc>
          <w:tcPr>
            <w:tcW w:w="1440" w:type="dxa"/>
            <w:tcBorders>
              <w:top w:val="nil"/>
              <w:left w:val="nil"/>
              <w:bottom w:val="single" w:sz="8" w:space="0" w:color="auto"/>
              <w:right w:val="single" w:sz="8" w:space="0" w:color="auto"/>
            </w:tcBorders>
            <w:shd w:val="clear" w:color="auto" w:fill="F2F2F2" w:themeFill="background1" w:themeFillShade="F2"/>
          </w:tcPr>
          <w:p w14:paraId="0DEFD507" w14:textId="77777777" w:rsidR="00975F26" w:rsidRPr="004E0F47" w:rsidRDefault="00975F26" w:rsidP="002A479B">
            <w:pPr>
              <w:pStyle w:val="xmsonormal"/>
              <w:jc w:val="center"/>
              <w:rPr>
                <w:rFonts w:ascii="Times New Roman" w:hAnsi="Times New Roman" w:cs="Times New Roman"/>
              </w:rPr>
            </w:pPr>
            <w:r>
              <w:rPr>
                <w:rFonts w:ascii="Times New Roman" w:hAnsi="Times New Roman" w:cs="Times New Roman"/>
                <w:sz w:val="20"/>
                <w:szCs w:val="20"/>
              </w:rPr>
              <w:t>s</w:t>
            </w:r>
            <w:r w:rsidRPr="004E0F47">
              <w:rPr>
                <w:rFonts w:ascii="Times New Roman" w:hAnsi="Times New Roman" w:cs="Times New Roman"/>
                <w:sz w:val="20"/>
                <w:szCs w:val="20"/>
              </w:rPr>
              <w:t xml:space="preserve">kaitymo gebėjimai – 45,6 proc.; </w:t>
            </w:r>
          </w:p>
          <w:p w14:paraId="44CC23A4" w14:textId="77777777" w:rsidR="00975F26" w:rsidRPr="004E0F47" w:rsidRDefault="00975F26" w:rsidP="002A479B">
            <w:pPr>
              <w:pStyle w:val="xmsonormal"/>
              <w:jc w:val="center"/>
              <w:rPr>
                <w:rFonts w:ascii="Times New Roman" w:hAnsi="Times New Roman" w:cs="Times New Roman"/>
              </w:rPr>
            </w:pPr>
            <w:r w:rsidRPr="004E0F47">
              <w:rPr>
                <w:rFonts w:ascii="Times New Roman" w:hAnsi="Times New Roman" w:cs="Times New Roman"/>
                <w:sz w:val="20"/>
                <w:szCs w:val="20"/>
              </w:rPr>
              <w:t xml:space="preserve">matematinis raštingumas – 47,7 proc.; </w:t>
            </w:r>
          </w:p>
          <w:p w14:paraId="668029F6" w14:textId="77777777" w:rsidR="00975F26" w:rsidRPr="004E0F47" w:rsidRDefault="00975F26" w:rsidP="002A479B">
            <w:pPr>
              <w:jc w:val="center"/>
              <w:rPr>
                <w:bCs/>
                <w:sz w:val="20"/>
              </w:rPr>
            </w:pPr>
            <w:r w:rsidRPr="004E0F47">
              <w:rPr>
                <w:sz w:val="20"/>
              </w:rPr>
              <w:t>gamtamokslinis raštingumas –</w:t>
            </w:r>
            <w:r>
              <w:rPr>
                <w:sz w:val="20"/>
              </w:rPr>
              <w:t xml:space="preserve"> </w:t>
            </w:r>
            <w:r w:rsidRPr="004E0F47">
              <w:rPr>
                <w:sz w:val="20"/>
              </w:rPr>
              <w:t>54,1 proc.</w:t>
            </w:r>
          </w:p>
        </w:tc>
        <w:tc>
          <w:tcPr>
            <w:tcW w:w="1530" w:type="dxa"/>
            <w:tcBorders>
              <w:top w:val="nil"/>
              <w:left w:val="nil"/>
              <w:bottom w:val="single" w:sz="8" w:space="0" w:color="auto"/>
              <w:right w:val="single" w:sz="8" w:space="0" w:color="auto"/>
            </w:tcBorders>
            <w:shd w:val="clear" w:color="auto" w:fill="F2F2F2" w:themeFill="background1" w:themeFillShade="F2"/>
          </w:tcPr>
          <w:p w14:paraId="5DD6A4F9" w14:textId="77777777" w:rsidR="00975F26" w:rsidRPr="004E0F47" w:rsidRDefault="00975F26" w:rsidP="002A479B">
            <w:pPr>
              <w:pStyle w:val="xmsonormal"/>
              <w:jc w:val="center"/>
              <w:rPr>
                <w:rFonts w:ascii="Times New Roman" w:hAnsi="Times New Roman" w:cs="Times New Roman"/>
              </w:rPr>
            </w:pPr>
            <w:r>
              <w:rPr>
                <w:rFonts w:ascii="Times New Roman" w:hAnsi="Times New Roman" w:cs="Times New Roman"/>
                <w:sz w:val="20"/>
                <w:szCs w:val="20"/>
              </w:rPr>
              <w:t>s</w:t>
            </w:r>
            <w:r w:rsidRPr="004E0F47">
              <w:rPr>
                <w:rFonts w:ascii="Times New Roman" w:hAnsi="Times New Roman" w:cs="Times New Roman"/>
                <w:sz w:val="20"/>
                <w:szCs w:val="20"/>
              </w:rPr>
              <w:t xml:space="preserve">kaitymo gebėjimai </w:t>
            </w:r>
          </w:p>
          <w:p w14:paraId="0E83BFCC" w14:textId="77777777" w:rsidR="00975F26" w:rsidRPr="004E0F47" w:rsidRDefault="00975F26" w:rsidP="002A479B">
            <w:pPr>
              <w:pStyle w:val="xmsonormal"/>
              <w:jc w:val="center"/>
              <w:rPr>
                <w:rFonts w:ascii="Times New Roman" w:hAnsi="Times New Roman" w:cs="Times New Roman"/>
              </w:rPr>
            </w:pPr>
            <w:r w:rsidRPr="004E0F47">
              <w:rPr>
                <w:rFonts w:ascii="Times New Roman" w:hAnsi="Times New Roman" w:cs="Times New Roman"/>
                <w:sz w:val="20"/>
                <w:szCs w:val="20"/>
              </w:rPr>
              <w:t xml:space="preserve">– 23 vieta ES; </w:t>
            </w:r>
          </w:p>
          <w:p w14:paraId="6F61B8B1" w14:textId="77777777" w:rsidR="00975F26" w:rsidRPr="004E0F47" w:rsidRDefault="00975F26" w:rsidP="002A479B">
            <w:pPr>
              <w:pStyle w:val="xmsonormal"/>
              <w:jc w:val="center"/>
              <w:rPr>
                <w:rFonts w:ascii="Times New Roman" w:hAnsi="Times New Roman" w:cs="Times New Roman"/>
              </w:rPr>
            </w:pPr>
            <w:r w:rsidRPr="004E0F47">
              <w:rPr>
                <w:rFonts w:ascii="Times New Roman" w:hAnsi="Times New Roman" w:cs="Times New Roman"/>
                <w:sz w:val="20"/>
                <w:szCs w:val="20"/>
              </w:rPr>
              <w:t xml:space="preserve">matematinis raštingumas – 22 vieta ES; </w:t>
            </w:r>
          </w:p>
          <w:p w14:paraId="12F7585D" w14:textId="77777777" w:rsidR="00975F26" w:rsidRPr="004E0F47" w:rsidRDefault="00975F26" w:rsidP="002A479B">
            <w:pPr>
              <w:jc w:val="center"/>
              <w:rPr>
                <w:bCs/>
                <w:spacing w:val="-6"/>
                <w:sz w:val="20"/>
              </w:rPr>
            </w:pPr>
            <w:r w:rsidRPr="004E0F47">
              <w:rPr>
                <w:sz w:val="20"/>
              </w:rPr>
              <w:t xml:space="preserve">gamtamokslinis raštingumas – 18 vieta ES </w:t>
            </w:r>
          </w:p>
        </w:tc>
        <w:tc>
          <w:tcPr>
            <w:tcW w:w="1350" w:type="dxa"/>
            <w:shd w:val="clear" w:color="auto" w:fill="auto"/>
          </w:tcPr>
          <w:p w14:paraId="36059737" w14:textId="77777777" w:rsidR="00975F26" w:rsidRPr="004E0F47" w:rsidRDefault="00975F26" w:rsidP="002A479B">
            <w:pPr>
              <w:jc w:val="center"/>
              <w:rPr>
                <w:b/>
                <w:sz w:val="20"/>
              </w:rPr>
            </w:pPr>
            <w:r w:rsidRPr="004E0F47">
              <w:rPr>
                <w:b/>
                <w:sz w:val="20"/>
              </w:rPr>
              <w:t>skaitymo gebėjimai</w:t>
            </w:r>
          </w:p>
          <w:p w14:paraId="0F86F200" w14:textId="77777777" w:rsidR="00975F26" w:rsidRPr="004E0F47" w:rsidRDefault="00975F26" w:rsidP="002A479B">
            <w:pPr>
              <w:jc w:val="center"/>
              <w:rPr>
                <w:b/>
                <w:sz w:val="20"/>
              </w:rPr>
            </w:pPr>
            <w:r w:rsidRPr="004E0F47">
              <w:rPr>
                <w:b/>
                <w:sz w:val="20"/>
              </w:rPr>
              <w:t xml:space="preserve">–  19 vieta ES (49,5 proc.); </w:t>
            </w:r>
          </w:p>
          <w:p w14:paraId="46FE9562" w14:textId="77777777" w:rsidR="00975F26" w:rsidRPr="004E0F47" w:rsidRDefault="00975F26" w:rsidP="002A479B">
            <w:pPr>
              <w:jc w:val="center"/>
              <w:rPr>
                <w:b/>
                <w:sz w:val="20"/>
              </w:rPr>
            </w:pPr>
            <w:r w:rsidRPr="004E0F47">
              <w:rPr>
                <w:b/>
                <w:sz w:val="20"/>
              </w:rPr>
              <w:t>matematinis raštingumas</w:t>
            </w:r>
          </w:p>
          <w:p w14:paraId="2FB5B0F6" w14:textId="77777777" w:rsidR="00975F26" w:rsidRPr="004E0F47" w:rsidRDefault="00975F26" w:rsidP="002A479B">
            <w:pPr>
              <w:jc w:val="center"/>
              <w:rPr>
                <w:b/>
                <w:sz w:val="20"/>
              </w:rPr>
            </w:pPr>
            <w:r w:rsidRPr="004E0F47">
              <w:rPr>
                <w:b/>
                <w:sz w:val="20"/>
              </w:rPr>
              <w:t xml:space="preserve">– 21 vieta ES (50,2 proc.); </w:t>
            </w:r>
          </w:p>
          <w:p w14:paraId="68529778" w14:textId="77777777" w:rsidR="00975F26" w:rsidRPr="004E0F47" w:rsidRDefault="00975F26" w:rsidP="002A479B">
            <w:pPr>
              <w:jc w:val="center"/>
              <w:rPr>
                <w:b/>
                <w:sz w:val="20"/>
              </w:rPr>
            </w:pPr>
            <w:r w:rsidRPr="004E0F47">
              <w:rPr>
                <w:b/>
                <w:sz w:val="20"/>
              </w:rPr>
              <w:t xml:space="preserve">gamtamokslinis raštingumas </w:t>
            </w:r>
          </w:p>
          <w:p w14:paraId="4389C916" w14:textId="77777777" w:rsidR="00975F26" w:rsidRPr="004E0F47" w:rsidRDefault="00975F26" w:rsidP="002A479B">
            <w:pPr>
              <w:jc w:val="center"/>
              <w:rPr>
                <w:bCs/>
                <w:sz w:val="20"/>
              </w:rPr>
            </w:pPr>
            <w:r w:rsidRPr="004E0F47">
              <w:rPr>
                <w:b/>
                <w:sz w:val="20"/>
              </w:rPr>
              <w:t>– 19 vieta ES (49,5 proc.)</w:t>
            </w:r>
          </w:p>
        </w:tc>
        <w:tc>
          <w:tcPr>
            <w:tcW w:w="1350" w:type="dxa"/>
            <w:shd w:val="clear" w:color="auto" w:fill="F2F2F2" w:themeFill="background1" w:themeFillShade="F2"/>
          </w:tcPr>
          <w:p w14:paraId="17F41973" w14:textId="77777777" w:rsidR="00975F26" w:rsidRPr="004E0F47" w:rsidRDefault="00975F26" w:rsidP="002A479B">
            <w:pPr>
              <w:pStyle w:val="xmsonormal"/>
              <w:jc w:val="center"/>
              <w:rPr>
                <w:rFonts w:ascii="Times New Roman" w:hAnsi="Times New Roman" w:cs="Times New Roman"/>
              </w:rPr>
            </w:pPr>
            <w:r w:rsidRPr="004E0F47">
              <w:rPr>
                <w:rFonts w:ascii="Times New Roman" w:hAnsi="Times New Roman" w:cs="Times New Roman"/>
                <w:sz w:val="20"/>
                <w:szCs w:val="20"/>
                <w:shd w:val="clear" w:color="auto" w:fill="F2F2F2"/>
              </w:rPr>
              <w:t>skaitymo gebėjimai +4</w:t>
            </w:r>
            <w:r>
              <w:rPr>
                <w:rFonts w:ascii="Times New Roman" w:hAnsi="Times New Roman" w:cs="Times New Roman"/>
                <w:sz w:val="20"/>
                <w:szCs w:val="20"/>
                <w:shd w:val="clear" w:color="auto" w:fill="F2F2F2"/>
              </w:rPr>
              <w:t>;</w:t>
            </w:r>
            <w:r w:rsidRPr="004E0F47">
              <w:rPr>
                <w:rFonts w:ascii="Times New Roman" w:hAnsi="Times New Roman" w:cs="Times New Roman"/>
                <w:sz w:val="20"/>
                <w:szCs w:val="20"/>
              </w:rPr>
              <w:t xml:space="preserve"> </w:t>
            </w:r>
          </w:p>
          <w:p w14:paraId="0A811D0F" w14:textId="77777777" w:rsidR="00975F26" w:rsidRPr="004E0F47" w:rsidRDefault="00975F26" w:rsidP="002A479B">
            <w:pPr>
              <w:pStyle w:val="xmsonormal"/>
              <w:jc w:val="center"/>
              <w:rPr>
                <w:rFonts w:ascii="Times New Roman" w:hAnsi="Times New Roman" w:cs="Times New Roman"/>
              </w:rPr>
            </w:pPr>
            <w:r w:rsidRPr="004E0F47">
              <w:rPr>
                <w:rFonts w:ascii="Times New Roman" w:hAnsi="Times New Roman" w:cs="Times New Roman"/>
                <w:sz w:val="20"/>
                <w:szCs w:val="20"/>
                <w:shd w:val="clear" w:color="auto" w:fill="F2F2F2"/>
              </w:rPr>
              <w:t>matematinis raštingumas +1</w:t>
            </w:r>
            <w:r>
              <w:rPr>
                <w:rFonts w:ascii="Times New Roman" w:hAnsi="Times New Roman" w:cs="Times New Roman"/>
                <w:sz w:val="20"/>
                <w:szCs w:val="20"/>
                <w:shd w:val="clear" w:color="auto" w:fill="F2F2F2"/>
              </w:rPr>
              <w:t>;</w:t>
            </w:r>
          </w:p>
          <w:p w14:paraId="1644787B" w14:textId="77777777" w:rsidR="00975F26" w:rsidRPr="004E0F47" w:rsidRDefault="00975F26" w:rsidP="002A479B">
            <w:pPr>
              <w:jc w:val="center"/>
              <w:rPr>
                <w:bCs/>
                <w:sz w:val="20"/>
              </w:rPr>
            </w:pPr>
            <w:r w:rsidRPr="004E0F47">
              <w:rPr>
                <w:sz w:val="20"/>
                <w:shd w:val="clear" w:color="auto" w:fill="F2F2F2"/>
              </w:rPr>
              <w:t>gamtamokslinis raštingumas   -1</w:t>
            </w:r>
          </w:p>
        </w:tc>
        <w:tc>
          <w:tcPr>
            <w:tcW w:w="1260" w:type="dxa"/>
            <w:shd w:val="clear" w:color="auto" w:fill="auto"/>
          </w:tcPr>
          <w:p w14:paraId="5BCECAB8" w14:textId="77777777" w:rsidR="00975F26" w:rsidRPr="004E0F47" w:rsidRDefault="00975F26" w:rsidP="002A479B">
            <w:pPr>
              <w:jc w:val="center"/>
              <w:rPr>
                <w:b/>
                <w:bCs/>
                <w:sz w:val="20"/>
              </w:rPr>
            </w:pPr>
            <w:r>
              <w:rPr>
                <w:b/>
                <w:bCs/>
                <w:sz w:val="20"/>
              </w:rPr>
              <w:t>v</w:t>
            </w:r>
            <w:r w:rsidRPr="004E0F47">
              <w:rPr>
                <w:b/>
                <w:bCs/>
                <w:sz w:val="20"/>
              </w:rPr>
              <w:t>idutinė</w:t>
            </w:r>
          </w:p>
        </w:tc>
        <w:tc>
          <w:tcPr>
            <w:tcW w:w="1350" w:type="dxa"/>
            <w:shd w:val="clear" w:color="auto" w:fill="auto"/>
          </w:tcPr>
          <w:p w14:paraId="2743CBFD" w14:textId="77777777" w:rsidR="00975F26" w:rsidRPr="004E0F47" w:rsidRDefault="00975F26" w:rsidP="002A479B">
            <w:pPr>
              <w:jc w:val="center"/>
              <w:rPr>
                <w:bCs/>
                <w:sz w:val="20"/>
              </w:rPr>
            </w:pPr>
            <w:r w:rsidRPr="004E0F47">
              <w:rPr>
                <w:bCs/>
                <w:sz w:val="20"/>
              </w:rPr>
              <w:t>bent 50 proc.</w:t>
            </w:r>
          </w:p>
          <w:p w14:paraId="6EF565E6" w14:textId="77777777" w:rsidR="00975F26" w:rsidRPr="004E0F47" w:rsidRDefault="00975F26" w:rsidP="002A479B">
            <w:pPr>
              <w:jc w:val="center"/>
              <w:rPr>
                <w:bCs/>
                <w:sz w:val="20"/>
              </w:rPr>
            </w:pPr>
            <w:r w:rsidRPr="004E0F47">
              <w:rPr>
                <w:bCs/>
                <w:sz w:val="20"/>
              </w:rPr>
              <w:t xml:space="preserve">visoms sritims </w:t>
            </w:r>
          </w:p>
        </w:tc>
        <w:tc>
          <w:tcPr>
            <w:tcW w:w="1530" w:type="dxa"/>
            <w:shd w:val="clear" w:color="auto" w:fill="auto"/>
          </w:tcPr>
          <w:p w14:paraId="57532336" w14:textId="77777777" w:rsidR="00975F26" w:rsidRPr="004E0F47" w:rsidRDefault="00975F26" w:rsidP="002A479B">
            <w:pPr>
              <w:jc w:val="center"/>
              <w:rPr>
                <w:bCs/>
                <w:sz w:val="20"/>
              </w:rPr>
            </w:pPr>
            <w:r w:rsidRPr="004E0F47">
              <w:rPr>
                <w:bCs/>
                <w:sz w:val="20"/>
              </w:rPr>
              <w:t xml:space="preserve">bent 55 proc. </w:t>
            </w:r>
          </w:p>
          <w:p w14:paraId="2B7AB5CC" w14:textId="77777777" w:rsidR="00975F26" w:rsidRPr="004E0F47" w:rsidRDefault="00975F26" w:rsidP="002A479B">
            <w:pPr>
              <w:jc w:val="center"/>
              <w:rPr>
                <w:bCs/>
                <w:sz w:val="20"/>
              </w:rPr>
            </w:pPr>
            <w:r w:rsidRPr="004E0F47">
              <w:rPr>
                <w:bCs/>
                <w:sz w:val="20"/>
              </w:rPr>
              <w:t>visoms sritims</w:t>
            </w:r>
          </w:p>
        </w:tc>
      </w:tr>
      <w:bookmarkEnd w:id="35"/>
      <w:tr w:rsidR="00975F26" w:rsidRPr="00ED0D6D" w14:paraId="08EAE37B" w14:textId="77777777" w:rsidTr="002A479B">
        <w:trPr>
          <w:trHeight w:val="20"/>
          <w:jc w:val="center"/>
        </w:trPr>
        <w:tc>
          <w:tcPr>
            <w:tcW w:w="3865" w:type="dxa"/>
          </w:tcPr>
          <w:p w14:paraId="2CC1D247" w14:textId="77777777" w:rsidR="00975F26" w:rsidRPr="00ED0D6D" w:rsidRDefault="00975F26" w:rsidP="002A479B">
            <w:pPr>
              <w:rPr>
                <w:b/>
                <w:bCs/>
                <w:sz w:val="20"/>
              </w:rPr>
            </w:pPr>
            <w:r w:rsidRPr="00ED0D6D">
              <w:rPr>
                <w:b/>
                <w:bCs/>
                <w:sz w:val="20"/>
              </w:rPr>
              <w:t>Aukštųjų mokyklų reitingai</w:t>
            </w:r>
          </w:p>
          <w:p w14:paraId="22ACB1FB" w14:textId="77777777" w:rsidR="00975F26" w:rsidRPr="00ED0D6D" w:rsidRDefault="00975F26" w:rsidP="002A479B">
            <w:pPr>
              <w:rPr>
                <w:bCs/>
                <w:sz w:val="20"/>
                <w:highlight w:val="yellow"/>
              </w:rPr>
            </w:pPr>
            <w:r w:rsidRPr="00ED0D6D">
              <w:rPr>
                <w:bCs/>
                <w:sz w:val="20"/>
              </w:rPr>
              <w:t>Akademinis pasaulio universitetų reitingas (ARWU)</w:t>
            </w:r>
          </w:p>
        </w:tc>
        <w:tc>
          <w:tcPr>
            <w:tcW w:w="1530" w:type="dxa"/>
            <w:shd w:val="clear" w:color="auto" w:fill="F2F2F2" w:themeFill="background1" w:themeFillShade="F2"/>
          </w:tcPr>
          <w:p w14:paraId="5634A8E6" w14:textId="77777777" w:rsidR="00975F26" w:rsidRPr="00ED0D6D" w:rsidRDefault="00975F26" w:rsidP="002A479B">
            <w:pPr>
              <w:jc w:val="center"/>
              <w:rPr>
                <w:bCs/>
                <w:sz w:val="20"/>
                <w:highlight w:val="yellow"/>
              </w:rPr>
            </w:pPr>
            <w:r w:rsidRPr="00ED0D6D">
              <w:rPr>
                <w:bCs/>
                <w:sz w:val="20"/>
              </w:rPr>
              <w:t>–</w:t>
            </w:r>
          </w:p>
        </w:tc>
        <w:tc>
          <w:tcPr>
            <w:tcW w:w="1440" w:type="dxa"/>
            <w:shd w:val="clear" w:color="auto" w:fill="F2F2F2" w:themeFill="background1" w:themeFillShade="F2"/>
          </w:tcPr>
          <w:p w14:paraId="3D405AAB" w14:textId="77777777" w:rsidR="00975F26" w:rsidRPr="00ED0D6D" w:rsidRDefault="00975F26" w:rsidP="002A479B">
            <w:pPr>
              <w:jc w:val="center"/>
              <w:rPr>
                <w:bCs/>
                <w:sz w:val="20"/>
                <w:highlight w:val="yellow"/>
              </w:rPr>
            </w:pPr>
            <w:r w:rsidRPr="00ED0D6D">
              <w:rPr>
                <w:bCs/>
                <w:sz w:val="20"/>
              </w:rPr>
              <w:t>–</w:t>
            </w:r>
          </w:p>
        </w:tc>
        <w:tc>
          <w:tcPr>
            <w:tcW w:w="1530" w:type="dxa"/>
            <w:shd w:val="clear" w:color="auto" w:fill="F2F2F2" w:themeFill="background1" w:themeFillShade="F2"/>
          </w:tcPr>
          <w:p w14:paraId="68E3272A" w14:textId="77777777" w:rsidR="00975F26" w:rsidRPr="00ED0D6D" w:rsidRDefault="00975F26" w:rsidP="002A479B">
            <w:pPr>
              <w:jc w:val="center"/>
              <w:rPr>
                <w:bCs/>
                <w:sz w:val="20"/>
              </w:rPr>
            </w:pPr>
            <w:r w:rsidRPr="00ED0D6D">
              <w:rPr>
                <w:bCs/>
                <w:sz w:val="20"/>
              </w:rPr>
              <w:t>nė vienas Lietuvos universitetas nepatenka į geriausiųjų pasaulio universitetų 500-</w:t>
            </w:r>
            <w:r>
              <w:rPr>
                <w:bCs/>
                <w:sz w:val="20"/>
              </w:rPr>
              <w:t>u</w:t>
            </w:r>
            <w:r w:rsidRPr="00ED0D6D">
              <w:rPr>
                <w:bCs/>
                <w:sz w:val="20"/>
              </w:rPr>
              <w:t>ką</w:t>
            </w:r>
          </w:p>
        </w:tc>
        <w:tc>
          <w:tcPr>
            <w:tcW w:w="1350" w:type="dxa"/>
            <w:shd w:val="clear" w:color="auto" w:fill="FFFFFF" w:themeFill="background1"/>
          </w:tcPr>
          <w:p w14:paraId="6D625650" w14:textId="77777777" w:rsidR="00975F26" w:rsidRPr="00792FF4" w:rsidRDefault="00975F26" w:rsidP="002A479B">
            <w:pPr>
              <w:jc w:val="center"/>
              <w:rPr>
                <w:b/>
                <w:sz w:val="20"/>
              </w:rPr>
            </w:pPr>
            <w:r w:rsidRPr="00792FF4">
              <w:rPr>
                <w:b/>
                <w:sz w:val="20"/>
              </w:rPr>
              <w:t>0</w:t>
            </w:r>
          </w:p>
        </w:tc>
        <w:tc>
          <w:tcPr>
            <w:tcW w:w="1350" w:type="dxa"/>
            <w:shd w:val="clear" w:color="auto" w:fill="F2F2F2" w:themeFill="background1" w:themeFillShade="F2"/>
          </w:tcPr>
          <w:p w14:paraId="70963604" w14:textId="77777777" w:rsidR="00975F26" w:rsidRPr="00ED0D6D" w:rsidRDefault="00975F26" w:rsidP="002A479B">
            <w:pPr>
              <w:jc w:val="center"/>
              <w:rPr>
                <w:bCs/>
                <w:sz w:val="20"/>
              </w:rPr>
            </w:pPr>
            <w:r w:rsidRPr="00ED0D6D">
              <w:rPr>
                <w:bCs/>
                <w:sz w:val="20"/>
              </w:rPr>
              <w:t>0</w:t>
            </w:r>
          </w:p>
        </w:tc>
        <w:tc>
          <w:tcPr>
            <w:tcW w:w="1260" w:type="dxa"/>
            <w:shd w:val="clear" w:color="auto" w:fill="auto"/>
          </w:tcPr>
          <w:p w14:paraId="4DA33A81" w14:textId="77777777" w:rsidR="00975F26" w:rsidRPr="00ED0D6D" w:rsidRDefault="00975F26" w:rsidP="002A479B">
            <w:pPr>
              <w:jc w:val="center"/>
              <w:rPr>
                <w:b/>
                <w:bCs/>
                <w:sz w:val="20"/>
              </w:rPr>
            </w:pPr>
            <w:r>
              <w:rPr>
                <w:b/>
                <w:bCs/>
                <w:sz w:val="20"/>
              </w:rPr>
              <w:t>maža</w:t>
            </w:r>
          </w:p>
        </w:tc>
        <w:tc>
          <w:tcPr>
            <w:tcW w:w="1350" w:type="dxa"/>
            <w:shd w:val="clear" w:color="auto" w:fill="FFFFFF" w:themeFill="background1"/>
          </w:tcPr>
          <w:p w14:paraId="0A0834DE" w14:textId="77777777" w:rsidR="00975F26" w:rsidRPr="00ED0D6D" w:rsidRDefault="00975F26" w:rsidP="002A479B">
            <w:pPr>
              <w:jc w:val="center"/>
              <w:rPr>
                <w:bCs/>
                <w:sz w:val="20"/>
                <w:highlight w:val="yellow"/>
              </w:rPr>
            </w:pPr>
            <w:r w:rsidRPr="00ED0D6D">
              <w:rPr>
                <w:bCs/>
                <w:sz w:val="20"/>
              </w:rPr>
              <w:t>bent vienas Lietuvos universitetas tarp 500 geriausiųjų pasaulio universitetų</w:t>
            </w:r>
          </w:p>
        </w:tc>
        <w:tc>
          <w:tcPr>
            <w:tcW w:w="1530" w:type="dxa"/>
            <w:shd w:val="clear" w:color="auto" w:fill="FFFFFF" w:themeFill="background1"/>
          </w:tcPr>
          <w:p w14:paraId="77E0DF7E" w14:textId="77777777" w:rsidR="00975F26" w:rsidRPr="00ED0D6D" w:rsidRDefault="00975F26" w:rsidP="002A479B">
            <w:pPr>
              <w:jc w:val="center"/>
              <w:rPr>
                <w:bCs/>
                <w:sz w:val="20"/>
              </w:rPr>
            </w:pPr>
            <w:r w:rsidRPr="00ED0D6D">
              <w:rPr>
                <w:bCs/>
                <w:sz w:val="20"/>
              </w:rPr>
              <w:t>bent vienas Lietuvos universitetas tarp 300 geriausiųjų pasaulio universitetų</w:t>
            </w:r>
          </w:p>
        </w:tc>
      </w:tr>
      <w:tr w:rsidR="00975F26" w:rsidRPr="00ED0D6D" w14:paraId="18899AD1" w14:textId="77777777" w:rsidTr="002A479B">
        <w:trPr>
          <w:trHeight w:val="20"/>
          <w:jc w:val="center"/>
        </w:trPr>
        <w:tc>
          <w:tcPr>
            <w:tcW w:w="3865" w:type="dxa"/>
            <w:shd w:val="clear" w:color="auto" w:fill="FFFFFF" w:themeFill="background1"/>
          </w:tcPr>
          <w:p w14:paraId="36259F28" w14:textId="77777777" w:rsidR="00975F26" w:rsidRPr="00ED0D6D" w:rsidRDefault="00975F26" w:rsidP="002A479B">
            <w:pPr>
              <w:rPr>
                <w:b/>
                <w:bCs/>
                <w:sz w:val="20"/>
              </w:rPr>
            </w:pPr>
            <w:r w:rsidRPr="00ED0D6D">
              <w:rPr>
                <w:b/>
                <w:bCs/>
                <w:sz w:val="20"/>
              </w:rPr>
              <w:t>30–34 metų asmenų, baigusių aukštąjį ar jam prilygintiną mokslą, skaičius</w:t>
            </w:r>
          </w:p>
          <w:p w14:paraId="5C578138" w14:textId="77777777" w:rsidR="00975F26" w:rsidRPr="00ED0D6D" w:rsidRDefault="00975F26" w:rsidP="002A479B">
            <w:pPr>
              <w:rPr>
                <w:b/>
                <w:sz w:val="20"/>
              </w:rPr>
            </w:pPr>
            <w:r w:rsidRPr="00ED0D6D">
              <w:rPr>
                <w:bCs/>
                <w:sz w:val="20"/>
              </w:rPr>
              <w:t>Eurostatas, 2010</w:t>
            </w:r>
          </w:p>
        </w:tc>
        <w:tc>
          <w:tcPr>
            <w:tcW w:w="1530" w:type="dxa"/>
            <w:shd w:val="clear" w:color="auto" w:fill="F2F2F2" w:themeFill="background1" w:themeFillShade="F2"/>
          </w:tcPr>
          <w:p w14:paraId="24052A52" w14:textId="77777777" w:rsidR="00975F26" w:rsidRPr="00ED0D6D" w:rsidRDefault="00975F26" w:rsidP="002A479B">
            <w:pPr>
              <w:jc w:val="center"/>
              <w:rPr>
                <w:bCs/>
                <w:sz w:val="20"/>
              </w:rPr>
            </w:pPr>
            <w:r w:rsidRPr="00ED0D6D">
              <w:rPr>
                <w:bCs/>
                <w:sz w:val="20"/>
              </w:rPr>
              <w:t>33,6 proc.</w:t>
            </w:r>
          </w:p>
        </w:tc>
        <w:tc>
          <w:tcPr>
            <w:tcW w:w="1440" w:type="dxa"/>
            <w:shd w:val="clear" w:color="auto" w:fill="F2F2F2" w:themeFill="background1" w:themeFillShade="F2"/>
          </w:tcPr>
          <w:p w14:paraId="7535519F" w14:textId="77777777" w:rsidR="00975F26" w:rsidRPr="00ED0D6D" w:rsidRDefault="00975F26" w:rsidP="002A479B">
            <w:pPr>
              <w:jc w:val="center"/>
              <w:rPr>
                <w:bCs/>
                <w:sz w:val="20"/>
              </w:rPr>
            </w:pPr>
            <w:r w:rsidRPr="00ED0D6D">
              <w:rPr>
                <w:bCs/>
                <w:sz w:val="20"/>
              </w:rPr>
              <w:t>43,8 proc.</w:t>
            </w:r>
          </w:p>
        </w:tc>
        <w:tc>
          <w:tcPr>
            <w:tcW w:w="1530" w:type="dxa"/>
            <w:shd w:val="clear" w:color="auto" w:fill="F2F2F2" w:themeFill="background1" w:themeFillShade="F2"/>
          </w:tcPr>
          <w:p w14:paraId="198925B1" w14:textId="77777777" w:rsidR="00975F26" w:rsidRPr="00ED0D6D" w:rsidRDefault="00975F26" w:rsidP="002A479B">
            <w:pPr>
              <w:jc w:val="center"/>
              <w:rPr>
                <w:bCs/>
                <w:sz w:val="20"/>
              </w:rPr>
            </w:pPr>
            <w:r w:rsidRPr="00ED0D6D">
              <w:rPr>
                <w:bCs/>
                <w:sz w:val="20"/>
              </w:rPr>
              <w:t>8 vieta ES</w:t>
            </w:r>
          </w:p>
        </w:tc>
        <w:tc>
          <w:tcPr>
            <w:tcW w:w="1350" w:type="dxa"/>
            <w:shd w:val="clear" w:color="auto" w:fill="FFFFFF" w:themeFill="background1"/>
          </w:tcPr>
          <w:p w14:paraId="3D77C48D" w14:textId="77777777" w:rsidR="00975F26" w:rsidRDefault="00975F26" w:rsidP="002A479B">
            <w:pPr>
              <w:jc w:val="center"/>
              <w:rPr>
                <w:b/>
                <w:sz w:val="20"/>
              </w:rPr>
            </w:pPr>
            <w:r w:rsidRPr="00792FF4">
              <w:rPr>
                <w:b/>
                <w:sz w:val="20"/>
              </w:rPr>
              <w:t>2 vieta ES 57,8 proc. (2019)</w:t>
            </w:r>
          </w:p>
          <w:p w14:paraId="36BC397A" w14:textId="77777777" w:rsidR="00975F26" w:rsidRPr="00792FF4" w:rsidRDefault="00975F26" w:rsidP="002A479B">
            <w:pPr>
              <w:jc w:val="center"/>
              <w:rPr>
                <w:b/>
                <w:sz w:val="20"/>
              </w:rPr>
            </w:pPr>
          </w:p>
        </w:tc>
        <w:tc>
          <w:tcPr>
            <w:tcW w:w="1350" w:type="dxa"/>
            <w:shd w:val="clear" w:color="auto" w:fill="F2F2F2" w:themeFill="background1" w:themeFillShade="F2"/>
          </w:tcPr>
          <w:p w14:paraId="6DF5D881" w14:textId="77777777" w:rsidR="00975F26" w:rsidRPr="00ED0D6D" w:rsidRDefault="00975F26" w:rsidP="002A479B">
            <w:pPr>
              <w:jc w:val="center"/>
              <w:rPr>
                <w:bCs/>
                <w:sz w:val="20"/>
              </w:rPr>
            </w:pPr>
            <w:r w:rsidRPr="00ED0D6D">
              <w:rPr>
                <w:bCs/>
                <w:sz w:val="20"/>
              </w:rPr>
              <w:t>+</w:t>
            </w:r>
            <w:r>
              <w:rPr>
                <w:bCs/>
                <w:sz w:val="20"/>
              </w:rPr>
              <w:t>6</w:t>
            </w:r>
          </w:p>
        </w:tc>
        <w:tc>
          <w:tcPr>
            <w:tcW w:w="1260" w:type="dxa"/>
            <w:shd w:val="clear" w:color="auto" w:fill="auto"/>
          </w:tcPr>
          <w:p w14:paraId="0B7FCF3E" w14:textId="77777777" w:rsidR="00975F26" w:rsidRPr="00ED0D6D" w:rsidRDefault="00975F26" w:rsidP="002A479B">
            <w:pPr>
              <w:jc w:val="center"/>
              <w:rPr>
                <w:b/>
                <w:bCs/>
                <w:sz w:val="20"/>
              </w:rPr>
            </w:pPr>
            <w:r>
              <w:rPr>
                <w:b/>
                <w:bCs/>
                <w:sz w:val="20"/>
              </w:rPr>
              <w:t>d</w:t>
            </w:r>
            <w:r w:rsidRPr="00ED0D6D">
              <w:rPr>
                <w:b/>
                <w:bCs/>
                <w:sz w:val="20"/>
              </w:rPr>
              <w:t>idelė</w:t>
            </w:r>
          </w:p>
        </w:tc>
        <w:tc>
          <w:tcPr>
            <w:tcW w:w="1350" w:type="dxa"/>
            <w:shd w:val="clear" w:color="auto" w:fill="FFFFFF" w:themeFill="background1"/>
          </w:tcPr>
          <w:p w14:paraId="413E3319" w14:textId="77777777" w:rsidR="00975F26" w:rsidRPr="00ED0D6D" w:rsidRDefault="00975F26" w:rsidP="002A479B">
            <w:pPr>
              <w:jc w:val="center"/>
              <w:rPr>
                <w:bCs/>
                <w:sz w:val="20"/>
              </w:rPr>
            </w:pPr>
            <w:r w:rsidRPr="00ED0D6D">
              <w:rPr>
                <w:bCs/>
                <w:sz w:val="20"/>
              </w:rPr>
              <w:t>ne žemesnė negu 8 vieta ES</w:t>
            </w:r>
          </w:p>
        </w:tc>
        <w:tc>
          <w:tcPr>
            <w:tcW w:w="1530" w:type="dxa"/>
            <w:shd w:val="clear" w:color="auto" w:fill="FFFFFF" w:themeFill="background1"/>
          </w:tcPr>
          <w:p w14:paraId="0A3B1B0E" w14:textId="77777777" w:rsidR="00975F26" w:rsidRPr="00ED0D6D" w:rsidRDefault="00975F26" w:rsidP="002A479B">
            <w:pPr>
              <w:jc w:val="center"/>
              <w:rPr>
                <w:bCs/>
                <w:sz w:val="20"/>
              </w:rPr>
            </w:pPr>
            <w:r w:rsidRPr="00ED0D6D">
              <w:rPr>
                <w:bCs/>
                <w:sz w:val="20"/>
              </w:rPr>
              <w:t>ne žemesnė negu 8 vieta ES</w:t>
            </w:r>
          </w:p>
        </w:tc>
      </w:tr>
      <w:tr w:rsidR="00975F26" w:rsidRPr="00ED0D6D" w14:paraId="48CEA7EC" w14:textId="77777777" w:rsidTr="002A479B">
        <w:trPr>
          <w:trHeight w:val="20"/>
          <w:jc w:val="center"/>
        </w:trPr>
        <w:tc>
          <w:tcPr>
            <w:tcW w:w="3865" w:type="dxa"/>
          </w:tcPr>
          <w:p w14:paraId="7204F646" w14:textId="77777777" w:rsidR="00975F26" w:rsidRPr="00ED0D6D" w:rsidRDefault="00975F26" w:rsidP="002A479B">
            <w:pPr>
              <w:rPr>
                <w:b/>
                <w:bCs/>
                <w:sz w:val="20"/>
              </w:rPr>
            </w:pPr>
            <w:r w:rsidRPr="00ED0D6D">
              <w:rPr>
                <w:b/>
                <w:bCs/>
                <w:sz w:val="20"/>
              </w:rPr>
              <w:t xml:space="preserve">Mokymasis visą gyvenimą </w:t>
            </w:r>
          </w:p>
          <w:p w14:paraId="4368DE08" w14:textId="77777777" w:rsidR="00975F26" w:rsidRPr="00ED0D6D" w:rsidRDefault="00975F26" w:rsidP="002A479B">
            <w:pPr>
              <w:rPr>
                <w:b/>
                <w:bCs/>
                <w:sz w:val="20"/>
              </w:rPr>
            </w:pPr>
            <w:r w:rsidRPr="00ED0D6D">
              <w:rPr>
                <w:bCs/>
                <w:sz w:val="20"/>
              </w:rPr>
              <w:t>Eurostatas, 2010</w:t>
            </w:r>
          </w:p>
        </w:tc>
        <w:tc>
          <w:tcPr>
            <w:tcW w:w="1530" w:type="dxa"/>
            <w:shd w:val="clear" w:color="auto" w:fill="F2F2F2" w:themeFill="background1" w:themeFillShade="F2"/>
          </w:tcPr>
          <w:p w14:paraId="291AA376" w14:textId="77777777" w:rsidR="00975F26" w:rsidRPr="00ED0D6D" w:rsidRDefault="00975F26" w:rsidP="002A479B">
            <w:pPr>
              <w:jc w:val="center"/>
              <w:rPr>
                <w:bCs/>
                <w:sz w:val="20"/>
              </w:rPr>
            </w:pPr>
            <w:r w:rsidRPr="00ED0D6D">
              <w:rPr>
                <w:bCs/>
                <w:sz w:val="20"/>
              </w:rPr>
              <w:t>9,1 proc.</w:t>
            </w:r>
          </w:p>
        </w:tc>
        <w:tc>
          <w:tcPr>
            <w:tcW w:w="1440" w:type="dxa"/>
            <w:shd w:val="clear" w:color="auto" w:fill="F2F2F2" w:themeFill="background1" w:themeFillShade="F2"/>
          </w:tcPr>
          <w:p w14:paraId="7DFDB570" w14:textId="77777777" w:rsidR="00975F26" w:rsidRPr="00ED0D6D" w:rsidRDefault="00975F26" w:rsidP="002A479B">
            <w:pPr>
              <w:jc w:val="center"/>
              <w:rPr>
                <w:bCs/>
                <w:sz w:val="20"/>
              </w:rPr>
            </w:pPr>
            <w:r w:rsidRPr="00ED0D6D">
              <w:rPr>
                <w:bCs/>
                <w:sz w:val="20"/>
              </w:rPr>
              <w:t>4 proc.</w:t>
            </w:r>
          </w:p>
        </w:tc>
        <w:tc>
          <w:tcPr>
            <w:tcW w:w="1530" w:type="dxa"/>
            <w:shd w:val="clear" w:color="auto" w:fill="F2F2F2" w:themeFill="background1" w:themeFillShade="F2"/>
          </w:tcPr>
          <w:p w14:paraId="09268626" w14:textId="77777777" w:rsidR="00975F26" w:rsidRPr="00ED0D6D" w:rsidRDefault="00975F26" w:rsidP="002A479B">
            <w:pPr>
              <w:jc w:val="center"/>
              <w:rPr>
                <w:bCs/>
                <w:sz w:val="20"/>
              </w:rPr>
            </w:pPr>
            <w:r w:rsidRPr="00ED0D6D">
              <w:rPr>
                <w:bCs/>
                <w:sz w:val="20"/>
              </w:rPr>
              <w:t>22 vieta ES</w:t>
            </w:r>
          </w:p>
        </w:tc>
        <w:tc>
          <w:tcPr>
            <w:tcW w:w="1350" w:type="dxa"/>
            <w:shd w:val="clear" w:color="auto" w:fill="FFFFFF" w:themeFill="background1"/>
          </w:tcPr>
          <w:p w14:paraId="25F5080B" w14:textId="77777777" w:rsidR="00975F26" w:rsidRDefault="00975F26" w:rsidP="002A479B">
            <w:pPr>
              <w:ind w:firstLine="50"/>
              <w:jc w:val="center"/>
              <w:rPr>
                <w:b/>
                <w:sz w:val="20"/>
              </w:rPr>
            </w:pPr>
            <w:r w:rsidRPr="00792FF4">
              <w:rPr>
                <w:b/>
                <w:sz w:val="20"/>
              </w:rPr>
              <w:t>19 vieta ES</w:t>
            </w:r>
          </w:p>
          <w:p w14:paraId="4442563A" w14:textId="77777777" w:rsidR="00975F26" w:rsidRPr="00ED0D6D" w:rsidRDefault="00975F26" w:rsidP="002A479B">
            <w:pPr>
              <w:ind w:firstLine="50"/>
              <w:jc w:val="center"/>
              <w:rPr>
                <w:bCs/>
                <w:sz w:val="20"/>
              </w:rPr>
            </w:pPr>
            <w:r w:rsidRPr="00792FF4">
              <w:rPr>
                <w:b/>
                <w:sz w:val="20"/>
              </w:rPr>
              <w:t>7 proc. (2019)</w:t>
            </w:r>
          </w:p>
        </w:tc>
        <w:tc>
          <w:tcPr>
            <w:tcW w:w="1350" w:type="dxa"/>
            <w:shd w:val="clear" w:color="auto" w:fill="F2F2F2" w:themeFill="background1" w:themeFillShade="F2"/>
          </w:tcPr>
          <w:p w14:paraId="3FF2CCCE" w14:textId="77777777" w:rsidR="00975F26" w:rsidRPr="00ED0D6D" w:rsidRDefault="00975F26" w:rsidP="002A479B">
            <w:pPr>
              <w:ind w:firstLine="50"/>
              <w:jc w:val="center"/>
              <w:rPr>
                <w:bCs/>
                <w:sz w:val="20"/>
              </w:rPr>
            </w:pPr>
            <w:r w:rsidRPr="00ED0D6D">
              <w:rPr>
                <w:bCs/>
                <w:sz w:val="20"/>
              </w:rPr>
              <w:t>+</w:t>
            </w:r>
            <w:r>
              <w:rPr>
                <w:bCs/>
                <w:sz w:val="20"/>
              </w:rPr>
              <w:t>4</w:t>
            </w:r>
          </w:p>
        </w:tc>
        <w:tc>
          <w:tcPr>
            <w:tcW w:w="1260" w:type="dxa"/>
            <w:shd w:val="clear" w:color="auto" w:fill="auto"/>
          </w:tcPr>
          <w:p w14:paraId="60A7DD97" w14:textId="77777777" w:rsidR="00975F26" w:rsidRPr="00ED0D6D" w:rsidRDefault="00975F26" w:rsidP="002A479B">
            <w:pPr>
              <w:jc w:val="center"/>
              <w:rPr>
                <w:b/>
                <w:bCs/>
                <w:color w:val="FFFFFF" w:themeColor="background1"/>
                <w:sz w:val="20"/>
              </w:rPr>
            </w:pPr>
            <w:r>
              <w:rPr>
                <w:b/>
                <w:bCs/>
                <w:sz w:val="20"/>
              </w:rPr>
              <w:t>d</w:t>
            </w:r>
            <w:r w:rsidRPr="00ED0D6D">
              <w:rPr>
                <w:b/>
                <w:bCs/>
                <w:sz w:val="20"/>
              </w:rPr>
              <w:t>idelė</w:t>
            </w:r>
          </w:p>
        </w:tc>
        <w:tc>
          <w:tcPr>
            <w:tcW w:w="1350" w:type="dxa"/>
            <w:shd w:val="clear" w:color="auto" w:fill="FFFFFF" w:themeFill="background1"/>
          </w:tcPr>
          <w:p w14:paraId="22ECD322" w14:textId="77777777" w:rsidR="00975F26" w:rsidRPr="00ED0D6D" w:rsidRDefault="00975F26" w:rsidP="002A479B">
            <w:pPr>
              <w:ind w:firstLine="50"/>
              <w:jc w:val="center"/>
              <w:rPr>
                <w:bCs/>
                <w:sz w:val="20"/>
              </w:rPr>
            </w:pPr>
            <w:r w:rsidRPr="00ED0D6D">
              <w:rPr>
                <w:bCs/>
                <w:sz w:val="20"/>
              </w:rPr>
              <w:t xml:space="preserve">18 vieta ES </w:t>
            </w:r>
          </w:p>
          <w:p w14:paraId="726C7AB1" w14:textId="77777777" w:rsidR="00975F26" w:rsidRPr="00ED0D6D" w:rsidRDefault="00975F26" w:rsidP="002A479B">
            <w:pPr>
              <w:jc w:val="center"/>
              <w:rPr>
                <w:bCs/>
                <w:sz w:val="20"/>
              </w:rPr>
            </w:pPr>
          </w:p>
        </w:tc>
        <w:tc>
          <w:tcPr>
            <w:tcW w:w="1530" w:type="dxa"/>
            <w:shd w:val="clear" w:color="auto" w:fill="FFFFFF" w:themeFill="background1"/>
          </w:tcPr>
          <w:p w14:paraId="46ABD31C" w14:textId="77777777" w:rsidR="00975F26" w:rsidRPr="00ED0D6D" w:rsidRDefault="00975F26" w:rsidP="002A479B">
            <w:pPr>
              <w:jc w:val="center"/>
              <w:rPr>
                <w:bCs/>
                <w:sz w:val="20"/>
              </w:rPr>
            </w:pPr>
            <w:r w:rsidRPr="00ED0D6D">
              <w:rPr>
                <w:bCs/>
                <w:sz w:val="20"/>
              </w:rPr>
              <w:t xml:space="preserve">ne žemesnė negu 17 vieta ES </w:t>
            </w:r>
          </w:p>
        </w:tc>
      </w:tr>
      <w:tr w:rsidR="00975F26" w:rsidRPr="00ED0D6D" w14:paraId="04CC7B0E" w14:textId="77777777" w:rsidTr="002A479B">
        <w:trPr>
          <w:trHeight w:val="20"/>
          <w:jc w:val="center"/>
        </w:trPr>
        <w:tc>
          <w:tcPr>
            <w:tcW w:w="3865" w:type="dxa"/>
          </w:tcPr>
          <w:p w14:paraId="3B0CDEE7" w14:textId="77777777" w:rsidR="00975F26" w:rsidRPr="00ED0D6D" w:rsidRDefault="00975F26" w:rsidP="002A479B">
            <w:pPr>
              <w:rPr>
                <w:b/>
                <w:bCs/>
                <w:sz w:val="20"/>
              </w:rPr>
            </w:pPr>
            <w:r w:rsidRPr="00ED0D6D">
              <w:rPr>
                <w:b/>
                <w:bCs/>
                <w:sz w:val="20"/>
              </w:rPr>
              <w:lastRenderedPageBreak/>
              <w:t xml:space="preserve">Visuomenės narių, kurie linkę dalyvauti vykdant kultūrinę meninę veiklą, dalis </w:t>
            </w:r>
          </w:p>
          <w:p w14:paraId="77D01968" w14:textId="77777777" w:rsidR="00975F26" w:rsidRPr="00ED0D6D" w:rsidRDefault="00975F26" w:rsidP="002A479B">
            <w:pPr>
              <w:rPr>
                <w:bCs/>
                <w:sz w:val="20"/>
              </w:rPr>
            </w:pPr>
            <w:r>
              <w:rPr>
                <w:bCs/>
                <w:sz w:val="20"/>
              </w:rPr>
              <w:t>Lietuvos Respublikos k</w:t>
            </w:r>
            <w:r w:rsidRPr="00ED0D6D">
              <w:rPr>
                <w:bCs/>
                <w:sz w:val="20"/>
              </w:rPr>
              <w:t>ultūros ministerija</w:t>
            </w:r>
            <w:r>
              <w:rPr>
                <w:bCs/>
                <w:sz w:val="20"/>
              </w:rPr>
              <w:t xml:space="preserve"> (toliau – KM)</w:t>
            </w:r>
          </w:p>
        </w:tc>
        <w:tc>
          <w:tcPr>
            <w:tcW w:w="1530" w:type="dxa"/>
            <w:shd w:val="clear" w:color="auto" w:fill="F2F2F2" w:themeFill="background1" w:themeFillShade="F2"/>
          </w:tcPr>
          <w:p w14:paraId="056BB4A7" w14:textId="77777777" w:rsidR="00975F26" w:rsidRPr="00ED0D6D" w:rsidRDefault="00975F26" w:rsidP="002A479B">
            <w:pPr>
              <w:jc w:val="center"/>
              <w:rPr>
                <w:bCs/>
                <w:sz w:val="20"/>
              </w:rPr>
            </w:pPr>
            <w:r w:rsidRPr="00ED0D6D">
              <w:rPr>
                <w:bCs/>
                <w:sz w:val="20"/>
              </w:rPr>
              <w:t>–</w:t>
            </w:r>
          </w:p>
        </w:tc>
        <w:tc>
          <w:tcPr>
            <w:tcW w:w="1440" w:type="dxa"/>
            <w:shd w:val="clear" w:color="auto" w:fill="F2F2F2" w:themeFill="background1" w:themeFillShade="F2"/>
          </w:tcPr>
          <w:p w14:paraId="0FFE268A" w14:textId="77777777" w:rsidR="00975F26" w:rsidRPr="00ED0D6D" w:rsidRDefault="00975F26" w:rsidP="002A479B">
            <w:pPr>
              <w:jc w:val="center"/>
              <w:rPr>
                <w:bCs/>
                <w:sz w:val="20"/>
              </w:rPr>
            </w:pPr>
            <w:r w:rsidRPr="00ED0D6D">
              <w:rPr>
                <w:bCs/>
                <w:sz w:val="20"/>
              </w:rPr>
              <w:t>46 proc.</w:t>
            </w:r>
          </w:p>
        </w:tc>
        <w:tc>
          <w:tcPr>
            <w:tcW w:w="1530" w:type="dxa"/>
            <w:shd w:val="clear" w:color="auto" w:fill="F2F2F2" w:themeFill="background1" w:themeFillShade="F2"/>
          </w:tcPr>
          <w:p w14:paraId="241934A1" w14:textId="77777777" w:rsidR="00975F26" w:rsidRPr="00ED0D6D" w:rsidRDefault="00975F26" w:rsidP="002A479B">
            <w:pPr>
              <w:jc w:val="center"/>
              <w:rPr>
                <w:bCs/>
                <w:sz w:val="20"/>
              </w:rPr>
            </w:pPr>
            <w:r w:rsidRPr="00ED0D6D">
              <w:rPr>
                <w:bCs/>
                <w:sz w:val="20"/>
              </w:rPr>
              <w:t>46 proc.</w:t>
            </w:r>
          </w:p>
        </w:tc>
        <w:tc>
          <w:tcPr>
            <w:tcW w:w="1350" w:type="dxa"/>
            <w:shd w:val="clear" w:color="auto" w:fill="FFFFFF" w:themeFill="background1"/>
          </w:tcPr>
          <w:p w14:paraId="7604DCAD" w14:textId="77777777" w:rsidR="00975F26" w:rsidRDefault="00975F26" w:rsidP="002A479B">
            <w:pPr>
              <w:jc w:val="center"/>
              <w:rPr>
                <w:bCs/>
                <w:sz w:val="20"/>
              </w:rPr>
            </w:pPr>
            <w:r w:rsidRPr="0059727B">
              <w:rPr>
                <w:b/>
                <w:sz w:val="20"/>
              </w:rPr>
              <w:t>45,5</w:t>
            </w:r>
            <w:r>
              <w:rPr>
                <w:rStyle w:val="Puslapioinaosnuoroda"/>
                <w:bCs/>
                <w:sz w:val="20"/>
              </w:rPr>
              <w:footnoteReference w:id="11"/>
            </w:r>
            <w:r>
              <w:rPr>
                <w:bCs/>
                <w:sz w:val="20"/>
              </w:rPr>
              <w:t xml:space="preserve"> </w:t>
            </w:r>
          </w:p>
          <w:p w14:paraId="3392D109" w14:textId="77777777" w:rsidR="00975F26" w:rsidRPr="00ED0D6D" w:rsidRDefault="00975F26" w:rsidP="002A479B">
            <w:pPr>
              <w:jc w:val="center"/>
              <w:rPr>
                <w:bCs/>
                <w:sz w:val="20"/>
              </w:rPr>
            </w:pPr>
          </w:p>
        </w:tc>
        <w:tc>
          <w:tcPr>
            <w:tcW w:w="1350" w:type="dxa"/>
            <w:shd w:val="clear" w:color="auto" w:fill="F2F2F2" w:themeFill="background1" w:themeFillShade="F2"/>
          </w:tcPr>
          <w:p w14:paraId="226A073C" w14:textId="77777777" w:rsidR="00975F26" w:rsidRPr="00ED0D6D" w:rsidRDefault="00975F26" w:rsidP="002A479B">
            <w:pPr>
              <w:jc w:val="center"/>
              <w:rPr>
                <w:bCs/>
                <w:sz w:val="20"/>
              </w:rPr>
            </w:pPr>
            <w:r>
              <w:rPr>
                <w:bCs/>
                <w:sz w:val="20"/>
              </w:rPr>
              <w:t>0</w:t>
            </w:r>
          </w:p>
        </w:tc>
        <w:tc>
          <w:tcPr>
            <w:tcW w:w="1260" w:type="dxa"/>
            <w:shd w:val="clear" w:color="auto" w:fill="auto"/>
          </w:tcPr>
          <w:p w14:paraId="58A44EC7" w14:textId="77777777" w:rsidR="00975F26" w:rsidRPr="00ED0D6D" w:rsidRDefault="00975F26" w:rsidP="002A479B">
            <w:pPr>
              <w:jc w:val="center"/>
              <w:rPr>
                <w:b/>
                <w:bCs/>
                <w:sz w:val="20"/>
              </w:rPr>
            </w:pPr>
            <w:r>
              <w:rPr>
                <w:b/>
                <w:bCs/>
                <w:sz w:val="20"/>
              </w:rPr>
              <w:t>0</w:t>
            </w:r>
          </w:p>
        </w:tc>
        <w:tc>
          <w:tcPr>
            <w:tcW w:w="1350" w:type="dxa"/>
            <w:shd w:val="clear" w:color="auto" w:fill="FFFFFF" w:themeFill="background1"/>
          </w:tcPr>
          <w:p w14:paraId="326F1B29" w14:textId="77777777" w:rsidR="00975F26" w:rsidRPr="00ED0D6D" w:rsidRDefault="00975F26" w:rsidP="002A479B">
            <w:pPr>
              <w:jc w:val="center"/>
              <w:rPr>
                <w:bCs/>
                <w:sz w:val="20"/>
              </w:rPr>
            </w:pPr>
            <w:r w:rsidRPr="00ED0D6D">
              <w:rPr>
                <w:bCs/>
                <w:sz w:val="20"/>
              </w:rPr>
              <w:t>60 proc.</w:t>
            </w:r>
          </w:p>
        </w:tc>
        <w:tc>
          <w:tcPr>
            <w:tcW w:w="1530" w:type="dxa"/>
            <w:shd w:val="clear" w:color="auto" w:fill="FFFFFF" w:themeFill="background1"/>
          </w:tcPr>
          <w:p w14:paraId="6B71B8D4" w14:textId="77777777" w:rsidR="00975F26" w:rsidRPr="00ED0D6D" w:rsidRDefault="00975F26" w:rsidP="002A479B">
            <w:pPr>
              <w:jc w:val="center"/>
              <w:rPr>
                <w:bCs/>
                <w:sz w:val="20"/>
              </w:rPr>
            </w:pPr>
            <w:r w:rsidRPr="00ED0D6D">
              <w:rPr>
                <w:bCs/>
                <w:sz w:val="20"/>
              </w:rPr>
              <w:t>70 proc.</w:t>
            </w:r>
          </w:p>
        </w:tc>
      </w:tr>
      <w:tr w:rsidR="00975F26" w:rsidRPr="00ED0D6D" w14:paraId="746094A5" w14:textId="77777777" w:rsidTr="002A479B">
        <w:trPr>
          <w:trHeight w:val="20"/>
          <w:jc w:val="center"/>
        </w:trPr>
        <w:tc>
          <w:tcPr>
            <w:tcW w:w="3865" w:type="dxa"/>
            <w:shd w:val="clear" w:color="auto" w:fill="FFFFFF" w:themeFill="background1"/>
          </w:tcPr>
          <w:p w14:paraId="33997A10" w14:textId="77777777" w:rsidR="00975F26" w:rsidRPr="007B48E3" w:rsidRDefault="00975F26" w:rsidP="002A479B">
            <w:pPr>
              <w:rPr>
                <w:b/>
                <w:bCs/>
                <w:sz w:val="20"/>
              </w:rPr>
            </w:pPr>
            <w:bookmarkStart w:id="37" w:name="_Hlk67311018"/>
            <w:r w:rsidRPr="007B48E3">
              <w:rPr>
                <w:b/>
                <w:bCs/>
                <w:sz w:val="20"/>
              </w:rPr>
              <w:t>Pilietinės galios indeksas</w:t>
            </w:r>
          </w:p>
          <w:p w14:paraId="21EC9793" w14:textId="77777777" w:rsidR="00975F26" w:rsidRPr="005D157B" w:rsidRDefault="00975F26" w:rsidP="002A479B">
            <w:pPr>
              <w:rPr>
                <w:b/>
                <w:bCs/>
                <w:color w:val="17365D" w:themeColor="text2" w:themeShade="BF"/>
                <w:sz w:val="20"/>
              </w:rPr>
            </w:pPr>
            <w:r w:rsidRPr="007B48E3">
              <w:rPr>
                <w:bCs/>
                <w:sz w:val="20"/>
              </w:rPr>
              <w:t>Pilietinės visuomenės institutas, 2010</w:t>
            </w:r>
          </w:p>
        </w:tc>
        <w:tc>
          <w:tcPr>
            <w:tcW w:w="1530" w:type="dxa"/>
            <w:shd w:val="clear" w:color="auto" w:fill="F2F2F2" w:themeFill="background1" w:themeFillShade="F2"/>
          </w:tcPr>
          <w:p w14:paraId="0C7F9B20" w14:textId="77777777" w:rsidR="00975F26" w:rsidRPr="005D157B" w:rsidRDefault="00975F26" w:rsidP="002A479B">
            <w:pPr>
              <w:jc w:val="center"/>
              <w:rPr>
                <w:bCs/>
                <w:color w:val="17365D" w:themeColor="text2" w:themeShade="BF"/>
                <w:sz w:val="20"/>
              </w:rPr>
            </w:pPr>
            <w:r w:rsidRPr="005D157B">
              <w:rPr>
                <w:bCs/>
                <w:color w:val="17365D" w:themeColor="text2" w:themeShade="BF"/>
                <w:sz w:val="20"/>
              </w:rPr>
              <w:t>–</w:t>
            </w:r>
          </w:p>
        </w:tc>
        <w:tc>
          <w:tcPr>
            <w:tcW w:w="1440" w:type="dxa"/>
            <w:shd w:val="clear" w:color="auto" w:fill="F2F2F2" w:themeFill="background1" w:themeFillShade="F2"/>
          </w:tcPr>
          <w:p w14:paraId="166EE15C" w14:textId="77777777" w:rsidR="00975F26" w:rsidRPr="004E0F47" w:rsidRDefault="00975F26" w:rsidP="002A479B">
            <w:pPr>
              <w:jc w:val="center"/>
              <w:rPr>
                <w:bCs/>
                <w:sz w:val="20"/>
              </w:rPr>
            </w:pPr>
            <w:r w:rsidRPr="004E0F47">
              <w:rPr>
                <w:bCs/>
                <w:sz w:val="20"/>
              </w:rPr>
              <w:t xml:space="preserve">35,5 balo </w:t>
            </w:r>
          </w:p>
        </w:tc>
        <w:tc>
          <w:tcPr>
            <w:tcW w:w="1530" w:type="dxa"/>
            <w:shd w:val="clear" w:color="auto" w:fill="F2F2F2" w:themeFill="background1" w:themeFillShade="F2"/>
          </w:tcPr>
          <w:p w14:paraId="36C84BE2" w14:textId="77777777" w:rsidR="00975F26" w:rsidRPr="004E0F47" w:rsidRDefault="00975F26" w:rsidP="002A479B">
            <w:pPr>
              <w:jc w:val="center"/>
              <w:rPr>
                <w:sz w:val="20"/>
              </w:rPr>
            </w:pPr>
            <w:r w:rsidRPr="004E0F47">
              <w:rPr>
                <w:sz w:val="20"/>
              </w:rPr>
              <w:t xml:space="preserve">35,5 </w:t>
            </w:r>
            <w:r w:rsidRPr="004E0F47">
              <w:rPr>
                <w:bCs/>
                <w:sz w:val="20"/>
              </w:rPr>
              <w:t>balo</w:t>
            </w:r>
          </w:p>
        </w:tc>
        <w:tc>
          <w:tcPr>
            <w:tcW w:w="1350" w:type="dxa"/>
            <w:shd w:val="clear" w:color="auto" w:fill="FFFFFF" w:themeFill="background1"/>
          </w:tcPr>
          <w:p w14:paraId="3D13DF30" w14:textId="77777777" w:rsidR="00975F26" w:rsidRPr="004E0F47" w:rsidRDefault="00975F26" w:rsidP="002A479B">
            <w:pPr>
              <w:jc w:val="center"/>
              <w:rPr>
                <w:b/>
                <w:sz w:val="20"/>
                <w:lang w:val="en-GB"/>
              </w:rPr>
            </w:pPr>
            <w:r w:rsidRPr="004E0F47">
              <w:rPr>
                <w:b/>
                <w:sz w:val="20"/>
                <w:lang w:val="en-GB"/>
              </w:rPr>
              <w:t>39,7</w:t>
            </w:r>
          </w:p>
        </w:tc>
        <w:tc>
          <w:tcPr>
            <w:tcW w:w="1350" w:type="dxa"/>
            <w:shd w:val="clear" w:color="auto" w:fill="F2F2F2" w:themeFill="background1" w:themeFillShade="F2"/>
          </w:tcPr>
          <w:p w14:paraId="3E661638" w14:textId="77777777" w:rsidR="00975F26" w:rsidRPr="004E0F47" w:rsidRDefault="00975F26" w:rsidP="002A479B">
            <w:pPr>
              <w:jc w:val="center"/>
              <w:rPr>
                <w:bCs/>
                <w:sz w:val="20"/>
              </w:rPr>
            </w:pPr>
            <w:r w:rsidRPr="004E0F47">
              <w:rPr>
                <w:bCs/>
                <w:sz w:val="20"/>
              </w:rPr>
              <w:t>+1,5 balo</w:t>
            </w:r>
          </w:p>
        </w:tc>
        <w:tc>
          <w:tcPr>
            <w:tcW w:w="1260" w:type="dxa"/>
            <w:shd w:val="clear" w:color="auto" w:fill="FFFFFF" w:themeFill="background1"/>
          </w:tcPr>
          <w:p w14:paraId="6D6F3DC1" w14:textId="77777777" w:rsidR="00975F26" w:rsidRPr="004E0F47" w:rsidRDefault="00975F26" w:rsidP="002A479B">
            <w:pPr>
              <w:jc w:val="center"/>
              <w:rPr>
                <w:b/>
                <w:bCs/>
                <w:sz w:val="20"/>
              </w:rPr>
            </w:pPr>
            <w:r>
              <w:rPr>
                <w:b/>
                <w:bCs/>
                <w:sz w:val="20"/>
              </w:rPr>
              <w:t>m</w:t>
            </w:r>
            <w:r w:rsidRPr="004E0F47">
              <w:rPr>
                <w:b/>
                <w:bCs/>
                <w:sz w:val="20"/>
              </w:rPr>
              <w:t>aža</w:t>
            </w:r>
          </w:p>
        </w:tc>
        <w:tc>
          <w:tcPr>
            <w:tcW w:w="1350" w:type="dxa"/>
            <w:shd w:val="clear" w:color="auto" w:fill="FFFFFF" w:themeFill="background1"/>
          </w:tcPr>
          <w:p w14:paraId="5FA10607" w14:textId="77777777" w:rsidR="00975F26" w:rsidRPr="004E0F47" w:rsidRDefault="00975F26" w:rsidP="002A479B">
            <w:pPr>
              <w:jc w:val="center"/>
              <w:rPr>
                <w:bCs/>
                <w:sz w:val="20"/>
              </w:rPr>
            </w:pPr>
            <w:r w:rsidRPr="004E0F47">
              <w:rPr>
                <w:bCs/>
                <w:sz w:val="20"/>
              </w:rPr>
              <w:t>50 balų</w:t>
            </w:r>
          </w:p>
        </w:tc>
        <w:tc>
          <w:tcPr>
            <w:tcW w:w="1530" w:type="dxa"/>
            <w:shd w:val="clear" w:color="auto" w:fill="FFFFFF" w:themeFill="background1"/>
          </w:tcPr>
          <w:p w14:paraId="3F71308E" w14:textId="77777777" w:rsidR="00975F26" w:rsidRPr="004E0F47" w:rsidRDefault="00975F26" w:rsidP="002A479B">
            <w:pPr>
              <w:jc w:val="center"/>
              <w:rPr>
                <w:bCs/>
                <w:sz w:val="20"/>
              </w:rPr>
            </w:pPr>
            <w:r w:rsidRPr="004E0F47">
              <w:rPr>
                <w:bCs/>
                <w:sz w:val="20"/>
              </w:rPr>
              <w:t>60 balų</w:t>
            </w:r>
          </w:p>
        </w:tc>
      </w:tr>
      <w:bookmarkEnd w:id="37"/>
      <w:tr w:rsidR="00975F26" w:rsidRPr="00ED0D6D" w14:paraId="3FD18F49" w14:textId="77777777" w:rsidTr="002A479B">
        <w:trPr>
          <w:trHeight w:val="20"/>
          <w:jc w:val="center"/>
        </w:trPr>
        <w:tc>
          <w:tcPr>
            <w:tcW w:w="3865" w:type="dxa"/>
          </w:tcPr>
          <w:p w14:paraId="38336EB6" w14:textId="77777777" w:rsidR="00975F26" w:rsidRPr="00ED0D6D" w:rsidRDefault="00975F26" w:rsidP="002A479B">
            <w:pPr>
              <w:tabs>
                <w:tab w:val="left" w:pos="720"/>
                <w:tab w:val="left" w:pos="1477"/>
              </w:tabs>
              <w:rPr>
                <w:b/>
                <w:bCs/>
                <w:sz w:val="20"/>
              </w:rPr>
            </w:pPr>
            <w:r w:rsidRPr="00ED0D6D">
              <w:rPr>
                <w:b/>
                <w:bCs/>
                <w:sz w:val="20"/>
              </w:rPr>
              <w:t>Visuomenės dalis, kuri labai didžiuojasi savo šalies tapatybe</w:t>
            </w:r>
          </w:p>
          <w:p w14:paraId="282AFDD5" w14:textId="77777777" w:rsidR="00975F26" w:rsidRPr="00ED0D6D" w:rsidRDefault="00975F26" w:rsidP="002A479B">
            <w:pPr>
              <w:tabs>
                <w:tab w:val="left" w:pos="720"/>
                <w:tab w:val="left" w:pos="1477"/>
              </w:tabs>
              <w:rPr>
                <w:b/>
                <w:bCs/>
                <w:sz w:val="20"/>
              </w:rPr>
            </w:pPr>
            <w:r w:rsidRPr="00ED0D6D">
              <w:rPr>
                <w:bCs/>
                <w:sz w:val="20"/>
              </w:rPr>
              <w:t>Europos vertybių tyrimas, 2008</w:t>
            </w:r>
          </w:p>
        </w:tc>
        <w:tc>
          <w:tcPr>
            <w:tcW w:w="1530" w:type="dxa"/>
            <w:shd w:val="clear" w:color="auto" w:fill="F2F2F2" w:themeFill="background1" w:themeFillShade="F2"/>
          </w:tcPr>
          <w:p w14:paraId="14589352" w14:textId="77777777" w:rsidR="00975F26" w:rsidRPr="00ED0D6D" w:rsidRDefault="00975F26" w:rsidP="002A479B">
            <w:pPr>
              <w:jc w:val="center"/>
              <w:rPr>
                <w:bCs/>
                <w:sz w:val="20"/>
              </w:rPr>
            </w:pPr>
            <w:r w:rsidRPr="00ED0D6D">
              <w:rPr>
                <w:bCs/>
                <w:sz w:val="20"/>
              </w:rPr>
              <w:t>46 proc.</w:t>
            </w:r>
          </w:p>
        </w:tc>
        <w:tc>
          <w:tcPr>
            <w:tcW w:w="1440" w:type="dxa"/>
            <w:shd w:val="clear" w:color="auto" w:fill="F2F2F2" w:themeFill="background1" w:themeFillShade="F2"/>
          </w:tcPr>
          <w:p w14:paraId="25187A72" w14:textId="77777777" w:rsidR="00975F26" w:rsidRPr="00ED0D6D" w:rsidRDefault="00975F26" w:rsidP="002A479B">
            <w:pPr>
              <w:jc w:val="center"/>
              <w:rPr>
                <w:bCs/>
                <w:sz w:val="20"/>
              </w:rPr>
            </w:pPr>
            <w:r w:rsidRPr="00ED0D6D">
              <w:rPr>
                <w:bCs/>
                <w:sz w:val="20"/>
              </w:rPr>
              <w:t>23 proc.</w:t>
            </w:r>
          </w:p>
        </w:tc>
        <w:tc>
          <w:tcPr>
            <w:tcW w:w="1530" w:type="dxa"/>
            <w:shd w:val="clear" w:color="auto" w:fill="F2F2F2" w:themeFill="background1" w:themeFillShade="F2"/>
          </w:tcPr>
          <w:p w14:paraId="371E3018" w14:textId="77777777" w:rsidR="00975F26" w:rsidRPr="00ED0D6D" w:rsidRDefault="00975F26" w:rsidP="002A479B">
            <w:pPr>
              <w:jc w:val="center"/>
              <w:rPr>
                <w:sz w:val="20"/>
              </w:rPr>
            </w:pPr>
            <w:r w:rsidRPr="00ED0D6D">
              <w:rPr>
                <w:sz w:val="20"/>
              </w:rPr>
              <w:t>23 proc.</w:t>
            </w:r>
          </w:p>
        </w:tc>
        <w:tc>
          <w:tcPr>
            <w:tcW w:w="1350" w:type="dxa"/>
            <w:shd w:val="clear" w:color="auto" w:fill="FFFFFF" w:themeFill="background1"/>
          </w:tcPr>
          <w:p w14:paraId="1C27E9E7" w14:textId="77777777" w:rsidR="00975F26" w:rsidRDefault="00975F26" w:rsidP="002A479B">
            <w:pPr>
              <w:jc w:val="center"/>
              <w:rPr>
                <w:b/>
                <w:bCs/>
                <w:sz w:val="20"/>
              </w:rPr>
            </w:pPr>
            <w:r w:rsidRPr="0059727B">
              <w:rPr>
                <w:b/>
                <w:bCs/>
                <w:sz w:val="20"/>
              </w:rPr>
              <w:t>26,1 proc.</w:t>
            </w:r>
          </w:p>
          <w:p w14:paraId="42450CF3" w14:textId="77777777" w:rsidR="00975F26" w:rsidRDefault="00975F26" w:rsidP="002A479B">
            <w:pPr>
              <w:jc w:val="center"/>
              <w:rPr>
                <w:b/>
                <w:bCs/>
                <w:sz w:val="20"/>
              </w:rPr>
            </w:pPr>
            <w:r w:rsidRPr="0059727B">
              <w:rPr>
                <w:b/>
                <w:bCs/>
                <w:sz w:val="20"/>
              </w:rPr>
              <w:t>44,65 proc.</w:t>
            </w:r>
          </w:p>
          <w:p w14:paraId="6E0E8B6F" w14:textId="77777777" w:rsidR="00975F26" w:rsidRDefault="00975F26" w:rsidP="002A479B">
            <w:pPr>
              <w:jc w:val="center"/>
              <w:rPr>
                <w:b/>
                <w:bCs/>
                <w:sz w:val="20"/>
              </w:rPr>
            </w:pPr>
            <w:r>
              <w:rPr>
                <w:b/>
                <w:bCs/>
                <w:sz w:val="20"/>
              </w:rPr>
              <w:t>(2018)</w:t>
            </w:r>
          </w:p>
          <w:p w14:paraId="3F081444" w14:textId="77777777" w:rsidR="00975F26" w:rsidRPr="00ED0D6D" w:rsidRDefault="00975F26" w:rsidP="002A479B">
            <w:pPr>
              <w:rPr>
                <w:bCs/>
                <w:sz w:val="20"/>
              </w:rPr>
            </w:pPr>
          </w:p>
        </w:tc>
        <w:tc>
          <w:tcPr>
            <w:tcW w:w="1350" w:type="dxa"/>
            <w:shd w:val="clear" w:color="auto" w:fill="F2F2F2" w:themeFill="background1" w:themeFillShade="F2"/>
          </w:tcPr>
          <w:p w14:paraId="33FE40C2" w14:textId="77777777" w:rsidR="00975F26" w:rsidRPr="00F46DD0" w:rsidRDefault="00975F26" w:rsidP="002A479B">
            <w:pPr>
              <w:jc w:val="center"/>
              <w:rPr>
                <w:bCs/>
                <w:i/>
                <w:iCs/>
                <w:sz w:val="20"/>
              </w:rPr>
            </w:pPr>
            <w:r>
              <w:rPr>
                <w:b/>
                <w:bCs/>
                <w:i/>
                <w:iCs/>
                <w:sz w:val="20"/>
              </w:rPr>
              <w:t>nėra apskaičiuota</w:t>
            </w:r>
          </w:p>
        </w:tc>
        <w:tc>
          <w:tcPr>
            <w:tcW w:w="1260" w:type="dxa"/>
            <w:shd w:val="clear" w:color="auto" w:fill="auto"/>
          </w:tcPr>
          <w:p w14:paraId="3C0713F7" w14:textId="77777777" w:rsidR="00975F26" w:rsidRPr="00F46DD0" w:rsidRDefault="00975F26" w:rsidP="002A479B">
            <w:pPr>
              <w:jc w:val="center"/>
              <w:rPr>
                <w:b/>
                <w:bCs/>
                <w:i/>
                <w:iCs/>
                <w:sz w:val="20"/>
              </w:rPr>
            </w:pPr>
            <w:r>
              <w:rPr>
                <w:b/>
                <w:bCs/>
                <w:i/>
                <w:iCs/>
                <w:sz w:val="20"/>
              </w:rPr>
              <w:t>nėra apskaičiuota</w:t>
            </w:r>
          </w:p>
        </w:tc>
        <w:tc>
          <w:tcPr>
            <w:tcW w:w="1350" w:type="dxa"/>
            <w:shd w:val="clear" w:color="auto" w:fill="FFFFFF" w:themeFill="background1"/>
          </w:tcPr>
          <w:p w14:paraId="7695BB20" w14:textId="77777777" w:rsidR="00975F26" w:rsidRPr="00ED0D6D" w:rsidRDefault="00975F26" w:rsidP="002A479B">
            <w:pPr>
              <w:jc w:val="center"/>
              <w:rPr>
                <w:bCs/>
                <w:sz w:val="20"/>
              </w:rPr>
            </w:pPr>
            <w:r w:rsidRPr="00ED0D6D">
              <w:rPr>
                <w:bCs/>
                <w:sz w:val="20"/>
              </w:rPr>
              <w:t>50 proc.</w:t>
            </w:r>
          </w:p>
        </w:tc>
        <w:tc>
          <w:tcPr>
            <w:tcW w:w="1530" w:type="dxa"/>
            <w:shd w:val="clear" w:color="auto" w:fill="FFFFFF" w:themeFill="background1"/>
          </w:tcPr>
          <w:p w14:paraId="6938B701" w14:textId="77777777" w:rsidR="00975F26" w:rsidRPr="00ED0D6D" w:rsidRDefault="00975F26" w:rsidP="002A479B">
            <w:pPr>
              <w:jc w:val="center"/>
              <w:rPr>
                <w:bCs/>
                <w:sz w:val="20"/>
              </w:rPr>
            </w:pPr>
            <w:r w:rsidRPr="00ED0D6D">
              <w:rPr>
                <w:bCs/>
                <w:sz w:val="20"/>
              </w:rPr>
              <w:t>60 proc.</w:t>
            </w:r>
          </w:p>
        </w:tc>
      </w:tr>
      <w:tr w:rsidR="00975F26" w:rsidRPr="00ED0D6D" w14:paraId="396F1728" w14:textId="77777777" w:rsidTr="002A479B">
        <w:trPr>
          <w:trHeight w:val="20"/>
          <w:jc w:val="center"/>
        </w:trPr>
        <w:tc>
          <w:tcPr>
            <w:tcW w:w="3865" w:type="dxa"/>
            <w:shd w:val="clear" w:color="auto" w:fill="FFFFFF" w:themeFill="background1"/>
          </w:tcPr>
          <w:p w14:paraId="6572A8E7" w14:textId="77777777" w:rsidR="00975F26" w:rsidRPr="00ED0D6D" w:rsidRDefault="00975F26" w:rsidP="002A479B">
            <w:pPr>
              <w:rPr>
                <w:b/>
                <w:bCs/>
                <w:sz w:val="20"/>
              </w:rPr>
            </w:pPr>
            <w:r w:rsidRPr="00ED0D6D">
              <w:rPr>
                <w:b/>
                <w:bCs/>
                <w:sz w:val="20"/>
              </w:rPr>
              <w:t>Pajamų pasiskirstymo koeficientas (S80/S20)</w:t>
            </w:r>
          </w:p>
          <w:p w14:paraId="7AC68765" w14:textId="77777777" w:rsidR="00975F26" w:rsidRPr="00ED0D6D" w:rsidRDefault="00975F26" w:rsidP="002A479B">
            <w:pPr>
              <w:rPr>
                <w:b/>
                <w:bCs/>
                <w:sz w:val="20"/>
              </w:rPr>
            </w:pPr>
            <w:r w:rsidRPr="00ED0D6D">
              <w:rPr>
                <w:bCs/>
                <w:sz w:val="20"/>
              </w:rPr>
              <w:t>Eurostatas, 2010</w:t>
            </w:r>
          </w:p>
        </w:tc>
        <w:tc>
          <w:tcPr>
            <w:tcW w:w="1530" w:type="dxa"/>
            <w:shd w:val="clear" w:color="auto" w:fill="F2F2F2" w:themeFill="background1" w:themeFillShade="F2"/>
          </w:tcPr>
          <w:p w14:paraId="2D4539F5" w14:textId="77777777" w:rsidR="00975F26" w:rsidRPr="00ED0D6D" w:rsidRDefault="00975F26" w:rsidP="002A479B">
            <w:pPr>
              <w:jc w:val="center"/>
              <w:rPr>
                <w:rFonts w:eastAsia="EcoNewtext"/>
                <w:bCs/>
                <w:sz w:val="20"/>
              </w:rPr>
            </w:pPr>
            <w:r w:rsidRPr="00ED0D6D">
              <w:rPr>
                <w:rFonts w:eastAsia="EcoNewtext"/>
                <w:bCs/>
                <w:sz w:val="20"/>
              </w:rPr>
              <w:t>4,8</w:t>
            </w:r>
          </w:p>
        </w:tc>
        <w:tc>
          <w:tcPr>
            <w:tcW w:w="1440" w:type="dxa"/>
            <w:shd w:val="clear" w:color="auto" w:fill="F2F2F2" w:themeFill="background1" w:themeFillShade="F2"/>
          </w:tcPr>
          <w:p w14:paraId="53CD470A" w14:textId="77777777" w:rsidR="00975F26" w:rsidRPr="00ED0D6D" w:rsidRDefault="00975F26" w:rsidP="002A479B">
            <w:pPr>
              <w:jc w:val="center"/>
              <w:rPr>
                <w:bCs/>
                <w:sz w:val="20"/>
              </w:rPr>
            </w:pPr>
            <w:r w:rsidRPr="00ED0D6D">
              <w:rPr>
                <w:bCs/>
                <w:sz w:val="20"/>
              </w:rPr>
              <w:t>7,3</w:t>
            </w:r>
          </w:p>
        </w:tc>
        <w:tc>
          <w:tcPr>
            <w:tcW w:w="1530" w:type="dxa"/>
            <w:shd w:val="clear" w:color="auto" w:fill="F2F2F2" w:themeFill="background1" w:themeFillShade="F2"/>
          </w:tcPr>
          <w:p w14:paraId="052B3F13" w14:textId="77777777" w:rsidR="00975F26" w:rsidRPr="00ED0D6D" w:rsidRDefault="00975F26" w:rsidP="002A479B">
            <w:pPr>
              <w:jc w:val="center"/>
              <w:rPr>
                <w:bCs/>
                <w:sz w:val="20"/>
              </w:rPr>
            </w:pPr>
            <w:r w:rsidRPr="00ED0D6D">
              <w:rPr>
                <w:bCs/>
                <w:sz w:val="20"/>
              </w:rPr>
              <w:t>26 vieta ES</w:t>
            </w:r>
          </w:p>
        </w:tc>
        <w:tc>
          <w:tcPr>
            <w:tcW w:w="1350" w:type="dxa"/>
            <w:shd w:val="clear" w:color="auto" w:fill="FFFFFF" w:themeFill="background1"/>
          </w:tcPr>
          <w:p w14:paraId="671F79B7" w14:textId="77777777" w:rsidR="00975F26" w:rsidRPr="002E342B" w:rsidRDefault="00975F26" w:rsidP="002A479B">
            <w:pPr>
              <w:ind w:firstLine="50"/>
              <w:jc w:val="center"/>
              <w:rPr>
                <w:b/>
                <w:sz w:val="20"/>
              </w:rPr>
            </w:pPr>
            <w:r>
              <w:rPr>
                <w:b/>
                <w:sz w:val="20"/>
              </w:rPr>
              <w:t>27</w:t>
            </w:r>
            <w:r w:rsidRPr="002E342B">
              <w:rPr>
                <w:b/>
                <w:sz w:val="20"/>
              </w:rPr>
              <w:t xml:space="preserve"> vieta ES 4,9 </w:t>
            </w:r>
          </w:p>
          <w:p w14:paraId="3D8D5C10" w14:textId="77777777" w:rsidR="00975F26" w:rsidRPr="00ED0D6D" w:rsidRDefault="00975F26" w:rsidP="002A479B">
            <w:pPr>
              <w:ind w:firstLine="50"/>
              <w:jc w:val="center"/>
              <w:rPr>
                <w:bCs/>
                <w:sz w:val="20"/>
              </w:rPr>
            </w:pPr>
          </w:p>
        </w:tc>
        <w:tc>
          <w:tcPr>
            <w:tcW w:w="1350" w:type="dxa"/>
            <w:shd w:val="clear" w:color="auto" w:fill="F2F2F2" w:themeFill="background1" w:themeFillShade="F2"/>
          </w:tcPr>
          <w:p w14:paraId="7311B1F1" w14:textId="77777777" w:rsidR="00975F26" w:rsidRPr="00ED0D6D" w:rsidRDefault="00975F26" w:rsidP="002A479B">
            <w:pPr>
              <w:ind w:firstLine="50"/>
              <w:jc w:val="center"/>
              <w:rPr>
                <w:bCs/>
                <w:sz w:val="20"/>
              </w:rPr>
            </w:pPr>
            <w:r>
              <w:rPr>
                <w:bCs/>
                <w:sz w:val="20"/>
              </w:rPr>
              <w:t>-1</w:t>
            </w:r>
          </w:p>
        </w:tc>
        <w:tc>
          <w:tcPr>
            <w:tcW w:w="1260" w:type="dxa"/>
            <w:shd w:val="clear" w:color="auto" w:fill="FFFFFF" w:themeFill="background1"/>
          </w:tcPr>
          <w:p w14:paraId="08E46C7B" w14:textId="77777777" w:rsidR="00975F26" w:rsidRPr="00ED0D6D" w:rsidRDefault="00975F26" w:rsidP="002A479B">
            <w:pPr>
              <w:ind w:firstLine="50"/>
              <w:jc w:val="center"/>
              <w:rPr>
                <w:b/>
                <w:bCs/>
                <w:sz w:val="20"/>
              </w:rPr>
            </w:pPr>
            <w:r>
              <w:rPr>
                <w:b/>
                <w:bCs/>
                <w:sz w:val="20"/>
              </w:rPr>
              <w:t>m</w:t>
            </w:r>
            <w:r w:rsidRPr="00ED0D6D">
              <w:rPr>
                <w:b/>
                <w:bCs/>
                <w:sz w:val="20"/>
              </w:rPr>
              <w:t>aža</w:t>
            </w:r>
          </w:p>
        </w:tc>
        <w:tc>
          <w:tcPr>
            <w:tcW w:w="1350" w:type="dxa"/>
            <w:shd w:val="clear" w:color="auto" w:fill="FFFFFF" w:themeFill="background1"/>
          </w:tcPr>
          <w:p w14:paraId="3E225CF6" w14:textId="77777777" w:rsidR="00975F26" w:rsidRPr="00ED0D6D" w:rsidRDefault="00975F26" w:rsidP="002A479B">
            <w:pPr>
              <w:ind w:firstLine="50"/>
              <w:jc w:val="center"/>
              <w:rPr>
                <w:bCs/>
                <w:sz w:val="20"/>
              </w:rPr>
            </w:pPr>
            <w:r w:rsidRPr="00ED0D6D">
              <w:rPr>
                <w:bCs/>
                <w:sz w:val="20"/>
              </w:rPr>
              <w:t xml:space="preserve">15 vieta ES </w:t>
            </w:r>
          </w:p>
          <w:p w14:paraId="47551EA3" w14:textId="77777777" w:rsidR="00975F26" w:rsidRPr="00ED0D6D" w:rsidRDefault="00975F26" w:rsidP="002A479B">
            <w:pPr>
              <w:jc w:val="center"/>
              <w:rPr>
                <w:bCs/>
                <w:sz w:val="20"/>
              </w:rPr>
            </w:pPr>
          </w:p>
        </w:tc>
        <w:tc>
          <w:tcPr>
            <w:tcW w:w="1530" w:type="dxa"/>
            <w:shd w:val="clear" w:color="auto" w:fill="FFFFFF" w:themeFill="background1"/>
          </w:tcPr>
          <w:p w14:paraId="278521D1" w14:textId="77777777" w:rsidR="00975F26" w:rsidRPr="00ED0D6D" w:rsidRDefault="00975F26" w:rsidP="002A479B">
            <w:pPr>
              <w:jc w:val="center"/>
              <w:rPr>
                <w:bCs/>
                <w:sz w:val="20"/>
              </w:rPr>
            </w:pPr>
            <w:r w:rsidRPr="00ED0D6D">
              <w:rPr>
                <w:bCs/>
                <w:sz w:val="20"/>
              </w:rPr>
              <w:t>ne žemenė negu 15 vieta ES</w:t>
            </w:r>
          </w:p>
        </w:tc>
      </w:tr>
      <w:tr w:rsidR="00975F26" w:rsidRPr="00ED0D6D" w14:paraId="1B7BEDDF" w14:textId="77777777" w:rsidTr="002A479B">
        <w:trPr>
          <w:trHeight w:val="20"/>
          <w:jc w:val="center"/>
        </w:trPr>
        <w:tc>
          <w:tcPr>
            <w:tcW w:w="3865" w:type="dxa"/>
            <w:shd w:val="clear" w:color="auto" w:fill="auto"/>
          </w:tcPr>
          <w:p w14:paraId="75D83743" w14:textId="77777777" w:rsidR="00975F26" w:rsidRPr="00ED0D6D" w:rsidRDefault="00975F26" w:rsidP="002A479B">
            <w:pPr>
              <w:rPr>
                <w:rFonts w:eastAsia="Calibri"/>
                <w:b/>
                <w:bCs/>
                <w:sz w:val="20"/>
              </w:rPr>
            </w:pPr>
            <w:r w:rsidRPr="00ED0D6D">
              <w:rPr>
                <w:b/>
                <w:bCs/>
                <w:sz w:val="20"/>
              </w:rPr>
              <w:t>Vidutinė sveiko gyvenimo trukmė (vyrai</w:t>
            </w:r>
            <w:r>
              <w:rPr>
                <w:b/>
                <w:bCs/>
                <w:sz w:val="20"/>
              </w:rPr>
              <w:t xml:space="preserve"> </w:t>
            </w:r>
            <w:r w:rsidRPr="00ED0D6D">
              <w:rPr>
                <w:b/>
                <w:bCs/>
                <w:sz w:val="20"/>
              </w:rPr>
              <w:t>/</w:t>
            </w:r>
            <w:r>
              <w:rPr>
                <w:b/>
                <w:bCs/>
                <w:sz w:val="20"/>
              </w:rPr>
              <w:t xml:space="preserve"> </w:t>
            </w:r>
            <w:r w:rsidRPr="00ED0D6D">
              <w:rPr>
                <w:b/>
                <w:bCs/>
                <w:sz w:val="20"/>
              </w:rPr>
              <w:t>moterys)</w:t>
            </w:r>
          </w:p>
          <w:p w14:paraId="02CD0E76" w14:textId="77777777" w:rsidR="00975F26" w:rsidRPr="00ED0D6D" w:rsidRDefault="00975F26" w:rsidP="002A479B">
            <w:pPr>
              <w:rPr>
                <w:bCs/>
                <w:sz w:val="20"/>
              </w:rPr>
            </w:pPr>
            <w:r w:rsidRPr="00ED0D6D">
              <w:rPr>
                <w:bCs/>
                <w:sz w:val="20"/>
              </w:rPr>
              <w:t>Eurostatas, 2010</w:t>
            </w:r>
          </w:p>
        </w:tc>
        <w:tc>
          <w:tcPr>
            <w:tcW w:w="1530" w:type="dxa"/>
            <w:shd w:val="clear" w:color="auto" w:fill="F2F2F2" w:themeFill="background1" w:themeFillShade="F2"/>
          </w:tcPr>
          <w:p w14:paraId="0FB087EE" w14:textId="77777777" w:rsidR="00975F26" w:rsidRPr="007B48E3" w:rsidRDefault="00975F26" w:rsidP="002A479B">
            <w:pPr>
              <w:jc w:val="center"/>
              <w:rPr>
                <w:rFonts w:eastAsia="EcoNewtext"/>
                <w:sz w:val="20"/>
              </w:rPr>
            </w:pPr>
            <w:r w:rsidRPr="00ED0D6D">
              <w:rPr>
                <w:rFonts w:eastAsia="EcoNewtext"/>
                <w:sz w:val="20"/>
              </w:rPr>
              <w:t>61,7</w:t>
            </w:r>
          </w:p>
        </w:tc>
        <w:tc>
          <w:tcPr>
            <w:tcW w:w="1440" w:type="dxa"/>
            <w:shd w:val="clear" w:color="auto" w:fill="F2F2F2" w:themeFill="background1" w:themeFillShade="F2"/>
          </w:tcPr>
          <w:p w14:paraId="025B7EBF" w14:textId="77777777" w:rsidR="00975F26" w:rsidRPr="007B48E3" w:rsidRDefault="00975F26" w:rsidP="002A479B">
            <w:pPr>
              <w:jc w:val="center"/>
              <w:rPr>
                <w:rFonts w:eastAsia="EcoNewtext"/>
                <w:sz w:val="20"/>
              </w:rPr>
            </w:pPr>
            <w:r w:rsidRPr="007B48E3">
              <w:rPr>
                <w:rFonts w:eastAsia="EcoNewtext"/>
                <w:sz w:val="20"/>
              </w:rPr>
              <w:t>60,0</w:t>
            </w:r>
          </w:p>
        </w:tc>
        <w:tc>
          <w:tcPr>
            <w:tcW w:w="1530" w:type="dxa"/>
            <w:shd w:val="clear" w:color="auto" w:fill="F2F2F2" w:themeFill="background1" w:themeFillShade="F2"/>
          </w:tcPr>
          <w:p w14:paraId="0B1A223B" w14:textId="77777777" w:rsidR="00975F26" w:rsidRPr="007B48E3" w:rsidRDefault="00975F26" w:rsidP="002A479B">
            <w:pPr>
              <w:jc w:val="center"/>
              <w:rPr>
                <w:rFonts w:eastAsia="EcoNewtext"/>
                <w:sz w:val="20"/>
              </w:rPr>
            </w:pPr>
            <w:r w:rsidRPr="007B48E3">
              <w:rPr>
                <w:rFonts w:eastAsia="EcoNewtext"/>
                <w:sz w:val="20"/>
              </w:rPr>
              <w:t>17–18 vieta ES</w:t>
            </w:r>
          </w:p>
        </w:tc>
        <w:tc>
          <w:tcPr>
            <w:tcW w:w="1350" w:type="dxa"/>
            <w:shd w:val="clear" w:color="auto" w:fill="auto"/>
          </w:tcPr>
          <w:p w14:paraId="049FF7CC" w14:textId="77777777" w:rsidR="00975F26" w:rsidRDefault="00975F26" w:rsidP="002A479B">
            <w:pPr>
              <w:jc w:val="center"/>
              <w:rPr>
                <w:b/>
                <w:sz w:val="20"/>
              </w:rPr>
            </w:pPr>
            <w:r>
              <w:rPr>
                <w:b/>
                <w:sz w:val="20"/>
              </w:rPr>
              <w:t>15 vieta ES</w:t>
            </w:r>
          </w:p>
          <w:p w14:paraId="07F206B9" w14:textId="77777777" w:rsidR="00975F26" w:rsidRPr="002E342B" w:rsidRDefault="00975F26" w:rsidP="002A479B">
            <w:pPr>
              <w:jc w:val="center"/>
              <w:rPr>
                <w:b/>
                <w:sz w:val="20"/>
              </w:rPr>
            </w:pPr>
            <w:r w:rsidRPr="002E342B">
              <w:rPr>
                <w:b/>
                <w:sz w:val="20"/>
              </w:rPr>
              <w:t>56,3</w:t>
            </w:r>
            <w:r>
              <w:rPr>
                <w:b/>
                <w:sz w:val="20"/>
              </w:rPr>
              <w:t xml:space="preserve"> </w:t>
            </w:r>
            <w:r w:rsidRPr="002E342B">
              <w:rPr>
                <w:b/>
                <w:sz w:val="20"/>
              </w:rPr>
              <w:t>/</w:t>
            </w:r>
            <w:r>
              <w:rPr>
                <w:b/>
                <w:sz w:val="20"/>
              </w:rPr>
              <w:t xml:space="preserve"> </w:t>
            </w:r>
            <w:r w:rsidRPr="002E342B">
              <w:rPr>
                <w:b/>
                <w:sz w:val="20"/>
              </w:rPr>
              <w:t>59,1</w:t>
            </w:r>
          </w:p>
          <w:p w14:paraId="6AF8A593" w14:textId="77777777" w:rsidR="00975F26" w:rsidRPr="00ED0D6D" w:rsidRDefault="00975F26" w:rsidP="002A479B">
            <w:pPr>
              <w:jc w:val="center"/>
              <w:rPr>
                <w:bCs/>
                <w:sz w:val="20"/>
              </w:rPr>
            </w:pPr>
            <w:r w:rsidRPr="002E342B">
              <w:rPr>
                <w:b/>
                <w:sz w:val="20"/>
              </w:rPr>
              <w:t>(2018)</w:t>
            </w:r>
          </w:p>
        </w:tc>
        <w:tc>
          <w:tcPr>
            <w:tcW w:w="1350" w:type="dxa"/>
            <w:shd w:val="clear" w:color="auto" w:fill="F2F2F2" w:themeFill="background1" w:themeFillShade="F2"/>
          </w:tcPr>
          <w:p w14:paraId="5FF4DE72" w14:textId="77777777" w:rsidR="00975F26" w:rsidRPr="00ED0D6D" w:rsidRDefault="00975F26" w:rsidP="002A479B">
            <w:pPr>
              <w:jc w:val="center"/>
              <w:rPr>
                <w:bCs/>
                <w:sz w:val="20"/>
              </w:rPr>
            </w:pPr>
            <w:r>
              <w:rPr>
                <w:bCs/>
                <w:sz w:val="20"/>
              </w:rPr>
              <w:t>+3</w:t>
            </w:r>
          </w:p>
        </w:tc>
        <w:tc>
          <w:tcPr>
            <w:tcW w:w="1260" w:type="dxa"/>
            <w:shd w:val="clear" w:color="auto" w:fill="auto"/>
          </w:tcPr>
          <w:p w14:paraId="50069541" w14:textId="77777777" w:rsidR="00975F26" w:rsidRPr="00ED0D6D" w:rsidRDefault="00975F26" w:rsidP="002A479B">
            <w:pPr>
              <w:jc w:val="center"/>
              <w:rPr>
                <w:b/>
                <w:bCs/>
                <w:sz w:val="20"/>
              </w:rPr>
            </w:pPr>
            <w:r>
              <w:rPr>
                <w:b/>
                <w:bCs/>
                <w:sz w:val="20"/>
              </w:rPr>
              <w:t>didelė</w:t>
            </w:r>
          </w:p>
        </w:tc>
        <w:tc>
          <w:tcPr>
            <w:tcW w:w="1350" w:type="dxa"/>
            <w:shd w:val="clear" w:color="auto" w:fill="auto"/>
          </w:tcPr>
          <w:p w14:paraId="2798B049" w14:textId="77777777" w:rsidR="00975F26" w:rsidRPr="00ED0D6D" w:rsidRDefault="00975F26" w:rsidP="002A479B">
            <w:pPr>
              <w:jc w:val="center"/>
              <w:rPr>
                <w:bCs/>
                <w:sz w:val="20"/>
              </w:rPr>
            </w:pPr>
            <w:r w:rsidRPr="00ED0D6D">
              <w:rPr>
                <w:bCs/>
                <w:sz w:val="20"/>
              </w:rPr>
              <w:t>15 vieta ES</w:t>
            </w:r>
          </w:p>
        </w:tc>
        <w:tc>
          <w:tcPr>
            <w:tcW w:w="1530" w:type="dxa"/>
            <w:shd w:val="clear" w:color="auto" w:fill="auto"/>
          </w:tcPr>
          <w:p w14:paraId="27AFB9E9" w14:textId="77777777" w:rsidR="00975F26" w:rsidRPr="00ED0D6D" w:rsidRDefault="00975F26" w:rsidP="002A479B">
            <w:pPr>
              <w:jc w:val="center"/>
              <w:rPr>
                <w:bCs/>
                <w:sz w:val="20"/>
              </w:rPr>
            </w:pPr>
            <w:r w:rsidRPr="00ED0D6D">
              <w:rPr>
                <w:bCs/>
                <w:sz w:val="20"/>
              </w:rPr>
              <w:t>ne žemesnė negu 10 vieta ES</w:t>
            </w:r>
          </w:p>
        </w:tc>
      </w:tr>
    </w:tbl>
    <w:p w14:paraId="7C614FC3" w14:textId="77777777" w:rsidR="00975F26" w:rsidRPr="00ED0D6D" w:rsidRDefault="00975F26" w:rsidP="00975F26">
      <w:pPr>
        <w:rPr>
          <w:b/>
          <w:szCs w:val="24"/>
        </w:rPr>
      </w:pPr>
      <w:bookmarkStart w:id="38" w:name="_Hlk29218655"/>
      <w:bookmarkEnd w:id="36"/>
    </w:p>
    <w:p w14:paraId="3C3DDE2E" w14:textId="106774B5" w:rsidR="00975F26" w:rsidRPr="00ED0D6D" w:rsidRDefault="00CA13A1" w:rsidP="00975F26">
      <w:pPr>
        <w:ind w:firstLine="720"/>
        <w:rPr>
          <w:b/>
          <w:bCs/>
          <w:iCs/>
          <w:szCs w:val="24"/>
        </w:rPr>
      </w:pPr>
      <w:r>
        <w:rPr>
          <w:b/>
          <w:bCs/>
          <w:iCs/>
          <w:szCs w:val="24"/>
        </w:rPr>
        <w:t>2.</w:t>
      </w:r>
      <w:r w:rsidR="00975F26">
        <w:rPr>
          <w:b/>
          <w:bCs/>
          <w:iCs/>
          <w:szCs w:val="24"/>
        </w:rPr>
        <w:t>1.</w:t>
      </w:r>
      <w:r w:rsidR="00975F26" w:rsidRPr="00ED0D6D">
        <w:rPr>
          <w:b/>
          <w:bCs/>
          <w:iCs/>
          <w:szCs w:val="24"/>
        </w:rPr>
        <w:t>3. Sumanios ekonomikos rodikliai</w:t>
      </w:r>
    </w:p>
    <w:p w14:paraId="2C816BBF" w14:textId="77777777" w:rsidR="00975F26" w:rsidRPr="00ED0D6D" w:rsidRDefault="00975F26" w:rsidP="00975F26">
      <w:pPr>
        <w:rPr>
          <w:b/>
          <w:bCs/>
          <w:iCs/>
          <w:szCs w:val="24"/>
        </w:rPr>
      </w:pPr>
      <w:r w:rsidRPr="00ED0D6D">
        <w:rPr>
          <w:b/>
          <w:bCs/>
          <w:iCs/>
          <w:szCs w:val="24"/>
        </w:rPr>
        <w:t xml:space="preserve"> </w:t>
      </w:r>
    </w:p>
    <w:tbl>
      <w:tblPr>
        <w:tblW w:w="15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7"/>
        <w:gridCol w:w="1606"/>
        <w:gridCol w:w="1369"/>
        <w:gridCol w:w="1560"/>
        <w:gridCol w:w="1275"/>
        <w:gridCol w:w="1417"/>
        <w:gridCol w:w="1324"/>
        <w:gridCol w:w="1467"/>
        <w:gridCol w:w="1620"/>
      </w:tblGrid>
      <w:tr w:rsidR="00975F26" w:rsidRPr="00ED0D6D" w14:paraId="79E2F029" w14:textId="77777777" w:rsidTr="002A479B">
        <w:trPr>
          <w:trHeight w:val="20"/>
          <w:tblHeader/>
          <w:jc w:val="center"/>
        </w:trPr>
        <w:tc>
          <w:tcPr>
            <w:tcW w:w="3657" w:type="dxa"/>
            <w:vMerge w:val="restart"/>
            <w:shd w:val="clear" w:color="auto" w:fill="DBE5F1" w:themeFill="accent1" w:themeFillTint="33"/>
            <w:vAlign w:val="center"/>
          </w:tcPr>
          <w:p w14:paraId="7C0F3A7A" w14:textId="77777777" w:rsidR="00975F26" w:rsidRPr="00ED0D6D" w:rsidRDefault="00975F26" w:rsidP="002A479B">
            <w:pPr>
              <w:jc w:val="center"/>
              <w:rPr>
                <w:b/>
                <w:bCs/>
                <w:sz w:val="20"/>
              </w:rPr>
            </w:pPr>
            <w:bookmarkStart w:id="39" w:name="_Hlk67295219"/>
            <w:r>
              <w:rPr>
                <w:b/>
                <w:bCs/>
                <w:sz w:val="20"/>
              </w:rPr>
              <w:t>Rodikliai</w:t>
            </w:r>
          </w:p>
        </w:tc>
        <w:tc>
          <w:tcPr>
            <w:tcW w:w="4535" w:type="dxa"/>
            <w:gridSpan w:val="3"/>
            <w:shd w:val="clear" w:color="auto" w:fill="DBE5F1" w:themeFill="accent1" w:themeFillTint="33"/>
            <w:vAlign w:val="center"/>
          </w:tcPr>
          <w:p w14:paraId="6F434E15" w14:textId="77777777" w:rsidR="00975F26" w:rsidRPr="00ED0D6D" w:rsidRDefault="00975F26" w:rsidP="002A479B">
            <w:pPr>
              <w:jc w:val="center"/>
              <w:rPr>
                <w:b/>
                <w:bCs/>
                <w:sz w:val="20"/>
              </w:rPr>
            </w:pPr>
            <w:r w:rsidRPr="00ED0D6D">
              <w:rPr>
                <w:b/>
                <w:bCs/>
                <w:sz w:val="20"/>
              </w:rPr>
              <w:t>Pradinė situacija</w:t>
            </w:r>
          </w:p>
        </w:tc>
        <w:tc>
          <w:tcPr>
            <w:tcW w:w="1275" w:type="dxa"/>
            <w:shd w:val="clear" w:color="auto" w:fill="DBE5F1" w:themeFill="accent1" w:themeFillTint="33"/>
            <w:vAlign w:val="center"/>
          </w:tcPr>
          <w:p w14:paraId="04176DE6" w14:textId="77777777" w:rsidR="00975F26" w:rsidRPr="00ED0D6D" w:rsidRDefault="00975F26" w:rsidP="002A479B">
            <w:pPr>
              <w:jc w:val="center"/>
              <w:rPr>
                <w:b/>
                <w:bCs/>
                <w:sz w:val="20"/>
              </w:rPr>
            </w:pPr>
            <w:r w:rsidRPr="00ED0D6D">
              <w:rPr>
                <w:b/>
                <w:bCs/>
                <w:sz w:val="20"/>
              </w:rPr>
              <w:t>Pasiekta reikšmė</w:t>
            </w:r>
          </w:p>
        </w:tc>
        <w:tc>
          <w:tcPr>
            <w:tcW w:w="1417" w:type="dxa"/>
            <w:vMerge w:val="restart"/>
            <w:shd w:val="clear" w:color="auto" w:fill="DBE5F1" w:themeFill="accent1" w:themeFillTint="33"/>
            <w:vAlign w:val="center"/>
          </w:tcPr>
          <w:p w14:paraId="11DFC42F" w14:textId="77777777" w:rsidR="00975F26" w:rsidRPr="00ED0D6D" w:rsidRDefault="00975F26" w:rsidP="002A479B">
            <w:pPr>
              <w:jc w:val="center"/>
              <w:rPr>
                <w:b/>
                <w:bCs/>
                <w:sz w:val="20"/>
              </w:rPr>
            </w:pPr>
            <w:r w:rsidRPr="00ED0D6D">
              <w:rPr>
                <w:b/>
                <w:bCs/>
                <w:sz w:val="20"/>
              </w:rPr>
              <w:t>Vietos pokytis</w:t>
            </w:r>
          </w:p>
        </w:tc>
        <w:tc>
          <w:tcPr>
            <w:tcW w:w="1324" w:type="dxa"/>
            <w:vMerge w:val="restart"/>
            <w:shd w:val="clear" w:color="auto" w:fill="DBE5F1" w:themeFill="accent1" w:themeFillTint="33"/>
            <w:vAlign w:val="center"/>
          </w:tcPr>
          <w:p w14:paraId="5075F852" w14:textId="77777777" w:rsidR="00975F26" w:rsidRPr="00ED0D6D" w:rsidRDefault="00975F26" w:rsidP="002A479B">
            <w:pPr>
              <w:jc w:val="center"/>
              <w:rPr>
                <w:b/>
                <w:bCs/>
                <w:sz w:val="20"/>
              </w:rPr>
            </w:pPr>
            <w:r w:rsidRPr="00ED0D6D">
              <w:rPr>
                <w:b/>
                <w:bCs/>
                <w:sz w:val="20"/>
              </w:rPr>
              <w:t>Pasiekimo tikimybė</w:t>
            </w:r>
          </w:p>
        </w:tc>
        <w:tc>
          <w:tcPr>
            <w:tcW w:w="3087" w:type="dxa"/>
            <w:gridSpan w:val="2"/>
            <w:shd w:val="clear" w:color="auto" w:fill="DBE5F1" w:themeFill="accent1" w:themeFillTint="33"/>
            <w:vAlign w:val="center"/>
          </w:tcPr>
          <w:p w14:paraId="58C432EF" w14:textId="77777777" w:rsidR="00975F26" w:rsidRPr="00ED0D6D" w:rsidRDefault="00975F26" w:rsidP="002A479B">
            <w:pPr>
              <w:jc w:val="center"/>
              <w:rPr>
                <w:b/>
                <w:bCs/>
                <w:sz w:val="20"/>
              </w:rPr>
            </w:pPr>
            <w:r w:rsidRPr="00ED0D6D">
              <w:rPr>
                <w:b/>
                <w:bCs/>
                <w:sz w:val="20"/>
              </w:rPr>
              <w:t>Siektinos reikšmės</w:t>
            </w:r>
          </w:p>
        </w:tc>
      </w:tr>
      <w:tr w:rsidR="00975F26" w:rsidRPr="00ED0D6D" w14:paraId="4073619D" w14:textId="77777777" w:rsidTr="002A479B">
        <w:trPr>
          <w:trHeight w:val="20"/>
          <w:tblHeader/>
          <w:jc w:val="center"/>
        </w:trPr>
        <w:tc>
          <w:tcPr>
            <w:tcW w:w="3657" w:type="dxa"/>
            <w:vMerge/>
            <w:shd w:val="clear" w:color="auto" w:fill="DBE5F1" w:themeFill="accent1" w:themeFillTint="33"/>
            <w:vAlign w:val="center"/>
          </w:tcPr>
          <w:p w14:paraId="12243FF8" w14:textId="77777777" w:rsidR="00975F26" w:rsidRPr="00ED0D6D" w:rsidRDefault="00975F26" w:rsidP="002A479B">
            <w:pPr>
              <w:jc w:val="center"/>
              <w:rPr>
                <w:b/>
                <w:bCs/>
                <w:sz w:val="20"/>
              </w:rPr>
            </w:pPr>
          </w:p>
        </w:tc>
        <w:tc>
          <w:tcPr>
            <w:tcW w:w="1606" w:type="dxa"/>
            <w:shd w:val="clear" w:color="auto" w:fill="DBE5F1" w:themeFill="accent1" w:themeFillTint="33"/>
            <w:vAlign w:val="center"/>
          </w:tcPr>
          <w:p w14:paraId="13B6D64D" w14:textId="77777777" w:rsidR="00975F26" w:rsidRPr="00ED0D6D" w:rsidRDefault="00975F26" w:rsidP="002A479B">
            <w:pPr>
              <w:jc w:val="center"/>
              <w:rPr>
                <w:b/>
                <w:bCs/>
                <w:sz w:val="20"/>
              </w:rPr>
            </w:pPr>
            <w:r w:rsidRPr="00ED0D6D">
              <w:rPr>
                <w:b/>
                <w:bCs/>
                <w:sz w:val="20"/>
              </w:rPr>
              <w:t xml:space="preserve">ES27 </w:t>
            </w:r>
            <w:r>
              <w:rPr>
                <w:b/>
                <w:bCs/>
                <w:sz w:val="20"/>
              </w:rPr>
              <w:t>vidurkis</w:t>
            </w:r>
          </w:p>
        </w:tc>
        <w:tc>
          <w:tcPr>
            <w:tcW w:w="1369" w:type="dxa"/>
            <w:shd w:val="clear" w:color="auto" w:fill="DBE5F1" w:themeFill="accent1" w:themeFillTint="33"/>
            <w:vAlign w:val="center"/>
          </w:tcPr>
          <w:p w14:paraId="68480D34" w14:textId="77777777" w:rsidR="00975F26" w:rsidRPr="00ED0D6D" w:rsidRDefault="00975F26" w:rsidP="002A479B">
            <w:pPr>
              <w:jc w:val="center"/>
              <w:rPr>
                <w:b/>
                <w:bCs/>
                <w:sz w:val="20"/>
              </w:rPr>
            </w:pPr>
            <w:r>
              <w:rPr>
                <w:b/>
                <w:bCs/>
                <w:sz w:val="20"/>
              </w:rPr>
              <w:t>Lietuva (</w:t>
            </w:r>
            <w:r w:rsidRPr="00ED0D6D">
              <w:rPr>
                <w:b/>
                <w:bCs/>
                <w:sz w:val="20"/>
              </w:rPr>
              <w:t>LT</w:t>
            </w:r>
            <w:r>
              <w:rPr>
                <w:b/>
                <w:bCs/>
                <w:sz w:val="20"/>
              </w:rPr>
              <w:t>)</w:t>
            </w:r>
          </w:p>
        </w:tc>
        <w:tc>
          <w:tcPr>
            <w:tcW w:w="1560" w:type="dxa"/>
            <w:shd w:val="clear" w:color="auto" w:fill="DBE5F1" w:themeFill="accent1" w:themeFillTint="33"/>
            <w:vAlign w:val="center"/>
          </w:tcPr>
          <w:p w14:paraId="2F2F7DCD" w14:textId="77777777" w:rsidR="00975F26" w:rsidRPr="00ED0D6D" w:rsidRDefault="00975F26" w:rsidP="002A479B">
            <w:pPr>
              <w:jc w:val="center"/>
              <w:rPr>
                <w:b/>
                <w:bCs/>
                <w:sz w:val="20"/>
              </w:rPr>
            </w:pPr>
            <w:r w:rsidRPr="00ED0D6D">
              <w:rPr>
                <w:b/>
                <w:bCs/>
                <w:sz w:val="20"/>
              </w:rPr>
              <w:t>2009–2010</w:t>
            </w:r>
          </w:p>
        </w:tc>
        <w:tc>
          <w:tcPr>
            <w:tcW w:w="1275" w:type="dxa"/>
            <w:shd w:val="clear" w:color="auto" w:fill="DBE5F1" w:themeFill="accent1" w:themeFillTint="33"/>
            <w:vAlign w:val="center"/>
          </w:tcPr>
          <w:p w14:paraId="4BF9E941" w14:textId="77777777" w:rsidR="00975F26" w:rsidRPr="00ED0D6D" w:rsidRDefault="00975F26" w:rsidP="002A479B">
            <w:pPr>
              <w:jc w:val="center"/>
              <w:rPr>
                <w:b/>
                <w:bCs/>
                <w:sz w:val="20"/>
              </w:rPr>
            </w:pPr>
            <w:r w:rsidRPr="00ED0D6D">
              <w:rPr>
                <w:b/>
                <w:bCs/>
                <w:sz w:val="20"/>
              </w:rPr>
              <w:t>2019–2020</w:t>
            </w:r>
          </w:p>
        </w:tc>
        <w:tc>
          <w:tcPr>
            <w:tcW w:w="1417" w:type="dxa"/>
            <w:vMerge/>
            <w:shd w:val="clear" w:color="auto" w:fill="DBE5F1" w:themeFill="accent1" w:themeFillTint="33"/>
            <w:vAlign w:val="center"/>
          </w:tcPr>
          <w:p w14:paraId="4D763CE7" w14:textId="77777777" w:rsidR="00975F26" w:rsidRPr="00ED0D6D" w:rsidRDefault="00975F26" w:rsidP="002A479B">
            <w:pPr>
              <w:jc w:val="center"/>
              <w:rPr>
                <w:b/>
                <w:bCs/>
                <w:sz w:val="20"/>
              </w:rPr>
            </w:pPr>
          </w:p>
        </w:tc>
        <w:tc>
          <w:tcPr>
            <w:tcW w:w="1324" w:type="dxa"/>
            <w:vMerge/>
            <w:shd w:val="clear" w:color="auto" w:fill="DBE5F1" w:themeFill="accent1" w:themeFillTint="33"/>
            <w:vAlign w:val="center"/>
          </w:tcPr>
          <w:p w14:paraId="4C0B3F09" w14:textId="77777777" w:rsidR="00975F26" w:rsidRPr="00ED0D6D" w:rsidRDefault="00975F26" w:rsidP="002A479B">
            <w:pPr>
              <w:jc w:val="center"/>
              <w:rPr>
                <w:b/>
                <w:bCs/>
                <w:sz w:val="20"/>
              </w:rPr>
            </w:pPr>
          </w:p>
        </w:tc>
        <w:tc>
          <w:tcPr>
            <w:tcW w:w="1467" w:type="dxa"/>
            <w:shd w:val="clear" w:color="auto" w:fill="DBE5F1" w:themeFill="accent1" w:themeFillTint="33"/>
            <w:vAlign w:val="center"/>
          </w:tcPr>
          <w:p w14:paraId="667E234B" w14:textId="77777777" w:rsidR="00975F26" w:rsidRPr="00ED0D6D" w:rsidRDefault="00975F26" w:rsidP="002A479B">
            <w:pPr>
              <w:jc w:val="center"/>
              <w:rPr>
                <w:b/>
                <w:bCs/>
                <w:sz w:val="20"/>
              </w:rPr>
            </w:pPr>
            <w:r w:rsidRPr="00ED0D6D">
              <w:rPr>
                <w:b/>
                <w:bCs/>
                <w:sz w:val="20"/>
              </w:rPr>
              <w:t>2020</w:t>
            </w:r>
          </w:p>
        </w:tc>
        <w:tc>
          <w:tcPr>
            <w:tcW w:w="1620" w:type="dxa"/>
            <w:shd w:val="clear" w:color="auto" w:fill="DBE5F1" w:themeFill="accent1" w:themeFillTint="33"/>
            <w:vAlign w:val="center"/>
          </w:tcPr>
          <w:p w14:paraId="101CEB16" w14:textId="77777777" w:rsidR="00975F26" w:rsidRPr="00ED0D6D" w:rsidRDefault="00975F26" w:rsidP="002A479B">
            <w:pPr>
              <w:jc w:val="center"/>
              <w:rPr>
                <w:b/>
                <w:bCs/>
                <w:sz w:val="20"/>
              </w:rPr>
            </w:pPr>
            <w:r w:rsidRPr="00ED0D6D">
              <w:rPr>
                <w:b/>
                <w:bCs/>
                <w:sz w:val="20"/>
              </w:rPr>
              <w:t>2030</w:t>
            </w:r>
          </w:p>
        </w:tc>
      </w:tr>
      <w:tr w:rsidR="00975F26" w:rsidRPr="00ED0D6D" w14:paraId="4D5F769E" w14:textId="77777777" w:rsidTr="002A479B">
        <w:trPr>
          <w:trHeight w:val="20"/>
          <w:jc w:val="center"/>
        </w:trPr>
        <w:tc>
          <w:tcPr>
            <w:tcW w:w="3657" w:type="dxa"/>
          </w:tcPr>
          <w:p w14:paraId="2574ADD6" w14:textId="77777777" w:rsidR="00975F26" w:rsidRPr="00ED0D6D" w:rsidRDefault="00975F26" w:rsidP="002A479B">
            <w:pPr>
              <w:rPr>
                <w:b/>
                <w:bCs/>
                <w:sz w:val="20"/>
              </w:rPr>
            </w:pPr>
            <w:r w:rsidRPr="00ED0D6D">
              <w:rPr>
                <w:b/>
                <w:bCs/>
                <w:sz w:val="20"/>
              </w:rPr>
              <w:t>Suminis inovatyvumo indeksas</w:t>
            </w:r>
          </w:p>
          <w:p w14:paraId="083DB081" w14:textId="77777777" w:rsidR="00975F26" w:rsidRPr="00ED0D6D" w:rsidRDefault="00975F26" w:rsidP="002A479B">
            <w:pPr>
              <w:rPr>
                <w:b/>
                <w:bCs/>
                <w:sz w:val="20"/>
              </w:rPr>
            </w:pPr>
            <w:r w:rsidRPr="00ED0D6D">
              <w:rPr>
                <w:bCs/>
                <w:sz w:val="20"/>
              </w:rPr>
              <w:t>Inovacijų sąjungos švieslentė, 2010</w:t>
            </w:r>
          </w:p>
        </w:tc>
        <w:tc>
          <w:tcPr>
            <w:tcW w:w="1606" w:type="dxa"/>
            <w:shd w:val="clear" w:color="auto" w:fill="F2F2F2" w:themeFill="background1" w:themeFillShade="F2"/>
          </w:tcPr>
          <w:p w14:paraId="41A8FC76" w14:textId="77777777" w:rsidR="00975F26" w:rsidRPr="00ED0D6D" w:rsidRDefault="00975F26" w:rsidP="002A479B">
            <w:pPr>
              <w:jc w:val="center"/>
              <w:rPr>
                <w:bCs/>
                <w:sz w:val="20"/>
              </w:rPr>
            </w:pPr>
            <w:r w:rsidRPr="00ED0D6D">
              <w:rPr>
                <w:bCs/>
                <w:sz w:val="20"/>
              </w:rPr>
              <w:t>0,465</w:t>
            </w:r>
          </w:p>
        </w:tc>
        <w:tc>
          <w:tcPr>
            <w:tcW w:w="1369" w:type="dxa"/>
            <w:shd w:val="clear" w:color="auto" w:fill="F2F2F2" w:themeFill="background1" w:themeFillShade="F2"/>
          </w:tcPr>
          <w:p w14:paraId="0AEA0C2B" w14:textId="77777777" w:rsidR="00975F26" w:rsidRPr="00ED0D6D" w:rsidRDefault="00975F26" w:rsidP="002A479B">
            <w:pPr>
              <w:jc w:val="center"/>
              <w:rPr>
                <w:bCs/>
                <w:sz w:val="20"/>
              </w:rPr>
            </w:pPr>
            <w:r w:rsidRPr="00ED0D6D">
              <w:rPr>
                <w:bCs/>
                <w:sz w:val="20"/>
              </w:rPr>
              <w:t>0,227</w:t>
            </w:r>
          </w:p>
        </w:tc>
        <w:tc>
          <w:tcPr>
            <w:tcW w:w="1560" w:type="dxa"/>
            <w:shd w:val="clear" w:color="auto" w:fill="F2F2F2" w:themeFill="background1" w:themeFillShade="F2"/>
          </w:tcPr>
          <w:p w14:paraId="4FE1842B" w14:textId="77777777" w:rsidR="00975F26" w:rsidRPr="00ED0D6D" w:rsidRDefault="00975F26" w:rsidP="002A479B">
            <w:pPr>
              <w:jc w:val="center"/>
              <w:rPr>
                <w:bCs/>
                <w:sz w:val="20"/>
              </w:rPr>
            </w:pPr>
            <w:r w:rsidRPr="00ED0D6D">
              <w:rPr>
                <w:bCs/>
                <w:sz w:val="20"/>
              </w:rPr>
              <w:t>25 vieta ES</w:t>
            </w:r>
          </w:p>
        </w:tc>
        <w:tc>
          <w:tcPr>
            <w:tcW w:w="1275" w:type="dxa"/>
            <w:shd w:val="clear" w:color="auto" w:fill="FFFFFF" w:themeFill="background1"/>
          </w:tcPr>
          <w:p w14:paraId="19984874" w14:textId="77777777" w:rsidR="00975F26" w:rsidRDefault="00975F26" w:rsidP="002A479B">
            <w:pPr>
              <w:ind w:firstLine="50"/>
              <w:jc w:val="center"/>
              <w:rPr>
                <w:b/>
                <w:sz w:val="20"/>
              </w:rPr>
            </w:pPr>
            <w:r w:rsidRPr="002811D1">
              <w:rPr>
                <w:b/>
                <w:sz w:val="20"/>
              </w:rPr>
              <w:t>7 vieta ES</w:t>
            </w:r>
          </w:p>
          <w:p w14:paraId="02205406" w14:textId="77777777" w:rsidR="00975F26" w:rsidRPr="002811D1" w:rsidRDefault="00975F26" w:rsidP="002A479B">
            <w:pPr>
              <w:ind w:firstLine="50"/>
              <w:jc w:val="center"/>
              <w:rPr>
                <w:b/>
                <w:sz w:val="20"/>
              </w:rPr>
            </w:pPr>
            <w:r w:rsidRPr="002811D1">
              <w:rPr>
                <w:b/>
                <w:sz w:val="20"/>
              </w:rPr>
              <w:t>0,40</w:t>
            </w:r>
          </w:p>
          <w:p w14:paraId="2D442167" w14:textId="77777777" w:rsidR="00975F26" w:rsidRPr="002811D1" w:rsidRDefault="00975F26" w:rsidP="002A479B">
            <w:pPr>
              <w:ind w:firstLine="50"/>
              <w:jc w:val="center"/>
              <w:rPr>
                <w:b/>
                <w:sz w:val="20"/>
              </w:rPr>
            </w:pPr>
          </w:p>
          <w:p w14:paraId="29C2413E" w14:textId="77777777" w:rsidR="00975F26" w:rsidRPr="00ED0D6D" w:rsidRDefault="00975F26" w:rsidP="002A479B">
            <w:pPr>
              <w:ind w:firstLine="50"/>
              <w:jc w:val="center"/>
              <w:rPr>
                <w:bCs/>
                <w:sz w:val="20"/>
              </w:rPr>
            </w:pPr>
          </w:p>
        </w:tc>
        <w:tc>
          <w:tcPr>
            <w:tcW w:w="1417" w:type="dxa"/>
            <w:shd w:val="clear" w:color="auto" w:fill="F2F2F2" w:themeFill="background1" w:themeFillShade="F2"/>
          </w:tcPr>
          <w:p w14:paraId="1C4DA352" w14:textId="77777777" w:rsidR="00975F26" w:rsidRPr="00ED0D6D" w:rsidRDefault="00975F26" w:rsidP="002A479B">
            <w:pPr>
              <w:ind w:firstLine="50"/>
              <w:jc w:val="center"/>
              <w:rPr>
                <w:bCs/>
                <w:sz w:val="20"/>
              </w:rPr>
            </w:pPr>
            <w:r w:rsidRPr="00ED0D6D">
              <w:rPr>
                <w:bCs/>
                <w:sz w:val="20"/>
              </w:rPr>
              <w:t>+</w:t>
            </w:r>
            <w:r>
              <w:rPr>
                <w:bCs/>
                <w:sz w:val="20"/>
              </w:rPr>
              <w:t>18</w:t>
            </w:r>
          </w:p>
        </w:tc>
        <w:tc>
          <w:tcPr>
            <w:tcW w:w="1324" w:type="dxa"/>
            <w:shd w:val="clear" w:color="auto" w:fill="auto"/>
          </w:tcPr>
          <w:p w14:paraId="697F3251" w14:textId="77777777" w:rsidR="00975F26" w:rsidRPr="00ED0D6D" w:rsidRDefault="00975F26" w:rsidP="002A479B">
            <w:pPr>
              <w:ind w:firstLine="50"/>
              <w:jc w:val="center"/>
              <w:rPr>
                <w:b/>
                <w:bCs/>
                <w:sz w:val="20"/>
              </w:rPr>
            </w:pPr>
            <w:r>
              <w:rPr>
                <w:b/>
                <w:bCs/>
                <w:sz w:val="20"/>
              </w:rPr>
              <w:t>d</w:t>
            </w:r>
            <w:r w:rsidRPr="00ED0D6D">
              <w:rPr>
                <w:b/>
                <w:bCs/>
                <w:sz w:val="20"/>
              </w:rPr>
              <w:t>idelė</w:t>
            </w:r>
          </w:p>
        </w:tc>
        <w:tc>
          <w:tcPr>
            <w:tcW w:w="1467" w:type="dxa"/>
            <w:shd w:val="clear" w:color="auto" w:fill="FFFFFF" w:themeFill="background1"/>
          </w:tcPr>
          <w:p w14:paraId="4FBA29BD" w14:textId="77777777" w:rsidR="00975F26" w:rsidRPr="00ED0D6D" w:rsidRDefault="00975F26" w:rsidP="002A479B">
            <w:pPr>
              <w:ind w:firstLine="50"/>
              <w:jc w:val="center"/>
              <w:rPr>
                <w:bCs/>
                <w:sz w:val="20"/>
              </w:rPr>
            </w:pPr>
            <w:r w:rsidRPr="00ED0D6D">
              <w:rPr>
                <w:bCs/>
                <w:sz w:val="20"/>
              </w:rPr>
              <w:t xml:space="preserve">15 vieta ES </w:t>
            </w:r>
          </w:p>
          <w:p w14:paraId="33E0091C" w14:textId="77777777" w:rsidR="00975F26" w:rsidRPr="00ED0D6D" w:rsidRDefault="00975F26" w:rsidP="002A479B">
            <w:pPr>
              <w:jc w:val="center"/>
              <w:rPr>
                <w:bCs/>
                <w:sz w:val="20"/>
              </w:rPr>
            </w:pPr>
          </w:p>
        </w:tc>
        <w:tc>
          <w:tcPr>
            <w:tcW w:w="1620" w:type="dxa"/>
            <w:shd w:val="clear" w:color="auto" w:fill="FFFFFF" w:themeFill="background1"/>
          </w:tcPr>
          <w:p w14:paraId="34CA3BA8" w14:textId="77777777" w:rsidR="00975F26" w:rsidRPr="00ED0D6D" w:rsidRDefault="00975F26" w:rsidP="002A479B">
            <w:pPr>
              <w:jc w:val="center"/>
              <w:rPr>
                <w:bCs/>
                <w:sz w:val="20"/>
              </w:rPr>
            </w:pPr>
            <w:r w:rsidRPr="00ED0D6D">
              <w:rPr>
                <w:bCs/>
                <w:sz w:val="20"/>
              </w:rPr>
              <w:t>ne žemesnė negu 10 vieta ES</w:t>
            </w:r>
          </w:p>
        </w:tc>
      </w:tr>
      <w:tr w:rsidR="00975F26" w:rsidRPr="00ED0D6D" w14:paraId="03019335" w14:textId="77777777" w:rsidTr="002A479B">
        <w:trPr>
          <w:trHeight w:val="20"/>
          <w:jc w:val="center"/>
        </w:trPr>
        <w:tc>
          <w:tcPr>
            <w:tcW w:w="3657" w:type="dxa"/>
          </w:tcPr>
          <w:p w14:paraId="62567C63" w14:textId="77777777" w:rsidR="00975F26" w:rsidRPr="00ED0D6D" w:rsidRDefault="00975F26" w:rsidP="002A479B">
            <w:pPr>
              <w:rPr>
                <w:b/>
                <w:bCs/>
                <w:sz w:val="20"/>
              </w:rPr>
            </w:pPr>
            <w:r w:rsidRPr="00ED0D6D">
              <w:rPr>
                <w:b/>
                <w:bCs/>
                <w:sz w:val="20"/>
              </w:rPr>
              <w:t xml:space="preserve">Verslo aplinkos indeksas </w:t>
            </w:r>
          </w:p>
          <w:p w14:paraId="2AEEDEDF" w14:textId="77777777" w:rsidR="00975F26" w:rsidRPr="00ED0D6D" w:rsidRDefault="00975F26" w:rsidP="002A479B">
            <w:pPr>
              <w:rPr>
                <w:bCs/>
                <w:sz w:val="20"/>
              </w:rPr>
            </w:pPr>
            <w:proofErr w:type="spellStart"/>
            <w:r w:rsidRPr="00ED0D6D">
              <w:rPr>
                <w:bCs/>
                <w:i/>
                <w:sz w:val="20"/>
              </w:rPr>
              <w:t>Doing</w:t>
            </w:r>
            <w:proofErr w:type="spellEnd"/>
            <w:r w:rsidRPr="00ED0D6D">
              <w:rPr>
                <w:bCs/>
                <w:i/>
                <w:sz w:val="20"/>
              </w:rPr>
              <w:t xml:space="preserve"> </w:t>
            </w:r>
            <w:proofErr w:type="spellStart"/>
            <w:r>
              <w:rPr>
                <w:bCs/>
                <w:i/>
                <w:sz w:val="20"/>
              </w:rPr>
              <w:t>B</w:t>
            </w:r>
            <w:r w:rsidRPr="00ED0D6D">
              <w:rPr>
                <w:bCs/>
                <w:i/>
                <w:sz w:val="20"/>
              </w:rPr>
              <w:t>usiness</w:t>
            </w:r>
            <w:proofErr w:type="spellEnd"/>
            <w:r w:rsidRPr="00ED0D6D">
              <w:rPr>
                <w:bCs/>
                <w:sz w:val="20"/>
              </w:rPr>
              <w:t>, 2012</w:t>
            </w:r>
          </w:p>
        </w:tc>
        <w:tc>
          <w:tcPr>
            <w:tcW w:w="1606" w:type="dxa"/>
            <w:shd w:val="clear" w:color="auto" w:fill="F2F2F2" w:themeFill="background1" w:themeFillShade="F2"/>
          </w:tcPr>
          <w:p w14:paraId="28E8E2FC" w14:textId="77777777" w:rsidR="00975F26" w:rsidRPr="00ED0D6D" w:rsidRDefault="00975F26" w:rsidP="002A479B">
            <w:pPr>
              <w:jc w:val="center"/>
              <w:rPr>
                <w:bCs/>
                <w:sz w:val="20"/>
              </w:rPr>
            </w:pPr>
            <w:r w:rsidRPr="00ED0D6D">
              <w:rPr>
                <w:bCs/>
                <w:sz w:val="20"/>
              </w:rPr>
              <w:t>–</w:t>
            </w:r>
          </w:p>
        </w:tc>
        <w:tc>
          <w:tcPr>
            <w:tcW w:w="1369" w:type="dxa"/>
            <w:shd w:val="clear" w:color="auto" w:fill="F2F2F2" w:themeFill="background1" w:themeFillShade="F2"/>
          </w:tcPr>
          <w:p w14:paraId="0958AC73" w14:textId="77777777" w:rsidR="00975F26" w:rsidRPr="00ED0D6D" w:rsidRDefault="00975F26" w:rsidP="002A479B">
            <w:pPr>
              <w:jc w:val="center"/>
              <w:rPr>
                <w:bCs/>
                <w:sz w:val="20"/>
              </w:rPr>
            </w:pPr>
            <w:r w:rsidRPr="00ED0D6D">
              <w:rPr>
                <w:bCs/>
                <w:sz w:val="20"/>
              </w:rPr>
              <w:t>9 vieta ES</w:t>
            </w:r>
          </w:p>
        </w:tc>
        <w:tc>
          <w:tcPr>
            <w:tcW w:w="1560" w:type="dxa"/>
            <w:shd w:val="clear" w:color="auto" w:fill="F2F2F2" w:themeFill="background1" w:themeFillShade="F2"/>
          </w:tcPr>
          <w:p w14:paraId="29DC7585" w14:textId="77777777" w:rsidR="00975F26" w:rsidRPr="00ED0D6D" w:rsidRDefault="00975F26" w:rsidP="002A479B">
            <w:pPr>
              <w:jc w:val="center"/>
              <w:rPr>
                <w:bCs/>
                <w:sz w:val="20"/>
              </w:rPr>
            </w:pPr>
            <w:r w:rsidRPr="00ED0D6D">
              <w:rPr>
                <w:bCs/>
                <w:sz w:val="20"/>
              </w:rPr>
              <w:t>9 vieta ES</w:t>
            </w:r>
          </w:p>
        </w:tc>
        <w:tc>
          <w:tcPr>
            <w:tcW w:w="1275" w:type="dxa"/>
            <w:shd w:val="clear" w:color="auto" w:fill="FFFFFF" w:themeFill="background1"/>
          </w:tcPr>
          <w:p w14:paraId="09953C92" w14:textId="77777777" w:rsidR="00975F26" w:rsidRPr="00DC2F4F" w:rsidRDefault="00975F26" w:rsidP="002A479B">
            <w:pPr>
              <w:jc w:val="center"/>
              <w:rPr>
                <w:b/>
                <w:bCs/>
                <w:sz w:val="20"/>
              </w:rPr>
            </w:pPr>
            <w:r>
              <w:rPr>
                <w:b/>
                <w:bCs/>
                <w:color w:val="000000"/>
                <w:sz w:val="20"/>
              </w:rPr>
              <w:t>4 vieta ES</w:t>
            </w:r>
          </w:p>
        </w:tc>
        <w:tc>
          <w:tcPr>
            <w:tcW w:w="1417" w:type="dxa"/>
            <w:shd w:val="clear" w:color="auto" w:fill="F2F2F2" w:themeFill="background1" w:themeFillShade="F2"/>
          </w:tcPr>
          <w:p w14:paraId="3D416AEE" w14:textId="77777777" w:rsidR="00975F26" w:rsidRPr="00ED0D6D" w:rsidRDefault="00975F26" w:rsidP="002A479B">
            <w:pPr>
              <w:jc w:val="center"/>
              <w:rPr>
                <w:bCs/>
                <w:sz w:val="20"/>
              </w:rPr>
            </w:pPr>
            <w:r w:rsidRPr="00ED0D6D">
              <w:rPr>
                <w:bCs/>
                <w:sz w:val="20"/>
              </w:rPr>
              <w:t>+</w:t>
            </w:r>
            <w:r>
              <w:rPr>
                <w:bCs/>
                <w:sz w:val="20"/>
              </w:rPr>
              <w:t>5</w:t>
            </w:r>
          </w:p>
        </w:tc>
        <w:tc>
          <w:tcPr>
            <w:tcW w:w="1324" w:type="dxa"/>
            <w:shd w:val="clear" w:color="auto" w:fill="auto"/>
          </w:tcPr>
          <w:p w14:paraId="11B007A7" w14:textId="77777777" w:rsidR="00975F26" w:rsidRPr="00ED0D6D" w:rsidRDefault="00975F26" w:rsidP="002A479B">
            <w:pPr>
              <w:jc w:val="center"/>
              <w:rPr>
                <w:b/>
                <w:bCs/>
                <w:sz w:val="20"/>
              </w:rPr>
            </w:pPr>
            <w:r>
              <w:rPr>
                <w:b/>
                <w:bCs/>
                <w:sz w:val="20"/>
              </w:rPr>
              <w:t>d</w:t>
            </w:r>
            <w:r w:rsidRPr="00ED0D6D">
              <w:rPr>
                <w:b/>
                <w:bCs/>
                <w:sz w:val="20"/>
              </w:rPr>
              <w:t>idelė</w:t>
            </w:r>
          </w:p>
        </w:tc>
        <w:tc>
          <w:tcPr>
            <w:tcW w:w="1467" w:type="dxa"/>
            <w:shd w:val="clear" w:color="auto" w:fill="FFFFFF" w:themeFill="background1"/>
          </w:tcPr>
          <w:p w14:paraId="29224751" w14:textId="77777777" w:rsidR="00975F26" w:rsidRPr="00ED0D6D" w:rsidRDefault="00975F26" w:rsidP="002A479B">
            <w:pPr>
              <w:jc w:val="center"/>
              <w:rPr>
                <w:bCs/>
                <w:sz w:val="20"/>
              </w:rPr>
            </w:pPr>
            <w:r w:rsidRPr="00ED0D6D">
              <w:rPr>
                <w:bCs/>
                <w:sz w:val="20"/>
              </w:rPr>
              <w:t>ne žemesnė negu 5 vieta ES</w:t>
            </w:r>
          </w:p>
        </w:tc>
        <w:tc>
          <w:tcPr>
            <w:tcW w:w="1620" w:type="dxa"/>
            <w:shd w:val="clear" w:color="auto" w:fill="FFFFFF" w:themeFill="background1"/>
          </w:tcPr>
          <w:p w14:paraId="2316CA5D" w14:textId="77777777" w:rsidR="00975F26" w:rsidRPr="00ED0D6D" w:rsidRDefault="00975F26" w:rsidP="002A479B">
            <w:pPr>
              <w:jc w:val="center"/>
              <w:rPr>
                <w:bCs/>
                <w:sz w:val="20"/>
              </w:rPr>
            </w:pPr>
            <w:r w:rsidRPr="00ED0D6D">
              <w:rPr>
                <w:bCs/>
                <w:sz w:val="20"/>
              </w:rPr>
              <w:t xml:space="preserve">pirma vieta tarp </w:t>
            </w:r>
            <w:r w:rsidRPr="00ED0D6D">
              <w:rPr>
                <w:sz w:val="20"/>
              </w:rPr>
              <w:t>Šiaurės ir Baltijos valstybių</w:t>
            </w:r>
            <w:r w:rsidRPr="00ED0D6D">
              <w:rPr>
                <w:bCs/>
                <w:sz w:val="20"/>
              </w:rPr>
              <w:t xml:space="preserve"> regiono šalių, </w:t>
            </w:r>
          </w:p>
          <w:p w14:paraId="3C5E26C1" w14:textId="77777777" w:rsidR="00975F26" w:rsidRPr="00ED0D6D" w:rsidRDefault="00975F26" w:rsidP="002A479B">
            <w:pPr>
              <w:jc w:val="center"/>
              <w:rPr>
                <w:bCs/>
                <w:sz w:val="20"/>
              </w:rPr>
            </w:pPr>
            <w:r w:rsidRPr="00ED0D6D">
              <w:rPr>
                <w:bCs/>
                <w:sz w:val="20"/>
              </w:rPr>
              <w:t>ne žemesnė negu 3 vieta ES</w:t>
            </w:r>
          </w:p>
        </w:tc>
      </w:tr>
      <w:tr w:rsidR="00975F26" w:rsidRPr="00ED0D6D" w14:paraId="7918E634" w14:textId="77777777" w:rsidTr="002A479B">
        <w:trPr>
          <w:trHeight w:val="20"/>
          <w:jc w:val="center"/>
        </w:trPr>
        <w:tc>
          <w:tcPr>
            <w:tcW w:w="3657" w:type="dxa"/>
          </w:tcPr>
          <w:p w14:paraId="6E790A9A" w14:textId="77777777" w:rsidR="00975F26" w:rsidRPr="00ED0D6D" w:rsidRDefault="00975F26" w:rsidP="002A479B">
            <w:pPr>
              <w:tabs>
                <w:tab w:val="left" w:pos="720"/>
                <w:tab w:val="left" w:pos="1477"/>
              </w:tabs>
              <w:rPr>
                <w:b/>
                <w:bCs/>
                <w:sz w:val="20"/>
              </w:rPr>
            </w:pPr>
            <w:r w:rsidRPr="00ED0D6D">
              <w:rPr>
                <w:b/>
                <w:bCs/>
                <w:sz w:val="20"/>
              </w:rPr>
              <w:t>Bendras</w:t>
            </w:r>
            <w:r>
              <w:rPr>
                <w:b/>
                <w:bCs/>
                <w:sz w:val="20"/>
              </w:rPr>
              <w:t>is</w:t>
            </w:r>
            <w:r w:rsidRPr="00ED0D6D">
              <w:rPr>
                <w:b/>
                <w:bCs/>
                <w:sz w:val="20"/>
              </w:rPr>
              <w:t xml:space="preserve"> vidaus produktas (</w:t>
            </w:r>
            <w:r>
              <w:rPr>
                <w:b/>
                <w:bCs/>
                <w:sz w:val="20"/>
              </w:rPr>
              <w:t xml:space="preserve">toliau – </w:t>
            </w:r>
            <w:r w:rsidRPr="00ED0D6D">
              <w:rPr>
                <w:b/>
                <w:bCs/>
                <w:sz w:val="20"/>
              </w:rPr>
              <w:t>BVP) vienam gyventojui, perkamosios galios standartais</w:t>
            </w:r>
          </w:p>
          <w:p w14:paraId="3498B88C" w14:textId="77777777" w:rsidR="00975F26" w:rsidRPr="00ED0D6D" w:rsidRDefault="00975F26" w:rsidP="002A479B">
            <w:pPr>
              <w:tabs>
                <w:tab w:val="left" w:pos="720"/>
                <w:tab w:val="left" w:pos="1477"/>
              </w:tabs>
              <w:rPr>
                <w:bCs/>
                <w:sz w:val="20"/>
              </w:rPr>
            </w:pPr>
            <w:r w:rsidRPr="00ED0D6D">
              <w:rPr>
                <w:bCs/>
                <w:sz w:val="20"/>
              </w:rPr>
              <w:t>Eurostatas, 2010</w:t>
            </w:r>
          </w:p>
        </w:tc>
        <w:tc>
          <w:tcPr>
            <w:tcW w:w="1606" w:type="dxa"/>
            <w:shd w:val="clear" w:color="auto" w:fill="F2F2F2" w:themeFill="background1" w:themeFillShade="F2"/>
          </w:tcPr>
          <w:p w14:paraId="61ECB457" w14:textId="77777777" w:rsidR="00975F26" w:rsidRPr="00ED0D6D" w:rsidRDefault="00975F26" w:rsidP="002A479B">
            <w:pPr>
              <w:tabs>
                <w:tab w:val="left" w:pos="720"/>
                <w:tab w:val="left" w:pos="1477"/>
              </w:tabs>
              <w:jc w:val="center"/>
              <w:rPr>
                <w:bCs/>
                <w:sz w:val="20"/>
              </w:rPr>
            </w:pPr>
            <w:r w:rsidRPr="00ED0D6D">
              <w:rPr>
                <w:bCs/>
                <w:sz w:val="20"/>
              </w:rPr>
              <w:t>100 proc.</w:t>
            </w:r>
          </w:p>
        </w:tc>
        <w:tc>
          <w:tcPr>
            <w:tcW w:w="1369" w:type="dxa"/>
            <w:shd w:val="clear" w:color="auto" w:fill="F2F2F2" w:themeFill="background1" w:themeFillShade="F2"/>
          </w:tcPr>
          <w:p w14:paraId="50CF5382" w14:textId="77777777" w:rsidR="00975F26" w:rsidRPr="00ED0D6D" w:rsidRDefault="00975F26" w:rsidP="002A479B">
            <w:pPr>
              <w:tabs>
                <w:tab w:val="left" w:pos="720"/>
                <w:tab w:val="left" w:pos="1477"/>
              </w:tabs>
              <w:jc w:val="center"/>
              <w:rPr>
                <w:bCs/>
                <w:sz w:val="20"/>
              </w:rPr>
            </w:pPr>
            <w:r w:rsidRPr="00ED0D6D">
              <w:rPr>
                <w:bCs/>
                <w:sz w:val="20"/>
              </w:rPr>
              <w:t>57 proc.</w:t>
            </w:r>
          </w:p>
        </w:tc>
        <w:tc>
          <w:tcPr>
            <w:tcW w:w="1560" w:type="dxa"/>
            <w:shd w:val="clear" w:color="auto" w:fill="F2F2F2" w:themeFill="background1" w:themeFillShade="F2"/>
          </w:tcPr>
          <w:p w14:paraId="3CC37D44" w14:textId="77777777" w:rsidR="00975F26" w:rsidRPr="00ED0D6D" w:rsidRDefault="00975F26" w:rsidP="002A479B">
            <w:pPr>
              <w:tabs>
                <w:tab w:val="left" w:pos="720"/>
                <w:tab w:val="left" w:pos="1477"/>
              </w:tabs>
              <w:jc w:val="center"/>
              <w:rPr>
                <w:bCs/>
                <w:sz w:val="20"/>
              </w:rPr>
            </w:pPr>
            <w:r w:rsidRPr="00ED0D6D">
              <w:rPr>
                <w:bCs/>
                <w:sz w:val="20"/>
              </w:rPr>
              <w:t>24 vieta ES</w:t>
            </w:r>
          </w:p>
        </w:tc>
        <w:tc>
          <w:tcPr>
            <w:tcW w:w="1275" w:type="dxa"/>
            <w:shd w:val="clear" w:color="auto" w:fill="FFFFFF" w:themeFill="background1"/>
          </w:tcPr>
          <w:p w14:paraId="32A967C8" w14:textId="77777777" w:rsidR="00975F26" w:rsidRPr="002811D1" w:rsidRDefault="00975F26" w:rsidP="002A479B">
            <w:pPr>
              <w:ind w:firstLine="50"/>
              <w:jc w:val="center"/>
              <w:rPr>
                <w:b/>
                <w:sz w:val="20"/>
              </w:rPr>
            </w:pPr>
            <w:r w:rsidRPr="002811D1">
              <w:rPr>
                <w:b/>
                <w:sz w:val="20"/>
              </w:rPr>
              <w:t xml:space="preserve">84 proc. </w:t>
            </w:r>
          </w:p>
          <w:p w14:paraId="27FF2179" w14:textId="77777777" w:rsidR="00975F26" w:rsidRPr="00ED0D6D" w:rsidRDefault="00975F26" w:rsidP="002A479B">
            <w:pPr>
              <w:ind w:firstLine="50"/>
              <w:jc w:val="center"/>
              <w:rPr>
                <w:bCs/>
                <w:sz w:val="20"/>
              </w:rPr>
            </w:pPr>
            <w:r w:rsidRPr="002811D1">
              <w:rPr>
                <w:b/>
                <w:sz w:val="20"/>
              </w:rPr>
              <w:t xml:space="preserve"> 12 vieta ES</w:t>
            </w:r>
          </w:p>
        </w:tc>
        <w:tc>
          <w:tcPr>
            <w:tcW w:w="1417" w:type="dxa"/>
            <w:shd w:val="clear" w:color="auto" w:fill="F2F2F2" w:themeFill="background1" w:themeFillShade="F2"/>
          </w:tcPr>
          <w:p w14:paraId="01B3F32E" w14:textId="77777777" w:rsidR="00975F26" w:rsidRPr="00ED0D6D" w:rsidRDefault="00975F26" w:rsidP="002A479B">
            <w:pPr>
              <w:ind w:firstLine="50"/>
              <w:jc w:val="center"/>
              <w:rPr>
                <w:bCs/>
                <w:sz w:val="20"/>
              </w:rPr>
            </w:pPr>
            <w:r w:rsidRPr="00ED0D6D">
              <w:rPr>
                <w:bCs/>
                <w:sz w:val="20"/>
              </w:rPr>
              <w:t>+</w:t>
            </w:r>
            <w:r>
              <w:rPr>
                <w:bCs/>
                <w:sz w:val="20"/>
              </w:rPr>
              <w:t>12</w:t>
            </w:r>
          </w:p>
        </w:tc>
        <w:tc>
          <w:tcPr>
            <w:tcW w:w="1324" w:type="dxa"/>
            <w:shd w:val="clear" w:color="auto" w:fill="auto"/>
          </w:tcPr>
          <w:p w14:paraId="6F84E57A" w14:textId="77777777" w:rsidR="00975F26" w:rsidRPr="00ED0D6D" w:rsidRDefault="00975F26" w:rsidP="002A479B">
            <w:pPr>
              <w:ind w:firstLine="50"/>
              <w:jc w:val="center"/>
              <w:rPr>
                <w:b/>
                <w:bCs/>
                <w:sz w:val="20"/>
              </w:rPr>
            </w:pPr>
            <w:r>
              <w:rPr>
                <w:b/>
                <w:bCs/>
                <w:sz w:val="20"/>
              </w:rPr>
              <w:t>d</w:t>
            </w:r>
            <w:r w:rsidRPr="00ED0D6D">
              <w:rPr>
                <w:b/>
                <w:bCs/>
                <w:sz w:val="20"/>
              </w:rPr>
              <w:t>idelė</w:t>
            </w:r>
          </w:p>
        </w:tc>
        <w:tc>
          <w:tcPr>
            <w:tcW w:w="1467" w:type="dxa"/>
            <w:shd w:val="clear" w:color="auto" w:fill="FFFFFF" w:themeFill="background1"/>
          </w:tcPr>
          <w:p w14:paraId="58647B3F" w14:textId="77777777" w:rsidR="00975F26" w:rsidRPr="00ED0D6D" w:rsidRDefault="00975F26" w:rsidP="002A479B">
            <w:pPr>
              <w:ind w:firstLine="50"/>
              <w:jc w:val="center"/>
              <w:rPr>
                <w:bCs/>
                <w:sz w:val="20"/>
              </w:rPr>
            </w:pPr>
            <w:r w:rsidRPr="00ED0D6D">
              <w:rPr>
                <w:bCs/>
                <w:sz w:val="20"/>
              </w:rPr>
              <w:t xml:space="preserve">15 vieta ES </w:t>
            </w:r>
          </w:p>
          <w:p w14:paraId="21D90F75" w14:textId="77777777" w:rsidR="00975F26" w:rsidRPr="00ED0D6D" w:rsidRDefault="00975F26" w:rsidP="002A479B">
            <w:pPr>
              <w:tabs>
                <w:tab w:val="left" w:pos="720"/>
                <w:tab w:val="left" w:pos="1477"/>
              </w:tabs>
              <w:jc w:val="center"/>
              <w:rPr>
                <w:bCs/>
                <w:color w:val="FF0000"/>
                <w:sz w:val="20"/>
              </w:rPr>
            </w:pPr>
          </w:p>
        </w:tc>
        <w:tc>
          <w:tcPr>
            <w:tcW w:w="1620" w:type="dxa"/>
            <w:shd w:val="clear" w:color="auto" w:fill="FFFFFF" w:themeFill="background1"/>
          </w:tcPr>
          <w:p w14:paraId="1F32C0BD" w14:textId="77777777" w:rsidR="00975F26" w:rsidRPr="00ED0D6D" w:rsidRDefault="00975F26" w:rsidP="002A479B">
            <w:pPr>
              <w:tabs>
                <w:tab w:val="left" w:pos="720"/>
                <w:tab w:val="left" w:pos="1477"/>
              </w:tabs>
              <w:jc w:val="center"/>
              <w:rPr>
                <w:bCs/>
                <w:sz w:val="20"/>
              </w:rPr>
            </w:pPr>
            <w:r w:rsidRPr="00ED0D6D">
              <w:rPr>
                <w:bCs/>
                <w:sz w:val="20"/>
              </w:rPr>
              <w:t>ne žemesnė negu 10 vieta ES</w:t>
            </w:r>
          </w:p>
        </w:tc>
      </w:tr>
      <w:tr w:rsidR="00975F26" w:rsidRPr="00ED0D6D" w14:paraId="75E0B5B2" w14:textId="77777777" w:rsidTr="002A479B">
        <w:trPr>
          <w:trHeight w:val="20"/>
          <w:jc w:val="center"/>
        </w:trPr>
        <w:tc>
          <w:tcPr>
            <w:tcW w:w="3657" w:type="dxa"/>
            <w:shd w:val="clear" w:color="auto" w:fill="FFFFFF" w:themeFill="background1"/>
          </w:tcPr>
          <w:p w14:paraId="4B444709" w14:textId="77777777" w:rsidR="00975F26" w:rsidRPr="00ED0D6D" w:rsidRDefault="00975F26" w:rsidP="002A479B">
            <w:pPr>
              <w:rPr>
                <w:b/>
                <w:sz w:val="20"/>
              </w:rPr>
            </w:pPr>
            <w:r w:rsidRPr="00ED0D6D">
              <w:rPr>
                <w:b/>
                <w:sz w:val="20"/>
              </w:rPr>
              <w:lastRenderedPageBreak/>
              <w:t>Integracijos į užsienio rinkas indeksas</w:t>
            </w:r>
          </w:p>
          <w:p w14:paraId="1565FEB6" w14:textId="77777777" w:rsidR="00975F26" w:rsidRPr="00ED0D6D" w:rsidRDefault="00975F26" w:rsidP="002A479B">
            <w:pPr>
              <w:rPr>
                <w:b/>
                <w:bCs/>
                <w:sz w:val="20"/>
              </w:rPr>
            </w:pPr>
            <w:r w:rsidRPr="00ED0D6D">
              <w:rPr>
                <w:bCs/>
                <w:sz w:val="20"/>
              </w:rPr>
              <w:t>Eurostatas, 2009</w:t>
            </w:r>
          </w:p>
        </w:tc>
        <w:tc>
          <w:tcPr>
            <w:tcW w:w="1606" w:type="dxa"/>
            <w:shd w:val="clear" w:color="auto" w:fill="F2F2F2" w:themeFill="background1" w:themeFillShade="F2"/>
          </w:tcPr>
          <w:p w14:paraId="04E948D0" w14:textId="77777777" w:rsidR="00975F26" w:rsidRPr="00ED0D6D" w:rsidRDefault="00975F26" w:rsidP="002A479B">
            <w:pPr>
              <w:jc w:val="center"/>
              <w:rPr>
                <w:bCs/>
                <w:sz w:val="20"/>
              </w:rPr>
            </w:pPr>
            <w:r w:rsidRPr="00ED0D6D">
              <w:rPr>
                <w:bCs/>
                <w:sz w:val="20"/>
              </w:rPr>
              <w:t>2,1 proc.</w:t>
            </w:r>
          </w:p>
        </w:tc>
        <w:tc>
          <w:tcPr>
            <w:tcW w:w="1369" w:type="dxa"/>
            <w:shd w:val="clear" w:color="auto" w:fill="F2F2F2" w:themeFill="background1" w:themeFillShade="F2"/>
          </w:tcPr>
          <w:p w14:paraId="049B0BFD" w14:textId="77777777" w:rsidR="00975F26" w:rsidRPr="00ED0D6D" w:rsidRDefault="00975F26" w:rsidP="002A479B">
            <w:pPr>
              <w:jc w:val="center"/>
              <w:rPr>
                <w:bCs/>
                <w:sz w:val="20"/>
              </w:rPr>
            </w:pPr>
            <w:r w:rsidRPr="00ED0D6D">
              <w:rPr>
                <w:bCs/>
                <w:sz w:val="20"/>
              </w:rPr>
              <w:t>0,5 proc.</w:t>
            </w:r>
          </w:p>
        </w:tc>
        <w:tc>
          <w:tcPr>
            <w:tcW w:w="1560" w:type="dxa"/>
            <w:shd w:val="clear" w:color="auto" w:fill="F2F2F2" w:themeFill="background1" w:themeFillShade="F2"/>
          </w:tcPr>
          <w:p w14:paraId="4B2793C5" w14:textId="77777777" w:rsidR="00975F26" w:rsidRPr="00ED0D6D" w:rsidRDefault="00975F26" w:rsidP="002A479B">
            <w:pPr>
              <w:jc w:val="center"/>
              <w:rPr>
                <w:bCs/>
                <w:sz w:val="20"/>
              </w:rPr>
            </w:pPr>
            <w:r w:rsidRPr="00ED0D6D">
              <w:rPr>
                <w:bCs/>
                <w:sz w:val="20"/>
              </w:rPr>
              <w:t>23 vieta ES</w:t>
            </w:r>
          </w:p>
        </w:tc>
        <w:tc>
          <w:tcPr>
            <w:tcW w:w="1275" w:type="dxa"/>
            <w:shd w:val="clear" w:color="auto" w:fill="FFFFFF" w:themeFill="background1"/>
          </w:tcPr>
          <w:p w14:paraId="485CC282" w14:textId="77777777" w:rsidR="00975F26" w:rsidRPr="002811D1" w:rsidRDefault="00975F26" w:rsidP="002A479B">
            <w:pPr>
              <w:ind w:firstLine="50"/>
              <w:jc w:val="center"/>
              <w:rPr>
                <w:b/>
                <w:sz w:val="20"/>
              </w:rPr>
            </w:pPr>
            <w:r w:rsidRPr="002811D1">
              <w:rPr>
                <w:b/>
                <w:sz w:val="20"/>
              </w:rPr>
              <w:t>23 vieta ES</w:t>
            </w:r>
            <w:r w:rsidRPr="00F46DD0">
              <w:rPr>
                <w:rStyle w:val="Puslapioinaosnuoroda"/>
                <w:bCs/>
                <w:sz w:val="20"/>
              </w:rPr>
              <w:footnoteReference w:id="12"/>
            </w:r>
          </w:p>
          <w:p w14:paraId="299EDC2E" w14:textId="77777777" w:rsidR="00975F26" w:rsidRPr="00ED0D6D" w:rsidRDefault="00975F26" w:rsidP="002A479B">
            <w:pPr>
              <w:ind w:firstLine="50"/>
              <w:jc w:val="center"/>
              <w:rPr>
                <w:bCs/>
                <w:sz w:val="20"/>
              </w:rPr>
            </w:pPr>
          </w:p>
        </w:tc>
        <w:tc>
          <w:tcPr>
            <w:tcW w:w="1417" w:type="dxa"/>
            <w:shd w:val="clear" w:color="auto" w:fill="F2F2F2" w:themeFill="background1" w:themeFillShade="F2"/>
          </w:tcPr>
          <w:p w14:paraId="4E719A37" w14:textId="77777777" w:rsidR="00975F26" w:rsidRPr="00ED0D6D" w:rsidRDefault="00975F26" w:rsidP="002A479B">
            <w:pPr>
              <w:ind w:firstLine="50"/>
              <w:jc w:val="center"/>
              <w:rPr>
                <w:bCs/>
                <w:sz w:val="20"/>
              </w:rPr>
            </w:pPr>
            <w:r w:rsidRPr="00ED0D6D">
              <w:rPr>
                <w:bCs/>
                <w:sz w:val="20"/>
              </w:rPr>
              <w:t>0</w:t>
            </w:r>
          </w:p>
        </w:tc>
        <w:tc>
          <w:tcPr>
            <w:tcW w:w="1324" w:type="dxa"/>
            <w:shd w:val="clear" w:color="auto" w:fill="auto"/>
          </w:tcPr>
          <w:p w14:paraId="77361116" w14:textId="77777777" w:rsidR="00975F26" w:rsidRPr="00ED0D6D" w:rsidRDefault="00975F26" w:rsidP="002A479B">
            <w:pPr>
              <w:ind w:firstLine="50"/>
              <w:jc w:val="center"/>
              <w:rPr>
                <w:b/>
                <w:bCs/>
                <w:sz w:val="20"/>
              </w:rPr>
            </w:pPr>
            <w:r>
              <w:rPr>
                <w:b/>
                <w:bCs/>
                <w:sz w:val="20"/>
              </w:rPr>
              <w:t>m</w:t>
            </w:r>
            <w:r w:rsidRPr="00ED0D6D">
              <w:rPr>
                <w:b/>
                <w:bCs/>
                <w:sz w:val="20"/>
              </w:rPr>
              <w:t>aža</w:t>
            </w:r>
          </w:p>
        </w:tc>
        <w:tc>
          <w:tcPr>
            <w:tcW w:w="1467" w:type="dxa"/>
            <w:shd w:val="clear" w:color="auto" w:fill="FFFFFF" w:themeFill="background1"/>
          </w:tcPr>
          <w:p w14:paraId="703A626A" w14:textId="77777777" w:rsidR="00975F26" w:rsidRPr="00ED0D6D" w:rsidRDefault="00975F26" w:rsidP="002A479B">
            <w:pPr>
              <w:ind w:firstLine="50"/>
              <w:jc w:val="center"/>
              <w:rPr>
                <w:bCs/>
                <w:sz w:val="20"/>
              </w:rPr>
            </w:pPr>
            <w:r w:rsidRPr="00ED0D6D">
              <w:rPr>
                <w:bCs/>
                <w:sz w:val="20"/>
              </w:rPr>
              <w:t xml:space="preserve">15 vieta ES </w:t>
            </w:r>
          </w:p>
          <w:p w14:paraId="0ADE6C3B" w14:textId="77777777" w:rsidR="00975F26" w:rsidRPr="00ED0D6D" w:rsidRDefault="00975F26" w:rsidP="002A479B">
            <w:pPr>
              <w:jc w:val="center"/>
              <w:rPr>
                <w:bCs/>
                <w:sz w:val="20"/>
              </w:rPr>
            </w:pPr>
          </w:p>
        </w:tc>
        <w:tc>
          <w:tcPr>
            <w:tcW w:w="1620" w:type="dxa"/>
            <w:shd w:val="clear" w:color="auto" w:fill="FFFFFF" w:themeFill="background1"/>
          </w:tcPr>
          <w:p w14:paraId="11EAC052" w14:textId="77777777" w:rsidR="00975F26" w:rsidRPr="00ED0D6D" w:rsidRDefault="00975F26" w:rsidP="002A479B">
            <w:pPr>
              <w:jc w:val="center"/>
              <w:rPr>
                <w:bCs/>
                <w:sz w:val="20"/>
              </w:rPr>
            </w:pPr>
            <w:r w:rsidRPr="00ED0D6D">
              <w:rPr>
                <w:bCs/>
                <w:sz w:val="20"/>
              </w:rPr>
              <w:t>ne žemesnė negu 10 vieta ES</w:t>
            </w:r>
          </w:p>
        </w:tc>
      </w:tr>
      <w:tr w:rsidR="00975F26" w:rsidRPr="00ED0D6D" w14:paraId="396B1F3C" w14:textId="77777777" w:rsidTr="002A479B">
        <w:trPr>
          <w:trHeight w:val="20"/>
          <w:jc w:val="center"/>
        </w:trPr>
        <w:tc>
          <w:tcPr>
            <w:tcW w:w="3657" w:type="dxa"/>
          </w:tcPr>
          <w:p w14:paraId="48A75870" w14:textId="77777777" w:rsidR="00975F26" w:rsidRPr="00ED0D6D" w:rsidRDefault="00975F26" w:rsidP="002A479B">
            <w:pPr>
              <w:rPr>
                <w:b/>
                <w:sz w:val="20"/>
              </w:rPr>
            </w:pPr>
            <w:r w:rsidRPr="00ED0D6D">
              <w:rPr>
                <w:b/>
                <w:sz w:val="20"/>
              </w:rPr>
              <w:t xml:space="preserve">Naujų įmonių proc. nuo bendro įmonių skaičiaus </w:t>
            </w:r>
          </w:p>
          <w:p w14:paraId="56F89462" w14:textId="77777777" w:rsidR="00975F26" w:rsidRPr="00ED0D6D" w:rsidRDefault="00975F26" w:rsidP="002A479B">
            <w:pPr>
              <w:rPr>
                <w:sz w:val="20"/>
              </w:rPr>
            </w:pPr>
            <w:proofErr w:type="spellStart"/>
            <w:r w:rsidRPr="00ED0D6D">
              <w:rPr>
                <w:bCs/>
                <w:i/>
                <w:sz w:val="20"/>
              </w:rPr>
              <w:t>The</w:t>
            </w:r>
            <w:proofErr w:type="spellEnd"/>
            <w:r w:rsidRPr="00ED0D6D">
              <w:rPr>
                <w:bCs/>
                <w:i/>
                <w:sz w:val="20"/>
              </w:rPr>
              <w:t xml:space="preserve"> </w:t>
            </w:r>
            <w:proofErr w:type="spellStart"/>
            <w:r w:rsidRPr="00ED0D6D">
              <w:rPr>
                <w:bCs/>
                <w:i/>
                <w:sz w:val="20"/>
              </w:rPr>
              <w:t>World</w:t>
            </w:r>
            <w:r>
              <w:rPr>
                <w:bCs/>
                <w:i/>
                <w:sz w:val="20"/>
              </w:rPr>
              <w:t>’</w:t>
            </w:r>
            <w:r w:rsidRPr="00ED0D6D">
              <w:rPr>
                <w:bCs/>
                <w:i/>
                <w:sz w:val="20"/>
              </w:rPr>
              <w:t>s</w:t>
            </w:r>
            <w:proofErr w:type="spellEnd"/>
            <w:r w:rsidRPr="00ED0D6D">
              <w:rPr>
                <w:bCs/>
                <w:i/>
                <w:sz w:val="20"/>
              </w:rPr>
              <w:t xml:space="preserve"> </w:t>
            </w:r>
            <w:proofErr w:type="spellStart"/>
            <w:r w:rsidRPr="00ED0D6D">
              <w:rPr>
                <w:bCs/>
                <w:i/>
                <w:sz w:val="20"/>
              </w:rPr>
              <w:t>Business</w:t>
            </w:r>
            <w:proofErr w:type="spellEnd"/>
            <w:r w:rsidRPr="00ED0D6D">
              <w:rPr>
                <w:bCs/>
                <w:i/>
                <w:sz w:val="20"/>
              </w:rPr>
              <w:t xml:space="preserve"> </w:t>
            </w:r>
            <w:proofErr w:type="spellStart"/>
            <w:r w:rsidRPr="00ED0D6D">
              <w:rPr>
                <w:bCs/>
                <w:i/>
                <w:sz w:val="20"/>
              </w:rPr>
              <w:t>School</w:t>
            </w:r>
            <w:proofErr w:type="spellEnd"/>
            <w:r w:rsidRPr="00ED0D6D">
              <w:rPr>
                <w:bCs/>
                <w:sz w:val="20"/>
              </w:rPr>
              <w:t xml:space="preserve"> INSEAD (2009–2010)</w:t>
            </w:r>
          </w:p>
        </w:tc>
        <w:tc>
          <w:tcPr>
            <w:tcW w:w="1606" w:type="dxa"/>
            <w:shd w:val="clear" w:color="auto" w:fill="F2F2F2" w:themeFill="background1" w:themeFillShade="F2"/>
          </w:tcPr>
          <w:p w14:paraId="19614952" w14:textId="77777777" w:rsidR="00975F26" w:rsidRPr="00ED0D6D" w:rsidRDefault="00975F26" w:rsidP="002A479B">
            <w:pPr>
              <w:jc w:val="center"/>
              <w:rPr>
                <w:bCs/>
                <w:sz w:val="20"/>
              </w:rPr>
            </w:pPr>
            <w:r w:rsidRPr="00ED0D6D">
              <w:rPr>
                <w:bCs/>
                <w:sz w:val="20"/>
              </w:rPr>
              <w:t>2,07 proc.</w:t>
            </w:r>
          </w:p>
        </w:tc>
        <w:tc>
          <w:tcPr>
            <w:tcW w:w="1369" w:type="dxa"/>
            <w:shd w:val="clear" w:color="auto" w:fill="F2F2F2" w:themeFill="background1" w:themeFillShade="F2"/>
          </w:tcPr>
          <w:p w14:paraId="4446A0D6" w14:textId="77777777" w:rsidR="00975F26" w:rsidRPr="00ED0D6D" w:rsidRDefault="00975F26" w:rsidP="002A479B">
            <w:pPr>
              <w:jc w:val="center"/>
              <w:rPr>
                <w:bCs/>
                <w:sz w:val="20"/>
              </w:rPr>
            </w:pPr>
            <w:r w:rsidRPr="00ED0D6D">
              <w:rPr>
                <w:bCs/>
                <w:sz w:val="20"/>
              </w:rPr>
              <w:t>1,59 proc.</w:t>
            </w:r>
          </w:p>
        </w:tc>
        <w:tc>
          <w:tcPr>
            <w:tcW w:w="1560" w:type="dxa"/>
            <w:shd w:val="clear" w:color="auto" w:fill="F2F2F2" w:themeFill="background1" w:themeFillShade="F2"/>
          </w:tcPr>
          <w:p w14:paraId="6495079C" w14:textId="77777777" w:rsidR="00975F26" w:rsidRPr="00ED0D6D" w:rsidRDefault="00975F26" w:rsidP="002A479B">
            <w:pPr>
              <w:jc w:val="center"/>
              <w:rPr>
                <w:bCs/>
                <w:sz w:val="20"/>
              </w:rPr>
            </w:pPr>
            <w:r w:rsidRPr="00ED0D6D">
              <w:rPr>
                <w:bCs/>
                <w:sz w:val="20"/>
              </w:rPr>
              <w:t>18 vieta ES</w:t>
            </w:r>
          </w:p>
        </w:tc>
        <w:tc>
          <w:tcPr>
            <w:tcW w:w="1275" w:type="dxa"/>
            <w:shd w:val="clear" w:color="auto" w:fill="FFFFFF" w:themeFill="background1"/>
          </w:tcPr>
          <w:p w14:paraId="4451CBA8" w14:textId="77777777" w:rsidR="00975F26" w:rsidRPr="002811D1" w:rsidRDefault="00975F26" w:rsidP="002A479B">
            <w:pPr>
              <w:ind w:firstLine="50"/>
              <w:jc w:val="center"/>
              <w:rPr>
                <w:b/>
                <w:sz w:val="20"/>
              </w:rPr>
            </w:pPr>
            <w:r w:rsidRPr="002811D1">
              <w:rPr>
                <w:b/>
                <w:sz w:val="20"/>
              </w:rPr>
              <w:t>11 vieta ES</w:t>
            </w:r>
            <w:r w:rsidRPr="00F46DD0">
              <w:rPr>
                <w:rStyle w:val="Puslapioinaosnuoroda"/>
                <w:bCs/>
                <w:sz w:val="20"/>
              </w:rPr>
              <w:footnoteReference w:id="13"/>
            </w:r>
            <w:r w:rsidRPr="00F46DD0">
              <w:rPr>
                <w:bCs/>
                <w:sz w:val="20"/>
              </w:rPr>
              <w:t xml:space="preserve"> </w:t>
            </w:r>
          </w:p>
          <w:p w14:paraId="10FEB9A9" w14:textId="77777777" w:rsidR="00975F26" w:rsidRPr="002811D1" w:rsidRDefault="00975F26" w:rsidP="002A479B">
            <w:pPr>
              <w:ind w:firstLine="50"/>
              <w:jc w:val="center"/>
              <w:rPr>
                <w:b/>
                <w:sz w:val="20"/>
              </w:rPr>
            </w:pPr>
            <w:r w:rsidRPr="002811D1">
              <w:rPr>
                <w:b/>
                <w:sz w:val="20"/>
              </w:rPr>
              <w:t xml:space="preserve">4,07 proc. </w:t>
            </w:r>
          </w:p>
          <w:p w14:paraId="172542C4" w14:textId="77777777" w:rsidR="00975F26" w:rsidRPr="00ED0D6D" w:rsidRDefault="00975F26" w:rsidP="002A479B">
            <w:pPr>
              <w:ind w:firstLine="50"/>
              <w:rPr>
                <w:bCs/>
                <w:sz w:val="20"/>
              </w:rPr>
            </w:pPr>
          </w:p>
        </w:tc>
        <w:tc>
          <w:tcPr>
            <w:tcW w:w="1417" w:type="dxa"/>
            <w:shd w:val="clear" w:color="auto" w:fill="F2F2F2" w:themeFill="background1" w:themeFillShade="F2"/>
          </w:tcPr>
          <w:p w14:paraId="0B7F1FCA" w14:textId="77777777" w:rsidR="00975F26" w:rsidRPr="00ED0D6D" w:rsidRDefault="00975F26" w:rsidP="002A479B">
            <w:pPr>
              <w:ind w:firstLine="50"/>
              <w:jc w:val="center"/>
              <w:rPr>
                <w:bCs/>
                <w:sz w:val="20"/>
              </w:rPr>
            </w:pPr>
            <w:r w:rsidRPr="00ED0D6D">
              <w:rPr>
                <w:bCs/>
                <w:sz w:val="20"/>
              </w:rPr>
              <w:t>+7</w:t>
            </w:r>
          </w:p>
        </w:tc>
        <w:tc>
          <w:tcPr>
            <w:tcW w:w="1324" w:type="dxa"/>
            <w:shd w:val="clear" w:color="auto" w:fill="auto"/>
          </w:tcPr>
          <w:p w14:paraId="26F33FE8" w14:textId="77777777" w:rsidR="00975F26" w:rsidRPr="00ED0D6D" w:rsidRDefault="00975F26" w:rsidP="002A479B">
            <w:pPr>
              <w:ind w:firstLine="50"/>
              <w:jc w:val="center"/>
              <w:rPr>
                <w:b/>
                <w:bCs/>
                <w:sz w:val="20"/>
              </w:rPr>
            </w:pPr>
            <w:r>
              <w:rPr>
                <w:b/>
                <w:bCs/>
                <w:sz w:val="20"/>
              </w:rPr>
              <w:t>d</w:t>
            </w:r>
            <w:r w:rsidRPr="00ED0D6D">
              <w:rPr>
                <w:b/>
                <w:bCs/>
                <w:sz w:val="20"/>
              </w:rPr>
              <w:t>idelė</w:t>
            </w:r>
          </w:p>
        </w:tc>
        <w:tc>
          <w:tcPr>
            <w:tcW w:w="1467" w:type="dxa"/>
            <w:shd w:val="clear" w:color="auto" w:fill="FFFFFF" w:themeFill="background1"/>
          </w:tcPr>
          <w:p w14:paraId="5CE7719C" w14:textId="77777777" w:rsidR="00975F26" w:rsidRPr="00ED0D6D" w:rsidRDefault="00975F26" w:rsidP="002A479B">
            <w:pPr>
              <w:ind w:firstLine="50"/>
              <w:jc w:val="center"/>
              <w:rPr>
                <w:bCs/>
                <w:sz w:val="20"/>
              </w:rPr>
            </w:pPr>
            <w:r w:rsidRPr="00ED0D6D">
              <w:rPr>
                <w:bCs/>
                <w:sz w:val="20"/>
              </w:rPr>
              <w:t xml:space="preserve">14 vieta ES </w:t>
            </w:r>
          </w:p>
          <w:p w14:paraId="35FE4EB4" w14:textId="77777777" w:rsidR="00975F26" w:rsidRPr="00ED0D6D" w:rsidRDefault="00975F26" w:rsidP="002A479B">
            <w:pPr>
              <w:jc w:val="center"/>
              <w:rPr>
                <w:bCs/>
                <w:sz w:val="20"/>
              </w:rPr>
            </w:pPr>
          </w:p>
        </w:tc>
        <w:tc>
          <w:tcPr>
            <w:tcW w:w="1620" w:type="dxa"/>
            <w:shd w:val="clear" w:color="auto" w:fill="FFFFFF" w:themeFill="background1"/>
          </w:tcPr>
          <w:p w14:paraId="781E31D8" w14:textId="77777777" w:rsidR="00975F26" w:rsidRPr="00ED0D6D" w:rsidRDefault="00975F26" w:rsidP="002A479B">
            <w:pPr>
              <w:jc w:val="center"/>
              <w:rPr>
                <w:bCs/>
                <w:sz w:val="20"/>
              </w:rPr>
            </w:pPr>
            <w:r w:rsidRPr="00ED0D6D">
              <w:rPr>
                <w:bCs/>
                <w:sz w:val="20"/>
              </w:rPr>
              <w:t>ne žemesnė negu 10 vieta ES</w:t>
            </w:r>
          </w:p>
        </w:tc>
      </w:tr>
      <w:tr w:rsidR="00975F26" w:rsidRPr="00ED0D6D" w14:paraId="4E927ED6" w14:textId="77777777" w:rsidTr="002A479B">
        <w:trPr>
          <w:trHeight w:val="20"/>
          <w:jc w:val="center"/>
        </w:trPr>
        <w:tc>
          <w:tcPr>
            <w:tcW w:w="3657" w:type="dxa"/>
          </w:tcPr>
          <w:p w14:paraId="5D9A0CB3" w14:textId="77777777" w:rsidR="00975F26" w:rsidRPr="00ED0D6D" w:rsidRDefault="00975F26" w:rsidP="002A479B">
            <w:pPr>
              <w:rPr>
                <w:b/>
                <w:bCs/>
                <w:sz w:val="20"/>
              </w:rPr>
            </w:pPr>
            <w:r w:rsidRPr="00ED0D6D">
              <w:rPr>
                <w:b/>
                <w:bCs/>
                <w:sz w:val="20"/>
              </w:rPr>
              <w:t xml:space="preserve">Verslo išlaidos </w:t>
            </w:r>
            <w:r>
              <w:rPr>
                <w:b/>
                <w:bCs/>
                <w:sz w:val="20"/>
              </w:rPr>
              <w:t xml:space="preserve">moksliniams tyrimams ir eksperimentinei plėtrai (toliau – </w:t>
            </w:r>
            <w:r w:rsidRPr="00ED0D6D">
              <w:rPr>
                <w:b/>
                <w:bCs/>
                <w:sz w:val="20"/>
              </w:rPr>
              <w:t>MTEP</w:t>
            </w:r>
            <w:r>
              <w:rPr>
                <w:b/>
                <w:bCs/>
                <w:sz w:val="20"/>
              </w:rPr>
              <w:t>)</w:t>
            </w:r>
            <w:r w:rsidRPr="00ED0D6D">
              <w:rPr>
                <w:b/>
                <w:bCs/>
                <w:sz w:val="20"/>
              </w:rPr>
              <w:t xml:space="preserve"> (BVP procentais)</w:t>
            </w:r>
          </w:p>
          <w:p w14:paraId="79E608F0" w14:textId="77777777" w:rsidR="00975F26" w:rsidRPr="00ED0D6D" w:rsidRDefault="00975F26" w:rsidP="002A479B">
            <w:pPr>
              <w:rPr>
                <w:bCs/>
                <w:sz w:val="20"/>
              </w:rPr>
            </w:pPr>
            <w:r w:rsidRPr="00ED0D6D">
              <w:rPr>
                <w:bCs/>
                <w:sz w:val="20"/>
              </w:rPr>
              <w:t>Eurostatas, 2009</w:t>
            </w:r>
          </w:p>
        </w:tc>
        <w:tc>
          <w:tcPr>
            <w:tcW w:w="1606" w:type="dxa"/>
            <w:shd w:val="clear" w:color="auto" w:fill="F2F2F2" w:themeFill="background1" w:themeFillShade="F2"/>
          </w:tcPr>
          <w:p w14:paraId="08F1DE32" w14:textId="77777777" w:rsidR="00975F26" w:rsidRPr="00ED0D6D" w:rsidRDefault="00975F26" w:rsidP="002A479B">
            <w:pPr>
              <w:jc w:val="center"/>
              <w:rPr>
                <w:bCs/>
                <w:sz w:val="20"/>
              </w:rPr>
            </w:pPr>
            <w:r w:rsidRPr="00ED0D6D">
              <w:rPr>
                <w:bCs/>
                <w:sz w:val="20"/>
              </w:rPr>
              <w:t>1,25 proc.</w:t>
            </w:r>
          </w:p>
        </w:tc>
        <w:tc>
          <w:tcPr>
            <w:tcW w:w="1369" w:type="dxa"/>
            <w:shd w:val="clear" w:color="auto" w:fill="F2F2F2" w:themeFill="background1" w:themeFillShade="F2"/>
          </w:tcPr>
          <w:p w14:paraId="41E5D325" w14:textId="77777777" w:rsidR="00975F26" w:rsidRPr="00ED0D6D" w:rsidRDefault="00975F26" w:rsidP="002A479B">
            <w:pPr>
              <w:jc w:val="center"/>
              <w:rPr>
                <w:bCs/>
                <w:sz w:val="20"/>
              </w:rPr>
            </w:pPr>
            <w:r w:rsidRPr="00ED0D6D">
              <w:rPr>
                <w:bCs/>
                <w:sz w:val="20"/>
              </w:rPr>
              <w:t>0,2 proc.</w:t>
            </w:r>
          </w:p>
        </w:tc>
        <w:tc>
          <w:tcPr>
            <w:tcW w:w="1560" w:type="dxa"/>
            <w:shd w:val="clear" w:color="auto" w:fill="F2F2F2" w:themeFill="background1" w:themeFillShade="F2"/>
          </w:tcPr>
          <w:p w14:paraId="28E20803" w14:textId="77777777" w:rsidR="00975F26" w:rsidRPr="00ED0D6D" w:rsidRDefault="00975F26" w:rsidP="002A479B">
            <w:pPr>
              <w:jc w:val="center"/>
              <w:rPr>
                <w:bCs/>
                <w:sz w:val="20"/>
              </w:rPr>
            </w:pPr>
            <w:r w:rsidRPr="00ED0D6D">
              <w:rPr>
                <w:bCs/>
                <w:sz w:val="20"/>
              </w:rPr>
              <w:t>20 vieta ES</w:t>
            </w:r>
          </w:p>
        </w:tc>
        <w:tc>
          <w:tcPr>
            <w:tcW w:w="1275" w:type="dxa"/>
            <w:shd w:val="clear" w:color="auto" w:fill="FFFFFF" w:themeFill="background1"/>
          </w:tcPr>
          <w:p w14:paraId="025A1F34" w14:textId="77777777" w:rsidR="00975F26" w:rsidRPr="002811D1" w:rsidRDefault="00975F26" w:rsidP="002A479B">
            <w:pPr>
              <w:jc w:val="center"/>
              <w:rPr>
                <w:b/>
                <w:sz w:val="20"/>
              </w:rPr>
            </w:pPr>
            <w:r w:rsidRPr="002811D1">
              <w:rPr>
                <w:b/>
                <w:sz w:val="20"/>
              </w:rPr>
              <w:t xml:space="preserve">24 vieta ES 0,43 proc.       </w:t>
            </w:r>
          </w:p>
          <w:p w14:paraId="566BC5A3" w14:textId="77777777" w:rsidR="00975F26" w:rsidRPr="00ED0D6D" w:rsidRDefault="00975F26" w:rsidP="002A479B">
            <w:pPr>
              <w:jc w:val="center"/>
              <w:rPr>
                <w:bCs/>
                <w:sz w:val="20"/>
              </w:rPr>
            </w:pPr>
          </w:p>
        </w:tc>
        <w:tc>
          <w:tcPr>
            <w:tcW w:w="1417" w:type="dxa"/>
            <w:shd w:val="clear" w:color="auto" w:fill="F2F2F2" w:themeFill="background1" w:themeFillShade="F2"/>
          </w:tcPr>
          <w:p w14:paraId="7F89DD73" w14:textId="77777777" w:rsidR="00975F26" w:rsidRPr="00ED0D6D" w:rsidRDefault="00975F26" w:rsidP="002A479B">
            <w:pPr>
              <w:jc w:val="center"/>
              <w:rPr>
                <w:bCs/>
                <w:sz w:val="20"/>
              </w:rPr>
            </w:pPr>
            <w:r w:rsidRPr="00ED0D6D">
              <w:rPr>
                <w:bCs/>
                <w:sz w:val="20"/>
              </w:rPr>
              <w:t>-</w:t>
            </w:r>
            <w:r>
              <w:rPr>
                <w:bCs/>
                <w:sz w:val="20"/>
              </w:rPr>
              <w:t>4</w:t>
            </w:r>
          </w:p>
        </w:tc>
        <w:tc>
          <w:tcPr>
            <w:tcW w:w="1324" w:type="dxa"/>
            <w:shd w:val="clear" w:color="auto" w:fill="auto"/>
          </w:tcPr>
          <w:p w14:paraId="67017072" w14:textId="77777777" w:rsidR="00975F26" w:rsidRPr="00ED0D6D" w:rsidRDefault="00975F26" w:rsidP="002A479B">
            <w:pPr>
              <w:jc w:val="center"/>
              <w:rPr>
                <w:b/>
                <w:bCs/>
                <w:sz w:val="20"/>
              </w:rPr>
            </w:pPr>
            <w:r>
              <w:rPr>
                <w:b/>
                <w:bCs/>
                <w:sz w:val="20"/>
              </w:rPr>
              <w:t>m</w:t>
            </w:r>
            <w:r w:rsidRPr="00ED0D6D">
              <w:rPr>
                <w:b/>
                <w:bCs/>
                <w:sz w:val="20"/>
              </w:rPr>
              <w:t>aža</w:t>
            </w:r>
          </w:p>
        </w:tc>
        <w:tc>
          <w:tcPr>
            <w:tcW w:w="1467" w:type="dxa"/>
            <w:shd w:val="clear" w:color="auto" w:fill="FFFFFF" w:themeFill="background1"/>
          </w:tcPr>
          <w:p w14:paraId="3D43C65E" w14:textId="77777777" w:rsidR="00975F26" w:rsidRPr="00ED0D6D" w:rsidRDefault="00975F26" w:rsidP="002A479B">
            <w:pPr>
              <w:jc w:val="center"/>
              <w:rPr>
                <w:bCs/>
                <w:sz w:val="20"/>
              </w:rPr>
            </w:pPr>
            <w:r w:rsidRPr="00ED0D6D">
              <w:rPr>
                <w:bCs/>
                <w:sz w:val="20"/>
              </w:rPr>
              <w:t>15 vieta ES</w:t>
            </w:r>
          </w:p>
        </w:tc>
        <w:tc>
          <w:tcPr>
            <w:tcW w:w="1620" w:type="dxa"/>
            <w:shd w:val="clear" w:color="auto" w:fill="FFFFFF" w:themeFill="background1"/>
          </w:tcPr>
          <w:p w14:paraId="6C1DCEC6" w14:textId="77777777" w:rsidR="00975F26" w:rsidRPr="00ED0D6D" w:rsidRDefault="00975F26" w:rsidP="002A479B">
            <w:pPr>
              <w:jc w:val="center"/>
              <w:rPr>
                <w:bCs/>
                <w:sz w:val="20"/>
              </w:rPr>
            </w:pPr>
            <w:r w:rsidRPr="00ED0D6D">
              <w:rPr>
                <w:bCs/>
                <w:sz w:val="20"/>
              </w:rPr>
              <w:t>ne žemesnė negu 10 vieta ES</w:t>
            </w:r>
          </w:p>
        </w:tc>
      </w:tr>
      <w:tr w:rsidR="00975F26" w:rsidRPr="00ED0D6D" w14:paraId="73F9C98B" w14:textId="77777777" w:rsidTr="002A479B">
        <w:trPr>
          <w:trHeight w:val="20"/>
          <w:jc w:val="center"/>
        </w:trPr>
        <w:tc>
          <w:tcPr>
            <w:tcW w:w="3657" w:type="dxa"/>
            <w:shd w:val="clear" w:color="auto" w:fill="FFFFFF" w:themeFill="background1"/>
          </w:tcPr>
          <w:p w14:paraId="6518A9C9" w14:textId="77777777" w:rsidR="00975F26" w:rsidRPr="00ED0D6D" w:rsidRDefault="00975F26" w:rsidP="002A479B">
            <w:pPr>
              <w:rPr>
                <w:b/>
                <w:bCs/>
                <w:sz w:val="20"/>
              </w:rPr>
            </w:pPr>
            <w:r w:rsidRPr="00ED0D6D">
              <w:rPr>
                <w:b/>
                <w:bCs/>
                <w:sz w:val="20"/>
              </w:rPr>
              <w:t>Išduotų patentų skaičius 100 tūkst. gyventojų</w:t>
            </w:r>
          </w:p>
          <w:p w14:paraId="7E36803F" w14:textId="77777777" w:rsidR="00975F26" w:rsidRPr="00ED0D6D" w:rsidRDefault="00975F26" w:rsidP="002A479B">
            <w:pPr>
              <w:rPr>
                <w:bCs/>
                <w:sz w:val="20"/>
              </w:rPr>
            </w:pPr>
            <w:proofErr w:type="spellStart"/>
            <w:r w:rsidRPr="00ED0D6D">
              <w:rPr>
                <w:bCs/>
                <w:i/>
                <w:sz w:val="20"/>
              </w:rPr>
              <w:t>The</w:t>
            </w:r>
            <w:proofErr w:type="spellEnd"/>
            <w:r w:rsidRPr="00ED0D6D">
              <w:rPr>
                <w:bCs/>
                <w:i/>
                <w:sz w:val="20"/>
              </w:rPr>
              <w:t xml:space="preserve"> </w:t>
            </w:r>
            <w:proofErr w:type="spellStart"/>
            <w:r w:rsidRPr="00ED0D6D">
              <w:rPr>
                <w:bCs/>
                <w:i/>
                <w:sz w:val="20"/>
              </w:rPr>
              <w:t>World</w:t>
            </w:r>
            <w:r>
              <w:rPr>
                <w:bCs/>
                <w:i/>
                <w:sz w:val="20"/>
              </w:rPr>
              <w:t>’</w:t>
            </w:r>
            <w:r w:rsidRPr="00ED0D6D">
              <w:rPr>
                <w:bCs/>
                <w:i/>
                <w:sz w:val="20"/>
              </w:rPr>
              <w:t>s</w:t>
            </w:r>
            <w:proofErr w:type="spellEnd"/>
            <w:r w:rsidRPr="00ED0D6D">
              <w:rPr>
                <w:bCs/>
                <w:i/>
                <w:sz w:val="20"/>
              </w:rPr>
              <w:t xml:space="preserve"> </w:t>
            </w:r>
            <w:proofErr w:type="spellStart"/>
            <w:r w:rsidRPr="00ED0D6D">
              <w:rPr>
                <w:bCs/>
                <w:i/>
                <w:sz w:val="20"/>
              </w:rPr>
              <w:t>Business</w:t>
            </w:r>
            <w:proofErr w:type="spellEnd"/>
            <w:r w:rsidRPr="00ED0D6D">
              <w:rPr>
                <w:bCs/>
                <w:i/>
                <w:sz w:val="20"/>
              </w:rPr>
              <w:t xml:space="preserve"> </w:t>
            </w:r>
            <w:proofErr w:type="spellStart"/>
            <w:r w:rsidRPr="00ED0D6D">
              <w:rPr>
                <w:bCs/>
                <w:i/>
                <w:sz w:val="20"/>
              </w:rPr>
              <w:t>School</w:t>
            </w:r>
            <w:proofErr w:type="spellEnd"/>
            <w:r w:rsidRPr="00ED0D6D">
              <w:rPr>
                <w:bCs/>
                <w:sz w:val="20"/>
              </w:rPr>
              <w:t xml:space="preserve"> INSEAD (2009–2010)</w:t>
            </w:r>
          </w:p>
        </w:tc>
        <w:tc>
          <w:tcPr>
            <w:tcW w:w="1606" w:type="dxa"/>
            <w:shd w:val="clear" w:color="auto" w:fill="F2F2F2" w:themeFill="background1" w:themeFillShade="F2"/>
          </w:tcPr>
          <w:p w14:paraId="0BE2F73D" w14:textId="77777777" w:rsidR="00975F26" w:rsidRPr="00ED0D6D" w:rsidRDefault="00975F26" w:rsidP="002A479B">
            <w:pPr>
              <w:jc w:val="center"/>
              <w:rPr>
                <w:bCs/>
                <w:sz w:val="20"/>
              </w:rPr>
            </w:pPr>
            <w:r w:rsidRPr="00ED0D6D">
              <w:rPr>
                <w:bCs/>
                <w:sz w:val="20"/>
              </w:rPr>
              <w:t>1,9</w:t>
            </w:r>
          </w:p>
        </w:tc>
        <w:tc>
          <w:tcPr>
            <w:tcW w:w="1369" w:type="dxa"/>
            <w:shd w:val="clear" w:color="auto" w:fill="F2F2F2" w:themeFill="background1" w:themeFillShade="F2"/>
          </w:tcPr>
          <w:p w14:paraId="1D338680" w14:textId="77777777" w:rsidR="00975F26" w:rsidRPr="00ED0D6D" w:rsidRDefault="00975F26" w:rsidP="002A479B">
            <w:pPr>
              <w:jc w:val="center"/>
              <w:rPr>
                <w:bCs/>
                <w:sz w:val="20"/>
              </w:rPr>
            </w:pPr>
            <w:r w:rsidRPr="00ED0D6D">
              <w:rPr>
                <w:bCs/>
                <w:sz w:val="20"/>
              </w:rPr>
              <w:t>1,04</w:t>
            </w:r>
          </w:p>
        </w:tc>
        <w:tc>
          <w:tcPr>
            <w:tcW w:w="1560" w:type="dxa"/>
            <w:shd w:val="clear" w:color="auto" w:fill="F2F2F2" w:themeFill="background1" w:themeFillShade="F2"/>
          </w:tcPr>
          <w:p w14:paraId="5CBB9DD6" w14:textId="77777777" w:rsidR="00975F26" w:rsidRPr="00ED0D6D" w:rsidRDefault="00975F26" w:rsidP="002A479B">
            <w:pPr>
              <w:jc w:val="center"/>
              <w:rPr>
                <w:bCs/>
                <w:sz w:val="20"/>
              </w:rPr>
            </w:pPr>
            <w:r w:rsidRPr="00ED0D6D">
              <w:rPr>
                <w:bCs/>
                <w:sz w:val="20"/>
              </w:rPr>
              <w:t>26 vieta ES</w:t>
            </w:r>
          </w:p>
        </w:tc>
        <w:tc>
          <w:tcPr>
            <w:tcW w:w="1275" w:type="dxa"/>
            <w:shd w:val="clear" w:color="auto" w:fill="FFFFFF" w:themeFill="background1"/>
          </w:tcPr>
          <w:p w14:paraId="24A30392" w14:textId="77777777" w:rsidR="00975F26" w:rsidRDefault="00975F26" w:rsidP="002A479B">
            <w:pPr>
              <w:jc w:val="center"/>
              <w:rPr>
                <w:b/>
                <w:bCs/>
                <w:sz w:val="20"/>
              </w:rPr>
            </w:pPr>
            <w:r w:rsidRPr="002811D1">
              <w:rPr>
                <w:b/>
                <w:bCs/>
                <w:sz w:val="20"/>
              </w:rPr>
              <w:t>25 vieta ES</w:t>
            </w:r>
          </w:p>
          <w:p w14:paraId="1CCCAFF0" w14:textId="77777777" w:rsidR="00975F26" w:rsidRPr="002811D1" w:rsidRDefault="00975F26" w:rsidP="002A479B">
            <w:pPr>
              <w:jc w:val="center"/>
              <w:rPr>
                <w:b/>
                <w:bCs/>
                <w:sz w:val="20"/>
              </w:rPr>
            </w:pPr>
            <w:r w:rsidRPr="002811D1">
              <w:rPr>
                <w:b/>
                <w:bCs/>
                <w:sz w:val="20"/>
              </w:rPr>
              <w:t>0,757</w:t>
            </w:r>
            <w:r w:rsidRPr="00F46DD0">
              <w:rPr>
                <w:sz w:val="20"/>
                <w:vertAlign w:val="superscript"/>
              </w:rPr>
              <w:footnoteReference w:id="14"/>
            </w:r>
          </w:p>
        </w:tc>
        <w:tc>
          <w:tcPr>
            <w:tcW w:w="1417" w:type="dxa"/>
            <w:shd w:val="clear" w:color="auto" w:fill="F2F2F2" w:themeFill="background1" w:themeFillShade="F2"/>
          </w:tcPr>
          <w:p w14:paraId="738650FE" w14:textId="77777777" w:rsidR="00975F26" w:rsidRPr="00F46DD0" w:rsidRDefault="00975F26" w:rsidP="002A479B">
            <w:pPr>
              <w:jc w:val="center"/>
              <w:rPr>
                <w:bCs/>
                <w:i/>
                <w:iCs/>
                <w:sz w:val="20"/>
              </w:rPr>
            </w:pPr>
            <w:r>
              <w:rPr>
                <w:b/>
                <w:bCs/>
                <w:i/>
                <w:iCs/>
                <w:sz w:val="20"/>
              </w:rPr>
              <w:t>nėra apskaičiuota</w:t>
            </w:r>
          </w:p>
        </w:tc>
        <w:tc>
          <w:tcPr>
            <w:tcW w:w="1324" w:type="dxa"/>
            <w:shd w:val="clear" w:color="auto" w:fill="auto"/>
          </w:tcPr>
          <w:p w14:paraId="02DE1311" w14:textId="77777777" w:rsidR="00975F26" w:rsidRPr="00F46DD0" w:rsidRDefault="00975F26" w:rsidP="002A479B">
            <w:pPr>
              <w:jc w:val="center"/>
              <w:rPr>
                <w:b/>
                <w:bCs/>
                <w:i/>
                <w:iCs/>
                <w:sz w:val="20"/>
              </w:rPr>
            </w:pPr>
            <w:r>
              <w:rPr>
                <w:b/>
                <w:bCs/>
                <w:i/>
                <w:iCs/>
                <w:sz w:val="20"/>
              </w:rPr>
              <w:t>nėra apskaičiuota</w:t>
            </w:r>
          </w:p>
        </w:tc>
        <w:tc>
          <w:tcPr>
            <w:tcW w:w="1467" w:type="dxa"/>
            <w:shd w:val="clear" w:color="auto" w:fill="FFFFFF" w:themeFill="background1"/>
          </w:tcPr>
          <w:p w14:paraId="1C8E3125" w14:textId="77777777" w:rsidR="00975F26" w:rsidRPr="00ED0D6D" w:rsidRDefault="00975F26" w:rsidP="002A479B">
            <w:pPr>
              <w:jc w:val="center"/>
              <w:rPr>
                <w:bCs/>
                <w:sz w:val="20"/>
              </w:rPr>
            </w:pPr>
            <w:r w:rsidRPr="00ED0D6D">
              <w:rPr>
                <w:bCs/>
                <w:sz w:val="20"/>
              </w:rPr>
              <w:t>15 vieta ES</w:t>
            </w:r>
          </w:p>
          <w:p w14:paraId="1600143D" w14:textId="77777777" w:rsidR="00975F26" w:rsidRPr="00ED0D6D" w:rsidRDefault="00975F26" w:rsidP="002A479B">
            <w:pPr>
              <w:jc w:val="center"/>
              <w:rPr>
                <w:bCs/>
                <w:sz w:val="20"/>
              </w:rPr>
            </w:pPr>
          </w:p>
        </w:tc>
        <w:tc>
          <w:tcPr>
            <w:tcW w:w="1620" w:type="dxa"/>
            <w:shd w:val="clear" w:color="auto" w:fill="FFFFFF" w:themeFill="background1"/>
          </w:tcPr>
          <w:p w14:paraId="1C1530B1" w14:textId="77777777" w:rsidR="00975F26" w:rsidRPr="00ED0D6D" w:rsidRDefault="00975F26" w:rsidP="002A479B">
            <w:pPr>
              <w:jc w:val="center"/>
              <w:rPr>
                <w:bCs/>
                <w:sz w:val="20"/>
              </w:rPr>
            </w:pPr>
            <w:r w:rsidRPr="00ED0D6D">
              <w:rPr>
                <w:bCs/>
                <w:sz w:val="20"/>
              </w:rPr>
              <w:t>ne žemesnė negu 10 vieta ES</w:t>
            </w:r>
          </w:p>
        </w:tc>
      </w:tr>
      <w:tr w:rsidR="00975F26" w:rsidRPr="00ED0D6D" w14:paraId="36F56F3F" w14:textId="77777777" w:rsidTr="002A479B">
        <w:trPr>
          <w:trHeight w:val="20"/>
          <w:jc w:val="center"/>
        </w:trPr>
        <w:tc>
          <w:tcPr>
            <w:tcW w:w="3657" w:type="dxa"/>
          </w:tcPr>
          <w:p w14:paraId="50B5D221" w14:textId="77777777" w:rsidR="00975F26" w:rsidRPr="00ED0D6D" w:rsidRDefault="00975F26" w:rsidP="002A479B">
            <w:pPr>
              <w:rPr>
                <w:b/>
                <w:bCs/>
                <w:sz w:val="20"/>
              </w:rPr>
            </w:pPr>
            <w:r w:rsidRPr="00ED0D6D">
              <w:rPr>
                <w:b/>
                <w:bCs/>
                <w:sz w:val="20"/>
              </w:rPr>
              <w:t>Universitetų ir verslo bendradarbiavimas</w:t>
            </w:r>
          </w:p>
          <w:p w14:paraId="6A4B26E9" w14:textId="77777777" w:rsidR="00975F26" w:rsidRPr="00ED0D6D" w:rsidRDefault="00975F26" w:rsidP="002A479B">
            <w:pPr>
              <w:rPr>
                <w:b/>
                <w:bCs/>
                <w:sz w:val="20"/>
              </w:rPr>
            </w:pPr>
            <w:r w:rsidRPr="00ED0D6D">
              <w:rPr>
                <w:bCs/>
                <w:sz w:val="20"/>
              </w:rPr>
              <w:t>Pasaulio ekonomikos forumas, 2010</w:t>
            </w:r>
          </w:p>
        </w:tc>
        <w:tc>
          <w:tcPr>
            <w:tcW w:w="1606" w:type="dxa"/>
            <w:shd w:val="clear" w:color="auto" w:fill="F2F2F2" w:themeFill="background1" w:themeFillShade="F2"/>
          </w:tcPr>
          <w:p w14:paraId="60209A33" w14:textId="77777777" w:rsidR="00975F26" w:rsidRPr="00ED0D6D" w:rsidRDefault="00975F26" w:rsidP="002A479B">
            <w:pPr>
              <w:jc w:val="center"/>
              <w:rPr>
                <w:bCs/>
                <w:sz w:val="20"/>
              </w:rPr>
            </w:pPr>
            <w:r w:rsidRPr="00ED0D6D">
              <w:rPr>
                <w:bCs/>
                <w:sz w:val="20"/>
              </w:rPr>
              <w:t>4,3 balo</w:t>
            </w:r>
          </w:p>
        </w:tc>
        <w:tc>
          <w:tcPr>
            <w:tcW w:w="1369" w:type="dxa"/>
            <w:shd w:val="clear" w:color="auto" w:fill="F2F2F2" w:themeFill="background1" w:themeFillShade="F2"/>
          </w:tcPr>
          <w:p w14:paraId="5DC88366" w14:textId="77777777" w:rsidR="00975F26" w:rsidRPr="00ED0D6D" w:rsidRDefault="00975F26" w:rsidP="002A479B">
            <w:pPr>
              <w:jc w:val="center"/>
              <w:rPr>
                <w:bCs/>
                <w:sz w:val="20"/>
              </w:rPr>
            </w:pPr>
            <w:r w:rsidRPr="00ED0D6D">
              <w:rPr>
                <w:bCs/>
                <w:sz w:val="20"/>
              </w:rPr>
              <w:t>4,2 balo</w:t>
            </w:r>
          </w:p>
        </w:tc>
        <w:tc>
          <w:tcPr>
            <w:tcW w:w="1560" w:type="dxa"/>
            <w:shd w:val="clear" w:color="auto" w:fill="F2F2F2" w:themeFill="background1" w:themeFillShade="F2"/>
          </w:tcPr>
          <w:p w14:paraId="7065B6F8" w14:textId="77777777" w:rsidR="00975F26" w:rsidRPr="00ED0D6D" w:rsidRDefault="00975F26" w:rsidP="002A479B">
            <w:pPr>
              <w:jc w:val="center"/>
              <w:rPr>
                <w:bCs/>
                <w:sz w:val="20"/>
              </w:rPr>
            </w:pPr>
            <w:r w:rsidRPr="00ED0D6D">
              <w:rPr>
                <w:bCs/>
                <w:sz w:val="20"/>
              </w:rPr>
              <w:t>14 vieta ES</w:t>
            </w:r>
          </w:p>
        </w:tc>
        <w:tc>
          <w:tcPr>
            <w:tcW w:w="1275" w:type="dxa"/>
            <w:shd w:val="clear" w:color="auto" w:fill="FFFFFF" w:themeFill="background1"/>
          </w:tcPr>
          <w:p w14:paraId="09293CE9" w14:textId="77777777" w:rsidR="00975F26" w:rsidRDefault="00975F26" w:rsidP="002A479B">
            <w:pPr>
              <w:ind w:firstLine="50"/>
              <w:jc w:val="center"/>
              <w:rPr>
                <w:b/>
                <w:sz w:val="20"/>
              </w:rPr>
            </w:pPr>
            <w:r w:rsidRPr="002811D1">
              <w:rPr>
                <w:b/>
                <w:sz w:val="20"/>
              </w:rPr>
              <w:t>13 vieta ES</w:t>
            </w:r>
          </w:p>
          <w:p w14:paraId="0E127104" w14:textId="77777777" w:rsidR="00975F26" w:rsidRPr="002811D1" w:rsidRDefault="00975F26" w:rsidP="002A479B">
            <w:pPr>
              <w:ind w:firstLine="50"/>
              <w:jc w:val="center"/>
              <w:rPr>
                <w:b/>
                <w:sz w:val="20"/>
              </w:rPr>
            </w:pPr>
            <w:r>
              <w:rPr>
                <w:b/>
                <w:sz w:val="20"/>
              </w:rPr>
              <w:t>4,2 balo</w:t>
            </w:r>
          </w:p>
          <w:p w14:paraId="74866D08" w14:textId="77777777" w:rsidR="00975F26" w:rsidRPr="00ED0D6D" w:rsidRDefault="00975F26" w:rsidP="002A479B">
            <w:pPr>
              <w:ind w:firstLine="50"/>
              <w:jc w:val="center"/>
              <w:rPr>
                <w:bCs/>
                <w:sz w:val="20"/>
              </w:rPr>
            </w:pPr>
          </w:p>
        </w:tc>
        <w:tc>
          <w:tcPr>
            <w:tcW w:w="1417" w:type="dxa"/>
            <w:shd w:val="clear" w:color="auto" w:fill="F2F2F2" w:themeFill="background1" w:themeFillShade="F2"/>
          </w:tcPr>
          <w:p w14:paraId="6411D027" w14:textId="77777777" w:rsidR="00975F26" w:rsidRPr="00ED0D6D" w:rsidRDefault="00975F26" w:rsidP="002A479B">
            <w:pPr>
              <w:ind w:firstLine="50"/>
              <w:jc w:val="center"/>
              <w:rPr>
                <w:bCs/>
                <w:sz w:val="20"/>
              </w:rPr>
            </w:pPr>
            <w:r w:rsidRPr="00ED0D6D">
              <w:rPr>
                <w:bCs/>
                <w:sz w:val="20"/>
              </w:rPr>
              <w:t>+1</w:t>
            </w:r>
          </w:p>
        </w:tc>
        <w:tc>
          <w:tcPr>
            <w:tcW w:w="1324" w:type="dxa"/>
            <w:shd w:val="clear" w:color="auto" w:fill="auto"/>
          </w:tcPr>
          <w:p w14:paraId="1A6B58F0" w14:textId="77777777" w:rsidR="00975F26" w:rsidRPr="00ED0D6D" w:rsidRDefault="00975F26" w:rsidP="002A479B">
            <w:pPr>
              <w:ind w:firstLine="50"/>
              <w:jc w:val="center"/>
              <w:rPr>
                <w:b/>
                <w:bCs/>
                <w:sz w:val="20"/>
              </w:rPr>
            </w:pPr>
            <w:r>
              <w:rPr>
                <w:b/>
                <w:bCs/>
                <w:sz w:val="20"/>
              </w:rPr>
              <w:t>d</w:t>
            </w:r>
            <w:r w:rsidRPr="00ED0D6D">
              <w:rPr>
                <w:b/>
                <w:bCs/>
                <w:sz w:val="20"/>
              </w:rPr>
              <w:t>idelė</w:t>
            </w:r>
          </w:p>
        </w:tc>
        <w:tc>
          <w:tcPr>
            <w:tcW w:w="1467" w:type="dxa"/>
            <w:shd w:val="clear" w:color="auto" w:fill="FFFFFF" w:themeFill="background1"/>
          </w:tcPr>
          <w:p w14:paraId="233FB0D4" w14:textId="77777777" w:rsidR="00975F26" w:rsidRPr="00ED0D6D" w:rsidRDefault="00975F26" w:rsidP="002A479B">
            <w:pPr>
              <w:ind w:firstLine="50"/>
              <w:jc w:val="center"/>
              <w:rPr>
                <w:bCs/>
                <w:sz w:val="20"/>
              </w:rPr>
            </w:pPr>
            <w:r w:rsidRPr="00ED0D6D">
              <w:rPr>
                <w:bCs/>
                <w:sz w:val="20"/>
              </w:rPr>
              <w:t xml:space="preserve">12 vieta ES </w:t>
            </w:r>
          </w:p>
          <w:p w14:paraId="5D6F6CFC" w14:textId="77777777" w:rsidR="00975F26" w:rsidRPr="00ED0D6D" w:rsidRDefault="00975F26" w:rsidP="002A479B">
            <w:pPr>
              <w:jc w:val="center"/>
              <w:rPr>
                <w:bCs/>
                <w:sz w:val="20"/>
              </w:rPr>
            </w:pPr>
          </w:p>
        </w:tc>
        <w:tc>
          <w:tcPr>
            <w:tcW w:w="1620" w:type="dxa"/>
            <w:shd w:val="clear" w:color="auto" w:fill="FFFFFF" w:themeFill="background1"/>
          </w:tcPr>
          <w:p w14:paraId="16B4F3B0" w14:textId="77777777" w:rsidR="00975F26" w:rsidRPr="00ED0D6D" w:rsidRDefault="00975F26" w:rsidP="002A479B">
            <w:pPr>
              <w:jc w:val="center"/>
              <w:rPr>
                <w:bCs/>
                <w:sz w:val="20"/>
              </w:rPr>
            </w:pPr>
            <w:r w:rsidRPr="00ED0D6D">
              <w:rPr>
                <w:bCs/>
                <w:sz w:val="20"/>
              </w:rPr>
              <w:t>ne žemesnė negu 10 vieta ES</w:t>
            </w:r>
          </w:p>
        </w:tc>
      </w:tr>
      <w:tr w:rsidR="00975F26" w:rsidRPr="00ED0D6D" w14:paraId="1FAE4A1C" w14:textId="77777777" w:rsidTr="002A479B">
        <w:trPr>
          <w:trHeight w:val="20"/>
          <w:jc w:val="center"/>
        </w:trPr>
        <w:tc>
          <w:tcPr>
            <w:tcW w:w="3657" w:type="dxa"/>
            <w:shd w:val="clear" w:color="auto" w:fill="FFFFFF" w:themeFill="background1"/>
          </w:tcPr>
          <w:p w14:paraId="00B9823B" w14:textId="77777777" w:rsidR="00975F26" w:rsidRPr="00ED0D6D" w:rsidRDefault="00975F26" w:rsidP="002A479B">
            <w:pPr>
              <w:rPr>
                <w:b/>
                <w:bCs/>
                <w:sz w:val="20"/>
              </w:rPr>
            </w:pPr>
            <w:r w:rsidRPr="00ED0D6D">
              <w:rPr>
                <w:b/>
                <w:bCs/>
                <w:sz w:val="20"/>
              </w:rPr>
              <w:t>Įmonių, dalyvaujančių tarptautiniuose inovaciniuose projektuose, skaičius</w:t>
            </w:r>
          </w:p>
          <w:p w14:paraId="67C5C9B4" w14:textId="77777777" w:rsidR="00975F26" w:rsidRPr="00ED0D6D" w:rsidRDefault="00975F26" w:rsidP="002A479B">
            <w:pPr>
              <w:rPr>
                <w:b/>
                <w:bCs/>
                <w:sz w:val="20"/>
              </w:rPr>
            </w:pPr>
            <w:r w:rsidRPr="00ED0D6D">
              <w:rPr>
                <w:bCs/>
                <w:sz w:val="20"/>
              </w:rPr>
              <w:t>Eurostatas, 2008</w:t>
            </w:r>
          </w:p>
        </w:tc>
        <w:tc>
          <w:tcPr>
            <w:tcW w:w="1606" w:type="dxa"/>
            <w:shd w:val="clear" w:color="auto" w:fill="F2F2F2" w:themeFill="background1" w:themeFillShade="F2"/>
          </w:tcPr>
          <w:p w14:paraId="29D7E80B" w14:textId="77777777" w:rsidR="00975F26" w:rsidRPr="00ED0D6D" w:rsidRDefault="00975F26" w:rsidP="002A479B">
            <w:pPr>
              <w:jc w:val="center"/>
              <w:rPr>
                <w:bCs/>
                <w:sz w:val="20"/>
              </w:rPr>
            </w:pPr>
            <w:r w:rsidRPr="00ED0D6D">
              <w:rPr>
                <w:bCs/>
                <w:sz w:val="20"/>
              </w:rPr>
              <w:t>793,5</w:t>
            </w:r>
          </w:p>
        </w:tc>
        <w:tc>
          <w:tcPr>
            <w:tcW w:w="1369" w:type="dxa"/>
            <w:shd w:val="clear" w:color="auto" w:fill="F2F2F2" w:themeFill="background1" w:themeFillShade="F2"/>
          </w:tcPr>
          <w:p w14:paraId="5AEDB148" w14:textId="77777777" w:rsidR="00975F26" w:rsidRPr="00ED0D6D" w:rsidRDefault="00975F26" w:rsidP="002A479B">
            <w:pPr>
              <w:jc w:val="center"/>
              <w:rPr>
                <w:bCs/>
                <w:sz w:val="20"/>
              </w:rPr>
            </w:pPr>
            <w:r w:rsidRPr="00ED0D6D">
              <w:rPr>
                <w:bCs/>
                <w:sz w:val="20"/>
              </w:rPr>
              <w:t>369</w:t>
            </w:r>
          </w:p>
        </w:tc>
        <w:tc>
          <w:tcPr>
            <w:tcW w:w="1560" w:type="dxa"/>
            <w:shd w:val="clear" w:color="auto" w:fill="F2F2F2" w:themeFill="background1" w:themeFillShade="F2"/>
          </w:tcPr>
          <w:p w14:paraId="6BB6F557" w14:textId="77777777" w:rsidR="00975F26" w:rsidRPr="00ED0D6D" w:rsidRDefault="00975F26" w:rsidP="002A479B">
            <w:pPr>
              <w:jc w:val="center"/>
              <w:rPr>
                <w:bCs/>
                <w:sz w:val="20"/>
              </w:rPr>
            </w:pPr>
            <w:r w:rsidRPr="00ED0D6D">
              <w:rPr>
                <w:bCs/>
                <w:sz w:val="20"/>
              </w:rPr>
              <w:t>14 vieta ES</w:t>
            </w:r>
          </w:p>
        </w:tc>
        <w:tc>
          <w:tcPr>
            <w:tcW w:w="1275" w:type="dxa"/>
            <w:shd w:val="clear" w:color="auto" w:fill="FFFFFF" w:themeFill="background1"/>
          </w:tcPr>
          <w:p w14:paraId="64EEF0CE" w14:textId="77777777" w:rsidR="00975F26" w:rsidRPr="00ED0D6D" w:rsidRDefault="00975F26" w:rsidP="002A479B">
            <w:pPr>
              <w:jc w:val="center"/>
              <w:rPr>
                <w:bCs/>
                <w:sz w:val="20"/>
              </w:rPr>
            </w:pPr>
            <w:r>
              <w:rPr>
                <w:b/>
                <w:bCs/>
                <w:i/>
                <w:iCs/>
                <w:sz w:val="20"/>
              </w:rPr>
              <w:t>nėra apskaičiuota</w:t>
            </w:r>
          </w:p>
        </w:tc>
        <w:tc>
          <w:tcPr>
            <w:tcW w:w="1417" w:type="dxa"/>
            <w:shd w:val="clear" w:color="auto" w:fill="F2F2F2" w:themeFill="background1" w:themeFillShade="F2"/>
          </w:tcPr>
          <w:p w14:paraId="3D9905BF" w14:textId="77777777" w:rsidR="00975F26" w:rsidRPr="00F46DD0" w:rsidRDefault="00975F26" w:rsidP="002A479B">
            <w:pPr>
              <w:jc w:val="center"/>
              <w:rPr>
                <w:bCs/>
                <w:i/>
                <w:iCs/>
                <w:sz w:val="20"/>
              </w:rPr>
            </w:pPr>
            <w:r>
              <w:rPr>
                <w:b/>
                <w:bCs/>
                <w:i/>
                <w:iCs/>
                <w:sz w:val="20"/>
              </w:rPr>
              <w:t>nėra apskaičiuota</w:t>
            </w:r>
          </w:p>
        </w:tc>
        <w:tc>
          <w:tcPr>
            <w:tcW w:w="1324" w:type="dxa"/>
            <w:shd w:val="clear" w:color="auto" w:fill="auto"/>
          </w:tcPr>
          <w:p w14:paraId="327E5458" w14:textId="77777777" w:rsidR="00975F26" w:rsidRPr="00F46DD0" w:rsidRDefault="00975F26" w:rsidP="002A479B">
            <w:pPr>
              <w:jc w:val="center"/>
              <w:rPr>
                <w:b/>
                <w:bCs/>
                <w:i/>
                <w:iCs/>
                <w:sz w:val="20"/>
              </w:rPr>
            </w:pPr>
            <w:r>
              <w:rPr>
                <w:b/>
                <w:bCs/>
                <w:i/>
                <w:iCs/>
                <w:sz w:val="20"/>
              </w:rPr>
              <w:t>nėra apskaičiuota</w:t>
            </w:r>
          </w:p>
        </w:tc>
        <w:tc>
          <w:tcPr>
            <w:tcW w:w="1467" w:type="dxa"/>
            <w:shd w:val="clear" w:color="auto" w:fill="FFFFFF" w:themeFill="background1"/>
          </w:tcPr>
          <w:p w14:paraId="33767349" w14:textId="77777777" w:rsidR="00975F26" w:rsidRPr="00ED0D6D" w:rsidRDefault="00975F26" w:rsidP="002A479B">
            <w:pPr>
              <w:jc w:val="center"/>
              <w:rPr>
                <w:bCs/>
                <w:sz w:val="20"/>
              </w:rPr>
            </w:pPr>
            <w:r w:rsidRPr="00ED0D6D">
              <w:rPr>
                <w:bCs/>
                <w:sz w:val="20"/>
              </w:rPr>
              <w:t>12 vieta ES</w:t>
            </w:r>
          </w:p>
        </w:tc>
        <w:tc>
          <w:tcPr>
            <w:tcW w:w="1620" w:type="dxa"/>
            <w:shd w:val="clear" w:color="auto" w:fill="FFFFFF" w:themeFill="background1"/>
          </w:tcPr>
          <w:p w14:paraId="62317DA7" w14:textId="77777777" w:rsidR="00975F26" w:rsidRPr="00ED0D6D" w:rsidRDefault="00975F26" w:rsidP="002A479B">
            <w:pPr>
              <w:jc w:val="center"/>
              <w:rPr>
                <w:bCs/>
                <w:sz w:val="20"/>
              </w:rPr>
            </w:pPr>
            <w:r w:rsidRPr="00ED0D6D">
              <w:rPr>
                <w:bCs/>
                <w:sz w:val="20"/>
              </w:rPr>
              <w:t>ne žemesnė negu 10 vieta ES</w:t>
            </w:r>
          </w:p>
        </w:tc>
      </w:tr>
      <w:tr w:rsidR="00975F26" w:rsidRPr="00ED0D6D" w14:paraId="4E9BAC75" w14:textId="77777777" w:rsidTr="009C5032">
        <w:trPr>
          <w:trHeight w:val="20"/>
          <w:jc w:val="center"/>
        </w:trPr>
        <w:tc>
          <w:tcPr>
            <w:tcW w:w="3657" w:type="dxa"/>
          </w:tcPr>
          <w:p w14:paraId="7C5DD0DC" w14:textId="77777777" w:rsidR="00975F26" w:rsidRPr="00ED0D6D" w:rsidRDefault="00975F26" w:rsidP="002A479B">
            <w:pPr>
              <w:rPr>
                <w:b/>
                <w:bCs/>
                <w:sz w:val="20"/>
              </w:rPr>
            </w:pPr>
            <w:bookmarkStart w:id="40" w:name="_Hlk67303476"/>
            <w:r w:rsidRPr="00ED0D6D">
              <w:rPr>
                <w:b/>
                <w:bCs/>
                <w:sz w:val="20"/>
              </w:rPr>
              <w:t>Išmetamų į atmosferą šiltnamio efektą sukeliančių dujų kiekis CO</w:t>
            </w:r>
            <w:r w:rsidRPr="00ED0D6D">
              <w:rPr>
                <w:b/>
                <w:bCs/>
                <w:sz w:val="20"/>
                <w:vertAlign w:val="subscript"/>
              </w:rPr>
              <w:t>2</w:t>
            </w:r>
            <w:r w:rsidRPr="00ED0D6D">
              <w:rPr>
                <w:b/>
                <w:bCs/>
                <w:sz w:val="20"/>
              </w:rPr>
              <w:t xml:space="preserve"> ekvivalentu mln. tonų BVP vienetui</w:t>
            </w:r>
          </w:p>
          <w:p w14:paraId="36228D12" w14:textId="77777777" w:rsidR="00975F26" w:rsidRPr="00ED0D6D" w:rsidRDefault="00975F26" w:rsidP="002A479B">
            <w:pPr>
              <w:rPr>
                <w:b/>
                <w:bCs/>
                <w:sz w:val="20"/>
              </w:rPr>
            </w:pPr>
            <w:r w:rsidRPr="00ED0D6D">
              <w:rPr>
                <w:bCs/>
                <w:sz w:val="20"/>
              </w:rPr>
              <w:t>Europos aplinkos agentūra, 2010</w:t>
            </w:r>
          </w:p>
        </w:tc>
        <w:tc>
          <w:tcPr>
            <w:tcW w:w="1606" w:type="dxa"/>
            <w:shd w:val="clear" w:color="auto" w:fill="F2F2F2" w:themeFill="background1" w:themeFillShade="F2"/>
          </w:tcPr>
          <w:p w14:paraId="668ABCD6" w14:textId="77777777" w:rsidR="00975F26" w:rsidRPr="00ED0D6D" w:rsidRDefault="00975F26" w:rsidP="002A479B">
            <w:pPr>
              <w:jc w:val="center"/>
              <w:rPr>
                <w:bCs/>
                <w:sz w:val="20"/>
              </w:rPr>
            </w:pPr>
            <w:r w:rsidRPr="00ED0D6D">
              <w:rPr>
                <w:bCs/>
                <w:sz w:val="20"/>
              </w:rPr>
              <w:t>3,49</w:t>
            </w:r>
          </w:p>
        </w:tc>
        <w:tc>
          <w:tcPr>
            <w:tcW w:w="1369" w:type="dxa"/>
            <w:shd w:val="clear" w:color="auto" w:fill="F2F2F2" w:themeFill="background1" w:themeFillShade="F2"/>
          </w:tcPr>
          <w:p w14:paraId="737B3AA7" w14:textId="77777777" w:rsidR="00975F26" w:rsidRPr="00ED0D6D" w:rsidRDefault="00975F26" w:rsidP="002A479B">
            <w:pPr>
              <w:jc w:val="center"/>
              <w:rPr>
                <w:bCs/>
                <w:sz w:val="20"/>
              </w:rPr>
            </w:pPr>
            <w:r w:rsidRPr="00ED0D6D">
              <w:rPr>
                <w:bCs/>
                <w:sz w:val="20"/>
              </w:rPr>
              <w:t>3,51</w:t>
            </w:r>
          </w:p>
        </w:tc>
        <w:tc>
          <w:tcPr>
            <w:tcW w:w="1560" w:type="dxa"/>
            <w:shd w:val="clear" w:color="auto" w:fill="F2F2F2" w:themeFill="background1" w:themeFillShade="F2"/>
          </w:tcPr>
          <w:p w14:paraId="5985FB7F" w14:textId="77777777" w:rsidR="00975F26" w:rsidRPr="00ED0D6D" w:rsidRDefault="00975F26" w:rsidP="002A479B">
            <w:pPr>
              <w:jc w:val="center"/>
              <w:rPr>
                <w:bCs/>
                <w:sz w:val="20"/>
              </w:rPr>
            </w:pPr>
            <w:r w:rsidRPr="00ED0D6D">
              <w:rPr>
                <w:bCs/>
                <w:sz w:val="20"/>
              </w:rPr>
              <w:t>12 vieta ES</w:t>
            </w:r>
          </w:p>
        </w:tc>
        <w:tc>
          <w:tcPr>
            <w:tcW w:w="1275" w:type="dxa"/>
            <w:shd w:val="clear" w:color="auto" w:fill="auto"/>
          </w:tcPr>
          <w:p w14:paraId="5E73BAA2" w14:textId="77777777" w:rsidR="009C5032" w:rsidRDefault="009C5032" w:rsidP="009C5032">
            <w:pPr>
              <w:pStyle w:val="xxxmsonormal"/>
              <w:jc w:val="center"/>
            </w:pPr>
            <w:r>
              <w:rPr>
                <w:rFonts w:ascii="Times New Roman" w:hAnsi="Times New Roman" w:cs="Times New Roman"/>
                <w:b/>
                <w:bCs/>
                <w:color w:val="000000"/>
                <w:sz w:val="18"/>
                <w:szCs w:val="18"/>
              </w:rPr>
              <w:t xml:space="preserve">20 </w:t>
            </w:r>
            <w:proofErr w:type="spellStart"/>
            <w:r>
              <w:rPr>
                <w:rFonts w:ascii="Times New Roman" w:hAnsi="Times New Roman" w:cs="Times New Roman"/>
                <w:b/>
                <w:bCs/>
                <w:color w:val="000000"/>
                <w:sz w:val="18"/>
                <w:szCs w:val="18"/>
              </w:rPr>
              <w:t>vieta</w:t>
            </w:r>
            <w:proofErr w:type="spellEnd"/>
            <w:r>
              <w:rPr>
                <w:rFonts w:ascii="Times New Roman" w:hAnsi="Times New Roman" w:cs="Times New Roman"/>
                <w:b/>
                <w:bCs/>
                <w:color w:val="000000"/>
                <w:sz w:val="18"/>
                <w:szCs w:val="18"/>
              </w:rPr>
              <w:t xml:space="preserve"> ES</w:t>
            </w:r>
          </w:p>
          <w:p w14:paraId="18CBCE6B" w14:textId="77777777" w:rsidR="009C5032" w:rsidRDefault="009C5032" w:rsidP="009C5032">
            <w:pPr>
              <w:pStyle w:val="xxxmsonormal"/>
              <w:jc w:val="center"/>
            </w:pPr>
            <w:r>
              <w:rPr>
                <w:rFonts w:ascii="Times New Roman" w:hAnsi="Times New Roman" w:cs="Times New Roman"/>
                <w:b/>
                <w:bCs/>
                <w:color w:val="000000"/>
                <w:sz w:val="18"/>
                <w:szCs w:val="18"/>
              </w:rPr>
              <w:t>(0,49)</w:t>
            </w:r>
          </w:p>
          <w:p w14:paraId="5DBAA082" w14:textId="77777777" w:rsidR="009C5032" w:rsidRDefault="009C5032" w:rsidP="009C5032">
            <w:pPr>
              <w:pStyle w:val="xxxmsonormal"/>
              <w:jc w:val="center"/>
            </w:pPr>
            <w:r>
              <w:rPr>
                <w:rFonts w:ascii="Times New Roman" w:hAnsi="Times New Roman" w:cs="Times New Roman"/>
                <w:b/>
                <w:bCs/>
                <w:color w:val="000000"/>
                <w:sz w:val="18"/>
                <w:szCs w:val="18"/>
              </w:rPr>
              <w:t>(2018)</w:t>
            </w:r>
          </w:p>
          <w:p w14:paraId="040E2775" w14:textId="0069306F" w:rsidR="00975F26" w:rsidRPr="00ED0D6D" w:rsidRDefault="00975F26" w:rsidP="002A479B">
            <w:pPr>
              <w:jc w:val="center"/>
              <w:rPr>
                <w:bCs/>
                <w:sz w:val="20"/>
              </w:rPr>
            </w:pPr>
          </w:p>
        </w:tc>
        <w:tc>
          <w:tcPr>
            <w:tcW w:w="1417" w:type="dxa"/>
            <w:shd w:val="clear" w:color="auto" w:fill="F2F2F2" w:themeFill="background1" w:themeFillShade="F2"/>
          </w:tcPr>
          <w:p w14:paraId="2E0C71B2" w14:textId="5C57CDD2" w:rsidR="00975F26" w:rsidRPr="009C5032" w:rsidRDefault="00975F26" w:rsidP="002A479B">
            <w:pPr>
              <w:jc w:val="center"/>
              <w:rPr>
                <w:bCs/>
                <w:sz w:val="20"/>
                <w:lang w:val="en-GB"/>
              </w:rPr>
            </w:pPr>
            <w:r w:rsidRPr="00ED0D6D">
              <w:rPr>
                <w:bCs/>
                <w:sz w:val="20"/>
              </w:rPr>
              <w:t>-</w:t>
            </w:r>
            <w:r w:rsidR="009C5032">
              <w:rPr>
                <w:bCs/>
                <w:sz w:val="20"/>
                <w:lang w:val="en-GB"/>
              </w:rPr>
              <w:t>8</w:t>
            </w:r>
          </w:p>
        </w:tc>
        <w:tc>
          <w:tcPr>
            <w:tcW w:w="1324" w:type="dxa"/>
            <w:shd w:val="clear" w:color="auto" w:fill="auto"/>
          </w:tcPr>
          <w:p w14:paraId="2E728A5D" w14:textId="77777777" w:rsidR="00975F26" w:rsidRPr="00ED0D6D" w:rsidRDefault="00975F26" w:rsidP="002A479B">
            <w:pPr>
              <w:jc w:val="center"/>
              <w:rPr>
                <w:b/>
                <w:bCs/>
                <w:sz w:val="20"/>
              </w:rPr>
            </w:pPr>
            <w:r>
              <w:rPr>
                <w:b/>
                <w:bCs/>
                <w:sz w:val="20"/>
              </w:rPr>
              <w:t>m</w:t>
            </w:r>
            <w:r w:rsidRPr="00ED0D6D">
              <w:rPr>
                <w:b/>
                <w:bCs/>
                <w:sz w:val="20"/>
              </w:rPr>
              <w:t>aža</w:t>
            </w:r>
          </w:p>
        </w:tc>
        <w:tc>
          <w:tcPr>
            <w:tcW w:w="1467" w:type="dxa"/>
            <w:shd w:val="clear" w:color="auto" w:fill="FFFFFF" w:themeFill="background1"/>
          </w:tcPr>
          <w:p w14:paraId="7B32DD4F" w14:textId="77777777" w:rsidR="00975F26" w:rsidRPr="00ED0D6D" w:rsidRDefault="00975F26" w:rsidP="002A479B">
            <w:pPr>
              <w:jc w:val="center"/>
              <w:rPr>
                <w:bCs/>
                <w:sz w:val="20"/>
              </w:rPr>
            </w:pPr>
            <w:r w:rsidRPr="00ED0D6D">
              <w:rPr>
                <w:bCs/>
                <w:sz w:val="20"/>
              </w:rPr>
              <w:t>10 vieta ES</w:t>
            </w:r>
          </w:p>
        </w:tc>
        <w:tc>
          <w:tcPr>
            <w:tcW w:w="1620" w:type="dxa"/>
            <w:shd w:val="clear" w:color="auto" w:fill="FFFFFF" w:themeFill="background1"/>
          </w:tcPr>
          <w:p w14:paraId="6961237F" w14:textId="77777777" w:rsidR="00975F26" w:rsidRPr="00ED0D6D" w:rsidRDefault="00975F26" w:rsidP="002A479B">
            <w:pPr>
              <w:jc w:val="center"/>
              <w:rPr>
                <w:bCs/>
                <w:sz w:val="20"/>
              </w:rPr>
            </w:pPr>
            <w:r w:rsidRPr="00ED0D6D">
              <w:rPr>
                <w:bCs/>
                <w:sz w:val="20"/>
              </w:rPr>
              <w:t>ne žemesnė negu 7 vieta ES</w:t>
            </w:r>
          </w:p>
        </w:tc>
      </w:tr>
    </w:tbl>
    <w:p w14:paraId="4533DEDE" w14:textId="77777777" w:rsidR="00975F26" w:rsidRPr="00ED0D6D" w:rsidRDefault="00975F26" w:rsidP="00975F26">
      <w:pPr>
        <w:rPr>
          <w:b/>
          <w:szCs w:val="24"/>
        </w:rPr>
      </w:pPr>
      <w:bookmarkStart w:id="41" w:name="part_09bf8908036e433a86d9619eaf28e9fa"/>
      <w:bookmarkStart w:id="42" w:name="part_2abee8633cc741ef8771b33a27f61447"/>
      <w:bookmarkStart w:id="43" w:name="part_5e83c40e0c2a4ae48bdb47c5c6ff6cca"/>
      <w:bookmarkEnd w:id="38"/>
      <w:bookmarkEnd w:id="39"/>
      <w:bookmarkEnd w:id="40"/>
      <w:bookmarkEnd w:id="41"/>
      <w:bookmarkEnd w:id="42"/>
      <w:bookmarkEnd w:id="43"/>
    </w:p>
    <w:p w14:paraId="71F9C6BC" w14:textId="2F72A778" w:rsidR="00975F26" w:rsidRPr="00ED0D6D" w:rsidRDefault="00CA13A1" w:rsidP="00975F26">
      <w:pPr>
        <w:ind w:firstLine="720"/>
        <w:rPr>
          <w:b/>
          <w:bCs/>
          <w:iCs/>
          <w:szCs w:val="24"/>
        </w:rPr>
      </w:pPr>
      <w:r>
        <w:rPr>
          <w:b/>
          <w:szCs w:val="24"/>
        </w:rPr>
        <w:t>2.</w:t>
      </w:r>
      <w:r w:rsidR="00975F26">
        <w:rPr>
          <w:b/>
          <w:szCs w:val="24"/>
        </w:rPr>
        <w:t>1.</w:t>
      </w:r>
      <w:r w:rsidR="00975F26" w:rsidRPr="00ED0D6D">
        <w:rPr>
          <w:b/>
          <w:szCs w:val="24"/>
        </w:rPr>
        <w:t>4.</w:t>
      </w:r>
      <w:r w:rsidR="00975F26" w:rsidRPr="00ED0D6D">
        <w:rPr>
          <w:szCs w:val="24"/>
        </w:rPr>
        <w:t xml:space="preserve"> </w:t>
      </w:r>
      <w:r w:rsidR="00975F26" w:rsidRPr="00ED0D6D">
        <w:rPr>
          <w:b/>
          <w:bCs/>
          <w:iCs/>
          <w:szCs w:val="24"/>
        </w:rPr>
        <w:t>Sumanaus valdymo rodikliai</w:t>
      </w:r>
    </w:p>
    <w:p w14:paraId="1649FD35" w14:textId="77777777" w:rsidR="00975F26" w:rsidRPr="00ED0D6D" w:rsidRDefault="00975F26" w:rsidP="00975F26">
      <w:pPr>
        <w:rPr>
          <w:i/>
          <w:szCs w:val="24"/>
        </w:rPr>
      </w:pPr>
      <w:r w:rsidRPr="00ED0D6D">
        <w:rPr>
          <w:i/>
          <w:szCs w:val="24"/>
        </w:rPr>
        <w:t xml:space="preserve"> </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620"/>
        <w:gridCol w:w="1350"/>
        <w:gridCol w:w="1620"/>
        <w:gridCol w:w="1260"/>
        <w:gridCol w:w="1350"/>
        <w:gridCol w:w="1350"/>
        <w:gridCol w:w="1505"/>
        <w:gridCol w:w="1555"/>
      </w:tblGrid>
      <w:tr w:rsidR="00975F26" w:rsidRPr="00ED0D6D" w14:paraId="2740BCF9" w14:textId="77777777" w:rsidTr="002A479B">
        <w:trPr>
          <w:trHeight w:val="20"/>
          <w:tblHeader/>
          <w:jc w:val="center"/>
        </w:trPr>
        <w:tc>
          <w:tcPr>
            <w:tcW w:w="3595" w:type="dxa"/>
            <w:vMerge w:val="restart"/>
            <w:shd w:val="clear" w:color="auto" w:fill="DBE5F1" w:themeFill="accent1" w:themeFillTint="33"/>
            <w:vAlign w:val="center"/>
          </w:tcPr>
          <w:p w14:paraId="2F8384BD" w14:textId="77777777" w:rsidR="00975F26" w:rsidRPr="00ED0D6D" w:rsidRDefault="00975F26" w:rsidP="002A479B">
            <w:pPr>
              <w:jc w:val="center"/>
              <w:rPr>
                <w:b/>
                <w:bCs/>
                <w:sz w:val="20"/>
              </w:rPr>
            </w:pPr>
            <w:bookmarkStart w:id="44" w:name="_Hlk67302396"/>
            <w:r w:rsidRPr="00ED0D6D">
              <w:rPr>
                <w:b/>
                <w:bCs/>
                <w:sz w:val="20"/>
              </w:rPr>
              <w:t>R</w:t>
            </w:r>
            <w:r>
              <w:rPr>
                <w:b/>
                <w:bCs/>
                <w:sz w:val="20"/>
              </w:rPr>
              <w:t>odikliai</w:t>
            </w:r>
          </w:p>
        </w:tc>
        <w:tc>
          <w:tcPr>
            <w:tcW w:w="4590" w:type="dxa"/>
            <w:gridSpan w:val="3"/>
            <w:shd w:val="clear" w:color="auto" w:fill="DBE5F1" w:themeFill="accent1" w:themeFillTint="33"/>
            <w:vAlign w:val="center"/>
          </w:tcPr>
          <w:p w14:paraId="6388201F" w14:textId="77777777" w:rsidR="00975F26" w:rsidRPr="00ED0D6D" w:rsidRDefault="00975F26" w:rsidP="002A479B">
            <w:pPr>
              <w:jc w:val="center"/>
              <w:rPr>
                <w:b/>
                <w:bCs/>
                <w:sz w:val="20"/>
              </w:rPr>
            </w:pPr>
            <w:r w:rsidRPr="00ED0D6D">
              <w:rPr>
                <w:b/>
                <w:bCs/>
                <w:sz w:val="20"/>
              </w:rPr>
              <w:t>Pradinė situacija</w:t>
            </w:r>
          </w:p>
        </w:tc>
        <w:tc>
          <w:tcPr>
            <w:tcW w:w="1260" w:type="dxa"/>
            <w:shd w:val="clear" w:color="auto" w:fill="DBE5F1" w:themeFill="accent1" w:themeFillTint="33"/>
            <w:vAlign w:val="center"/>
          </w:tcPr>
          <w:p w14:paraId="784540D1" w14:textId="77777777" w:rsidR="00975F26" w:rsidRPr="00ED0D6D" w:rsidRDefault="00975F26" w:rsidP="002A479B">
            <w:pPr>
              <w:jc w:val="center"/>
              <w:rPr>
                <w:b/>
                <w:bCs/>
                <w:sz w:val="20"/>
              </w:rPr>
            </w:pPr>
            <w:r w:rsidRPr="00ED0D6D">
              <w:rPr>
                <w:b/>
                <w:bCs/>
                <w:sz w:val="20"/>
              </w:rPr>
              <w:t>Pasiekta reikšmė</w:t>
            </w:r>
          </w:p>
        </w:tc>
        <w:tc>
          <w:tcPr>
            <w:tcW w:w="1350" w:type="dxa"/>
            <w:vMerge w:val="restart"/>
            <w:shd w:val="clear" w:color="auto" w:fill="DBE5F1" w:themeFill="accent1" w:themeFillTint="33"/>
            <w:vAlign w:val="center"/>
          </w:tcPr>
          <w:p w14:paraId="13D47FEC" w14:textId="77777777" w:rsidR="00975F26" w:rsidRPr="00ED0D6D" w:rsidRDefault="00975F26" w:rsidP="002A479B">
            <w:pPr>
              <w:jc w:val="center"/>
              <w:rPr>
                <w:b/>
                <w:bCs/>
                <w:sz w:val="20"/>
              </w:rPr>
            </w:pPr>
            <w:r w:rsidRPr="00ED0D6D">
              <w:rPr>
                <w:b/>
                <w:bCs/>
                <w:sz w:val="20"/>
              </w:rPr>
              <w:t>Vietos pokytis</w:t>
            </w:r>
          </w:p>
        </w:tc>
        <w:tc>
          <w:tcPr>
            <w:tcW w:w="1350" w:type="dxa"/>
            <w:vMerge w:val="restart"/>
            <w:shd w:val="clear" w:color="auto" w:fill="DBE5F1" w:themeFill="accent1" w:themeFillTint="33"/>
            <w:vAlign w:val="center"/>
          </w:tcPr>
          <w:p w14:paraId="5A3C4D16" w14:textId="77777777" w:rsidR="00975F26" w:rsidRPr="00ED0D6D" w:rsidRDefault="00975F26" w:rsidP="002A479B">
            <w:pPr>
              <w:jc w:val="center"/>
              <w:rPr>
                <w:b/>
                <w:bCs/>
                <w:sz w:val="20"/>
              </w:rPr>
            </w:pPr>
            <w:r w:rsidRPr="00ED0D6D">
              <w:rPr>
                <w:b/>
                <w:bCs/>
                <w:sz w:val="20"/>
              </w:rPr>
              <w:t>Pasiekimo tikimybė</w:t>
            </w:r>
          </w:p>
        </w:tc>
        <w:tc>
          <w:tcPr>
            <w:tcW w:w="3060" w:type="dxa"/>
            <w:gridSpan w:val="2"/>
            <w:shd w:val="clear" w:color="auto" w:fill="DBE5F1" w:themeFill="accent1" w:themeFillTint="33"/>
            <w:vAlign w:val="center"/>
          </w:tcPr>
          <w:p w14:paraId="5666225A" w14:textId="77777777" w:rsidR="00975F26" w:rsidRPr="00ED0D6D" w:rsidRDefault="00975F26" w:rsidP="002A479B">
            <w:pPr>
              <w:jc w:val="center"/>
              <w:rPr>
                <w:b/>
                <w:bCs/>
                <w:sz w:val="20"/>
              </w:rPr>
            </w:pPr>
            <w:r w:rsidRPr="00ED0D6D">
              <w:rPr>
                <w:b/>
                <w:bCs/>
                <w:sz w:val="20"/>
              </w:rPr>
              <w:t>Siektinos reikšmės</w:t>
            </w:r>
          </w:p>
        </w:tc>
      </w:tr>
      <w:tr w:rsidR="00975F26" w:rsidRPr="00ED0D6D" w14:paraId="5476E1B6" w14:textId="77777777" w:rsidTr="002A479B">
        <w:trPr>
          <w:trHeight w:val="20"/>
          <w:tblHeader/>
          <w:jc w:val="center"/>
        </w:trPr>
        <w:tc>
          <w:tcPr>
            <w:tcW w:w="3595" w:type="dxa"/>
            <w:vMerge/>
            <w:shd w:val="clear" w:color="auto" w:fill="DBE5F1" w:themeFill="accent1" w:themeFillTint="33"/>
          </w:tcPr>
          <w:p w14:paraId="799E73F8" w14:textId="77777777" w:rsidR="00975F26" w:rsidRPr="00ED0D6D" w:rsidRDefault="00975F26" w:rsidP="002A479B">
            <w:pPr>
              <w:jc w:val="center"/>
              <w:rPr>
                <w:b/>
                <w:bCs/>
                <w:sz w:val="20"/>
              </w:rPr>
            </w:pPr>
          </w:p>
        </w:tc>
        <w:tc>
          <w:tcPr>
            <w:tcW w:w="1620" w:type="dxa"/>
            <w:shd w:val="clear" w:color="auto" w:fill="DBE5F1" w:themeFill="accent1" w:themeFillTint="33"/>
            <w:vAlign w:val="center"/>
          </w:tcPr>
          <w:p w14:paraId="4ED3F74A" w14:textId="77777777" w:rsidR="00975F26" w:rsidRPr="00ED0D6D" w:rsidRDefault="00975F26" w:rsidP="002A479B">
            <w:pPr>
              <w:jc w:val="center"/>
              <w:rPr>
                <w:b/>
                <w:bCs/>
                <w:sz w:val="20"/>
              </w:rPr>
            </w:pPr>
            <w:r w:rsidRPr="00ED0D6D">
              <w:rPr>
                <w:b/>
                <w:bCs/>
                <w:sz w:val="20"/>
              </w:rPr>
              <w:t xml:space="preserve">ES27 </w:t>
            </w:r>
            <w:r>
              <w:rPr>
                <w:b/>
                <w:bCs/>
                <w:sz w:val="20"/>
              </w:rPr>
              <w:t>vidurkis</w:t>
            </w:r>
          </w:p>
        </w:tc>
        <w:tc>
          <w:tcPr>
            <w:tcW w:w="1350" w:type="dxa"/>
            <w:shd w:val="clear" w:color="auto" w:fill="DBE5F1" w:themeFill="accent1" w:themeFillTint="33"/>
            <w:vAlign w:val="center"/>
          </w:tcPr>
          <w:p w14:paraId="34C2B803" w14:textId="77777777" w:rsidR="00975F26" w:rsidRPr="00ED0D6D" w:rsidRDefault="00975F26" w:rsidP="002A479B">
            <w:pPr>
              <w:jc w:val="center"/>
              <w:rPr>
                <w:b/>
                <w:bCs/>
                <w:sz w:val="20"/>
              </w:rPr>
            </w:pPr>
            <w:r>
              <w:rPr>
                <w:b/>
                <w:bCs/>
                <w:sz w:val="20"/>
              </w:rPr>
              <w:t>Lietuva (</w:t>
            </w:r>
            <w:r w:rsidRPr="00ED0D6D">
              <w:rPr>
                <w:b/>
                <w:bCs/>
                <w:sz w:val="20"/>
              </w:rPr>
              <w:t>LT</w:t>
            </w:r>
            <w:r>
              <w:rPr>
                <w:b/>
                <w:bCs/>
                <w:sz w:val="20"/>
              </w:rPr>
              <w:t>)</w:t>
            </w:r>
          </w:p>
        </w:tc>
        <w:tc>
          <w:tcPr>
            <w:tcW w:w="1620" w:type="dxa"/>
            <w:shd w:val="clear" w:color="auto" w:fill="DBE5F1" w:themeFill="accent1" w:themeFillTint="33"/>
            <w:vAlign w:val="center"/>
          </w:tcPr>
          <w:p w14:paraId="2D1A14AC" w14:textId="77777777" w:rsidR="00975F26" w:rsidRPr="00ED0D6D" w:rsidRDefault="00975F26" w:rsidP="002A479B">
            <w:pPr>
              <w:jc w:val="center"/>
              <w:rPr>
                <w:b/>
                <w:bCs/>
                <w:sz w:val="20"/>
              </w:rPr>
            </w:pPr>
            <w:r w:rsidRPr="00ED0D6D">
              <w:rPr>
                <w:b/>
                <w:bCs/>
                <w:sz w:val="20"/>
              </w:rPr>
              <w:t>2009–2010</w:t>
            </w:r>
          </w:p>
        </w:tc>
        <w:tc>
          <w:tcPr>
            <w:tcW w:w="1260" w:type="dxa"/>
            <w:shd w:val="clear" w:color="auto" w:fill="DBE5F1" w:themeFill="accent1" w:themeFillTint="33"/>
            <w:vAlign w:val="center"/>
          </w:tcPr>
          <w:p w14:paraId="5C97CC32" w14:textId="77777777" w:rsidR="00975F26" w:rsidRPr="00ED0D6D" w:rsidRDefault="00975F26" w:rsidP="002A479B">
            <w:pPr>
              <w:jc w:val="center"/>
              <w:rPr>
                <w:b/>
                <w:bCs/>
                <w:sz w:val="20"/>
                <w:lang w:val="en-GB"/>
              </w:rPr>
            </w:pPr>
            <w:r w:rsidRPr="00ED0D6D">
              <w:rPr>
                <w:b/>
                <w:bCs/>
                <w:sz w:val="20"/>
              </w:rPr>
              <w:t>2019–2020</w:t>
            </w:r>
          </w:p>
        </w:tc>
        <w:tc>
          <w:tcPr>
            <w:tcW w:w="1350" w:type="dxa"/>
            <w:vMerge/>
            <w:shd w:val="clear" w:color="auto" w:fill="DBE5F1" w:themeFill="accent1" w:themeFillTint="33"/>
            <w:vAlign w:val="center"/>
          </w:tcPr>
          <w:p w14:paraId="46817F78" w14:textId="77777777" w:rsidR="00975F26" w:rsidRPr="00ED0D6D" w:rsidRDefault="00975F26" w:rsidP="002A479B">
            <w:pPr>
              <w:jc w:val="center"/>
              <w:rPr>
                <w:b/>
                <w:bCs/>
                <w:sz w:val="20"/>
              </w:rPr>
            </w:pPr>
          </w:p>
        </w:tc>
        <w:tc>
          <w:tcPr>
            <w:tcW w:w="1350" w:type="dxa"/>
            <w:vMerge/>
            <w:shd w:val="clear" w:color="auto" w:fill="DBE5F1" w:themeFill="accent1" w:themeFillTint="33"/>
            <w:vAlign w:val="center"/>
          </w:tcPr>
          <w:p w14:paraId="7103E83F" w14:textId="77777777" w:rsidR="00975F26" w:rsidRPr="00ED0D6D" w:rsidRDefault="00975F26" w:rsidP="002A479B">
            <w:pPr>
              <w:jc w:val="center"/>
              <w:rPr>
                <w:b/>
                <w:bCs/>
                <w:sz w:val="20"/>
              </w:rPr>
            </w:pPr>
          </w:p>
        </w:tc>
        <w:tc>
          <w:tcPr>
            <w:tcW w:w="1505" w:type="dxa"/>
            <w:shd w:val="clear" w:color="auto" w:fill="DBE5F1" w:themeFill="accent1" w:themeFillTint="33"/>
            <w:vAlign w:val="center"/>
          </w:tcPr>
          <w:p w14:paraId="3DF1A7EE" w14:textId="77777777" w:rsidR="00975F26" w:rsidRPr="00ED0D6D" w:rsidRDefault="00975F26" w:rsidP="002A479B">
            <w:pPr>
              <w:jc w:val="center"/>
              <w:rPr>
                <w:b/>
                <w:bCs/>
                <w:sz w:val="20"/>
              </w:rPr>
            </w:pPr>
            <w:r w:rsidRPr="00ED0D6D">
              <w:rPr>
                <w:b/>
                <w:bCs/>
                <w:sz w:val="20"/>
              </w:rPr>
              <w:t>2020</w:t>
            </w:r>
          </w:p>
        </w:tc>
        <w:tc>
          <w:tcPr>
            <w:tcW w:w="1555" w:type="dxa"/>
            <w:shd w:val="clear" w:color="auto" w:fill="DBE5F1" w:themeFill="accent1" w:themeFillTint="33"/>
            <w:vAlign w:val="center"/>
          </w:tcPr>
          <w:p w14:paraId="7AC436CA" w14:textId="77777777" w:rsidR="00975F26" w:rsidRPr="00ED0D6D" w:rsidRDefault="00975F26" w:rsidP="002A479B">
            <w:pPr>
              <w:jc w:val="center"/>
              <w:rPr>
                <w:b/>
                <w:bCs/>
                <w:sz w:val="20"/>
              </w:rPr>
            </w:pPr>
            <w:r w:rsidRPr="00ED0D6D">
              <w:rPr>
                <w:b/>
                <w:bCs/>
                <w:sz w:val="20"/>
              </w:rPr>
              <w:t>2030</w:t>
            </w:r>
          </w:p>
        </w:tc>
      </w:tr>
      <w:tr w:rsidR="00975F26" w:rsidRPr="00ED0D6D" w14:paraId="4B3BED9E" w14:textId="77777777" w:rsidTr="002A479B">
        <w:trPr>
          <w:trHeight w:val="20"/>
          <w:jc w:val="center"/>
        </w:trPr>
        <w:tc>
          <w:tcPr>
            <w:tcW w:w="3595" w:type="dxa"/>
          </w:tcPr>
          <w:p w14:paraId="6FBDE68B" w14:textId="77777777" w:rsidR="00975F26" w:rsidRPr="00ED0D6D" w:rsidRDefault="00975F26" w:rsidP="002A479B">
            <w:pPr>
              <w:rPr>
                <w:b/>
                <w:bCs/>
                <w:sz w:val="20"/>
              </w:rPr>
            </w:pPr>
            <w:r w:rsidRPr="00ED0D6D">
              <w:rPr>
                <w:b/>
                <w:bCs/>
                <w:sz w:val="20"/>
              </w:rPr>
              <w:t>Valdymo efektyvumo indeksas</w:t>
            </w:r>
          </w:p>
          <w:p w14:paraId="6342641F" w14:textId="77777777" w:rsidR="00975F26" w:rsidRPr="00ED0D6D" w:rsidRDefault="00975F26" w:rsidP="002A479B">
            <w:pPr>
              <w:rPr>
                <w:b/>
                <w:bCs/>
                <w:sz w:val="20"/>
              </w:rPr>
            </w:pPr>
            <w:proofErr w:type="spellStart"/>
            <w:r w:rsidRPr="00ED0D6D">
              <w:rPr>
                <w:bCs/>
                <w:i/>
                <w:sz w:val="20"/>
              </w:rPr>
              <w:t>The</w:t>
            </w:r>
            <w:proofErr w:type="spellEnd"/>
            <w:r w:rsidRPr="00ED0D6D">
              <w:rPr>
                <w:bCs/>
                <w:i/>
                <w:sz w:val="20"/>
              </w:rPr>
              <w:t xml:space="preserve"> </w:t>
            </w:r>
            <w:proofErr w:type="spellStart"/>
            <w:r w:rsidRPr="00ED0D6D">
              <w:rPr>
                <w:bCs/>
                <w:i/>
                <w:sz w:val="20"/>
              </w:rPr>
              <w:t>World</w:t>
            </w:r>
            <w:r>
              <w:rPr>
                <w:bCs/>
                <w:i/>
                <w:sz w:val="20"/>
              </w:rPr>
              <w:t>’</w:t>
            </w:r>
            <w:r w:rsidRPr="00ED0D6D">
              <w:rPr>
                <w:bCs/>
                <w:i/>
                <w:sz w:val="20"/>
              </w:rPr>
              <w:t>s</w:t>
            </w:r>
            <w:proofErr w:type="spellEnd"/>
            <w:r w:rsidRPr="00ED0D6D">
              <w:rPr>
                <w:bCs/>
                <w:i/>
                <w:sz w:val="20"/>
              </w:rPr>
              <w:t xml:space="preserve"> </w:t>
            </w:r>
            <w:proofErr w:type="spellStart"/>
            <w:r w:rsidRPr="00ED0D6D">
              <w:rPr>
                <w:bCs/>
                <w:i/>
                <w:sz w:val="20"/>
              </w:rPr>
              <w:t>Business</w:t>
            </w:r>
            <w:proofErr w:type="spellEnd"/>
            <w:r w:rsidRPr="00ED0D6D">
              <w:rPr>
                <w:bCs/>
                <w:i/>
                <w:sz w:val="20"/>
              </w:rPr>
              <w:t xml:space="preserve"> </w:t>
            </w:r>
            <w:proofErr w:type="spellStart"/>
            <w:r w:rsidRPr="00ED0D6D">
              <w:rPr>
                <w:bCs/>
                <w:i/>
                <w:sz w:val="20"/>
              </w:rPr>
              <w:t>School</w:t>
            </w:r>
            <w:proofErr w:type="spellEnd"/>
            <w:r w:rsidRPr="00ED0D6D">
              <w:rPr>
                <w:bCs/>
                <w:sz w:val="20"/>
              </w:rPr>
              <w:t xml:space="preserve"> INSEAD (2009–2010)</w:t>
            </w:r>
          </w:p>
        </w:tc>
        <w:tc>
          <w:tcPr>
            <w:tcW w:w="1620" w:type="dxa"/>
            <w:shd w:val="clear" w:color="auto" w:fill="F2F2F2" w:themeFill="background1" w:themeFillShade="F2"/>
          </w:tcPr>
          <w:p w14:paraId="0507DC65" w14:textId="77777777" w:rsidR="00975F26" w:rsidRPr="00ED0D6D" w:rsidRDefault="00975F26" w:rsidP="002A479B">
            <w:pPr>
              <w:jc w:val="center"/>
              <w:rPr>
                <w:bCs/>
                <w:sz w:val="20"/>
              </w:rPr>
            </w:pPr>
            <w:r w:rsidRPr="00ED0D6D">
              <w:rPr>
                <w:bCs/>
                <w:sz w:val="20"/>
              </w:rPr>
              <w:t>4,97</w:t>
            </w:r>
          </w:p>
        </w:tc>
        <w:tc>
          <w:tcPr>
            <w:tcW w:w="1350" w:type="dxa"/>
            <w:shd w:val="clear" w:color="auto" w:fill="F2F2F2" w:themeFill="background1" w:themeFillShade="F2"/>
          </w:tcPr>
          <w:p w14:paraId="199ECE15" w14:textId="77777777" w:rsidR="00975F26" w:rsidRPr="00ED0D6D" w:rsidRDefault="00975F26" w:rsidP="002A479B">
            <w:pPr>
              <w:jc w:val="center"/>
              <w:rPr>
                <w:bCs/>
                <w:sz w:val="20"/>
              </w:rPr>
            </w:pPr>
            <w:r w:rsidRPr="00ED0D6D">
              <w:rPr>
                <w:bCs/>
                <w:sz w:val="20"/>
              </w:rPr>
              <w:t>4,22</w:t>
            </w:r>
          </w:p>
        </w:tc>
        <w:tc>
          <w:tcPr>
            <w:tcW w:w="1620" w:type="dxa"/>
            <w:shd w:val="clear" w:color="auto" w:fill="F2F2F2" w:themeFill="background1" w:themeFillShade="F2"/>
          </w:tcPr>
          <w:p w14:paraId="7C54C8BA" w14:textId="77777777" w:rsidR="00975F26" w:rsidRPr="00ED0D6D" w:rsidRDefault="00975F26" w:rsidP="002A479B">
            <w:pPr>
              <w:jc w:val="center"/>
              <w:rPr>
                <w:bCs/>
                <w:sz w:val="20"/>
              </w:rPr>
            </w:pPr>
            <w:r w:rsidRPr="00ED0D6D">
              <w:rPr>
                <w:bCs/>
                <w:sz w:val="20"/>
              </w:rPr>
              <w:t>21 vieta ES</w:t>
            </w:r>
          </w:p>
        </w:tc>
        <w:tc>
          <w:tcPr>
            <w:tcW w:w="1260" w:type="dxa"/>
            <w:shd w:val="clear" w:color="auto" w:fill="FFFFFF" w:themeFill="background1"/>
          </w:tcPr>
          <w:p w14:paraId="5BA58440" w14:textId="77777777" w:rsidR="00975F26" w:rsidRPr="00791581" w:rsidRDefault="00975F26" w:rsidP="002A479B">
            <w:pPr>
              <w:ind w:firstLine="50"/>
              <w:jc w:val="center"/>
              <w:rPr>
                <w:b/>
                <w:sz w:val="20"/>
              </w:rPr>
            </w:pPr>
            <w:r w:rsidRPr="00791581">
              <w:rPr>
                <w:b/>
                <w:sz w:val="20"/>
              </w:rPr>
              <w:t>14 vieta ES</w:t>
            </w:r>
          </w:p>
        </w:tc>
        <w:tc>
          <w:tcPr>
            <w:tcW w:w="1350" w:type="dxa"/>
            <w:shd w:val="clear" w:color="auto" w:fill="FFFFFF" w:themeFill="background1"/>
          </w:tcPr>
          <w:p w14:paraId="77CF6EAD" w14:textId="77777777" w:rsidR="00975F26" w:rsidRPr="00ED0D6D" w:rsidRDefault="00975F26" w:rsidP="002A479B">
            <w:pPr>
              <w:ind w:firstLine="50"/>
              <w:jc w:val="center"/>
              <w:rPr>
                <w:bCs/>
                <w:sz w:val="20"/>
              </w:rPr>
            </w:pPr>
            <w:r w:rsidRPr="00ED0D6D">
              <w:rPr>
                <w:bCs/>
                <w:sz w:val="20"/>
              </w:rPr>
              <w:t>+</w:t>
            </w:r>
            <w:r>
              <w:rPr>
                <w:bCs/>
                <w:sz w:val="20"/>
              </w:rPr>
              <w:t>7</w:t>
            </w:r>
          </w:p>
        </w:tc>
        <w:tc>
          <w:tcPr>
            <w:tcW w:w="1350" w:type="dxa"/>
            <w:shd w:val="clear" w:color="auto" w:fill="auto"/>
          </w:tcPr>
          <w:p w14:paraId="6BD5E479" w14:textId="77777777" w:rsidR="00975F26" w:rsidRPr="00ED0D6D" w:rsidRDefault="00975F26" w:rsidP="002A479B">
            <w:pPr>
              <w:ind w:firstLine="50"/>
              <w:jc w:val="center"/>
              <w:rPr>
                <w:b/>
                <w:bCs/>
                <w:sz w:val="20"/>
              </w:rPr>
            </w:pPr>
            <w:r>
              <w:rPr>
                <w:b/>
                <w:bCs/>
                <w:sz w:val="20"/>
              </w:rPr>
              <w:t>d</w:t>
            </w:r>
            <w:r w:rsidRPr="00791581">
              <w:rPr>
                <w:b/>
                <w:bCs/>
                <w:sz w:val="20"/>
              </w:rPr>
              <w:t>idelė</w:t>
            </w:r>
          </w:p>
        </w:tc>
        <w:tc>
          <w:tcPr>
            <w:tcW w:w="1505" w:type="dxa"/>
            <w:shd w:val="clear" w:color="auto" w:fill="FFFFFF" w:themeFill="background1"/>
          </w:tcPr>
          <w:p w14:paraId="07AAD917" w14:textId="77777777" w:rsidR="00975F26" w:rsidRPr="00ED0D6D" w:rsidRDefault="00975F26" w:rsidP="002A479B">
            <w:pPr>
              <w:ind w:firstLine="50"/>
              <w:jc w:val="center"/>
              <w:rPr>
                <w:bCs/>
                <w:sz w:val="20"/>
              </w:rPr>
            </w:pPr>
            <w:r w:rsidRPr="00ED0D6D">
              <w:rPr>
                <w:bCs/>
                <w:sz w:val="20"/>
              </w:rPr>
              <w:t xml:space="preserve">15 vieta ES </w:t>
            </w:r>
          </w:p>
          <w:p w14:paraId="405706D2" w14:textId="77777777" w:rsidR="00975F26" w:rsidRPr="00ED0D6D" w:rsidRDefault="00975F26" w:rsidP="002A479B">
            <w:pPr>
              <w:jc w:val="center"/>
              <w:rPr>
                <w:bCs/>
                <w:sz w:val="20"/>
              </w:rPr>
            </w:pPr>
          </w:p>
        </w:tc>
        <w:tc>
          <w:tcPr>
            <w:tcW w:w="1555" w:type="dxa"/>
            <w:shd w:val="clear" w:color="auto" w:fill="FFFFFF" w:themeFill="background1"/>
          </w:tcPr>
          <w:p w14:paraId="65AD7A5B" w14:textId="77777777" w:rsidR="00975F26" w:rsidRPr="00ED0D6D" w:rsidRDefault="00975F26" w:rsidP="002A479B">
            <w:pPr>
              <w:jc w:val="center"/>
              <w:rPr>
                <w:bCs/>
                <w:sz w:val="20"/>
              </w:rPr>
            </w:pPr>
            <w:r w:rsidRPr="00ED0D6D">
              <w:rPr>
                <w:bCs/>
                <w:sz w:val="20"/>
              </w:rPr>
              <w:t>ne žemesnė negu 10 vieta ES</w:t>
            </w:r>
          </w:p>
        </w:tc>
      </w:tr>
      <w:tr w:rsidR="00975F26" w:rsidRPr="00ED0D6D" w14:paraId="0CF33A18" w14:textId="77777777" w:rsidTr="002A479B">
        <w:trPr>
          <w:trHeight w:val="20"/>
          <w:jc w:val="center"/>
        </w:trPr>
        <w:tc>
          <w:tcPr>
            <w:tcW w:w="3595" w:type="dxa"/>
          </w:tcPr>
          <w:p w14:paraId="5517AA34" w14:textId="77777777" w:rsidR="00975F26" w:rsidRPr="00ED0D6D" w:rsidRDefault="00975F26" w:rsidP="002A479B">
            <w:pPr>
              <w:rPr>
                <w:b/>
                <w:bCs/>
                <w:sz w:val="20"/>
              </w:rPr>
            </w:pPr>
            <w:r w:rsidRPr="00ED0D6D">
              <w:rPr>
                <w:b/>
                <w:bCs/>
                <w:sz w:val="20"/>
              </w:rPr>
              <w:lastRenderedPageBreak/>
              <w:t>Aukšta reglamentavimo kokybė</w:t>
            </w:r>
          </w:p>
          <w:p w14:paraId="07E964A3" w14:textId="77777777" w:rsidR="00975F26" w:rsidRPr="00ED0D6D" w:rsidRDefault="00975F26" w:rsidP="002A479B">
            <w:pPr>
              <w:rPr>
                <w:b/>
                <w:bCs/>
                <w:sz w:val="20"/>
              </w:rPr>
            </w:pPr>
            <w:proofErr w:type="spellStart"/>
            <w:r w:rsidRPr="00ED0D6D">
              <w:rPr>
                <w:bCs/>
                <w:i/>
                <w:sz w:val="20"/>
              </w:rPr>
              <w:t>The</w:t>
            </w:r>
            <w:proofErr w:type="spellEnd"/>
            <w:r w:rsidRPr="00ED0D6D">
              <w:rPr>
                <w:bCs/>
                <w:i/>
                <w:sz w:val="20"/>
              </w:rPr>
              <w:t xml:space="preserve"> </w:t>
            </w:r>
            <w:proofErr w:type="spellStart"/>
            <w:r w:rsidRPr="00ED0D6D">
              <w:rPr>
                <w:bCs/>
                <w:i/>
                <w:sz w:val="20"/>
              </w:rPr>
              <w:t>World</w:t>
            </w:r>
            <w:r>
              <w:rPr>
                <w:bCs/>
                <w:i/>
                <w:sz w:val="20"/>
              </w:rPr>
              <w:t>’</w:t>
            </w:r>
            <w:r w:rsidRPr="00ED0D6D">
              <w:rPr>
                <w:bCs/>
                <w:i/>
                <w:sz w:val="20"/>
              </w:rPr>
              <w:t>s</w:t>
            </w:r>
            <w:proofErr w:type="spellEnd"/>
            <w:r w:rsidRPr="00ED0D6D">
              <w:rPr>
                <w:bCs/>
                <w:i/>
                <w:sz w:val="20"/>
              </w:rPr>
              <w:t xml:space="preserve"> </w:t>
            </w:r>
            <w:proofErr w:type="spellStart"/>
            <w:r w:rsidRPr="00ED0D6D">
              <w:rPr>
                <w:bCs/>
                <w:i/>
                <w:sz w:val="20"/>
              </w:rPr>
              <w:t>Business</w:t>
            </w:r>
            <w:proofErr w:type="spellEnd"/>
            <w:r w:rsidRPr="00ED0D6D">
              <w:rPr>
                <w:bCs/>
                <w:i/>
                <w:sz w:val="20"/>
              </w:rPr>
              <w:t xml:space="preserve"> </w:t>
            </w:r>
            <w:proofErr w:type="spellStart"/>
            <w:r w:rsidRPr="00ED0D6D">
              <w:rPr>
                <w:bCs/>
                <w:i/>
                <w:sz w:val="20"/>
              </w:rPr>
              <w:t>School</w:t>
            </w:r>
            <w:proofErr w:type="spellEnd"/>
            <w:r w:rsidRPr="00ED0D6D">
              <w:rPr>
                <w:bCs/>
                <w:sz w:val="20"/>
              </w:rPr>
              <w:t xml:space="preserve"> INSEAD (2009–2010)</w:t>
            </w:r>
          </w:p>
        </w:tc>
        <w:tc>
          <w:tcPr>
            <w:tcW w:w="1620" w:type="dxa"/>
            <w:shd w:val="clear" w:color="auto" w:fill="F2F2F2" w:themeFill="background1" w:themeFillShade="F2"/>
          </w:tcPr>
          <w:p w14:paraId="1FC6693B" w14:textId="77777777" w:rsidR="00975F26" w:rsidRPr="00ED0D6D" w:rsidRDefault="00975F26" w:rsidP="002A479B">
            <w:pPr>
              <w:jc w:val="center"/>
              <w:rPr>
                <w:bCs/>
                <w:sz w:val="20"/>
              </w:rPr>
            </w:pPr>
            <w:r w:rsidRPr="00ED0D6D">
              <w:rPr>
                <w:sz w:val="20"/>
              </w:rPr>
              <w:t>5,98 balo</w:t>
            </w:r>
          </w:p>
        </w:tc>
        <w:tc>
          <w:tcPr>
            <w:tcW w:w="1350" w:type="dxa"/>
            <w:shd w:val="clear" w:color="auto" w:fill="F2F2F2" w:themeFill="background1" w:themeFillShade="F2"/>
          </w:tcPr>
          <w:p w14:paraId="19BFAFC3" w14:textId="77777777" w:rsidR="00975F26" w:rsidRPr="00ED0D6D" w:rsidRDefault="00975F26" w:rsidP="002A479B">
            <w:pPr>
              <w:jc w:val="center"/>
              <w:rPr>
                <w:bCs/>
                <w:sz w:val="20"/>
              </w:rPr>
            </w:pPr>
            <w:r w:rsidRPr="00ED0D6D">
              <w:rPr>
                <w:sz w:val="20"/>
              </w:rPr>
              <w:t>5,77 balo</w:t>
            </w:r>
          </w:p>
        </w:tc>
        <w:tc>
          <w:tcPr>
            <w:tcW w:w="1620" w:type="dxa"/>
            <w:shd w:val="clear" w:color="auto" w:fill="F2F2F2" w:themeFill="background1" w:themeFillShade="F2"/>
          </w:tcPr>
          <w:p w14:paraId="69C68F93" w14:textId="77777777" w:rsidR="00975F26" w:rsidRPr="00ED0D6D" w:rsidRDefault="00975F26" w:rsidP="002A479B">
            <w:pPr>
              <w:jc w:val="center"/>
              <w:rPr>
                <w:bCs/>
                <w:sz w:val="20"/>
              </w:rPr>
            </w:pPr>
            <w:r w:rsidRPr="00ED0D6D">
              <w:rPr>
                <w:sz w:val="20"/>
              </w:rPr>
              <w:t>17 vieta ES</w:t>
            </w:r>
          </w:p>
        </w:tc>
        <w:tc>
          <w:tcPr>
            <w:tcW w:w="1260" w:type="dxa"/>
            <w:shd w:val="clear" w:color="auto" w:fill="FFFFFF" w:themeFill="background1"/>
          </w:tcPr>
          <w:p w14:paraId="017EDC0A" w14:textId="77777777" w:rsidR="00975F26" w:rsidRPr="00791581" w:rsidRDefault="00975F26" w:rsidP="002A479B">
            <w:pPr>
              <w:ind w:firstLine="50"/>
              <w:jc w:val="center"/>
              <w:rPr>
                <w:b/>
                <w:sz w:val="20"/>
              </w:rPr>
            </w:pPr>
            <w:r w:rsidRPr="00791581">
              <w:rPr>
                <w:b/>
                <w:sz w:val="20"/>
              </w:rPr>
              <w:t>14 vieta ES</w:t>
            </w:r>
          </w:p>
        </w:tc>
        <w:tc>
          <w:tcPr>
            <w:tcW w:w="1350" w:type="dxa"/>
            <w:shd w:val="clear" w:color="auto" w:fill="FFFFFF" w:themeFill="background1"/>
          </w:tcPr>
          <w:p w14:paraId="7ACC12BE" w14:textId="77777777" w:rsidR="00975F26" w:rsidRPr="00ED0D6D" w:rsidRDefault="00975F26" w:rsidP="002A479B">
            <w:pPr>
              <w:ind w:firstLine="50"/>
              <w:jc w:val="center"/>
              <w:rPr>
                <w:bCs/>
                <w:sz w:val="20"/>
              </w:rPr>
            </w:pPr>
            <w:r w:rsidRPr="00ED0D6D">
              <w:rPr>
                <w:bCs/>
                <w:sz w:val="20"/>
              </w:rPr>
              <w:t>+</w:t>
            </w:r>
            <w:r>
              <w:rPr>
                <w:bCs/>
                <w:sz w:val="20"/>
              </w:rPr>
              <w:t>3</w:t>
            </w:r>
          </w:p>
        </w:tc>
        <w:tc>
          <w:tcPr>
            <w:tcW w:w="1350" w:type="dxa"/>
            <w:shd w:val="clear" w:color="auto" w:fill="auto"/>
          </w:tcPr>
          <w:p w14:paraId="01F7FC30" w14:textId="77777777" w:rsidR="00975F26" w:rsidRPr="00ED0D6D" w:rsidRDefault="00975F26" w:rsidP="002A479B">
            <w:pPr>
              <w:ind w:firstLine="50"/>
              <w:jc w:val="center"/>
              <w:rPr>
                <w:b/>
                <w:bCs/>
                <w:sz w:val="20"/>
              </w:rPr>
            </w:pPr>
            <w:r>
              <w:rPr>
                <w:b/>
                <w:bCs/>
                <w:sz w:val="20"/>
              </w:rPr>
              <w:t>d</w:t>
            </w:r>
            <w:r w:rsidRPr="00ED0D6D">
              <w:rPr>
                <w:b/>
                <w:bCs/>
                <w:sz w:val="20"/>
              </w:rPr>
              <w:t>idelė</w:t>
            </w:r>
          </w:p>
        </w:tc>
        <w:tc>
          <w:tcPr>
            <w:tcW w:w="1505" w:type="dxa"/>
            <w:shd w:val="clear" w:color="auto" w:fill="FFFFFF" w:themeFill="background1"/>
          </w:tcPr>
          <w:p w14:paraId="21927184" w14:textId="77777777" w:rsidR="00975F26" w:rsidRPr="00ED0D6D" w:rsidRDefault="00975F26" w:rsidP="002A479B">
            <w:pPr>
              <w:ind w:firstLine="50"/>
              <w:jc w:val="center"/>
              <w:rPr>
                <w:bCs/>
                <w:sz w:val="20"/>
              </w:rPr>
            </w:pPr>
            <w:r w:rsidRPr="00ED0D6D">
              <w:rPr>
                <w:bCs/>
                <w:sz w:val="20"/>
              </w:rPr>
              <w:t xml:space="preserve">13 vieta ES </w:t>
            </w:r>
          </w:p>
          <w:p w14:paraId="0A1991A7" w14:textId="77777777" w:rsidR="00975F26" w:rsidRPr="00ED0D6D" w:rsidRDefault="00975F26" w:rsidP="002A479B">
            <w:pPr>
              <w:jc w:val="center"/>
              <w:rPr>
                <w:bCs/>
                <w:sz w:val="20"/>
              </w:rPr>
            </w:pPr>
          </w:p>
        </w:tc>
        <w:tc>
          <w:tcPr>
            <w:tcW w:w="1555" w:type="dxa"/>
            <w:shd w:val="clear" w:color="auto" w:fill="FFFFFF" w:themeFill="background1"/>
          </w:tcPr>
          <w:p w14:paraId="11F55CBB" w14:textId="77777777" w:rsidR="00975F26" w:rsidRPr="00ED0D6D" w:rsidRDefault="00975F26" w:rsidP="002A479B">
            <w:pPr>
              <w:jc w:val="center"/>
              <w:rPr>
                <w:bCs/>
                <w:sz w:val="20"/>
              </w:rPr>
            </w:pPr>
            <w:r w:rsidRPr="00ED0D6D">
              <w:rPr>
                <w:bCs/>
                <w:sz w:val="20"/>
              </w:rPr>
              <w:t>ne žemesnė negu 10 vieta ES</w:t>
            </w:r>
          </w:p>
        </w:tc>
      </w:tr>
      <w:tr w:rsidR="00975F26" w:rsidRPr="00ED0D6D" w14:paraId="7712C091" w14:textId="77777777" w:rsidTr="002A479B">
        <w:trPr>
          <w:trHeight w:val="20"/>
          <w:jc w:val="center"/>
        </w:trPr>
        <w:tc>
          <w:tcPr>
            <w:tcW w:w="3595" w:type="dxa"/>
          </w:tcPr>
          <w:p w14:paraId="6A085B1F" w14:textId="77777777" w:rsidR="00975F26" w:rsidRPr="00ED0D6D" w:rsidRDefault="00975F26" w:rsidP="002A479B">
            <w:pPr>
              <w:tabs>
                <w:tab w:val="left" w:pos="720"/>
                <w:tab w:val="left" w:pos="1477"/>
              </w:tabs>
              <w:rPr>
                <w:b/>
                <w:bCs/>
                <w:sz w:val="20"/>
              </w:rPr>
            </w:pPr>
            <w:r w:rsidRPr="00ED0D6D">
              <w:rPr>
                <w:b/>
                <w:bCs/>
                <w:sz w:val="20"/>
              </w:rPr>
              <w:t>Pasitikėjimas šalies institucijomis (pasitikinčių policija, valstybės tarnyba, parlamentu ir Vyriausybe vidurkis)</w:t>
            </w:r>
          </w:p>
          <w:p w14:paraId="5D9C9B23" w14:textId="77777777" w:rsidR="00975F26" w:rsidRPr="00ED0D6D" w:rsidRDefault="00975F26" w:rsidP="002A479B">
            <w:pPr>
              <w:tabs>
                <w:tab w:val="left" w:pos="720"/>
                <w:tab w:val="left" w:pos="1477"/>
              </w:tabs>
              <w:rPr>
                <w:b/>
                <w:bCs/>
                <w:sz w:val="20"/>
              </w:rPr>
            </w:pPr>
            <w:r w:rsidRPr="00ED0D6D">
              <w:rPr>
                <w:bCs/>
                <w:sz w:val="20"/>
              </w:rPr>
              <w:t>Europos vertybių tyrimas, 2008</w:t>
            </w:r>
          </w:p>
        </w:tc>
        <w:tc>
          <w:tcPr>
            <w:tcW w:w="1620" w:type="dxa"/>
            <w:shd w:val="clear" w:color="auto" w:fill="F2F2F2" w:themeFill="background1" w:themeFillShade="F2"/>
          </w:tcPr>
          <w:p w14:paraId="5BF8769D" w14:textId="77777777" w:rsidR="00975F26" w:rsidRPr="00ED0D6D" w:rsidRDefault="00975F26" w:rsidP="002A479B">
            <w:pPr>
              <w:jc w:val="center"/>
              <w:rPr>
                <w:bCs/>
                <w:sz w:val="20"/>
              </w:rPr>
            </w:pPr>
            <w:r w:rsidRPr="00ED0D6D">
              <w:rPr>
                <w:bCs/>
                <w:sz w:val="20"/>
              </w:rPr>
              <w:t>46 proc.</w:t>
            </w:r>
          </w:p>
        </w:tc>
        <w:tc>
          <w:tcPr>
            <w:tcW w:w="1350" w:type="dxa"/>
            <w:shd w:val="clear" w:color="auto" w:fill="F2F2F2" w:themeFill="background1" w:themeFillShade="F2"/>
          </w:tcPr>
          <w:p w14:paraId="65EB4A43" w14:textId="77777777" w:rsidR="00975F26" w:rsidRPr="00ED0D6D" w:rsidRDefault="00975F26" w:rsidP="002A479B">
            <w:pPr>
              <w:jc w:val="center"/>
              <w:rPr>
                <w:bCs/>
                <w:sz w:val="20"/>
              </w:rPr>
            </w:pPr>
            <w:r w:rsidRPr="00ED0D6D">
              <w:rPr>
                <w:bCs/>
                <w:sz w:val="20"/>
              </w:rPr>
              <w:t>30 proc.</w:t>
            </w:r>
          </w:p>
        </w:tc>
        <w:tc>
          <w:tcPr>
            <w:tcW w:w="1620" w:type="dxa"/>
            <w:shd w:val="clear" w:color="auto" w:fill="F2F2F2" w:themeFill="background1" w:themeFillShade="F2"/>
          </w:tcPr>
          <w:p w14:paraId="0E8CD565" w14:textId="77777777" w:rsidR="00975F26" w:rsidRPr="00ED0D6D" w:rsidRDefault="00975F26" w:rsidP="002A479B">
            <w:pPr>
              <w:jc w:val="center"/>
              <w:rPr>
                <w:bCs/>
                <w:sz w:val="20"/>
              </w:rPr>
            </w:pPr>
            <w:r w:rsidRPr="00ED0D6D">
              <w:rPr>
                <w:bCs/>
                <w:sz w:val="20"/>
              </w:rPr>
              <w:t>30 proc.</w:t>
            </w:r>
          </w:p>
        </w:tc>
        <w:tc>
          <w:tcPr>
            <w:tcW w:w="1260" w:type="dxa"/>
            <w:shd w:val="clear" w:color="auto" w:fill="auto"/>
          </w:tcPr>
          <w:p w14:paraId="4BE32A21" w14:textId="77777777" w:rsidR="00975F26" w:rsidRPr="00D1313D" w:rsidRDefault="00975F26" w:rsidP="002A479B">
            <w:pPr>
              <w:jc w:val="center"/>
              <w:rPr>
                <w:b/>
                <w:sz w:val="20"/>
              </w:rPr>
            </w:pPr>
            <w:r w:rsidRPr="00D1313D">
              <w:rPr>
                <w:b/>
                <w:sz w:val="20"/>
              </w:rPr>
              <w:t>65 proc.</w:t>
            </w:r>
          </w:p>
          <w:p w14:paraId="64D414CB" w14:textId="77777777" w:rsidR="00975F26" w:rsidRPr="00ED0D6D" w:rsidRDefault="00975F26" w:rsidP="002A479B">
            <w:pPr>
              <w:jc w:val="center"/>
              <w:rPr>
                <w:bCs/>
                <w:sz w:val="20"/>
              </w:rPr>
            </w:pPr>
            <w:r w:rsidRPr="00D1313D">
              <w:rPr>
                <w:b/>
                <w:sz w:val="20"/>
              </w:rPr>
              <w:t>(2018)</w:t>
            </w:r>
          </w:p>
        </w:tc>
        <w:tc>
          <w:tcPr>
            <w:tcW w:w="1350" w:type="dxa"/>
            <w:shd w:val="clear" w:color="auto" w:fill="FFFFFF" w:themeFill="background1"/>
          </w:tcPr>
          <w:p w14:paraId="372EA3A9" w14:textId="77777777" w:rsidR="00975F26" w:rsidRPr="00ED0D6D" w:rsidRDefault="00975F26" w:rsidP="002A479B">
            <w:pPr>
              <w:jc w:val="center"/>
              <w:rPr>
                <w:bCs/>
                <w:sz w:val="20"/>
              </w:rPr>
            </w:pPr>
            <w:r w:rsidRPr="00ED0D6D">
              <w:rPr>
                <w:bCs/>
                <w:sz w:val="20"/>
              </w:rPr>
              <w:t>+</w:t>
            </w:r>
            <w:r>
              <w:rPr>
                <w:bCs/>
                <w:sz w:val="20"/>
              </w:rPr>
              <w:t>3</w:t>
            </w:r>
            <w:r w:rsidRPr="00ED0D6D">
              <w:rPr>
                <w:bCs/>
                <w:sz w:val="20"/>
              </w:rPr>
              <w:t>5 p</w:t>
            </w:r>
            <w:r>
              <w:rPr>
                <w:bCs/>
                <w:sz w:val="20"/>
              </w:rPr>
              <w:t xml:space="preserve">roc. </w:t>
            </w:r>
            <w:r w:rsidRPr="00ED0D6D">
              <w:rPr>
                <w:bCs/>
                <w:sz w:val="20"/>
              </w:rPr>
              <w:t>p.</w:t>
            </w:r>
          </w:p>
        </w:tc>
        <w:tc>
          <w:tcPr>
            <w:tcW w:w="1350" w:type="dxa"/>
            <w:shd w:val="clear" w:color="auto" w:fill="auto"/>
          </w:tcPr>
          <w:p w14:paraId="13496429" w14:textId="77777777" w:rsidR="00975F26" w:rsidRPr="00ED0D6D" w:rsidRDefault="00975F26" w:rsidP="002A479B">
            <w:pPr>
              <w:jc w:val="center"/>
              <w:rPr>
                <w:b/>
                <w:bCs/>
                <w:sz w:val="20"/>
              </w:rPr>
            </w:pPr>
            <w:r>
              <w:rPr>
                <w:b/>
                <w:bCs/>
                <w:sz w:val="20"/>
              </w:rPr>
              <w:t>d</w:t>
            </w:r>
            <w:r w:rsidRPr="00ED0D6D">
              <w:rPr>
                <w:b/>
                <w:bCs/>
                <w:sz w:val="20"/>
              </w:rPr>
              <w:t>idelė</w:t>
            </w:r>
          </w:p>
        </w:tc>
        <w:tc>
          <w:tcPr>
            <w:tcW w:w="1505" w:type="dxa"/>
            <w:shd w:val="clear" w:color="auto" w:fill="FFFFFF" w:themeFill="background1"/>
          </w:tcPr>
          <w:p w14:paraId="0194439A" w14:textId="77777777" w:rsidR="00975F26" w:rsidRPr="00ED0D6D" w:rsidRDefault="00975F26" w:rsidP="002A479B">
            <w:pPr>
              <w:jc w:val="center"/>
              <w:rPr>
                <w:bCs/>
                <w:sz w:val="20"/>
              </w:rPr>
            </w:pPr>
            <w:r w:rsidRPr="00ED0D6D">
              <w:rPr>
                <w:bCs/>
                <w:sz w:val="20"/>
              </w:rPr>
              <w:t>45 proc.</w:t>
            </w:r>
          </w:p>
        </w:tc>
        <w:tc>
          <w:tcPr>
            <w:tcW w:w="1555" w:type="dxa"/>
            <w:shd w:val="clear" w:color="auto" w:fill="FFFFFF" w:themeFill="background1"/>
          </w:tcPr>
          <w:p w14:paraId="2FF22218" w14:textId="77777777" w:rsidR="00975F26" w:rsidRPr="00ED0D6D" w:rsidRDefault="00975F26" w:rsidP="002A479B">
            <w:pPr>
              <w:jc w:val="center"/>
              <w:rPr>
                <w:bCs/>
                <w:sz w:val="20"/>
              </w:rPr>
            </w:pPr>
            <w:r w:rsidRPr="00ED0D6D">
              <w:rPr>
                <w:bCs/>
                <w:sz w:val="20"/>
              </w:rPr>
              <w:t>55 proc.</w:t>
            </w:r>
          </w:p>
        </w:tc>
      </w:tr>
      <w:tr w:rsidR="00975F26" w:rsidRPr="00ED0D6D" w14:paraId="618BCDE5" w14:textId="77777777" w:rsidTr="002A479B">
        <w:trPr>
          <w:trHeight w:val="20"/>
          <w:jc w:val="center"/>
        </w:trPr>
        <w:tc>
          <w:tcPr>
            <w:tcW w:w="3595" w:type="dxa"/>
          </w:tcPr>
          <w:p w14:paraId="25727BD1" w14:textId="77777777" w:rsidR="00975F26" w:rsidRPr="00ED0D6D" w:rsidRDefault="00975F26" w:rsidP="002A479B">
            <w:pPr>
              <w:tabs>
                <w:tab w:val="left" w:pos="720"/>
                <w:tab w:val="left" w:pos="1477"/>
              </w:tabs>
              <w:rPr>
                <w:b/>
                <w:bCs/>
                <w:color w:val="000000"/>
                <w:sz w:val="20"/>
              </w:rPr>
            </w:pPr>
            <w:r w:rsidRPr="00ED0D6D">
              <w:rPr>
                <w:b/>
                <w:bCs/>
                <w:color w:val="000000"/>
                <w:sz w:val="20"/>
              </w:rPr>
              <w:t xml:space="preserve">E. valdžios išvystymo indeksas </w:t>
            </w:r>
          </w:p>
          <w:p w14:paraId="3404C9D5" w14:textId="77777777" w:rsidR="00975F26" w:rsidRPr="00ED0D6D" w:rsidRDefault="00975F26" w:rsidP="002A479B">
            <w:pPr>
              <w:tabs>
                <w:tab w:val="left" w:pos="720"/>
                <w:tab w:val="left" w:pos="1477"/>
              </w:tabs>
              <w:rPr>
                <w:bCs/>
                <w:color w:val="000000"/>
                <w:sz w:val="20"/>
              </w:rPr>
            </w:pPr>
            <w:r w:rsidRPr="00ED0D6D">
              <w:rPr>
                <w:bCs/>
                <w:color w:val="000000"/>
                <w:sz w:val="20"/>
              </w:rPr>
              <w:t>Jungtinių Tautų e. valdžios tyrimas, 2010</w:t>
            </w:r>
          </w:p>
        </w:tc>
        <w:tc>
          <w:tcPr>
            <w:tcW w:w="1620" w:type="dxa"/>
            <w:shd w:val="clear" w:color="auto" w:fill="F2F2F2" w:themeFill="background1" w:themeFillShade="F2"/>
          </w:tcPr>
          <w:p w14:paraId="36BFC01A" w14:textId="77777777" w:rsidR="00975F26" w:rsidRPr="00ED0D6D" w:rsidRDefault="00975F26" w:rsidP="002A479B">
            <w:pPr>
              <w:jc w:val="center"/>
              <w:rPr>
                <w:bCs/>
                <w:color w:val="000000"/>
                <w:sz w:val="20"/>
              </w:rPr>
            </w:pPr>
            <w:r w:rsidRPr="00ED0D6D">
              <w:rPr>
                <w:bCs/>
                <w:color w:val="000000"/>
                <w:sz w:val="20"/>
              </w:rPr>
              <w:t>0,6601</w:t>
            </w:r>
          </w:p>
        </w:tc>
        <w:tc>
          <w:tcPr>
            <w:tcW w:w="1350" w:type="dxa"/>
            <w:shd w:val="clear" w:color="auto" w:fill="F2F2F2" w:themeFill="background1" w:themeFillShade="F2"/>
          </w:tcPr>
          <w:p w14:paraId="75398979" w14:textId="77777777" w:rsidR="00975F26" w:rsidRPr="00ED0D6D" w:rsidRDefault="00975F26" w:rsidP="002A479B">
            <w:pPr>
              <w:jc w:val="center"/>
              <w:rPr>
                <w:bCs/>
                <w:color w:val="000000"/>
                <w:sz w:val="20"/>
              </w:rPr>
            </w:pPr>
            <w:r w:rsidRPr="00ED0D6D">
              <w:rPr>
                <w:bCs/>
                <w:color w:val="000000"/>
                <w:sz w:val="20"/>
              </w:rPr>
              <w:t>0,6295</w:t>
            </w:r>
          </w:p>
        </w:tc>
        <w:tc>
          <w:tcPr>
            <w:tcW w:w="1620" w:type="dxa"/>
            <w:shd w:val="clear" w:color="auto" w:fill="F2F2F2" w:themeFill="background1" w:themeFillShade="F2"/>
          </w:tcPr>
          <w:p w14:paraId="3B5BD39B" w14:textId="77777777" w:rsidR="00975F26" w:rsidRPr="00ED0D6D" w:rsidRDefault="00975F26" w:rsidP="002A479B">
            <w:pPr>
              <w:jc w:val="center"/>
              <w:rPr>
                <w:bCs/>
                <w:color w:val="000000"/>
                <w:sz w:val="20"/>
              </w:rPr>
            </w:pPr>
            <w:r w:rsidRPr="00ED0D6D">
              <w:rPr>
                <w:bCs/>
                <w:color w:val="000000"/>
                <w:sz w:val="20"/>
              </w:rPr>
              <w:t>15 vieta ES</w:t>
            </w:r>
          </w:p>
        </w:tc>
        <w:tc>
          <w:tcPr>
            <w:tcW w:w="1260" w:type="dxa"/>
            <w:shd w:val="clear" w:color="auto" w:fill="FFFFFF" w:themeFill="background1"/>
          </w:tcPr>
          <w:p w14:paraId="4CD1A378" w14:textId="77777777" w:rsidR="00975F26" w:rsidRPr="00ED0D6D" w:rsidRDefault="00975F26" w:rsidP="002A479B">
            <w:pPr>
              <w:jc w:val="center"/>
              <w:rPr>
                <w:b/>
                <w:color w:val="000000"/>
                <w:sz w:val="20"/>
              </w:rPr>
            </w:pPr>
            <w:r>
              <w:rPr>
                <w:b/>
                <w:color w:val="000000"/>
                <w:sz w:val="20"/>
              </w:rPr>
              <w:t>10</w:t>
            </w:r>
            <w:r w:rsidRPr="00ED0D6D">
              <w:rPr>
                <w:b/>
                <w:color w:val="000000"/>
                <w:sz w:val="20"/>
              </w:rPr>
              <w:t xml:space="preserve"> vieta ES 0,8665</w:t>
            </w:r>
          </w:p>
          <w:p w14:paraId="21791B58" w14:textId="77777777" w:rsidR="00975F26" w:rsidRPr="00ED0D6D" w:rsidRDefault="00975F26" w:rsidP="002A479B">
            <w:pPr>
              <w:jc w:val="center"/>
              <w:rPr>
                <w:bCs/>
                <w:color w:val="000000"/>
                <w:sz w:val="20"/>
              </w:rPr>
            </w:pPr>
            <w:r w:rsidRPr="00ED0D6D">
              <w:rPr>
                <w:b/>
                <w:color w:val="000000"/>
                <w:sz w:val="20"/>
              </w:rPr>
              <w:t>(</w:t>
            </w:r>
            <w:r>
              <w:rPr>
                <w:b/>
                <w:color w:val="000000"/>
                <w:sz w:val="20"/>
              </w:rPr>
              <w:t>2020</w:t>
            </w:r>
            <w:r w:rsidRPr="00ED0D6D">
              <w:rPr>
                <w:b/>
                <w:color w:val="000000"/>
                <w:sz w:val="20"/>
              </w:rPr>
              <w:t>)</w:t>
            </w:r>
          </w:p>
        </w:tc>
        <w:tc>
          <w:tcPr>
            <w:tcW w:w="1350" w:type="dxa"/>
            <w:shd w:val="clear" w:color="auto" w:fill="FFFFFF" w:themeFill="background1"/>
          </w:tcPr>
          <w:p w14:paraId="3E1AD643" w14:textId="77777777" w:rsidR="00975F26" w:rsidRPr="00ED0D6D" w:rsidRDefault="00975F26" w:rsidP="002A479B">
            <w:pPr>
              <w:jc w:val="center"/>
              <w:rPr>
                <w:bCs/>
                <w:color w:val="000000"/>
                <w:sz w:val="20"/>
              </w:rPr>
            </w:pPr>
            <w:r>
              <w:rPr>
                <w:bCs/>
                <w:color w:val="000000"/>
                <w:sz w:val="20"/>
              </w:rPr>
              <w:t>+5</w:t>
            </w:r>
          </w:p>
        </w:tc>
        <w:tc>
          <w:tcPr>
            <w:tcW w:w="1350" w:type="dxa"/>
            <w:shd w:val="clear" w:color="auto" w:fill="auto"/>
          </w:tcPr>
          <w:p w14:paraId="269A9345" w14:textId="77777777" w:rsidR="00975F26" w:rsidRPr="00ED0D6D" w:rsidRDefault="00975F26" w:rsidP="002A479B">
            <w:pPr>
              <w:jc w:val="center"/>
              <w:rPr>
                <w:b/>
                <w:bCs/>
                <w:sz w:val="20"/>
              </w:rPr>
            </w:pPr>
            <w:r>
              <w:rPr>
                <w:b/>
                <w:bCs/>
                <w:sz w:val="20"/>
              </w:rPr>
              <w:t>d</w:t>
            </w:r>
            <w:r w:rsidRPr="00ED0D6D">
              <w:rPr>
                <w:b/>
                <w:bCs/>
                <w:sz w:val="20"/>
              </w:rPr>
              <w:t>idelė</w:t>
            </w:r>
          </w:p>
        </w:tc>
        <w:tc>
          <w:tcPr>
            <w:tcW w:w="1505" w:type="dxa"/>
            <w:shd w:val="clear" w:color="auto" w:fill="FFFFFF" w:themeFill="background1"/>
          </w:tcPr>
          <w:p w14:paraId="13108A1F" w14:textId="77777777" w:rsidR="00975F26" w:rsidRPr="00ED0D6D" w:rsidRDefault="00975F26" w:rsidP="002A479B">
            <w:pPr>
              <w:ind w:firstLine="50"/>
              <w:jc w:val="center"/>
              <w:rPr>
                <w:bCs/>
                <w:color w:val="000000"/>
                <w:sz w:val="20"/>
              </w:rPr>
            </w:pPr>
            <w:r w:rsidRPr="00ED0D6D">
              <w:rPr>
                <w:bCs/>
                <w:color w:val="000000"/>
                <w:sz w:val="20"/>
              </w:rPr>
              <w:t>13 vieta ES</w:t>
            </w:r>
          </w:p>
          <w:p w14:paraId="7C8F88BF" w14:textId="77777777" w:rsidR="00975F26" w:rsidRPr="00ED0D6D" w:rsidRDefault="00975F26" w:rsidP="002A479B">
            <w:pPr>
              <w:jc w:val="center"/>
              <w:rPr>
                <w:bCs/>
                <w:color w:val="000000"/>
                <w:sz w:val="20"/>
              </w:rPr>
            </w:pPr>
          </w:p>
        </w:tc>
        <w:tc>
          <w:tcPr>
            <w:tcW w:w="1555" w:type="dxa"/>
            <w:shd w:val="clear" w:color="auto" w:fill="FFFFFF" w:themeFill="background1"/>
          </w:tcPr>
          <w:p w14:paraId="297DFE26" w14:textId="77777777" w:rsidR="00975F26" w:rsidRPr="00ED0D6D" w:rsidRDefault="00975F26" w:rsidP="002A479B">
            <w:pPr>
              <w:jc w:val="center"/>
              <w:rPr>
                <w:bCs/>
                <w:color w:val="000000"/>
                <w:sz w:val="20"/>
              </w:rPr>
            </w:pPr>
            <w:r w:rsidRPr="00ED0D6D">
              <w:rPr>
                <w:bCs/>
                <w:color w:val="000000"/>
                <w:sz w:val="20"/>
              </w:rPr>
              <w:t>ne žemesnė negu 10 vieta ES</w:t>
            </w:r>
          </w:p>
        </w:tc>
      </w:tr>
      <w:tr w:rsidR="00975F26" w:rsidRPr="00ED0D6D" w14:paraId="48957703" w14:textId="77777777" w:rsidTr="002A479B">
        <w:trPr>
          <w:trHeight w:val="20"/>
          <w:jc w:val="center"/>
        </w:trPr>
        <w:tc>
          <w:tcPr>
            <w:tcW w:w="3595" w:type="dxa"/>
          </w:tcPr>
          <w:p w14:paraId="4B66BF14" w14:textId="77777777" w:rsidR="00975F26" w:rsidRPr="00ED0D6D" w:rsidRDefault="00975F26" w:rsidP="002A479B">
            <w:pPr>
              <w:tabs>
                <w:tab w:val="left" w:pos="720"/>
                <w:tab w:val="left" w:pos="1477"/>
              </w:tabs>
              <w:rPr>
                <w:b/>
                <w:bCs/>
                <w:sz w:val="20"/>
              </w:rPr>
            </w:pPr>
            <w:r w:rsidRPr="00ED0D6D">
              <w:rPr>
                <w:b/>
                <w:bCs/>
                <w:sz w:val="20"/>
              </w:rPr>
              <w:t>Korupcijos suvokimo indeksas (</w:t>
            </w:r>
            <w:proofErr w:type="spellStart"/>
            <w:r w:rsidRPr="00ED0D6D">
              <w:rPr>
                <w:b/>
                <w:bCs/>
                <w:i/>
                <w:sz w:val="20"/>
              </w:rPr>
              <w:t>Transparency</w:t>
            </w:r>
            <w:proofErr w:type="spellEnd"/>
            <w:r w:rsidRPr="00ED0D6D">
              <w:rPr>
                <w:b/>
                <w:bCs/>
                <w:i/>
                <w:sz w:val="20"/>
              </w:rPr>
              <w:t xml:space="preserve"> International</w:t>
            </w:r>
            <w:r w:rsidRPr="00ED0D6D">
              <w:rPr>
                <w:b/>
                <w:bCs/>
                <w:sz w:val="20"/>
              </w:rPr>
              <w:t>)</w:t>
            </w:r>
          </w:p>
          <w:p w14:paraId="3FBD49E4" w14:textId="77777777" w:rsidR="00975F26" w:rsidRPr="00ED0D6D" w:rsidRDefault="00975F26" w:rsidP="002A479B">
            <w:pPr>
              <w:tabs>
                <w:tab w:val="left" w:pos="720"/>
                <w:tab w:val="left" w:pos="1477"/>
              </w:tabs>
              <w:rPr>
                <w:bCs/>
                <w:sz w:val="20"/>
              </w:rPr>
            </w:pPr>
            <w:proofErr w:type="spellStart"/>
            <w:r w:rsidRPr="00ED0D6D">
              <w:rPr>
                <w:bCs/>
                <w:i/>
                <w:sz w:val="20"/>
              </w:rPr>
              <w:t>Corruption</w:t>
            </w:r>
            <w:proofErr w:type="spellEnd"/>
            <w:r w:rsidRPr="00ED0D6D">
              <w:rPr>
                <w:bCs/>
                <w:i/>
                <w:sz w:val="20"/>
              </w:rPr>
              <w:t xml:space="preserve"> </w:t>
            </w:r>
            <w:proofErr w:type="spellStart"/>
            <w:r w:rsidRPr="00ED0D6D">
              <w:rPr>
                <w:bCs/>
                <w:i/>
                <w:sz w:val="20"/>
              </w:rPr>
              <w:t>Perceptions</w:t>
            </w:r>
            <w:proofErr w:type="spellEnd"/>
            <w:r w:rsidRPr="00ED0D6D">
              <w:rPr>
                <w:bCs/>
                <w:i/>
                <w:sz w:val="20"/>
              </w:rPr>
              <w:t xml:space="preserve"> </w:t>
            </w:r>
            <w:proofErr w:type="spellStart"/>
            <w:r w:rsidRPr="00ED0D6D">
              <w:rPr>
                <w:bCs/>
                <w:i/>
                <w:sz w:val="20"/>
              </w:rPr>
              <w:t>Index</w:t>
            </w:r>
            <w:proofErr w:type="spellEnd"/>
            <w:r w:rsidRPr="00ED0D6D">
              <w:rPr>
                <w:bCs/>
                <w:sz w:val="20"/>
              </w:rPr>
              <w:t>, 2011</w:t>
            </w:r>
          </w:p>
        </w:tc>
        <w:tc>
          <w:tcPr>
            <w:tcW w:w="1620" w:type="dxa"/>
            <w:shd w:val="clear" w:color="auto" w:fill="F2F2F2" w:themeFill="background1" w:themeFillShade="F2"/>
          </w:tcPr>
          <w:p w14:paraId="5BC891AF" w14:textId="77777777" w:rsidR="00975F26" w:rsidRPr="00ED0D6D" w:rsidRDefault="00975F26" w:rsidP="002A479B">
            <w:pPr>
              <w:jc w:val="center"/>
              <w:rPr>
                <w:bCs/>
                <w:sz w:val="20"/>
              </w:rPr>
            </w:pPr>
            <w:r w:rsidRPr="00ED0D6D">
              <w:rPr>
                <w:bCs/>
                <w:sz w:val="20"/>
              </w:rPr>
              <w:t>6,3 balo</w:t>
            </w:r>
          </w:p>
        </w:tc>
        <w:tc>
          <w:tcPr>
            <w:tcW w:w="1350" w:type="dxa"/>
            <w:shd w:val="clear" w:color="auto" w:fill="F2F2F2" w:themeFill="background1" w:themeFillShade="F2"/>
          </w:tcPr>
          <w:p w14:paraId="3889C8F5" w14:textId="77777777" w:rsidR="00975F26" w:rsidRPr="00ED0D6D" w:rsidRDefault="00975F26" w:rsidP="002A479B">
            <w:pPr>
              <w:jc w:val="center"/>
              <w:rPr>
                <w:bCs/>
                <w:sz w:val="20"/>
              </w:rPr>
            </w:pPr>
            <w:r w:rsidRPr="00ED0D6D">
              <w:rPr>
                <w:bCs/>
                <w:sz w:val="20"/>
              </w:rPr>
              <w:t>4,8 bal</w:t>
            </w:r>
            <w:r>
              <w:rPr>
                <w:bCs/>
                <w:sz w:val="20"/>
              </w:rPr>
              <w:t>o</w:t>
            </w:r>
          </w:p>
        </w:tc>
        <w:tc>
          <w:tcPr>
            <w:tcW w:w="1620" w:type="dxa"/>
            <w:shd w:val="clear" w:color="auto" w:fill="F2F2F2" w:themeFill="background1" w:themeFillShade="F2"/>
          </w:tcPr>
          <w:p w14:paraId="18EF2570" w14:textId="77777777" w:rsidR="00975F26" w:rsidRPr="00ED0D6D" w:rsidRDefault="00975F26" w:rsidP="002A479B">
            <w:pPr>
              <w:jc w:val="center"/>
              <w:rPr>
                <w:bCs/>
                <w:sz w:val="20"/>
              </w:rPr>
            </w:pPr>
            <w:r w:rsidRPr="00ED0D6D">
              <w:rPr>
                <w:bCs/>
                <w:sz w:val="20"/>
              </w:rPr>
              <w:t>19 vieta ES</w:t>
            </w:r>
          </w:p>
        </w:tc>
        <w:tc>
          <w:tcPr>
            <w:tcW w:w="1260" w:type="dxa"/>
            <w:shd w:val="clear" w:color="auto" w:fill="FFFFFF" w:themeFill="background1"/>
          </w:tcPr>
          <w:p w14:paraId="297C09A3" w14:textId="77777777" w:rsidR="00975F26" w:rsidRPr="00ED0D6D" w:rsidRDefault="00975F26" w:rsidP="002A479B">
            <w:pPr>
              <w:ind w:firstLine="50"/>
              <w:jc w:val="center"/>
              <w:rPr>
                <w:b/>
                <w:bCs/>
                <w:sz w:val="20"/>
              </w:rPr>
            </w:pPr>
            <w:r w:rsidRPr="00ED0D6D">
              <w:rPr>
                <w:b/>
                <w:bCs/>
                <w:sz w:val="20"/>
              </w:rPr>
              <w:t xml:space="preserve">14 vieta ES </w:t>
            </w:r>
          </w:p>
          <w:p w14:paraId="168A84CA" w14:textId="77777777" w:rsidR="00975F26" w:rsidRPr="00ED0D6D" w:rsidRDefault="00975F26" w:rsidP="002A479B">
            <w:pPr>
              <w:ind w:firstLine="50"/>
              <w:jc w:val="center"/>
              <w:rPr>
                <w:b/>
                <w:bCs/>
                <w:sz w:val="20"/>
              </w:rPr>
            </w:pPr>
            <w:r w:rsidRPr="00ED0D6D">
              <w:rPr>
                <w:b/>
                <w:bCs/>
                <w:sz w:val="20"/>
              </w:rPr>
              <w:t>6</w:t>
            </w:r>
            <w:r>
              <w:rPr>
                <w:b/>
                <w:bCs/>
                <w:sz w:val="20"/>
              </w:rPr>
              <w:t xml:space="preserve"> balai</w:t>
            </w:r>
          </w:p>
          <w:p w14:paraId="5B14F34D" w14:textId="77777777" w:rsidR="00975F26" w:rsidRPr="00ED0D6D" w:rsidRDefault="00975F26" w:rsidP="002A479B">
            <w:pPr>
              <w:ind w:firstLine="50"/>
              <w:jc w:val="center"/>
              <w:rPr>
                <w:bCs/>
                <w:sz w:val="20"/>
              </w:rPr>
            </w:pPr>
            <w:r w:rsidRPr="00ED0D6D">
              <w:rPr>
                <w:b/>
                <w:bCs/>
                <w:sz w:val="20"/>
              </w:rPr>
              <w:t>(2020)</w:t>
            </w:r>
          </w:p>
        </w:tc>
        <w:tc>
          <w:tcPr>
            <w:tcW w:w="1350" w:type="dxa"/>
            <w:shd w:val="clear" w:color="auto" w:fill="FFFFFF" w:themeFill="background1"/>
          </w:tcPr>
          <w:p w14:paraId="4DC6BA79" w14:textId="77777777" w:rsidR="00975F26" w:rsidRPr="00ED0D6D" w:rsidRDefault="00975F26" w:rsidP="002A479B">
            <w:pPr>
              <w:ind w:firstLine="50"/>
              <w:jc w:val="center"/>
              <w:rPr>
                <w:bCs/>
                <w:sz w:val="20"/>
              </w:rPr>
            </w:pPr>
            <w:r w:rsidRPr="00ED0D6D">
              <w:rPr>
                <w:bCs/>
                <w:sz w:val="20"/>
              </w:rPr>
              <w:t>+5</w:t>
            </w:r>
          </w:p>
        </w:tc>
        <w:tc>
          <w:tcPr>
            <w:tcW w:w="1350" w:type="dxa"/>
            <w:shd w:val="clear" w:color="auto" w:fill="auto"/>
          </w:tcPr>
          <w:p w14:paraId="5BEC8434" w14:textId="77777777" w:rsidR="00975F26" w:rsidRPr="00ED0D6D" w:rsidRDefault="00975F26" w:rsidP="002A479B">
            <w:pPr>
              <w:ind w:firstLine="50"/>
              <w:jc w:val="center"/>
              <w:rPr>
                <w:b/>
                <w:bCs/>
                <w:sz w:val="20"/>
              </w:rPr>
            </w:pPr>
            <w:r>
              <w:rPr>
                <w:b/>
                <w:bCs/>
                <w:sz w:val="20"/>
              </w:rPr>
              <w:t>d</w:t>
            </w:r>
            <w:r w:rsidRPr="00ED0D6D">
              <w:rPr>
                <w:b/>
                <w:bCs/>
                <w:sz w:val="20"/>
              </w:rPr>
              <w:t>idelė</w:t>
            </w:r>
          </w:p>
        </w:tc>
        <w:tc>
          <w:tcPr>
            <w:tcW w:w="1505" w:type="dxa"/>
            <w:shd w:val="clear" w:color="auto" w:fill="FFFFFF" w:themeFill="background1"/>
          </w:tcPr>
          <w:p w14:paraId="1B98AD56" w14:textId="77777777" w:rsidR="00975F26" w:rsidRPr="00ED0D6D" w:rsidRDefault="00975F26" w:rsidP="002A479B">
            <w:pPr>
              <w:ind w:firstLine="50"/>
              <w:jc w:val="center"/>
              <w:rPr>
                <w:bCs/>
                <w:sz w:val="20"/>
              </w:rPr>
            </w:pPr>
            <w:r w:rsidRPr="00ED0D6D">
              <w:rPr>
                <w:bCs/>
                <w:sz w:val="20"/>
              </w:rPr>
              <w:t xml:space="preserve">15 vieta ES </w:t>
            </w:r>
          </w:p>
          <w:p w14:paraId="4B3E8C0A" w14:textId="77777777" w:rsidR="00975F26" w:rsidRPr="00ED0D6D" w:rsidRDefault="00975F26" w:rsidP="002A479B">
            <w:pPr>
              <w:jc w:val="center"/>
              <w:rPr>
                <w:bCs/>
                <w:sz w:val="20"/>
              </w:rPr>
            </w:pPr>
          </w:p>
        </w:tc>
        <w:tc>
          <w:tcPr>
            <w:tcW w:w="1555" w:type="dxa"/>
            <w:shd w:val="clear" w:color="auto" w:fill="FFFFFF" w:themeFill="background1"/>
          </w:tcPr>
          <w:p w14:paraId="398F46A2" w14:textId="77777777" w:rsidR="00975F26" w:rsidRPr="00ED0D6D" w:rsidRDefault="00975F26" w:rsidP="002A479B">
            <w:pPr>
              <w:jc w:val="center"/>
              <w:rPr>
                <w:bCs/>
                <w:sz w:val="20"/>
              </w:rPr>
            </w:pPr>
            <w:r w:rsidRPr="00ED0D6D">
              <w:rPr>
                <w:bCs/>
                <w:sz w:val="20"/>
              </w:rPr>
              <w:t>ne žemesnė negu 10 vieta ES</w:t>
            </w:r>
          </w:p>
        </w:tc>
      </w:tr>
      <w:bookmarkEnd w:id="44"/>
    </w:tbl>
    <w:p w14:paraId="09BE8D67" w14:textId="77777777" w:rsidR="00975F26" w:rsidRPr="00ED0D6D" w:rsidRDefault="00975F26" w:rsidP="00975F26">
      <w:pPr>
        <w:pStyle w:val="Betarp2"/>
        <w:rPr>
          <w:sz w:val="20"/>
        </w:rPr>
      </w:pPr>
    </w:p>
    <w:p w14:paraId="6E434CFB" w14:textId="77777777" w:rsidR="00975F26" w:rsidRPr="00ED0D6D" w:rsidRDefault="00975F26" w:rsidP="00975F26">
      <w:pPr>
        <w:pStyle w:val="Betarp2"/>
        <w:rPr>
          <w:sz w:val="20"/>
        </w:rPr>
      </w:pPr>
    </w:p>
    <w:p w14:paraId="26ED2B9A" w14:textId="279AA8E1" w:rsidR="00975F26" w:rsidRPr="00ED0D6D" w:rsidRDefault="00CA13A1" w:rsidP="00223C36">
      <w:pPr>
        <w:pStyle w:val="Default"/>
        <w:numPr>
          <w:ilvl w:val="1"/>
          <w:numId w:val="35"/>
        </w:numPr>
        <w:tabs>
          <w:tab w:val="left" w:pos="1134"/>
        </w:tabs>
        <w:ind w:left="0" w:firstLine="709"/>
        <w:jc w:val="both"/>
        <w:rPr>
          <w:b/>
          <w:bCs/>
          <w:color w:val="17365D" w:themeColor="text2" w:themeShade="BF"/>
        </w:rPr>
      </w:pPr>
      <w:r>
        <w:rPr>
          <w:b/>
          <w:bCs/>
          <w:color w:val="17365D" w:themeColor="text2" w:themeShade="BF"/>
        </w:rPr>
        <w:t xml:space="preserve"> </w:t>
      </w:r>
      <w:r w:rsidR="00975F26">
        <w:rPr>
          <w:b/>
          <w:bCs/>
          <w:color w:val="17365D" w:themeColor="text2" w:themeShade="BF"/>
        </w:rPr>
        <w:t>Svarbiausių rodiklių pagal valstybės veiklos sritis 2019–2020 m. suvestinė</w:t>
      </w:r>
      <w:r w:rsidR="00975F26" w:rsidRPr="00ED0D6D">
        <w:rPr>
          <w:rStyle w:val="Puslapioinaosnuoroda"/>
        </w:rPr>
        <w:footnoteReference w:id="15"/>
      </w:r>
    </w:p>
    <w:p w14:paraId="73AE7481" w14:textId="77777777" w:rsidR="00975F26" w:rsidRPr="00ED0D6D" w:rsidRDefault="00975F26" w:rsidP="00223C36">
      <w:pPr>
        <w:pStyle w:val="Betarp2"/>
        <w:tabs>
          <w:tab w:val="left" w:pos="1134"/>
        </w:tabs>
        <w:ind w:firstLine="709"/>
        <w:rPr>
          <w:sz w:val="20"/>
        </w:rPr>
      </w:pPr>
    </w:p>
    <w:p w14:paraId="06B87699" w14:textId="4D9A3E1C" w:rsidR="00975F26" w:rsidRPr="00F76D7A" w:rsidRDefault="00F76D7A" w:rsidP="00223C36">
      <w:pPr>
        <w:tabs>
          <w:tab w:val="left" w:pos="1134"/>
        </w:tabs>
        <w:spacing w:line="380" w:lineRule="atLeast"/>
        <w:ind w:firstLine="709"/>
        <w:jc w:val="both"/>
        <w:rPr>
          <w:b/>
          <w:szCs w:val="24"/>
        </w:rPr>
      </w:pPr>
      <w:r>
        <w:rPr>
          <w:b/>
          <w:szCs w:val="24"/>
        </w:rPr>
        <w:t>2.2.1.</w:t>
      </w:r>
      <w:r w:rsidR="00975F26" w:rsidRPr="00F76D7A">
        <w:rPr>
          <w:b/>
          <w:szCs w:val="24"/>
        </w:rPr>
        <w:t xml:space="preserve"> Valstybės valdymas, regioninė politika ir viešasis administravimas</w:t>
      </w:r>
    </w:p>
    <w:tbl>
      <w:tblPr>
        <w:tblW w:w="15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147"/>
        <w:gridCol w:w="1080"/>
        <w:gridCol w:w="956"/>
        <w:gridCol w:w="983"/>
        <w:gridCol w:w="1250"/>
        <w:gridCol w:w="1250"/>
        <w:gridCol w:w="2112"/>
        <w:gridCol w:w="1172"/>
      </w:tblGrid>
      <w:tr w:rsidR="00975F26" w:rsidRPr="00ED0D6D" w14:paraId="20371CA8" w14:textId="77777777" w:rsidTr="002A479B">
        <w:trPr>
          <w:trHeight w:val="999"/>
        </w:trPr>
        <w:tc>
          <w:tcPr>
            <w:tcW w:w="657" w:type="dxa"/>
            <w:shd w:val="clear" w:color="000000" w:fill="DEEAF6"/>
            <w:vAlign w:val="center"/>
            <w:hideMark/>
          </w:tcPr>
          <w:p w14:paraId="6DAA7743" w14:textId="77777777" w:rsidR="00975F26" w:rsidRPr="00ED0D6D" w:rsidRDefault="00975F26" w:rsidP="002A479B">
            <w:pPr>
              <w:jc w:val="center"/>
              <w:rPr>
                <w:b/>
                <w:bCs/>
                <w:color w:val="000000"/>
                <w:sz w:val="20"/>
              </w:rPr>
            </w:pPr>
            <w:r w:rsidRPr="00ED0D6D">
              <w:rPr>
                <w:b/>
                <w:bCs/>
                <w:color w:val="000000"/>
                <w:sz w:val="20"/>
              </w:rPr>
              <w:t>Eil. Nr.</w:t>
            </w:r>
          </w:p>
        </w:tc>
        <w:tc>
          <w:tcPr>
            <w:tcW w:w="4648" w:type="dxa"/>
            <w:shd w:val="clear" w:color="000000" w:fill="DEEAF6"/>
            <w:vAlign w:val="center"/>
            <w:hideMark/>
          </w:tcPr>
          <w:p w14:paraId="3FAE4192"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147" w:type="dxa"/>
            <w:shd w:val="clear" w:color="000000" w:fill="DEEAF6"/>
            <w:vAlign w:val="center"/>
            <w:hideMark/>
          </w:tcPr>
          <w:p w14:paraId="1B165E2D"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4427998C"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3E3A685A"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61C20C06"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6C543F62"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77108072"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112" w:type="dxa"/>
            <w:shd w:val="clear" w:color="000000" w:fill="DEEAF6"/>
            <w:vAlign w:val="center"/>
            <w:hideMark/>
          </w:tcPr>
          <w:p w14:paraId="4F1C7A58" w14:textId="77777777" w:rsidR="00975F26" w:rsidRPr="00ED0D6D" w:rsidRDefault="00975F26" w:rsidP="002A479B">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128E4F39" w14:textId="77777777" w:rsidR="00975F26" w:rsidRPr="00BD7564" w:rsidRDefault="00975F26" w:rsidP="002A479B">
            <w:pPr>
              <w:jc w:val="center"/>
              <w:rPr>
                <w:b/>
                <w:bCs/>
                <w:color w:val="000000"/>
                <w:sz w:val="20"/>
              </w:rPr>
            </w:pPr>
            <w:r w:rsidRPr="00ED0D6D">
              <w:rPr>
                <w:b/>
                <w:bCs/>
                <w:color w:val="000000"/>
                <w:sz w:val="20"/>
              </w:rPr>
              <w:t xml:space="preserve">Kriterijaus požymis: </w:t>
            </w:r>
            <w:r w:rsidRPr="00BD7564">
              <w:rPr>
                <w:b/>
                <w:bCs/>
                <w:color w:val="000000"/>
                <w:sz w:val="20"/>
              </w:rPr>
              <w:t>VPS2030 NPP2020 NPP2030</w:t>
            </w:r>
          </w:p>
          <w:p w14:paraId="7881FB98" w14:textId="77777777" w:rsidR="00975F26" w:rsidRPr="00BD7564" w:rsidRDefault="00975F26" w:rsidP="002A479B">
            <w:pPr>
              <w:jc w:val="center"/>
              <w:rPr>
                <w:b/>
                <w:bCs/>
                <w:color w:val="000000"/>
                <w:sz w:val="20"/>
              </w:rPr>
            </w:pPr>
            <w:r w:rsidRPr="00BD7564">
              <w:rPr>
                <w:b/>
                <w:bCs/>
                <w:color w:val="000000"/>
                <w:sz w:val="20"/>
              </w:rPr>
              <w:t>17LRVP</w:t>
            </w:r>
          </w:p>
          <w:p w14:paraId="2D9DF7C5" w14:textId="155164DF" w:rsidR="00975F26" w:rsidRPr="00ED0D6D" w:rsidRDefault="00975F26" w:rsidP="002A479B">
            <w:pPr>
              <w:jc w:val="center"/>
              <w:rPr>
                <w:b/>
                <w:bCs/>
                <w:color w:val="000000"/>
                <w:sz w:val="20"/>
              </w:rPr>
            </w:pPr>
            <w:r w:rsidRPr="00BD7564">
              <w:rPr>
                <w:b/>
                <w:bCs/>
                <w:color w:val="000000"/>
                <w:sz w:val="20"/>
              </w:rPr>
              <w:t>18LRVP</w:t>
            </w:r>
            <w:r w:rsidR="00450B81">
              <w:rPr>
                <w:rStyle w:val="Puslapioinaosnuoroda"/>
                <w:b/>
                <w:bCs/>
                <w:color w:val="000000"/>
                <w:sz w:val="20"/>
              </w:rPr>
              <w:footnoteReference w:id="16"/>
            </w:r>
          </w:p>
        </w:tc>
      </w:tr>
      <w:tr w:rsidR="00975F26" w:rsidRPr="00ED0D6D" w14:paraId="65154DFD" w14:textId="77777777" w:rsidTr="002A479B">
        <w:trPr>
          <w:trHeight w:val="161"/>
        </w:trPr>
        <w:tc>
          <w:tcPr>
            <w:tcW w:w="657" w:type="dxa"/>
            <w:shd w:val="clear" w:color="auto" w:fill="auto"/>
            <w:vAlign w:val="center"/>
            <w:hideMark/>
          </w:tcPr>
          <w:p w14:paraId="7D531592"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648" w:type="dxa"/>
            <w:shd w:val="clear" w:color="auto" w:fill="auto"/>
          </w:tcPr>
          <w:p w14:paraId="776F793F" w14:textId="77777777" w:rsidR="00975F26" w:rsidRPr="005260C5" w:rsidRDefault="00975F26" w:rsidP="002A479B">
            <w:pPr>
              <w:rPr>
                <w:color w:val="000000"/>
                <w:sz w:val="20"/>
              </w:rPr>
            </w:pPr>
            <w:r w:rsidRPr="005260C5">
              <w:rPr>
                <w:color w:val="000000"/>
                <w:sz w:val="20"/>
              </w:rPr>
              <w:t>Lietuvos gyventojų skaičius (mln. gyventojų)</w:t>
            </w:r>
          </w:p>
        </w:tc>
        <w:tc>
          <w:tcPr>
            <w:tcW w:w="1147" w:type="dxa"/>
            <w:shd w:val="clear" w:color="auto" w:fill="auto"/>
            <w:noWrap/>
          </w:tcPr>
          <w:p w14:paraId="0A8B65CB" w14:textId="77777777" w:rsidR="00975F26" w:rsidRPr="005260C5" w:rsidRDefault="00975F26" w:rsidP="002A479B">
            <w:pPr>
              <w:jc w:val="center"/>
              <w:rPr>
                <w:color w:val="000000"/>
                <w:sz w:val="20"/>
              </w:rPr>
            </w:pPr>
            <w:r w:rsidRPr="005260C5">
              <w:rPr>
                <w:color w:val="000000"/>
                <w:sz w:val="20"/>
              </w:rPr>
              <w:t>2,794</w:t>
            </w:r>
          </w:p>
        </w:tc>
        <w:tc>
          <w:tcPr>
            <w:tcW w:w="1080" w:type="dxa"/>
            <w:shd w:val="clear" w:color="000000" w:fill="FFFFFF"/>
          </w:tcPr>
          <w:p w14:paraId="20CCD29F" w14:textId="77777777" w:rsidR="00975F26" w:rsidRPr="005260C5" w:rsidRDefault="00975F26" w:rsidP="002A479B">
            <w:pPr>
              <w:jc w:val="center"/>
              <w:rPr>
                <w:color w:val="000000"/>
                <w:sz w:val="20"/>
              </w:rPr>
            </w:pPr>
            <w:r w:rsidRPr="005260C5">
              <w:rPr>
                <w:color w:val="000000"/>
                <w:sz w:val="20"/>
              </w:rPr>
              <w:t>2,794</w:t>
            </w:r>
          </w:p>
        </w:tc>
        <w:tc>
          <w:tcPr>
            <w:tcW w:w="956" w:type="dxa"/>
            <w:shd w:val="clear" w:color="auto" w:fill="auto"/>
          </w:tcPr>
          <w:p w14:paraId="6CB8E83D" w14:textId="77777777" w:rsidR="00975F26" w:rsidRPr="005260C5" w:rsidRDefault="00975F26" w:rsidP="002A479B">
            <w:pPr>
              <w:jc w:val="center"/>
              <w:rPr>
                <w:color w:val="000000"/>
                <w:sz w:val="20"/>
              </w:rPr>
            </w:pPr>
            <w:r>
              <w:rPr>
                <w:b/>
                <w:bCs/>
                <w:color w:val="000000"/>
                <w:sz w:val="20"/>
              </w:rPr>
              <w:t>–</w:t>
            </w:r>
          </w:p>
        </w:tc>
        <w:tc>
          <w:tcPr>
            <w:tcW w:w="983" w:type="dxa"/>
            <w:shd w:val="clear" w:color="auto" w:fill="auto"/>
          </w:tcPr>
          <w:p w14:paraId="0CB25B22" w14:textId="77777777" w:rsidR="00975F26" w:rsidRPr="005260C5" w:rsidRDefault="00975F26" w:rsidP="002A479B">
            <w:pPr>
              <w:jc w:val="center"/>
              <w:rPr>
                <w:color w:val="000000"/>
                <w:sz w:val="20"/>
              </w:rPr>
            </w:pPr>
            <w:r>
              <w:rPr>
                <w:b/>
                <w:bCs/>
                <w:color w:val="000000"/>
                <w:sz w:val="20"/>
              </w:rPr>
              <w:t>–</w:t>
            </w:r>
          </w:p>
        </w:tc>
        <w:tc>
          <w:tcPr>
            <w:tcW w:w="1250" w:type="dxa"/>
            <w:shd w:val="clear" w:color="auto" w:fill="auto"/>
            <w:noWrap/>
          </w:tcPr>
          <w:p w14:paraId="315EDB47" w14:textId="77777777" w:rsidR="00975F26" w:rsidRPr="005260C5" w:rsidRDefault="00975F26" w:rsidP="002A479B">
            <w:pPr>
              <w:jc w:val="center"/>
              <w:rPr>
                <w:color w:val="000000"/>
                <w:sz w:val="20"/>
              </w:rPr>
            </w:pPr>
            <w:r w:rsidRPr="005260C5">
              <w:rPr>
                <w:color w:val="000000"/>
                <w:sz w:val="20"/>
              </w:rPr>
              <w:t>2,86</w:t>
            </w:r>
          </w:p>
        </w:tc>
        <w:tc>
          <w:tcPr>
            <w:tcW w:w="1250" w:type="dxa"/>
            <w:shd w:val="clear" w:color="auto" w:fill="auto"/>
          </w:tcPr>
          <w:p w14:paraId="1F0F07EA" w14:textId="77777777" w:rsidR="00975F26" w:rsidRPr="005260C5" w:rsidRDefault="00975F26" w:rsidP="002A479B">
            <w:pPr>
              <w:jc w:val="center"/>
              <w:rPr>
                <w:color w:val="000000"/>
                <w:sz w:val="20"/>
              </w:rPr>
            </w:pPr>
            <w:r w:rsidRPr="005260C5">
              <w:rPr>
                <w:color w:val="000000"/>
                <w:sz w:val="20"/>
              </w:rPr>
              <w:t>2,9</w:t>
            </w:r>
          </w:p>
        </w:tc>
        <w:tc>
          <w:tcPr>
            <w:tcW w:w="2112" w:type="dxa"/>
            <w:shd w:val="clear" w:color="auto" w:fill="auto"/>
          </w:tcPr>
          <w:p w14:paraId="1EAF5CAC" w14:textId="77777777" w:rsidR="00975F26" w:rsidRPr="005260C5" w:rsidRDefault="00975F26" w:rsidP="002A479B">
            <w:pPr>
              <w:jc w:val="center"/>
              <w:rPr>
                <w:color w:val="000000"/>
                <w:sz w:val="20"/>
              </w:rPr>
            </w:pPr>
            <w:r w:rsidRPr="005260C5">
              <w:rPr>
                <w:color w:val="000000"/>
                <w:sz w:val="20"/>
              </w:rPr>
              <w:t>Eurostatas</w:t>
            </w:r>
          </w:p>
        </w:tc>
        <w:tc>
          <w:tcPr>
            <w:tcW w:w="1172" w:type="dxa"/>
            <w:shd w:val="clear" w:color="auto" w:fill="auto"/>
          </w:tcPr>
          <w:p w14:paraId="488302F5" w14:textId="77777777" w:rsidR="00975F26" w:rsidRPr="005260C5" w:rsidRDefault="00975F26" w:rsidP="002A479B">
            <w:pPr>
              <w:jc w:val="center"/>
              <w:rPr>
                <w:b/>
                <w:bCs/>
                <w:i/>
                <w:iCs/>
                <w:color w:val="000000"/>
                <w:sz w:val="20"/>
              </w:rPr>
            </w:pPr>
            <w:r w:rsidRPr="005260C5">
              <w:rPr>
                <w:color w:val="000000"/>
                <w:sz w:val="20"/>
              </w:rPr>
              <w:t>NPP2030</w:t>
            </w:r>
          </w:p>
        </w:tc>
      </w:tr>
      <w:tr w:rsidR="00975F26" w:rsidRPr="00ED0D6D" w14:paraId="4A58C9A3" w14:textId="77777777" w:rsidTr="002A479B">
        <w:trPr>
          <w:trHeight w:val="305"/>
        </w:trPr>
        <w:tc>
          <w:tcPr>
            <w:tcW w:w="657" w:type="dxa"/>
            <w:shd w:val="clear" w:color="auto" w:fill="auto"/>
            <w:vAlign w:val="center"/>
          </w:tcPr>
          <w:p w14:paraId="7D5DCCB5"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128327E1" w14:textId="77777777" w:rsidR="00975F26" w:rsidRPr="005260C5" w:rsidRDefault="00975F26" w:rsidP="002A479B">
            <w:pPr>
              <w:rPr>
                <w:color w:val="000000"/>
                <w:sz w:val="20"/>
              </w:rPr>
            </w:pPr>
            <w:proofErr w:type="spellStart"/>
            <w:r w:rsidRPr="005260C5">
              <w:rPr>
                <w:color w:val="000000"/>
                <w:sz w:val="20"/>
              </w:rPr>
              <w:t>Neto</w:t>
            </w:r>
            <w:proofErr w:type="spellEnd"/>
            <w:r w:rsidRPr="005260C5">
              <w:rPr>
                <w:color w:val="000000"/>
                <w:sz w:val="20"/>
              </w:rPr>
              <w:t xml:space="preserve"> tarptautinė migracija nuo visų gyventojų (proc.)</w:t>
            </w:r>
          </w:p>
        </w:tc>
        <w:tc>
          <w:tcPr>
            <w:tcW w:w="1147" w:type="dxa"/>
            <w:shd w:val="clear" w:color="auto" w:fill="auto"/>
            <w:noWrap/>
            <w:vAlign w:val="center"/>
          </w:tcPr>
          <w:p w14:paraId="4C9D9A69" w14:textId="77777777" w:rsidR="00975F26" w:rsidRPr="005260C5" w:rsidRDefault="00975F26" w:rsidP="002A479B">
            <w:pPr>
              <w:jc w:val="center"/>
              <w:rPr>
                <w:color w:val="000000"/>
                <w:sz w:val="20"/>
              </w:rPr>
            </w:pPr>
            <w:r w:rsidRPr="005260C5">
              <w:rPr>
                <w:color w:val="000000"/>
                <w:sz w:val="20"/>
              </w:rPr>
              <w:t>0,39</w:t>
            </w:r>
          </w:p>
        </w:tc>
        <w:tc>
          <w:tcPr>
            <w:tcW w:w="1080" w:type="dxa"/>
            <w:shd w:val="clear" w:color="000000" w:fill="FFFFFF"/>
            <w:vAlign w:val="center"/>
          </w:tcPr>
          <w:p w14:paraId="55398669" w14:textId="77777777" w:rsidR="00975F26" w:rsidRPr="005260C5" w:rsidRDefault="00975F26" w:rsidP="002A479B">
            <w:pPr>
              <w:jc w:val="center"/>
              <w:rPr>
                <w:color w:val="000000"/>
                <w:sz w:val="20"/>
              </w:rPr>
            </w:pPr>
            <w:r w:rsidRPr="00F46DD0">
              <w:rPr>
                <w:b/>
                <w:bCs/>
                <w:i/>
                <w:iCs/>
                <w:color w:val="000000"/>
                <w:sz w:val="20"/>
              </w:rPr>
              <w:t> </w:t>
            </w:r>
            <w:r w:rsidRPr="00F46DD0">
              <w:rPr>
                <w:i/>
                <w:iCs/>
                <w:color w:val="000000"/>
                <w:sz w:val="20"/>
              </w:rPr>
              <w:t>nėra duomenų</w:t>
            </w:r>
            <w:r>
              <w:rPr>
                <w:color w:val="000000"/>
                <w:sz w:val="20"/>
              </w:rPr>
              <w:t xml:space="preserve"> (toliau – </w:t>
            </w:r>
            <w:r w:rsidRPr="00F46DD0">
              <w:rPr>
                <w:i/>
                <w:iCs/>
                <w:color w:val="000000"/>
                <w:sz w:val="20"/>
              </w:rPr>
              <w:t>n. d.</w:t>
            </w:r>
            <w:r>
              <w:rPr>
                <w:color w:val="000000"/>
                <w:sz w:val="20"/>
              </w:rPr>
              <w:t>)</w:t>
            </w:r>
          </w:p>
        </w:tc>
        <w:tc>
          <w:tcPr>
            <w:tcW w:w="956" w:type="dxa"/>
            <w:shd w:val="clear" w:color="auto" w:fill="auto"/>
            <w:vAlign w:val="center"/>
          </w:tcPr>
          <w:p w14:paraId="1AE642F0" w14:textId="77777777" w:rsidR="00975F26" w:rsidRPr="005260C5" w:rsidRDefault="00975F26" w:rsidP="002A479B">
            <w:pPr>
              <w:jc w:val="center"/>
              <w:rPr>
                <w:color w:val="000000"/>
                <w:sz w:val="20"/>
              </w:rPr>
            </w:pPr>
            <w:r>
              <w:rPr>
                <w:b/>
                <w:bCs/>
                <w:color w:val="000000"/>
                <w:sz w:val="20"/>
              </w:rPr>
              <w:t>–</w:t>
            </w:r>
          </w:p>
        </w:tc>
        <w:tc>
          <w:tcPr>
            <w:tcW w:w="983" w:type="dxa"/>
            <w:shd w:val="clear" w:color="auto" w:fill="auto"/>
            <w:vAlign w:val="center"/>
          </w:tcPr>
          <w:p w14:paraId="0EA2AE08" w14:textId="77777777" w:rsidR="00975F26" w:rsidRPr="005260C5" w:rsidRDefault="00975F26" w:rsidP="002A479B">
            <w:pPr>
              <w:jc w:val="center"/>
              <w:rPr>
                <w:color w:val="000000"/>
                <w:sz w:val="20"/>
              </w:rPr>
            </w:pPr>
            <w:r>
              <w:rPr>
                <w:b/>
                <w:bCs/>
                <w:color w:val="000000"/>
                <w:sz w:val="20"/>
              </w:rPr>
              <w:t>–</w:t>
            </w:r>
          </w:p>
        </w:tc>
        <w:tc>
          <w:tcPr>
            <w:tcW w:w="1250" w:type="dxa"/>
            <w:shd w:val="clear" w:color="auto" w:fill="auto"/>
            <w:noWrap/>
            <w:vAlign w:val="center"/>
          </w:tcPr>
          <w:p w14:paraId="11FB2F44" w14:textId="77777777" w:rsidR="00975F26" w:rsidRPr="005260C5" w:rsidRDefault="00975F26" w:rsidP="002A479B">
            <w:pPr>
              <w:jc w:val="center"/>
              <w:rPr>
                <w:color w:val="000000"/>
                <w:sz w:val="20"/>
              </w:rPr>
            </w:pPr>
            <w:r w:rsidRPr="005260C5">
              <w:rPr>
                <w:color w:val="000000"/>
                <w:sz w:val="20"/>
              </w:rPr>
              <w:t>0,6</w:t>
            </w:r>
          </w:p>
        </w:tc>
        <w:tc>
          <w:tcPr>
            <w:tcW w:w="1250" w:type="dxa"/>
            <w:shd w:val="clear" w:color="auto" w:fill="auto"/>
            <w:vAlign w:val="center"/>
          </w:tcPr>
          <w:p w14:paraId="6C510CAE" w14:textId="77777777" w:rsidR="00975F26" w:rsidRPr="005260C5" w:rsidRDefault="00975F26" w:rsidP="002A479B">
            <w:pPr>
              <w:jc w:val="center"/>
              <w:rPr>
                <w:color w:val="000000"/>
                <w:sz w:val="20"/>
              </w:rPr>
            </w:pPr>
            <w:r w:rsidRPr="005260C5">
              <w:rPr>
                <w:color w:val="000000"/>
                <w:sz w:val="20"/>
              </w:rPr>
              <w:t>0,7</w:t>
            </w:r>
          </w:p>
        </w:tc>
        <w:tc>
          <w:tcPr>
            <w:tcW w:w="2112" w:type="dxa"/>
            <w:shd w:val="clear" w:color="auto" w:fill="auto"/>
            <w:vAlign w:val="center"/>
          </w:tcPr>
          <w:p w14:paraId="7C606C43" w14:textId="77777777" w:rsidR="00975F26" w:rsidRPr="005260C5" w:rsidRDefault="00975F26" w:rsidP="002A479B">
            <w:pPr>
              <w:jc w:val="center"/>
              <w:rPr>
                <w:color w:val="000000"/>
                <w:sz w:val="20"/>
              </w:rPr>
            </w:pPr>
            <w:r w:rsidRPr="005260C5">
              <w:rPr>
                <w:color w:val="000000"/>
                <w:sz w:val="20"/>
              </w:rPr>
              <w:t>Lietuvos statistikos departamentas</w:t>
            </w:r>
          </w:p>
        </w:tc>
        <w:tc>
          <w:tcPr>
            <w:tcW w:w="1172" w:type="dxa"/>
            <w:shd w:val="clear" w:color="auto" w:fill="auto"/>
            <w:vAlign w:val="center"/>
          </w:tcPr>
          <w:p w14:paraId="1A264CB0" w14:textId="77777777" w:rsidR="00975F26" w:rsidRPr="005260C5" w:rsidRDefault="00975F26" w:rsidP="002A479B">
            <w:pPr>
              <w:jc w:val="center"/>
              <w:rPr>
                <w:b/>
                <w:bCs/>
                <w:color w:val="000000"/>
                <w:sz w:val="20"/>
              </w:rPr>
            </w:pPr>
            <w:r w:rsidRPr="005260C5">
              <w:rPr>
                <w:color w:val="000000"/>
                <w:sz w:val="20"/>
              </w:rPr>
              <w:t>NPP2030</w:t>
            </w:r>
          </w:p>
        </w:tc>
      </w:tr>
      <w:tr w:rsidR="00975F26" w:rsidRPr="00ED0D6D" w14:paraId="799BF015" w14:textId="77777777" w:rsidTr="002A479B">
        <w:trPr>
          <w:trHeight w:val="504"/>
        </w:trPr>
        <w:tc>
          <w:tcPr>
            <w:tcW w:w="657" w:type="dxa"/>
            <w:shd w:val="clear" w:color="auto" w:fill="auto"/>
            <w:vAlign w:val="center"/>
          </w:tcPr>
          <w:p w14:paraId="4B3C59E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5524ED5" w14:textId="77777777" w:rsidR="00975F26" w:rsidRPr="00ED0D6D" w:rsidRDefault="00975F26" w:rsidP="002A479B">
            <w:pPr>
              <w:jc w:val="both"/>
              <w:rPr>
                <w:color w:val="000000"/>
                <w:sz w:val="20"/>
              </w:rPr>
            </w:pPr>
            <w:r w:rsidRPr="00ED0D6D">
              <w:rPr>
                <w:color w:val="000000"/>
                <w:sz w:val="20"/>
              </w:rPr>
              <w:t>Vidutinis BVP vienam gyventojui nuokrypis regionuose, palyginti su šalies BVP vienam gyventojui (to meto kainomis) (proc.)</w:t>
            </w:r>
          </w:p>
        </w:tc>
        <w:tc>
          <w:tcPr>
            <w:tcW w:w="1147" w:type="dxa"/>
            <w:shd w:val="clear" w:color="auto" w:fill="auto"/>
            <w:noWrap/>
            <w:vAlign w:val="center"/>
          </w:tcPr>
          <w:p w14:paraId="21A71FA4"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23759D63" w14:textId="77777777" w:rsidR="00975F26" w:rsidRPr="00ED0D6D" w:rsidRDefault="00975F26" w:rsidP="002A479B">
            <w:pPr>
              <w:jc w:val="center"/>
              <w:rPr>
                <w:color w:val="000000"/>
                <w:sz w:val="20"/>
              </w:rPr>
            </w:pPr>
            <w:r w:rsidRPr="00ED0D6D">
              <w:rPr>
                <w:color w:val="000000"/>
                <w:sz w:val="20"/>
              </w:rPr>
              <w:t>29,77</w:t>
            </w:r>
          </w:p>
        </w:tc>
        <w:tc>
          <w:tcPr>
            <w:tcW w:w="956" w:type="dxa"/>
            <w:shd w:val="clear" w:color="auto" w:fill="auto"/>
            <w:vAlign w:val="center"/>
          </w:tcPr>
          <w:p w14:paraId="7223AB64"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5D72FFA8"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1FC6B244" w14:textId="77777777" w:rsidR="00975F26" w:rsidRPr="00ED0D6D" w:rsidRDefault="00975F26" w:rsidP="002A479B">
            <w:pPr>
              <w:jc w:val="center"/>
              <w:rPr>
                <w:color w:val="000000"/>
                <w:sz w:val="20"/>
              </w:rPr>
            </w:pPr>
            <w:r w:rsidRPr="00ED0D6D">
              <w:rPr>
                <w:color w:val="000000"/>
                <w:sz w:val="20"/>
              </w:rPr>
              <w:t>25,4</w:t>
            </w:r>
          </w:p>
        </w:tc>
        <w:tc>
          <w:tcPr>
            <w:tcW w:w="1250" w:type="dxa"/>
            <w:shd w:val="clear" w:color="auto" w:fill="auto"/>
            <w:vAlign w:val="center"/>
          </w:tcPr>
          <w:p w14:paraId="24B19333"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4B68E3B8" w14:textId="77777777" w:rsidR="00975F26" w:rsidRPr="00ED0D6D" w:rsidRDefault="00975F26" w:rsidP="002A479B">
            <w:pPr>
              <w:jc w:val="center"/>
              <w:rPr>
                <w:color w:val="000000"/>
                <w:sz w:val="20"/>
              </w:rPr>
            </w:pPr>
            <w:r>
              <w:rPr>
                <w:color w:val="000000"/>
                <w:sz w:val="20"/>
              </w:rPr>
              <w:t>Lietuvos Respublikos v</w:t>
            </w:r>
            <w:r w:rsidRPr="00ED0D6D">
              <w:rPr>
                <w:color w:val="000000"/>
                <w:sz w:val="20"/>
              </w:rPr>
              <w:t>idaus reikalų ministerija (</w:t>
            </w:r>
            <w:r>
              <w:rPr>
                <w:color w:val="000000"/>
                <w:sz w:val="20"/>
              </w:rPr>
              <w:t>toliau –</w:t>
            </w:r>
            <w:r w:rsidRPr="00ED0D6D">
              <w:rPr>
                <w:color w:val="000000"/>
                <w:sz w:val="20"/>
              </w:rPr>
              <w:t xml:space="preserve">VRM) </w:t>
            </w:r>
          </w:p>
        </w:tc>
        <w:tc>
          <w:tcPr>
            <w:tcW w:w="1172" w:type="dxa"/>
            <w:shd w:val="clear" w:color="auto" w:fill="auto"/>
            <w:vAlign w:val="center"/>
          </w:tcPr>
          <w:p w14:paraId="11F4DBAB"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6A579137" w14:textId="77777777" w:rsidTr="002A479B">
        <w:trPr>
          <w:trHeight w:val="504"/>
        </w:trPr>
        <w:tc>
          <w:tcPr>
            <w:tcW w:w="657" w:type="dxa"/>
            <w:shd w:val="clear" w:color="auto" w:fill="auto"/>
            <w:vAlign w:val="center"/>
          </w:tcPr>
          <w:p w14:paraId="6E5641F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E2DE078" w14:textId="77777777" w:rsidR="00975F26" w:rsidRPr="00ED0D6D" w:rsidRDefault="00975F26" w:rsidP="002A479B">
            <w:pPr>
              <w:jc w:val="both"/>
              <w:rPr>
                <w:color w:val="000000"/>
                <w:sz w:val="20"/>
              </w:rPr>
            </w:pPr>
            <w:r w:rsidRPr="00ED0D6D">
              <w:rPr>
                <w:color w:val="000000"/>
                <w:sz w:val="20"/>
              </w:rPr>
              <w:t>Regionų, kuriuose vidutinis bruto  darbo užmokestis yra didesnis nei 85 proc. vidutinio Vilniaus regiono darbo užmokesčio, skaičius</w:t>
            </w:r>
          </w:p>
        </w:tc>
        <w:tc>
          <w:tcPr>
            <w:tcW w:w="1147" w:type="dxa"/>
            <w:shd w:val="clear" w:color="auto" w:fill="auto"/>
            <w:noWrap/>
          </w:tcPr>
          <w:p w14:paraId="410954E7" w14:textId="77777777" w:rsidR="00975F26" w:rsidRPr="00ED0D6D" w:rsidRDefault="00975F26" w:rsidP="002A479B">
            <w:pPr>
              <w:jc w:val="center"/>
              <w:rPr>
                <w:color w:val="000000"/>
                <w:sz w:val="20"/>
              </w:rPr>
            </w:pPr>
          </w:p>
          <w:p w14:paraId="1E0AFEC2"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26DC0DFA" w14:textId="77777777" w:rsidR="00975F26" w:rsidRPr="00ED0D6D" w:rsidRDefault="00975F26" w:rsidP="002A479B">
            <w:pPr>
              <w:jc w:val="center"/>
              <w:rPr>
                <w:color w:val="000000"/>
                <w:sz w:val="20"/>
              </w:rPr>
            </w:pPr>
            <w:r w:rsidRPr="00ED0D6D">
              <w:rPr>
                <w:color w:val="000000"/>
                <w:sz w:val="20"/>
              </w:rPr>
              <w:t>2</w:t>
            </w:r>
          </w:p>
        </w:tc>
        <w:tc>
          <w:tcPr>
            <w:tcW w:w="956" w:type="dxa"/>
            <w:shd w:val="clear" w:color="auto" w:fill="auto"/>
            <w:vAlign w:val="center"/>
          </w:tcPr>
          <w:p w14:paraId="6310FDD2"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1DE63E81"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24F88CD8" w14:textId="77777777" w:rsidR="00975F26" w:rsidRPr="00ED0D6D" w:rsidRDefault="00975F26" w:rsidP="002A479B">
            <w:pPr>
              <w:jc w:val="center"/>
              <w:rPr>
                <w:color w:val="000000"/>
                <w:sz w:val="20"/>
              </w:rPr>
            </w:pPr>
            <w:r w:rsidRPr="00ED0D6D">
              <w:rPr>
                <w:color w:val="000000"/>
                <w:sz w:val="20"/>
              </w:rPr>
              <w:t>3</w:t>
            </w:r>
          </w:p>
        </w:tc>
        <w:tc>
          <w:tcPr>
            <w:tcW w:w="1250" w:type="dxa"/>
            <w:shd w:val="clear" w:color="auto" w:fill="auto"/>
            <w:vAlign w:val="center"/>
          </w:tcPr>
          <w:p w14:paraId="6E3FF3DD"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267B445F"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61FAB751"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4A67341F" w14:textId="77777777" w:rsidTr="002A479B">
        <w:trPr>
          <w:trHeight w:val="504"/>
        </w:trPr>
        <w:tc>
          <w:tcPr>
            <w:tcW w:w="657" w:type="dxa"/>
            <w:shd w:val="clear" w:color="auto" w:fill="auto"/>
            <w:vAlign w:val="center"/>
          </w:tcPr>
          <w:p w14:paraId="3C6ACF4F"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89FEBDA" w14:textId="77777777" w:rsidR="00975F26" w:rsidRPr="00ED0D6D" w:rsidRDefault="00975F26" w:rsidP="002A479B">
            <w:pPr>
              <w:jc w:val="both"/>
              <w:rPr>
                <w:color w:val="000000"/>
                <w:sz w:val="20"/>
              </w:rPr>
            </w:pPr>
            <w:r w:rsidRPr="00ED0D6D">
              <w:rPr>
                <w:color w:val="000000"/>
                <w:sz w:val="20"/>
              </w:rPr>
              <w:t>Regionų plėtros planams įgyvendinti tenkanti ekonominės, socialinės ir teritorinės sanglaudos tikslui skiriamų ES fondų dalis (proc.)</w:t>
            </w:r>
          </w:p>
        </w:tc>
        <w:tc>
          <w:tcPr>
            <w:tcW w:w="1147" w:type="dxa"/>
            <w:shd w:val="clear" w:color="auto" w:fill="auto"/>
            <w:noWrap/>
          </w:tcPr>
          <w:p w14:paraId="5A280873" w14:textId="77777777" w:rsidR="00975F26" w:rsidRPr="00ED0D6D" w:rsidRDefault="00975F26" w:rsidP="002A479B">
            <w:pPr>
              <w:jc w:val="center"/>
              <w:rPr>
                <w:color w:val="000000"/>
                <w:sz w:val="20"/>
              </w:rPr>
            </w:pPr>
          </w:p>
          <w:p w14:paraId="4CD90017"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3BE543CE" w14:textId="77777777" w:rsidR="00975F26" w:rsidRPr="00ED0D6D" w:rsidRDefault="00975F26" w:rsidP="002A479B">
            <w:pPr>
              <w:jc w:val="center"/>
              <w:rPr>
                <w:color w:val="000000"/>
                <w:sz w:val="20"/>
              </w:rPr>
            </w:pPr>
            <w:r w:rsidRPr="00ED0D6D">
              <w:rPr>
                <w:color w:val="000000"/>
                <w:sz w:val="20"/>
              </w:rPr>
              <w:t>16</w:t>
            </w:r>
          </w:p>
        </w:tc>
        <w:tc>
          <w:tcPr>
            <w:tcW w:w="956" w:type="dxa"/>
            <w:shd w:val="clear" w:color="auto" w:fill="auto"/>
            <w:vAlign w:val="center"/>
          </w:tcPr>
          <w:p w14:paraId="6566FA52"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3A9DF661"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5901B1DE"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auto" w:fill="auto"/>
            <w:vAlign w:val="center"/>
          </w:tcPr>
          <w:p w14:paraId="31116831"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03D6F1C7" w14:textId="77777777" w:rsidR="00975F26" w:rsidRPr="00ED0D6D" w:rsidRDefault="00975F26" w:rsidP="002A479B">
            <w:pPr>
              <w:jc w:val="center"/>
              <w:rPr>
                <w:color w:val="000000"/>
                <w:sz w:val="20"/>
              </w:rPr>
            </w:pPr>
            <w:r w:rsidRPr="00ED0D6D">
              <w:rPr>
                <w:color w:val="000000"/>
                <w:sz w:val="20"/>
              </w:rPr>
              <w:t xml:space="preserve">VRM </w:t>
            </w:r>
          </w:p>
        </w:tc>
        <w:tc>
          <w:tcPr>
            <w:tcW w:w="1172" w:type="dxa"/>
            <w:shd w:val="clear" w:color="auto" w:fill="auto"/>
            <w:vAlign w:val="center"/>
          </w:tcPr>
          <w:p w14:paraId="680607D4"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33436957" w14:textId="77777777" w:rsidTr="002A479B">
        <w:trPr>
          <w:trHeight w:val="504"/>
        </w:trPr>
        <w:tc>
          <w:tcPr>
            <w:tcW w:w="657" w:type="dxa"/>
            <w:shd w:val="clear" w:color="auto" w:fill="auto"/>
            <w:vAlign w:val="center"/>
          </w:tcPr>
          <w:p w14:paraId="74475683"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6FCEC3D7" w14:textId="77777777" w:rsidR="00975F26" w:rsidRPr="00ED0D6D" w:rsidRDefault="00975F26" w:rsidP="002A479B">
            <w:pPr>
              <w:rPr>
                <w:color w:val="000000"/>
                <w:sz w:val="20"/>
              </w:rPr>
            </w:pPr>
            <w:r w:rsidRPr="00ED0D6D">
              <w:rPr>
                <w:color w:val="000000"/>
                <w:sz w:val="20"/>
              </w:rPr>
              <w:t xml:space="preserve">Gyventojų pasitenkinimo paslaugomis indeksas </w:t>
            </w:r>
          </w:p>
        </w:tc>
        <w:tc>
          <w:tcPr>
            <w:tcW w:w="1147" w:type="dxa"/>
            <w:shd w:val="clear" w:color="auto" w:fill="auto"/>
            <w:noWrap/>
            <w:vAlign w:val="center"/>
          </w:tcPr>
          <w:p w14:paraId="6A3C10CE" w14:textId="77777777" w:rsidR="00975F26" w:rsidRPr="00ED0D6D" w:rsidRDefault="00975F26" w:rsidP="002A479B">
            <w:pPr>
              <w:jc w:val="center"/>
              <w:rPr>
                <w:color w:val="000000"/>
                <w:sz w:val="20"/>
              </w:rPr>
            </w:pPr>
            <w:r w:rsidRPr="00ED0D6D">
              <w:rPr>
                <w:color w:val="000000"/>
                <w:sz w:val="20"/>
              </w:rPr>
              <w:t>0,89</w:t>
            </w:r>
          </w:p>
        </w:tc>
        <w:tc>
          <w:tcPr>
            <w:tcW w:w="1080" w:type="dxa"/>
            <w:shd w:val="clear" w:color="000000" w:fill="FFFFFF"/>
            <w:vAlign w:val="center"/>
          </w:tcPr>
          <w:p w14:paraId="1D5D98DD" w14:textId="77777777" w:rsidR="00975F26" w:rsidRPr="00ED0D6D" w:rsidRDefault="00975F26" w:rsidP="002A479B">
            <w:pPr>
              <w:jc w:val="center"/>
              <w:rPr>
                <w:color w:val="000000"/>
                <w:sz w:val="20"/>
              </w:rPr>
            </w:pPr>
            <w:r w:rsidRPr="00ED0D6D">
              <w:rPr>
                <w:color w:val="000000"/>
                <w:sz w:val="20"/>
              </w:rPr>
              <w:t>0,86</w:t>
            </w:r>
          </w:p>
        </w:tc>
        <w:tc>
          <w:tcPr>
            <w:tcW w:w="956" w:type="dxa"/>
            <w:shd w:val="clear" w:color="auto" w:fill="auto"/>
            <w:vAlign w:val="center"/>
          </w:tcPr>
          <w:p w14:paraId="2ABE0A96"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57A8EE17" w14:textId="77777777" w:rsidR="00975F26" w:rsidRPr="00ED0D6D" w:rsidRDefault="00975F26" w:rsidP="002A479B">
            <w:pPr>
              <w:jc w:val="center"/>
              <w:rPr>
                <w:color w:val="000000"/>
                <w:sz w:val="20"/>
              </w:rPr>
            </w:pPr>
            <w:r w:rsidRPr="00ED0D6D">
              <w:rPr>
                <w:color w:val="000000"/>
                <w:sz w:val="20"/>
              </w:rPr>
              <w:t>0,85</w:t>
            </w:r>
          </w:p>
        </w:tc>
        <w:tc>
          <w:tcPr>
            <w:tcW w:w="1250" w:type="dxa"/>
            <w:shd w:val="clear" w:color="auto" w:fill="auto"/>
            <w:noWrap/>
            <w:vAlign w:val="center"/>
          </w:tcPr>
          <w:p w14:paraId="06C2BAC8" w14:textId="77777777" w:rsidR="00975F26" w:rsidRPr="00ED0D6D" w:rsidRDefault="00975F26" w:rsidP="002A479B">
            <w:pPr>
              <w:jc w:val="center"/>
              <w:rPr>
                <w:color w:val="000000"/>
                <w:sz w:val="20"/>
              </w:rPr>
            </w:pPr>
            <w:r w:rsidRPr="00ED0D6D">
              <w:rPr>
                <w:color w:val="000000"/>
                <w:sz w:val="20"/>
              </w:rPr>
              <w:t>0,9</w:t>
            </w:r>
          </w:p>
        </w:tc>
        <w:tc>
          <w:tcPr>
            <w:tcW w:w="1250" w:type="dxa"/>
            <w:shd w:val="clear" w:color="auto" w:fill="auto"/>
            <w:vAlign w:val="center"/>
          </w:tcPr>
          <w:p w14:paraId="778436A3" w14:textId="77777777" w:rsidR="00975F26" w:rsidRPr="00ED0D6D" w:rsidRDefault="00975F26" w:rsidP="002A479B">
            <w:pPr>
              <w:jc w:val="center"/>
              <w:rPr>
                <w:color w:val="000000"/>
                <w:sz w:val="20"/>
              </w:rPr>
            </w:pPr>
            <w:r w:rsidRPr="00ED0D6D">
              <w:rPr>
                <w:color w:val="000000"/>
                <w:sz w:val="20"/>
              </w:rPr>
              <w:t>0,92</w:t>
            </w:r>
          </w:p>
        </w:tc>
        <w:tc>
          <w:tcPr>
            <w:tcW w:w="2112" w:type="dxa"/>
            <w:shd w:val="clear" w:color="auto" w:fill="auto"/>
            <w:vAlign w:val="center"/>
          </w:tcPr>
          <w:p w14:paraId="2630FCF5"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406512A7" w14:textId="77777777" w:rsidR="00975F26" w:rsidRPr="00ED0D6D" w:rsidRDefault="00975F26" w:rsidP="002A479B">
            <w:pPr>
              <w:jc w:val="center"/>
              <w:rPr>
                <w:color w:val="000000"/>
                <w:sz w:val="20"/>
              </w:rPr>
            </w:pPr>
            <w:r w:rsidRPr="00ED0D6D">
              <w:rPr>
                <w:color w:val="000000"/>
                <w:sz w:val="20"/>
              </w:rPr>
              <w:t>NPP2020 NPP2030</w:t>
            </w:r>
          </w:p>
          <w:p w14:paraId="00896DB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B02B057" w14:textId="77777777" w:rsidTr="002A479B">
        <w:trPr>
          <w:trHeight w:val="504"/>
        </w:trPr>
        <w:tc>
          <w:tcPr>
            <w:tcW w:w="657" w:type="dxa"/>
            <w:shd w:val="clear" w:color="auto" w:fill="auto"/>
            <w:vAlign w:val="center"/>
          </w:tcPr>
          <w:p w14:paraId="3C2CF03F"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2309645D" w14:textId="77777777" w:rsidR="00975F26" w:rsidRPr="00ED0D6D" w:rsidRDefault="00975F26" w:rsidP="002A479B">
            <w:pPr>
              <w:rPr>
                <w:color w:val="000000"/>
                <w:sz w:val="20"/>
              </w:rPr>
            </w:pPr>
            <w:r w:rsidRPr="00ED0D6D">
              <w:rPr>
                <w:color w:val="000000"/>
                <w:sz w:val="20"/>
              </w:rPr>
              <w:t>Pasitikėjimas valstybės institucijomis (proc.)</w:t>
            </w:r>
          </w:p>
        </w:tc>
        <w:tc>
          <w:tcPr>
            <w:tcW w:w="1147" w:type="dxa"/>
            <w:shd w:val="clear" w:color="auto" w:fill="auto"/>
            <w:noWrap/>
            <w:vAlign w:val="center"/>
          </w:tcPr>
          <w:p w14:paraId="3A5BF9E2" w14:textId="77777777" w:rsidR="00975F26" w:rsidRPr="00ED0D6D" w:rsidRDefault="00975F26" w:rsidP="002A479B">
            <w:pPr>
              <w:jc w:val="center"/>
              <w:rPr>
                <w:color w:val="000000"/>
                <w:sz w:val="20"/>
              </w:rPr>
            </w:pPr>
            <w:r w:rsidRPr="00ED0D6D">
              <w:rPr>
                <w:color w:val="000000"/>
                <w:sz w:val="20"/>
              </w:rPr>
              <w:t>65</w:t>
            </w:r>
          </w:p>
        </w:tc>
        <w:tc>
          <w:tcPr>
            <w:tcW w:w="1080" w:type="dxa"/>
            <w:shd w:val="clear" w:color="000000" w:fill="FFFFFF"/>
            <w:vAlign w:val="center"/>
          </w:tcPr>
          <w:p w14:paraId="758E327B" w14:textId="77777777" w:rsidR="00975F26" w:rsidRPr="00ED0D6D" w:rsidRDefault="00975F26" w:rsidP="002A479B">
            <w:pPr>
              <w:jc w:val="center"/>
              <w:rPr>
                <w:color w:val="000000"/>
                <w:sz w:val="20"/>
              </w:rPr>
            </w:pPr>
            <w:r w:rsidRPr="00ED0D6D">
              <w:rPr>
                <w:color w:val="000000"/>
                <w:sz w:val="20"/>
              </w:rPr>
              <w:t>68</w:t>
            </w:r>
          </w:p>
        </w:tc>
        <w:tc>
          <w:tcPr>
            <w:tcW w:w="956" w:type="dxa"/>
            <w:shd w:val="clear" w:color="auto" w:fill="auto"/>
            <w:vAlign w:val="center"/>
          </w:tcPr>
          <w:p w14:paraId="6B33A1A6"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36CD5F02" w14:textId="77777777" w:rsidR="00975F26" w:rsidRPr="00ED0D6D" w:rsidRDefault="00975F26" w:rsidP="002A479B">
            <w:pPr>
              <w:jc w:val="center"/>
              <w:rPr>
                <w:color w:val="000000"/>
                <w:sz w:val="20"/>
              </w:rPr>
            </w:pPr>
            <w:r w:rsidRPr="00ED0D6D">
              <w:rPr>
                <w:color w:val="000000"/>
                <w:sz w:val="20"/>
              </w:rPr>
              <w:t>75</w:t>
            </w:r>
          </w:p>
        </w:tc>
        <w:tc>
          <w:tcPr>
            <w:tcW w:w="1250" w:type="dxa"/>
            <w:shd w:val="clear" w:color="auto" w:fill="auto"/>
            <w:noWrap/>
            <w:vAlign w:val="center"/>
          </w:tcPr>
          <w:p w14:paraId="7FC29362" w14:textId="77777777" w:rsidR="00975F26" w:rsidRPr="00ED0D6D" w:rsidRDefault="00975F26" w:rsidP="002A479B">
            <w:pPr>
              <w:jc w:val="center"/>
              <w:rPr>
                <w:color w:val="000000"/>
                <w:sz w:val="20"/>
              </w:rPr>
            </w:pPr>
            <w:r w:rsidRPr="00ED0D6D">
              <w:rPr>
                <w:color w:val="000000"/>
                <w:sz w:val="20"/>
              </w:rPr>
              <w:t>75</w:t>
            </w:r>
          </w:p>
        </w:tc>
        <w:tc>
          <w:tcPr>
            <w:tcW w:w="1250" w:type="dxa"/>
            <w:shd w:val="clear" w:color="auto" w:fill="auto"/>
            <w:vAlign w:val="center"/>
          </w:tcPr>
          <w:p w14:paraId="669D17A0" w14:textId="77777777" w:rsidR="00975F26" w:rsidRPr="00ED0D6D" w:rsidRDefault="00975F26" w:rsidP="002A479B">
            <w:pPr>
              <w:jc w:val="center"/>
              <w:rPr>
                <w:color w:val="000000"/>
                <w:sz w:val="20"/>
              </w:rPr>
            </w:pPr>
            <w:r w:rsidRPr="00ED0D6D">
              <w:rPr>
                <w:color w:val="000000"/>
                <w:sz w:val="20"/>
              </w:rPr>
              <w:t>78</w:t>
            </w:r>
          </w:p>
        </w:tc>
        <w:tc>
          <w:tcPr>
            <w:tcW w:w="2112" w:type="dxa"/>
            <w:shd w:val="clear" w:color="auto" w:fill="auto"/>
            <w:vAlign w:val="center"/>
          </w:tcPr>
          <w:p w14:paraId="33A04D3C" w14:textId="77777777" w:rsidR="00975F26" w:rsidRPr="00ED0D6D" w:rsidRDefault="00975F26" w:rsidP="002A479B">
            <w:pPr>
              <w:jc w:val="center"/>
              <w:rPr>
                <w:color w:val="000000"/>
                <w:sz w:val="20"/>
              </w:rPr>
            </w:pPr>
            <w:r>
              <w:rPr>
                <w:color w:val="000000"/>
                <w:sz w:val="20"/>
              </w:rPr>
              <w:t>g</w:t>
            </w:r>
            <w:r w:rsidRPr="00ED0D6D">
              <w:rPr>
                <w:color w:val="000000"/>
                <w:sz w:val="20"/>
              </w:rPr>
              <w:t>yventojų apklausa</w:t>
            </w:r>
          </w:p>
        </w:tc>
        <w:tc>
          <w:tcPr>
            <w:tcW w:w="1172" w:type="dxa"/>
            <w:shd w:val="clear" w:color="auto" w:fill="auto"/>
            <w:vAlign w:val="center"/>
          </w:tcPr>
          <w:p w14:paraId="27BFD728" w14:textId="77777777" w:rsidR="00975F26" w:rsidRPr="00ED0D6D" w:rsidRDefault="00975F26" w:rsidP="002A479B">
            <w:pPr>
              <w:jc w:val="center"/>
              <w:rPr>
                <w:color w:val="000000"/>
                <w:sz w:val="20"/>
              </w:rPr>
            </w:pPr>
            <w:r w:rsidRPr="00ED0D6D">
              <w:rPr>
                <w:color w:val="000000"/>
                <w:sz w:val="20"/>
              </w:rPr>
              <w:t>NPP2030</w:t>
            </w:r>
          </w:p>
          <w:p w14:paraId="05ADE3A4"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24102AB" w14:textId="77777777" w:rsidTr="002A479B">
        <w:trPr>
          <w:trHeight w:val="504"/>
        </w:trPr>
        <w:tc>
          <w:tcPr>
            <w:tcW w:w="657" w:type="dxa"/>
            <w:shd w:val="clear" w:color="auto" w:fill="auto"/>
            <w:vAlign w:val="center"/>
          </w:tcPr>
          <w:p w14:paraId="3133E86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2F6869F3" w14:textId="77777777" w:rsidR="00975F26" w:rsidRPr="00ED0D6D" w:rsidRDefault="00975F26" w:rsidP="002A479B">
            <w:pPr>
              <w:jc w:val="both"/>
              <w:rPr>
                <w:color w:val="000000"/>
                <w:sz w:val="20"/>
              </w:rPr>
            </w:pPr>
            <w:r w:rsidRPr="00ED0D6D">
              <w:rPr>
                <w:color w:val="000000"/>
                <w:sz w:val="20"/>
              </w:rPr>
              <w:t xml:space="preserve">Lietuvos Respublikos vieta tarp mažiausius regioninius netolygumus turinčių ES </w:t>
            </w:r>
            <w:r>
              <w:rPr>
                <w:color w:val="000000"/>
                <w:sz w:val="20"/>
              </w:rPr>
              <w:t>valstybių narių</w:t>
            </w:r>
            <w:r w:rsidRPr="00ED0D6D">
              <w:rPr>
                <w:color w:val="000000"/>
                <w:sz w:val="20"/>
              </w:rPr>
              <w:t xml:space="preserve"> (vieta) </w:t>
            </w:r>
          </w:p>
        </w:tc>
        <w:tc>
          <w:tcPr>
            <w:tcW w:w="1147" w:type="dxa"/>
            <w:shd w:val="clear" w:color="auto" w:fill="auto"/>
            <w:noWrap/>
            <w:vAlign w:val="center"/>
          </w:tcPr>
          <w:p w14:paraId="53B56CA3" w14:textId="77777777" w:rsidR="00975F26" w:rsidRPr="00ED0D6D" w:rsidRDefault="00975F26" w:rsidP="002A479B">
            <w:pPr>
              <w:jc w:val="center"/>
              <w:rPr>
                <w:color w:val="000000"/>
                <w:sz w:val="20"/>
              </w:rPr>
            </w:pPr>
            <w:r w:rsidRPr="00ED0D6D">
              <w:rPr>
                <w:color w:val="000000"/>
                <w:sz w:val="20"/>
              </w:rPr>
              <w:t>13</w:t>
            </w:r>
          </w:p>
        </w:tc>
        <w:tc>
          <w:tcPr>
            <w:tcW w:w="1080" w:type="dxa"/>
            <w:shd w:val="clear" w:color="000000" w:fill="FFFFFF"/>
            <w:vAlign w:val="center"/>
          </w:tcPr>
          <w:p w14:paraId="72158F7D" w14:textId="77777777" w:rsidR="00975F26" w:rsidRPr="00F46DD0" w:rsidRDefault="00975F26" w:rsidP="002A479B">
            <w:pPr>
              <w:jc w:val="center"/>
              <w:rPr>
                <w:i/>
                <w:iCs/>
                <w:color w:val="000000"/>
                <w:sz w:val="20"/>
              </w:rPr>
            </w:pPr>
            <w:r w:rsidRPr="00F46DD0">
              <w:rPr>
                <w:i/>
                <w:iCs/>
                <w:color w:val="000000"/>
                <w:sz w:val="20"/>
              </w:rPr>
              <w:t>n. d.</w:t>
            </w:r>
          </w:p>
        </w:tc>
        <w:tc>
          <w:tcPr>
            <w:tcW w:w="956" w:type="dxa"/>
            <w:shd w:val="clear" w:color="auto" w:fill="auto"/>
            <w:vAlign w:val="center"/>
          </w:tcPr>
          <w:p w14:paraId="402EAC4A"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599472B7" w14:textId="77777777" w:rsidR="00975F26" w:rsidRPr="00ED0D6D" w:rsidRDefault="00975F26" w:rsidP="002A479B">
            <w:pPr>
              <w:jc w:val="center"/>
              <w:rPr>
                <w:color w:val="000000"/>
                <w:sz w:val="20"/>
              </w:rPr>
            </w:pPr>
            <w:r w:rsidRPr="00ED0D6D">
              <w:rPr>
                <w:color w:val="000000"/>
                <w:sz w:val="20"/>
              </w:rPr>
              <w:t> </w:t>
            </w:r>
          </w:p>
        </w:tc>
        <w:tc>
          <w:tcPr>
            <w:tcW w:w="1250" w:type="dxa"/>
            <w:shd w:val="clear" w:color="auto" w:fill="auto"/>
            <w:noWrap/>
            <w:vAlign w:val="center"/>
          </w:tcPr>
          <w:p w14:paraId="2F01BC89"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70AA9661"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5B57F36F" w14:textId="77777777" w:rsidR="00975F26" w:rsidRPr="00ED0D6D" w:rsidRDefault="00975F26" w:rsidP="002A479B">
            <w:pPr>
              <w:jc w:val="center"/>
              <w:rPr>
                <w:color w:val="000000"/>
                <w:sz w:val="20"/>
              </w:rPr>
            </w:pPr>
            <w:r w:rsidRPr="00ED0D6D">
              <w:rPr>
                <w:color w:val="000000"/>
                <w:sz w:val="20"/>
              </w:rPr>
              <w:t xml:space="preserve"> Eurostatas</w:t>
            </w:r>
          </w:p>
        </w:tc>
        <w:tc>
          <w:tcPr>
            <w:tcW w:w="1172" w:type="dxa"/>
            <w:shd w:val="clear" w:color="auto" w:fill="auto"/>
            <w:vAlign w:val="center"/>
          </w:tcPr>
          <w:p w14:paraId="5822CE40" w14:textId="77777777" w:rsidR="00975F26" w:rsidRPr="00ED0D6D" w:rsidRDefault="00975F26" w:rsidP="002A479B">
            <w:pPr>
              <w:jc w:val="center"/>
              <w:rPr>
                <w:color w:val="000000"/>
                <w:sz w:val="20"/>
              </w:rPr>
            </w:pPr>
            <w:r w:rsidRPr="00ED0D6D">
              <w:rPr>
                <w:color w:val="000000"/>
                <w:sz w:val="20"/>
              </w:rPr>
              <w:t>NPP2020</w:t>
            </w:r>
          </w:p>
          <w:p w14:paraId="4A4F60CA"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584749F" w14:textId="77777777" w:rsidTr="002A479B">
        <w:trPr>
          <w:trHeight w:val="504"/>
        </w:trPr>
        <w:tc>
          <w:tcPr>
            <w:tcW w:w="657" w:type="dxa"/>
            <w:shd w:val="clear" w:color="auto" w:fill="auto"/>
            <w:vAlign w:val="center"/>
          </w:tcPr>
          <w:p w14:paraId="7310396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0780C99" w14:textId="77777777" w:rsidR="00975F26" w:rsidRPr="00ED0D6D" w:rsidRDefault="00975F26" w:rsidP="002A479B">
            <w:pPr>
              <w:jc w:val="both"/>
              <w:rPr>
                <w:color w:val="000000"/>
                <w:sz w:val="20"/>
              </w:rPr>
            </w:pPr>
            <w:r w:rsidRPr="00ED0D6D">
              <w:rPr>
                <w:color w:val="000000"/>
                <w:sz w:val="20"/>
              </w:rPr>
              <w:t>Sanglauda pagal bendrąjį vidaus produktą (proc. punktai)</w:t>
            </w:r>
          </w:p>
        </w:tc>
        <w:tc>
          <w:tcPr>
            <w:tcW w:w="1147" w:type="dxa"/>
            <w:shd w:val="clear" w:color="auto" w:fill="auto"/>
            <w:noWrap/>
            <w:vAlign w:val="center"/>
          </w:tcPr>
          <w:p w14:paraId="2888291E" w14:textId="77777777" w:rsidR="00975F26" w:rsidRPr="00ED0D6D" w:rsidRDefault="00975F26" w:rsidP="002A479B">
            <w:pPr>
              <w:jc w:val="center"/>
              <w:rPr>
                <w:color w:val="000000"/>
                <w:sz w:val="20"/>
              </w:rPr>
            </w:pPr>
            <w:r w:rsidRPr="00ED0D6D">
              <w:rPr>
                <w:color w:val="000000"/>
                <w:sz w:val="20"/>
              </w:rPr>
              <w:t>-0,1</w:t>
            </w:r>
          </w:p>
        </w:tc>
        <w:tc>
          <w:tcPr>
            <w:tcW w:w="1080" w:type="dxa"/>
            <w:shd w:val="clear" w:color="000000" w:fill="FFFFFF"/>
            <w:vAlign w:val="center"/>
          </w:tcPr>
          <w:p w14:paraId="0A9E2E15" w14:textId="77777777" w:rsidR="00975F26" w:rsidRPr="00F46DD0" w:rsidRDefault="00975F26" w:rsidP="002A479B">
            <w:pPr>
              <w:jc w:val="center"/>
              <w:rPr>
                <w:i/>
                <w:iCs/>
                <w:color w:val="000000"/>
                <w:sz w:val="20"/>
              </w:rPr>
            </w:pPr>
            <w:r w:rsidRPr="00F46DD0">
              <w:rPr>
                <w:i/>
                <w:iCs/>
                <w:color w:val="000000"/>
                <w:sz w:val="20"/>
              </w:rPr>
              <w:t>n. d.</w:t>
            </w:r>
          </w:p>
        </w:tc>
        <w:tc>
          <w:tcPr>
            <w:tcW w:w="956" w:type="dxa"/>
            <w:shd w:val="clear" w:color="auto" w:fill="auto"/>
            <w:vAlign w:val="center"/>
          </w:tcPr>
          <w:p w14:paraId="715A885C"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392E1C1F" w14:textId="77777777" w:rsidR="00975F26" w:rsidRPr="00ED0D6D" w:rsidRDefault="00975F26" w:rsidP="002A479B">
            <w:pPr>
              <w:jc w:val="center"/>
              <w:rPr>
                <w:color w:val="000000"/>
                <w:sz w:val="20"/>
              </w:rPr>
            </w:pPr>
            <w:r w:rsidRPr="00ED0D6D">
              <w:rPr>
                <w:color w:val="000000"/>
                <w:sz w:val="20"/>
              </w:rPr>
              <w:t>2</w:t>
            </w:r>
          </w:p>
        </w:tc>
        <w:tc>
          <w:tcPr>
            <w:tcW w:w="1250" w:type="dxa"/>
            <w:shd w:val="clear" w:color="auto" w:fill="auto"/>
            <w:noWrap/>
            <w:vAlign w:val="center"/>
          </w:tcPr>
          <w:p w14:paraId="38F99DEA"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5B2BECE1"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3F2B4988" w14:textId="77777777" w:rsidR="00975F26" w:rsidRPr="00ED0D6D" w:rsidRDefault="00975F26" w:rsidP="002A479B">
            <w:pPr>
              <w:jc w:val="center"/>
              <w:rPr>
                <w:color w:val="000000"/>
                <w:sz w:val="20"/>
              </w:rPr>
            </w:pPr>
            <w:r w:rsidRPr="00ED0D6D">
              <w:rPr>
                <w:color w:val="000000"/>
                <w:sz w:val="20"/>
              </w:rPr>
              <w:t xml:space="preserve">Lietuvos statistikos departamentas </w:t>
            </w:r>
          </w:p>
        </w:tc>
        <w:tc>
          <w:tcPr>
            <w:tcW w:w="1172" w:type="dxa"/>
            <w:shd w:val="clear" w:color="auto" w:fill="auto"/>
            <w:vAlign w:val="center"/>
          </w:tcPr>
          <w:p w14:paraId="7AB0BF6B" w14:textId="77777777" w:rsidR="00975F26" w:rsidRPr="00ED0D6D" w:rsidRDefault="00975F26" w:rsidP="002A479B">
            <w:pPr>
              <w:jc w:val="center"/>
              <w:rPr>
                <w:color w:val="000000"/>
                <w:sz w:val="20"/>
              </w:rPr>
            </w:pPr>
            <w:r w:rsidRPr="00ED0D6D">
              <w:rPr>
                <w:color w:val="000000"/>
                <w:sz w:val="20"/>
              </w:rPr>
              <w:t>NPP2020</w:t>
            </w:r>
          </w:p>
          <w:p w14:paraId="69AC63F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93EC022" w14:textId="77777777" w:rsidTr="002A479B">
        <w:trPr>
          <w:trHeight w:val="368"/>
        </w:trPr>
        <w:tc>
          <w:tcPr>
            <w:tcW w:w="657" w:type="dxa"/>
            <w:shd w:val="clear" w:color="auto" w:fill="auto"/>
            <w:vAlign w:val="center"/>
            <w:hideMark/>
          </w:tcPr>
          <w:p w14:paraId="157AA27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CB7C3F7" w14:textId="77777777" w:rsidR="00975F26" w:rsidRPr="00ED0D6D" w:rsidRDefault="00975F26" w:rsidP="002A479B">
            <w:pPr>
              <w:jc w:val="both"/>
              <w:rPr>
                <w:color w:val="000000"/>
                <w:sz w:val="20"/>
              </w:rPr>
            </w:pPr>
            <w:r w:rsidRPr="00ED0D6D">
              <w:rPr>
                <w:color w:val="000000"/>
                <w:sz w:val="20"/>
              </w:rPr>
              <w:t xml:space="preserve">Supaprastintų viešųjų ar administracinių paslaugų skaičius </w:t>
            </w:r>
          </w:p>
        </w:tc>
        <w:tc>
          <w:tcPr>
            <w:tcW w:w="1147" w:type="dxa"/>
            <w:shd w:val="clear" w:color="000000" w:fill="FFFFFF"/>
            <w:vAlign w:val="center"/>
          </w:tcPr>
          <w:p w14:paraId="50E5A38F" w14:textId="77777777" w:rsidR="00975F26" w:rsidRPr="00ED0D6D" w:rsidRDefault="00975F26" w:rsidP="002A479B">
            <w:pPr>
              <w:jc w:val="center"/>
              <w:rPr>
                <w:color w:val="000000"/>
                <w:sz w:val="20"/>
              </w:rPr>
            </w:pPr>
            <w:r w:rsidRPr="00ED0D6D">
              <w:rPr>
                <w:color w:val="000000"/>
                <w:sz w:val="20"/>
              </w:rPr>
              <w:t>714</w:t>
            </w:r>
          </w:p>
        </w:tc>
        <w:tc>
          <w:tcPr>
            <w:tcW w:w="1080" w:type="dxa"/>
            <w:shd w:val="clear" w:color="auto" w:fill="auto"/>
            <w:noWrap/>
            <w:vAlign w:val="center"/>
          </w:tcPr>
          <w:p w14:paraId="14C09412" w14:textId="77777777" w:rsidR="00975F26" w:rsidRPr="00ED0D6D" w:rsidRDefault="00975F26" w:rsidP="002A479B">
            <w:pPr>
              <w:jc w:val="center"/>
              <w:rPr>
                <w:color w:val="000000"/>
                <w:sz w:val="20"/>
              </w:rPr>
            </w:pPr>
            <w:r w:rsidRPr="00ED0D6D">
              <w:rPr>
                <w:color w:val="000000"/>
                <w:sz w:val="20"/>
              </w:rPr>
              <w:t>843</w:t>
            </w:r>
          </w:p>
        </w:tc>
        <w:tc>
          <w:tcPr>
            <w:tcW w:w="956" w:type="dxa"/>
            <w:shd w:val="clear" w:color="auto" w:fill="auto"/>
            <w:vAlign w:val="center"/>
          </w:tcPr>
          <w:p w14:paraId="3AFD3854"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1F66B46D" w14:textId="77777777" w:rsidR="00975F26" w:rsidRPr="00ED0D6D" w:rsidRDefault="00975F26" w:rsidP="002A479B">
            <w:pPr>
              <w:jc w:val="center"/>
              <w:rPr>
                <w:color w:val="000000"/>
                <w:sz w:val="20"/>
              </w:rPr>
            </w:pPr>
            <w:r w:rsidRPr="00ED0D6D">
              <w:rPr>
                <w:color w:val="000000"/>
                <w:sz w:val="20"/>
              </w:rPr>
              <w:t>720</w:t>
            </w:r>
          </w:p>
        </w:tc>
        <w:tc>
          <w:tcPr>
            <w:tcW w:w="1250" w:type="dxa"/>
            <w:shd w:val="clear" w:color="auto" w:fill="auto"/>
            <w:noWrap/>
            <w:vAlign w:val="center"/>
          </w:tcPr>
          <w:p w14:paraId="42247F22"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0D2E0469"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396BE771"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7B9AB5D6"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09475DF8" w14:textId="77777777" w:rsidTr="002A479B">
        <w:trPr>
          <w:trHeight w:val="305"/>
        </w:trPr>
        <w:tc>
          <w:tcPr>
            <w:tcW w:w="657" w:type="dxa"/>
            <w:shd w:val="clear" w:color="auto" w:fill="auto"/>
            <w:vAlign w:val="center"/>
            <w:hideMark/>
          </w:tcPr>
          <w:p w14:paraId="775DE00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7690466" w14:textId="77777777" w:rsidR="00975F26" w:rsidRPr="00ED0D6D" w:rsidRDefault="00975F26" w:rsidP="002A479B">
            <w:pPr>
              <w:jc w:val="both"/>
              <w:rPr>
                <w:color w:val="000000"/>
                <w:sz w:val="20"/>
              </w:rPr>
            </w:pPr>
            <w:r w:rsidRPr="00ED0D6D">
              <w:rPr>
                <w:color w:val="000000"/>
                <w:sz w:val="20"/>
              </w:rPr>
              <w:t xml:space="preserve">Įstaigų, pasiekusių didesnę brandą vertinant ir gerinant paslaugų kokybę, dalis (proc.)   </w:t>
            </w:r>
          </w:p>
        </w:tc>
        <w:tc>
          <w:tcPr>
            <w:tcW w:w="1147" w:type="dxa"/>
            <w:shd w:val="clear" w:color="000000" w:fill="FFFFFF"/>
            <w:vAlign w:val="center"/>
          </w:tcPr>
          <w:p w14:paraId="42DAA761" w14:textId="77777777" w:rsidR="00975F26" w:rsidRPr="00ED0D6D" w:rsidRDefault="00975F26" w:rsidP="002A479B">
            <w:pPr>
              <w:jc w:val="center"/>
              <w:rPr>
                <w:color w:val="000000"/>
                <w:sz w:val="20"/>
              </w:rPr>
            </w:pPr>
            <w:r w:rsidRPr="00ED0D6D">
              <w:rPr>
                <w:color w:val="000000"/>
                <w:sz w:val="20"/>
              </w:rPr>
              <w:t>38</w:t>
            </w:r>
          </w:p>
        </w:tc>
        <w:tc>
          <w:tcPr>
            <w:tcW w:w="1080" w:type="dxa"/>
            <w:shd w:val="clear" w:color="auto" w:fill="auto"/>
            <w:noWrap/>
            <w:vAlign w:val="center"/>
          </w:tcPr>
          <w:p w14:paraId="59540469" w14:textId="77777777" w:rsidR="00975F26" w:rsidRPr="00F46DD0" w:rsidRDefault="00975F26" w:rsidP="002A479B">
            <w:pPr>
              <w:jc w:val="center"/>
              <w:rPr>
                <w:i/>
                <w:iCs/>
                <w:color w:val="000000"/>
                <w:sz w:val="20"/>
              </w:rPr>
            </w:pPr>
            <w:r w:rsidRPr="00F46DD0">
              <w:rPr>
                <w:i/>
                <w:iCs/>
                <w:color w:val="000000"/>
                <w:sz w:val="20"/>
              </w:rPr>
              <w:t>n. d.</w:t>
            </w:r>
          </w:p>
        </w:tc>
        <w:tc>
          <w:tcPr>
            <w:tcW w:w="956" w:type="dxa"/>
            <w:shd w:val="clear" w:color="auto" w:fill="auto"/>
            <w:vAlign w:val="center"/>
          </w:tcPr>
          <w:p w14:paraId="073A17A0"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5AA902AE" w14:textId="77777777" w:rsidR="00975F26" w:rsidRPr="00ED0D6D" w:rsidRDefault="00975F26" w:rsidP="002A479B">
            <w:pPr>
              <w:jc w:val="center"/>
              <w:rPr>
                <w:color w:val="000000"/>
                <w:sz w:val="20"/>
              </w:rPr>
            </w:pPr>
            <w:r w:rsidRPr="00ED0D6D">
              <w:rPr>
                <w:color w:val="000000"/>
                <w:sz w:val="20"/>
              </w:rPr>
              <w:t>45</w:t>
            </w:r>
          </w:p>
        </w:tc>
        <w:tc>
          <w:tcPr>
            <w:tcW w:w="1250" w:type="dxa"/>
            <w:shd w:val="clear" w:color="auto" w:fill="auto"/>
            <w:noWrap/>
            <w:vAlign w:val="center"/>
          </w:tcPr>
          <w:p w14:paraId="20D8B7D6"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3511526D"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7493F696"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6B67D445"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57329BE6" w14:textId="77777777" w:rsidTr="002A479B">
        <w:trPr>
          <w:trHeight w:val="444"/>
        </w:trPr>
        <w:tc>
          <w:tcPr>
            <w:tcW w:w="657" w:type="dxa"/>
            <w:shd w:val="clear" w:color="auto" w:fill="auto"/>
            <w:vAlign w:val="center"/>
            <w:hideMark/>
          </w:tcPr>
          <w:p w14:paraId="11ECB32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40A1EAFC" w14:textId="77777777" w:rsidR="00975F26" w:rsidRPr="00ED0D6D" w:rsidRDefault="00975F26" w:rsidP="002A479B">
            <w:pPr>
              <w:rPr>
                <w:color w:val="000000"/>
                <w:sz w:val="20"/>
              </w:rPr>
            </w:pPr>
            <w:r w:rsidRPr="00ED0D6D">
              <w:rPr>
                <w:color w:val="000000"/>
                <w:sz w:val="20"/>
              </w:rPr>
              <w:t xml:space="preserve">Vadovavimo gebėjimų indeksas </w:t>
            </w:r>
          </w:p>
        </w:tc>
        <w:tc>
          <w:tcPr>
            <w:tcW w:w="1147" w:type="dxa"/>
            <w:shd w:val="clear" w:color="000000" w:fill="FFFFFF"/>
            <w:vAlign w:val="center"/>
          </w:tcPr>
          <w:p w14:paraId="1EC09D24"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5E592E84" w14:textId="77777777" w:rsidR="00975F26" w:rsidRPr="00ED0D6D" w:rsidRDefault="00975F26" w:rsidP="002A479B">
            <w:pPr>
              <w:jc w:val="center"/>
              <w:rPr>
                <w:color w:val="000000"/>
                <w:sz w:val="20"/>
              </w:rPr>
            </w:pPr>
            <w:r w:rsidRPr="00ED0D6D">
              <w:rPr>
                <w:color w:val="000000"/>
                <w:sz w:val="20"/>
              </w:rPr>
              <w:t>64</w:t>
            </w:r>
          </w:p>
        </w:tc>
        <w:tc>
          <w:tcPr>
            <w:tcW w:w="956" w:type="dxa"/>
            <w:shd w:val="clear" w:color="auto" w:fill="auto"/>
            <w:vAlign w:val="center"/>
          </w:tcPr>
          <w:p w14:paraId="1E5A5FE3"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0C1D4A74"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5ABE0673" w14:textId="77777777" w:rsidR="00975F26" w:rsidRPr="00ED0D6D" w:rsidRDefault="00975F26" w:rsidP="002A479B">
            <w:pPr>
              <w:jc w:val="center"/>
              <w:rPr>
                <w:color w:val="000000"/>
                <w:sz w:val="20"/>
              </w:rPr>
            </w:pPr>
            <w:r w:rsidRPr="00ED0D6D">
              <w:rPr>
                <w:color w:val="000000"/>
                <w:sz w:val="20"/>
              </w:rPr>
              <w:t>68</w:t>
            </w:r>
          </w:p>
        </w:tc>
        <w:tc>
          <w:tcPr>
            <w:tcW w:w="1250" w:type="dxa"/>
            <w:shd w:val="clear" w:color="auto" w:fill="auto"/>
            <w:vAlign w:val="center"/>
          </w:tcPr>
          <w:p w14:paraId="470A6077"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74238447"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119689D6"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8996C52" w14:textId="77777777" w:rsidTr="002A479B">
        <w:trPr>
          <w:trHeight w:val="323"/>
        </w:trPr>
        <w:tc>
          <w:tcPr>
            <w:tcW w:w="657" w:type="dxa"/>
            <w:shd w:val="clear" w:color="auto" w:fill="auto"/>
            <w:vAlign w:val="center"/>
            <w:hideMark/>
          </w:tcPr>
          <w:p w14:paraId="4B93B97F"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7D400909" w14:textId="77777777" w:rsidR="00975F26" w:rsidRPr="00ED0D6D" w:rsidRDefault="00975F26" w:rsidP="002A479B">
            <w:pPr>
              <w:jc w:val="both"/>
              <w:rPr>
                <w:sz w:val="20"/>
              </w:rPr>
            </w:pPr>
            <w:r w:rsidRPr="00ED0D6D">
              <w:rPr>
                <w:color w:val="000000"/>
                <w:sz w:val="20"/>
              </w:rPr>
              <w:t>Valstybės tarnybos, kaip darbdavio, patrauklumo teigiamo vertinimo pokytis (proc.)</w:t>
            </w:r>
          </w:p>
        </w:tc>
        <w:tc>
          <w:tcPr>
            <w:tcW w:w="1147" w:type="dxa"/>
            <w:shd w:val="clear" w:color="000000" w:fill="FFFFFF"/>
            <w:vAlign w:val="center"/>
          </w:tcPr>
          <w:p w14:paraId="1CA79E8D" w14:textId="77777777" w:rsidR="00975F26" w:rsidRPr="00ED0D6D" w:rsidRDefault="00975F26" w:rsidP="002A479B">
            <w:pPr>
              <w:jc w:val="center"/>
              <w:rPr>
                <w:color w:val="000000"/>
                <w:sz w:val="20"/>
              </w:rPr>
            </w:pPr>
            <w:r w:rsidRPr="00ED0D6D">
              <w:rPr>
                <w:color w:val="000000"/>
                <w:sz w:val="20"/>
              </w:rPr>
              <w:t>2</w:t>
            </w:r>
          </w:p>
        </w:tc>
        <w:tc>
          <w:tcPr>
            <w:tcW w:w="1080" w:type="dxa"/>
            <w:shd w:val="clear" w:color="000000" w:fill="FFFFFF"/>
            <w:vAlign w:val="center"/>
          </w:tcPr>
          <w:p w14:paraId="657A397F" w14:textId="77777777" w:rsidR="00975F26" w:rsidRPr="00ED0D6D" w:rsidRDefault="00975F26" w:rsidP="002A479B">
            <w:pPr>
              <w:jc w:val="center"/>
              <w:rPr>
                <w:color w:val="000000"/>
                <w:sz w:val="20"/>
              </w:rPr>
            </w:pPr>
            <w:r w:rsidRPr="00ED0D6D">
              <w:rPr>
                <w:color w:val="000000"/>
                <w:sz w:val="20"/>
              </w:rPr>
              <w:t>6</w:t>
            </w:r>
          </w:p>
        </w:tc>
        <w:tc>
          <w:tcPr>
            <w:tcW w:w="956" w:type="dxa"/>
            <w:shd w:val="clear" w:color="auto" w:fill="auto"/>
            <w:vAlign w:val="center"/>
          </w:tcPr>
          <w:p w14:paraId="1CFCB8C5"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26492C2B" w14:textId="77777777" w:rsidR="00975F26" w:rsidRPr="00ED0D6D" w:rsidRDefault="00975F26" w:rsidP="002A479B">
            <w:pPr>
              <w:jc w:val="center"/>
              <w:rPr>
                <w:color w:val="000000"/>
                <w:sz w:val="20"/>
              </w:rPr>
            </w:pPr>
            <w:r w:rsidRPr="00ED0D6D">
              <w:rPr>
                <w:color w:val="000000"/>
                <w:sz w:val="20"/>
              </w:rPr>
              <w:t>5</w:t>
            </w:r>
          </w:p>
        </w:tc>
        <w:tc>
          <w:tcPr>
            <w:tcW w:w="1250" w:type="dxa"/>
            <w:shd w:val="clear" w:color="auto" w:fill="auto"/>
            <w:vAlign w:val="center"/>
          </w:tcPr>
          <w:p w14:paraId="603035DA"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348EC9EE" w14:textId="77777777" w:rsidR="00975F26" w:rsidRPr="00ED0D6D" w:rsidRDefault="00975F26" w:rsidP="002A479B">
            <w:pPr>
              <w:jc w:val="center"/>
              <w:rPr>
                <w:color w:val="000000"/>
                <w:sz w:val="20"/>
              </w:rPr>
            </w:pPr>
            <w:r>
              <w:rPr>
                <w:color w:val="000000"/>
                <w:sz w:val="20"/>
              </w:rPr>
              <w:t>–</w:t>
            </w:r>
          </w:p>
        </w:tc>
        <w:tc>
          <w:tcPr>
            <w:tcW w:w="2112" w:type="dxa"/>
            <w:shd w:val="clear" w:color="auto" w:fill="auto"/>
            <w:vAlign w:val="center"/>
          </w:tcPr>
          <w:p w14:paraId="64E59237" w14:textId="77777777" w:rsidR="00975F26" w:rsidRPr="00ED0D6D" w:rsidRDefault="00975F26" w:rsidP="002A479B">
            <w:pPr>
              <w:jc w:val="center"/>
              <w:rPr>
                <w:color w:val="000000"/>
                <w:sz w:val="20"/>
              </w:rPr>
            </w:pPr>
            <w:r>
              <w:rPr>
                <w:color w:val="000000"/>
                <w:sz w:val="20"/>
              </w:rPr>
              <w:t>g</w:t>
            </w:r>
            <w:r w:rsidRPr="00ED0D6D">
              <w:rPr>
                <w:color w:val="000000"/>
                <w:sz w:val="20"/>
              </w:rPr>
              <w:t>yventojų apklausa</w:t>
            </w:r>
          </w:p>
        </w:tc>
        <w:tc>
          <w:tcPr>
            <w:tcW w:w="1172" w:type="dxa"/>
            <w:shd w:val="clear" w:color="auto" w:fill="auto"/>
            <w:vAlign w:val="center"/>
          </w:tcPr>
          <w:p w14:paraId="5627314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C38B6A8" w14:textId="77777777" w:rsidTr="002A479B">
        <w:trPr>
          <w:trHeight w:val="431"/>
        </w:trPr>
        <w:tc>
          <w:tcPr>
            <w:tcW w:w="657" w:type="dxa"/>
            <w:shd w:val="clear" w:color="000000" w:fill="FFFFFF"/>
            <w:vAlign w:val="center"/>
            <w:hideMark/>
          </w:tcPr>
          <w:p w14:paraId="70DD5A3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76DB7E78" w14:textId="77777777" w:rsidR="00975F26" w:rsidRPr="00ED0D6D" w:rsidRDefault="00975F26" w:rsidP="002A479B">
            <w:pPr>
              <w:jc w:val="both"/>
              <w:rPr>
                <w:color w:val="000000"/>
                <w:sz w:val="20"/>
              </w:rPr>
            </w:pPr>
            <w:r w:rsidRPr="00ED0D6D">
              <w:rPr>
                <w:color w:val="000000"/>
                <w:sz w:val="20"/>
              </w:rPr>
              <w:t>Gyventojų, dalyvavusių sprendžiant viešuosius vietos reikalus per vienus metus, dalis (proc.)</w:t>
            </w:r>
          </w:p>
        </w:tc>
        <w:tc>
          <w:tcPr>
            <w:tcW w:w="1147" w:type="dxa"/>
            <w:shd w:val="clear" w:color="000000" w:fill="FFFFFF"/>
            <w:vAlign w:val="center"/>
          </w:tcPr>
          <w:p w14:paraId="5D8FB74E" w14:textId="77777777" w:rsidR="00975F26" w:rsidRPr="00ED0D6D" w:rsidRDefault="00975F26" w:rsidP="002A479B">
            <w:pPr>
              <w:jc w:val="center"/>
              <w:rPr>
                <w:color w:val="000000"/>
                <w:sz w:val="20"/>
              </w:rPr>
            </w:pPr>
            <w:r w:rsidRPr="00ED0D6D">
              <w:rPr>
                <w:color w:val="000000"/>
                <w:sz w:val="20"/>
              </w:rPr>
              <w:t>37</w:t>
            </w:r>
          </w:p>
        </w:tc>
        <w:tc>
          <w:tcPr>
            <w:tcW w:w="1080" w:type="dxa"/>
            <w:shd w:val="clear" w:color="000000" w:fill="FFFFFF"/>
            <w:vAlign w:val="center"/>
          </w:tcPr>
          <w:p w14:paraId="6D7812F6" w14:textId="77777777" w:rsidR="00975F26" w:rsidRPr="00ED0D6D" w:rsidRDefault="00975F26" w:rsidP="002A479B">
            <w:pPr>
              <w:jc w:val="center"/>
              <w:rPr>
                <w:color w:val="000000"/>
                <w:sz w:val="20"/>
              </w:rPr>
            </w:pPr>
            <w:r w:rsidRPr="00ED0D6D">
              <w:rPr>
                <w:color w:val="000000"/>
                <w:sz w:val="20"/>
              </w:rPr>
              <w:t>38</w:t>
            </w:r>
          </w:p>
        </w:tc>
        <w:tc>
          <w:tcPr>
            <w:tcW w:w="956" w:type="dxa"/>
            <w:shd w:val="clear" w:color="auto" w:fill="auto"/>
            <w:vAlign w:val="center"/>
          </w:tcPr>
          <w:p w14:paraId="327C493A"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6511F23C" w14:textId="77777777" w:rsidR="00975F26" w:rsidRPr="00ED0D6D" w:rsidRDefault="00975F26" w:rsidP="002A479B">
            <w:pPr>
              <w:jc w:val="center"/>
              <w:rPr>
                <w:color w:val="000000"/>
                <w:sz w:val="20"/>
              </w:rPr>
            </w:pPr>
            <w:r w:rsidRPr="00ED0D6D">
              <w:rPr>
                <w:color w:val="000000"/>
                <w:sz w:val="20"/>
              </w:rPr>
              <w:t>33</w:t>
            </w:r>
          </w:p>
        </w:tc>
        <w:tc>
          <w:tcPr>
            <w:tcW w:w="1250" w:type="dxa"/>
            <w:shd w:val="clear" w:color="000000" w:fill="FFFFFF"/>
            <w:vAlign w:val="center"/>
          </w:tcPr>
          <w:p w14:paraId="7C86E287" w14:textId="77777777" w:rsidR="00975F26" w:rsidRPr="00ED0D6D" w:rsidRDefault="00975F26" w:rsidP="002A479B">
            <w:pPr>
              <w:jc w:val="center"/>
              <w:rPr>
                <w:color w:val="000000"/>
                <w:sz w:val="20"/>
              </w:rPr>
            </w:pPr>
            <w:r w:rsidRPr="00ED0D6D">
              <w:rPr>
                <w:color w:val="000000"/>
                <w:sz w:val="20"/>
              </w:rPr>
              <w:t>40</w:t>
            </w:r>
          </w:p>
        </w:tc>
        <w:tc>
          <w:tcPr>
            <w:tcW w:w="1250" w:type="dxa"/>
            <w:shd w:val="clear" w:color="000000" w:fill="FFFFFF"/>
            <w:vAlign w:val="center"/>
          </w:tcPr>
          <w:p w14:paraId="5DAD431C" w14:textId="77777777" w:rsidR="00975F26" w:rsidRPr="00ED0D6D" w:rsidRDefault="00975F26" w:rsidP="002A479B">
            <w:pPr>
              <w:jc w:val="center"/>
              <w:rPr>
                <w:color w:val="000000"/>
                <w:sz w:val="20"/>
              </w:rPr>
            </w:pPr>
            <w:r w:rsidRPr="00ED0D6D">
              <w:rPr>
                <w:color w:val="000000"/>
                <w:sz w:val="20"/>
              </w:rPr>
              <w:t>45</w:t>
            </w:r>
          </w:p>
        </w:tc>
        <w:tc>
          <w:tcPr>
            <w:tcW w:w="2112" w:type="dxa"/>
            <w:shd w:val="clear" w:color="000000" w:fill="FFFFFF"/>
            <w:vAlign w:val="center"/>
          </w:tcPr>
          <w:p w14:paraId="5AF482EE" w14:textId="77777777" w:rsidR="00975F26" w:rsidRPr="00ED0D6D" w:rsidRDefault="00975F26" w:rsidP="002A479B">
            <w:pPr>
              <w:jc w:val="center"/>
              <w:rPr>
                <w:color w:val="000000"/>
                <w:sz w:val="20"/>
              </w:rPr>
            </w:pPr>
            <w:r>
              <w:rPr>
                <w:color w:val="000000"/>
                <w:sz w:val="20"/>
              </w:rPr>
              <w:t>g</w:t>
            </w:r>
            <w:r w:rsidRPr="00ED0D6D">
              <w:rPr>
                <w:color w:val="000000"/>
                <w:sz w:val="20"/>
              </w:rPr>
              <w:t>yventojų apklausa</w:t>
            </w:r>
          </w:p>
        </w:tc>
        <w:tc>
          <w:tcPr>
            <w:tcW w:w="1172" w:type="dxa"/>
            <w:shd w:val="clear" w:color="auto" w:fill="auto"/>
            <w:vAlign w:val="center"/>
          </w:tcPr>
          <w:p w14:paraId="714FC4AB" w14:textId="77777777" w:rsidR="00975F26" w:rsidRPr="00ED0D6D" w:rsidRDefault="00975F26" w:rsidP="002A479B">
            <w:pPr>
              <w:jc w:val="center"/>
              <w:rPr>
                <w:color w:val="000000"/>
                <w:sz w:val="20"/>
              </w:rPr>
            </w:pPr>
            <w:r w:rsidRPr="00ED0D6D">
              <w:rPr>
                <w:color w:val="000000"/>
                <w:sz w:val="20"/>
              </w:rPr>
              <w:t>17LRVP</w:t>
            </w:r>
          </w:p>
        </w:tc>
      </w:tr>
    </w:tbl>
    <w:p w14:paraId="46C3F91D" w14:textId="77777777" w:rsidR="00975F26" w:rsidRPr="00223C36" w:rsidRDefault="00975F26" w:rsidP="00223C36">
      <w:pPr>
        <w:spacing w:line="380" w:lineRule="atLeast"/>
        <w:jc w:val="both"/>
        <w:rPr>
          <w:bCs/>
          <w:sz w:val="20"/>
        </w:rPr>
      </w:pPr>
    </w:p>
    <w:p w14:paraId="4A01AE83" w14:textId="7EB74460" w:rsidR="00223C36" w:rsidRPr="00F76D7A" w:rsidRDefault="00F76D7A" w:rsidP="00223C36">
      <w:pPr>
        <w:tabs>
          <w:tab w:val="left" w:pos="450"/>
        </w:tabs>
        <w:spacing w:line="380" w:lineRule="atLeast"/>
        <w:ind w:left="450"/>
        <w:jc w:val="both"/>
        <w:rPr>
          <w:b/>
          <w:szCs w:val="24"/>
        </w:rPr>
      </w:pPr>
      <w:r>
        <w:rPr>
          <w:b/>
          <w:szCs w:val="24"/>
        </w:rPr>
        <w:t>2.2.2.</w:t>
      </w:r>
      <w:r w:rsidR="00975F26" w:rsidRPr="00F76D7A">
        <w:rPr>
          <w:b/>
          <w:szCs w:val="24"/>
        </w:rPr>
        <w:t xml:space="preserve"> Aplinka, miškai ir klimato kaita</w:t>
      </w:r>
    </w:p>
    <w:tbl>
      <w:tblPr>
        <w:tblW w:w="1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648"/>
        <w:gridCol w:w="1080"/>
        <w:gridCol w:w="1080"/>
        <w:gridCol w:w="954"/>
        <w:gridCol w:w="983"/>
        <w:gridCol w:w="1250"/>
        <w:gridCol w:w="1250"/>
        <w:gridCol w:w="2169"/>
        <w:gridCol w:w="1236"/>
      </w:tblGrid>
      <w:tr w:rsidR="00975F26" w:rsidRPr="00ED0D6D" w14:paraId="27C766AE" w14:textId="77777777" w:rsidTr="002A479B">
        <w:trPr>
          <w:trHeight w:val="999"/>
        </w:trPr>
        <w:tc>
          <w:tcPr>
            <w:tcW w:w="647" w:type="dxa"/>
            <w:shd w:val="clear" w:color="000000" w:fill="DEEAF6"/>
            <w:vAlign w:val="center"/>
            <w:hideMark/>
          </w:tcPr>
          <w:p w14:paraId="01CD92D2" w14:textId="77777777" w:rsidR="00975F26" w:rsidRPr="00ED0D6D" w:rsidRDefault="00975F26" w:rsidP="002A479B">
            <w:pPr>
              <w:jc w:val="center"/>
              <w:rPr>
                <w:b/>
                <w:bCs/>
                <w:color w:val="000000"/>
                <w:sz w:val="20"/>
              </w:rPr>
            </w:pPr>
            <w:r w:rsidRPr="00ED0D6D">
              <w:rPr>
                <w:b/>
                <w:bCs/>
                <w:color w:val="000000"/>
                <w:sz w:val="20"/>
              </w:rPr>
              <w:t>Eil. Nr.</w:t>
            </w:r>
          </w:p>
        </w:tc>
        <w:tc>
          <w:tcPr>
            <w:tcW w:w="4648" w:type="dxa"/>
            <w:shd w:val="clear" w:color="000000" w:fill="DEEAF6"/>
            <w:vAlign w:val="center"/>
            <w:hideMark/>
          </w:tcPr>
          <w:p w14:paraId="4686358A"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25C0D244"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714F5118"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54" w:type="dxa"/>
            <w:shd w:val="clear" w:color="000000" w:fill="DEEAF6"/>
            <w:vAlign w:val="center"/>
            <w:hideMark/>
          </w:tcPr>
          <w:p w14:paraId="0AE6F01F"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5896860A"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21A110FD"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3B158E35"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169" w:type="dxa"/>
            <w:shd w:val="clear" w:color="000000" w:fill="DEEAF6"/>
            <w:vAlign w:val="center"/>
            <w:hideMark/>
          </w:tcPr>
          <w:p w14:paraId="44FD47FE" w14:textId="77777777" w:rsidR="00975F26" w:rsidRPr="00ED0D6D" w:rsidRDefault="00975F26" w:rsidP="002A479B">
            <w:pPr>
              <w:jc w:val="center"/>
              <w:rPr>
                <w:b/>
                <w:bCs/>
                <w:color w:val="000000"/>
                <w:sz w:val="20"/>
              </w:rPr>
            </w:pPr>
            <w:r w:rsidRPr="00ED0D6D">
              <w:rPr>
                <w:b/>
                <w:bCs/>
                <w:color w:val="000000"/>
                <w:sz w:val="20"/>
              </w:rPr>
              <w:t>Duomenų šaltinis</w:t>
            </w:r>
          </w:p>
        </w:tc>
        <w:tc>
          <w:tcPr>
            <w:tcW w:w="1236" w:type="dxa"/>
            <w:shd w:val="clear" w:color="FFFFFF" w:fill="DDEBF7"/>
            <w:vAlign w:val="center"/>
            <w:hideMark/>
          </w:tcPr>
          <w:p w14:paraId="43BFB2B7"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2C37EF59" w14:textId="77777777" w:rsidR="00975F26" w:rsidRPr="00ED0D6D" w:rsidRDefault="00975F26" w:rsidP="002A479B">
            <w:pPr>
              <w:jc w:val="center"/>
              <w:rPr>
                <w:b/>
                <w:bCs/>
                <w:color w:val="000000"/>
                <w:sz w:val="20"/>
              </w:rPr>
            </w:pPr>
            <w:r w:rsidRPr="00ED0D6D">
              <w:rPr>
                <w:b/>
                <w:bCs/>
                <w:color w:val="000000"/>
                <w:sz w:val="20"/>
              </w:rPr>
              <w:t>17LRVP</w:t>
            </w:r>
          </w:p>
          <w:p w14:paraId="78E5ED24"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4F391CD1" w14:textId="77777777" w:rsidTr="002A479B">
        <w:trPr>
          <w:trHeight w:val="504"/>
        </w:trPr>
        <w:tc>
          <w:tcPr>
            <w:tcW w:w="647" w:type="dxa"/>
            <w:shd w:val="clear" w:color="auto" w:fill="auto"/>
            <w:vAlign w:val="center"/>
            <w:hideMark/>
          </w:tcPr>
          <w:p w14:paraId="27BAEA91"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8C58FD9" w14:textId="77777777" w:rsidR="00975F26" w:rsidRPr="00ED0D6D" w:rsidRDefault="00975F26" w:rsidP="002A479B">
            <w:pPr>
              <w:jc w:val="both"/>
              <w:rPr>
                <w:color w:val="000000"/>
                <w:sz w:val="20"/>
              </w:rPr>
            </w:pPr>
            <w:r w:rsidRPr="00ED0D6D">
              <w:rPr>
                <w:sz w:val="20"/>
              </w:rPr>
              <w:t xml:space="preserve">Lietuvos saugomų teritorijų ploto dalis, palyginti su visu Lietuvos plotu (proc.) </w:t>
            </w:r>
          </w:p>
        </w:tc>
        <w:tc>
          <w:tcPr>
            <w:tcW w:w="1080" w:type="dxa"/>
            <w:shd w:val="clear" w:color="auto" w:fill="auto"/>
            <w:noWrap/>
            <w:vAlign w:val="center"/>
          </w:tcPr>
          <w:p w14:paraId="5E2C4322" w14:textId="77777777" w:rsidR="00975F26" w:rsidRPr="00ED0D6D" w:rsidRDefault="00975F26" w:rsidP="002A479B">
            <w:pPr>
              <w:jc w:val="center"/>
              <w:rPr>
                <w:color w:val="000000"/>
                <w:sz w:val="20"/>
              </w:rPr>
            </w:pPr>
            <w:r w:rsidRPr="00ED0D6D">
              <w:rPr>
                <w:color w:val="000000"/>
                <w:sz w:val="20"/>
              </w:rPr>
              <w:t>17,64</w:t>
            </w:r>
          </w:p>
        </w:tc>
        <w:tc>
          <w:tcPr>
            <w:tcW w:w="1080" w:type="dxa"/>
            <w:shd w:val="clear" w:color="000000" w:fill="FFFFFF"/>
            <w:vAlign w:val="center"/>
          </w:tcPr>
          <w:p w14:paraId="63185E3E" w14:textId="77777777" w:rsidR="00975F26" w:rsidRPr="00ED0D6D" w:rsidRDefault="00975F26" w:rsidP="002A479B">
            <w:pPr>
              <w:jc w:val="center"/>
              <w:rPr>
                <w:color w:val="000000"/>
                <w:sz w:val="20"/>
              </w:rPr>
            </w:pPr>
            <w:r w:rsidRPr="00ED0D6D">
              <w:rPr>
                <w:color w:val="000000"/>
                <w:sz w:val="20"/>
              </w:rPr>
              <w:t>17,69</w:t>
            </w:r>
          </w:p>
        </w:tc>
        <w:tc>
          <w:tcPr>
            <w:tcW w:w="954" w:type="dxa"/>
            <w:shd w:val="clear" w:color="auto" w:fill="auto"/>
            <w:vAlign w:val="center"/>
          </w:tcPr>
          <w:p w14:paraId="38E46A22" w14:textId="77777777" w:rsidR="00975F26" w:rsidRPr="00F46DD0" w:rsidRDefault="00975F26" w:rsidP="002A479B">
            <w:pPr>
              <w:jc w:val="center"/>
              <w:rPr>
                <w:i/>
                <w:iCs/>
                <w:color w:val="000000"/>
                <w:sz w:val="20"/>
              </w:rPr>
            </w:pPr>
            <w:r w:rsidRPr="00F46DD0">
              <w:rPr>
                <w:i/>
                <w:iCs/>
                <w:color w:val="000000"/>
                <w:sz w:val="20"/>
              </w:rPr>
              <w:t>n. d.</w:t>
            </w:r>
          </w:p>
        </w:tc>
        <w:tc>
          <w:tcPr>
            <w:tcW w:w="983" w:type="dxa"/>
            <w:shd w:val="clear" w:color="auto" w:fill="auto"/>
            <w:vAlign w:val="center"/>
          </w:tcPr>
          <w:p w14:paraId="2DC86CA0"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7CFBFA88" w14:textId="77777777" w:rsidR="00975F26" w:rsidRPr="00ED0D6D" w:rsidRDefault="00975F26" w:rsidP="002A479B">
            <w:pPr>
              <w:jc w:val="center"/>
              <w:rPr>
                <w:color w:val="000000"/>
                <w:sz w:val="20"/>
              </w:rPr>
            </w:pPr>
            <w:r w:rsidRPr="00ED0D6D">
              <w:rPr>
                <w:color w:val="000000"/>
                <w:sz w:val="20"/>
              </w:rPr>
              <w:t>20</w:t>
            </w:r>
          </w:p>
        </w:tc>
        <w:tc>
          <w:tcPr>
            <w:tcW w:w="1250" w:type="dxa"/>
            <w:shd w:val="clear" w:color="auto" w:fill="auto"/>
            <w:vAlign w:val="center"/>
          </w:tcPr>
          <w:p w14:paraId="69C72D63" w14:textId="77777777" w:rsidR="00975F26" w:rsidRPr="00ED0D6D" w:rsidRDefault="00975F26" w:rsidP="002A479B">
            <w:pPr>
              <w:jc w:val="center"/>
              <w:rPr>
                <w:color w:val="000000"/>
                <w:sz w:val="20"/>
              </w:rPr>
            </w:pPr>
            <w:r w:rsidRPr="00ED0D6D">
              <w:rPr>
                <w:color w:val="000000"/>
                <w:sz w:val="20"/>
              </w:rPr>
              <w:t>30</w:t>
            </w:r>
          </w:p>
        </w:tc>
        <w:tc>
          <w:tcPr>
            <w:tcW w:w="2169" w:type="dxa"/>
            <w:shd w:val="clear" w:color="auto" w:fill="auto"/>
            <w:vAlign w:val="center"/>
          </w:tcPr>
          <w:p w14:paraId="19252415" w14:textId="77777777" w:rsidR="00975F26" w:rsidRPr="00ED0D6D" w:rsidRDefault="00975F26" w:rsidP="002A479B">
            <w:pPr>
              <w:jc w:val="center"/>
              <w:rPr>
                <w:color w:val="000000"/>
                <w:sz w:val="20"/>
              </w:rPr>
            </w:pPr>
            <w:r>
              <w:rPr>
                <w:color w:val="000000"/>
                <w:sz w:val="20"/>
              </w:rPr>
              <w:t>Lietuvos Respublikos a</w:t>
            </w:r>
            <w:r w:rsidRPr="00ED0D6D">
              <w:rPr>
                <w:color w:val="000000"/>
                <w:sz w:val="20"/>
              </w:rPr>
              <w:t>plinkos ministerija (</w:t>
            </w:r>
            <w:r>
              <w:rPr>
                <w:color w:val="000000"/>
                <w:sz w:val="20"/>
              </w:rPr>
              <w:t xml:space="preserve">toliau – </w:t>
            </w:r>
            <w:r w:rsidRPr="00ED0D6D">
              <w:rPr>
                <w:color w:val="000000"/>
                <w:sz w:val="20"/>
              </w:rPr>
              <w:t>AM)</w:t>
            </w:r>
          </w:p>
        </w:tc>
        <w:tc>
          <w:tcPr>
            <w:tcW w:w="1236" w:type="dxa"/>
            <w:shd w:val="clear" w:color="auto" w:fill="auto"/>
            <w:vAlign w:val="center"/>
          </w:tcPr>
          <w:p w14:paraId="40E5E96F"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65C20763" w14:textId="77777777" w:rsidTr="002A479B">
        <w:trPr>
          <w:trHeight w:val="504"/>
        </w:trPr>
        <w:tc>
          <w:tcPr>
            <w:tcW w:w="647" w:type="dxa"/>
            <w:shd w:val="clear" w:color="auto" w:fill="auto"/>
            <w:vAlign w:val="center"/>
          </w:tcPr>
          <w:p w14:paraId="5D13616E"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B8D9B31" w14:textId="77777777" w:rsidR="00975F26" w:rsidRPr="00ED0D6D" w:rsidRDefault="00975F26" w:rsidP="002A479B">
            <w:pPr>
              <w:jc w:val="both"/>
              <w:rPr>
                <w:color w:val="000000"/>
                <w:sz w:val="20"/>
              </w:rPr>
            </w:pPr>
            <w:r w:rsidRPr="00ED0D6D">
              <w:rPr>
                <w:sz w:val="20"/>
              </w:rPr>
              <w:t xml:space="preserve">Griežtai saugomų teritorijų ploto dalis, palyginti su visu saugomų teritorijų plotu (proc.) </w:t>
            </w:r>
          </w:p>
        </w:tc>
        <w:tc>
          <w:tcPr>
            <w:tcW w:w="1080" w:type="dxa"/>
            <w:shd w:val="clear" w:color="auto" w:fill="auto"/>
            <w:noWrap/>
            <w:vAlign w:val="center"/>
          </w:tcPr>
          <w:p w14:paraId="128785AA"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741F7C95" w14:textId="77777777" w:rsidR="00975F26" w:rsidRPr="00ED0D6D" w:rsidRDefault="00975F26" w:rsidP="002A479B">
            <w:pPr>
              <w:jc w:val="center"/>
              <w:rPr>
                <w:color w:val="000000"/>
                <w:sz w:val="20"/>
              </w:rPr>
            </w:pPr>
            <w:r w:rsidRPr="00ED0D6D">
              <w:rPr>
                <w:color w:val="000000"/>
                <w:sz w:val="20"/>
              </w:rPr>
              <w:t>30,39</w:t>
            </w:r>
          </w:p>
        </w:tc>
        <w:tc>
          <w:tcPr>
            <w:tcW w:w="954" w:type="dxa"/>
            <w:shd w:val="clear" w:color="auto" w:fill="auto"/>
            <w:vAlign w:val="center"/>
          </w:tcPr>
          <w:p w14:paraId="76FB5850"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2377DC64"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484EAE63" w14:textId="77777777" w:rsidR="00975F26" w:rsidRPr="00ED0D6D" w:rsidRDefault="00975F26" w:rsidP="002A479B">
            <w:pPr>
              <w:jc w:val="center"/>
              <w:rPr>
                <w:color w:val="000000"/>
                <w:sz w:val="20"/>
              </w:rPr>
            </w:pPr>
            <w:r w:rsidRPr="00ED0D6D">
              <w:rPr>
                <w:color w:val="000000"/>
                <w:sz w:val="20"/>
              </w:rPr>
              <w:t>40</w:t>
            </w:r>
          </w:p>
        </w:tc>
        <w:tc>
          <w:tcPr>
            <w:tcW w:w="1250" w:type="dxa"/>
            <w:shd w:val="clear" w:color="auto" w:fill="auto"/>
            <w:vAlign w:val="center"/>
          </w:tcPr>
          <w:p w14:paraId="0D84DF70"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3D7C8C80" w14:textId="77777777" w:rsidR="00975F26" w:rsidRPr="00ED0D6D" w:rsidRDefault="00975F26" w:rsidP="002A479B">
            <w:pPr>
              <w:jc w:val="center"/>
              <w:rPr>
                <w:color w:val="000000"/>
                <w:sz w:val="20"/>
              </w:rPr>
            </w:pPr>
            <w:r w:rsidRPr="00ED0D6D">
              <w:rPr>
                <w:color w:val="000000"/>
                <w:sz w:val="20"/>
              </w:rPr>
              <w:t>AM</w:t>
            </w:r>
          </w:p>
        </w:tc>
        <w:tc>
          <w:tcPr>
            <w:tcW w:w="1236" w:type="dxa"/>
            <w:shd w:val="clear" w:color="auto" w:fill="auto"/>
            <w:vAlign w:val="center"/>
          </w:tcPr>
          <w:p w14:paraId="6E26E8E8"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584C81B4" w14:textId="77777777" w:rsidTr="002A479B">
        <w:trPr>
          <w:trHeight w:val="368"/>
        </w:trPr>
        <w:tc>
          <w:tcPr>
            <w:tcW w:w="647" w:type="dxa"/>
            <w:shd w:val="clear" w:color="auto" w:fill="auto"/>
            <w:vAlign w:val="center"/>
            <w:hideMark/>
          </w:tcPr>
          <w:p w14:paraId="5FA24B96"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03AA589" w14:textId="77777777" w:rsidR="00975F26" w:rsidRPr="00ED0D6D" w:rsidRDefault="00975F26" w:rsidP="002A479B">
            <w:pPr>
              <w:jc w:val="both"/>
              <w:rPr>
                <w:color w:val="000000"/>
                <w:sz w:val="20"/>
              </w:rPr>
            </w:pPr>
            <w:r w:rsidRPr="00ED0D6D">
              <w:rPr>
                <w:sz w:val="20"/>
              </w:rPr>
              <w:t xml:space="preserve">Išmetamųjų šiltnamio efektą sukeliančių dujų kiekis </w:t>
            </w:r>
            <w:r>
              <w:rPr>
                <w:sz w:val="20"/>
              </w:rPr>
              <w:t>ES</w:t>
            </w:r>
            <w:r w:rsidRPr="00ED0D6D">
              <w:rPr>
                <w:sz w:val="20"/>
              </w:rPr>
              <w:t xml:space="preserve"> prekybos apyvartiniais taršos leidimais sistemoje nedalyvaujančiuose sektoriuose (mln. t CO</w:t>
            </w:r>
            <w:r w:rsidRPr="00F46DD0">
              <w:rPr>
                <w:sz w:val="20"/>
                <w:vertAlign w:val="subscript"/>
              </w:rPr>
              <w:t>2</w:t>
            </w:r>
            <w:r w:rsidRPr="00ED0D6D">
              <w:rPr>
                <w:sz w:val="20"/>
              </w:rPr>
              <w:t xml:space="preserve">e)   </w:t>
            </w:r>
          </w:p>
        </w:tc>
        <w:tc>
          <w:tcPr>
            <w:tcW w:w="1080" w:type="dxa"/>
            <w:shd w:val="clear" w:color="000000" w:fill="FFFFFF"/>
            <w:vAlign w:val="center"/>
          </w:tcPr>
          <w:p w14:paraId="14ED7621" w14:textId="77777777" w:rsidR="00975F26" w:rsidRPr="00ED0D6D" w:rsidRDefault="00975F26" w:rsidP="002A479B">
            <w:pPr>
              <w:jc w:val="center"/>
              <w:rPr>
                <w:color w:val="000000"/>
                <w:sz w:val="20"/>
              </w:rPr>
            </w:pPr>
            <w:r w:rsidRPr="00ED0D6D">
              <w:rPr>
                <w:color w:val="000000"/>
                <w:sz w:val="20"/>
              </w:rPr>
              <w:t>14,28     (2018)</w:t>
            </w:r>
          </w:p>
        </w:tc>
        <w:tc>
          <w:tcPr>
            <w:tcW w:w="1080" w:type="dxa"/>
            <w:shd w:val="clear" w:color="auto" w:fill="auto"/>
            <w:noWrap/>
            <w:vAlign w:val="center"/>
          </w:tcPr>
          <w:p w14:paraId="74D97F1E" w14:textId="77777777" w:rsidR="00975F26" w:rsidRPr="00F46DD0" w:rsidRDefault="00975F26" w:rsidP="002A479B">
            <w:pPr>
              <w:jc w:val="center"/>
              <w:rPr>
                <w:i/>
                <w:iCs/>
                <w:color w:val="000000"/>
                <w:sz w:val="20"/>
              </w:rPr>
            </w:pPr>
            <w:r w:rsidRPr="00F46DD0">
              <w:rPr>
                <w:i/>
                <w:iCs/>
                <w:color w:val="000000"/>
                <w:sz w:val="20"/>
              </w:rPr>
              <w:t xml:space="preserve">n. d. </w:t>
            </w:r>
          </w:p>
        </w:tc>
        <w:tc>
          <w:tcPr>
            <w:tcW w:w="954" w:type="dxa"/>
            <w:shd w:val="clear" w:color="auto" w:fill="auto"/>
            <w:vAlign w:val="center"/>
          </w:tcPr>
          <w:p w14:paraId="56EE8567"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1780A2A7" w14:textId="77777777" w:rsidR="00975F26" w:rsidRPr="00ED0D6D" w:rsidRDefault="00975F26" w:rsidP="002A479B">
            <w:pPr>
              <w:jc w:val="center"/>
              <w:rPr>
                <w:color w:val="000000"/>
                <w:sz w:val="20"/>
              </w:rPr>
            </w:pPr>
            <w:r w:rsidRPr="00ED0D6D">
              <w:rPr>
                <w:color w:val="000000"/>
                <w:sz w:val="20"/>
              </w:rPr>
              <w:t>15,24</w:t>
            </w:r>
          </w:p>
        </w:tc>
        <w:tc>
          <w:tcPr>
            <w:tcW w:w="1250" w:type="dxa"/>
            <w:shd w:val="clear" w:color="auto" w:fill="auto"/>
            <w:noWrap/>
            <w:vAlign w:val="center"/>
          </w:tcPr>
          <w:p w14:paraId="3CEC992A"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5BBCB872" w14:textId="77777777" w:rsidR="00975F26" w:rsidRPr="00ED0D6D" w:rsidRDefault="00975F26" w:rsidP="002A479B">
            <w:pPr>
              <w:jc w:val="center"/>
              <w:rPr>
                <w:color w:val="000000"/>
                <w:sz w:val="20"/>
              </w:rPr>
            </w:pPr>
            <w:r w:rsidRPr="00ED0D6D">
              <w:rPr>
                <w:color w:val="000000"/>
                <w:sz w:val="20"/>
              </w:rPr>
              <w:t>10 211</w:t>
            </w:r>
          </w:p>
        </w:tc>
        <w:tc>
          <w:tcPr>
            <w:tcW w:w="2169" w:type="dxa"/>
            <w:shd w:val="clear" w:color="auto" w:fill="auto"/>
            <w:vAlign w:val="center"/>
          </w:tcPr>
          <w:p w14:paraId="71FCE599" w14:textId="77777777" w:rsidR="00975F26" w:rsidRPr="00ED0D6D" w:rsidRDefault="00975F26" w:rsidP="002A479B">
            <w:pPr>
              <w:jc w:val="center"/>
              <w:rPr>
                <w:color w:val="000000"/>
                <w:sz w:val="20"/>
              </w:rPr>
            </w:pPr>
            <w:r w:rsidRPr="00ED0D6D">
              <w:rPr>
                <w:color w:val="000000"/>
                <w:sz w:val="20"/>
              </w:rPr>
              <w:t>Aplinkos apsaugos agentūra</w:t>
            </w:r>
          </w:p>
        </w:tc>
        <w:tc>
          <w:tcPr>
            <w:tcW w:w="1236" w:type="dxa"/>
            <w:shd w:val="clear" w:color="auto" w:fill="auto"/>
            <w:vAlign w:val="center"/>
          </w:tcPr>
          <w:p w14:paraId="0E0105E9" w14:textId="77777777" w:rsidR="00975F26" w:rsidRPr="00ED0D6D" w:rsidRDefault="00975F26" w:rsidP="002A479B">
            <w:pPr>
              <w:jc w:val="center"/>
              <w:rPr>
                <w:b/>
                <w:bCs/>
                <w:i/>
                <w:iCs/>
                <w:color w:val="000000"/>
                <w:sz w:val="20"/>
              </w:rPr>
            </w:pPr>
            <w:r w:rsidRPr="00ED0D6D">
              <w:rPr>
                <w:b/>
                <w:bCs/>
                <w:color w:val="000000"/>
                <w:sz w:val="20"/>
              </w:rPr>
              <w:t>18LRVP</w:t>
            </w:r>
            <w:r w:rsidRPr="00ED0D6D">
              <w:rPr>
                <w:color w:val="000000"/>
                <w:sz w:val="20"/>
              </w:rPr>
              <w:t xml:space="preserve"> 17LRVP</w:t>
            </w:r>
          </w:p>
        </w:tc>
      </w:tr>
      <w:tr w:rsidR="00975F26" w:rsidRPr="00ED0D6D" w14:paraId="6B361692" w14:textId="77777777" w:rsidTr="002A479B">
        <w:trPr>
          <w:trHeight w:val="305"/>
        </w:trPr>
        <w:tc>
          <w:tcPr>
            <w:tcW w:w="647" w:type="dxa"/>
            <w:shd w:val="clear" w:color="auto" w:fill="auto"/>
            <w:vAlign w:val="center"/>
            <w:hideMark/>
          </w:tcPr>
          <w:p w14:paraId="0A18A9D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F394418" w14:textId="77777777" w:rsidR="00975F26" w:rsidRPr="00ED0D6D" w:rsidRDefault="00975F26" w:rsidP="002A479B">
            <w:pPr>
              <w:jc w:val="both"/>
              <w:rPr>
                <w:color w:val="000000"/>
                <w:sz w:val="20"/>
              </w:rPr>
            </w:pPr>
            <w:r w:rsidRPr="00ED0D6D">
              <w:rPr>
                <w:sz w:val="20"/>
              </w:rPr>
              <w:t>Lietuvos miškingumas (miško žemės ploto santykis su Lietuvos Respublikos teritorijos plotu) (proc.)</w:t>
            </w:r>
          </w:p>
        </w:tc>
        <w:tc>
          <w:tcPr>
            <w:tcW w:w="1080" w:type="dxa"/>
            <w:shd w:val="clear" w:color="000000" w:fill="FFFFFF"/>
            <w:vAlign w:val="center"/>
          </w:tcPr>
          <w:p w14:paraId="02F6517F" w14:textId="77777777" w:rsidR="00975F26" w:rsidRPr="00ED0D6D" w:rsidRDefault="00975F26" w:rsidP="002A479B">
            <w:pPr>
              <w:jc w:val="center"/>
              <w:rPr>
                <w:color w:val="000000"/>
                <w:sz w:val="20"/>
              </w:rPr>
            </w:pPr>
            <w:r w:rsidRPr="00ED0D6D">
              <w:rPr>
                <w:color w:val="000000"/>
                <w:sz w:val="20"/>
              </w:rPr>
              <w:t>33,65</w:t>
            </w:r>
          </w:p>
        </w:tc>
        <w:tc>
          <w:tcPr>
            <w:tcW w:w="1080" w:type="dxa"/>
            <w:shd w:val="clear" w:color="auto" w:fill="auto"/>
            <w:noWrap/>
            <w:vAlign w:val="center"/>
          </w:tcPr>
          <w:p w14:paraId="3EA12385" w14:textId="77777777" w:rsidR="00975F26" w:rsidRPr="00ED0D6D" w:rsidRDefault="00975F26" w:rsidP="002A479B">
            <w:pPr>
              <w:jc w:val="center"/>
              <w:rPr>
                <w:color w:val="000000"/>
                <w:sz w:val="20"/>
              </w:rPr>
            </w:pPr>
            <w:r w:rsidRPr="00ED0D6D">
              <w:rPr>
                <w:color w:val="000000"/>
                <w:sz w:val="20"/>
              </w:rPr>
              <w:t>33,7</w:t>
            </w:r>
          </w:p>
        </w:tc>
        <w:tc>
          <w:tcPr>
            <w:tcW w:w="954" w:type="dxa"/>
            <w:shd w:val="clear" w:color="auto" w:fill="auto"/>
            <w:vAlign w:val="center"/>
          </w:tcPr>
          <w:p w14:paraId="46DC6981" w14:textId="77777777" w:rsidR="00975F26" w:rsidRPr="00ED0D6D" w:rsidRDefault="00975F26" w:rsidP="002A479B">
            <w:pPr>
              <w:jc w:val="center"/>
              <w:rPr>
                <w:color w:val="000000"/>
                <w:sz w:val="20"/>
              </w:rPr>
            </w:pPr>
            <w:r w:rsidRPr="00ED0D6D">
              <w:rPr>
                <w:color w:val="000000"/>
                <w:sz w:val="20"/>
              </w:rPr>
              <w:t>38,3</w:t>
            </w:r>
          </w:p>
        </w:tc>
        <w:tc>
          <w:tcPr>
            <w:tcW w:w="983" w:type="dxa"/>
            <w:shd w:val="clear" w:color="auto" w:fill="auto"/>
            <w:vAlign w:val="center"/>
          </w:tcPr>
          <w:p w14:paraId="10C84F96" w14:textId="77777777" w:rsidR="00975F26" w:rsidRPr="00ED0D6D" w:rsidRDefault="00975F26" w:rsidP="002A479B">
            <w:pPr>
              <w:jc w:val="center"/>
              <w:rPr>
                <w:color w:val="000000"/>
                <w:sz w:val="20"/>
              </w:rPr>
            </w:pPr>
            <w:r w:rsidRPr="00ED0D6D">
              <w:rPr>
                <w:color w:val="000000"/>
                <w:sz w:val="20"/>
              </w:rPr>
              <w:t>33,7</w:t>
            </w:r>
          </w:p>
        </w:tc>
        <w:tc>
          <w:tcPr>
            <w:tcW w:w="1250" w:type="dxa"/>
            <w:shd w:val="clear" w:color="auto" w:fill="auto"/>
            <w:noWrap/>
            <w:vAlign w:val="center"/>
          </w:tcPr>
          <w:p w14:paraId="6FA1D92C" w14:textId="77777777" w:rsidR="00975F26" w:rsidRPr="00ED0D6D" w:rsidRDefault="00975F26" w:rsidP="002A479B">
            <w:pPr>
              <w:jc w:val="center"/>
              <w:rPr>
                <w:color w:val="000000"/>
                <w:sz w:val="20"/>
              </w:rPr>
            </w:pPr>
            <w:r w:rsidRPr="00ED0D6D">
              <w:rPr>
                <w:color w:val="000000"/>
                <w:sz w:val="20"/>
              </w:rPr>
              <w:t xml:space="preserve">35 </w:t>
            </w:r>
          </w:p>
        </w:tc>
        <w:tc>
          <w:tcPr>
            <w:tcW w:w="1250" w:type="dxa"/>
            <w:shd w:val="clear" w:color="auto" w:fill="auto"/>
            <w:vAlign w:val="center"/>
          </w:tcPr>
          <w:p w14:paraId="2F156938"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6372431D" w14:textId="77777777" w:rsidR="00975F26" w:rsidRPr="00ED0D6D" w:rsidRDefault="00975F26" w:rsidP="002A479B">
            <w:pPr>
              <w:jc w:val="center"/>
              <w:rPr>
                <w:color w:val="000000"/>
                <w:sz w:val="20"/>
              </w:rPr>
            </w:pPr>
            <w:r w:rsidRPr="00ED0D6D">
              <w:rPr>
                <w:color w:val="000000"/>
                <w:sz w:val="20"/>
              </w:rPr>
              <w:t>Valstybinė miškų tarnyba</w:t>
            </w:r>
          </w:p>
        </w:tc>
        <w:tc>
          <w:tcPr>
            <w:tcW w:w="1236" w:type="dxa"/>
            <w:shd w:val="clear" w:color="auto" w:fill="auto"/>
            <w:vAlign w:val="center"/>
          </w:tcPr>
          <w:p w14:paraId="31858B19" w14:textId="77777777" w:rsidR="00975F26" w:rsidRPr="00ED0D6D" w:rsidRDefault="00975F26" w:rsidP="002A479B">
            <w:pPr>
              <w:jc w:val="center"/>
              <w:rPr>
                <w:b/>
                <w:bCs/>
                <w:i/>
                <w:iCs/>
                <w:color w:val="000000"/>
                <w:sz w:val="20"/>
              </w:rPr>
            </w:pPr>
            <w:r w:rsidRPr="00ED0D6D">
              <w:rPr>
                <w:b/>
                <w:bCs/>
                <w:color w:val="000000"/>
                <w:sz w:val="20"/>
              </w:rPr>
              <w:t>18LRVP</w:t>
            </w:r>
            <w:r w:rsidRPr="00ED0D6D">
              <w:rPr>
                <w:color w:val="000000"/>
                <w:sz w:val="20"/>
              </w:rPr>
              <w:t xml:space="preserve"> 17LRVP</w:t>
            </w:r>
          </w:p>
        </w:tc>
      </w:tr>
      <w:tr w:rsidR="00975F26" w:rsidRPr="00ED0D6D" w14:paraId="4D04FC52" w14:textId="77777777" w:rsidTr="002A479B">
        <w:trPr>
          <w:trHeight w:val="540"/>
        </w:trPr>
        <w:tc>
          <w:tcPr>
            <w:tcW w:w="647" w:type="dxa"/>
            <w:shd w:val="clear" w:color="auto" w:fill="auto"/>
            <w:vAlign w:val="center"/>
            <w:hideMark/>
          </w:tcPr>
          <w:p w14:paraId="150CCCB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27171F24" w14:textId="77777777" w:rsidR="00975F26" w:rsidRPr="00ED0D6D" w:rsidRDefault="00975F26" w:rsidP="002A479B">
            <w:pPr>
              <w:jc w:val="both"/>
              <w:rPr>
                <w:color w:val="000000"/>
                <w:sz w:val="20"/>
              </w:rPr>
            </w:pPr>
            <w:r w:rsidRPr="00ED0D6D">
              <w:rPr>
                <w:sz w:val="20"/>
              </w:rPr>
              <w:t xml:space="preserve">Miestų, kuriuose metinė kietųjų dalelių KD10 koncentracija neviršija </w:t>
            </w:r>
            <w:r>
              <w:rPr>
                <w:sz w:val="20"/>
              </w:rPr>
              <w:t xml:space="preserve">Pasaulio sveikatos organizacijos (PSO) </w:t>
            </w:r>
            <w:r w:rsidRPr="00ED0D6D">
              <w:rPr>
                <w:sz w:val="20"/>
              </w:rPr>
              <w:t xml:space="preserve"> rekomenduojamo lygio, dalis (proc.)</w:t>
            </w:r>
          </w:p>
        </w:tc>
        <w:tc>
          <w:tcPr>
            <w:tcW w:w="1080" w:type="dxa"/>
            <w:shd w:val="clear" w:color="000000" w:fill="FFFFFF"/>
            <w:vAlign w:val="center"/>
          </w:tcPr>
          <w:p w14:paraId="3D126F8F" w14:textId="77777777" w:rsidR="00975F26" w:rsidRPr="00ED0D6D" w:rsidRDefault="00975F26" w:rsidP="002A479B">
            <w:pPr>
              <w:jc w:val="center"/>
              <w:rPr>
                <w:color w:val="000000"/>
                <w:sz w:val="20"/>
              </w:rPr>
            </w:pPr>
            <w:r w:rsidRPr="00ED0D6D">
              <w:rPr>
                <w:color w:val="000000"/>
                <w:sz w:val="20"/>
              </w:rPr>
              <w:t>22,2</w:t>
            </w:r>
          </w:p>
        </w:tc>
        <w:tc>
          <w:tcPr>
            <w:tcW w:w="1080" w:type="dxa"/>
            <w:shd w:val="clear" w:color="000000" w:fill="FFFFFF"/>
            <w:vAlign w:val="center"/>
          </w:tcPr>
          <w:p w14:paraId="074EA5BB" w14:textId="77777777" w:rsidR="00975F26" w:rsidRPr="00ED0D6D" w:rsidRDefault="00975F26" w:rsidP="002A479B">
            <w:pPr>
              <w:jc w:val="center"/>
              <w:rPr>
                <w:color w:val="000000"/>
                <w:sz w:val="20"/>
              </w:rPr>
            </w:pPr>
            <w:r w:rsidRPr="00ED0D6D">
              <w:rPr>
                <w:color w:val="000000"/>
                <w:sz w:val="20"/>
              </w:rPr>
              <w:t>11,1</w:t>
            </w:r>
          </w:p>
        </w:tc>
        <w:tc>
          <w:tcPr>
            <w:tcW w:w="954" w:type="dxa"/>
            <w:shd w:val="clear" w:color="auto" w:fill="auto"/>
            <w:vAlign w:val="center"/>
          </w:tcPr>
          <w:p w14:paraId="6F38B62C"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6DB19B82"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51A7CF39"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auto" w:fill="auto"/>
            <w:vAlign w:val="center"/>
          </w:tcPr>
          <w:p w14:paraId="2DC5A76F" w14:textId="77777777" w:rsidR="00975F26" w:rsidRPr="00ED0D6D" w:rsidRDefault="00975F26" w:rsidP="002A479B">
            <w:pPr>
              <w:jc w:val="center"/>
              <w:rPr>
                <w:color w:val="000000"/>
                <w:sz w:val="20"/>
              </w:rPr>
            </w:pPr>
            <w:r w:rsidRPr="00ED0D6D">
              <w:rPr>
                <w:color w:val="000000"/>
                <w:sz w:val="20"/>
              </w:rPr>
              <w:t>40</w:t>
            </w:r>
          </w:p>
        </w:tc>
        <w:tc>
          <w:tcPr>
            <w:tcW w:w="2169" w:type="dxa"/>
            <w:shd w:val="clear" w:color="auto" w:fill="auto"/>
            <w:vAlign w:val="center"/>
          </w:tcPr>
          <w:p w14:paraId="12B50C1E" w14:textId="77777777" w:rsidR="00975F26" w:rsidRPr="00ED0D6D" w:rsidRDefault="00975F26" w:rsidP="002A479B">
            <w:pPr>
              <w:jc w:val="center"/>
              <w:rPr>
                <w:color w:val="000000"/>
                <w:sz w:val="20"/>
              </w:rPr>
            </w:pPr>
            <w:r w:rsidRPr="00ED0D6D">
              <w:rPr>
                <w:color w:val="000000"/>
                <w:sz w:val="20"/>
              </w:rPr>
              <w:t>Valstybinis aplinkos (oro kokybės) monitoringas</w:t>
            </w:r>
          </w:p>
        </w:tc>
        <w:tc>
          <w:tcPr>
            <w:tcW w:w="1236" w:type="dxa"/>
            <w:shd w:val="clear" w:color="auto" w:fill="auto"/>
            <w:vAlign w:val="center"/>
          </w:tcPr>
          <w:p w14:paraId="469E969E" w14:textId="77777777" w:rsidR="00975F26" w:rsidRPr="00ED0D6D" w:rsidRDefault="00975F26" w:rsidP="002A479B">
            <w:pPr>
              <w:jc w:val="center"/>
              <w:rPr>
                <w:color w:val="000000"/>
                <w:sz w:val="20"/>
              </w:rPr>
            </w:pPr>
            <w:r w:rsidRPr="00ED0D6D">
              <w:rPr>
                <w:b/>
                <w:bCs/>
                <w:color w:val="000000"/>
                <w:sz w:val="20"/>
              </w:rPr>
              <w:t>18LRVP</w:t>
            </w:r>
            <w:r w:rsidRPr="00ED0D6D">
              <w:rPr>
                <w:color w:val="000000"/>
                <w:sz w:val="20"/>
              </w:rPr>
              <w:t xml:space="preserve"> NPP2030</w:t>
            </w:r>
          </w:p>
        </w:tc>
      </w:tr>
      <w:tr w:rsidR="00975F26" w:rsidRPr="00ED0D6D" w14:paraId="40160252" w14:textId="77777777" w:rsidTr="002A479B">
        <w:trPr>
          <w:trHeight w:val="444"/>
        </w:trPr>
        <w:tc>
          <w:tcPr>
            <w:tcW w:w="647" w:type="dxa"/>
            <w:shd w:val="clear" w:color="auto" w:fill="auto"/>
            <w:vAlign w:val="center"/>
            <w:hideMark/>
          </w:tcPr>
          <w:p w14:paraId="5350B63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A6B79C7" w14:textId="77777777" w:rsidR="00975F26" w:rsidRPr="00ED0D6D" w:rsidRDefault="00975F26" w:rsidP="002A479B">
            <w:pPr>
              <w:jc w:val="both"/>
              <w:rPr>
                <w:color w:val="000000"/>
                <w:sz w:val="20"/>
              </w:rPr>
            </w:pPr>
            <w:r w:rsidRPr="00ED0D6D">
              <w:rPr>
                <w:sz w:val="20"/>
              </w:rPr>
              <w:t>Sąvartynuose šalinamų komunalinių atliekų dalis (proc.)</w:t>
            </w:r>
          </w:p>
        </w:tc>
        <w:tc>
          <w:tcPr>
            <w:tcW w:w="1080" w:type="dxa"/>
            <w:shd w:val="clear" w:color="000000" w:fill="FFFFFF"/>
            <w:vAlign w:val="center"/>
          </w:tcPr>
          <w:p w14:paraId="682BB5A9" w14:textId="77777777" w:rsidR="00975F26" w:rsidRPr="00ED0D6D" w:rsidRDefault="00975F26" w:rsidP="002A479B">
            <w:pPr>
              <w:jc w:val="center"/>
              <w:rPr>
                <w:color w:val="000000"/>
                <w:sz w:val="20"/>
              </w:rPr>
            </w:pPr>
            <w:r w:rsidRPr="00ED0D6D">
              <w:rPr>
                <w:color w:val="000000"/>
                <w:sz w:val="20"/>
              </w:rPr>
              <w:t>24,6      (2018)</w:t>
            </w:r>
          </w:p>
        </w:tc>
        <w:tc>
          <w:tcPr>
            <w:tcW w:w="1080" w:type="dxa"/>
            <w:shd w:val="clear" w:color="000000" w:fill="FFFFFF"/>
            <w:vAlign w:val="center"/>
          </w:tcPr>
          <w:p w14:paraId="6FE50396" w14:textId="77777777" w:rsidR="00975F26" w:rsidRPr="00F46DD0" w:rsidRDefault="00975F26" w:rsidP="002A479B">
            <w:pPr>
              <w:jc w:val="center"/>
              <w:rPr>
                <w:i/>
                <w:iCs/>
                <w:color w:val="000000"/>
                <w:sz w:val="20"/>
              </w:rPr>
            </w:pPr>
            <w:r w:rsidRPr="00F46DD0">
              <w:rPr>
                <w:i/>
                <w:iCs/>
                <w:color w:val="000000"/>
                <w:sz w:val="20"/>
              </w:rPr>
              <w:t>n. d.</w:t>
            </w:r>
          </w:p>
        </w:tc>
        <w:tc>
          <w:tcPr>
            <w:tcW w:w="954" w:type="dxa"/>
            <w:shd w:val="clear" w:color="auto" w:fill="auto"/>
            <w:vAlign w:val="center"/>
          </w:tcPr>
          <w:p w14:paraId="3FC7809C"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639DC8E5"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3730EC6F" w14:textId="77777777" w:rsidR="00975F26" w:rsidRPr="00ED0D6D" w:rsidRDefault="00975F26" w:rsidP="002A479B">
            <w:pPr>
              <w:jc w:val="center"/>
              <w:rPr>
                <w:color w:val="000000"/>
                <w:sz w:val="20"/>
              </w:rPr>
            </w:pPr>
            <w:r w:rsidRPr="00ED0D6D">
              <w:rPr>
                <w:color w:val="000000"/>
                <w:sz w:val="20"/>
              </w:rPr>
              <w:t>15</w:t>
            </w:r>
          </w:p>
        </w:tc>
        <w:tc>
          <w:tcPr>
            <w:tcW w:w="1250" w:type="dxa"/>
            <w:shd w:val="clear" w:color="auto" w:fill="auto"/>
            <w:vAlign w:val="center"/>
          </w:tcPr>
          <w:p w14:paraId="6AEB1FBC" w14:textId="77777777" w:rsidR="00975F26" w:rsidRPr="00ED0D6D" w:rsidRDefault="00975F26" w:rsidP="002A479B">
            <w:pPr>
              <w:jc w:val="center"/>
              <w:rPr>
                <w:color w:val="000000"/>
                <w:sz w:val="20"/>
              </w:rPr>
            </w:pPr>
            <w:r w:rsidRPr="00ED0D6D">
              <w:rPr>
                <w:color w:val="000000"/>
                <w:sz w:val="20"/>
              </w:rPr>
              <w:t>5</w:t>
            </w:r>
          </w:p>
        </w:tc>
        <w:tc>
          <w:tcPr>
            <w:tcW w:w="2169" w:type="dxa"/>
            <w:shd w:val="clear" w:color="auto" w:fill="auto"/>
            <w:vAlign w:val="center"/>
          </w:tcPr>
          <w:p w14:paraId="592D5F17" w14:textId="77777777" w:rsidR="00975F26" w:rsidRPr="00ED0D6D" w:rsidRDefault="00975F26" w:rsidP="002A479B">
            <w:pPr>
              <w:jc w:val="center"/>
              <w:rPr>
                <w:color w:val="000000"/>
                <w:sz w:val="20"/>
              </w:rPr>
            </w:pPr>
            <w:r w:rsidRPr="00ED0D6D">
              <w:rPr>
                <w:color w:val="000000"/>
                <w:sz w:val="20"/>
              </w:rPr>
              <w:t>Eurostatas</w:t>
            </w:r>
          </w:p>
        </w:tc>
        <w:tc>
          <w:tcPr>
            <w:tcW w:w="1236" w:type="dxa"/>
            <w:shd w:val="clear" w:color="auto" w:fill="auto"/>
            <w:vAlign w:val="center"/>
          </w:tcPr>
          <w:p w14:paraId="3CA5CF7F" w14:textId="77777777" w:rsidR="00975F26" w:rsidRPr="00ED0D6D" w:rsidRDefault="00975F26" w:rsidP="002A479B">
            <w:pPr>
              <w:jc w:val="center"/>
              <w:rPr>
                <w:color w:val="000000"/>
                <w:sz w:val="20"/>
              </w:rPr>
            </w:pPr>
            <w:r w:rsidRPr="00ED0D6D">
              <w:rPr>
                <w:b/>
                <w:bCs/>
                <w:color w:val="000000"/>
                <w:sz w:val="20"/>
              </w:rPr>
              <w:t>18LRVP</w:t>
            </w:r>
            <w:r w:rsidRPr="00ED0D6D">
              <w:rPr>
                <w:color w:val="000000"/>
                <w:sz w:val="20"/>
              </w:rPr>
              <w:t xml:space="preserve"> NPP2030</w:t>
            </w:r>
          </w:p>
        </w:tc>
      </w:tr>
      <w:tr w:rsidR="00975F26" w:rsidRPr="00ED0D6D" w14:paraId="1F3B8547" w14:textId="77777777" w:rsidTr="002A479B">
        <w:trPr>
          <w:trHeight w:val="323"/>
        </w:trPr>
        <w:tc>
          <w:tcPr>
            <w:tcW w:w="647" w:type="dxa"/>
            <w:shd w:val="clear" w:color="auto" w:fill="auto"/>
            <w:vAlign w:val="center"/>
            <w:hideMark/>
          </w:tcPr>
          <w:p w14:paraId="2763CCB2"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tcPr>
          <w:p w14:paraId="3AB09863" w14:textId="77777777" w:rsidR="00975F26" w:rsidRPr="00ED0D6D" w:rsidRDefault="00975F26" w:rsidP="002A479B">
            <w:pPr>
              <w:jc w:val="both"/>
              <w:rPr>
                <w:sz w:val="20"/>
              </w:rPr>
            </w:pPr>
            <w:r w:rsidRPr="00ED0D6D">
              <w:rPr>
                <w:color w:val="000000"/>
                <w:sz w:val="20"/>
              </w:rPr>
              <w:t xml:space="preserve">Perdirbtų, pakartotinai ar kitaip panaudotų (pvz., energijai gauti) komunalinių atliekų dalis </w:t>
            </w:r>
            <w:r w:rsidRPr="00ED0D6D">
              <w:rPr>
                <w:sz w:val="20"/>
              </w:rPr>
              <w:t>(proc.)</w:t>
            </w:r>
          </w:p>
        </w:tc>
        <w:tc>
          <w:tcPr>
            <w:tcW w:w="1080" w:type="dxa"/>
            <w:shd w:val="clear" w:color="000000" w:fill="FFFFFF"/>
            <w:vAlign w:val="center"/>
          </w:tcPr>
          <w:p w14:paraId="23D2F1FF" w14:textId="77777777" w:rsidR="00975F26" w:rsidRPr="00ED0D6D" w:rsidRDefault="00975F26" w:rsidP="002A479B">
            <w:pPr>
              <w:jc w:val="center"/>
              <w:rPr>
                <w:color w:val="000000"/>
                <w:sz w:val="20"/>
              </w:rPr>
            </w:pPr>
            <w:r w:rsidRPr="00ED0D6D">
              <w:rPr>
                <w:color w:val="000000"/>
                <w:sz w:val="20"/>
              </w:rPr>
              <w:t>63,03</w:t>
            </w:r>
          </w:p>
        </w:tc>
        <w:tc>
          <w:tcPr>
            <w:tcW w:w="1080" w:type="dxa"/>
            <w:shd w:val="clear" w:color="000000" w:fill="FFFFFF"/>
            <w:vAlign w:val="center"/>
          </w:tcPr>
          <w:p w14:paraId="6E9A89EB" w14:textId="77777777" w:rsidR="00975F26" w:rsidRPr="00F46DD0" w:rsidRDefault="00975F26" w:rsidP="002A479B">
            <w:pPr>
              <w:jc w:val="center"/>
              <w:rPr>
                <w:i/>
                <w:iCs/>
                <w:color w:val="000000"/>
                <w:sz w:val="20"/>
              </w:rPr>
            </w:pPr>
            <w:r w:rsidRPr="00F46DD0">
              <w:rPr>
                <w:i/>
                <w:iCs/>
                <w:color w:val="000000"/>
                <w:sz w:val="20"/>
              </w:rPr>
              <w:t>n. d.</w:t>
            </w:r>
          </w:p>
        </w:tc>
        <w:tc>
          <w:tcPr>
            <w:tcW w:w="954" w:type="dxa"/>
            <w:shd w:val="clear" w:color="auto" w:fill="auto"/>
            <w:vAlign w:val="center"/>
          </w:tcPr>
          <w:p w14:paraId="39A9E4BF" w14:textId="77777777" w:rsidR="00975F26" w:rsidRPr="00ED0D6D" w:rsidRDefault="00975F26" w:rsidP="002A479B">
            <w:pPr>
              <w:jc w:val="center"/>
              <w:rPr>
                <w:color w:val="000000"/>
                <w:sz w:val="20"/>
              </w:rPr>
            </w:pPr>
            <w:r w:rsidRPr="00ED0D6D">
              <w:rPr>
                <w:color w:val="000000"/>
                <w:sz w:val="20"/>
              </w:rPr>
              <w:t>47,7 (2019)</w:t>
            </w:r>
          </w:p>
        </w:tc>
        <w:tc>
          <w:tcPr>
            <w:tcW w:w="983" w:type="dxa"/>
            <w:shd w:val="clear" w:color="auto" w:fill="auto"/>
            <w:vAlign w:val="center"/>
          </w:tcPr>
          <w:p w14:paraId="45B94E46" w14:textId="77777777" w:rsidR="00975F26" w:rsidRPr="00ED0D6D" w:rsidRDefault="00975F26" w:rsidP="002A479B">
            <w:pPr>
              <w:jc w:val="center"/>
              <w:rPr>
                <w:color w:val="000000"/>
                <w:sz w:val="20"/>
              </w:rPr>
            </w:pPr>
            <w:r w:rsidRPr="00ED0D6D">
              <w:rPr>
                <w:color w:val="000000"/>
                <w:sz w:val="20"/>
              </w:rPr>
              <w:t>65</w:t>
            </w:r>
          </w:p>
        </w:tc>
        <w:tc>
          <w:tcPr>
            <w:tcW w:w="1250" w:type="dxa"/>
            <w:shd w:val="clear" w:color="auto" w:fill="auto"/>
            <w:vAlign w:val="center"/>
          </w:tcPr>
          <w:p w14:paraId="70FCB9EE" w14:textId="77777777" w:rsidR="00975F26" w:rsidRPr="00ED0D6D" w:rsidRDefault="00975F26" w:rsidP="002A479B">
            <w:pPr>
              <w:jc w:val="center"/>
              <w:rPr>
                <w:color w:val="000000"/>
                <w:sz w:val="20"/>
              </w:rPr>
            </w:pPr>
            <w:r w:rsidRPr="00ED0D6D">
              <w:rPr>
                <w:color w:val="000000"/>
                <w:sz w:val="20"/>
              </w:rPr>
              <w:t>55</w:t>
            </w:r>
          </w:p>
        </w:tc>
        <w:tc>
          <w:tcPr>
            <w:tcW w:w="1250" w:type="dxa"/>
            <w:shd w:val="clear" w:color="auto" w:fill="auto"/>
            <w:vAlign w:val="center"/>
          </w:tcPr>
          <w:p w14:paraId="2A75CBE2" w14:textId="77777777" w:rsidR="00975F26" w:rsidRPr="00ED0D6D" w:rsidRDefault="00975F26" w:rsidP="002A479B">
            <w:pPr>
              <w:jc w:val="center"/>
              <w:rPr>
                <w:color w:val="000000"/>
                <w:sz w:val="20"/>
              </w:rPr>
            </w:pPr>
            <w:r w:rsidRPr="00ED0D6D">
              <w:rPr>
                <w:color w:val="000000"/>
                <w:sz w:val="20"/>
              </w:rPr>
              <w:t>60</w:t>
            </w:r>
          </w:p>
        </w:tc>
        <w:tc>
          <w:tcPr>
            <w:tcW w:w="2169" w:type="dxa"/>
            <w:shd w:val="clear" w:color="auto" w:fill="auto"/>
            <w:vAlign w:val="center"/>
          </w:tcPr>
          <w:p w14:paraId="041B70A7" w14:textId="77777777" w:rsidR="00975F26" w:rsidRPr="00ED0D6D" w:rsidRDefault="00975F26" w:rsidP="002A479B">
            <w:pPr>
              <w:jc w:val="center"/>
              <w:rPr>
                <w:color w:val="000000"/>
                <w:sz w:val="20"/>
              </w:rPr>
            </w:pPr>
            <w:r w:rsidRPr="00ED0D6D">
              <w:rPr>
                <w:color w:val="000000"/>
                <w:sz w:val="20"/>
              </w:rPr>
              <w:t>Eurostatas</w:t>
            </w:r>
          </w:p>
        </w:tc>
        <w:tc>
          <w:tcPr>
            <w:tcW w:w="1236" w:type="dxa"/>
            <w:shd w:val="clear" w:color="auto" w:fill="auto"/>
            <w:vAlign w:val="center"/>
          </w:tcPr>
          <w:p w14:paraId="2BBD5816" w14:textId="77777777" w:rsidR="00975F26" w:rsidRPr="00ED0D6D" w:rsidRDefault="00975F26" w:rsidP="002A479B">
            <w:pPr>
              <w:jc w:val="center"/>
              <w:rPr>
                <w:color w:val="000000"/>
                <w:sz w:val="20"/>
              </w:rPr>
            </w:pPr>
            <w:r w:rsidRPr="00ED0D6D">
              <w:rPr>
                <w:b/>
                <w:bCs/>
                <w:color w:val="000000"/>
                <w:sz w:val="20"/>
              </w:rPr>
              <w:t>18LRVP</w:t>
            </w:r>
            <w:r w:rsidRPr="00ED0D6D">
              <w:rPr>
                <w:color w:val="000000"/>
                <w:sz w:val="20"/>
              </w:rPr>
              <w:t xml:space="preserve"> NPP2030</w:t>
            </w:r>
          </w:p>
          <w:p w14:paraId="19E91E49"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87AFF37" w14:textId="77777777" w:rsidTr="002A479B">
        <w:trPr>
          <w:trHeight w:val="359"/>
        </w:trPr>
        <w:tc>
          <w:tcPr>
            <w:tcW w:w="647" w:type="dxa"/>
            <w:shd w:val="clear" w:color="auto" w:fill="auto"/>
            <w:vAlign w:val="center"/>
            <w:hideMark/>
          </w:tcPr>
          <w:p w14:paraId="4974B575"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1D6219FB" w14:textId="77777777" w:rsidR="00975F26" w:rsidRPr="00ED0D6D" w:rsidRDefault="00975F26" w:rsidP="002A479B">
            <w:pPr>
              <w:jc w:val="both"/>
              <w:rPr>
                <w:color w:val="000000"/>
                <w:sz w:val="20"/>
              </w:rPr>
            </w:pPr>
            <w:r w:rsidRPr="00ED0D6D">
              <w:rPr>
                <w:color w:val="000000"/>
                <w:sz w:val="20"/>
              </w:rPr>
              <w:t xml:space="preserve">Pakuočių atliekų panaudojimas, įskaitant perdirbimą </w:t>
            </w:r>
            <w:r w:rsidRPr="00ED0D6D">
              <w:rPr>
                <w:sz w:val="20"/>
              </w:rPr>
              <w:t>(proc.)</w:t>
            </w:r>
          </w:p>
        </w:tc>
        <w:tc>
          <w:tcPr>
            <w:tcW w:w="1080" w:type="dxa"/>
            <w:shd w:val="clear" w:color="000000" w:fill="FFFFFF"/>
            <w:vAlign w:val="center"/>
          </w:tcPr>
          <w:p w14:paraId="578B68CE" w14:textId="77777777" w:rsidR="00975F26" w:rsidRPr="00ED0D6D" w:rsidRDefault="00975F26" w:rsidP="002A479B">
            <w:pPr>
              <w:jc w:val="center"/>
              <w:rPr>
                <w:color w:val="000000"/>
                <w:sz w:val="20"/>
              </w:rPr>
            </w:pPr>
            <w:r w:rsidRPr="00ED0D6D">
              <w:rPr>
                <w:color w:val="000000"/>
                <w:sz w:val="20"/>
              </w:rPr>
              <w:t>73,8</w:t>
            </w:r>
          </w:p>
        </w:tc>
        <w:tc>
          <w:tcPr>
            <w:tcW w:w="1080" w:type="dxa"/>
            <w:shd w:val="clear" w:color="000000" w:fill="FFFFFF"/>
            <w:vAlign w:val="center"/>
          </w:tcPr>
          <w:p w14:paraId="1A4090A3" w14:textId="77777777" w:rsidR="00975F26" w:rsidRPr="00F46DD0" w:rsidRDefault="00975F26" w:rsidP="002A479B">
            <w:pPr>
              <w:jc w:val="center"/>
              <w:rPr>
                <w:i/>
                <w:iCs/>
                <w:color w:val="000000"/>
                <w:sz w:val="20"/>
              </w:rPr>
            </w:pPr>
            <w:r w:rsidRPr="00F46DD0">
              <w:rPr>
                <w:i/>
                <w:iCs/>
                <w:color w:val="000000"/>
                <w:sz w:val="20"/>
              </w:rPr>
              <w:t>n. d.</w:t>
            </w:r>
          </w:p>
        </w:tc>
        <w:tc>
          <w:tcPr>
            <w:tcW w:w="954" w:type="dxa"/>
            <w:shd w:val="clear" w:color="auto" w:fill="auto"/>
            <w:vAlign w:val="center"/>
          </w:tcPr>
          <w:p w14:paraId="39F982F9" w14:textId="77777777" w:rsidR="00975F26" w:rsidRPr="00ED0D6D" w:rsidRDefault="00975F26" w:rsidP="002A479B">
            <w:pPr>
              <w:jc w:val="center"/>
              <w:rPr>
                <w:color w:val="000000"/>
                <w:sz w:val="20"/>
              </w:rPr>
            </w:pPr>
            <w:r w:rsidRPr="00ED0D6D">
              <w:rPr>
                <w:color w:val="000000"/>
                <w:sz w:val="20"/>
              </w:rPr>
              <w:t>65,7 (2018)</w:t>
            </w:r>
          </w:p>
        </w:tc>
        <w:tc>
          <w:tcPr>
            <w:tcW w:w="983" w:type="dxa"/>
            <w:shd w:val="clear" w:color="auto" w:fill="auto"/>
            <w:vAlign w:val="center"/>
          </w:tcPr>
          <w:p w14:paraId="3422686B" w14:textId="77777777" w:rsidR="00975F26" w:rsidRPr="00ED0D6D" w:rsidRDefault="00975F26" w:rsidP="002A479B">
            <w:pPr>
              <w:jc w:val="center"/>
              <w:rPr>
                <w:color w:val="000000"/>
                <w:sz w:val="20"/>
              </w:rPr>
            </w:pPr>
            <w:r w:rsidRPr="00ED0D6D">
              <w:rPr>
                <w:color w:val="000000"/>
                <w:sz w:val="20"/>
              </w:rPr>
              <w:t>65</w:t>
            </w:r>
          </w:p>
        </w:tc>
        <w:tc>
          <w:tcPr>
            <w:tcW w:w="1250" w:type="dxa"/>
            <w:shd w:val="clear" w:color="auto" w:fill="auto"/>
            <w:vAlign w:val="center"/>
          </w:tcPr>
          <w:p w14:paraId="270CA22C"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2AB62889" w14:textId="77777777" w:rsidR="00975F26" w:rsidRPr="00ED0D6D" w:rsidRDefault="00975F26" w:rsidP="002A479B">
            <w:pPr>
              <w:jc w:val="center"/>
              <w:rPr>
                <w:color w:val="000000"/>
                <w:sz w:val="20"/>
              </w:rPr>
            </w:pPr>
            <w:r w:rsidRPr="00ED0D6D">
              <w:rPr>
                <w:color w:val="000000"/>
                <w:sz w:val="20"/>
              </w:rPr>
              <w:t xml:space="preserve">ne mažiau kaip 70 </w:t>
            </w:r>
          </w:p>
        </w:tc>
        <w:tc>
          <w:tcPr>
            <w:tcW w:w="2169" w:type="dxa"/>
            <w:shd w:val="clear" w:color="auto" w:fill="auto"/>
            <w:vAlign w:val="center"/>
          </w:tcPr>
          <w:p w14:paraId="293DCC3D" w14:textId="77777777" w:rsidR="00975F26" w:rsidRPr="00ED0D6D" w:rsidRDefault="00975F26" w:rsidP="002A479B">
            <w:pPr>
              <w:jc w:val="center"/>
              <w:rPr>
                <w:color w:val="000000"/>
                <w:sz w:val="20"/>
              </w:rPr>
            </w:pPr>
            <w:r w:rsidRPr="00ED0D6D">
              <w:rPr>
                <w:color w:val="000000"/>
                <w:sz w:val="20"/>
              </w:rPr>
              <w:t>Aplinkos apsaugos agentūra</w:t>
            </w:r>
          </w:p>
        </w:tc>
        <w:tc>
          <w:tcPr>
            <w:tcW w:w="1236" w:type="dxa"/>
            <w:shd w:val="clear" w:color="auto" w:fill="auto"/>
            <w:vAlign w:val="center"/>
          </w:tcPr>
          <w:p w14:paraId="42D10A0A" w14:textId="77777777" w:rsidR="00975F26" w:rsidRPr="00ED0D6D" w:rsidRDefault="00975F26" w:rsidP="002A479B">
            <w:pPr>
              <w:jc w:val="center"/>
              <w:rPr>
                <w:color w:val="000000"/>
                <w:sz w:val="20"/>
              </w:rPr>
            </w:pPr>
            <w:r w:rsidRPr="00ED0D6D">
              <w:rPr>
                <w:b/>
                <w:bCs/>
                <w:color w:val="000000"/>
                <w:sz w:val="20"/>
              </w:rPr>
              <w:t>18LRVP</w:t>
            </w:r>
            <w:r w:rsidRPr="00ED0D6D">
              <w:rPr>
                <w:color w:val="000000"/>
                <w:sz w:val="20"/>
              </w:rPr>
              <w:t xml:space="preserve"> 17LRVP </w:t>
            </w:r>
          </w:p>
        </w:tc>
      </w:tr>
      <w:tr w:rsidR="00975F26" w:rsidRPr="00ED0D6D" w14:paraId="3D9BF8B4" w14:textId="77777777" w:rsidTr="002A479B">
        <w:trPr>
          <w:trHeight w:val="408"/>
        </w:trPr>
        <w:tc>
          <w:tcPr>
            <w:tcW w:w="647" w:type="dxa"/>
            <w:shd w:val="clear" w:color="000000" w:fill="FFFFFF"/>
            <w:vAlign w:val="center"/>
            <w:hideMark/>
          </w:tcPr>
          <w:p w14:paraId="519DDC2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3014026A" w14:textId="77777777" w:rsidR="00975F26" w:rsidRPr="00ED0D6D" w:rsidRDefault="00975F26" w:rsidP="002A479B">
            <w:pPr>
              <w:jc w:val="both"/>
              <w:rPr>
                <w:color w:val="000000"/>
                <w:sz w:val="20"/>
              </w:rPr>
            </w:pPr>
            <w:r w:rsidRPr="00ED0D6D">
              <w:rPr>
                <w:color w:val="000000"/>
                <w:sz w:val="20"/>
              </w:rPr>
              <w:t>Aplinkos veiksmingumo indeksas (angl</w:t>
            </w:r>
            <w:r w:rsidRPr="00F46DD0">
              <w:rPr>
                <w:i/>
                <w:iCs/>
                <w:color w:val="000000"/>
                <w:sz w:val="20"/>
              </w:rPr>
              <w:t xml:space="preserve">. </w:t>
            </w:r>
            <w:proofErr w:type="spellStart"/>
            <w:r w:rsidRPr="00F46DD0">
              <w:rPr>
                <w:i/>
                <w:iCs/>
                <w:color w:val="000000"/>
                <w:sz w:val="20"/>
              </w:rPr>
              <w:t>Environmental</w:t>
            </w:r>
            <w:proofErr w:type="spellEnd"/>
            <w:r w:rsidRPr="00F46DD0">
              <w:rPr>
                <w:i/>
                <w:iCs/>
                <w:color w:val="000000"/>
                <w:sz w:val="20"/>
              </w:rPr>
              <w:t xml:space="preserve"> </w:t>
            </w:r>
            <w:proofErr w:type="spellStart"/>
            <w:r w:rsidRPr="00F46DD0">
              <w:rPr>
                <w:i/>
                <w:iCs/>
                <w:color w:val="000000"/>
                <w:sz w:val="20"/>
              </w:rPr>
              <w:t>Performance</w:t>
            </w:r>
            <w:proofErr w:type="spellEnd"/>
            <w:r w:rsidRPr="00F46DD0">
              <w:rPr>
                <w:i/>
                <w:iCs/>
                <w:color w:val="000000"/>
                <w:sz w:val="20"/>
              </w:rPr>
              <w:t xml:space="preserve"> </w:t>
            </w:r>
            <w:proofErr w:type="spellStart"/>
            <w:r w:rsidRPr="00F46DD0">
              <w:rPr>
                <w:i/>
                <w:iCs/>
                <w:color w:val="000000"/>
                <w:sz w:val="20"/>
              </w:rPr>
              <w:t>Index</w:t>
            </w:r>
            <w:proofErr w:type="spellEnd"/>
            <w:r w:rsidRPr="00ED0D6D">
              <w:rPr>
                <w:color w:val="000000"/>
                <w:sz w:val="20"/>
              </w:rPr>
              <w:t xml:space="preserve">) (balai) </w:t>
            </w:r>
          </w:p>
        </w:tc>
        <w:tc>
          <w:tcPr>
            <w:tcW w:w="1080" w:type="dxa"/>
            <w:shd w:val="clear" w:color="000000" w:fill="FFFFFF"/>
            <w:vAlign w:val="center"/>
          </w:tcPr>
          <w:p w14:paraId="0AAD571B" w14:textId="77777777" w:rsidR="00975F26" w:rsidRPr="00ED0D6D" w:rsidRDefault="00975F26" w:rsidP="002A479B">
            <w:pPr>
              <w:jc w:val="center"/>
              <w:rPr>
                <w:color w:val="000000"/>
                <w:sz w:val="20"/>
              </w:rPr>
            </w:pPr>
            <w:r w:rsidRPr="00ED0D6D">
              <w:rPr>
                <w:color w:val="000000"/>
                <w:sz w:val="20"/>
              </w:rPr>
              <w:t>69,33     (2018)</w:t>
            </w:r>
          </w:p>
        </w:tc>
        <w:tc>
          <w:tcPr>
            <w:tcW w:w="1080" w:type="dxa"/>
            <w:shd w:val="clear" w:color="000000" w:fill="FFFFFF"/>
            <w:vAlign w:val="center"/>
          </w:tcPr>
          <w:p w14:paraId="36F35BEF" w14:textId="77777777" w:rsidR="00975F26" w:rsidRPr="00ED0D6D" w:rsidRDefault="00975F26" w:rsidP="002A479B">
            <w:pPr>
              <w:jc w:val="center"/>
              <w:rPr>
                <w:color w:val="000000"/>
                <w:sz w:val="20"/>
              </w:rPr>
            </w:pPr>
            <w:r w:rsidRPr="00ED0D6D">
              <w:rPr>
                <w:color w:val="000000"/>
                <w:sz w:val="20"/>
              </w:rPr>
              <w:t>62,9</w:t>
            </w:r>
          </w:p>
        </w:tc>
        <w:tc>
          <w:tcPr>
            <w:tcW w:w="954" w:type="dxa"/>
            <w:shd w:val="clear" w:color="auto" w:fill="auto"/>
            <w:vAlign w:val="center"/>
          </w:tcPr>
          <w:p w14:paraId="311AB159" w14:textId="77777777" w:rsidR="00975F26" w:rsidRPr="00ED0D6D" w:rsidRDefault="00975F26" w:rsidP="002A479B">
            <w:pPr>
              <w:jc w:val="center"/>
              <w:rPr>
                <w:color w:val="000000"/>
                <w:sz w:val="20"/>
              </w:rPr>
            </w:pPr>
            <w:r w:rsidRPr="00ED0D6D">
              <w:rPr>
                <w:color w:val="000000"/>
                <w:sz w:val="20"/>
              </w:rPr>
              <w:t>71</w:t>
            </w:r>
          </w:p>
        </w:tc>
        <w:tc>
          <w:tcPr>
            <w:tcW w:w="983" w:type="dxa"/>
            <w:shd w:val="clear" w:color="000000" w:fill="FFFFFF"/>
            <w:vAlign w:val="center"/>
          </w:tcPr>
          <w:p w14:paraId="68126EC8" w14:textId="77777777" w:rsidR="00975F26" w:rsidRPr="00ED0D6D" w:rsidRDefault="00975F26" w:rsidP="002A479B">
            <w:pPr>
              <w:jc w:val="center"/>
              <w:rPr>
                <w:color w:val="000000"/>
                <w:sz w:val="20"/>
              </w:rPr>
            </w:pPr>
            <w:r w:rsidRPr="00ED0D6D">
              <w:rPr>
                <w:color w:val="000000"/>
                <w:sz w:val="20"/>
              </w:rPr>
              <w:t>87,5</w:t>
            </w:r>
          </w:p>
        </w:tc>
        <w:tc>
          <w:tcPr>
            <w:tcW w:w="1250" w:type="dxa"/>
            <w:shd w:val="clear" w:color="000000" w:fill="FFFFFF"/>
            <w:vAlign w:val="center"/>
          </w:tcPr>
          <w:p w14:paraId="2630EB7D" w14:textId="77777777" w:rsidR="00975F26" w:rsidRPr="00ED0D6D" w:rsidRDefault="00975F26" w:rsidP="002A479B">
            <w:pPr>
              <w:jc w:val="center"/>
              <w:rPr>
                <w:color w:val="000000"/>
                <w:sz w:val="20"/>
              </w:rPr>
            </w:pPr>
            <w:r>
              <w:rPr>
                <w:color w:val="000000"/>
                <w:sz w:val="20"/>
              </w:rPr>
              <w:t>–</w:t>
            </w:r>
          </w:p>
        </w:tc>
        <w:tc>
          <w:tcPr>
            <w:tcW w:w="1250" w:type="dxa"/>
            <w:shd w:val="clear" w:color="000000" w:fill="FFFFFF"/>
            <w:vAlign w:val="center"/>
          </w:tcPr>
          <w:p w14:paraId="3DC6E56A" w14:textId="77777777" w:rsidR="00975F26" w:rsidRPr="00ED0D6D" w:rsidRDefault="00975F26" w:rsidP="002A479B">
            <w:pPr>
              <w:jc w:val="center"/>
              <w:rPr>
                <w:color w:val="000000"/>
                <w:sz w:val="20"/>
              </w:rPr>
            </w:pPr>
            <w:r>
              <w:rPr>
                <w:color w:val="000000"/>
                <w:sz w:val="20"/>
              </w:rPr>
              <w:t>–</w:t>
            </w:r>
          </w:p>
        </w:tc>
        <w:tc>
          <w:tcPr>
            <w:tcW w:w="2169" w:type="dxa"/>
            <w:shd w:val="clear" w:color="000000" w:fill="FFFFFF"/>
            <w:vAlign w:val="center"/>
          </w:tcPr>
          <w:p w14:paraId="125BE688" w14:textId="77777777" w:rsidR="00975F26" w:rsidRPr="00ED0D6D" w:rsidRDefault="00975F26" w:rsidP="002A479B">
            <w:pPr>
              <w:jc w:val="center"/>
              <w:rPr>
                <w:color w:val="000000"/>
                <w:sz w:val="20"/>
              </w:rPr>
            </w:pPr>
            <w:r w:rsidRPr="00ED0D6D">
              <w:rPr>
                <w:color w:val="000000"/>
                <w:sz w:val="20"/>
              </w:rPr>
              <w:t>Pasaulio ekonomikos forumas</w:t>
            </w:r>
          </w:p>
        </w:tc>
        <w:tc>
          <w:tcPr>
            <w:tcW w:w="1236" w:type="dxa"/>
            <w:shd w:val="clear" w:color="auto" w:fill="auto"/>
            <w:vAlign w:val="center"/>
          </w:tcPr>
          <w:p w14:paraId="6AA7ACC5"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D7BCB3B" w14:textId="77777777" w:rsidTr="002A479B">
        <w:trPr>
          <w:trHeight w:val="372"/>
        </w:trPr>
        <w:tc>
          <w:tcPr>
            <w:tcW w:w="647" w:type="dxa"/>
            <w:shd w:val="clear" w:color="000000" w:fill="FFFFFF"/>
            <w:vAlign w:val="center"/>
            <w:hideMark/>
          </w:tcPr>
          <w:p w14:paraId="23A0E3E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tcPr>
          <w:p w14:paraId="6E5354C7" w14:textId="77777777" w:rsidR="00975F26" w:rsidRPr="00ED0D6D" w:rsidRDefault="00975F26" w:rsidP="002A479B">
            <w:pPr>
              <w:rPr>
                <w:color w:val="000000"/>
                <w:sz w:val="20"/>
              </w:rPr>
            </w:pPr>
            <w:r w:rsidRPr="00ED0D6D">
              <w:rPr>
                <w:color w:val="000000"/>
                <w:sz w:val="20"/>
              </w:rPr>
              <w:t xml:space="preserve">Geros būklės vandens telkinių dalis </w:t>
            </w:r>
            <w:r w:rsidRPr="00ED0D6D">
              <w:rPr>
                <w:sz w:val="20"/>
              </w:rPr>
              <w:t>(proc.)</w:t>
            </w:r>
            <w:r w:rsidRPr="00ED0D6D">
              <w:rPr>
                <w:color w:val="000000"/>
                <w:sz w:val="20"/>
              </w:rPr>
              <w:t xml:space="preserve">   </w:t>
            </w:r>
          </w:p>
        </w:tc>
        <w:tc>
          <w:tcPr>
            <w:tcW w:w="1080" w:type="dxa"/>
            <w:shd w:val="clear" w:color="000000" w:fill="FFFFFF"/>
            <w:vAlign w:val="center"/>
          </w:tcPr>
          <w:p w14:paraId="0DE843EB" w14:textId="77777777" w:rsidR="00975F26" w:rsidRPr="00ED0D6D" w:rsidRDefault="00975F26" w:rsidP="002A479B">
            <w:pPr>
              <w:jc w:val="center"/>
              <w:rPr>
                <w:color w:val="000000"/>
                <w:sz w:val="20"/>
              </w:rPr>
            </w:pPr>
            <w:r w:rsidRPr="00ED0D6D">
              <w:rPr>
                <w:color w:val="000000"/>
                <w:sz w:val="20"/>
              </w:rPr>
              <w:t>53         (2015)</w:t>
            </w:r>
          </w:p>
        </w:tc>
        <w:tc>
          <w:tcPr>
            <w:tcW w:w="1080" w:type="dxa"/>
            <w:shd w:val="clear" w:color="000000" w:fill="FFFFFF"/>
            <w:vAlign w:val="center"/>
          </w:tcPr>
          <w:p w14:paraId="228237F5" w14:textId="77777777" w:rsidR="00975F26" w:rsidRPr="00F46DD0" w:rsidRDefault="00975F26" w:rsidP="002A479B">
            <w:pPr>
              <w:jc w:val="center"/>
              <w:rPr>
                <w:i/>
                <w:iCs/>
                <w:color w:val="000000"/>
                <w:sz w:val="20"/>
              </w:rPr>
            </w:pPr>
            <w:r w:rsidRPr="00F46DD0">
              <w:rPr>
                <w:i/>
                <w:iCs/>
                <w:color w:val="000000"/>
                <w:sz w:val="20"/>
              </w:rPr>
              <w:t>n. d.</w:t>
            </w:r>
          </w:p>
        </w:tc>
        <w:tc>
          <w:tcPr>
            <w:tcW w:w="954" w:type="dxa"/>
            <w:shd w:val="clear" w:color="auto" w:fill="auto"/>
            <w:vAlign w:val="center"/>
          </w:tcPr>
          <w:p w14:paraId="78A98492"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1A4FDBB0" w14:textId="77777777" w:rsidR="00975F26" w:rsidRPr="00ED0D6D" w:rsidRDefault="00975F26" w:rsidP="002A479B">
            <w:pPr>
              <w:jc w:val="center"/>
              <w:rPr>
                <w:color w:val="000000"/>
                <w:sz w:val="20"/>
              </w:rPr>
            </w:pPr>
            <w:r w:rsidRPr="00ED0D6D">
              <w:rPr>
                <w:color w:val="000000"/>
                <w:sz w:val="20"/>
              </w:rPr>
              <w:t>82</w:t>
            </w:r>
          </w:p>
        </w:tc>
        <w:tc>
          <w:tcPr>
            <w:tcW w:w="1250" w:type="dxa"/>
            <w:shd w:val="clear" w:color="000000" w:fill="FFFFFF"/>
            <w:vAlign w:val="center"/>
          </w:tcPr>
          <w:p w14:paraId="04ABB227" w14:textId="77777777" w:rsidR="00975F26" w:rsidRPr="00ED0D6D" w:rsidRDefault="00975F26" w:rsidP="002A479B">
            <w:pPr>
              <w:jc w:val="center"/>
              <w:rPr>
                <w:color w:val="000000"/>
                <w:sz w:val="20"/>
              </w:rPr>
            </w:pPr>
            <w:r w:rsidRPr="00ED0D6D">
              <w:rPr>
                <w:color w:val="000000"/>
                <w:sz w:val="20"/>
              </w:rPr>
              <w:t>85</w:t>
            </w:r>
          </w:p>
        </w:tc>
        <w:tc>
          <w:tcPr>
            <w:tcW w:w="1250" w:type="dxa"/>
            <w:shd w:val="clear" w:color="000000" w:fill="FFFFFF"/>
            <w:vAlign w:val="center"/>
          </w:tcPr>
          <w:p w14:paraId="49DE3305" w14:textId="77777777" w:rsidR="00975F26" w:rsidRPr="00ED0D6D" w:rsidRDefault="00975F26" w:rsidP="002A479B">
            <w:pPr>
              <w:jc w:val="center"/>
              <w:rPr>
                <w:color w:val="000000"/>
                <w:sz w:val="20"/>
              </w:rPr>
            </w:pPr>
            <w:r w:rsidRPr="00ED0D6D">
              <w:rPr>
                <w:color w:val="000000"/>
                <w:sz w:val="20"/>
              </w:rPr>
              <w:t>100</w:t>
            </w:r>
          </w:p>
        </w:tc>
        <w:tc>
          <w:tcPr>
            <w:tcW w:w="2169" w:type="dxa"/>
            <w:shd w:val="clear" w:color="000000" w:fill="FFFFFF"/>
            <w:vAlign w:val="center"/>
          </w:tcPr>
          <w:p w14:paraId="6C583123" w14:textId="77777777" w:rsidR="00975F26" w:rsidRPr="00ED0D6D" w:rsidRDefault="00975F26" w:rsidP="002A479B">
            <w:pPr>
              <w:jc w:val="center"/>
              <w:rPr>
                <w:color w:val="000000"/>
                <w:sz w:val="20"/>
              </w:rPr>
            </w:pPr>
            <w:r w:rsidRPr="00ED0D6D">
              <w:rPr>
                <w:color w:val="000000"/>
                <w:sz w:val="20"/>
              </w:rPr>
              <w:t>Aplinkos apsaugos agentūra</w:t>
            </w:r>
          </w:p>
        </w:tc>
        <w:tc>
          <w:tcPr>
            <w:tcW w:w="1236" w:type="dxa"/>
            <w:shd w:val="clear" w:color="auto" w:fill="auto"/>
            <w:vAlign w:val="center"/>
          </w:tcPr>
          <w:p w14:paraId="0E620241" w14:textId="77777777" w:rsidR="00975F26" w:rsidRPr="00ED0D6D" w:rsidRDefault="00975F26" w:rsidP="002A479B">
            <w:pPr>
              <w:jc w:val="center"/>
              <w:rPr>
                <w:color w:val="000000"/>
                <w:sz w:val="20"/>
              </w:rPr>
            </w:pPr>
            <w:r w:rsidRPr="00ED0D6D">
              <w:rPr>
                <w:color w:val="000000"/>
                <w:sz w:val="20"/>
              </w:rPr>
              <w:t>NPP2030</w:t>
            </w:r>
          </w:p>
          <w:p w14:paraId="60FD38E0"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05D38CC" w14:textId="77777777" w:rsidTr="002A479B">
        <w:trPr>
          <w:trHeight w:val="612"/>
        </w:trPr>
        <w:tc>
          <w:tcPr>
            <w:tcW w:w="647" w:type="dxa"/>
            <w:shd w:val="clear" w:color="000000" w:fill="FFFFFF"/>
            <w:vAlign w:val="center"/>
            <w:hideMark/>
          </w:tcPr>
          <w:p w14:paraId="413078D1"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tcPr>
          <w:p w14:paraId="7B97B06E" w14:textId="77777777" w:rsidR="00975F26" w:rsidRPr="00ED0D6D" w:rsidRDefault="00975F26" w:rsidP="002A479B">
            <w:pPr>
              <w:jc w:val="both"/>
              <w:rPr>
                <w:color w:val="000000"/>
                <w:sz w:val="20"/>
              </w:rPr>
            </w:pPr>
            <w:r w:rsidRPr="00ED0D6D">
              <w:rPr>
                <w:color w:val="000000"/>
                <w:sz w:val="20"/>
              </w:rPr>
              <w:t xml:space="preserve">Viešųjų vandens tiekėjų paslaugų kainų skirtumas </w:t>
            </w:r>
            <w:r w:rsidRPr="00ED0D6D">
              <w:rPr>
                <w:sz w:val="20"/>
              </w:rPr>
              <w:t>(proc.)</w:t>
            </w:r>
          </w:p>
        </w:tc>
        <w:tc>
          <w:tcPr>
            <w:tcW w:w="1080" w:type="dxa"/>
            <w:shd w:val="clear" w:color="000000" w:fill="FFFFFF"/>
            <w:vAlign w:val="center"/>
          </w:tcPr>
          <w:p w14:paraId="0558693F" w14:textId="77777777" w:rsidR="00975F26" w:rsidRPr="00ED0D6D" w:rsidRDefault="00975F26" w:rsidP="002A479B">
            <w:pPr>
              <w:jc w:val="center"/>
              <w:rPr>
                <w:color w:val="000000"/>
                <w:sz w:val="20"/>
              </w:rPr>
            </w:pPr>
            <w:r w:rsidRPr="00ED0D6D">
              <w:rPr>
                <w:color w:val="000000"/>
                <w:sz w:val="20"/>
              </w:rPr>
              <w:t>232</w:t>
            </w:r>
          </w:p>
        </w:tc>
        <w:tc>
          <w:tcPr>
            <w:tcW w:w="1080" w:type="dxa"/>
            <w:shd w:val="clear" w:color="000000" w:fill="FFFFFF"/>
            <w:vAlign w:val="center"/>
          </w:tcPr>
          <w:p w14:paraId="2BCA3DFA" w14:textId="77777777" w:rsidR="00975F26" w:rsidRPr="00ED0D6D" w:rsidRDefault="00975F26" w:rsidP="002A479B">
            <w:pPr>
              <w:jc w:val="center"/>
              <w:rPr>
                <w:color w:val="000000"/>
                <w:sz w:val="20"/>
              </w:rPr>
            </w:pPr>
            <w:r w:rsidRPr="00ED0D6D">
              <w:rPr>
                <w:color w:val="000000"/>
                <w:sz w:val="20"/>
              </w:rPr>
              <w:t>205</w:t>
            </w:r>
          </w:p>
        </w:tc>
        <w:tc>
          <w:tcPr>
            <w:tcW w:w="954" w:type="dxa"/>
            <w:shd w:val="clear" w:color="auto" w:fill="auto"/>
            <w:vAlign w:val="center"/>
          </w:tcPr>
          <w:p w14:paraId="08B85A1E"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2365F084" w14:textId="77777777" w:rsidR="00975F26" w:rsidRPr="00ED0D6D" w:rsidRDefault="00975F26" w:rsidP="002A479B">
            <w:pPr>
              <w:jc w:val="center"/>
              <w:rPr>
                <w:color w:val="000000"/>
                <w:sz w:val="20"/>
              </w:rPr>
            </w:pPr>
            <w:r w:rsidRPr="00ED0D6D">
              <w:rPr>
                <w:color w:val="000000"/>
                <w:sz w:val="20"/>
              </w:rPr>
              <w:t>90</w:t>
            </w:r>
          </w:p>
        </w:tc>
        <w:tc>
          <w:tcPr>
            <w:tcW w:w="1250" w:type="dxa"/>
            <w:shd w:val="clear" w:color="000000" w:fill="FFFFFF"/>
            <w:vAlign w:val="center"/>
          </w:tcPr>
          <w:p w14:paraId="18C8B399" w14:textId="77777777" w:rsidR="00975F26" w:rsidRPr="00ED0D6D" w:rsidRDefault="00975F26" w:rsidP="002A479B">
            <w:pPr>
              <w:jc w:val="center"/>
              <w:rPr>
                <w:color w:val="000000"/>
                <w:sz w:val="20"/>
              </w:rPr>
            </w:pPr>
            <w:r>
              <w:rPr>
                <w:color w:val="000000"/>
                <w:sz w:val="20"/>
              </w:rPr>
              <w:t>–</w:t>
            </w:r>
          </w:p>
        </w:tc>
        <w:tc>
          <w:tcPr>
            <w:tcW w:w="1250" w:type="dxa"/>
            <w:shd w:val="clear" w:color="000000" w:fill="FFFFFF"/>
            <w:vAlign w:val="center"/>
          </w:tcPr>
          <w:p w14:paraId="669EBE89" w14:textId="77777777" w:rsidR="00975F26" w:rsidRPr="00ED0D6D" w:rsidRDefault="00975F26" w:rsidP="002A479B">
            <w:pPr>
              <w:jc w:val="center"/>
              <w:rPr>
                <w:color w:val="000000"/>
                <w:sz w:val="20"/>
              </w:rPr>
            </w:pPr>
            <w:r>
              <w:rPr>
                <w:color w:val="000000"/>
                <w:sz w:val="20"/>
              </w:rPr>
              <w:t>–</w:t>
            </w:r>
          </w:p>
        </w:tc>
        <w:tc>
          <w:tcPr>
            <w:tcW w:w="2169" w:type="dxa"/>
            <w:shd w:val="clear" w:color="000000" w:fill="FFFFFF"/>
            <w:vAlign w:val="center"/>
          </w:tcPr>
          <w:p w14:paraId="73007252" w14:textId="77777777" w:rsidR="00975F26" w:rsidRPr="00ED0D6D" w:rsidRDefault="00975F26" w:rsidP="002A479B">
            <w:pPr>
              <w:jc w:val="center"/>
              <w:rPr>
                <w:color w:val="000000"/>
                <w:sz w:val="20"/>
              </w:rPr>
            </w:pPr>
            <w:r w:rsidRPr="00ED0D6D">
              <w:rPr>
                <w:color w:val="000000"/>
                <w:sz w:val="20"/>
              </w:rPr>
              <w:t>AM</w:t>
            </w:r>
          </w:p>
        </w:tc>
        <w:tc>
          <w:tcPr>
            <w:tcW w:w="1236" w:type="dxa"/>
            <w:shd w:val="clear" w:color="auto" w:fill="auto"/>
            <w:vAlign w:val="center"/>
          </w:tcPr>
          <w:p w14:paraId="732EAAD9"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9CEB161" w14:textId="77777777" w:rsidTr="002A479B">
        <w:trPr>
          <w:trHeight w:val="564"/>
        </w:trPr>
        <w:tc>
          <w:tcPr>
            <w:tcW w:w="647" w:type="dxa"/>
            <w:shd w:val="clear" w:color="000000" w:fill="FFFFFF"/>
            <w:vAlign w:val="center"/>
            <w:hideMark/>
          </w:tcPr>
          <w:p w14:paraId="7358CE96"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tcPr>
          <w:p w14:paraId="30FA4096" w14:textId="77777777" w:rsidR="00975F26" w:rsidRPr="00ED0D6D" w:rsidRDefault="00975F26" w:rsidP="002A479B">
            <w:pPr>
              <w:jc w:val="both"/>
              <w:rPr>
                <w:color w:val="000000"/>
                <w:sz w:val="20"/>
              </w:rPr>
            </w:pPr>
            <w:r w:rsidRPr="00ED0D6D">
              <w:rPr>
                <w:color w:val="000000"/>
                <w:sz w:val="20"/>
              </w:rPr>
              <w:t xml:space="preserve">Bendras metinis išmetamųjų šiltnamio efektą sukeliančių dujų kiekis (t/1 mln. </w:t>
            </w:r>
            <w:r>
              <w:rPr>
                <w:color w:val="000000"/>
                <w:sz w:val="20"/>
              </w:rPr>
              <w:t>eurų</w:t>
            </w:r>
            <w:r w:rsidRPr="00ED0D6D">
              <w:rPr>
                <w:color w:val="000000"/>
                <w:sz w:val="20"/>
              </w:rPr>
              <w:t xml:space="preserve"> BVP)   </w:t>
            </w:r>
          </w:p>
        </w:tc>
        <w:tc>
          <w:tcPr>
            <w:tcW w:w="1080" w:type="dxa"/>
            <w:shd w:val="clear" w:color="000000" w:fill="FFFFFF"/>
            <w:vAlign w:val="center"/>
          </w:tcPr>
          <w:p w14:paraId="0B8C8A25" w14:textId="77777777" w:rsidR="00975F26" w:rsidRPr="00ED0D6D" w:rsidRDefault="00975F26" w:rsidP="002A479B">
            <w:pPr>
              <w:jc w:val="center"/>
              <w:rPr>
                <w:color w:val="000000"/>
                <w:sz w:val="20"/>
              </w:rPr>
            </w:pPr>
            <w:r w:rsidRPr="00ED0D6D">
              <w:rPr>
                <w:color w:val="000000"/>
                <w:sz w:val="20"/>
              </w:rPr>
              <w:t>473</w:t>
            </w:r>
          </w:p>
        </w:tc>
        <w:tc>
          <w:tcPr>
            <w:tcW w:w="1080" w:type="dxa"/>
            <w:shd w:val="clear" w:color="000000" w:fill="FFFFFF"/>
            <w:vAlign w:val="center"/>
          </w:tcPr>
          <w:p w14:paraId="299C6424" w14:textId="77777777" w:rsidR="00975F26" w:rsidRPr="00ED0D6D" w:rsidRDefault="00975F26" w:rsidP="002A479B">
            <w:pPr>
              <w:jc w:val="center"/>
              <w:rPr>
                <w:color w:val="000000"/>
                <w:sz w:val="20"/>
              </w:rPr>
            </w:pPr>
            <w:r w:rsidRPr="008644E2">
              <w:rPr>
                <w:i/>
                <w:iCs/>
                <w:color w:val="000000"/>
                <w:sz w:val="20"/>
              </w:rPr>
              <w:t>n. d.</w:t>
            </w:r>
            <w:r w:rsidRPr="00ED0D6D">
              <w:rPr>
                <w:color w:val="000000"/>
                <w:sz w:val="20"/>
              </w:rPr>
              <w:t>.</w:t>
            </w:r>
          </w:p>
        </w:tc>
        <w:tc>
          <w:tcPr>
            <w:tcW w:w="954" w:type="dxa"/>
            <w:shd w:val="clear" w:color="auto" w:fill="auto"/>
            <w:vAlign w:val="center"/>
          </w:tcPr>
          <w:p w14:paraId="6FBA837B" w14:textId="77777777" w:rsidR="00975F26" w:rsidRPr="00ED0D6D" w:rsidRDefault="00975F26" w:rsidP="002A479B">
            <w:pPr>
              <w:jc w:val="center"/>
              <w:rPr>
                <w:color w:val="000000"/>
                <w:sz w:val="20"/>
              </w:rPr>
            </w:pPr>
            <w:r w:rsidRPr="00ED0D6D">
              <w:rPr>
                <w:color w:val="000000"/>
                <w:sz w:val="20"/>
              </w:rPr>
              <w:t>277 (2018)</w:t>
            </w:r>
          </w:p>
        </w:tc>
        <w:tc>
          <w:tcPr>
            <w:tcW w:w="983" w:type="dxa"/>
            <w:shd w:val="clear" w:color="000000" w:fill="FFFFFF"/>
            <w:vAlign w:val="center"/>
          </w:tcPr>
          <w:p w14:paraId="6152EDAF" w14:textId="77777777" w:rsidR="00975F26" w:rsidRPr="00ED0D6D" w:rsidRDefault="00975F26" w:rsidP="002A479B">
            <w:pPr>
              <w:jc w:val="center"/>
              <w:rPr>
                <w:color w:val="000000"/>
                <w:sz w:val="20"/>
              </w:rPr>
            </w:pPr>
            <w:r w:rsidRPr="00ED0D6D">
              <w:rPr>
                <w:color w:val="000000"/>
                <w:sz w:val="20"/>
              </w:rPr>
              <w:t>542,3</w:t>
            </w:r>
          </w:p>
        </w:tc>
        <w:tc>
          <w:tcPr>
            <w:tcW w:w="1250" w:type="dxa"/>
            <w:shd w:val="clear" w:color="auto" w:fill="auto"/>
            <w:vAlign w:val="center"/>
          </w:tcPr>
          <w:p w14:paraId="457530E9"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3BE2286C" w14:textId="77777777" w:rsidR="00975F26" w:rsidRPr="00ED0D6D" w:rsidRDefault="00975F26" w:rsidP="002A479B">
            <w:pPr>
              <w:jc w:val="center"/>
              <w:rPr>
                <w:color w:val="000000"/>
                <w:sz w:val="20"/>
              </w:rPr>
            </w:pPr>
            <w:r w:rsidRPr="00ED0D6D">
              <w:rPr>
                <w:color w:val="000000"/>
                <w:sz w:val="20"/>
              </w:rPr>
              <w:t>302,87</w:t>
            </w:r>
          </w:p>
        </w:tc>
        <w:tc>
          <w:tcPr>
            <w:tcW w:w="2169" w:type="dxa"/>
            <w:shd w:val="clear" w:color="auto" w:fill="auto"/>
            <w:vAlign w:val="center"/>
          </w:tcPr>
          <w:p w14:paraId="6E357F8A" w14:textId="77777777" w:rsidR="00975F26" w:rsidRPr="00ED0D6D" w:rsidRDefault="00975F26" w:rsidP="002A479B">
            <w:pPr>
              <w:jc w:val="center"/>
              <w:rPr>
                <w:color w:val="000000"/>
                <w:sz w:val="20"/>
              </w:rPr>
            </w:pPr>
            <w:r w:rsidRPr="00ED0D6D">
              <w:rPr>
                <w:color w:val="000000"/>
                <w:sz w:val="20"/>
              </w:rPr>
              <w:t>Aplinkos apsaugos agentūra</w:t>
            </w:r>
          </w:p>
        </w:tc>
        <w:tc>
          <w:tcPr>
            <w:tcW w:w="1236" w:type="dxa"/>
            <w:shd w:val="clear" w:color="auto" w:fill="auto"/>
            <w:vAlign w:val="center"/>
          </w:tcPr>
          <w:p w14:paraId="156AB5D7"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006012D3" w14:textId="77777777" w:rsidTr="002A479B">
        <w:trPr>
          <w:trHeight w:val="372"/>
        </w:trPr>
        <w:tc>
          <w:tcPr>
            <w:tcW w:w="647" w:type="dxa"/>
            <w:shd w:val="clear" w:color="000000" w:fill="FFFFFF"/>
            <w:vAlign w:val="center"/>
            <w:hideMark/>
          </w:tcPr>
          <w:p w14:paraId="49779986" w14:textId="77777777" w:rsidR="00975F26" w:rsidRPr="00ED0D6D" w:rsidRDefault="00975F26" w:rsidP="002A479B">
            <w:pPr>
              <w:pStyle w:val="Sraopastraipa"/>
              <w:numPr>
                <w:ilvl w:val="0"/>
                <w:numId w:val="11"/>
              </w:numPr>
              <w:ind w:left="0" w:firstLine="0"/>
              <w:rPr>
                <w:rFonts w:ascii="Times New Roman" w:hAnsi="Times New Roman"/>
                <w:color w:val="000000"/>
                <w:sz w:val="20"/>
                <w:szCs w:val="20"/>
              </w:rPr>
            </w:pPr>
          </w:p>
        </w:tc>
        <w:tc>
          <w:tcPr>
            <w:tcW w:w="4648" w:type="dxa"/>
            <w:shd w:val="clear" w:color="000000" w:fill="FFFFFF"/>
          </w:tcPr>
          <w:p w14:paraId="0C4987DE" w14:textId="77777777" w:rsidR="00975F26" w:rsidRPr="00ED0D6D" w:rsidRDefault="00975F26" w:rsidP="002A479B">
            <w:pPr>
              <w:jc w:val="both"/>
              <w:rPr>
                <w:color w:val="000000"/>
                <w:sz w:val="20"/>
              </w:rPr>
            </w:pPr>
            <w:r w:rsidRPr="00ED0D6D">
              <w:rPr>
                <w:color w:val="000000"/>
                <w:sz w:val="20"/>
              </w:rPr>
              <w:t>Lietuvoje išmetamo sieros dioksido kiekio pokytis, palyginti su 2005 m</w:t>
            </w:r>
            <w:r>
              <w:rPr>
                <w:color w:val="000000"/>
                <w:sz w:val="20"/>
              </w:rPr>
              <w:t>.</w:t>
            </w:r>
            <w:r w:rsidRPr="00ED0D6D">
              <w:rPr>
                <w:color w:val="000000"/>
                <w:sz w:val="20"/>
              </w:rPr>
              <w:t xml:space="preserve"> išmestu kiekiu </w:t>
            </w:r>
            <w:r w:rsidRPr="00ED0D6D">
              <w:rPr>
                <w:sz w:val="20"/>
              </w:rPr>
              <w:t>(proc.)</w:t>
            </w:r>
          </w:p>
        </w:tc>
        <w:tc>
          <w:tcPr>
            <w:tcW w:w="1080" w:type="dxa"/>
            <w:shd w:val="clear" w:color="000000" w:fill="FFFFFF"/>
            <w:vAlign w:val="center"/>
          </w:tcPr>
          <w:p w14:paraId="7BEE0F7C" w14:textId="77777777" w:rsidR="00975F26" w:rsidRPr="00ED0D6D" w:rsidRDefault="00975F26" w:rsidP="002A479B">
            <w:pPr>
              <w:jc w:val="center"/>
              <w:rPr>
                <w:color w:val="000000"/>
                <w:sz w:val="20"/>
              </w:rPr>
            </w:pPr>
            <w:r w:rsidRPr="00ED0D6D">
              <w:rPr>
                <w:color w:val="000000"/>
                <w:sz w:val="20"/>
              </w:rPr>
              <w:t>-58</w:t>
            </w:r>
          </w:p>
        </w:tc>
        <w:tc>
          <w:tcPr>
            <w:tcW w:w="1080" w:type="dxa"/>
            <w:shd w:val="clear" w:color="000000" w:fill="FFFFFF"/>
            <w:vAlign w:val="center"/>
          </w:tcPr>
          <w:p w14:paraId="76D4FEF4"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6445E108" w14:textId="77777777" w:rsidR="00975F26" w:rsidRPr="00ED0D6D" w:rsidRDefault="00975F26" w:rsidP="002A479B">
            <w:pPr>
              <w:jc w:val="center"/>
              <w:rPr>
                <w:color w:val="000000"/>
                <w:sz w:val="20"/>
              </w:rPr>
            </w:pPr>
            <w:r w:rsidRPr="00ED0D6D">
              <w:rPr>
                <w:color w:val="000000"/>
                <w:sz w:val="20"/>
              </w:rPr>
              <w:t>-73 (2018)</w:t>
            </w:r>
          </w:p>
        </w:tc>
        <w:tc>
          <w:tcPr>
            <w:tcW w:w="983" w:type="dxa"/>
            <w:shd w:val="clear" w:color="000000" w:fill="FFFFFF"/>
            <w:vAlign w:val="center"/>
          </w:tcPr>
          <w:p w14:paraId="67D6DCA0" w14:textId="77777777" w:rsidR="00975F26" w:rsidRPr="00ED0D6D" w:rsidRDefault="00975F26" w:rsidP="002A479B">
            <w:pPr>
              <w:jc w:val="center"/>
              <w:rPr>
                <w:color w:val="000000"/>
                <w:sz w:val="20"/>
              </w:rPr>
            </w:pPr>
            <w:r w:rsidRPr="00ED0D6D">
              <w:rPr>
                <w:color w:val="000000"/>
                <w:sz w:val="20"/>
              </w:rPr>
              <w:t>-55</w:t>
            </w:r>
          </w:p>
        </w:tc>
        <w:tc>
          <w:tcPr>
            <w:tcW w:w="1250" w:type="dxa"/>
            <w:shd w:val="clear" w:color="000000" w:fill="FFFFFF"/>
            <w:vAlign w:val="center"/>
          </w:tcPr>
          <w:p w14:paraId="38DAD578" w14:textId="77777777" w:rsidR="00975F26" w:rsidRPr="00ED0D6D" w:rsidRDefault="00975F26" w:rsidP="002A479B">
            <w:pPr>
              <w:jc w:val="center"/>
              <w:rPr>
                <w:color w:val="000000"/>
                <w:sz w:val="20"/>
              </w:rPr>
            </w:pPr>
            <w:r w:rsidRPr="00ED0D6D">
              <w:rPr>
                <w:color w:val="000000"/>
                <w:sz w:val="20"/>
              </w:rPr>
              <w:t>-57,5</w:t>
            </w:r>
          </w:p>
        </w:tc>
        <w:tc>
          <w:tcPr>
            <w:tcW w:w="1250" w:type="dxa"/>
            <w:shd w:val="clear" w:color="000000" w:fill="FFFFFF"/>
            <w:vAlign w:val="center"/>
          </w:tcPr>
          <w:p w14:paraId="3E3C3349" w14:textId="77777777" w:rsidR="00975F26" w:rsidRPr="00ED0D6D" w:rsidRDefault="00975F26" w:rsidP="002A479B">
            <w:pPr>
              <w:jc w:val="center"/>
              <w:rPr>
                <w:color w:val="000000"/>
                <w:sz w:val="20"/>
              </w:rPr>
            </w:pPr>
            <w:r w:rsidRPr="00ED0D6D">
              <w:rPr>
                <w:color w:val="000000"/>
                <w:sz w:val="20"/>
              </w:rPr>
              <w:t>-60</w:t>
            </w:r>
          </w:p>
        </w:tc>
        <w:tc>
          <w:tcPr>
            <w:tcW w:w="2169" w:type="dxa"/>
            <w:shd w:val="clear" w:color="000000" w:fill="FFFFFF"/>
            <w:vAlign w:val="center"/>
          </w:tcPr>
          <w:p w14:paraId="2688576E" w14:textId="77777777" w:rsidR="00975F26" w:rsidRPr="00ED0D6D" w:rsidRDefault="00975F26" w:rsidP="002A479B">
            <w:pPr>
              <w:jc w:val="center"/>
              <w:rPr>
                <w:color w:val="000000"/>
                <w:sz w:val="20"/>
              </w:rPr>
            </w:pPr>
            <w:r w:rsidRPr="00ED0D6D">
              <w:rPr>
                <w:color w:val="000000"/>
                <w:sz w:val="20"/>
              </w:rPr>
              <w:t>Nacionalinė išmetamų į aplinkos orą teršalų apskaitos ataskaita</w:t>
            </w:r>
          </w:p>
        </w:tc>
        <w:tc>
          <w:tcPr>
            <w:tcW w:w="1236" w:type="dxa"/>
            <w:shd w:val="clear" w:color="000000" w:fill="FFFFFF"/>
            <w:vAlign w:val="center"/>
          </w:tcPr>
          <w:p w14:paraId="578EDD9E" w14:textId="77777777" w:rsidR="00975F26" w:rsidRPr="00ED0D6D" w:rsidRDefault="00975F26" w:rsidP="002A479B">
            <w:pPr>
              <w:jc w:val="center"/>
              <w:rPr>
                <w:color w:val="000000"/>
                <w:sz w:val="20"/>
              </w:rPr>
            </w:pPr>
            <w:r w:rsidRPr="00ED0D6D">
              <w:rPr>
                <w:color w:val="000000"/>
                <w:sz w:val="20"/>
              </w:rPr>
              <w:t>NPP2030</w:t>
            </w:r>
          </w:p>
          <w:p w14:paraId="1ED8DB41"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38B5BF9E" w14:textId="77777777" w:rsidTr="002A479B">
        <w:trPr>
          <w:trHeight w:val="540"/>
        </w:trPr>
        <w:tc>
          <w:tcPr>
            <w:tcW w:w="647" w:type="dxa"/>
            <w:shd w:val="clear" w:color="auto" w:fill="auto"/>
            <w:vAlign w:val="center"/>
            <w:hideMark/>
          </w:tcPr>
          <w:p w14:paraId="00BEE3B3"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3632029A" w14:textId="77777777" w:rsidR="00975F26" w:rsidRPr="00ED0D6D" w:rsidRDefault="00975F26" w:rsidP="002A479B">
            <w:pPr>
              <w:jc w:val="both"/>
              <w:rPr>
                <w:color w:val="000000"/>
                <w:sz w:val="20"/>
              </w:rPr>
            </w:pPr>
            <w:r w:rsidRPr="00ED0D6D">
              <w:rPr>
                <w:color w:val="000000"/>
                <w:sz w:val="20"/>
              </w:rPr>
              <w:t>Lietuvoje išmetamų azoto oksidų kiekio pokytis, palyginti su 2005 m</w:t>
            </w:r>
            <w:r>
              <w:rPr>
                <w:color w:val="000000"/>
                <w:sz w:val="20"/>
              </w:rPr>
              <w:t>.</w:t>
            </w:r>
            <w:r w:rsidRPr="00ED0D6D">
              <w:rPr>
                <w:color w:val="000000"/>
                <w:sz w:val="20"/>
              </w:rPr>
              <w:t xml:space="preserve"> išmestu kiekiu </w:t>
            </w:r>
            <w:r w:rsidRPr="00ED0D6D">
              <w:rPr>
                <w:sz w:val="20"/>
              </w:rPr>
              <w:t>(proc.)</w:t>
            </w:r>
          </w:p>
        </w:tc>
        <w:tc>
          <w:tcPr>
            <w:tcW w:w="1080" w:type="dxa"/>
            <w:shd w:val="clear" w:color="000000" w:fill="FFFFFF"/>
            <w:vAlign w:val="center"/>
          </w:tcPr>
          <w:p w14:paraId="379A951D" w14:textId="77777777" w:rsidR="00975F26" w:rsidRPr="00ED0D6D" w:rsidRDefault="00975F26" w:rsidP="002A479B">
            <w:pPr>
              <w:jc w:val="center"/>
              <w:rPr>
                <w:color w:val="000000"/>
                <w:sz w:val="20"/>
              </w:rPr>
            </w:pPr>
            <w:r w:rsidRPr="00ED0D6D">
              <w:rPr>
                <w:color w:val="000000"/>
                <w:sz w:val="20"/>
              </w:rPr>
              <w:t>-22</w:t>
            </w:r>
          </w:p>
        </w:tc>
        <w:tc>
          <w:tcPr>
            <w:tcW w:w="1080" w:type="dxa"/>
            <w:shd w:val="clear" w:color="000000" w:fill="FFFFFF"/>
            <w:vAlign w:val="center"/>
          </w:tcPr>
          <w:p w14:paraId="40575D6A"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72A78A37" w14:textId="77777777" w:rsidR="00975F26" w:rsidRPr="00ED0D6D" w:rsidRDefault="00975F26" w:rsidP="002A479B">
            <w:pPr>
              <w:jc w:val="center"/>
              <w:rPr>
                <w:color w:val="000000"/>
                <w:sz w:val="20"/>
              </w:rPr>
            </w:pPr>
            <w:r w:rsidRPr="00ED0D6D">
              <w:rPr>
                <w:color w:val="000000"/>
                <w:sz w:val="20"/>
              </w:rPr>
              <w:t>-43 (2018)</w:t>
            </w:r>
          </w:p>
        </w:tc>
        <w:tc>
          <w:tcPr>
            <w:tcW w:w="983" w:type="dxa"/>
            <w:shd w:val="clear" w:color="000000" w:fill="FFFFFF"/>
            <w:vAlign w:val="center"/>
          </w:tcPr>
          <w:p w14:paraId="206E509A" w14:textId="77777777" w:rsidR="00975F26" w:rsidRPr="00ED0D6D" w:rsidRDefault="00975F26" w:rsidP="002A479B">
            <w:pPr>
              <w:jc w:val="center"/>
              <w:rPr>
                <w:color w:val="000000"/>
                <w:sz w:val="20"/>
              </w:rPr>
            </w:pPr>
            <w:r w:rsidRPr="00ED0D6D">
              <w:rPr>
                <w:color w:val="000000"/>
                <w:sz w:val="20"/>
              </w:rPr>
              <w:t>-48</w:t>
            </w:r>
          </w:p>
        </w:tc>
        <w:tc>
          <w:tcPr>
            <w:tcW w:w="1250" w:type="dxa"/>
            <w:shd w:val="clear" w:color="auto" w:fill="auto"/>
            <w:vAlign w:val="center"/>
          </w:tcPr>
          <w:p w14:paraId="4316D7B9" w14:textId="77777777" w:rsidR="00975F26" w:rsidRPr="00ED0D6D" w:rsidRDefault="00975F26" w:rsidP="002A479B">
            <w:pPr>
              <w:jc w:val="center"/>
              <w:rPr>
                <w:color w:val="000000"/>
                <w:sz w:val="20"/>
              </w:rPr>
            </w:pPr>
            <w:r w:rsidRPr="00ED0D6D">
              <w:rPr>
                <w:color w:val="000000"/>
                <w:sz w:val="20"/>
              </w:rPr>
              <w:t>-49,5</w:t>
            </w:r>
          </w:p>
        </w:tc>
        <w:tc>
          <w:tcPr>
            <w:tcW w:w="1250" w:type="dxa"/>
            <w:shd w:val="clear" w:color="auto" w:fill="auto"/>
            <w:vAlign w:val="center"/>
          </w:tcPr>
          <w:p w14:paraId="5E5E9B63" w14:textId="77777777" w:rsidR="00975F26" w:rsidRPr="00ED0D6D" w:rsidRDefault="00975F26" w:rsidP="002A479B">
            <w:pPr>
              <w:jc w:val="center"/>
              <w:rPr>
                <w:color w:val="000000"/>
                <w:sz w:val="20"/>
              </w:rPr>
            </w:pPr>
            <w:r w:rsidRPr="00ED0D6D">
              <w:rPr>
                <w:color w:val="000000"/>
                <w:sz w:val="20"/>
              </w:rPr>
              <w:t>-51</w:t>
            </w:r>
          </w:p>
        </w:tc>
        <w:tc>
          <w:tcPr>
            <w:tcW w:w="2169" w:type="dxa"/>
            <w:shd w:val="clear" w:color="auto" w:fill="auto"/>
            <w:vAlign w:val="center"/>
          </w:tcPr>
          <w:p w14:paraId="6E7C143B" w14:textId="77777777" w:rsidR="00975F26" w:rsidRPr="00ED0D6D" w:rsidRDefault="00975F26" w:rsidP="002A479B">
            <w:pPr>
              <w:jc w:val="center"/>
              <w:rPr>
                <w:color w:val="000000"/>
                <w:sz w:val="20"/>
              </w:rPr>
            </w:pPr>
            <w:r w:rsidRPr="00ED0D6D">
              <w:rPr>
                <w:color w:val="000000"/>
                <w:sz w:val="20"/>
              </w:rPr>
              <w:t>Nacionalinė išmetamų į aplinkos orą teršalų apskaitos ataskaita</w:t>
            </w:r>
          </w:p>
        </w:tc>
        <w:tc>
          <w:tcPr>
            <w:tcW w:w="1236" w:type="dxa"/>
            <w:shd w:val="clear" w:color="auto" w:fill="auto"/>
            <w:vAlign w:val="center"/>
          </w:tcPr>
          <w:p w14:paraId="29211186" w14:textId="77777777" w:rsidR="00975F26" w:rsidRPr="00ED0D6D" w:rsidRDefault="00975F26" w:rsidP="002A479B">
            <w:pPr>
              <w:jc w:val="center"/>
              <w:rPr>
                <w:color w:val="000000"/>
                <w:sz w:val="20"/>
              </w:rPr>
            </w:pPr>
            <w:r w:rsidRPr="00ED0D6D">
              <w:rPr>
                <w:color w:val="000000"/>
                <w:sz w:val="20"/>
              </w:rPr>
              <w:t>NPP2030</w:t>
            </w:r>
          </w:p>
          <w:p w14:paraId="74A9FF58"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26EC510" w14:textId="77777777" w:rsidTr="002A479B">
        <w:trPr>
          <w:trHeight w:val="485"/>
        </w:trPr>
        <w:tc>
          <w:tcPr>
            <w:tcW w:w="647" w:type="dxa"/>
            <w:shd w:val="clear" w:color="auto" w:fill="auto"/>
            <w:vAlign w:val="center"/>
            <w:hideMark/>
          </w:tcPr>
          <w:p w14:paraId="2F84D290"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158EA0B4" w14:textId="77777777" w:rsidR="00975F26" w:rsidRPr="00ED0D6D" w:rsidRDefault="00975F26" w:rsidP="002A479B">
            <w:pPr>
              <w:jc w:val="both"/>
              <w:rPr>
                <w:sz w:val="20"/>
              </w:rPr>
            </w:pPr>
            <w:r w:rsidRPr="00ED0D6D">
              <w:rPr>
                <w:color w:val="000000"/>
                <w:sz w:val="20"/>
              </w:rPr>
              <w:t>Lietuvoje išmetamų kietųjų dalelių (KD2,5) kiekio pokytis, palyginti su 2005 m</w:t>
            </w:r>
            <w:r>
              <w:rPr>
                <w:color w:val="000000"/>
                <w:sz w:val="20"/>
              </w:rPr>
              <w:t>.</w:t>
            </w:r>
            <w:r w:rsidRPr="00ED0D6D">
              <w:rPr>
                <w:color w:val="000000"/>
                <w:sz w:val="20"/>
              </w:rPr>
              <w:t xml:space="preserve"> išmestu kiekiu </w:t>
            </w:r>
            <w:r w:rsidRPr="00ED0D6D">
              <w:rPr>
                <w:sz w:val="20"/>
              </w:rPr>
              <w:t>(proc.)</w:t>
            </w:r>
          </w:p>
        </w:tc>
        <w:tc>
          <w:tcPr>
            <w:tcW w:w="1080" w:type="dxa"/>
            <w:shd w:val="clear" w:color="000000" w:fill="FFFFFF"/>
            <w:vAlign w:val="center"/>
          </w:tcPr>
          <w:p w14:paraId="1BB7CA52" w14:textId="77777777" w:rsidR="00975F26" w:rsidRPr="00ED0D6D" w:rsidRDefault="00975F26" w:rsidP="002A479B">
            <w:pPr>
              <w:jc w:val="center"/>
              <w:rPr>
                <w:color w:val="000000"/>
                <w:sz w:val="20"/>
              </w:rPr>
            </w:pPr>
            <w:r w:rsidRPr="00ED0D6D">
              <w:rPr>
                <w:color w:val="000000"/>
                <w:sz w:val="20"/>
              </w:rPr>
              <w:t>-37</w:t>
            </w:r>
          </w:p>
        </w:tc>
        <w:tc>
          <w:tcPr>
            <w:tcW w:w="1080" w:type="dxa"/>
            <w:shd w:val="clear" w:color="000000" w:fill="FFFFFF"/>
            <w:vAlign w:val="center"/>
          </w:tcPr>
          <w:p w14:paraId="74D976B7"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55AC3CE5" w14:textId="77777777" w:rsidR="00975F26" w:rsidRPr="00ED0D6D" w:rsidRDefault="00975F26" w:rsidP="002A479B">
            <w:pPr>
              <w:jc w:val="center"/>
              <w:rPr>
                <w:color w:val="000000"/>
                <w:sz w:val="20"/>
              </w:rPr>
            </w:pPr>
            <w:r w:rsidRPr="00ED0D6D">
              <w:rPr>
                <w:color w:val="000000"/>
                <w:sz w:val="20"/>
              </w:rPr>
              <w:t>-25 (2018)</w:t>
            </w:r>
          </w:p>
        </w:tc>
        <w:tc>
          <w:tcPr>
            <w:tcW w:w="983" w:type="dxa"/>
            <w:shd w:val="clear" w:color="000000" w:fill="FFFFFF"/>
            <w:vAlign w:val="center"/>
          </w:tcPr>
          <w:p w14:paraId="4BA9051E" w14:textId="77777777" w:rsidR="00975F26" w:rsidRPr="00ED0D6D" w:rsidRDefault="00975F26" w:rsidP="002A479B">
            <w:pPr>
              <w:jc w:val="center"/>
              <w:rPr>
                <w:color w:val="000000"/>
                <w:sz w:val="20"/>
              </w:rPr>
            </w:pPr>
            <w:r w:rsidRPr="00ED0D6D">
              <w:rPr>
                <w:color w:val="000000"/>
                <w:sz w:val="20"/>
              </w:rPr>
              <w:t>-20</w:t>
            </w:r>
          </w:p>
        </w:tc>
        <w:tc>
          <w:tcPr>
            <w:tcW w:w="1250" w:type="dxa"/>
            <w:shd w:val="clear" w:color="auto" w:fill="auto"/>
            <w:vAlign w:val="center"/>
          </w:tcPr>
          <w:p w14:paraId="2E362744" w14:textId="77777777" w:rsidR="00975F26" w:rsidRPr="00ED0D6D" w:rsidRDefault="00975F26" w:rsidP="002A479B">
            <w:pPr>
              <w:jc w:val="center"/>
              <w:rPr>
                <w:color w:val="000000"/>
                <w:sz w:val="20"/>
              </w:rPr>
            </w:pPr>
            <w:r w:rsidRPr="00ED0D6D">
              <w:rPr>
                <w:color w:val="000000"/>
                <w:sz w:val="20"/>
              </w:rPr>
              <w:t>-41</w:t>
            </w:r>
          </w:p>
        </w:tc>
        <w:tc>
          <w:tcPr>
            <w:tcW w:w="1250" w:type="dxa"/>
            <w:shd w:val="clear" w:color="auto" w:fill="auto"/>
            <w:vAlign w:val="center"/>
          </w:tcPr>
          <w:p w14:paraId="6E8D2D99" w14:textId="77777777" w:rsidR="00975F26" w:rsidRPr="00ED0D6D" w:rsidRDefault="00975F26" w:rsidP="002A479B">
            <w:pPr>
              <w:jc w:val="center"/>
              <w:rPr>
                <w:color w:val="000000"/>
                <w:sz w:val="20"/>
              </w:rPr>
            </w:pPr>
            <w:r w:rsidRPr="00ED0D6D">
              <w:rPr>
                <w:color w:val="000000"/>
                <w:sz w:val="20"/>
              </w:rPr>
              <w:t>-45</w:t>
            </w:r>
          </w:p>
        </w:tc>
        <w:tc>
          <w:tcPr>
            <w:tcW w:w="2169" w:type="dxa"/>
            <w:shd w:val="clear" w:color="auto" w:fill="auto"/>
            <w:vAlign w:val="center"/>
          </w:tcPr>
          <w:p w14:paraId="391B34E1" w14:textId="77777777" w:rsidR="00975F26" w:rsidRPr="00ED0D6D" w:rsidRDefault="00975F26" w:rsidP="002A479B">
            <w:pPr>
              <w:jc w:val="center"/>
              <w:rPr>
                <w:color w:val="000000"/>
                <w:sz w:val="20"/>
              </w:rPr>
            </w:pPr>
            <w:r w:rsidRPr="00ED0D6D">
              <w:rPr>
                <w:color w:val="000000"/>
                <w:sz w:val="20"/>
              </w:rPr>
              <w:t>Nacionalinė išmetamų į aplinkos orą teršalų apskaitos ataskaita</w:t>
            </w:r>
          </w:p>
        </w:tc>
        <w:tc>
          <w:tcPr>
            <w:tcW w:w="1236" w:type="dxa"/>
            <w:shd w:val="clear" w:color="auto" w:fill="auto"/>
            <w:vAlign w:val="center"/>
          </w:tcPr>
          <w:p w14:paraId="63C85D99" w14:textId="77777777" w:rsidR="00975F26" w:rsidRPr="00ED0D6D" w:rsidRDefault="00975F26" w:rsidP="002A479B">
            <w:pPr>
              <w:jc w:val="center"/>
              <w:rPr>
                <w:color w:val="000000"/>
                <w:sz w:val="20"/>
              </w:rPr>
            </w:pPr>
            <w:r w:rsidRPr="00ED0D6D">
              <w:rPr>
                <w:color w:val="000000"/>
                <w:sz w:val="20"/>
              </w:rPr>
              <w:t>NPP2030</w:t>
            </w:r>
          </w:p>
          <w:p w14:paraId="18BBA9D3"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7D98F66" w14:textId="77777777" w:rsidTr="002A479B">
        <w:trPr>
          <w:trHeight w:val="408"/>
        </w:trPr>
        <w:tc>
          <w:tcPr>
            <w:tcW w:w="647" w:type="dxa"/>
            <w:shd w:val="clear" w:color="auto" w:fill="auto"/>
            <w:vAlign w:val="center"/>
            <w:hideMark/>
          </w:tcPr>
          <w:p w14:paraId="1E8AE69C"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1BDA272" w14:textId="77777777" w:rsidR="00975F26" w:rsidRPr="00ED0D6D" w:rsidRDefault="00975F26" w:rsidP="002A479B">
            <w:pPr>
              <w:jc w:val="both"/>
              <w:rPr>
                <w:color w:val="000000"/>
                <w:sz w:val="20"/>
              </w:rPr>
            </w:pPr>
            <w:r w:rsidRPr="00ED0D6D">
              <w:rPr>
                <w:color w:val="000000"/>
                <w:sz w:val="20"/>
              </w:rPr>
              <w:t xml:space="preserve">Lietuvoje išmetamų nemetaninių lakiųjų organinių junginių kiekio pokytis, palyginti su 2005 metais išmestu kiekiu </w:t>
            </w:r>
            <w:r w:rsidRPr="00ED0D6D">
              <w:rPr>
                <w:sz w:val="20"/>
              </w:rPr>
              <w:t>(proc.)</w:t>
            </w:r>
            <w:r w:rsidRPr="00ED0D6D">
              <w:rPr>
                <w:color w:val="000000"/>
                <w:sz w:val="20"/>
              </w:rPr>
              <w:t xml:space="preserve">   </w:t>
            </w:r>
          </w:p>
        </w:tc>
        <w:tc>
          <w:tcPr>
            <w:tcW w:w="1080" w:type="dxa"/>
            <w:shd w:val="clear" w:color="000000" w:fill="FFFFFF"/>
            <w:vAlign w:val="center"/>
          </w:tcPr>
          <w:p w14:paraId="730DDCF5" w14:textId="77777777" w:rsidR="00975F26" w:rsidRPr="00ED0D6D" w:rsidRDefault="00975F26" w:rsidP="002A479B">
            <w:pPr>
              <w:jc w:val="center"/>
              <w:rPr>
                <w:color w:val="000000"/>
                <w:sz w:val="20"/>
              </w:rPr>
            </w:pPr>
            <w:r w:rsidRPr="00ED0D6D">
              <w:rPr>
                <w:color w:val="000000"/>
                <w:sz w:val="20"/>
              </w:rPr>
              <w:t>-21</w:t>
            </w:r>
          </w:p>
        </w:tc>
        <w:tc>
          <w:tcPr>
            <w:tcW w:w="1080" w:type="dxa"/>
            <w:shd w:val="clear" w:color="000000" w:fill="FFFFFF"/>
            <w:vAlign w:val="center"/>
          </w:tcPr>
          <w:p w14:paraId="75E29245"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1012573B" w14:textId="77777777" w:rsidR="00975F26" w:rsidRPr="00ED0D6D" w:rsidRDefault="00975F26" w:rsidP="002A479B">
            <w:pPr>
              <w:jc w:val="center"/>
              <w:rPr>
                <w:color w:val="000000"/>
                <w:sz w:val="20"/>
              </w:rPr>
            </w:pPr>
            <w:r w:rsidRPr="00ED0D6D">
              <w:rPr>
                <w:color w:val="000000"/>
                <w:sz w:val="20"/>
              </w:rPr>
              <w:t>-34 (2018)</w:t>
            </w:r>
          </w:p>
        </w:tc>
        <w:tc>
          <w:tcPr>
            <w:tcW w:w="983" w:type="dxa"/>
            <w:shd w:val="clear" w:color="000000" w:fill="FFFFFF"/>
            <w:vAlign w:val="center"/>
          </w:tcPr>
          <w:p w14:paraId="2AA93725" w14:textId="77777777" w:rsidR="00975F26" w:rsidRPr="00ED0D6D" w:rsidRDefault="00975F26" w:rsidP="002A479B">
            <w:pPr>
              <w:jc w:val="center"/>
              <w:rPr>
                <w:color w:val="000000"/>
                <w:sz w:val="20"/>
              </w:rPr>
            </w:pPr>
            <w:r w:rsidRPr="00ED0D6D">
              <w:rPr>
                <w:color w:val="000000"/>
                <w:sz w:val="20"/>
              </w:rPr>
              <w:t>-32</w:t>
            </w:r>
          </w:p>
        </w:tc>
        <w:tc>
          <w:tcPr>
            <w:tcW w:w="1250" w:type="dxa"/>
            <w:shd w:val="clear" w:color="auto" w:fill="auto"/>
            <w:vAlign w:val="center"/>
          </w:tcPr>
          <w:p w14:paraId="38B54F92" w14:textId="77777777" w:rsidR="00975F26" w:rsidRPr="00ED0D6D" w:rsidRDefault="00975F26" w:rsidP="002A479B">
            <w:pPr>
              <w:jc w:val="center"/>
              <w:rPr>
                <w:color w:val="000000"/>
                <w:sz w:val="20"/>
              </w:rPr>
            </w:pPr>
            <w:r w:rsidRPr="00ED0D6D">
              <w:rPr>
                <w:color w:val="000000"/>
                <w:sz w:val="20"/>
              </w:rPr>
              <w:t>-39,5</w:t>
            </w:r>
          </w:p>
        </w:tc>
        <w:tc>
          <w:tcPr>
            <w:tcW w:w="1250" w:type="dxa"/>
            <w:shd w:val="clear" w:color="auto" w:fill="auto"/>
            <w:vAlign w:val="center"/>
          </w:tcPr>
          <w:p w14:paraId="1EBA78AC" w14:textId="77777777" w:rsidR="00975F26" w:rsidRPr="00ED0D6D" w:rsidRDefault="00975F26" w:rsidP="002A479B">
            <w:pPr>
              <w:jc w:val="center"/>
              <w:rPr>
                <w:color w:val="000000"/>
                <w:sz w:val="20"/>
              </w:rPr>
            </w:pPr>
            <w:r w:rsidRPr="00ED0D6D">
              <w:rPr>
                <w:color w:val="000000"/>
                <w:sz w:val="20"/>
              </w:rPr>
              <w:t>-47</w:t>
            </w:r>
          </w:p>
        </w:tc>
        <w:tc>
          <w:tcPr>
            <w:tcW w:w="2169" w:type="dxa"/>
            <w:shd w:val="clear" w:color="auto" w:fill="auto"/>
            <w:vAlign w:val="center"/>
          </w:tcPr>
          <w:p w14:paraId="72B40FC9" w14:textId="77777777" w:rsidR="00975F26" w:rsidRPr="00ED0D6D" w:rsidRDefault="00975F26" w:rsidP="002A479B">
            <w:pPr>
              <w:jc w:val="center"/>
              <w:rPr>
                <w:color w:val="000000"/>
                <w:sz w:val="20"/>
              </w:rPr>
            </w:pPr>
            <w:r w:rsidRPr="00ED0D6D">
              <w:rPr>
                <w:color w:val="000000"/>
                <w:sz w:val="20"/>
              </w:rPr>
              <w:t>Nacionalinė išmetamų į aplinkos orą teršalų apskaitos ataskaita</w:t>
            </w:r>
          </w:p>
        </w:tc>
        <w:tc>
          <w:tcPr>
            <w:tcW w:w="1236" w:type="dxa"/>
            <w:shd w:val="clear" w:color="auto" w:fill="auto"/>
            <w:vAlign w:val="center"/>
          </w:tcPr>
          <w:p w14:paraId="00CE7FCB" w14:textId="77777777" w:rsidR="00975F26" w:rsidRPr="00ED0D6D" w:rsidRDefault="00975F26" w:rsidP="002A479B">
            <w:pPr>
              <w:jc w:val="center"/>
              <w:rPr>
                <w:color w:val="000000"/>
                <w:sz w:val="20"/>
              </w:rPr>
            </w:pPr>
            <w:r w:rsidRPr="00ED0D6D">
              <w:rPr>
                <w:color w:val="000000"/>
                <w:sz w:val="20"/>
              </w:rPr>
              <w:t>NPP2030</w:t>
            </w:r>
          </w:p>
          <w:p w14:paraId="0D094645"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6307AA2" w14:textId="77777777" w:rsidTr="002A479B">
        <w:trPr>
          <w:trHeight w:val="384"/>
        </w:trPr>
        <w:tc>
          <w:tcPr>
            <w:tcW w:w="647" w:type="dxa"/>
            <w:shd w:val="clear" w:color="auto" w:fill="auto"/>
            <w:vAlign w:val="center"/>
            <w:hideMark/>
          </w:tcPr>
          <w:p w14:paraId="305F023A"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47E535D9" w14:textId="77777777" w:rsidR="00975F26" w:rsidRPr="00ED0D6D" w:rsidRDefault="00975F26" w:rsidP="002A479B">
            <w:pPr>
              <w:jc w:val="both"/>
              <w:rPr>
                <w:color w:val="000000"/>
                <w:sz w:val="20"/>
              </w:rPr>
            </w:pPr>
            <w:r w:rsidRPr="00ED0D6D">
              <w:rPr>
                <w:color w:val="000000"/>
                <w:sz w:val="20"/>
              </w:rPr>
              <w:t xml:space="preserve">Lietuvoje išmetamo amoniako kiekio pokytis, palyginti su 2005 metais išmestu kiekiu </w:t>
            </w:r>
            <w:r w:rsidRPr="00ED0D6D">
              <w:rPr>
                <w:sz w:val="20"/>
              </w:rPr>
              <w:t>(proc.)</w:t>
            </w:r>
            <w:r w:rsidRPr="00ED0D6D">
              <w:rPr>
                <w:color w:val="000000"/>
                <w:sz w:val="20"/>
              </w:rPr>
              <w:t xml:space="preserve">   </w:t>
            </w:r>
          </w:p>
        </w:tc>
        <w:tc>
          <w:tcPr>
            <w:tcW w:w="1080" w:type="dxa"/>
            <w:shd w:val="clear" w:color="000000" w:fill="FFFFFF"/>
            <w:vAlign w:val="center"/>
          </w:tcPr>
          <w:p w14:paraId="3F4FAA50" w14:textId="77777777" w:rsidR="00975F26" w:rsidRPr="00ED0D6D" w:rsidRDefault="00975F26" w:rsidP="002A479B">
            <w:pPr>
              <w:jc w:val="center"/>
              <w:rPr>
                <w:color w:val="000000"/>
                <w:sz w:val="20"/>
              </w:rPr>
            </w:pPr>
            <w:r w:rsidRPr="00ED0D6D">
              <w:rPr>
                <w:color w:val="000000"/>
                <w:sz w:val="20"/>
              </w:rPr>
              <w:t>-7</w:t>
            </w:r>
          </w:p>
        </w:tc>
        <w:tc>
          <w:tcPr>
            <w:tcW w:w="1080" w:type="dxa"/>
            <w:shd w:val="clear" w:color="000000" w:fill="FFFFFF"/>
            <w:vAlign w:val="center"/>
          </w:tcPr>
          <w:p w14:paraId="6E4588CA"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7C9DA364" w14:textId="77777777" w:rsidR="00975F26" w:rsidRPr="00ED0D6D" w:rsidRDefault="00975F26" w:rsidP="002A479B">
            <w:pPr>
              <w:jc w:val="center"/>
              <w:rPr>
                <w:color w:val="000000"/>
                <w:sz w:val="20"/>
              </w:rPr>
            </w:pPr>
            <w:r w:rsidRPr="00ED0D6D">
              <w:rPr>
                <w:color w:val="000000"/>
                <w:sz w:val="20"/>
              </w:rPr>
              <w:t>-5 (2018)</w:t>
            </w:r>
          </w:p>
        </w:tc>
        <w:tc>
          <w:tcPr>
            <w:tcW w:w="983" w:type="dxa"/>
            <w:shd w:val="clear" w:color="000000" w:fill="FFFFFF"/>
            <w:vAlign w:val="center"/>
          </w:tcPr>
          <w:p w14:paraId="469236D4" w14:textId="77777777" w:rsidR="00975F26" w:rsidRPr="00ED0D6D" w:rsidRDefault="00975F26" w:rsidP="002A479B">
            <w:pPr>
              <w:jc w:val="center"/>
              <w:rPr>
                <w:color w:val="000000"/>
                <w:sz w:val="20"/>
              </w:rPr>
            </w:pPr>
            <w:r w:rsidRPr="00ED0D6D">
              <w:rPr>
                <w:color w:val="000000"/>
                <w:sz w:val="20"/>
              </w:rPr>
              <w:t>-10</w:t>
            </w:r>
          </w:p>
        </w:tc>
        <w:tc>
          <w:tcPr>
            <w:tcW w:w="1250" w:type="dxa"/>
            <w:shd w:val="clear" w:color="auto" w:fill="auto"/>
            <w:vAlign w:val="center"/>
          </w:tcPr>
          <w:p w14:paraId="724E3476" w14:textId="77777777" w:rsidR="00975F26" w:rsidRPr="00ED0D6D" w:rsidRDefault="00975F26" w:rsidP="002A479B">
            <w:pPr>
              <w:jc w:val="center"/>
              <w:rPr>
                <w:color w:val="000000"/>
                <w:sz w:val="20"/>
              </w:rPr>
            </w:pPr>
            <w:r w:rsidRPr="00ED0D6D">
              <w:rPr>
                <w:color w:val="000000"/>
                <w:sz w:val="20"/>
              </w:rPr>
              <w:t>-10</w:t>
            </w:r>
          </w:p>
        </w:tc>
        <w:tc>
          <w:tcPr>
            <w:tcW w:w="1250" w:type="dxa"/>
            <w:shd w:val="clear" w:color="auto" w:fill="auto"/>
            <w:vAlign w:val="center"/>
          </w:tcPr>
          <w:p w14:paraId="3D3F7DB7" w14:textId="77777777" w:rsidR="00975F26" w:rsidRPr="00ED0D6D" w:rsidRDefault="00975F26" w:rsidP="002A479B">
            <w:pPr>
              <w:jc w:val="center"/>
              <w:rPr>
                <w:color w:val="000000"/>
                <w:sz w:val="20"/>
              </w:rPr>
            </w:pPr>
            <w:r w:rsidRPr="00ED0D6D">
              <w:rPr>
                <w:color w:val="000000"/>
                <w:sz w:val="20"/>
              </w:rPr>
              <w:t>-10</w:t>
            </w:r>
          </w:p>
        </w:tc>
        <w:tc>
          <w:tcPr>
            <w:tcW w:w="2169" w:type="dxa"/>
            <w:shd w:val="clear" w:color="auto" w:fill="auto"/>
            <w:vAlign w:val="center"/>
          </w:tcPr>
          <w:p w14:paraId="47C6B038" w14:textId="77777777" w:rsidR="00975F26" w:rsidRPr="00ED0D6D" w:rsidRDefault="00975F26" w:rsidP="002A479B">
            <w:pPr>
              <w:jc w:val="center"/>
              <w:rPr>
                <w:color w:val="000000"/>
                <w:sz w:val="20"/>
              </w:rPr>
            </w:pPr>
            <w:r w:rsidRPr="00ED0D6D">
              <w:rPr>
                <w:color w:val="000000"/>
                <w:sz w:val="20"/>
              </w:rPr>
              <w:t>Nacionalinė išmetamų į aplinkos orą teršalų apskaitos ataskaita</w:t>
            </w:r>
          </w:p>
        </w:tc>
        <w:tc>
          <w:tcPr>
            <w:tcW w:w="1236" w:type="dxa"/>
            <w:shd w:val="clear" w:color="auto" w:fill="auto"/>
            <w:vAlign w:val="center"/>
          </w:tcPr>
          <w:p w14:paraId="2C632CE9" w14:textId="77777777" w:rsidR="00975F26" w:rsidRPr="00ED0D6D" w:rsidRDefault="00975F26" w:rsidP="002A479B">
            <w:pPr>
              <w:jc w:val="center"/>
              <w:rPr>
                <w:color w:val="000000"/>
                <w:sz w:val="20"/>
              </w:rPr>
            </w:pPr>
            <w:r w:rsidRPr="00ED0D6D">
              <w:rPr>
                <w:color w:val="000000"/>
                <w:sz w:val="20"/>
              </w:rPr>
              <w:t>NPP2030</w:t>
            </w:r>
          </w:p>
          <w:p w14:paraId="73BEB4F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1D7B694" w14:textId="77777777" w:rsidTr="002A479B">
        <w:trPr>
          <w:trHeight w:val="384"/>
        </w:trPr>
        <w:tc>
          <w:tcPr>
            <w:tcW w:w="647" w:type="dxa"/>
            <w:shd w:val="clear" w:color="auto" w:fill="auto"/>
            <w:vAlign w:val="center"/>
          </w:tcPr>
          <w:p w14:paraId="3CDD8712"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19939EE0" w14:textId="77777777" w:rsidR="00975F26" w:rsidRPr="00ED0D6D" w:rsidRDefault="00975F26" w:rsidP="002A479B">
            <w:pPr>
              <w:jc w:val="both"/>
              <w:rPr>
                <w:color w:val="000000"/>
                <w:sz w:val="20"/>
              </w:rPr>
            </w:pPr>
            <w:r w:rsidRPr="00ED0D6D">
              <w:rPr>
                <w:color w:val="000000"/>
                <w:sz w:val="20"/>
              </w:rPr>
              <w:t xml:space="preserve">Gerai informuotų apie aplinkos išteklius šalies gyventojų dalis </w:t>
            </w:r>
            <w:r w:rsidRPr="00ED0D6D">
              <w:rPr>
                <w:sz w:val="20"/>
              </w:rPr>
              <w:t>(proc.)</w:t>
            </w:r>
            <w:r w:rsidRPr="00ED0D6D">
              <w:rPr>
                <w:color w:val="000000"/>
                <w:sz w:val="20"/>
              </w:rPr>
              <w:t xml:space="preserve">   </w:t>
            </w:r>
          </w:p>
        </w:tc>
        <w:tc>
          <w:tcPr>
            <w:tcW w:w="1080" w:type="dxa"/>
            <w:shd w:val="clear" w:color="000000" w:fill="FFFFFF"/>
            <w:vAlign w:val="center"/>
          </w:tcPr>
          <w:p w14:paraId="4F42A8FA" w14:textId="77777777" w:rsidR="00975F26" w:rsidRPr="00ED0D6D" w:rsidRDefault="00975F26" w:rsidP="002A479B">
            <w:pPr>
              <w:jc w:val="center"/>
              <w:rPr>
                <w:color w:val="000000"/>
                <w:sz w:val="20"/>
              </w:rPr>
            </w:pPr>
            <w:r w:rsidRPr="00ED0D6D">
              <w:rPr>
                <w:color w:val="000000"/>
                <w:sz w:val="20"/>
              </w:rPr>
              <w:t>61</w:t>
            </w:r>
          </w:p>
        </w:tc>
        <w:tc>
          <w:tcPr>
            <w:tcW w:w="1080" w:type="dxa"/>
            <w:shd w:val="clear" w:color="000000" w:fill="FFFFFF"/>
            <w:vAlign w:val="center"/>
          </w:tcPr>
          <w:p w14:paraId="4B59621A"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3F154CC6" w14:textId="77777777" w:rsidR="00975F26" w:rsidRPr="00ED0D6D" w:rsidRDefault="00975F26" w:rsidP="002A479B">
            <w:pPr>
              <w:jc w:val="center"/>
              <w:rPr>
                <w:color w:val="000000"/>
                <w:sz w:val="20"/>
              </w:rPr>
            </w:pPr>
            <w:r w:rsidRPr="00ED0D6D">
              <w:rPr>
                <w:color w:val="000000"/>
                <w:sz w:val="20"/>
              </w:rPr>
              <w:t>54 (2014)</w:t>
            </w:r>
          </w:p>
        </w:tc>
        <w:tc>
          <w:tcPr>
            <w:tcW w:w="983" w:type="dxa"/>
            <w:shd w:val="clear" w:color="000000" w:fill="FFFFFF"/>
            <w:vAlign w:val="center"/>
          </w:tcPr>
          <w:p w14:paraId="2F2F0CCA" w14:textId="77777777" w:rsidR="00975F26" w:rsidRPr="00ED0D6D" w:rsidRDefault="00975F26" w:rsidP="002A479B">
            <w:pPr>
              <w:jc w:val="center"/>
              <w:rPr>
                <w:color w:val="000000"/>
                <w:sz w:val="20"/>
              </w:rPr>
            </w:pPr>
            <w:r w:rsidRPr="00ED0D6D">
              <w:rPr>
                <w:color w:val="000000"/>
                <w:sz w:val="20"/>
              </w:rPr>
              <w:t>63</w:t>
            </w:r>
          </w:p>
        </w:tc>
        <w:tc>
          <w:tcPr>
            <w:tcW w:w="1250" w:type="dxa"/>
            <w:shd w:val="clear" w:color="auto" w:fill="auto"/>
            <w:vAlign w:val="center"/>
          </w:tcPr>
          <w:p w14:paraId="3B0A7873"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1BBBB02B"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0A6213AD" w14:textId="77777777" w:rsidR="00975F26" w:rsidRPr="00ED0D6D" w:rsidRDefault="00975F26" w:rsidP="002A479B">
            <w:pPr>
              <w:jc w:val="center"/>
              <w:rPr>
                <w:color w:val="000000"/>
                <w:sz w:val="20"/>
              </w:rPr>
            </w:pPr>
            <w:r w:rsidRPr="00ED0D6D">
              <w:rPr>
                <w:color w:val="000000"/>
                <w:sz w:val="20"/>
              </w:rPr>
              <w:t>AM</w:t>
            </w:r>
          </w:p>
        </w:tc>
        <w:tc>
          <w:tcPr>
            <w:tcW w:w="1236" w:type="dxa"/>
            <w:shd w:val="clear" w:color="auto" w:fill="auto"/>
            <w:vAlign w:val="center"/>
          </w:tcPr>
          <w:p w14:paraId="6F999435"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FBD544E" w14:textId="77777777" w:rsidTr="002A479B">
        <w:trPr>
          <w:trHeight w:val="384"/>
        </w:trPr>
        <w:tc>
          <w:tcPr>
            <w:tcW w:w="647" w:type="dxa"/>
            <w:shd w:val="clear" w:color="auto" w:fill="auto"/>
            <w:vAlign w:val="center"/>
          </w:tcPr>
          <w:p w14:paraId="7B843962"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1A9A5AEA" w14:textId="77777777" w:rsidR="00975F26" w:rsidRPr="00ED0D6D" w:rsidRDefault="00975F26" w:rsidP="002A479B">
            <w:pPr>
              <w:jc w:val="both"/>
              <w:rPr>
                <w:color w:val="000000"/>
                <w:sz w:val="20"/>
              </w:rPr>
            </w:pPr>
            <w:r w:rsidRPr="00ED0D6D">
              <w:rPr>
                <w:color w:val="000000"/>
                <w:sz w:val="20"/>
              </w:rPr>
              <w:t xml:space="preserve">Gyventojų, pakankamai prisidedančių prie tausaus išteklių naudojimo, dalis </w:t>
            </w:r>
            <w:r w:rsidRPr="00ED0D6D">
              <w:rPr>
                <w:sz w:val="20"/>
              </w:rPr>
              <w:t>(proc.)</w:t>
            </w:r>
            <w:r w:rsidRPr="00ED0D6D">
              <w:rPr>
                <w:color w:val="000000"/>
                <w:sz w:val="20"/>
              </w:rPr>
              <w:t xml:space="preserve">   </w:t>
            </w:r>
          </w:p>
        </w:tc>
        <w:tc>
          <w:tcPr>
            <w:tcW w:w="1080" w:type="dxa"/>
            <w:shd w:val="clear" w:color="000000" w:fill="FFFFFF"/>
            <w:vAlign w:val="center"/>
          </w:tcPr>
          <w:p w14:paraId="2E9E95A8" w14:textId="77777777" w:rsidR="00975F26" w:rsidRPr="00ED0D6D" w:rsidRDefault="00975F26" w:rsidP="002A479B">
            <w:pPr>
              <w:jc w:val="center"/>
              <w:rPr>
                <w:color w:val="000000"/>
                <w:sz w:val="20"/>
              </w:rPr>
            </w:pPr>
            <w:r w:rsidRPr="00ED0D6D">
              <w:rPr>
                <w:color w:val="000000"/>
                <w:sz w:val="20"/>
              </w:rPr>
              <w:t>50</w:t>
            </w:r>
          </w:p>
        </w:tc>
        <w:tc>
          <w:tcPr>
            <w:tcW w:w="1080" w:type="dxa"/>
            <w:shd w:val="clear" w:color="000000" w:fill="FFFFFF"/>
            <w:vAlign w:val="center"/>
          </w:tcPr>
          <w:p w14:paraId="14E00EEC"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72A932BF" w14:textId="77777777" w:rsidR="00975F26" w:rsidRPr="00ED0D6D" w:rsidRDefault="00975F26" w:rsidP="002A479B">
            <w:pPr>
              <w:jc w:val="center"/>
              <w:rPr>
                <w:color w:val="000000"/>
                <w:sz w:val="20"/>
              </w:rPr>
            </w:pPr>
            <w:r w:rsidRPr="00ED0D6D">
              <w:rPr>
                <w:color w:val="000000"/>
                <w:sz w:val="20"/>
              </w:rPr>
              <w:t>48 (2019)</w:t>
            </w:r>
          </w:p>
        </w:tc>
        <w:tc>
          <w:tcPr>
            <w:tcW w:w="983" w:type="dxa"/>
            <w:shd w:val="clear" w:color="000000" w:fill="FFFFFF"/>
            <w:vAlign w:val="center"/>
          </w:tcPr>
          <w:p w14:paraId="600CC05F"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auto" w:fill="auto"/>
            <w:vAlign w:val="center"/>
          </w:tcPr>
          <w:p w14:paraId="643CE76F"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0F876EE2"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59B59A9C" w14:textId="77777777" w:rsidR="00975F26" w:rsidRPr="00ED0D6D" w:rsidRDefault="00975F26" w:rsidP="002A479B">
            <w:pPr>
              <w:jc w:val="center"/>
              <w:rPr>
                <w:color w:val="000000"/>
                <w:sz w:val="20"/>
              </w:rPr>
            </w:pPr>
            <w:r w:rsidRPr="00ED0D6D">
              <w:rPr>
                <w:color w:val="000000"/>
                <w:sz w:val="20"/>
              </w:rPr>
              <w:t>E</w:t>
            </w:r>
            <w:r>
              <w:rPr>
                <w:color w:val="000000"/>
                <w:sz w:val="20"/>
              </w:rPr>
              <w:t>uropos Komisijos (toliau – EK)</w:t>
            </w:r>
            <w:r w:rsidRPr="00ED0D6D">
              <w:rPr>
                <w:color w:val="000000"/>
                <w:sz w:val="20"/>
              </w:rPr>
              <w:t xml:space="preserve"> </w:t>
            </w:r>
            <w:proofErr w:type="spellStart"/>
            <w:r w:rsidRPr="00ED0D6D">
              <w:rPr>
                <w:color w:val="000000"/>
                <w:sz w:val="20"/>
              </w:rPr>
              <w:t>Eurobarometras</w:t>
            </w:r>
            <w:proofErr w:type="spellEnd"/>
          </w:p>
        </w:tc>
        <w:tc>
          <w:tcPr>
            <w:tcW w:w="1236" w:type="dxa"/>
            <w:shd w:val="clear" w:color="auto" w:fill="auto"/>
            <w:vAlign w:val="center"/>
          </w:tcPr>
          <w:p w14:paraId="26F92997"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0FAFBBD" w14:textId="77777777" w:rsidTr="002A479B">
        <w:trPr>
          <w:trHeight w:val="384"/>
        </w:trPr>
        <w:tc>
          <w:tcPr>
            <w:tcW w:w="647" w:type="dxa"/>
            <w:shd w:val="clear" w:color="auto" w:fill="auto"/>
            <w:vAlign w:val="center"/>
          </w:tcPr>
          <w:p w14:paraId="5D5814FE"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172A3A41" w14:textId="77777777" w:rsidR="00975F26" w:rsidRPr="00ED0D6D" w:rsidRDefault="00975F26" w:rsidP="002A479B">
            <w:pPr>
              <w:jc w:val="both"/>
              <w:rPr>
                <w:color w:val="000000"/>
                <w:sz w:val="20"/>
              </w:rPr>
            </w:pPr>
            <w:r w:rsidRPr="00ED0D6D">
              <w:rPr>
                <w:color w:val="000000"/>
                <w:sz w:val="20"/>
              </w:rPr>
              <w:t xml:space="preserve">Per informacines sistemas nuotoliniu būdu pateiktų prašymų, susijusių su teritorijų planavimu ir statyba, dalis </w:t>
            </w:r>
            <w:r w:rsidRPr="00ED0D6D">
              <w:rPr>
                <w:sz w:val="20"/>
              </w:rPr>
              <w:t>(proc.)</w:t>
            </w:r>
            <w:r w:rsidRPr="00ED0D6D">
              <w:rPr>
                <w:color w:val="000000"/>
                <w:sz w:val="20"/>
              </w:rPr>
              <w:t xml:space="preserve">   </w:t>
            </w:r>
          </w:p>
        </w:tc>
        <w:tc>
          <w:tcPr>
            <w:tcW w:w="1080" w:type="dxa"/>
            <w:shd w:val="clear" w:color="000000" w:fill="FFFFFF"/>
            <w:vAlign w:val="center"/>
          </w:tcPr>
          <w:p w14:paraId="4A098B42" w14:textId="77777777" w:rsidR="00975F26" w:rsidRPr="00ED0D6D" w:rsidRDefault="00975F26" w:rsidP="002A479B">
            <w:pPr>
              <w:jc w:val="center"/>
              <w:rPr>
                <w:color w:val="000000"/>
                <w:sz w:val="20"/>
              </w:rPr>
            </w:pPr>
            <w:r w:rsidRPr="00ED0D6D">
              <w:rPr>
                <w:color w:val="000000"/>
                <w:sz w:val="20"/>
              </w:rPr>
              <w:t>94,35</w:t>
            </w:r>
          </w:p>
        </w:tc>
        <w:tc>
          <w:tcPr>
            <w:tcW w:w="1080" w:type="dxa"/>
            <w:shd w:val="clear" w:color="000000" w:fill="FFFFFF"/>
            <w:vAlign w:val="center"/>
          </w:tcPr>
          <w:p w14:paraId="6B302CEE" w14:textId="77777777" w:rsidR="00975F26" w:rsidRPr="00ED0D6D" w:rsidRDefault="00975F26" w:rsidP="002A479B">
            <w:pPr>
              <w:jc w:val="center"/>
              <w:rPr>
                <w:color w:val="000000"/>
                <w:sz w:val="20"/>
              </w:rPr>
            </w:pPr>
            <w:r w:rsidRPr="00ED0D6D">
              <w:rPr>
                <w:color w:val="000000"/>
                <w:sz w:val="20"/>
              </w:rPr>
              <w:t>97,19</w:t>
            </w:r>
          </w:p>
        </w:tc>
        <w:tc>
          <w:tcPr>
            <w:tcW w:w="954" w:type="dxa"/>
            <w:shd w:val="clear" w:color="auto" w:fill="auto"/>
            <w:vAlign w:val="center"/>
          </w:tcPr>
          <w:p w14:paraId="32388B04"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3E39E94D" w14:textId="77777777" w:rsidR="00975F26" w:rsidRPr="00ED0D6D" w:rsidRDefault="00975F26" w:rsidP="002A479B">
            <w:pPr>
              <w:jc w:val="center"/>
              <w:rPr>
                <w:color w:val="000000"/>
                <w:sz w:val="20"/>
              </w:rPr>
            </w:pPr>
            <w:r w:rsidRPr="00ED0D6D">
              <w:rPr>
                <w:color w:val="000000"/>
                <w:sz w:val="20"/>
              </w:rPr>
              <w:t>85</w:t>
            </w:r>
          </w:p>
        </w:tc>
        <w:tc>
          <w:tcPr>
            <w:tcW w:w="1250" w:type="dxa"/>
            <w:shd w:val="clear" w:color="auto" w:fill="auto"/>
            <w:vAlign w:val="center"/>
          </w:tcPr>
          <w:p w14:paraId="4EB80870"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052885E3"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7EA4F6BB" w14:textId="77777777" w:rsidR="00975F26" w:rsidRPr="00ED0D6D" w:rsidRDefault="00975F26" w:rsidP="002A479B">
            <w:pPr>
              <w:jc w:val="center"/>
              <w:rPr>
                <w:color w:val="000000"/>
                <w:sz w:val="20"/>
              </w:rPr>
            </w:pPr>
            <w:r w:rsidRPr="00ED0D6D">
              <w:rPr>
                <w:color w:val="000000"/>
                <w:sz w:val="20"/>
              </w:rPr>
              <w:t>Valstybinė teritorijų planavimo ir statybos inspekcija</w:t>
            </w:r>
            <w:r>
              <w:rPr>
                <w:color w:val="000000"/>
                <w:sz w:val="20"/>
              </w:rPr>
              <w:t xml:space="preserve"> prie AM</w:t>
            </w:r>
          </w:p>
        </w:tc>
        <w:tc>
          <w:tcPr>
            <w:tcW w:w="1236" w:type="dxa"/>
            <w:shd w:val="clear" w:color="auto" w:fill="auto"/>
            <w:vAlign w:val="center"/>
          </w:tcPr>
          <w:p w14:paraId="199A56A7"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5F41EBE" w14:textId="77777777" w:rsidTr="002A479B">
        <w:trPr>
          <w:trHeight w:val="384"/>
        </w:trPr>
        <w:tc>
          <w:tcPr>
            <w:tcW w:w="647" w:type="dxa"/>
            <w:shd w:val="clear" w:color="auto" w:fill="auto"/>
            <w:vAlign w:val="center"/>
          </w:tcPr>
          <w:p w14:paraId="47986EE8"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3DE38DAD" w14:textId="77777777" w:rsidR="00975F26" w:rsidRPr="00ED0D6D" w:rsidRDefault="00975F26" w:rsidP="002A479B">
            <w:pPr>
              <w:jc w:val="both"/>
              <w:rPr>
                <w:color w:val="000000"/>
                <w:sz w:val="20"/>
              </w:rPr>
            </w:pPr>
            <w:r w:rsidRPr="00ED0D6D">
              <w:rPr>
                <w:color w:val="000000"/>
                <w:sz w:val="20"/>
              </w:rPr>
              <w:t>Pagrįstų skundų dalis nuo visų skundų, pateiktų statybos ir teritorijų planavimo srityje, palyginti su 2016</w:t>
            </w:r>
            <w:r>
              <w:rPr>
                <w:color w:val="000000"/>
                <w:sz w:val="20"/>
              </w:rPr>
              <w:t> </w:t>
            </w:r>
            <w:r w:rsidRPr="00ED0D6D">
              <w:rPr>
                <w:color w:val="000000"/>
                <w:sz w:val="20"/>
              </w:rPr>
              <w:t>m</w:t>
            </w:r>
            <w:r>
              <w:rPr>
                <w:color w:val="000000"/>
                <w:sz w:val="20"/>
              </w:rPr>
              <w:t>.</w:t>
            </w:r>
            <w:r w:rsidRPr="00ED0D6D">
              <w:rPr>
                <w:color w:val="000000"/>
                <w:sz w:val="20"/>
              </w:rPr>
              <w:t xml:space="preserve"> duomenimis </w:t>
            </w:r>
            <w:r w:rsidRPr="00ED0D6D">
              <w:rPr>
                <w:sz w:val="20"/>
              </w:rPr>
              <w:t>(proc.)</w:t>
            </w:r>
            <w:r w:rsidRPr="00ED0D6D">
              <w:rPr>
                <w:color w:val="000000"/>
                <w:sz w:val="20"/>
              </w:rPr>
              <w:t xml:space="preserve">   </w:t>
            </w:r>
          </w:p>
        </w:tc>
        <w:tc>
          <w:tcPr>
            <w:tcW w:w="1080" w:type="dxa"/>
            <w:shd w:val="clear" w:color="000000" w:fill="FFFFFF"/>
            <w:vAlign w:val="center"/>
          </w:tcPr>
          <w:p w14:paraId="5DBF060E" w14:textId="77777777" w:rsidR="00975F26" w:rsidRPr="00ED0D6D" w:rsidRDefault="00975F26" w:rsidP="002A479B">
            <w:pPr>
              <w:jc w:val="center"/>
              <w:rPr>
                <w:color w:val="000000"/>
                <w:sz w:val="20"/>
              </w:rPr>
            </w:pPr>
            <w:r w:rsidRPr="00ED0D6D">
              <w:rPr>
                <w:color w:val="000000"/>
                <w:sz w:val="20"/>
              </w:rPr>
              <w:t>-5,59</w:t>
            </w:r>
          </w:p>
        </w:tc>
        <w:tc>
          <w:tcPr>
            <w:tcW w:w="1080" w:type="dxa"/>
            <w:shd w:val="clear" w:color="000000" w:fill="FFFFFF"/>
            <w:vAlign w:val="center"/>
          </w:tcPr>
          <w:p w14:paraId="0458299F" w14:textId="77777777" w:rsidR="00975F26" w:rsidRPr="00ED0D6D" w:rsidRDefault="00975F26" w:rsidP="002A479B">
            <w:pPr>
              <w:jc w:val="center"/>
              <w:rPr>
                <w:color w:val="000000"/>
                <w:sz w:val="20"/>
              </w:rPr>
            </w:pPr>
            <w:r w:rsidRPr="00ED0D6D">
              <w:rPr>
                <w:color w:val="000000"/>
                <w:sz w:val="20"/>
              </w:rPr>
              <w:t>6,86</w:t>
            </w:r>
          </w:p>
        </w:tc>
        <w:tc>
          <w:tcPr>
            <w:tcW w:w="954" w:type="dxa"/>
            <w:shd w:val="clear" w:color="auto" w:fill="auto"/>
            <w:vAlign w:val="center"/>
          </w:tcPr>
          <w:p w14:paraId="454166C5"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79105B45"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auto" w:fill="auto"/>
            <w:vAlign w:val="center"/>
          </w:tcPr>
          <w:p w14:paraId="038A5FC1"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6E8821FD"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778CCD8F" w14:textId="77777777" w:rsidR="00975F26" w:rsidRPr="00ED0D6D" w:rsidRDefault="00975F26" w:rsidP="002A479B">
            <w:pPr>
              <w:jc w:val="center"/>
              <w:rPr>
                <w:color w:val="000000"/>
                <w:sz w:val="20"/>
              </w:rPr>
            </w:pPr>
            <w:r w:rsidRPr="00ED0D6D">
              <w:rPr>
                <w:color w:val="000000"/>
                <w:sz w:val="20"/>
              </w:rPr>
              <w:t>Valstybinė teritorijų planavimo ir statybos inspekcija</w:t>
            </w:r>
            <w:r>
              <w:rPr>
                <w:color w:val="000000"/>
                <w:sz w:val="20"/>
              </w:rPr>
              <w:t xml:space="preserve"> prie AM</w:t>
            </w:r>
          </w:p>
        </w:tc>
        <w:tc>
          <w:tcPr>
            <w:tcW w:w="1236" w:type="dxa"/>
            <w:shd w:val="clear" w:color="auto" w:fill="auto"/>
            <w:vAlign w:val="center"/>
          </w:tcPr>
          <w:p w14:paraId="6FB6E174"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3983189" w14:textId="77777777" w:rsidTr="002A479B">
        <w:trPr>
          <w:trHeight w:val="384"/>
        </w:trPr>
        <w:tc>
          <w:tcPr>
            <w:tcW w:w="647" w:type="dxa"/>
            <w:shd w:val="clear" w:color="auto" w:fill="auto"/>
            <w:vAlign w:val="center"/>
          </w:tcPr>
          <w:p w14:paraId="114C45C1"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361CB1B7" w14:textId="77777777" w:rsidR="00975F26" w:rsidRPr="00ED0D6D" w:rsidRDefault="00975F26" w:rsidP="002A479B">
            <w:pPr>
              <w:rPr>
                <w:color w:val="000000"/>
                <w:sz w:val="20"/>
              </w:rPr>
            </w:pPr>
            <w:r w:rsidRPr="00ED0D6D">
              <w:rPr>
                <w:color w:val="000000"/>
                <w:sz w:val="20"/>
              </w:rPr>
              <w:t xml:space="preserve">Savavališkų statybų skaičius (vienetai)   </w:t>
            </w:r>
          </w:p>
        </w:tc>
        <w:tc>
          <w:tcPr>
            <w:tcW w:w="1080" w:type="dxa"/>
            <w:shd w:val="clear" w:color="000000" w:fill="FFFFFF"/>
            <w:vAlign w:val="center"/>
          </w:tcPr>
          <w:p w14:paraId="05DA8097" w14:textId="77777777" w:rsidR="00975F26" w:rsidRPr="00ED0D6D" w:rsidRDefault="00975F26" w:rsidP="002A479B">
            <w:pPr>
              <w:jc w:val="center"/>
              <w:rPr>
                <w:color w:val="000000"/>
                <w:sz w:val="20"/>
              </w:rPr>
            </w:pPr>
            <w:r w:rsidRPr="00ED0D6D">
              <w:rPr>
                <w:color w:val="000000"/>
                <w:sz w:val="20"/>
              </w:rPr>
              <w:t>318</w:t>
            </w:r>
          </w:p>
        </w:tc>
        <w:tc>
          <w:tcPr>
            <w:tcW w:w="1080" w:type="dxa"/>
            <w:shd w:val="clear" w:color="000000" w:fill="FFFFFF"/>
            <w:vAlign w:val="center"/>
          </w:tcPr>
          <w:p w14:paraId="2A83E2CB" w14:textId="77777777" w:rsidR="00975F26" w:rsidRPr="00ED0D6D" w:rsidRDefault="00975F26" w:rsidP="002A479B">
            <w:pPr>
              <w:jc w:val="center"/>
              <w:rPr>
                <w:color w:val="000000"/>
                <w:sz w:val="20"/>
              </w:rPr>
            </w:pPr>
            <w:r w:rsidRPr="00ED0D6D">
              <w:rPr>
                <w:color w:val="000000"/>
                <w:sz w:val="20"/>
              </w:rPr>
              <w:t>374</w:t>
            </w:r>
          </w:p>
        </w:tc>
        <w:tc>
          <w:tcPr>
            <w:tcW w:w="954" w:type="dxa"/>
            <w:shd w:val="clear" w:color="auto" w:fill="auto"/>
            <w:vAlign w:val="center"/>
          </w:tcPr>
          <w:p w14:paraId="20A05998"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4299D983" w14:textId="77777777" w:rsidR="00975F26" w:rsidRPr="00ED0D6D" w:rsidRDefault="00975F26" w:rsidP="002A479B">
            <w:pPr>
              <w:jc w:val="center"/>
              <w:rPr>
                <w:color w:val="000000"/>
                <w:sz w:val="20"/>
              </w:rPr>
            </w:pPr>
            <w:r w:rsidRPr="00ED0D6D">
              <w:rPr>
                <w:color w:val="000000"/>
                <w:sz w:val="20"/>
              </w:rPr>
              <w:t>400</w:t>
            </w:r>
          </w:p>
        </w:tc>
        <w:tc>
          <w:tcPr>
            <w:tcW w:w="1250" w:type="dxa"/>
            <w:shd w:val="clear" w:color="auto" w:fill="auto"/>
            <w:vAlign w:val="center"/>
          </w:tcPr>
          <w:p w14:paraId="233A4065"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0CC53950"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053464A5" w14:textId="77777777" w:rsidR="00975F26" w:rsidRPr="00ED0D6D" w:rsidRDefault="00975F26" w:rsidP="002A479B">
            <w:pPr>
              <w:jc w:val="center"/>
              <w:rPr>
                <w:color w:val="000000"/>
                <w:sz w:val="20"/>
              </w:rPr>
            </w:pPr>
            <w:r w:rsidRPr="00ED0D6D">
              <w:rPr>
                <w:color w:val="000000"/>
                <w:sz w:val="20"/>
              </w:rPr>
              <w:t>Valstybinė teritorijų planavimo ir statybos inspekcija</w:t>
            </w:r>
            <w:r>
              <w:rPr>
                <w:color w:val="000000"/>
                <w:sz w:val="20"/>
              </w:rPr>
              <w:t xml:space="preserve"> prie AM</w:t>
            </w:r>
          </w:p>
        </w:tc>
        <w:tc>
          <w:tcPr>
            <w:tcW w:w="1236" w:type="dxa"/>
            <w:shd w:val="clear" w:color="auto" w:fill="auto"/>
            <w:vAlign w:val="center"/>
          </w:tcPr>
          <w:p w14:paraId="4605B25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FBFBFA5" w14:textId="77777777" w:rsidTr="002A479B">
        <w:trPr>
          <w:trHeight w:val="384"/>
        </w:trPr>
        <w:tc>
          <w:tcPr>
            <w:tcW w:w="647" w:type="dxa"/>
            <w:shd w:val="clear" w:color="auto" w:fill="auto"/>
            <w:vAlign w:val="center"/>
          </w:tcPr>
          <w:p w14:paraId="60B144DC"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0BABA1F0" w14:textId="107B2925" w:rsidR="00975F26" w:rsidRPr="00ED0D6D" w:rsidRDefault="00975F26" w:rsidP="002A479B">
            <w:pPr>
              <w:jc w:val="both"/>
              <w:rPr>
                <w:color w:val="000000"/>
                <w:sz w:val="20"/>
              </w:rPr>
            </w:pPr>
            <w:r w:rsidRPr="00ED0D6D">
              <w:rPr>
                <w:color w:val="000000"/>
                <w:sz w:val="20"/>
              </w:rPr>
              <w:t xml:space="preserve">Gyventojų </w:t>
            </w:r>
            <w:r w:rsidRPr="00655094">
              <w:rPr>
                <w:color w:val="000000"/>
                <w:sz w:val="20"/>
              </w:rPr>
              <w:t>tankis</w:t>
            </w:r>
            <w:r w:rsidRPr="00ED0D6D">
              <w:rPr>
                <w:color w:val="000000"/>
                <w:sz w:val="20"/>
              </w:rPr>
              <w:t xml:space="preserve"> 5 didžiausių Lietuvos miestų užstatytose teritorijose, </w:t>
            </w:r>
            <w:r w:rsidR="00655094" w:rsidRPr="00655094">
              <w:rPr>
                <w:sz w:val="20"/>
              </w:rPr>
              <w:t>(gyv. sk./ha)</w:t>
            </w:r>
          </w:p>
        </w:tc>
        <w:tc>
          <w:tcPr>
            <w:tcW w:w="1080" w:type="dxa"/>
            <w:shd w:val="clear" w:color="000000" w:fill="FFFFFF"/>
            <w:vAlign w:val="center"/>
          </w:tcPr>
          <w:p w14:paraId="52702AE2" w14:textId="77777777" w:rsidR="00975F26" w:rsidRPr="00ED0D6D" w:rsidRDefault="00975F26" w:rsidP="002A479B">
            <w:pPr>
              <w:jc w:val="center"/>
              <w:rPr>
                <w:color w:val="000000"/>
                <w:sz w:val="20"/>
              </w:rPr>
            </w:pPr>
            <w:r w:rsidRPr="00ED0D6D">
              <w:rPr>
                <w:color w:val="000000"/>
                <w:sz w:val="20"/>
              </w:rPr>
              <w:t>38</w:t>
            </w:r>
          </w:p>
        </w:tc>
        <w:tc>
          <w:tcPr>
            <w:tcW w:w="1080" w:type="dxa"/>
            <w:shd w:val="clear" w:color="000000" w:fill="FFFFFF"/>
            <w:vAlign w:val="center"/>
          </w:tcPr>
          <w:p w14:paraId="342A10DF" w14:textId="77777777" w:rsidR="00975F26" w:rsidRPr="00ED0D6D" w:rsidRDefault="00975F26" w:rsidP="002A479B">
            <w:pPr>
              <w:jc w:val="center"/>
              <w:rPr>
                <w:color w:val="000000"/>
                <w:sz w:val="20"/>
              </w:rPr>
            </w:pPr>
            <w:r w:rsidRPr="00ED0D6D">
              <w:rPr>
                <w:color w:val="000000"/>
                <w:sz w:val="20"/>
              </w:rPr>
              <w:t>38</w:t>
            </w:r>
          </w:p>
        </w:tc>
        <w:tc>
          <w:tcPr>
            <w:tcW w:w="954" w:type="dxa"/>
            <w:shd w:val="clear" w:color="auto" w:fill="auto"/>
            <w:vAlign w:val="center"/>
          </w:tcPr>
          <w:p w14:paraId="4CD5FCA6"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484A4AA4" w14:textId="77777777" w:rsidR="00975F26" w:rsidRPr="00ED0D6D" w:rsidRDefault="00975F26" w:rsidP="002A479B">
            <w:pPr>
              <w:jc w:val="center"/>
              <w:rPr>
                <w:color w:val="000000"/>
                <w:sz w:val="20"/>
              </w:rPr>
            </w:pPr>
            <w:r w:rsidRPr="00ED0D6D">
              <w:rPr>
                <w:color w:val="000000"/>
                <w:sz w:val="20"/>
              </w:rPr>
              <w:t>38</w:t>
            </w:r>
          </w:p>
        </w:tc>
        <w:tc>
          <w:tcPr>
            <w:tcW w:w="1250" w:type="dxa"/>
            <w:shd w:val="clear" w:color="auto" w:fill="auto"/>
            <w:vAlign w:val="center"/>
          </w:tcPr>
          <w:p w14:paraId="651E435A"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550AC25D" w14:textId="77777777" w:rsidR="00975F26" w:rsidRPr="00ED0D6D" w:rsidRDefault="00975F26" w:rsidP="002A479B">
            <w:pPr>
              <w:jc w:val="center"/>
              <w:rPr>
                <w:color w:val="000000"/>
                <w:sz w:val="20"/>
              </w:rPr>
            </w:pPr>
            <w:r>
              <w:rPr>
                <w:color w:val="000000"/>
                <w:sz w:val="20"/>
              </w:rPr>
              <w:t>–</w:t>
            </w:r>
          </w:p>
        </w:tc>
        <w:tc>
          <w:tcPr>
            <w:tcW w:w="2169" w:type="dxa"/>
            <w:shd w:val="clear" w:color="auto" w:fill="auto"/>
            <w:vAlign w:val="center"/>
          </w:tcPr>
          <w:p w14:paraId="18CF4E7E" w14:textId="77777777" w:rsidR="00975F26" w:rsidRPr="00ED0D6D" w:rsidRDefault="00975F26" w:rsidP="002A479B">
            <w:pPr>
              <w:jc w:val="center"/>
              <w:rPr>
                <w:color w:val="000000"/>
                <w:sz w:val="20"/>
              </w:rPr>
            </w:pPr>
            <w:r w:rsidRPr="00ED0D6D">
              <w:rPr>
                <w:color w:val="000000"/>
                <w:sz w:val="20"/>
              </w:rPr>
              <w:t>AM, Lietuvos statistikos departamentas</w:t>
            </w:r>
          </w:p>
        </w:tc>
        <w:tc>
          <w:tcPr>
            <w:tcW w:w="1236" w:type="dxa"/>
            <w:shd w:val="clear" w:color="auto" w:fill="auto"/>
            <w:vAlign w:val="center"/>
          </w:tcPr>
          <w:p w14:paraId="6402F00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A73DB5C" w14:textId="77777777" w:rsidTr="002A479B">
        <w:trPr>
          <w:trHeight w:val="384"/>
        </w:trPr>
        <w:tc>
          <w:tcPr>
            <w:tcW w:w="647" w:type="dxa"/>
            <w:shd w:val="clear" w:color="auto" w:fill="auto"/>
            <w:vAlign w:val="center"/>
          </w:tcPr>
          <w:p w14:paraId="5A27FB20"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4AD9E0D4" w14:textId="77777777" w:rsidR="00975F26" w:rsidRPr="00ED0D6D" w:rsidRDefault="00975F26" w:rsidP="002A479B">
            <w:pPr>
              <w:jc w:val="both"/>
              <w:rPr>
                <w:color w:val="000000"/>
                <w:sz w:val="20"/>
              </w:rPr>
            </w:pPr>
            <w:r w:rsidRPr="00ED0D6D">
              <w:rPr>
                <w:color w:val="000000"/>
                <w:sz w:val="20"/>
              </w:rPr>
              <w:t xml:space="preserve">Geriamojo vandens tiekimo paslaugų prieinamumas gyventojams </w:t>
            </w:r>
            <w:r w:rsidRPr="00ED0D6D">
              <w:rPr>
                <w:sz w:val="20"/>
              </w:rPr>
              <w:t>(proc.)</w:t>
            </w:r>
          </w:p>
        </w:tc>
        <w:tc>
          <w:tcPr>
            <w:tcW w:w="1080" w:type="dxa"/>
            <w:shd w:val="clear" w:color="000000" w:fill="FFFFFF"/>
            <w:vAlign w:val="center"/>
          </w:tcPr>
          <w:p w14:paraId="2392F591" w14:textId="77777777" w:rsidR="00975F26" w:rsidRPr="00ED0D6D" w:rsidRDefault="00975F26" w:rsidP="002A479B">
            <w:pPr>
              <w:jc w:val="center"/>
              <w:rPr>
                <w:color w:val="000000"/>
                <w:sz w:val="20"/>
              </w:rPr>
            </w:pPr>
            <w:r w:rsidRPr="00ED0D6D">
              <w:rPr>
                <w:color w:val="000000"/>
                <w:sz w:val="20"/>
              </w:rPr>
              <w:t>83</w:t>
            </w:r>
          </w:p>
        </w:tc>
        <w:tc>
          <w:tcPr>
            <w:tcW w:w="1080" w:type="dxa"/>
            <w:shd w:val="clear" w:color="000000" w:fill="FFFFFF"/>
            <w:vAlign w:val="center"/>
          </w:tcPr>
          <w:p w14:paraId="57E37944"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4CB00B61" w14:textId="77777777" w:rsidR="00975F26" w:rsidRPr="00ED0D6D" w:rsidRDefault="00975F26" w:rsidP="002A479B">
            <w:pPr>
              <w:jc w:val="center"/>
              <w:rPr>
                <w:color w:val="000000"/>
                <w:sz w:val="20"/>
              </w:rPr>
            </w:pPr>
            <w:r w:rsidRPr="00ED0D6D">
              <w:rPr>
                <w:color w:val="000000"/>
                <w:sz w:val="20"/>
              </w:rPr>
              <w:t>94</w:t>
            </w:r>
          </w:p>
          <w:p w14:paraId="18B174BD" w14:textId="77777777" w:rsidR="00975F26" w:rsidRPr="00ED0D6D" w:rsidRDefault="00975F26" w:rsidP="002A479B">
            <w:pPr>
              <w:jc w:val="center"/>
              <w:rPr>
                <w:color w:val="000000"/>
                <w:sz w:val="20"/>
              </w:rPr>
            </w:pPr>
            <w:r w:rsidRPr="00ED0D6D">
              <w:rPr>
                <w:color w:val="000000"/>
                <w:sz w:val="20"/>
              </w:rPr>
              <w:t xml:space="preserve"> (2018)</w:t>
            </w:r>
          </w:p>
        </w:tc>
        <w:tc>
          <w:tcPr>
            <w:tcW w:w="983" w:type="dxa"/>
            <w:shd w:val="clear" w:color="000000" w:fill="FFFFFF"/>
            <w:vAlign w:val="center"/>
          </w:tcPr>
          <w:p w14:paraId="6AD82ABC" w14:textId="77777777" w:rsidR="00975F26" w:rsidRPr="00ED0D6D" w:rsidRDefault="00975F26" w:rsidP="002A479B">
            <w:pPr>
              <w:jc w:val="center"/>
              <w:rPr>
                <w:color w:val="000000"/>
                <w:sz w:val="20"/>
              </w:rPr>
            </w:pPr>
            <w:r w:rsidRPr="00ED0D6D">
              <w:rPr>
                <w:color w:val="000000"/>
                <w:sz w:val="20"/>
              </w:rPr>
              <w:t>88</w:t>
            </w:r>
          </w:p>
        </w:tc>
        <w:tc>
          <w:tcPr>
            <w:tcW w:w="1250" w:type="dxa"/>
            <w:shd w:val="clear" w:color="auto" w:fill="auto"/>
            <w:vAlign w:val="center"/>
          </w:tcPr>
          <w:p w14:paraId="01EC515B" w14:textId="77777777" w:rsidR="00975F26" w:rsidRPr="00ED0D6D" w:rsidRDefault="00975F26" w:rsidP="002A479B">
            <w:pPr>
              <w:jc w:val="center"/>
              <w:rPr>
                <w:color w:val="000000"/>
                <w:sz w:val="20"/>
              </w:rPr>
            </w:pPr>
            <w:r w:rsidRPr="00ED0D6D">
              <w:rPr>
                <w:color w:val="000000"/>
                <w:sz w:val="20"/>
              </w:rPr>
              <w:t>86</w:t>
            </w:r>
          </w:p>
        </w:tc>
        <w:tc>
          <w:tcPr>
            <w:tcW w:w="1250" w:type="dxa"/>
            <w:shd w:val="clear" w:color="auto" w:fill="auto"/>
            <w:vAlign w:val="center"/>
          </w:tcPr>
          <w:p w14:paraId="61F9C8A1" w14:textId="77777777" w:rsidR="00975F26" w:rsidRPr="00ED0D6D" w:rsidRDefault="00975F26" w:rsidP="002A479B">
            <w:pPr>
              <w:jc w:val="center"/>
              <w:rPr>
                <w:color w:val="000000"/>
                <w:sz w:val="20"/>
              </w:rPr>
            </w:pPr>
            <w:r w:rsidRPr="00ED0D6D">
              <w:rPr>
                <w:color w:val="000000"/>
                <w:sz w:val="20"/>
              </w:rPr>
              <w:t>90</w:t>
            </w:r>
          </w:p>
        </w:tc>
        <w:tc>
          <w:tcPr>
            <w:tcW w:w="2169" w:type="dxa"/>
            <w:shd w:val="clear" w:color="auto" w:fill="auto"/>
            <w:vAlign w:val="center"/>
          </w:tcPr>
          <w:p w14:paraId="4692A7A6" w14:textId="77777777" w:rsidR="00975F26" w:rsidRPr="00ED0D6D" w:rsidRDefault="00C64DAC" w:rsidP="002A479B">
            <w:pPr>
              <w:jc w:val="center"/>
              <w:rPr>
                <w:color w:val="000000"/>
                <w:sz w:val="20"/>
              </w:rPr>
            </w:pPr>
            <w:hyperlink r:id="rId41" w:history="1">
              <w:r w:rsidR="00975F26" w:rsidRPr="00ED0D6D">
                <w:rPr>
                  <w:rStyle w:val="Hipersaitas"/>
                  <w:color w:val="000000"/>
                  <w:sz w:val="20"/>
                  <w:u w:val="none"/>
                </w:rPr>
                <w:t>Eurostat</w:t>
              </w:r>
            </w:hyperlink>
            <w:r w:rsidR="00975F26" w:rsidRPr="00ED0D6D">
              <w:rPr>
                <w:color w:val="000000"/>
                <w:sz w:val="20"/>
              </w:rPr>
              <w:t>as</w:t>
            </w:r>
          </w:p>
        </w:tc>
        <w:tc>
          <w:tcPr>
            <w:tcW w:w="1236" w:type="dxa"/>
            <w:shd w:val="clear" w:color="auto" w:fill="auto"/>
            <w:vAlign w:val="center"/>
          </w:tcPr>
          <w:p w14:paraId="03367003" w14:textId="77777777" w:rsidR="00975F26" w:rsidRPr="00ED0D6D" w:rsidRDefault="00975F26" w:rsidP="002A479B">
            <w:pPr>
              <w:jc w:val="center"/>
              <w:rPr>
                <w:color w:val="000000"/>
                <w:sz w:val="20"/>
              </w:rPr>
            </w:pPr>
            <w:r w:rsidRPr="003426C4">
              <w:rPr>
                <w:color w:val="000000"/>
                <w:sz w:val="20"/>
              </w:rPr>
              <w:t>17LRVP</w:t>
            </w:r>
          </w:p>
        </w:tc>
      </w:tr>
      <w:tr w:rsidR="00975F26" w:rsidRPr="00ED0D6D" w14:paraId="1C891391" w14:textId="77777777" w:rsidTr="002A479B">
        <w:trPr>
          <w:trHeight w:val="384"/>
        </w:trPr>
        <w:tc>
          <w:tcPr>
            <w:tcW w:w="647" w:type="dxa"/>
            <w:shd w:val="clear" w:color="auto" w:fill="auto"/>
            <w:vAlign w:val="center"/>
          </w:tcPr>
          <w:p w14:paraId="29B34213"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5CFAA1BA" w14:textId="77777777" w:rsidR="00975F26" w:rsidRPr="00ED0D6D" w:rsidRDefault="00975F26" w:rsidP="002A479B">
            <w:pPr>
              <w:jc w:val="both"/>
              <w:rPr>
                <w:color w:val="000000"/>
                <w:sz w:val="20"/>
              </w:rPr>
            </w:pPr>
            <w:r w:rsidRPr="00ED0D6D">
              <w:rPr>
                <w:color w:val="000000"/>
                <w:sz w:val="20"/>
              </w:rPr>
              <w:t xml:space="preserve">Nuotekų tvarkymo paslaugų prieinamumas gyventojams </w:t>
            </w:r>
            <w:r w:rsidRPr="00ED0D6D">
              <w:rPr>
                <w:sz w:val="20"/>
              </w:rPr>
              <w:t>(proc.)</w:t>
            </w:r>
          </w:p>
        </w:tc>
        <w:tc>
          <w:tcPr>
            <w:tcW w:w="1080" w:type="dxa"/>
            <w:shd w:val="clear" w:color="000000" w:fill="FFFFFF"/>
            <w:vAlign w:val="center"/>
          </w:tcPr>
          <w:p w14:paraId="161B39B6" w14:textId="77777777" w:rsidR="00975F26" w:rsidRPr="00ED0D6D" w:rsidRDefault="00975F26" w:rsidP="002A479B">
            <w:pPr>
              <w:jc w:val="center"/>
              <w:rPr>
                <w:color w:val="000000"/>
                <w:sz w:val="20"/>
              </w:rPr>
            </w:pPr>
            <w:r w:rsidRPr="00ED0D6D">
              <w:rPr>
                <w:color w:val="000000"/>
                <w:sz w:val="20"/>
              </w:rPr>
              <w:t>77</w:t>
            </w:r>
          </w:p>
        </w:tc>
        <w:tc>
          <w:tcPr>
            <w:tcW w:w="1080" w:type="dxa"/>
            <w:shd w:val="clear" w:color="000000" w:fill="FFFFFF"/>
            <w:vAlign w:val="center"/>
          </w:tcPr>
          <w:p w14:paraId="2D81A621" w14:textId="77777777" w:rsidR="00975F26" w:rsidRPr="00ED0D6D" w:rsidRDefault="00975F26" w:rsidP="002A479B">
            <w:pPr>
              <w:jc w:val="center"/>
              <w:rPr>
                <w:color w:val="000000"/>
                <w:sz w:val="20"/>
              </w:rPr>
            </w:pPr>
            <w:r w:rsidRPr="008644E2">
              <w:rPr>
                <w:i/>
                <w:iCs/>
                <w:color w:val="000000"/>
                <w:sz w:val="20"/>
              </w:rPr>
              <w:t>n. d.</w:t>
            </w:r>
          </w:p>
        </w:tc>
        <w:tc>
          <w:tcPr>
            <w:tcW w:w="954" w:type="dxa"/>
            <w:shd w:val="clear" w:color="auto" w:fill="auto"/>
            <w:vAlign w:val="center"/>
          </w:tcPr>
          <w:p w14:paraId="61CEFD81" w14:textId="77777777" w:rsidR="00975F26" w:rsidRPr="00ED0D6D" w:rsidRDefault="00975F26" w:rsidP="002A479B">
            <w:pPr>
              <w:jc w:val="center"/>
              <w:rPr>
                <w:color w:val="000000"/>
                <w:sz w:val="20"/>
              </w:rPr>
            </w:pPr>
            <w:r w:rsidRPr="00ED0D6D">
              <w:rPr>
                <w:color w:val="000000"/>
                <w:sz w:val="20"/>
              </w:rPr>
              <w:t>78 (2018)</w:t>
            </w:r>
          </w:p>
        </w:tc>
        <w:tc>
          <w:tcPr>
            <w:tcW w:w="983" w:type="dxa"/>
            <w:shd w:val="clear" w:color="000000" w:fill="FFFFFF"/>
            <w:vAlign w:val="center"/>
          </w:tcPr>
          <w:p w14:paraId="5CE01C92" w14:textId="77777777" w:rsidR="00975F26" w:rsidRPr="00ED0D6D" w:rsidRDefault="00975F26" w:rsidP="002A479B">
            <w:pPr>
              <w:jc w:val="center"/>
              <w:rPr>
                <w:color w:val="000000"/>
                <w:sz w:val="20"/>
              </w:rPr>
            </w:pPr>
            <w:r w:rsidRPr="00ED0D6D">
              <w:rPr>
                <w:color w:val="000000"/>
                <w:sz w:val="20"/>
              </w:rPr>
              <w:t>82</w:t>
            </w:r>
          </w:p>
        </w:tc>
        <w:tc>
          <w:tcPr>
            <w:tcW w:w="1250" w:type="dxa"/>
            <w:shd w:val="clear" w:color="auto" w:fill="auto"/>
            <w:vAlign w:val="center"/>
          </w:tcPr>
          <w:p w14:paraId="1CB4FDA9" w14:textId="77777777" w:rsidR="00975F26" w:rsidRPr="00ED0D6D" w:rsidRDefault="00975F26" w:rsidP="002A479B">
            <w:pPr>
              <w:jc w:val="center"/>
              <w:rPr>
                <w:color w:val="000000"/>
                <w:sz w:val="20"/>
              </w:rPr>
            </w:pPr>
            <w:r w:rsidRPr="00ED0D6D">
              <w:rPr>
                <w:color w:val="000000"/>
                <w:sz w:val="20"/>
              </w:rPr>
              <w:t>85</w:t>
            </w:r>
          </w:p>
        </w:tc>
        <w:tc>
          <w:tcPr>
            <w:tcW w:w="1250" w:type="dxa"/>
            <w:shd w:val="clear" w:color="auto" w:fill="auto"/>
            <w:vAlign w:val="center"/>
          </w:tcPr>
          <w:p w14:paraId="6673F018" w14:textId="77777777" w:rsidR="00975F26" w:rsidRPr="00ED0D6D" w:rsidRDefault="00975F26" w:rsidP="002A479B">
            <w:pPr>
              <w:jc w:val="center"/>
              <w:rPr>
                <w:color w:val="000000"/>
                <w:sz w:val="20"/>
              </w:rPr>
            </w:pPr>
            <w:r w:rsidRPr="00ED0D6D">
              <w:rPr>
                <w:color w:val="000000"/>
                <w:sz w:val="20"/>
              </w:rPr>
              <w:t>95</w:t>
            </w:r>
          </w:p>
        </w:tc>
        <w:tc>
          <w:tcPr>
            <w:tcW w:w="2169" w:type="dxa"/>
            <w:shd w:val="clear" w:color="auto" w:fill="auto"/>
            <w:vAlign w:val="center"/>
          </w:tcPr>
          <w:p w14:paraId="08CEAF4D" w14:textId="77777777" w:rsidR="00975F26" w:rsidRPr="00ED0D6D" w:rsidRDefault="00C64DAC" w:rsidP="002A479B">
            <w:pPr>
              <w:jc w:val="center"/>
              <w:rPr>
                <w:color w:val="000000"/>
                <w:sz w:val="20"/>
              </w:rPr>
            </w:pPr>
            <w:hyperlink r:id="rId42" w:history="1">
              <w:r w:rsidR="00975F26" w:rsidRPr="00ED0D6D">
                <w:rPr>
                  <w:rStyle w:val="Hipersaitas"/>
                  <w:color w:val="000000"/>
                  <w:sz w:val="20"/>
                  <w:u w:val="none"/>
                </w:rPr>
                <w:t>Eurostat</w:t>
              </w:r>
            </w:hyperlink>
            <w:r w:rsidR="00975F26" w:rsidRPr="00ED0D6D">
              <w:rPr>
                <w:color w:val="000000"/>
                <w:sz w:val="20"/>
              </w:rPr>
              <w:t>as</w:t>
            </w:r>
          </w:p>
        </w:tc>
        <w:tc>
          <w:tcPr>
            <w:tcW w:w="1236" w:type="dxa"/>
            <w:shd w:val="clear" w:color="auto" w:fill="auto"/>
            <w:vAlign w:val="center"/>
          </w:tcPr>
          <w:p w14:paraId="7C27C3A2" w14:textId="77777777" w:rsidR="00975F26" w:rsidRPr="00303B68" w:rsidRDefault="00975F26" w:rsidP="002A479B">
            <w:pPr>
              <w:jc w:val="center"/>
              <w:rPr>
                <w:color w:val="000000"/>
                <w:sz w:val="20"/>
              </w:rPr>
            </w:pPr>
            <w:r w:rsidRPr="00303B68">
              <w:rPr>
                <w:color w:val="000000"/>
                <w:sz w:val="20"/>
              </w:rPr>
              <w:t>17LRVP</w:t>
            </w:r>
          </w:p>
        </w:tc>
      </w:tr>
    </w:tbl>
    <w:p w14:paraId="51C062F0" w14:textId="77777777" w:rsidR="00975F26" w:rsidRPr="00223C36" w:rsidRDefault="00975F26" w:rsidP="00223C36">
      <w:pPr>
        <w:spacing w:line="380" w:lineRule="atLeast"/>
        <w:jc w:val="both"/>
        <w:rPr>
          <w:bCs/>
          <w:sz w:val="20"/>
        </w:rPr>
      </w:pPr>
    </w:p>
    <w:p w14:paraId="126A4F61" w14:textId="6C471A11" w:rsidR="00975F26" w:rsidRPr="00ED0D6D" w:rsidRDefault="00975F26" w:rsidP="00223C36">
      <w:pPr>
        <w:spacing w:line="380" w:lineRule="atLeast"/>
        <w:ind w:left="720"/>
        <w:jc w:val="both"/>
        <w:rPr>
          <w:b/>
          <w:szCs w:val="24"/>
        </w:rPr>
      </w:pPr>
      <w:r w:rsidRPr="00ED0D6D">
        <w:rPr>
          <w:b/>
          <w:szCs w:val="24"/>
        </w:rPr>
        <w:t>2</w:t>
      </w:r>
      <w:r w:rsidR="00223C36">
        <w:rPr>
          <w:b/>
          <w:szCs w:val="24"/>
        </w:rPr>
        <w:t>.2</w:t>
      </w:r>
      <w:r w:rsidRPr="00ED0D6D">
        <w:rPr>
          <w:b/>
          <w:szCs w:val="24"/>
        </w:rPr>
        <w:t>.3. Energetika</w:t>
      </w:r>
    </w:p>
    <w:tbl>
      <w:tblPr>
        <w:tblW w:w="1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080"/>
        <w:gridCol w:w="1080"/>
        <w:gridCol w:w="956"/>
        <w:gridCol w:w="983"/>
        <w:gridCol w:w="1250"/>
        <w:gridCol w:w="1250"/>
        <w:gridCol w:w="2221"/>
        <w:gridCol w:w="1172"/>
      </w:tblGrid>
      <w:tr w:rsidR="00975F26" w:rsidRPr="00ED0D6D" w14:paraId="5DAD7247" w14:textId="77777777" w:rsidTr="002A479B">
        <w:trPr>
          <w:trHeight w:val="999"/>
        </w:trPr>
        <w:tc>
          <w:tcPr>
            <w:tcW w:w="657" w:type="dxa"/>
            <w:shd w:val="clear" w:color="000000" w:fill="DEEAF6"/>
            <w:vAlign w:val="center"/>
            <w:hideMark/>
          </w:tcPr>
          <w:p w14:paraId="137402AD" w14:textId="77777777" w:rsidR="00975F26" w:rsidRPr="00ED0D6D" w:rsidRDefault="00975F26" w:rsidP="002A479B">
            <w:pPr>
              <w:jc w:val="center"/>
              <w:rPr>
                <w:b/>
                <w:bCs/>
                <w:color w:val="000000"/>
                <w:sz w:val="20"/>
              </w:rPr>
            </w:pPr>
            <w:r w:rsidRPr="00ED0D6D">
              <w:rPr>
                <w:b/>
                <w:bCs/>
                <w:color w:val="000000"/>
                <w:sz w:val="20"/>
              </w:rPr>
              <w:t>Eil. Nr.</w:t>
            </w:r>
          </w:p>
        </w:tc>
        <w:tc>
          <w:tcPr>
            <w:tcW w:w="4648" w:type="dxa"/>
            <w:shd w:val="clear" w:color="000000" w:fill="DEEAF6"/>
            <w:vAlign w:val="center"/>
            <w:hideMark/>
          </w:tcPr>
          <w:p w14:paraId="6497506E"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1BF584E6"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34F8257A"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2EC27C75"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762D64C0"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467F0832"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126A361E"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221" w:type="dxa"/>
            <w:shd w:val="clear" w:color="000000" w:fill="DEEAF6"/>
            <w:vAlign w:val="center"/>
            <w:hideMark/>
          </w:tcPr>
          <w:p w14:paraId="0FAAC91C" w14:textId="77777777" w:rsidR="00975F26" w:rsidRPr="00ED0D6D" w:rsidRDefault="00975F26" w:rsidP="002A479B">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25F1F118"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4DBAE8DB" w14:textId="77777777" w:rsidR="00975F26" w:rsidRPr="00ED0D6D" w:rsidRDefault="00975F26" w:rsidP="002A479B">
            <w:pPr>
              <w:jc w:val="center"/>
              <w:rPr>
                <w:b/>
                <w:bCs/>
                <w:color w:val="000000"/>
                <w:sz w:val="20"/>
              </w:rPr>
            </w:pPr>
            <w:r w:rsidRPr="00ED0D6D">
              <w:rPr>
                <w:b/>
                <w:bCs/>
                <w:color w:val="000000"/>
                <w:sz w:val="20"/>
              </w:rPr>
              <w:t>17LRVP</w:t>
            </w:r>
          </w:p>
          <w:p w14:paraId="1683E9CF"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383E05EC" w14:textId="77777777" w:rsidTr="002A479B">
        <w:trPr>
          <w:trHeight w:val="504"/>
        </w:trPr>
        <w:tc>
          <w:tcPr>
            <w:tcW w:w="657" w:type="dxa"/>
            <w:shd w:val="clear" w:color="auto" w:fill="auto"/>
            <w:vAlign w:val="center"/>
            <w:hideMark/>
          </w:tcPr>
          <w:p w14:paraId="620603F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1BD292A4" w14:textId="77777777" w:rsidR="00975F26" w:rsidRPr="00ED0D6D" w:rsidRDefault="00975F26" w:rsidP="002A479B">
            <w:pPr>
              <w:jc w:val="both"/>
              <w:rPr>
                <w:color w:val="000000"/>
                <w:sz w:val="20"/>
              </w:rPr>
            </w:pPr>
            <w:r w:rsidRPr="00ED0D6D">
              <w:rPr>
                <w:color w:val="000000"/>
                <w:sz w:val="20"/>
              </w:rPr>
              <w:t>Atsinaujinančių energijos išteklių dalis galutinės energijos balanse</w:t>
            </w:r>
            <w:r>
              <w:rPr>
                <w:color w:val="000000"/>
                <w:sz w:val="20"/>
              </w:rPr>
              <w:t xml:space="preserve"> (</w:t>
            </w:r>
            <w:r w:rsidRPr="00ED0D6D">
              <w:rPr>
                <w:color w:val="000000"/>
                <w:sz w:val="20"/>
              </w:rPr>
              <w:t>proc.</w:t>
            </w:r>
            <w:r>
              <w:rPr>
                <w:color w:val="000000"/>
                <w:sz w:val="20"/>
              </w:rPr>
              <w:t>)</w:t>
            </w:r>
            <w:r w:rsidRPr="00ED0D6D">
              <w:rPr>
                <w:color w:val="000000"/>
                <w:sz w:val="20"/>
              </w:rPr>
              <w:t xml:space="preserve"> </w:t>
            </w:r>
          </w:p>
        </w:tc>
        <w:tc>
          <w:tcPr>
            <w:tcW w:w="1080" w:type="dxa"/>
            <w:shd w:val="clear" w:color="auto" w:fill="auto"/>
            <w:noWrap/>
            <w:vAlign w:val="center"/>
          </w:tcPr>
          <w:p w14:paraId="78505FBD" w14:textId="77777777" w:rsidR="00975F26" w:rsidRPr="00ED0D6D" w:rsidRDefault="00975F26" w:rsidP="002A479B">
            <w:pPr>
              <w:jc w:val="center"/>
              <w:rPr>
                <w:color w:val="000000"/>
                <w:sz w:val="20"/>
              </w:rPr>
            </w:pPr>
            <w:r w:rsidRPr="00ED0D6D">
              <w:rPr>
                <w:color w:val="000000"/>
                <w:sz w:val="20"/>
              </w:rPr>
              <w:t>25,5</w:t>
            </w:r>
          </w:p>
        </w:tc>
        <w:tc>
          <w:tcPr>
            <w:tcW w:w="1080" w:type="dxa"/>
            <w:shd w:val="clear" w:color="000000" w:fill="FFFFFF"/>
            <w:vAlign w:val="center"/>
          </w:tcPr>
          <w:p w14:paraId="3E75BE69" w14:textId="77777777" w:rsidR="00975F26" w:rsidRPr="00ED0D6D" w:rsidRDefault="00975F26" w:rsidP="002A479B">
            <w:pPr>
              <w:jc w:val="center"/>
              <w:rPr>
                <w:color w:val="000000"/>
                <w:sz w:val="20"/>
              </w:rPr>
            </w:pPr>
            <w:r w:rsidRPr="00A54B5D">
              <w:rPr>
                <w:i/>
                <w:iCs/>
                <w:color w:val="000000"/>
                <w:sz w:val="20"/>
              </w:rPr>
              <w:t>n. d.</w:t>
            </w:r>
          </w:p>
        </w:tc>
        <w:tc>
          <w:tcPr>
            <w:tcW w:w="956" w:type="dxa"/>
            <w:shd w:val="clear" w:color="auto" w:fill="auto"/>
            <w:vAlign w:val="center"/>
          </w:tcPr>
          <w:p w14:paraId="46169996" w14:textId="77777777" w:rsidR="00975F26" w:rsidRPr="00ED0D6D" w:rsidRDefault="00975F26" w:rsidP="002A479B">
            <w:pPr>
              <w:jc w:val="center"/>
              <w:rPr>
                <w:color w:val="000000"/>
                <w:sz w:val="20"/>
              </w:rPr>
            </w:pPr>
            <w:r w:rsidRPr="00ED0D6D">
              <w:rPr>
                <w:color w:val="000000"/>
                <w:sz w:val="20"/>
              </w:rPr>
              <w:t>19,7 (2019)</w:t>
            </w:r>
          </w:p>
        </w:tc>
        <w:tc>
          <w:tcPr>
            <w:tcW w:w="983" w:type="dxa"/>
            <w:shd w:val="clear" w:color="auto" w:fill="auto"/>
            <w:vAlign w:val="center"/>
          </w:tcPr>
          <w:p w14:paraId="6C0EE85B"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auto" w:fill="auto"/>
            <w:noWrap/>
            <w:vAlign w:val="center"/>
          </w:tcPr>
          <w:p w14:paraId="12F4D53C" w14:textId="77777777" w:rsidR="00975F26" w:rsidRPr="00ED0D6D" w:rsidRDefault="00975F26" w:rsidP="002A479B">
            <w:pPr>
              <w:jc w:val="center"/>
              <w:rPr>
                <w:color w:val="000000"/>
                <w:sz w:val="20"/>
              </w:rPr>
            </w:pPr>
            <w:r w:rsidRPr="00ED0D6D">
              <w:rPr>
                <w:color w:val="000000"/>
                <w:sz w:val="20"/>
              </w:rPr>
              <w:t>38</w:t>
            </w:r>
          </w:p>
        </w:tc>
        <w:tc>
          <w:tcPr>
            <w:tcW w:w="1250" w:type="dxa"/>
            <w:shd w:val="clear" w:color="auto" w:fill="auto"/>
            <w:vAlign w:val="center"/>
          </w:tcPr>
          <w:p w14:paraId="55A5211B" w14:textId="77777777" w:rsidR="00975F26" w:rsidRPr="00ED0D6D" w:rsidRDefault="00975F26" w:rsidP="002A479B">
            <w:pPr>
              <w:jc w:val="center"/>
              <w:rPr>
                <w:color w:val="000000"/>
                <w:sz w:val="20"/>
              </w:rPr>
            </w:pPr>
            <w:r w:rsidRPr="00ED0D6D">
              <w:rPr>
                <w:color w:val="000000"/>
                <w:sz w:val="20"/>
              </w:rPr>
              <w:t>45 (NPP2030)</w:t>
            </w:r>
          </w:p>
          <w:p w14:paraId="3AF3FF7F" w14:textId="77777777" w:rsidR="00975F26" w:rsidRPr="00ED0D6D" w:rsidRDefault="00975F26" w:rsidP="002A479B">
            <w:pPr>
              <w:jc w:val="center"/>
              <w:rPr>
                <w:color w:val="000000"/>
                <w:sz w:val="20"/>
              </w:rPr>
            </w:pPr>
            <w:r w:rsidRPr="00ED0D6D">
              <w:rPr>
                <w:color w:val="000000"/>
                <w:sz w:val="20"/>
              </w:rPr>
              <w:t xml:space="preserve">50 </w:t>
            </w:r>
          </w:p>
          <w:p w14:paraId="3D9D7A30" w14:textId="77777777" w:rsidR="00975F26" w:rsidRPr="00ED0D6D" w:rsidRDefault="00975F26" w:rsidP="002A479B">
            <w:pPr>
              <w:jc w:val="center"/>
              <w:rPr>
                <w:color w:val="000000"/>
                <w:sz w:val="20"/>
              </w:rPr>
            </w:pPr>
            <w:r w:rsidRPr="00ED0D6D">
              <w:rPr>
                <w:color w:val="000000"/>
                <w:sz w:val="20"/>
              </w:rPr>
              <w:t>(18LRVP)</w:t>
            </w:r>
          </w:p>
        </w:tc>
        <w:tc>
          <w:tcPr>
            <w:tcW w:w="2221" w:type="dxa"/>
            <w:shd w:val="clear" w:color="auto" w:fill="auto"/>
          </w:tcPr>
          <w:p w14:paraId="5D654F1D" w14:textId="77777777" w:rsidR="00975F26" w:rsidRPr="00ED0D6D" w:rsidRDefault="00975F26" w:rsidP="002A479B">
            <w:pPr>
              <w:jc w:val="center"/>
              <w:rPr>
                <w:color w:val="000000"/>
                <w:sz w:val="20"/>
              </w:rPr>
            </w:pPr>
          </w:p>
          <w:p w14:paraId="1298F6E9" w14:textId="77777777" w:rsidR="00975F26" w:rsidRPr="00ED0D6D" w:rsidRDefault="00975F26" w:rsidP="002A479B">
            <w:pPr>
              <w:jc w:val="center"/>
              <w:rPr>
                <w:color w:val="000000"/>
                <w:sz w:val="20"/>
                <w:highlight w:val="yellow"/>
              </w:rPr>
            </w:pPr>
            <w:r w:rsidRPr="00ED0D6D">
              <w:rPr>
                <w:color w:val="000000"/>
                <w:sz w:val="20"/>
              </w:rPr>
              <w:t>Lietuvos statistikos departamentas</w:t>
            </w:r>
          </w:p>
        </w:tc>
        <w:tc>
          <w:tcPr>
            <w:tcW w:w="1172" w:type="dxa"/>
            <w:shd w:val="clear" w:color="auto" w:fill="auto"/>
            <w:vAlign w:val="center"/>
          </w:tcPr>
          <w:p w14:paraId="1145074A" w14:textId="77777777" w:rsidR="00975F26" w:rsidRPr="00ED0D6D" w:rsidRDefault="00975F26" w:rsidP="002A479B">
            <w:pPr>
              <w:jc w:val="center"/>
              <w:rPr>
                <w:color w:val="000000"/>
                <w:sz w:val="20"/>
              </w:rPr>
            </w:pPr>
            <w:r w:rsidRPr="00ED0D6D">
              <w:rPr>
                <w:b/>
                <w:bCs/>
                <w:color w:val="000000"/>
                <w:sz w:val="20"/>
              </w:rPr>
              <w:t>18LRVP</w:t>
            </w:r>
            <w:r w:rsidRPr="00ED0D6D">
              <w:rPr>
                <w:color w:val="000000"/>
                <w:sz w:val="20"/>
              </w:rPr>
              <w:t xml:space="preserve"> NPP2030</w:t>
            </w:r>
          </w:p>
          <w:p w14:paraId="20354FAB" w14:textId="77777777" w:rsidR="00975F26" w:rsidRPr="00ED0D6D" w:rsidRDefault="00975F26" w:rsidP="002A479B">
            <w:pPr>
              <w:jc w:val="center"/>
              <w:rPr>
                <w:b/>
                <w:bCs/>
                <w:i/>
                <w:iCs/>
                <w:color w:val="000000"/>
                <w:sz w:val="20"/>
              </w:rPr>
            </w:pPr>
            <w:r w:rsidRPr="00ED0D6D">
              <w:rPr>
                <w:color w:val="000000"/>
                <w:sz w:val="20"/>
              </w:rPr>
              <w:t>NPP2020 17LRVP</w:t>
            </w:r>
          </w:p>
        </w:tc>
      </w:tr>
      <w:tr w:rsidR="00975F26" w:rsidRPr="00ED0D6D" w14:paraId="3C5C2759" w14:textId="77777777" w:rsidTr="002A479B">
        <w:trPr>
          <w:trHeight w:val="368"/>
        </w:trPr>
        <w:tc>
          <w:tcPr>
            <w:tcW w:w="657" w:type="dxa"/>
            <w:shd w:val="clear" w:color="auto" w:fill="auto"/>
            <w:vAlign w:val="center"/>
            <w:hideMark/>
          </w:tcPr>
          <w:p w14:paraId="3E760E6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213F6FC" w14:textId="5F6D7B79" w:rsidR="00975F26" w:rsidRPr="00ED0D6D" w:rsidRDefault="00975F26" w:rsidP="002A479B">
            <w:pPr>
              <w:jc w:val="both"/>
              <w:rPr>
                <w:color w:val="000000"/>
                <w:sz w:val="20"/>
              </w:rPr>
            </w:pPr>
            <w:r w:rsidRPr="00ED0D6D">
              <w:rPr>
                <w:color w:val="000000"/>
                <w:sz w:val="20"/>
              </w:rPr>
              <w:t xml:space="preserve">Galutinės energijos suvartojimas šalyje, </w:t>
            </w:r>
            <w:r w:rsidR="00655094">
              <w:rPr>
                <w:color w:val="000000"/>
                <w:sz w:val="20"/>
              </w:rPr>
              <w:t>(</w:t>
            </w:r>
            <w:r w:rsidRPr="00655094">
              <w:rPr>
                <w:color w:val="000000"/>
                <w:sz w:val="20"/>
              </w:rPr>
              <w:t xml:space="preserve">tūkst. </w:t>
            </w:r>
            <w:proofErr w:type="spellStart"/>
            <w:r w:rsidRPr="00655094">
              <w:rPr>
                <w:color w:val="000000"/>
                <w:sz w:val="20"/>
              </w:rPr>
              <w:t>Tne</w:t>
            </w:r>
            <w:proofErr w:type="spellEnd"/>
            <w:r w:rsidR="00655094">
              <w:rPr>
                <w:color w:val="000000"/>
                <w:sz w:val="20"/>
              </w:rPr>
              <w:t>)</w:t>
            </w:r>
            <w:r w:rsidRPr="00655094">
              <w:rPr>
                <w:color w:val="000000"/>
                <w:sz w:val="20"/>
              </w:rPr>
              <w:t xml:space="preserve"> </w:t>
            </w:r>
          </w:p>
        </w:tc>
        <w:tc>
          <w:tcPr>
            <w:tcW w:w="1080" w:type="dxa"/>
            <w:shd w:val="clear" w:color="000000" w:fill="FFFFFF"/>
            <w:vAlign w:val="center"/>
          </w:tcPr>
          <w:p w14:paraId="62F712C3" w14:textId="77777777" w:rsidR="00975F26" w:rsidRPr="00ED0D6D" w:rsidRDefault="00975F26" w:rsidP="002A479B">
            <w:pPr>
              <w:jc w:val="center"/>
              <w:rPr>
                <w:color w:val="000000"/>
                <w:sz w:val="20"/>
              </w:rPr>
            </w:pPr>
            <w:r w:rsidRPr="00ED0D6D">
              <w:rPr>
                <w:color w:val="000000"/>
                <w:sz w:val="20"/>
              </w:rPr>
              <w:t>5</w:t>
            </w:r>
            <w:r>
              <w:rPr>
                <w:color w:val="000000"/>
                <w:sz w:val="20"/>
              </w:rPr>
              <w:t xml:space="preserve"> </w:t>
            </w:r>
            <w:r w:rsidRPr="00ED0D6D">
              <w:rPr>
                <w:color w:val="000000"/>
                <w:sz w:val="20"/>
              </w:rPr>
              <w:t>500</w:t>
            </w:r>
          </w:p>
        </w:tc>
        <w:tc>
          <w:tcPr>
            <w:tcW w:w="1080" w:type="dxa"/>
            <w:shd w:val="clear" w:color="auto" w:fill="auto"/>
            <w:noWrap/>
            <w:vAlign w:val="center"/>
          </w:tcPr>
          <w:p w14:paraId="3B97AE4A" w14:textId="77777777" w:rsidR="00975F26" w:rsidRPr="00ED0D6D" w:rsidRDefault="00975F26" w:rsidP="002A479B">
            <w:pPr>
              <w:jc w:val="center"/>
              <w:rPr>
                <w:color w:val="000000"/>
                <w:sz w:val="20"/>
              </w:rPr>
            </w:pPr>
            <w:r w:rsidRPr="00A54B5D">
              <w:rPr>
                <w:i/>
                <w:iCs/>
                <w:color w:val="000000"/>
                <w:sz w:val="20"/>
              </w:rPr>
              <w:t>n. d.</w:t>
            </w:r>
          </w:p>
        </w:tc>
        <w:tc>
          <w:tcPr>
            <w:tcW w:w="956" w:type="dxa"/>
            <w:shd w:val="clear" w:color="auto" w:fill="auto"/>
            <w:vAlign w:val="center"/>
          </w:tcPr>
          <w:p w14:paraId="4506127E"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15003BCD" w14:textId="77777777" w:rsidR="00975F26" w:rsidRPr="00ED0D6D" w:rsidRDefault="00975F26" w:rsidP="002A479B">
            <w:pPr>
              <w:jc w:val="center"/>
              <w:rPr>
                <w:color w:val="000000"/>
                <w:sz w:val="20"/>
              </w:rPr>
            </w:pPr>
            <w:r w:rsidRPr="00ED0D6D">
              <w:rPr>
                <w:color w:val="000000"/>
                <w:sz w:val="20"/>
              </w:rPr>
              <w:t>5</w:t>
            </w:r>
            <w:r>
              <w:rPr>
                <w:color w:val="000000"/>
                <w:sz w:val="20"/>
              </w:rPr>
              <w:t xml:space="preserve"> </w:t>
            </w:r>
            <w:r w:rsidRPr="00ED0D6D">
              <w:rPr>
                <w:color w:val="000000"/>
                <w:sz w:val="20"/>
              </w:rPr>
              <w:t>030</w:t>
            </w:r>
          </w:p>
        </w:tc>
        <w:tc>
          <w:tcPr>
            <w:tcW w:w="1250" w:type="dxa"/>
            <w:shd w:val="clear" w:color="auto" w:fill="auto"/>
            <w:noWrap/>
            <w:vAlign w:val="center"/>
          </w:tcPr>
          <w:p w14:paraId="4502DAA6"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198AEE78" w14:textId="77777777" w:rsidR="00975F26" w:rsidRPr="00ED0D6D" w:rsidRDefault="00975F26" w:rsidP="002A479B">
            <w:pPr>
              <w:jc w:val="center"/>
              <w:rPr>
                <w:color w:val="000000"/>
                <w:sz w:val="20"/>
              </w:rPr>
            </w:pPr>
            <w:r>
              <w:rPr>
                <w:color w:val="000000"/>
                <w:sz w:val="20"/>
              </w:rPr>
              <w:t>–</w:t>
            </w:r>
          </w:p>
        </w:tc>
        <w:tc>
          <w:tcPr>
            <w:tcW w:w="2221" w:type="dxa"/>
            <w:shd w:val="clear" w:color="auto" w:fill="auto"/>
          </w:tcPr>
          <w:p w14:paraId="01EB351C" w14:textId="77777777" w:rsidR="00975F26" w:rsidRPr="00ED0D6D" w:rsidRDefault="00975F26" w:rsidP="002A479B">
            <w:pPr>
              <w:jc w:val="center"/>
              <w:rPr>
                <w:color w:val="000000"/>
                <w:sz w:val="20"/>
                <w:highlight w:val="yellow"/>
              </w:rPr>
            </w:pPr>
            <w:r w:rsidRPr="00ED0D6D">
              <w:rPr>
                <w:color w:val="000000"/>
                <w:sz w:val="20"/>
              </w:rPr>
              <w:t>Lietuvos statistikos departamentas</w:t>
            </w:r>
          </w:p>
        </w:tc>
        <w:tc>
          <w:tcPr>
            <w:tcW w:w="1172" w:type="dxa"/>
            <w:shd w:val="clear" w:color="auto" w:fill="auto"/>
            <w:vAlign w:val="center"/>
          </w:tcPr>
          <w:p w14:paraId="37611989" w14:textId="77777777" w:rsidR="00975F26" w:rsidRPr="00ED0D6D" w:rsidRDefault="00975F26" w:rsidP="002A479B">
            <w:pPr>
              <w:jc w:val="center"/>
              <w:rPr>
                <w:color w:val="000000"/>
                <w:sz w:val="20"/>
              </w:rPr>
            </w:pPr>
            <w:r w:rsidRPr="00ED0D6D">
              <w:rPr>
                <w:color w:val="000000"/>
                <w:sz w:val="20"/>
              </w:rPr>
              <w:t>NPP20</w:t>
            </w:r>
            <w:r w:rsidRPr="00ED0D6D">
              <w:rPr>
                <w:color w:val="000000"/>
                <w:sz w:val="20"/>
                <w:lang w:val="en-GB"/>
              </w:rPr>
              <w:t>2</w:t>
            </w:r>
            <w:r w:rsidRPr="00ED0D6D">
              <w:rPr>
                <w:color w:val="000000"/>
                <w:sz w:val="20"/>
              </w:rPr>
              <w:t>0</w:t>
            </w:r>
          </w:p>
          <w:p w14:paraId="231D769D" w14:textId="77777777" w:rsidR="00975F26" w:rsidRPr="00ED0D6D" w:rsidRDefault="00975F26" w:rsidP="002A479B">
            <w:pPr>
              <w:jc w:val="center"/>
              <w:rPr>
                <w:b/>
                <w:bCs/>
                <w:i/>
                <w:iCs/>
                <w:color w:val="000000"/>
                <w:sz w:val="20"/>
              </w:rPr>
            </w:pPr>
            <w:r w:rsidRPr="00ED0D6D">
              <w:rPr>
                <w:color w:val="000000"/>
                <w:sz w:val="20"/>
              </w:rPr>
              <w:t xml:space="preserve">17LRVP </w:t>
            </w:r>
          </w:p>
        </w:tc>
      </w:tr>
      <w:tr w:rsidR="00975F26" w:rsidRPr="00ED0D6D" w14:paraId="50DC6D6B" w14:textId="77777777" w:rsidTr="002A479B">
        <w:trPr>
          <w:trHeight w:val="305"/>
        </w:trPr>
        <w:tc>
          <w:tcPr>
            <w:tcW w:w="657" w:type="dxa"/>
            <w:shd w:val="clear" w:color="auto" w:fill="auto"/>
            <w:vAlign w:val="center"/>
            <w:hideMark/>
          </w:tcPr>
          <w:p w14:paraId="365E51A8"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B6F6914" w14:textId="77777777" w:rsidR="00975F26" w:rsidRPr="00ED0D6D" w:rsidRDefault="00975F26" w:rsidP="002A479B">
            <w:pPr>
              <w:jc w:val="both"/>
              <w:rPr>
                <w:color w:val="000000"/>
                <w:sz w:val="20"/>
              </w:rPr>
            </w:pPr>
            <w:r w:rsidRPr="00ED0D6D">
              <w:rPr>
                <w:color w:val="000000"/>
                <w:sz w:val="20"/>
              </w:rPr>
              <w:t>Sutaupytas suminis galutinės energijos kiekis nuo 2013 m.</w:t>
            </w:r>
            <w:r>
              <w:rPr>
                <w:color w:val="000000"/>
                <w:sz w:val="20"/>
              </w:rPr>
              <w:t xml:space="preserve"> </w:t>
            </w:r>
            <w:r w:rsidRPr="00ED0D6D">
              <w:rPr>
                <w:color w:val="000000"/>
                <w:sz w:val="20"/>
              </w:rPr>
              <w:t>(</w:t>
            </w:r>
            <w:proofErr w:type="spellStart"/>
            <w:r w:rsidRPr="00ED0D6D">
              <w:rPr>
                <w:color w:val="000000"/>
                <w:sz w:val="20"/>
              </w:rPr>
              <w:t>GWh</w:t>
            </w:r>
            <w:proofErr w:type="spellEnd"/>
            <w:r w:rsidRPr="00ED0D6D">
              <w:rPr>
                <w:color w:val="000000"/>
                <w:sz w:val="20"/>
              </w:rPr>
              <w:t xml:space="preserve">)   </w:t>
            </w:r>
          </w:p>
        </w:tc>
        <w:tc>
          <w:tcPr>
            <w:tcW w:w="1080" w:type="dxa"/>
            <w:shd w:val="clear" w:color="000000" w:fill="FFFFFF"/>
            <w:vAlign w:val="center"/>
          </w:tcPr>
          <w:p w14:paraId="5C1F164E" w14:textId="77777777" w:rsidR="00975F26" w:rsidRPr="00ED0D6D" w:rsidRDefault="00975F26" w:rsidP="002A479B">
            <w:pPr>
              <w:jc w:val="center"/>
              <w:rPr>
                <w:color w:val="000000"/>
                <w:sz w:val="20"/>
              </w:rPr>
            </w:pPr>
            <w:r w:rsidRPr="00ED0D6D">
              <w:rPr>
                <w:color w:val="000000"/>
                <w:sz w:val="20"/>
              </w:rPr>
              <w:t>2764 (2018)</w:t>
            </w:r>
          </w:p>
        </w:tc>
        <w:tc>
          <w:tcPr>
            <w:tcW w:w="1080" w:type="dxa"/>
            <w:shd w:val="clear" w:color="auto" w:fill="auto"/>
            <w:noWrap/>
            <w:vAlign w:val="center"/>
          </w:tcPr>
          <w:p w14:paraId="2FA799B6" w14:textId="77777777" w:rsidR="00975F26" w:rsidRPr="00ED0D6D" w:rsidRDefault="00975F26" w:rsidP="002A479B">
            <w:pPr>
              <w:jc w:val="center"/>
              <w:rPr>
                <w:color w:val="000000"/>
                <w:sz w:val="20"/>
              </w:rPr>
            </w:pPr>
            <w:r w:rsidRPr="00A54B5D">
              <w:rPr>
                <w:i/>
                <w:iCs/>
                <w:color w:val="000000"/>
                <w:sz w:val="20"/>
              </w:rPr>
              <w:t>n. d.</w:t>
            </w:r>
          </w:p>
        </w:tc>
        <w:tc>
          <w:tcPr>
            <w:tcW w:w="956" w:type="dxa"/>
            <w:shd w:val="clear" w:color="auto" w:fill="auto"/>
            <w:vAlign w:val="center"/>
          </w:tcPr>
          <w:p w14:paraId="4BC099C2"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36D77B9F" w14:textId="77777777" w:rsidR="00975F26" w:rsidRPr="00ED0D6D" w:rsidRDefault="00975F26" w:rsidP="002A479B">
            <w:pPr>
              <w:jc w:val="center"/>
              <w:rPr>
                <w:color w:val="000000"/>
                <w:sz w:val="20"/>
              </w:rPr>
            </w:pPr>
            <w:r w:rsidRPr="00ED0D6D">
              <w:rPr>
                <w:color w:val="000000"/>
                <w:sz w:val="20"/>
              </w:rPr>
              <w:t>850</w:t>
            </w:r>
          </w:p>
        </w:tc>
        <w:tc>
          <w:tcPr>
            <w:tcW w:w="1250" w:type="dxa"/>
            <w:shd w:val="clear" w:color="auto" w:fill="auto"/>
            <w:noWrap/>
            <w:vAlign w:val="center"/>
          </w:tcPr>
          <w:p w14:paraId="03AE5BEE" w14:textId="77777777" w:rsidR="00975F26" w:rsidRPr="00ED0D6D" w:rsidRDefault="00975F26" w:rsidP="002A479B">
            <w:pPr>
              <w:jc w:val="center"/>
              <w:rPr>
                <w:color w:val="000000"/>
                <w:sz w:val="20"/>
              </w:rPr>
            </w:pPr>
            <w:r w:rsidRPr="00ED0D6D">
              <w:rPr>
                <w:color w:val="000000"/>
                <w:sz w:val="20"/>
              </w:rPr>
              <w:t>20459,3</w:t>
            </w:r>
          </w:p>
        </w:tc>
        <w:tc>
          <w:tcPr>
            <w:tcW w:w="1250" w:type="dxa"/>
            <w:shd w:val="clear" w:color="auto" w:fill="auto"/>
            <w:vAlign w:val="center"/>
          </w:tcPr>
          <w:p w14:paraId="530972C8" w14:textId="77777777" w:rsidR="00975F26" w:rsidRPr="00ED0D6D" w:rsidRDefault="00975F26" w:rsidP="002A479B">
            <w:pPr>
              <w:jc w:val="center"/>
              <w:rPr>
                <w:color w:val="000000"/>
                <w:sz w:val="20"/>
              </w:rPr>
            </w:pPr>
            <w:r w:rsidRPr="00ED0D6D">
              <w:rPr>
                <w:color w:val="000000"/>
                <w:sz w:val="20"/>
              </w:rPr>
              <w:t>27279</w:t>
            </w:r>
          </w:p>
        </w:tc>
        <w:tc>
          <w:tcPr>
            <w:tcW w:w="2221" w:type="dxa"/>
            <w:shd w:val="clear" w:color="auto" w:fill="auto"/>
            <w:vAlign w:val="center"/>
          </w:tcPr>
          <w:p w14:paraId="2C853AC6" w14:textId="77777777" w:rsidR="00975F26" w:rsidRPr="00ED0D6D" w:rsidRDefault="00975F26" w:rsidP="002A479B">
            <w:pPr>
              <w:jc w:val="center"/>
              <w:rPr>
                <w:color w:val="000000"/>
                <w:sz w:val="20"/>
              </w:rPr>
            </w:pPr>
            <w:r>
              <w:rPr>
                <w:color w:val="000000"/>
                <w:sz w:val="20"/>
              </w:rPr>
              <w:t>Lietuvos Respublikos e</w:t>
            </w:r>
            <w:r w:rsidRPr="00ED0D6D">
              <w:rPr>
                <w:color w:val="000000"/>
                <w:sz w:val="20"/>
              </w:rPr>
              <w:t>nergetikos ministerija (</w:t>
            </w:r>
            <w:r>
              <w:rPr>
                <w:color w:val="000000"/>
                <w:sz w:val="20"/>
              </w:rPr>
              <w:t xml:space="preserve">toliau – </w:t>
            </w:r>
            <w:r w:rsidRPr="00ED0D6D">
              <w:rPr>
                <w:color w:val="000000"/>
                <w:sz w:val="20"/>
              </w:rPr>
              <w:t>EM)</w:t>
            </w:r>
          </w:p>
        </w:tc>
        <w:tc>
          <w:tcPr>
            <w:tcW w:w="1172" w:type="dxa"/>
            <w:shd w:val="clear" w:color="auto" w:fill="auto"/>
            <w:vAlign w:val="center"/>
          </w:tcPr>
          <w:p w14:paraId="0E2C88C9" w14:textId="77777777" w:rsidR="00975F26" w:rsidRPr="00ED0D6D" w:rsidRDefault="00975F26" w:rsidP="002A479B">
            <w:pPr>
              <w:jc w:val="center"/>
              <w:rPr>
                <w:color w:val="000000"/>
                <w:sz w:val="20"/>
              </w:rPr>
            </w:pPr>
            <w:r w:rsidRPr="00ED0D6D">
              <w:rPr>
                <w:color w:val="000000"/>
                <w:sz w:val="20"/>
              </w:rPr>
              <w:t>NPP2030</w:t>
            </w:r>
          </w:p>
          <w:p w14:paraId="5D884C1A" w14:textId="77777777" w:rsidR="00975F26" w:rsidRPr="00ED0D6D" w:rsidRDefault="00975F26" w:rsidP="002A479B">
            <w:pPr>
              <w:jc w:val="center"/>
              <w:rPr>
                <w:b/>
                <w:bCs/>
                <w:i/>
                <w:iCs/>
                <w:color w:val="000000"/>
                <w:sz w:val="20"/>
              </w:rPr>
            </w:pPr>
            <w:r w:rsidRPr="00ED0D6D">
              <w:rPr>
                <w:color w:val="000000"/>
                <w:sz w:val="20"/>
              </w:rPr>
              <w:t xml:space="preserve">17LRVP </w:t>
            </w:r>
          </w:p>
        </w:tc>
      </w:tr>
      <w:tr w:rsidR="00975F26" w:rsidRPr="00ED0D6D" w14:paraId="0AC07A19" w14:textId="77777777" w:rsidTr="002A479B">
        <w:trPr>
          <w:trHeight w:val="305"/>
        </w:trPr>
        <w:tc>
          <w:tcPr>
            <w:tcW w:w="657" w:type="dxa"/>
            <w:shd w:val="clear" w:color="auto" w:fill="auto"/>
            <w:vAlign w:val="center"/>
          </w:tcPr>
          <w:p w14:paraId="335E71E5"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494437BB" w14:textId="77777777" w:rsidR="00975F26" w:rsidRPr="00ED0D6D" w:rsidRDefault="00975F26" w:rsidP="002A479B">
            <w:pPr>
              <w:rPr>
                <w:color w:val="000000"/>
                <w:sz w:val="20"/>
              </w:rPr>
            </w:pPr>
            <w:r w:rsidRPr="00ED0D6D">
              <w:rPr>
                <w:color w:val="000000"/>
                <w:sz w:val="20"/>
              </w:rPr>
              <w:t xml:space="preserve">Energetinio saugumo koeficientas (koeficientas) </w:t>
            </w:r>
          </w:p>
        </w:tc>
        <w:tc>
          <w:tcPr>
            <w:tcW w:w="1080" w:type="dxa"/>
            <w:shd w:val="clear" w:color="000000" w:fill="FFFFFF"/>
            <w:vAlign w:val="center"/>
          </w:tcPr>
          <w:p w14:paraId="591ADD18" w14:textId="77777777" w:rsidR="00975F26" w:rsidRPr="00ED0D6D" w:rsidRDefault="00975F26" w:rsidP="002A479B">
            <w:pPr>
              <w:jc w:val="center"/>
              <w:rPr>
                <w:color w:val="000000"/>
                <w:sz w:val="20"/>
              </w:rPr>
            </w:pPr>
            <w:r w:rsidRPr="00ED0D6D">
              <w:rPr>
                <w:color w:val="000000"/>
                <w:sz w:val="20"/>
              </w:rPr>
              <w:t>67,8</w:t>
            </w:r>
          </w:p>
        </w:tc>
        <w:tc>
          <w:tcPr>
            <w:tcW w:w="1080" w:type="dxa"/>
            <w:shd w:val="clear" w:color="auto" w:fill="auto"/>
            <w:noWrap/>
            <w:vAlign w:val="center"/>
          </w:tcPr>
          <w:p w14:paraId="76A0CB97" w14:textId="77777777" w:rsidR="00975F26" w:rsidRPr="00ED0D6D" w:rsidRDefault="00975F26" w:rsidP="002A479B">
            <w:pPr>
              <w:jc w:val="center"/>
              <w:rPr>
                <w:color w:val="000000"/>
                <w:sz w:val="20"/>
              </w:rPr>
            </w:pPr>
            <w:r w:rsidRPr="00A54B5D">
              <w:rPr>
                <w:i/>
                <w:iCs/>
                <w:color w:val="000000"/>
                <w:sz w:val="20"/>
              </w:rPr>
              <w:t>n. d.</w:t>
            </w:r>
          </w:p>
        </w:tc>
        <w:tc>
          <w:tcPr>
            <w:tcW w:w="956" w:type="dxa"/>
            <w:shd w:val="clear" w:color="auto" w:fill="auto"/>
            <w:vAlign w:val="center"/>
          </w:tcPr>
          <w:p w14:paraId="11AF52F3"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0E0DE7C2" w14:textId="77777777" w:rsidR="00975F26" w:rsidRPr="00ED0D6D" w:rsidRDefault="00975F26" w:rsidP="002A479B">
            <w:pPr>
              <w:jc w:val="center"/>
              <w:rPr>
                <w:color w:val="000000"/>
                <w:sz w:val="20"/>
              </w:rPr>
            </w:pPr>
            <w:r w:rsidRPr="00ED0D6D">
              <w:rPr>
                <w:color w:val="000000"/>
                <w:sz w:val="20"/>
              </w:rPr>
              <w:t>66</w:t>
            </w:r>
          </w:p>
        </w:tc>
        <w:tc>
          <w:tcPr>
            <w:tcW w:w="1250" w:type="dxa"/>
            <w:shd w:val="clear" w:color="auto" w:fill="auto"/>
            <w:noWrap/>
            <w:vAlign w:val="center"/>
          </w:tcPr>
          <w:p w14:paraId="4680A8C9" w14:textId="77777777" w:rsidR="00975F26" w:rsidRPr="00ED0D6D" w:rsidRDefault="00975F26" w:rsidP="002A479B">
            <w:pPr>
              <w:jc w:val="center"/>
              <w:rPr>
                <w:color w:val="000000"/>
                <w:sz w:val="20"/>
              </w:rPr>
            </w:pPr>
            <w:r w:rsidRPr="00ED0D6D">
              <w:rPr>
                <w:color w:val="000000"/>
                <w:sz w:val="20"/>
              </w:rPr>
              <w:t>74</w:t>
            </w:r>
          </w:p>
        </w:tc>
        <w:tc>
          <w:tcPr>
            <w:tcW w:w="1250" w:type="dxa"/>
            <w:shd w:val="clear" w:color="auto" w:fill="auto"/>
            <w:vAlign w:val="center"/>
          </w:tcPr>
          <w:p w14:paraId="50D80069" w14:textId="77777777" w:rsidR="00975F26" w:rsidRPr="00ED0D6D" w:rsidRDefault="00975F26" w:rsidP="002A479B">
            <w:pPr>
              <w:jc w:val="center"/>
              <w:rPr>
                <w:color w:val="000000"/>
                <w:sz w:val="20"/>
              </w:rPr>
            </w:pPr>
            <w:r w:rsidRPr="00ED0D6D">
              <w:rPr>
                <w:color w:val="000000"/>
                <w:sz w:val="20"/>
              </w:rPr>
              <w:t>79</w:t>
            </w:r>
          </w:p>
        </w:tc>
        <w:tc>
          <w:tcPr>
            <w:tcW w:w="2221" w:type="dxa"/>
            <w:shd w:val="clear" w:color="auto" w:fill="auto"/>
            <w:vAlign w:val="center"/>
          </w:tcPr>
          <w:p w14:paraId="09948A60" w14:textId="77777777" w:rsidR="00975F26" w:rsidRPr="00ED0D6D" w:rsidRDefault="00975F26" w:rsidP="002A479B">
            <w:pPr>
              <w:jc w:val="center"/>
              <w:rPr>
                <w:color w:val="000000"/>
                <w:sz w:val="20"/>
              </w:rPr>
            </w:pPr>
            <w:r w:rsidRPr="00ED0D6D">
              <w:rPr>
                <w:color w:val="000000"/>
                <w:sz w:val="20"/>
              </w:rPr>
              <w:t>Energetinio saugumo tyrimų centras</w:t>
            </w:r>
          </w:p>
        </w:tc>
        <w:tc>
          <w:tcPr>
            <w:tcW w:w="1172" w:type="dxa"/>
            <w:shd w:val="clear" w:color="auto" w:fill="auto"/>
            <w:vAlign w:val="center"/>
          </w:tcPr>
          <w:p w14:paraId="228D2A44" w14:textId="77777777" w:rsidR="00975F26" w:rsidRPr="00ED0D6D" w:rsidRDefault="00975F26" w:rsidP="002A479B">
            <w:pPr>
              <w:jc w:val="center"/>
              <w:rPr>
                <w:color w:val="000000"/>
                <w:sz w:val="20"/>
              </w:rPr>
            </w:pPr>
            <w:r w:rsidRPr="00ED0D6D">
              <w:rPr>
                <w:color w:val="000000"/>
                <w:sz w:val="20"/>
              </w:rPr>
              <w:t>NPP2030</w:t>
            </w:r>
          </w:p>
          <w:p w14:paraId="1C9B3EAF" w14:textId="77777777" w:rsidR="00975F26" w:rsidRPr="00ED0D6D" w:rsidRDefault="00975F26" w:rsidP="002A479B">
            <w:pPr>
              <w:jc w:val="center"/>
              <w:rPr>
                <w:color w:val="000000"/>
                <w:sz w:val="20"/>
              </w:rPr>
            </w:pPr>
            <w:r w:rsidRPr="00ED0D6D">
              <w:rPr>
                <w:color w:val="000000"/>
                <w:sz w:val="20"/>
              </w:rPr>
              <w:t xml:space="preserve">17LRVP </w:t>
            </w:r>
          </w:p>
        </w:tc>
      </w:tr>
      <w:tr w:rsidR="00975F26" w:rsidRPr="00ED0D6D" w14:paraId="2B2950E7" w14:textId="77777777" w:rsidTr="002A479B">
        <w:trPr>
          <w:trHeight w:val="305"/>
        </w:trPr>
        <w:tc>
          <w:tcPr>
            <w:tcW w:w="657" w:type="dxa"/>
            <w:shd w:val="clear" w:color="auto" w:fill="auto"/>
            <w:vAlign w:val="center"/>
          </w:tcPr>
          <w:p w14:paraId="1518BF3E"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16D5CCD" w14:textId="77777777" w:rsidR="00975F26" w:rsidRPr="00ED0D6D" w:rsidRDefault="00975F26" w:rsidP="002A479B">
            <w:pPr>
              <w:jc w:val="both"/>
              <w:rPr>
                <w:color w:val="000000"/>
                <w:sz w:val="20"/>
              </w:rPr>
            </w:pPr>
            <w:r w:rsidRPr="00ED0D6D">
              <w:rPr>
                <w:color w:val="000000"/>
                <w:sz w:val="20"/>
              </w:rPr>
              <w:t>Pozicija pagal „</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sidRPr="00ED0D6D">
              <w:rPr>
                <w:color w:val="000000"/>
                <w:sz w:val="20"/>
              </w:rPr>
              <w:t xml:space="preserve">“ prisijungimo prie elektros tinklų rodiklį (vieta)   </w:t>
            </w:r>
          </w:p>
        </w:tc>
        <w:tc>
          <w:tcPr>
            <w:tcW w:w="1080" w:type="dxa"/>
            <w:shd w:val="clear" w:color="000000" w:fill="FFFFFF"/>
            <w:vAlign w:val="center"/>
          </w:tcPr>
          <w:p w14:paraId="0B8E15EB" w14:textId="77777777" w:rsidR="00975F26" w:rsidRPr="00ED0D6D" w:rsidRDefault="00975F26" w:rsidP="002A479B">
            <w:pPr>
              <w:jc w:val="center"/>
              <w:rPr>
                <w:color w:val="000000"/>
                <w:sz w:val="20"/>
              </w:rPr>
            </w:pPr>
            <w:r w:rsidRPr="00ED0D6D">
              <w:rPr>
                <w:color w:val="000000"/>
                <w:sz w:val="20"/>
              </w:rPr>
              <w:t>15</w:t>
            </w:r>
          </w:p>
        </w:tc>
        <w:tc>
          <w:tcPr>
            <w:tcW w:w="1080" w:type="dxa"/>
            <w:shd w:val="clear" w:color="auto" w:fill="auto"/>
            <w:noWrap/>
            <w:vAlign w:val="center"/>
          </w:tcPr>
          <w:p w14:paraId="64EB8C25" w14:textId="77777777" w:rsidR="00975F26" w:rsidRPr="00ED0D6D" w:rsidRDefault="00975F26" w:rsidP="002A479B">
            <w:pPr>
              <w:jc w:val="center"/>
              <w:rPr>
                <w:color w:val="000000"/>
                <w:sz w:val="20"/>
              </w:rPr>
            </w:pPr>
            <w:r w:rsidRPr="00ED0D6D">
              <w:rPr>
                <w:color w:val="000000"/>
                <w:sz w:val="20"/>
              </w:rPr>
              <w:t>15</w:t>
            </w:r>
          </w:p>
        </w:tc>
        <w:tc>
          <w:tcPr>
            <w:tcW w:w="956" w:type="dxa"/>
            <w:shd w:val="clear" w:color="auto" w:fill="auto"/>
            <w:vAlign w:val="center"/>
          </w:tcPr>
          <w:p w14:paraId="3B6C54FD"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460536D1" w14:textId="77777777" w:rsidR="00975F26" w:rsidRPr="00ED0D6D" w:rsidRDefault="00975F26" w:rsidP="002A479B">
            <w:pPr>
              <w:jc w:val="center"/>
              <w:rPr>
                <w:color w:val="000000"/>
                <w:sz w:val="20"/>
              </w:rPr>
            </w:pPr>
            <w:r w:rsidRPr="00ED0D6D">
              <w:rPr>
                <w:color w:val="000000"/>
                <w:sz w:val="20"/>
              </w:rPr>
              <w:t>20</w:t>
            </w:r>
          </w:p>
        </w:tc>
        <w:tc>
          <w:tcPr>
            <w:tcW w:w="1250" w:type="dxa"/>
            <w:shd w:val="clear" w:color="auto" w:fill="auto"/>
            <w:noWrap/>
            <w:vAlign w:val="center"/>
          </w:tcPr>
          <w:p w14:paraId="5114BFA6"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24092756" w14:textId="77777777" w:rsidR="00975F26" w:rsidRPr="00ED0D6D" w:rsidRDefault="00975F26" w:rsidP="002A479B">
            <w:pPr>
              <w:jc w:val="center"/>
              <w:rPr>
                <w:color w:val="000000"/>
                <w:sz w:val="20"/>
              </w:rPr>
            </w:pPr>
            <w:r>
              <w:rPr>
                <w:color w:val="000000"/>
                <w:sz w:val="20"/>
              </w:rPr>
              <w:t>–</w:t>
            </w:r>
          </w:p>
        </w:tc>
        <w:tc>
          <w:tcPr>
            <w:tcW w:w="2221" w:type="dxa"/>
            <w:shd w:val="clear" w:color="auto" w:fill="auto"/>
            <w:vAlign w:val="center"/>
          </w:tcPr>
          <w:p w14:paraId="0E36D487" w14:textId="77777777" w:rsidR="00975F26" w:rsidRPr="00ED0D6D" w:rsidRDefault="00975F26" w:rsidP="002A479B">
            <w:pPr>
              <w:jc w:val="center"/>
              <w:rPr>
                <w:color w:val="000000"/>
                <w:sz w:val="20"/>
              </w:rPr>
            </w:pPr>
            <w:r w:rsidRPr="00ED0D6D">
              <w:rPr>
                <w:color w:val="000000"/>
                <w:sz w:val="20"/>
              </w:rPr>
              <w:t>Pasaulio bankas</w:t>
            </w:r>
          </w:p>
        </w:tc>
        <w:tc>
          <w:tcPr>
            <w:tcW w:w="1172" w:type="dxa"/>
            <w:shd w:val="clear" w:color="auto" w:fill="auto"/>
            <w:vAlign w:val="center"/>
          </w:tcPr>
          <w:p w14:paraId="6884010D"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7D4011F" w14:textId="77777777" w:rsidTr="002A479B">
        <w:trPr>
          <w:trHeight w:val="540"/>
        </w:trPr>
        <w:tc>
          <w:tcPr>
            <w:tcW w:w="657" w:type="dxa"/>
            <w:shd w:val="clear" w:color="auto" w:fill="auto"/>
            <w:vAlign w:val="center"/>
            <w:hideMark/>
          </w:tcPr>
          <w:p w14:paraId="6B116716"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5ACA78A" w14:textId="77777777" w:rsidR="00975F26" w:rsidRPr="00ED0D6D" w:rsidRDefault="00975F26" w:rsidP="002A479B">
            <w:pPr>
              <w:jc w:val="both"/>
              <w:rPr>
                <w:color w:val="000000"/>
                <w:sz w:val="20"/>
              </w:rPr>
            </w:pPr>
            <w:r w:rsidRPr="00ED0D6D">
              <w:rPr>
                <w:color w:val="000000"/>
                <w:sz w:val="20"/>
              </w:rPr>
              <w:t xml:space="preserve">Gaminančių vartotojų dalis, palyginti su visų vartotojų skaičiumi, proc. (procentai)   </w:t>
            </w:r>
          </w:p>
        </w:tc>
        <w:tc>
          <w:tcPr>
            <w:tcW w:w="1080" w:type="dxa"/>
            <w:shd w:val="clear" w:color="000000" w:fill="FFFFFF"/>
            <w:vAlign w:val="center"/>
          </w:tcPr>
          <w:p w14:paraId="1BA40604" w14:textId="77777777" w:rsidR="00975F26" w:rsidRPr="00ED0D6D" w:rsidRDefault="00975F26" w:rsidP="002A479B">
            <w:pPr>
              <w:jc w:val="center"/>
              <w:rPr>
                <w:color w:val="000000"/>
                <w:sz w:val="20"/>
              </w:rPr>
            </w:pPr>
            <w:r w:rsidRPr="00ED0D6D">
              <w:rPr>
                <w:color w:val="000000"/>
                <w:sz w:val="20"/>
              </w:rPr>
              <w:t>0,2</w:t>
            </w:r>
          </w:p>
        </w:tc>
        <w:tc>
          <w:tcPr>
            <w:tcW w:w="1080" w:type="dxa"/>
            <w:shd w:val="clear" w:color="000000" w:fill="FFFFFF"/>
            <w:vAlign w:val="center"/>
          </w:tcPr>
          <w:p w14:paraId="7E8799B9" w14:textId="77777777" w:rsidR="00975F26" w:rsidRPr="00ED0D6D" w:rsidRDefault="00975F26" w:rsidP="002A479B">
            <w:pPr>
              <w:jc w:val="center"/>
              <w:rPr>
                <w:color w:val="000000"/>
                <w:sz w:val="20"/>
              </w:rPr>
            </w:pPr>
            <w:r w:rsidRPr="008644E2">
              <w:rPr>
                <w:i/>
                <w:iCs/>
                <w:color w:val="000000"/>
                <w:sz w:val="20"/>
              </w:rPr>
              <w:t>n. d.</w:t>
            </w:r>
          </w:p>
        </w:tc>
        <w:tc>
          <w:tcPr>
            <w:tcW w:w="956" w:type="dxa"/>
            <w:shd w:val="clear" w:color="auto" w:fill="auto"/>
            <w:vAlign w:val="center"/>
          </w:tcPr>
          <w:p w14:paraId="332138FB"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1C93C8E2" w14:textId="77777777" w:rsidR="00975F26" w:rsidRPr="00ED0D6D" w:rsidRDefault="00975F26" w:rsidP="002A479B">
            <w:pPr>
              <w:jc w:val="center"/>
              <w:rPr>
                <w:color w:val="000000"/>
                <w:sz w:val="20"/>
              </w:rPr>
            </w:pPr>
            <w:r w:rsidRPr="00ED0D6D">
              <w:rPr>
                <w:color w:val="000000"/>
                <w:sz w:val="20"/>
              </w:rPr>
              <w:t>2</w:t>
            </w:r>
          </w:p>
        </w:tc>
        <w:tc>
          <w:tcPr>
            <w:tcW w:w="1250" w:type="dxa"/>
            <w:shd w:val="clear" w:color="auto" w:fill="auto"/>
            <w:vAlign w:val="center"/>
          </w:tcPr>
          <w:p w14:paraId="6C8E3574"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26A59B8D" w14:textId="77777777" w:rsidR="00975F26" w:rsidRPr="00ED0D6D" w:rsidRDefault="00975F26" w:rsidP="002A479B">
            <w:pPr>
              <w:jc w:val="center"/>
              <w:rPr>
                <w:color w:val="000000"/>
                <w:sz w:val="20"/>
              </w:rPr>
            </w:pPr>
            <w:r>
              <w:rPr>
                <w:color w:val="000000"/>
                <w:sz w:val="20"/>
              </w:rPr>
              <w:t>–</w:t>
            </w:r>
          </w:p>
        </w:tc>
        <w:tc>
          <w:tcPr>
            <w:tcW w:w="2221" w:type="dxa"/>
            <w:shd w:val="clear" w:color="auto" w:fill="auto"/>
            <w:vAlign w:val="center"/>
          </w:tcPr>
          <w:p w14:paraId="3A4D462B" w14:textId="77777777" w:rsidR="00975F26" w:rsidRPr="00ED0D6D" w:rsidRDefault="00975F26" w:rsidP="002A479B">
            <w:pPr>
              <w:jc w:val="center"/>
              <w:rPr>
                <w:color w:val="000000"/>
                <w:sz w:val="20"/>
              </w:rPr>
            </w:pPr>
            <w:r w:rsidRPr="00ED0D6D">
              <w:rPr>
                <w:color w:val="000000"/>
                <w:sz w:val="20"/>
              </w:rPr>
              <w:t>EM</w:t>
            </w:r>
          </w:p>
        </w:tc>
        <w:tc>
          <w:tcPr>
            <w:tcW w:w="1172" w:type="dxa"/>
            <w:shd w:val="clear" w:color="auto" w:fill="auto"/>
            <w:vAlign w:val="center"/>
          </w:tcPr>
          <w:p w14:paraId="4189A036"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25EDEE4" w14:textId="77777777" w:rsidTr="002A479B">
        <w:trPr>
          <w:trHeight w:val="444"/>
        </w:trPr>
        <w:tc>
          <w:tcPr>
            <w:tcW w:w="657" w:type="dxa"/>
            <w:shd w:val="clear" w:color="auto" w:fill="auto"/>
            <w:vAlign w:val="center"/>
            <w:hideMark/>
          </w:tcPr>
          <w:p w14:paraId="7B3BE35E"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38E7693" w14:textId="77777777" w:rsidR="00975F26" w:rsidRPr="00ED0D6D" w:rsidRDefault="00975F26" w:rsidP="002A479B">
            <w:pPr>
              <w:jc w:val="both"/>
              <w:rPr>
                <w:color w:val="000000"/>
                <w:sz w:val="20"/>
              </w:rPr>
            </w:pPr>
            <w:r w:rsidRPr="00ED0D6D">
              <w:rPr>
                <w:color w:val="000000"/>
                <w:sz w:val="20"/>
              </w:rPr>
              <w:t>Energijos gamybos iš atsinaujinančių išteklių ir vietinės energijos gamybos pajėgumų padidėjimas</w:t>
            </w:r>
            <w:r>
              <w:rPr>
                <w:color w:val="000000"/>
                <w:sz w:val="20"/>
              </w:rPr>
              <w:t xml:space="preserve"> </w:t>
            </w:r>
            <w:r w:rsidRPr="00ED0D6D">
              <w:rPr>
                <w:color w:val="000000"/>
                <w:sz w:val="20"/>
              </w:rPr>
              <w:t xml:space="preserve">(MW)   </w:t>
            </w:r>
          </w:p>
        </w:tc>
        <w:tc>
          <w:tcPr>
            <w:tcW w:w="1080" w:type="dxa"/>
            <w:shd w:val="clear" w:color="000000" w:fill="FFFFFF"/>
            <w:vAlign w:val="center"/>
          </w:tcPr>
          <w:p w14:paraId="4B67AEC2" w14:textId="77777777" w:rsidR="00975F26" w:rsidRPr="00ED0D6D" w:rsidRDefault="00975F26" w:rsidP="002A479B">
            <w:pPr>
              <w:jc w:val="center"/>
              <w:rPr>
                <w:color w:val="000000"/>
                <w:sz w:val="20"/>
              </w:rPr>
            </w:pPr>
            <w:r w:rsidRPr="00ED0D6D">
              <w:rPr>
                <w:color w:val="000000"/>
                <w:sz w:val="20"/>
              </w:rPr>
              <w:t>92</w:t>
            </w:r>
          </w:p>
        </w:tc>
        <w:tc>
          <w:tcPr>
            <w:tcW w:w="1080" w:type="dxa"/>
            <w:shd w:val="clear" w:color="000000" w:fill="FFFFFF"/>
            <w:vAlign w:val="center"/>
          </w:tcPr>
          <w:p w14:paraId="63A81BA5" w14:textId="77777777" w:rsidR="00975F26" w:rsidRPr="00ED0D6D" w:rsidRDefault="00975F26" w:rsidP="002A479B">
            <w:pPr>
              <w:jc w:val="center"/>
              <w:rPr>
                <w:color w:val="000000"/>
                <w:sz w:val="20"/>
              </w:rPr>
            </w:pPr>
            <w:r w:rsidRPr="00482773">
              <w:rPr>
                <w:i/>
                <w:iCs/>
                <w:color w:val="000000"/>
                <w:sz w:val="20"/>
              </w:rPr>
              <w:t>n. d.</w:t>
            </w:r>
          </w:p>
        </w:tc>
        <w:tc>
          <w:tcPr>
            <w:tcW w:w="956" w:type="dxa"/>
            <w:shd w:val="clear" w:color="auto" w:fill="auto"/>
            <w:vAlign w:val="center"/>
          </w:tcPr>
          <w:p w14:paraId="43397A9C"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0F217B35" w14:textId="77777777" w:rsidR="00975F26" w:rsidRPr="00ED0D6D" w:rsidRDefault="00975F26" w:rsidP="002A479B">
            <w:pPr>
              <w:jc w:val="center"/>
              <w:rPr>
                <w:color w:val="000000"/>
                <w:sz w:val="20"/>
              </w:rPr>
            </w:pPr>
            <w:r w:rsidRPr="00ED0D6D">
              <w:rPr>
                <w:color w:val="000000"/>
                <w:sz w:val="20"/>
              </w:rPr>
              <w:t>360</w:t>
            </w:r>
          </w:p>
        </w:tc>
        <w:tc>
          <w:tcPr>
            <w:tcW w:w="1250" w:type="dxa"/>
            <w:shd w:val="clear" w:color="auto" w:fill="auto"/>
            <w:vAlign w:val="center"/>
          </w:tcPr>
          <w:p w14:paraId="12804D24"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5F1C09FC" w14:textId="77777777" w:rsidR="00975F26" w:rsidRPr="00ED0D6D" w:rsidRDefault="00975F26" w:rsidP="002A479B">
            <w:pPr>
              <w:jc w:val="center"/>
              <w:rPr>
                <w:color w:val="000000"/>
                <w:sz w:val="20"/>
              </w:rPr>
            </w:pPr>
            <w:r>
              <w:rPr>
                <w:color w:val="000000"/>
                <w:sz w:val="20"/>
              </w:rPr>
              <w:t>–</w:t>
            </w:r>
          </w:p>
        </w:tc>
        <w:tc>
          <w:tcPr>
            <w:tcW w:w="2221" w:type="dxa"/>
            <w:shd w:val="clear" w:color="auto" w:fill="auto"/>
            <w:vAlign w:val="center"/>
          </w:tcPr>
          <w:p w14:paraId="51B7F352" w14:textId="77777777" w:rsidR="00975F26" w:rsidRPr="00ED0D6D" w:rsidRDefault="00975F26" w:rsidP="002A479B">
            <w:pPr>
              <w:jc w:val="center"/>
              <w:rPr>
                <w:color w:val="000000"/>
                <w:sz w:val="20"/>
              </w:rPr>
            </w:pPr>
            <w:r w:rsidRPr="00ED0D6D">
              <w:rPr>
                <w:color w:val="000000"/>
                <w:sz w:val="20"/>
              </w:rPr>
              <w:t>EM</w:t>
            </w:r>
          </w:p>
        </w:tc>
        <w:tc>
          <w:tcPr>
            <w:tcW w:w="1172" w:type="dxa"/>
            <w:shd w:val="clear" w:color="auto" w:fill="auto"/>
            <w:vAlign w:val="center"/>
          </w:tcPr>
          <w:p w14:paraId="18FE6469"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7B4150E" w14:textId="77777777" w:rsidTr="002A479B">
        <w:trPr>
          <w:trHeight w:val="359"/>
        </w:trPr>
        <w:tc>
          <w:tcPr>
            <w:tcW w:w="657" w:type="dxa"/>
            <w:shd w:val="clear" w:color="auto" w:fill="auto"/>
            <w:vAlign w:val="center"/>
            <w:hideMark/>
          </w:tcPr>
          <w:p w14:paraId="3C99CD5C"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73681810" w14:textId="1E73F1FA" w:rsidR="00975F26" w:rsidRPr="00ED0D6D" w:rsidRDefault="00975F26" w:rsidP="002A479B">
            <w:pPr>
              <w:jc w:val="both"/>
              <w:rPr>
                <w:color w:val="000000"/>
                <w:sz w:val="20"/>
              </w:rPr>
            </w:pPr>
            <w:r w:rsidRPr="00ED0D6D">
              <w:rPr>
                <w:color w:val="000000"/>
                <w:sz w:val="20"/>
              </w:rPr>
              <w:t xml:space="preserve">Prijungimo prie skirstomųjų dujų tinklų trukmė </w:t>
            </w:r>
            <w:r w:rsidRPr="007B3156">
              <w:rPr>
                <w:color w:val="000000"/>
                <w:sz w:val="20"/>
              </w:rPr>
              <w:t xml:space="preserve">(k. d.) </w:t>
            </w:r>
          </w:p>
        </w:tc>
        <w:tc>
          <w:tcPr>
            <w:tcW w:w="1080" w:type="dxa"/>
            <w:shd w:val="clear" w:color="000000" w:fill="FFFFFF"/>
            <w:vAlign w:val="center"/>
          </w:tcPr>
          <w:p w14:paraId="7B700F40" w14:textId="77777777" w:rsidR="00975F26" w:rsidRPr="00ED0D6D" w:rsidRDefault="00975F26" w:rsidP="002A479B">
            <w:pPr>
              <w:jc w:val="center"/>
              <w:rPr>
                <w:color w:val="000000"/>
                <w:sz w:val="20"/>
              </w:rPr>
            </w:pPr>
            <w:r w:rsidRPr="00ED0D6D">
              <w:rPr>
                <w:color w:val="000000"/>
                <w:sz w:val="20"/>
              </w:rPr>
              <w:t>65</w:t>
            </w:r>
          </w:p>
        </w:tc>
        <w:tc>
          <w:tcPr>
            <w:tcW w:w="1080" w:type="dxa"/>
            <w:shd w:val="clear" w:color="000000" w:fill="FFFFFF"/>
            <w:vAlign w:val="center"/>
          </w:tcPr>
          <w:p w14:paraId="15060AC1" w14:textId="77777777" w:rsidR="00975F26" w:rsidRPr="00ED0D6D" w:rsidRDefault="00975F26" w:rsidP="002A479B">
            <w:pPr>
              <w:jc w:val="center"/>
              <w:rPr>
                <w:color w:val="000000"/>
                <w:sz w:val="20"/>
              </w:rPr>
            </w:pPr>
            <w:r w:rsidRPr="00482773">
              <w:rPr>
                <w:i/>
                <w:iCs/>
                <w:color w:val="000000"/>
                <w:sz w:val="20"/>
              </w:rPr>
              <w:t>n. d.</w:t>
            </w:r>
          </w:p>
        </w:tc>
        <w:tc>
          <w:tcPr>
            <w:tcW w:w="956" w:type="dxa"/>
            <w:shd w:val="clear" w:color="auto" w:fill="auto"/>
            <w:vAlign w:val="center"/>
          </w:tcPr>
          <w:p w14:paraId="23D7555F"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16F2ED63" w14:textId="77777777" w:rsidR="00975F26" w:rsidRPr="00ED0D6D" w:rsidRDefault="00975F26" w:rsidP="002A479B">
            <w:pPr>
              <w:jc w:val="center"/>
              <w:rPr>
                <w:color w:val="000000"/>
                <w:sz w:val="20"/>
              </w:rPr>
            </w:pPr>
            <w:r w:rsidRPr="00ED0D6D">
              <w:rPr>
                <w:color w:val="000000"/>
                <w:sz w:val="20"/>
              </w:rPr>
              <w:t>50</w:t>
            </w:r>
          </w:p>
        </w:tc>
        <w:tc>
          <w:tcPr>
            <w:tcW w:w="1250" w:type="dxa"/>
            <w:shd w:val="clear" w:color="auto" w:fill="auto"/>
            <w:vAlign w:val="center"/>
          </w:tcPr>
          <w:p w14:paraId="0089BA92"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3EC73115" w14:textId="77777777" w:rsidR="00975F26" w:rsidRPr="00ED0D6D" w:rsidRDefault="00975F26" w:rsidP="002A479B">
            <w:pPr>
              <w:jc w:val="center"/>
              <w:rPr>
                <w:color w:val="000000"/>
                <w:sz w:val="20"/>
              </w:rPr>
            </w:pPr>
            <w:r>
              <w:rPr>
                <w:color w:val="000000"/>
                <w:sz w:val="20"/>
              </w:rPr>
              <w:t>–</w:t>
            </w:r>
          </w:p>
        </w:tc>
        <w:tc>
          <w:tcPr>
            <w:tcW w:w="2221" w:type="dxa"/>
            <w:shd w:val="clear" w:color="auto" w:fill="auto"/>
            <w:vAlign w:val="center"/>
          </w:tcPr>
          <w:p w14:paraId="7AB2B563" w14:textId="77777777" w:rsidR="00975F26" w:rsidRPr="00ED0D6D" w:rsidRDefault="00975F26" w:rsidP="002A479B">
            <w:pPr>
              <w:jc w:val="center"/>
              <w:rPr>
                <w:color w:val="000000"/>
                <w:sz w:val="20"/>
              </w:rPr>
            </w:pPr>
            <w:r w:rsidRPr="00ED0D6D">
              <w:rPr>
                <w:color w:val="000000"/>
                <w:sz w:val="20"/>
              </w:rPr>
              <w:t>EM</w:t>
            </w:r>
          </w:p>
        </w:tc>
        <w:tc>
          <w:tcPr>
            <w:tcW w:w="1172" w:type="dxa"/>
            <w:shd w:val="clear" w:color="auto" w:fill="auto"/>
            <w:vAlign w:val="center"/>
          </w:tcPr>
          <w:p w14:paraId="34E59C90"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34718C9" w14:textId="77777777" w:rsidTr="002A479B">
        <w:trPr>
          <w:trHeight w:val="440"/>
        </w:trPr>
        <w:tc>
          <w:tcPr>
            <w:tcW w:w="657" w:type="dxa"/>
            <w:shd w:val="clear" w:color="000000" w:fill="FFFFFF"/>
            <w:vAlign w:val="center"/>
            <w:hideMark/>
          </w:tcPr>
          <w:p w14:paraId="0298A4A3"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34F0BFEE" w14:textId="77777777" w:rsidR="00975F26" w:rsidRPr="00ED0D6D" w:rsidRDefault="00975F26" w:rsidP="002A479B">
            <w:pPr>
              <w:jc w:val="both"/>
              <w:rPr>
                <w:color w:val="000000"/>
                <w:sz w:val="20"/>
              </w:rPr>
            </w:pPr>
            <w:r w:rsidRPr="00ED0D6D">
              <w:rPr>
                <w:color w:val="000000"/>
                <w:sz w:val="20"/>
              </w:rPr>
              <w:t>Lietuvos ir Lenkijos dujotiekių jungties projekto įgyvendinimas</w:t>
            </w:r>
            <w:r>
              <w:rPr>
                <w:color w:val="000000"/>
                <w:sz w:val="20"/>
              </w:rPr>
              <w:t xml:space="preserve"> (</w:t>
            </w:r>
            <w:r w:rsidRPr="00ED0D6D">
              <w:rPr>
                <w:color w:val="000000"/>
                <w:sz w:val="20"/>
              </w:rPr>
              <w:t>proc.</w:t>
            </w:r>
            <w:r>
              <w:rPr>
                <w:color w:val="000000"/>
                <w:sz w:val="20"/>
              </w:rPr>
              <w:t>)</w:t>
            </w:r>
            <w:r w:rsidRPr="00ED0D6D">
              <w:rPr>
                <w:color w:val="000000"/>
                <w:sz w:val="20"/>
              </w:rPr>
              <w:t xml:space="preserve"> </w:t>
            </w:r>
          </w:p>
        </w:tc>
        <w:tc>
          <w:tcPr>
            <w:tcW w:w="1080" w:type="dxa"/>
            <w:shd w:val="clear" w:color="000000" w:fill="FFFFFF"/>
            <w:vAlign w:val="center"/>
          </w:tcPr>
          <w:p w14:paraId="12FFE894" w14:textId="77777777" w:rsidR="00975F26" w:rsidRPr="00ED0D6D" w:rsidRDefault="00975F26" w:rsidP="002A479B">
            <w:pPr>
              <w:jc w:val="center"/>
              <w:rPr>
                <w:color w:val="000000"/>
                <w:sz w:val="20"/>
              </w:rPr>
            </w:pPr>
            <w:r w:rsidRPr="00ED0D6D">
              <w:rPr>
                <w:color w:val="000000"/>
                <w:sz w:val="20"/>
              </w:rPr>
              <w:t>22</w:t>
            </w:r>
          </w:p>
        </w:tc>
        <w:tc>
          <w:tcPr>
            <w:tcW w:w="1080" w:type="dxa"/>
            <w:shd w:val="clear" w:color="000000" w:fill="FFFFFF"/>
            <w:vAlign w:val="center"/>
          </w:tcPr>
          <w:p w14:paraId="7E8A3B72" w14:textId="77777777" w:rsidR="00975F26" w:rsidRPr="00ED0D6D" w:rsidRDefault="00975F26" w:rsidP="002A479B">
            <w:pPr>
              <w:jc w:val="center"/>
              <w:rPr>
                <w:color w:val="000000"/>
                <w:sz w:val="20"/>
              </w:rPr>
            </w:pPr>
            <w:r w:rsidRPr="00ED0D6D">
              <w:rPr>
                <w:color w:val="000000"/>
                <w:sz w:val="20"/>
              </w:rPr>
              <w:t>61</w:t>
            </w:r>
          </w:p>
        </w:tc>
        <w:tc>
          <w:tcPr>
            <w:tcW w:w="956" w:type="dxa"/>
            <w:shd w:val="clear" w:color="auto" w:fill="auto"/>
            <w:vAlign w:val="center"/>
          </w:tcPr>
          <w:p w14:paraId="181781C6"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58DA380F" w14:textId="77777777" w:rsidR="00975F26" w:rsidRPr="00ED0D6D" w:rsidRDefault="00975F26" w:rsidP="002A479B">
            <w:pPr>
              <w:jc w:val="center"/>
              <w:rPr>
                <w:color w:val="000000"/>
                <w:sz w:val="20"/>
              </w:rPr>
            </w:pPr>
            <w:r w:rsidRPr="00ED0D6D">
              <w:rPr>
                <w:color w:val="000000"/>
                <w:sz w:val="20"/>
              </w:rPr>
              <w:t>86</w:t>
            </w:r>
          </w:p>
        </w:tc>
        <w:tc>
          <w:tcPr>
            <w:tcW w:w="1250" w:type="dxa"/>
            <w:shd w:val="clear" w:color="000000" w:fill="FFFFFF"/>
            <w:vAlign w:val="center"/>
          </w:tcPr>
          <w:p w14:paraId="46A57AF4" w14:textId="77777777" w:rsidR="00975F26" w:rsidRPr="00ED0D6D" w:rsidRDefault="00975F26" w:rsidP="002A479B">
            <w:pPr>
              <w:jc w:val="center"/>
              <w:rPr>
                <w:color w:val="000000"/>
                <w:sz w:val="20"/>
              </w:rPr>
            </w:pPr>
            <w:r>
              <w:rPr>
                <w:color w:val="000000"/>
                <w:sz w:val="20"/>
              </w:rPr>
              <w:t>–</w:t>
            </w:r>
          </w:p>
        </w:tc>
        <w:tc>
          <w:tcPr>
            <w:tcW w:w="1250" w:type="dxa"/>
            <w:shd w:val="clear" w:color="000000" w:fill="FFFFFF"/>
            <w:vAlign w:val="center"/>
          </w:tcPr>
          <w:p w14:paraId="556AC4DF" w14:textId="77777777" w:rsidR="00975F26" w:rsidRPr="00ED0D6D" w:rsidRDefault="00975F26" w:rsidP="002A479B">
            <w:pPr>
              <w:jc w:val="center"/>
              <w:rPr>
                <w:color w:val="000000"/>
                <w:sz w:val="20"/>
              </w:rPr>
            </w:pPr>
            <w:r>
              <w:rPr>
                <w:color w:val="000000"/>
                <w:sz w:val="20"/>
              </w:rPr>
              <w:t>–</w:t>
            </w:r>
          </w:p>
        </w:tc>
        <w:tc>
          <w:tcPr>
            <w:tcW w:w="2221" w:type="dxa"/>
            <w:shd w:val="clear" w:color="000000" w:fill="FFFFFF"/>
            <w:vAlign w:val="center"/>
          </w:tcPr>
          <w:p w14:paraId="7C0F7DDE" w14:textId="77777777" w:rsidR="00975F26" w:rsidRPr="00ED0D6D" w:rsidRDefault="00975F26" w:rsidP="002A479B">
            <w:pPr>
              <w:jc w:val="center"/>
              <w:rPr>
                <w:color w:val="000000"/>
                <w:sz w:val="20"/>
              </w:rPr>
            </w:pPr>
            <w:r w:rsidRPr="00ED0D6D">
              <w:rPr>
                <w:color w:val="000000"/>
                <w:sz w:val="20"/>
              </w:rPr>
              <w:t>EM</w:t>
            </w:r>
          </w:p>
        </w:tc>
        <w:tc>
          <w:tcPr>
            <w:tcW w:w="1172" w:type="dxa"/>
            <w:shd w:val="clear" w:color="auto" w:fill="auto"/>
            <w:vAlign w:val="center"/>
          </w:tcPr>
          <w:p w14:paraId="795CAC33"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4907963" w14:textId="77777777" w:rsidTr="002A479B">
        <w:trPr>
          <w:trHeight w:val="408"/>
        </w:trPr>
        <w:tc>
          <w:tcPr>
            <w:tcW w:w="657" w:type="dxa"/>
            <w:shd w:val="clear" w:color="000000" w:fill="FFFFFF"/>
            <w:vAlign w:val="center"/>
            <w:hideMark/>
          </w:tcPr>
          <w:p w14:paraId="098EC56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4537563C" w14:textId="77777777" w:rsidR="00975F26" w:rsidRPr="00ED0D6D" w:rsidRDefault="00975F26" w:rsidP="002A479B">
            <w:pPr>
              <w:jc w:val="both"/>
              <w:rPr>
                <w:color w:val="000000"/>
                <w:sz w:val="20"/>
              </w:rPr>
            </w:pPr>
            <w:r w:rsidRPr="00ED0D6D">
              <w:rPr>
                <w:color w:val="000000"/>
                <w:sz w:val="20"/>
              </w:rPr>
              <w:t>Įgyvendinta sinchronizacijos su kontinentinės Europos elektros tinklais (KET) projekto dalis</w:t>
            </w:r>
            <w:r>
              <w:rPr>
                <w:color w:val="000000"/>
                <w:sz w:val="20"/>
              </w:rPr>
              <w:t xml:space="preserve"> (</w:t>
            </w:r>
            <w:r w:rsidRPr="00ED0D6D">
              <w:rPr>
                <w:color w:val="000000"/>
                <w:sz w:val="20"/>
              </w:rPr>
              <w:t>proc</w:t>
            </w:r>
            <w:r>
              <w:rPr>
                <w:color w:val="000000"/>
                <w:sz w:val="20"/>
              </w:rPr>
              <w:t>.)</w:t>
            </w:r>
            <w:r w:rsidRPr="00ED0D6D">
              <w:rPr>
                <w:color w:val="000000"/>
                <w:sz w:val="20"/>
              </w:rPr>
              <w:t xml:space="preserve">   </w:t>
            </w:r>
          </w:p>
        </w:tc>
        <w:tc>
          <w:tcPr>
            <w:tcW w:w="1080" w:type="dxa"/>
            <w:shd w:val="clear" w:color="000000" w:fill="FFFFFF"/>
            <w:vAlign w:val="center"/>
          </w:tcPr>
          <w:p w14:paraId="76F40B84" w14:textId="77777777" w:rsidR="00975F26" w:rsidRPr="00ED0D6D" w:rsidRDefault="00975F26" w:rsidP="002A479B">
            <w:pPr>
              <w:jc w:val="center"/>
              <w:rPr>
                <w:color w:val="000000"/>
                <w:sz w:val="20"/>
              </w:rPr>
            </w:pPr>
            <w:r w:rsidRPr="00ED0D6D">
              <w:rPr>
                <w:color w:val="000000"/>
                <w:sz w:val="20"/>
              </w:rPr>
              <w:t>40</w:t>
            </w:r>
          </w:p>
        </w:tc>
        <w:tc>
          <w:tcPr>
            <w:tcW w:w="1080" w:type="dxa"/>
            <w:shd w:val="clear" w:color="000000" w:fill="FFFFFF"/>
            <w:vAlign w:val="center"/>
          </w:tcPr>
          <w:p w14:paraId="0B6AD159" w14:textId="77777777" w:rsidR="00975F26" w:rsidRPr="00ED0D6D" w:rsidRDefault="00975F26" w:rsidP="002A479B">
            <w:pPr>
              <w:jc w:val="center"/>
              <w:rPr>
                <w:color w:val="000000"/>
                <w:sz w:val="20"/>
              </w:rPr>
            </w:pPr>
            <w:r w:rsidRPr="008644E2">
              <w:rPr>
                <w:i/>
                <w:iCs/>
                <w:color w:val="000000"/>
                <w:sz w:val="20"/>
              </w:rPr>
              <w:t>n. d.</w:t>
            </w:r>
          </w:p>
        </w:tc>
        <w:tc>
          <w:tcPr>
            <w:tcW w:w="956" w:type="dxa"/>
            <w:shd w:val="clear" w:color="auto" w:fill="auto"/>
            <w:vAlign w:val="center"/>
          </w:tcPr>
          <w:p w14:paraId="1BEE09B1"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15F69449" w14:textId="77777777" w:rsidR="00975F26" w:rsidRPr="00ED0D6D" w:rsidRDefault="00975F26" w:rsidP="002A479B">
            <w:pPr>
              <w:jc w:val="center"/>
              <w:rPr>
                <w:color w:val="000000"/>
                <w:sz w:val="20"/>
              </w:rPr>
            </w:pPr>
            <w:r w:rsidRPr="00ED0D6D">
              <w:rPr>
                <w:color w:val="000000"/>
                <w:sz w:val="20"/>
              </w:rPr>
              <w:t>45</w:t>
            </w:r>
          </w:p>
        </w:tc>
        <w:tc>
          <w:tcPr>
            <w:tcW w:w="1250" w:type="dxa"/>
            <w:shd w:val="clear" w:color="000000" w:fill="FFFFFF"/>
            <w:vAlign w:val="center"/>
          </w:tcPr>
          <w:p w14:paraId="2FA364D9" w14:textId="77777777" w:rsidR="00975F26" w:rsidRPr="00ED0D6D" w:rsidRDefault="00975F26" w:rsidP="002A479B">
            <w:pPr>
              <w:jc w:val="center"/>
              <w:rPr>
                <w:color w:val="000000"/>
                <w:sz w:val="20"/>
              </w:rPr>
            </w:pPr>
            <w:r>
              <w:rPr>
                <w:color w:val="000000"/>
                <w:sz w:val="20"/>
              </w:rPr>
              <w:t>–</w:t>
            </w:r>
          </w:p>
        </w:tc>
        <w:tc>
          <w:tcPr>
            <w:tcW w:w="1250" w:type="dxa"/>
            <w:shd w:val="clear" w:color="000000" w:fill="FFFFFF"/>
            <w:vAlign w:val="center"/>
          </w:tcPr>
          <w:p w14:paraId="2A60B8BE" w14:textId="77777777" w:rsidR="00975F26" w:rsidRPr="00ED0D6D" w:rsidRDefault="00975F26" w:rsidP="002A479B">
            <w:pPr>
              <w:jc w:val="center"/>
              <w:rPr>
                <w:color w:val="000000"/>
                <w:sz w:val="20"/>
              </w:rPr>
            </w:pPr>
            <w:r>
              <w:rPr>
                <w:color w:val="000000"/>
                <w:sz w:val="20"/>
              </w:rPr>
              <w:t>–</w:t>
            </w:r>
          </w:p>
        </w:tc>
        <w:tc>
          <w:tcPr>
            <w:tcW w:w="2221" w:type="dxa"/>
            <w:shd w:val="clear" w:color="000000" w:fill="FFFFFF"/>
            <w:vAlign w:val="center"/>
          </w:tcPr>
          <w:p w14:paraId="5B9C17AE" w14:textId="77777777" w:rsidR="00975F26" w:rsidRPr="00ED0D6D" w:rsidRDefault="00975F26" w:rsidP="002A479B">
            <w:pPr>
              <w:jc w:val="center"/>
              <w:rPr>
                <w:color w:val="000000"/>
                <w:sz w:val="20"/>
              </w:rPr>
            </w:pPr>
            <w:r w:rsidRPr="00ED0D6D">
              <w:rPr>
                <w:color w:val="000000"/>
                <w:sz w:val="20"/>
              </w:rPr>
              <w:t>EM</w:t>
            </w:r>
          </w:p>
        </w:tc>
        <w:tc>
          <w:tcPr>
            <w:tcW w:w="1172" w:type="dxa"/>
            <w:shd w:val="clear" w:color="auto" w:fill="auto"/>
            <w:vAlign w:val="center"/>
          </w:tcPr>
          <w:p w14:paraId="0E45531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251F1B2" w14:textId="77777777" w:rsidTr="002A479B">
        <w:trPr>
          <w:trHeight w:val="372"/>
        </w:trPr>
        <w:tc>
          <w:tcPr>
            <w:tcW w:w="657" w:type="dxa"/>
            <w:shd w:val="clear" w:color="000000" w:fill="FFFFFF"/>
            <w:vAlign w:val="center"/>
            <w:hideMark/>
          </w:tcPr>
          <w:p w14:paraId="058D8603"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215AD9AA" w14:textId="77777777" w:rsidR="00975F26" w:rsidRPr="00ED0D6D" w:rsidRDefault="00975F26" w:rsidP="002A479B">
            <w:pPr>
              <w:jc w:val="both"/>
              <w:rPr>
                <w:color w:val="000000"/>
                <w:sz w:val="20"/>
              </w:rPr>
            </w:pPr>
            <w:r w:rsidRPr="00ED0D6D">
              <w:rPr>
                <w:color w:val="000000"/>
                <w:sz w:val="20"/>
              </w:rPr>
              <w:t>Gamtinių dujų tiekimo saugumo papildomos dedamosios prie gamtinių dujų perdavimo kainos sumažinimas</w:t>
            </w:r>
            <w:r>
              <w:rPr>
                <w:color w:val="000000"/>
                <w:sz w:val="20"/>
              </w:rPr>
              <w:t xml:space="preserve"> (proc.)</w:t>
            </w:r>
            <w:r w:rsidRPr="00ED0D6D">
              <w:rPr>
                <w:color w:val="000000"/>
                <w:sz w:val="20"/>
              </w:rPr>
              <w:t xml:space="preserve"> </w:t>
            </w:r>
          </w:p>
        </w:tc>
        <w:tc>
          <w:tcPr>
            <w:tcW w:w="1080" w:type="dxa"/>
            <w:shd w:val="clear" w:color="000000" w:fill="FFFFFF"/>
            <w:vAlign w:val="center"/>
          </w:tcPr>
          <w:p w14:paraId="355D078E" w14:textId="77777777" w:rsidR="00975F26" w:rsidRPr="00ED0D6D" w:rsidRDefault="00975F26" w:rsidP="002A479B">
            <w:pPr>
              <w:jc w:val="center"/>
              <w:rPr>
                <w:color w:val="000000"/>
                <w:sz w:val="20"/>
              </w:rPr>
            </w:pPr>
            <w:r w:rsidRPr="00ED0D6D">
              <w:rPr>
                <w:color w:val="000000"/>
                <w:sz w:val="20"/>
              </w:rPr>
              <w:t>0</w:t>
            </w:r>
          </w:p>
        </w:tc>
        <w:tc>
          <w:tcPr>
            <w:tcW w:w="1080" w:type="dxa"/>
            <w:shd w:val="clear" w:color="000000" w:fill="FFFFFF"/>
            <w:vAlign w:val="center"/>
          </w:tcPr>
          <w:p w14:paraId="4CF7A049" w14:textId="77777777" w:rsidR="00975F26" w:rsidRPr="00ED0D6D" w:rsidRDefault="00975F26" w:rsidP="002A479B">
            <w:pPr>
              <w:jc w:val="center"/>
              <w:rPr>
                <w:color w:val="000000"/>
                <w:sz w:val="20"/>
              </w:rPr>
            </w:pPr>
            <w:r w:rsidRPr="00ED0D6D">
              <w:rPr>
                <w:color w:val="000000"/>
                <w:sz w:val="20"/>
              </w:rPr>
              <w:t>40</w:t>
            </w:r>
          </w:p>
        </w:tc>
        <w:tc>
          <w:tcPr>
            <w:tcW w:w="956" w:type="dxa"/>
            <w:shd w:val="clear" w:color="auto" w:fill="auto"/>
            <w:vAlign w:val="center"/>
          </w:tcPr>
          <w:p w14:paraId="52CCF838"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1C5B652C" w14:textId="77777777" w:rsidR="00975F26" w:rsidRPr="00ED0D6D" w:rsidRDefault="00975F26" w:rsidP="002A479B">
            <w:pPr>
              <w:jc w:val="center"/>
              <w:rPr>
                <w:color w:val="000000"/>
                <w:sz w:val="20"/>
              </w:rPr>
            </w:pPr>
            <w:r w:rsidRPr="00ED0D6D">
              <w:rPr>
                <w:color w:val="000000"/>
                <w:sz w:val="20"/>
              </w:rPr>
              <w:t>40</w:t>
            </w:r>
          </w:p>
        </w:tc>
        <w:tc>
          <w:tcPr>
            <w:tcW w:w="1250" w:type="dxa"/>
            <w:shd w:val="clear" w:color="000000" w:fill="FFFFFF"/>
            <w:vAlign w:val="center"/>
          </w:tcPr>
          <w:p w14:paraId="794500E1" w14:textId="77777777" w:rsidR="00975F26" w:rsidRPr="00ED0D6D" w:rsidRDefault="00975F26" w:rsidP="002A479B">
            <w:pPr>
              <w:jc w:val="center"/>
              <w:rPr>
                <w:color w:val="000000"/>
                <w:sz w:val="20"/>
              </w:rPr>
            </w:pPr>
            <w:r>
              <w:rPr>
                <w:color w:val="000000"/>
                <w:sz w:val="20"/>
              </w:rPr>
              <w:t>–</w:t>
            </w:r>
          </w:p>
        </w:tc>
        <w:tc>
          <w:tcPr>
            <w:tcW w:w="1250" w:type="dxa"/>
            <w:shd w:val="clear" w:color="000000" w:fill="FFFFFF"/>
            <w:vAlign w:val="center"/>
          </w:tcPr>
          <w:p w14:paraId="673FA4E8" w14:textId="77777777" w:rsidR="00975F26" w:rsidRPr="00ED0D6D" w:rsidRDefault="00975F26" w:rsidP="002A479B">
            <w:pPr>
              <w:jc w:val="center"/>
              <w:rPr>
                <w:color w:val="000000"/>
                <w:sz w:val="20"/>
              </w:rPr>
            </w:pPr>
            <w:r>
              <w:rPr>
                <w:color w:val="000000"/>
                <w:sz w:val="20"/>
              </w:rPr>
              <w:t>–</w:t>
            </w:r>
          </w:p>
        </w:tc>
        <w:tc>
          <w:tcPr>
            <w:tcW w:w="2221" w:type="dxa"/>
            <w:shd w:val="clear" w:color="000000" w:fill="FFFFFF"/>
            <w:vAlign w:val="center"/>
          </w:tcPr>
          <w:p w14:paraId="0FA64B26" w14:textId="77777777" w:rsidR="00975F26" w:rsidRPr="00ED0D6D" w:rsidRDefault="00975F26" w:rsidP="002A479B">
            <w:pPr>
              <w:jc w:val="center"/>
              <w:rPr>
                <w:color w:val="000000"/>
                <w:sz w:val="20"/>
              </w:rPr>
            </w:pPr>
            <w:r w:rsidRPr="00ED0D6D">
              <w:rPr>
                <w:color w:val="000000"/>
                <w:sz w:val="20"/>
              </w:rPr>
              <w:t>EM</w:t>
            </w:r>
          </w:p>
        </w:tc>
        <w:tc>
          <w:tcPr>
            <w:tcW w:w="1172" w:type="dxa"/>
            <w:shd w:val="clear" w:color="auto" w:fill="auto"/>
            <w:vAlign w:val="center"/>
          </w:tcPr>
          <w:p w14:paraId="799DB5BC" w14:textId="77777777" w:rsidR="00975F26" w:rsidRPr="00ED0D6D" w:rsidRDefault="00975F26" w:rsidP="002A479B">
            <w:pPr>
              <w:jc w:val="center"/>
              <w:rPr>
                <w:color w:val="000000"/>
                <w:sz w:val="20"/>
              </w:rPr>
            </w:pPr>
            <w:r w:rsidRPr="00ED0D6D">
              <w:rPr>
                <w:color w:val="000000"/>
                <w:sz w:val="20"/>
              </w:rPr>
              <w:t>17LRVP</w:t>
            </w:r>
          </w:p>
        </w:tc>
      </w:tr>
    </w:tbl>
    <w:p w14:paraId="0CB21202" w14:textId="77777777" w:rsidR="00975F26" w:rsidRPr="00ED0D6D" w:rsidRDefault="00975F26" w:rsidP="00975F26">
      <w:pPr>
        <w:pStyle w:val="Sraopastraipa"/>
        <w:rPr>
          <w:rFonts w:ascii="Times New Roman" w:hAnsi="Times New Roman"/>
          <w:bCs/>
          <w:sz w:val="20"/>
          <w:szCs w:val="20"/>
        </w:rPr>
      </w:pPr>
    </w:p>
    <w:p w14:paraId="3ACAD459" w14:textId="04556C51" w:rsidR="00975F26" w:rsidRPr="00223C36" w:rsidRDefault="00975F26" w:rsidP="00223C36">
      <w:pPr>
        <w:spacing w:line="380" w:lineRule="atLeast"/>
        <w:ind w:left="720"/>
        <w:jc w:val="both"/>
        <w:rPr>
          <w:b/>
          <w:szCs w:val="24"/>
        </w:rPr>
      </w:pPr>
      <w:r w:rsidRPr="00ED0D6D">
        <w:rPr>
          <w:b/>
          <w:szCs w:val="24"/>
        </w:rPr>
        <w:t>2.</w:t>
      </w:r>
      <w:r w:rsidR="00223C36">
        <w:rPr>
          <w:b/>
          <w:szCs w:val="24"/>
        </w:rPr>
        <w:t>2.</w:t>
      </w:r>
      <w:r w:rsidRPr="00ED0D6D">
        <w:rPr>
          <w:b/>
          <w:szCs w:val="24"/>
        </w:rPr>
        <w:t>4. Viešieji finansai</w:t>
      </w:r>
    </w:p>
    <w:tbl>
      <w:tblPr>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4740"/>
        <w:gridCol w:w="1080"/>
        <w:gridCol w:w="1080"/>
        <w:gridCol w:w="938"/>
        <w:gridCol w:w="983"/>
        <w:gridCol w:w="1250"/>
        <w:gridCol w:w="1250"/>
        <w:gridCol w:w="2222"/>
        <w:gridCol w:w="1172"/>
      </w:tblGrid>
      <w:tr w:rsidR="00975F26" w:rsidRPr="00ED0D6D" w14:paraId="2086A001" w14:textId="77777777" w:rsidTr="002A479B">
        <w:trPr>
          <w:trHeight w:val="999"/>
        </w:trPr>
        <w:tc>
          <w:tcPr>
            <w:tcW w:w="565" w:type="dxa"/>
            <w:shd w:val="clear" w:color="000000" w:fill="DEEAF6"/>
            <w:vAlign w:val="center"/>
            <w:hideMark/>
          </w:tcPr>
          <w:p w14:paraId="12412111" w14:textId="77777777" w:rsidR="00975F26" w:rsidRPr="00ED0D6D" w:rsidRDefault="00975F26" w:rsidP="002A479B">
            <w:pPr>
              <w:jc w:val="center"/>
              <w:rPr>
                <w:b/>
                <w:bCs/>
                <w:color w:val="000000"/>
                <w:sz w:val="20"/>
              </w:rPr>
            </w:pPr>
            <w:r w:rsidRPr="00ED0D6D">
              <w:rPr>
                <w:b/>
                <w:bCs/>
                <w:color w:val="000000"/>
                <w:sz w:val="20"/>
              </w:rPr>
              <w:t>Eil. Nr.</w:t>
            </w:r>
          </w:p>
        </w:tc>
        <w:tc>
          <w:tcPr>
            <w:tcW w:w="4740" w:type="dxa"/>
            <w:shd w:val="clear" w:color="000000" w:fill="DEEAF6"/>
            <w:vAlign w:val="center"/>
            <w:hideMark/>
          </w:tcPr>
          <w:p w14:paraId="679E4EA2"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3F3B854D"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6975BCC0"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38" w:type="dxa"/>
            <w:shd w:val="clear" w:color="000000" w:fill="DEEAF6"/>
            <w:vAlign w:val="center"/>
            <w:hideMark/>
          </w:tcPr>
          <w:p w14:paraId="64D71386"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2A14EC99"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7FC57927"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55C5C99F"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222" w:type="dxa"/>
            <w:shd w:val="clear" w:color="000000" w:fill="DEEAF6"/>
            <w:vAlign w:val="center"/>
            <w:hideMark/>
          </w:tcPr>
          <w:p w14:paraId="1FD4CDBA" w14:textId="77777777" w:rsidR="00975F26" w:rsidRPr="00ED0D6D" w:rsidRDefault="00975F26" w:rsidP="002A479B">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41E520CD"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0E283636" w14:textId="77777777" w:rsidR="00975F26" w:rsidRPr="00ED0D6D" w:rsidRDefault="00975F26" w:rsidP="002A479B">
            <w:pPr>
              <w:jc w:val="center"/>
              <w:rPr>
                <w:b/>
                <w:bCs/>
                <w:color w:val="000000"/>
                <w:sz w:val="20"/>
              </w:rPr>
            </w:pPr>
            <w:r w:rsidRPr="00ED0D6D">
              <w:rPr>
                <w:b/>
                <w:bCs/>
                <w:color w:val="000000"/>
                <w:sz w:val="20"/>
              </w:rPr>
              <w:t>17LRVP</w:t>
            </w:r>
          </w:p>
          <w:p w14:paraId="37B47203"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3A02C48E" w14:textId="77777777" w:rsidTr="002A479B">
        <w:trPr>
          <w:trHeight w:val="504"/>
        </w:trPr>
        <w:tc>
          <w:tcPr>
            <w:tcW w:w="565" w:type="dxa"/>
            <w:shd w:val="clear" w:color="auto" w:fill="auto"/>
            <w:vAlign w:val="center"/>
            <w:hideMark/>
          </w:tcPr>
          <w:p w14:paraId="67B501B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hideMark/>
          </w:tcPr>
          <w:p w14:paraId="260F5133" w14:textId="77777777" w:rsidR="00975F26" w:rsidRPr="00ED0D6D" w:rsidRDefault="00975F26" w:rsidP="002A479B">
            <w:pPr>
              <w:rPr>
                <w:color w:val="000000"/>
                <w:sz w:val="20"/>
              </w:rPr>
            </w:pPr>
            <w:r w:rsidRPr="00ED0D6D">
              <w:rPr>
                <w:color w:val="000000"/>
                <w:sz w:val="20"/>
              </w:rPr>
              <w:t xml:space="preserve">Vidutinės trukmės biudžeto valdysenos indeksas (balai) </w:t>
            </w:r>
          </w:p>
        </w:tc>
        <w:tc>
          <w:tcPr>
            <w:tcW w:w="1080" w:type="dxa"/>
            <w:shd w:val="clear" w:color="auto" w:fill="auto"/>
            <w:noWrap/>
            <w:vAlign w:val="center"/>
            <w:hideMark/>
          </w:tcPr>
          <w:p w14:paraId="34AAE034" w14:textId="77777777" w:rsidR="00975F26" w:rsidRPr="00ED0D6D" w:rsidRDefault="00975F26" w:rsidP="002A479B">
            <w:pPr>
              <w:jc w:val="center"/>
              <w:rPr>
                <w:color w:val="000000"/>
                <w:sz w:val="20"/>
              </w:rPr>
            </w:pPr>
            <w:r w:rsidRPr="00ED0D6D">
              <w:rPr>
                <w:color w:val="000000"/>
                <w:sz w:val="20"/>
              </w:rPr>
              <w:t>0,73 (2018)</w:t>
            </w:r>
          </w:p>
        </w:tc>
        <w:tc>
          <w:tcPr>
            <w:tcW w:w="1080" w:type="dxa"/>
            <w:shd w:val="clear" w:color="000000" w:fill="FFFFFF"/>
            <w:vAlign w:val="center"/>
            <w:hideMark/>
          </w:tcPr>
          <w:p w14:paraId="1A67FA18" w14:textId="77777777" w:rsidR="00975F26" w:rsidRPr="00ED0D6D" w:rsidRDefault="00975F26" w:rsidP="002A479B">
            <w:pPr>
              <w:jc w:val="center"/>
              <w:rPr>
                <w:color w:val="000000"/>
                <w:sz w:val="20"/>
              </w:rPr>
            </w:pPr>
            <w:r w:rsidRPr="008644E2">
              <w:rPr>
                <w:i/>
                <w:iCs/>
                <w:color w:val="000000"/>
                <w:sz w:val="20"/>
              </w:rPr>
              <w:t>n. d.</w:t>
            </w:r>
          </w:p>
        </w:tc>
        <w:tc>
          <w:tcPr>
            <w:tcW w:w="938" w:type="dxa"/>
            <w:shd w:val="clear" w:color="auto" w:fill="auto"/>
            <w:vAlign w:val="center"/>
            <w:hideMark/>
          </w:tcPr>
          <w:p w14:paraId="21F21DF9"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hideMark/>
          </w:tcPr>
          <w:p w14:paraId="60749639"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hideMark/>
          </w:tcPr>
          <w:p w14:paraId="73B3EE75" w14:textId="77777777" w:rsidR="00975F26" w:rsidRPr="00ED0D6D" w:rsidRDefault="00975F26" w:rsidP="002A479B">
            <w:pPr>
              <w:jc w:val="center"/>
              <w:rPr>
                <w:color w:val="000000"/>
                <w:sz w:val="20"/>
              </w:rPr>
            </w:pPr>
            <w:r w:rsidRPr="00ED0D6D">
              <w:rPr>
                <w:color w:val="000000"/>
                <w:sz w:val="20"/>
              </w:rPr>
              <w:t>0,8</w:t>
            </w:r>
          </w:p>
        </w:tc>
        <w:tc>
          <w:tcPr>
            <w:tcW w:w="1250" w:type="dxa"/>
            <w:shd w:val="clear" w:color="auto" w:fill="auto"/>
            <w:vAlign w:val="center"/>
            <w:hideMark/>
          </w:tcPr>
          <w:p w14:paraId="58CFF1F8" w14:textId="77777777" w:rsidR="00975F26" w:rsidRPr="00ED0D6D" w:rsidRDefault="00975F26" w:rsidP="002A479B">
            <w:pPr>
              <w:jc w:val="center"/>
              <w:rPr>
                <w:color w:val="000000"/>
                <w:sz w:val="20"/>
              </w:rPr>
            </w:pPr>
            <w:r>
              <w:rPr>
                <w:color w:val="000000"/>
                <w:sz w:val="20"/>
              </w:rPr>
              <w:t>–</w:t>
            </w:r>
          </w:p>
        </w:tc>
        <w:tc>
          <w:tcPr>
            <w:tcW w:w="2222" w:type="dxa"/>
            <w:shd w:val="clear" w:color="auto" w:fill="auto"/>
            <w:vAlign w:val="center"/>
            <w:hideMark/>
          </w:tcPr>
          <w:p w14:paraId="3C828D7D" w14:textId="77777777" w:rsidR="00975F26" w:rsidRPr="00ED0D6D" w:rsidRDefault="00975F26" w:rsidP="002A479B">
            <w:pPr>
              <w:jc w:val="center"/>
              <w:rPr>
                <w:color w:val="000000"/>
                <w:sz w:val="20"/>
              </w:rPr>
            </w:pPr>
            <w:r>
              <w:rPr>
                <w:color w:val="000000"/>
                <w:sz w:val="20"/>
              </w:rPr>
              <w:t>EK</w:t>
            </w:r>
          </w:p>
        </w:tc>
        <w:tc>
          <w:tcPr>
            <w:tcW w:w="1172" w:type="dxa"/>
            <w:shd w:val="clear" w:color="auto" w:fill="auto"/>
            <w:vAlign w:val="center"/>
            <w:hideMark/>
          </w:tcPr>
          <w:p w14:paraId="777AB871"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73744C54" w14:textId="77777777" w:rsidTr="002A479B">
        <w:trPr>
          <w:trHeight w:val="552"/>
        </w:trPr>
        <w:tc>
          <w:tcPr>
            <w:tcW w:w="565" w:type="dxa"/>
            <w:shd w:val="clear" w:color="auto" w:fill="auto"/>
            <w:vAlign w:val="center"/>
            <w:hideMark/>
          </w:tcPr>
          <w:p w14:paraId="173B5F05"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hideMark/>
          </w:tcPr>
          <w:p w14:paraId="5BB8F7B7" w14:textId="77777777" w:rsidR="00975F26" w:rsidRPr="00ED0D6D" w:rsidRDefault="00975F26" w:rsidP="002A479B">
            <w:pPr>
              <w:rPr>
                <w:color w:val="000000"/>
                <w:sz w:val="20"/>
              </w:rPr>
            </w:pPr>
            <w:r w:rsidRPr="00ED0D6D">
              <w:rPr>
                <w:color w:val="000000"/>
                <w:sz w:val="20"/>
              </w:rPr>
              <w:t xml:space="preserve">Strateginio pajėgumo indeksas (balai) </w:t>
            </w:r>
          </w:p>
        </w:tc>
        <w:tc>
          <w:tcPr>
            <w:tcW w:w="1080" w:type="dxa"/>
            <w:shd w:val="clear" w:color="000000" w:fill="FFFFFF"/>
            <w:vAlign w:val="center"/>
            <w:hideMark/>
          </w:tcPr>
          <w:p w14:paraId="62040A76" w14:textId="77777777" w:rsidR="00975F26" w:rsidRPr="00ED0D6D" w:rsidRDefault="00975F26" w:rsidP="002A479B">
            <w:pPr>
              <w:jc w:val="center"/>
              <w:rPr>
                <w:color w:val="000000"/>
                <w:sz w:val="20"/>
              </w:rPr>
            </w:pPr>
            <w:r w:rsidRPr="00521B77">
              <w:rPr>
                <w:i/>
                <w:iCs/>
                <w:color w:val="000000"/>
                <w:sz w:val="20"/>
              </w:rPr>
              <w:t>n. d.</w:t>
            </w:r>
          </w:p>
        </w:tc>
        <w:tc>
          <w:tcPr>
            <w:tcW w:w="1080" w:type="dxa"/>
            <w:shd w:val="clear" w:color="auto" w:fill="auto"/>
            <w:noWrap/>
            <w:vAlign w:val="center"/>
            <w:hideMark/>
          </w:tcPr>
          <w:p w14:paraId="501228AF" w14:textId="77777777" w:rsidR="00975F26" w:rsidRPr="00ED0D6D" w:rsidRDefault="00975F26" w:rsidP="002A479B">
            <w:pPr>
              <w:jc w:val="center"/>
              <w:rPr>
                <w:color w:val="000000"/>
                <w:sz w:val="20"/>
              </w:rPr>
            </w:pPr>
            <w:r w:rsidRPr="00ED0D6D">
              <w:rPr>
                <w:color w:val="000000"/>
                <w:sz w:val="20"/>
              </w:rPr>
              <w:t>7</w:t>
            </w:r>
          </w:p>
        </w:tc>
        <w:tc>
          <w:tcPr>
            <w:tcW w:w="938" w:type="dxa"/>
            <w:shd w:val="clear" w:color="auto" w:fill="auto"/>
            <w:vAlign w:val="center"/>
            <w:hideMark/>
          </w:tcPr>
          <w:p w14:paraId="63AF96EA"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hideMark/>
          </w:tcPr>
          <w:p w14:paraId="623D8AF0"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hideMark/>
          </w:tcPr>
          <w:p w14:paraId="6E0803A8" w14:textId="77777777" w:rsidR="00975F26" w:rsidRPr="00ED0D6D" w:rsidRDefault="00975F26" w:rsidP="002A479B">
            <w:pPr>
              <w:jc w:val="center"/>
              <w:rPr>
                <w:color w:val="000000"/>
                <w:sz w:val="20"/>
              </w:rPr>
            </w:pPr>
            <w:r w:rsidRPr="00ED0D6D">
              <w:rPr>
                <w:color w:val="000000"/>
                <w:sz w:val="20"/>
              </w:rPr>
              <w:t>8</w:t>
            </w:r>
          </w:p>
        </w:tc>
        <w:tc>
          <w:tcPr>
            <w:tcW w:w="1250" w:type="dxa"/>
            <w:shd w:val="clear" w:color="auto" w:fill="auto"/>
            <w:vAlign w:val="center"/>
            <w:hideMark/>
          </w:tcPr>
          <w:p w14:paraId="44814881" w14:textId="77777777" w:rsidR="00975F26" w:rsidRPr="00ED0D6D" w:rsidRDefault="00975F26" w:rsidP="002A479B">
            <w:pPr>
              <w:jc w:val="center"/>
              <w:rPr>
                <w:color w:val="000000"/>
                <w:sz w:val="20"/>
              </w:rPr>
            </w:pPr>
            <w:r>
              <w:rPr>
                <w:color w:val="000000"/>
                <w:sz w:val="20"/>
              </w:rPr>
              <w:t>–</w:t>
            </w:r>
          </w:p>
        </w:tc>
        <w:tc>
          <w:tcPr>
            <w:tcW w:w="2222" w:type="dxa"/>
            <w:shd w:val="clear" w:color="auto" w:fill="auto"/>
            <w:vAlign w:val="center"/>
            <w:hideMark/>
          </w:tcPr>
          <w:p w14:paraId="2EC75C19" w14:textId="77777777" w:rsidR="00975F26" w:rsidRPr="00ED0D6D" w:rsidRDefault="00975F26" w:rsidP="002A479B">
            <w:pPr>
              <w:jc w:val="center"/>
              <w:rPr>
                <w:color w:val="000000"/>
                <w:sz w:val="20"/>
              </w:rPr>
            </w:pPr>
            <w:r>
              <w:rPr>
                <w:color w:val="000000"/>
                <w:sz w:val="20"/>
              </w:rPr>
              <w:t>p</w:t>
            </w:r>
            <w:r w:rsidRPr="00ED0D6D">
              <w:rPr>
                <w:color w:val="000000"/>
                <w:sz w:val="20"/>
              </w:rPr>
              <w:t>latforma „</w:t>
            </w:r>
            <w:proofErr w:type="spellStart"/>
            <w:r w:rsidRPr="00ED0D6D">
              <w:rPr>
                <w:color w:val="000000"/>
                <w:sz w:val="20"/>
              </w:rPr>
              <w:t>Sustainable</w:t>
            </w:r>
            <w:proofErr w:type="spellEnd"/>
            <w:r w:rsidRPr="00ED0D6D">
              <w:rPr>
                <w:color w:val="000000"/>
                <w:sz w:val="20"/>
              </w:rPr>
              <w:t xml:space="preserve"> </w:t>
            </w:r>
            <w:proofErr w:type="spellStart"/>
            <w:r w:rsidRPr="00ED0D6D">
              <w:rPr>
                <w:color w:val="000000"/>
                <w:sz w:val="20"/>
              </w:rPr>
              <w:t>Governance</w:t>
            </w:r>
            <w:proofErr w:type="spellEnd"/>
            <w:r w:rsidRPr="00ED0D6D">
              <w:rPr>
                <w:color w:val="000000"/>
                <w:sz w:val="20"/>
              </w:rPr>
              <w:t xml:space="preserve"> </w:t>
            </w:r>
            <w:proofErr w:type="spellStart"/>
            <w:r w:rsidRPr="00ED0D6D">
              <w:rPr>
                <w:color w:val="000000"/>
                <w:sz w:val="20"/>
              </w:rPr>
              <w:t>Indicators</w:t>
            </w:r>
            <w:proofErr w:type="spellEnd"/>
            <w:r w:rsidRPr="00ED0D6D">
              <w:rPr>
                <w:color w:val="000000"/>
                <w:sz w:val="20"/>
              </w:rPr>
              <w:t>“</w:t>
            </w:r>
          </w:p>
        </w:tc>
        <w:tc>
          <w:tcPr>
            <w:tcW w:w="1172" w:type="dxa"/>
            <w:shd w:val="clear" w:color="auto" w:fill="auto"/>
            <w:vAlign w:val="center"/>
            <w:hideMark/>
          </w:tcPr>
          <w:p w14:paraId="3124FFC1"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48551481" w14:textId="77777777" w:rsidTr="002A479B">
        <w:trPr>
          <w:trHeight w:val="440"/>
        </w:trPr>
        <w:tc>
          <w:tcPr>
            <w:tcW w:w="565" w:type="dxa"/>
            <w:shd w:val="clear" w:color="auto" w:fill="auto"/>
            <w:vAlign w:val="center"/>
            <w:hideMark/>
          </w:tcPr>
          <w:p w14:paraId="4FA11BB7"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vAlign w:val="center"/>
            <w:hideMark/>
          </w:tcPr>
          <w:p w14:paraId="72B11637" w14:textId="77777777" w:rsidR="00975F26" w:rsidRPr="00ED0D6D" w:rsidRDefault="00975F26" w:rsidP="002A479B">
            <w:pPr>
              <w:jc w:val="both"/>
              <w:rPr>
                <w:color w:val="000000"/>
                <w:sz w:val="20"/>
              </w:rPr>
            </w:pPr>
            <w:r w:rsidRPr="00ED0D6D">
              <w:rPr>
                <w:color w:val="000000"/>
                <w:sz w:val="20"/>
              </w:rPr>
              <w:t>Mažų ir vidutinių įmonių (</w:t>
            </w:r>
            <w:r>
              <w:rPr>
                <w:color w:val="000000"/>
                <w:sz w:val="20"/>
              </w:rPr>
              <w:t xml:space="preserve">toliau – </w:t>
            </w:r>
            <w:r w:rsidRPr="00ED0D6D">
              <w:rPr>
                <w:color w:val="000000"/>
                <w:sz w:val="20"/>
              </w:rPr>
              <w:t>MVĮ), kurioms aktualiausia problema yra finansavimo prieinamumas, dalis (proc.)</w:t>
            </w:r>
          </w:p>
        </w:tc>
        <w:tc>
          <w:tcPr>
            <w:tcW w:w="1080" w:type="dxa"/>
            <w:shd w:val="clear" w:color="000000" w:fill="FFFFFF"/>
            <w:vAlign w:val="center"/>
            <w:hideMark/>
          </w:tcPr>
          <w:p w14:paraId="0EAE3AEA" w14:textId="77777777" w:rsidR="00975F26" w:rsidRPr="00ED0D6D" w:rsidRDefault="00975F26" w:rsidP="002A479B">
            <w:pPr>
              <w:jc w:val="center"/>
              <w:rPr>
                <w:color w:val="000000"/>
                <w:sz w:val="20"/>
              </w:rPr>
            </w:pPr>
            <w:r w:rsidRPr="00521B77">
              <w:rPr>
                <w:i/>
                <w:iCs/>
                <w:color w:val="000000"/>
                <w:sz w:val="20"/>
              </w:rPr>
              <w:t>n. d.</w:t>
            </w:r>
          </w:p>
        </w:tc>
        <w:tc>
          <w:tcPr>
            <w:tcW w:w="1080" w:type="dxa"/>
            <w:shd w:val="clear" w:color="auto" w:fill="auto"/>
            <w:noWrap/>
            <w:vAlign w:val="center"/>
            <w:hideMark/>
          </w:tcPr>
          <w:p w14:paraId="4D16CB18" w14:textId="77777777" w:rsidR="00975F26" w:rsidRPr="00ED0D6D" w:rsidRDefault="00975F26" w:rsidP="002A479B">
            <w:pPr>
              <w:jc w:val="center"/>
              <w:rPr>
                <w:color w:val="000000"/>
                <w:sz w:val="20"/>
              </w:rPr>
            </w:pPr>
            <w:r w:rsidRPr="00ED0D6D">
              <w:rPr>
                <w:color w:val="000000"/>
                <w:sz w:val="20"/>
              </w:rPr>
              <w:t>13</w:t>
            </w:r>
          </w:p>
        </w:tc>
        <w:tc>
          <w:tcPr>
            <w:tcW w:w="938" w:type="dxa"/>
            <w:shd w:val="clear" w:color="auto" w:fill="auto"/>
            <w:vAlign w:val="center"/>
            <w:hideMark/>
          </w:tcPr>
          <w:p w14:paraId="7E7A385F"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hideMark/>
          </w:tcPr>
          <w:p w14:paraId="31D1A0DB"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hideMark/>
          </w:tcPr>
          <w:p w14:paraId="5214AD47" w14:textId="77777777" w:rsidR="00975F26" w:rsidRPr="00ED0D6D" w:rsidRDefault="00975F26" w:rsidP="002A479B">
            <w:pPr>
              <w:jc w:val="center"/>
              <w:rPr>
                <w:color w:val="000000"/>
                <w:sz w:val="20"/>
              </w:rPr>
            </w:pPr>
            <w:r w:rsidRPr="00ED0D6D">
              <w:rPr>
                <w:color w:val="000000"/>
                <w:sz w:val="20"/>
              </w:rPr>
              <w:t>8</w:t>
            </w:r>
          </w:p>
        </w:tc>
        <w:tc>
          <w:tcPr>
            <w:tcW w:w="1250" w:type="dxa"/>
            <w:shd w:val="clear" w:color="auto" w:fill="auto"/>
            <w:vAlign w:val="center"/>
            <w:hideMark/>
          </w:tcPr>
          <w:p w14:paraId="7E484DB6" w14:textId="77777777" w:rsidR="00975F26" w:rsidRPr="00ED0D6D" w:rsidRDefault="00975F26" w:rsidP="002A479B">
            <w:pPr>
              <w:jc w:val="center"/>
              <w:rPr>
                <w:color w:val="000000"/>
                <w:sz w:val="20"/>
              </w:rPr>
            </w:pPr>
            <w:r>
              <w:rPr>
                <w:color w:val="000000"/>
                <w:sz w:val="20"/>
              </w:rPr>
              <w:t>–</w:t>
            </w:r>
          </w:p>
        </w:tc>
        <w:tc>
          <w:tcPr>
            <w:tcW w:w="2222" w:type="dxa"/>
            <w:shd w:val="clear" w:color="auto" w:fill="auto"/>
            <w:vAlign w:val="center"/>
            <w:hideMark/>
          </w:tcPr>
          <w:p w14:paraId="36DA45EA" w14:textId="77777777" w:rsidR="00975F26" w:rsidRPr="00ED0D6D" w:rsidRDefault="00975F26" w:rsidP="002A479B">
            <w:pPr>
              <w:jc w:val="center"/>
              <w:rPr>
                <w:color w:val="000000"/>
                <w:sz w:val="20"/>
              </w:rPr>
            </w:pPr>
            <w:r>
              <w:rPr>
                <w:color w:val="000000"/>
                <w:sz w:val="20"/>
              </w:rPr>
              <w:t>EK</w:t>
            </w:r>
            <w:r w:rsidRPr="00ED0D6D">
              <w:rPr>
                <w:color w:val="000000"/>
                <w:sz w:val="20"/>
              </w:rPr>
              <w:t xml:space="preserve"> apklausa</w:t>
            </w:r>
          </w:p>
        </w:tc>
        <w:tc>
          <w:tcPr>
            <w:tcW w:w="1172" w:type="dxa"/>
            <w:shd w:val="clear" w:color="auto" w:fill="auto"/>
            <w:vAlign w:val="center"/>
            <w:hideMark/>
          </w:tcPr>
          <w:p w14:paraId="6EB8F327"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493EC8E8" w14:textId="77777777" w:rsidTr="002A479B">
        <w:trPr>
          <w:trHeight w:val="422"/>
        </w:trPr>
        <w:tc>
          <w:tcPr>
            <w:tcW w:w="565" w:type="dxa"/>
            <w:shd w:val="clear" w:color="auto" w:fill="auto"/>
            <w:vAlign w:val="center"/>
          </w:tcPr>
          <w:p w14:paraId="03008417"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vAlign w:val="center"/>
          </w:tcPr>
          <w:p w14:paraId="45D8170F" w14:textId="77777777" w:rsidR="00975F26" w:rsidRPr="00ED0D6D" w:rsidRDefault="00975F26" w:rsidP="002A479B">
            <w:pPr>
              <w:jc w:val="both"/>
              <w:rPr>
                <w:color w:val="000000"/>
                <w:sz w:val="20"/>
              </w:rPr>
            </w:pPr>
            <w:r w:rsidRPr="00ED0D6D">
              <w:rPr>
                <w:color w:val="000000"/>
                <w:sz w:val="20"/>
              </w:rPr>
              <w:t>Pajamų iš mokesčių ir socialinio draudimo įmokų dalis nuo BVP (proc.)</w:t>
            </w:r>
          </w:p>
        </w:tc>
        <w:tc>
          <w:tcPr>
            <w:tcW w:w="1080" w:type="dxa"/>
            <w:shd w:val="clear" w:color="000000" w:fill="FFFFFF"/>
            <w:vAlign w:val="center"/>
          </w:tcPr>
          <w:p w14:paraId="0DF976D7" w14:textId="77777777" w:rsidR="00975F26" w:rsidRPr="00ED0D6D" w:rsidRDefault="00975F26" w:rsidP="002A479B">
            <w:pPr>
              <w:jc w:val="center"/>
              <w:rPr>
                <w:color w:val="000000"/>
                <w:sz w:val="20"/>
              </w:rPr>
            </w:pPr>
            <w:r w:rsidRPr="00ED0D6D">
              <w:rPr>
                <w:color w:val="000000"/>
                <w:sz w:val="20"/>
              </w:rPr>
              <w:t>30,4</w:t>
            </w:r>
          </w:p>
        </w:tc>
        <w:tc>
          <w:tcPr>
            <w:tcW w:w="1080" w:type="dxa"/>
            <w:shd w:val="clear" w:color="auto" w:fill="auto"/>
            <w:noWrap/>
            <w:vAlign w:val="center"/>
          </w:tcPr>
          <w:p w14:paraId="3650DF29" w14:textId="77777777" w:rsidR="00975F26" w:rsidRPr="00ED0D6D" w:rsidRDefault="00975F26" w:rsidP="002A479B">
            <w:pPr>
              <w:jc w:val="center"/>
              <w:rPr>
                <w:color w:val="000000"/>
                <w:sz w:val="20"/>
              </w:rPr>
            </w:pPr>
            <w:r w:rsidRPr="00E246D8">
              <w:rPr>
                <w:i/>
                <w:iCs/>
                <w:color w:val="000000"/>
                <w:sz w:val="20"/>
              </w:rPr>
              <w:t>n. d.</w:t>
            </w:r>
          </w:p>
        </w:tc>
        <w:tc>
          <w:tcPr>
            <w:tcW w:w="938" w:type="dxa"/>
            <w:shd w:val="clear" w:color="auto" w:fill="auto"/>
            <w:vAlign w:val="center"/>
          </w:tcPr>
          <w:p w14:paraId="578E058E"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7E77F45F" w14:textId="77777777" w:rsidR="00975F26" w:rsidRPr="00ED0D6D" w:rsidRDefault="00975F26" w:rsidP="002A479B">
            <w:pPr>
              <w:jc w:val="center"/>
              <w:rPr>
                <w:color w:val="000000"/>
                <w:sz w:val="20"/>
              </w:rPr>
            </w:pPr>
            <w:r w:rsidRPr="00ED0D6D">
              <w:rPr>
                <w:color w:val="000000"/>
                <w:sz w:val="20"/>
              </w:rPr>
              <w:t>31,9</w:t>
            </w:r>
          </w:p>
        </w:tc>
        <w:tc>
          <w:tcPr>
            <w:tcW w:w="1250" w:type="dxa"/>
            <w:shd w:val="clear" w:color="auto" w:fill="auto"/>
            <w:noWrap/>
            <w:vAlign w:val="center"/>
          </w:tcPr>
          <w:p w14:paraId="5AE6CDE8" w14:textId="77777777" w:rsidR="00975F26" w:rsidRPr="00ED0D6D" w:rsidRDefault="00975F26" w:rsidP="002A479B">
            <w:pPr>
              <w:jc w:val="center"/>
              <w:rPr>
                <w:color w:val="000000"/>
                <w:sz w:val="20"/>
              </w:rPr>
            </w:pPr>
            <w:r w:rsidRPr="00ED0D6D">
              <w:rPr>
                <w:color w:val="000000"/>
                <w:sz w:val="20"/>
              </w:rPr>
              <w:t>34</w:t>
            </w:r>
          </w:p>
        </w:tc>
        <w:tc>
          <w:tcPr>
            <w:tcW w:w="1250" w:type="dxa"/>
            <w:shd w:val="clear" w:color="auto" w:fill="auto"/>
            <w:vAlign w:val="center"/>
          </w:tcPr>
          <w:p w14:paraId="63761E9C" w14:textId="77777777" w:rsidR="00975F26" w:rsidRPr="00ED0D6D" w:rsidRDefault="00975F26" w:rsidP="002A479B">
            <w:pPr>
              <w:jc w:val="center"/>
              <w:rPr>
                <w:color w:val="000000"/>
                <w:sz w:val="20"/>
              </w:rPr>
            </w:pPr>
            <w:r w:rsidRPr="00ED0D6D">
              <w:rPr>
                <w:color w:val="000000"/>
                <w:sz w:val="20"/>
              </w:rPr>
              <w:t>35</w:t>
            </w:r>
          </w:p>
        </w:tc>
        <w:tc>
          <w:tcPr>
            <w:tcW w:w="2222" w:type="dxa"/>
            <w:shd w:val="clear" w:color="auto" w:fill="auto"/>
            <w:vAlign w:val="center"/>
          </w:tcPr>
          <w:p w14:paraId="45814500" w14:textId="77777777" w:rsidR="00975F26" w:rsidRPr="00ED0D6D" w:rsidRDefault="00975F26" w:rsidP="002A479B">
            <w:pPr>
              <w:jc w:val="center"/>
              <w:rPr>
                <w:color w:val="000000"/>
                <w:sz w:val="20"/>
              </w:rPr>
            </w:pPr>
            <w:r w:rsidRPr="00ED0D6D">
              <w:rPr>
                <w:color w:val="000000"/>
                <w:sz w:val="20"/>
              </w:rPr>
              <w:t>Eurostatas</w:t>
            </w:r>
          </w:p>
        </w:tc>
        <w:tc>
          <w:tcPr>
            <w:tcW w:w="1172" w:type="dxa"/>
            <w:shd w:val="clear" w:color="auto" w:fill="auto"/>
            <w:vAlign w:val="center"/>
          </w:tcPr>
          <w:p w14:paraId="0B40F449" w14:textId="77777777" w:rsidR="00975F26" w:rsidRPr="00ED0D6D" w:rsidRDefault="00975F26" w:rsidP="002A479B">
            <w:pPr>
              <w:jc w:val="center"/>
              <w:rPr>
                <w:color w:val="000000"/>
                <w:sz w:val="20"/>
              </w:rPr>
            </w:pPr>
            <w:r w:rsidRPr="00ED0D6D">
              <w:rPr>
                <w:color w:val="000000"/>
                <w:sz w:val="20"/>
              </w:rPr>
              <w:t>NPP2030</w:t>
            </w:r>
          </w:p>
          <w:p w14:paraId="55E83B7B" w14:textId="77777777" w:rsidR="00975F26" w:rsidRPr="00ED0D6D" w:rsidRDefault="00975F26" w:rsidP="002A479B">
            <w:pPr>
              <w:jc w:val="center"/>
              <w:rPr>
                <w:b/>
                <w:bCs/>
                <w:color w:val="000000"/>
                <w:sz w:val="20"/>
              </w:rPr>
            </w:pPr>
            <w:r w:rsidRPr="00ED0D6D">
              <w:rPr>
                <w:color w:val="000000"/>
                <w:sz w:val="20"/>
              </w:rPr>
              <w:t>17LRVP</w:t>
            </w:r>
          </w:p>
        </w:tc>
      </w:tr>
      <w:tr w:rsidR="00975F26" w:rsidRPr="00ED0D6D" w14:paraId="7F552D6E" w14:textId="77777777" w:rsidTr="002A479B">
        <w:trPr>
          <w:trHeight w:val="540"/>
        </w:trPr>
        <w:tc>
          <w:tcPr>
            <w:tcW w:w="565" w:type="dxa"/>
            <w:shd w:val="clear" w:color="auto" w:fill="auto"/>
            <w:vAlign w:val="center"/>
            <w:hideMark/>
          </w:tcPr>
          <w:p w14:paraId="08AE435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vAlign w:val="center"/>
            <w:hideMark/>
          </w:tcPr>
          <w:p w14:paraId="205A89B9" w14:textId="77777777" w:rsidR="00975F26" w:rsidRPr="00ED0D6D" w:rsidRDefault="00975F26" w:rsidP="002A479B">
            <w:pPr>
              <w:jc w:val="both"/>
              <w:rPr>
                <w:color w:val="000000"/>
                <w:sz w:val="20"/>
              </w:rPr>
            </w:pPr>
            <w:r w:rsidRPr="00ED0D6D">
              <w:rPr>
                <w:color w:val="000000"/>
                <w:sz w:val="20"/>
              </w:rPr>
              <w:t xml:space="preserve">Sutaupytos lėšos nuo valstybės biudžeto dalies, tenkančios valstybinio sektoriaus funkcijoms atlikti (proc.)   </w:t>
            </w:r>
          </w:p>
        </w:tc>
        <w:tc>
          <w:tcPr>
            <w:tcW w:w="1080" w:type="dxa"/>
            <w:shd w:val="clear" w:color="000000" w:fill="FFFFFF"/>
            <w:vAlign w:val="center"/>
            <w:hideMark/>
          </w:tcPr>
          <w:p w14:paraId="4C623042" w14:textId="77777777" w:rsidR="00975F26" w:rsidRPr="00ED0D6D" w:rsidRDefault="00975F26" w:rsidP="002A479B">
            <w:pPr>
              <w:jc w:val="center"/>
              <w:rPr>
                <w:color w:val="000000"/>
                <w:sz w:val="20"/>
              </w:rPr>
            </w:pPr>
            <w:r w:rsidRPr="00ED0D6D">
              <w:rPr>
                <w:color w:val="000000"/>
                <w:sz w:val="20"/>
              </w:rPr>
              <w:t>1,4</w:t>
            </w:r>
          </w:p>
        </w:tc>
        <w:tc>
          <w:tcPr>
            <w:tcW w:w="1080" w:type="dxa"/>
            <w:shd w:val="clear" w:color="000000" w:fill="FFFFFF"/>
            <w:vAlign w:val="center"/>
            <w:hideMark/>
          </w:tcPr>
          <w:p w14:paraId="6DE23AB3" w14:textId="77777777" w:rsidR="00975F26" w:rsidRPr="00ED0D6D" w:rsidRDefault="00975F26" w:rsidP="002A479B">
            <w:pPr>
              <w:jc w:val="center"/>
              <w:rPr>
                <w:color w:val="000000"/>
                <w:sz w:val="20"/>
              </w:rPr>
            </w:pPr>
            <w:r w:rsidRPr="00E246D8">
              <w:rPr>
                <w:i/>
                <w:iCs/>
                <w:color w:val="000000"/>
                <w:sz w:val="20"/>
              </w:rPr>
              <w:t>n. d.</w:t>
            </w:r>
          </w:p>
        </w:tc>
        <w:tc>
          <w:tcPr>
            <w:tcW w:w="938" w:type="dxa"/>
            <w:shd w:val="clear" w:color="auto" w:fill="auto"/>
            <w:vAlign w:val="center"/>
            <w:hideMark/>
          </w:tcPr>
          <w:p w14:paraId="1AF2E65B"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hideMark/>
          </w:tcPr>
          <w:p w14:paraId="737BF850" w14:textId="77777777" w:rsidR="00975F26" w:rsidRPr="00ED0D6D" w:rsidRDefault="00975F26" w:rsidP="002A479B">
            <w:pPr>
              <w:jc w:val="center"/>
              <w:rPr>
                <w:color w:val="000000"/>
                <w:sz w:val="20"/>
              </w:rPr>
            </w:pPr>
            <w:r w:rsidRPr="00ED0D6D">
              <w:rPr>
                <w:color w:val="000000"/>
                <w:sz w:val="20"/>
              </w:rPr>
              <w:t>20</w:t>
            </w:r>
          </w:p>
        </w:tc>
        <w:tc>
          <w:tcPr>
            <w:tcW w:w="1250" w:type="dxa"/>
            <w:shd w:val="clear" w:color="auto" w:fill="auto"/>
            <w:vAlign w:val="center"/>
            <w:hideMark/>
          </w:tcPr>
          <w:p w14:paraId="75F20B4C"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hideMark/>
          </w:tcPr>
          <w:p w14:paraId="61A854B9" w14:textId="77777777" w:rsidR="00975F26" w:rsidRPr="00ED0D6D" w:rsidRDefault="00975F26" w:rsidP="002A479B">
            <w:pPr>
              <w:jc w:val="center"/>
              <w:rPr>
                <w:color w:val="000000"/>
                <w:sz w:val="20"/>
              </w:rPr>
            </w:pPr>
            <w:r>
              <w:rPr>
                <w:color w:val="000000"/>
                <w:sz w:val="20"/>
              </w:rPr>
              <w:t>–</w:t>
            </w:r>
          </w:p>
        </w:tc>
        <w:tc>
          <w:tcPr>
            <w:tcW w:w="2222" w:type="dxa"/>
            <w:shd w:val="clear" w:color="auto" w:fill="auto"/>
            <w:hideMark/>
          </w:tcPr>
          <w:p w14:paraId="11C72FA0" w14:textId="77777777" w:rsidR="00975F26" w:rsidRPr="00ED0D6D" w:rsidRDefault="00975F26" w:rsidP="002A479B">
            <w:pPr>
              <w:jc w:val="center"/>
              <w:rPr>
                <w:color w:val="000000"/>
                <w:sz w:val="20"/>
              </w:rPr>
            </w:pPr>
            <w:r>
              <w:rPr>
                <w:color w:val="000000"/>
                <w:sz w:val="20"/>
              </w:rPr>
              <w:t>Lietuvos Respublikos f</w:t>
            </w:r>
            <w:r w:rsidRPr="00ED0D6D">
              <w:rPr>
                <w:color w:val="000000"/>
                <w:sz w:val="20"/>
              </w:rPr>
              <w:t>inansų ministerija (</w:t>
            </w:r>
            <w:r>
              <w:rPr>
                <w:color w:val="000000"/>
                <w:sz w:val="20"/>
              </w:rPr>
              <w:t xml:space="preserve">toliau – </w:t>
            </w:r>
            <w:r w:rsidRPr="00ED0D6D">
              <w:rPr>
                <w:color w:val="000000"/>
                <w:sz w:val="20"/>
              </w:rPr>
              <w:t>FM)</w:t>
            </w:r>
          </w:p>
        </w:tc>
        <w:tc>
          <w:tcPr>
            <w:tcW w:w="1172" w:type="dxa"/>
            <w:shd w:val="clear" w:color="auto" w:fill="auto"/>
            <w:vAlign w:val="center"/>
            <w:hideMark/>
          </w:tcPr>
          <w:p w14:paraId="217ACE9D"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05681AA" w14:textId="77777777" w:rsidTr="002A479B">
        <w:trPr>
          <w:trHeight w:val="260"/>
        </w:trPr>
        <w:tc>
          <w:tcPr>
            <w:tcW w:w="565" w:type="dxa"/>
            <w:shd w:val="clear" w:color="auto" w:fill="auto"/>
            <w:vAlign w:val="center"/>
            <w:hideMark/>
          </w:tcPr>
          <w:p w14:paraId="01BCD159"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740" w:type="dxa"/>
            <w:shd w:val="clear" w:color="auto" w:fill="auto"/>
            <w:hideMark/>
          </w:tcPr>
          <w:p w14:paraId="43B7E486" w14:textId="77777777" w:rsidR="00975F26" w:rsidRPr="00ED0D6D" w:rsidRDefault="00975F26" w:rsidP="002A479B">
            <w:pPr>
              <w:jc w:val="both"/>
              <w:rPr>
                <w:color w:val="000000"/>
                <w:sz w:val="20"/>
              </w:rPr>
            </w:pPr>
            <w:r w:rsidRPr="00ED0D6D">
              <w:rPr>
                <w:color w:val="000000"/>
                <w:sz w:val="20"/>
              </w:rPr>
              <w:t xml:space="preserve">Bendrųjų konsoliduotai teikiamų funkcijų dalis (proc.)   </w:t>
            </w:r>
          </w:p>
        </w:tc>
        <w:tc>
          <w:tcPr>
            <w:tcW w:w="1080" w:type="dxa"/>
            <w:shd w:val="clear" w:color="000000" w:fill="FFFFFF"/>
            <w:vAlign w:val="center"/>
            <w:hideMark/>
          </w:tcPr>
          <w:p w14:paraId="00C6D46F" w14:textId="77777777" w:rsidR="00975F26" w:rsidRPr="00ED0D6D" w:rsidRDefault="00975F26" w:rsidP="002A479B">
            <w:pPr>
              <w:jc w:val="center"/>
              <w:rPr>
                <w:color w:val="000000"/>
                <w:sz w:val="20"/>
              </w:rPr>
            </w:pPr>
            <w:r w:rsidRPr="00ED0D6D">
              <w:rPr>
                <w:color w:val="000000"/>
                <w:sz w:val="20"/>
              </w:rPr>
              <w:t>26,5</w:t>
            </w:r>
          </w:p>
        </w:tc>
        <w:tc>
          <w:tcPr>
            <w:tcW w:w="1080" w:type="dxa"/>
            <w:shd w:val="clear" w:color="000000" w:fill="FFFFFF"/>
            <w:vAlign w:val="center"/>
            <w:hideMark/>
          </w:tcPr>
          <w:p w14:paraId="66D05215" w14:textId="77777777" w:rsidR="00975F26" w:rsidRPr="00ED0D6D" w:rsidRDefault="00975F26" w:rsidP="002A479B">
            <w:pPr>
              <w:jc w:val="center"/>
              <w:rPr>
                <w:color w:val="000000"/>
                <w:sz w:val="20"/>
              </w:rPr>
            </w:pPr>
            <w:r w:rsidRPr="00ED0D6D">
              <w:rPr>
                <w:color w:val="000000"/>
                <w:sz w:val="20"/>
              </w:rPr>
              <w:t>53,8</w:t>
            </w:r>
          </w:p>
        </w:tc>
        <w:tc>
          <w:tcPr>
            <w:tcW w:w="938" w:type="dxa"/>
            <w:shd w:val="clear" w:color="auto" w:fill="auto"/>
            <w:vAlign w:val="center"/>
            <w:hideMark/>
          </w:tcPr>
          <w:p w14:paraId="60E9CC77"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hideMark/>
          </w:tcPr>
          <w:p w14:paraId="0455D890" w14:textId="77777777" w:rsidR="00975F26" w:rsidRPr="00ED0D6D" w:rsidRDefault="00975F26" w:rsidP="002A479B">
            <w:pPr>
              <w:jc w:val="center"/>
              <w:rPr>
                <w:color w:val="000000"/>
                <w:sz w:val="20"/>
              </w:rPr>
            </w:pPr>
            <w:r w:rsidRPr="00ED0D6D">
              <w:rPr>
                <w:color w:val="000000"/>
                <w:sz w:val="20"/>
              </w:rPr>
              <w:t>80</w:t>
            </w:r>
          </w:p>
        </w:tc>
        <w:tc>
          <w:tcPr>
            <w:tcW w:w="1250" w:type="dxa"/>
            <w:shd w:val="clear" w:color="auto" w:fill="auto"/>
            <w:vAlign w:val="center"/>
            <w:hideMark/>
          </w:tcPr>
          <w:p w14:paraId="6C61ABEE"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hideMark/>
          </w:tcPr>
          <w:p w14:paraId="7A0DBC53" w14:textId="77777777" w:rsidR="00975F26" w:rsidRPr="00ED0D6D" w:rsidRDefault="00975F26" w:rsidP="002A479B">
            <w:pPr>
              <w:jc w:val="center"/>
              <w:rPr>
                <w:color w:val="000000"/>
                <w:sz w:val="20"/>
              </w:rPr>
            </w:pPr>
            <w:r>
              <w:rPr>
                <w:color w:val="000000"/>
                <w:sz w:val="20"/>
              </w:rPr>
              <w:t>–</w:t>
            </w:r>
          </w:p>
        </w:tc>
        <w:tc>
          <w:tcPr>
            <w:tcW w:w="2222" w:type="dxa"/>
            <w:shd w:val="clear" w:color="auto" w:fill="auto"/>
            <w:vAlign w:val="center"/>
            <w:hideMark/>
          </w:tcPr>
          <w:p w14:paraId="7BFEA785"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736DA4C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FE232FA" w14:textId="77777777" w:rsidTr="002A479B">
        <w:trPr>
          <w:trHeight w:val="440"/>
        </w:trPr>
        <w:tc>
          <w:tcPr>
            <w:tcW w:w="565" w:type="dxa"/>
            <w:shd w:val="clear" w:color="auto" w:fill="auto"/>
            <w:vAlign w:val="center"/>
            <w:hideMark/>
          </w:tcPr>
          <w:p w14:paraId="21B932D9" w14:textId="77777777" w:rsidR="00975F26" w:rsidRPr="00ED0D6D" w:rsidRDefault="00975F26" w:rsidP="002A479B">
            <w:pPr>
              <w:pStyle w:val="Sraopastraipa"/>
              <w:numPr>
                <w:ilvl w:val="0"/>
                <w:numId w:val="11"/>
              </w:numPr>
              <w:spacing w:after="0"/>
              <w:ind w:left="0" w:firstLine="0"/>
              <w:jc w:val="center"/>
              <w:rPr>
                <w:rFonts w:ascii="Times New Roman" w:hAnsi="Times New Roman"/>
                <w:color w:val="000000"/>
                <w:sz w:val="20"/>
                <w:szCs w:val="20"/>
              </w:rPr>
            </w:pPr>
          </w:p>
        </w:tc>
        <w:tc>
          <w:tcPr>
            <w:tcW w:w="4740" w:type="dxa"/>
            <w:shd w:val="clear" w:color="auto" w:fill="auto"/>
            <w:hideMark/>
          </w:tcPr>
          <w:p w14:paraId="58E06B5F" w14:textId="77777777" w:rsidR="00975F26" w:rsidRPr="00ED0D6D" w:rsidRDefault="00975F26" w:rsidP="002A479B">
            <w:pPr>
              <w:jc w:val="both"/>
              <w:rPr>
                <w:sz w:val="20"/>
              </w:rPr>
            </w:pPr>
            <w:r w:rsidRPr="00ED0D6D">
              <w:rPr>
                <w:sz w:val="20"/>
              </w:rPr>
              <w:t>Centralizuotai valdomo administracinės paskirties valstybės nekilnojamojo turto apimties didėjimas (proc.)</w:t>
            </w:r>
          </w:p>
        </w:tc>
        <w:tc>
          <w:tcPr>
            <w:tcW w:w="1080" w:type="dxa"/>
            <w:shd w:val="clear" w:color="000000" w:fill="FFFFFF"/>
            <w:vAlign w:val="center"/>
            <w:hideMark/>
          </w:tcPr>
          <w:p w14:paraId="348412B9" w14:textId="77777777" w:rsidR="00975F26" w:rsidRPr="00ED0D6D" w:rsidRDefault="00975F26" w:rsidP="002A479B">
            <w:pPr>
              <w:jc w:val="center"/>
              <w:rPr>
                <w:color w:val="000000"/>
                <w:sz w:val="20"/>
              </w:rPr>
            </w:pPr>
            <w:r w:rsidRPr="00ED0D6D">
              <w:rPr>
                <w:color w:val="000000"/>
                <w:sz w:val="20"/>
              </w:rPr>
              <w:t>76,8</w:t>
            </w:r>
          </w:p>
        </w:tc>
        <w:tc>
          <w:tcPr>
            <w:tcW w:w="1080" w:type="dxa"/>
            <w:shd w:val="clear" w:color="000000" w:fill="FFFFFF"/>
            <w:vAlign w:val="center"/>
            <w:hideMark/>
          </w:tcPr>
          <w:p w14:paraId="49CF1CAC" w14:textId="77777777" w:rsidR="00975F26" w:rsidRPr="00ED0D6D" w:rsidRDefault="00975F26" w:rsidP="002A479B">
            <w:pPr>
              <w:jc w:val="center"/>
              <w:rPr>
                <w:color w:val="000000"/>
                <w:sz w:val="20"/>
              </w:rPr>
            </w:pPr>
            <w:r w:rsidRPr="00ED0D6D">
              <w:rPr>
                <w:color w:val="000000"/>
                <w:sz w:val="20"/>
              </w:rPr>
              <w:t>100</w:t>
            </w:r>
          </w:p>
        </w:tc>
        <w:tc>
          <w:tcPr>
            <w:tcW w:w="938" w:type="dxa"/>
            <w:shd w:val="clear" w:color="auto" w:fill="auto"/>
            <w:vAlign w:val="center"/>
            <w:hideMark/>
          </w:tcPr>
          <w:p w14:paraId="298BC7AE"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hideMark/>
          </w:tcPr>
          <w:p w14:paraId="727825D7" w14:textId="77777777" w:rsidR="00975F26" w:rsidRPr="00ED0D6D" w:rsidRDefault="00975F26" w:rsidP="002A479B">
            <w:pPr>
              <w:jc w:val="center"/>
              <w:rPr>
                <w:color w:val="000000"/>
                <w:sz w:val="20"/>
              </w:rPr>
            </w:pPr>
            <w:r w:rsidRPr="00ED0D6D">
              <w:rPr>
                <w:color w:val="000000"/>
                <w:sz w:val="20"/>
              </w:rPr>
              <w:t>100</w:t>
            </w:r>
          </w:p>
        </w:tc>
        <w:tc>
          <w:tcPr>
            <w:tcW w:w="1250" w:type="dxa"/>
            <w:shd w:val="clear" w:color="auto" w:fill="auto"/>
            <w:vAlign w:val="center"/>
            <w:hideMark/>
          </w:tcPr>
          <w:p w14:paraId="06509BD3"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hideMark/>
          </w:tcPr>
          <w:p w14:paraId="5D76A4B9" w14:textId="77777777" w:rsidR="00975F26" w:rsidRPr="00ED0D6D" w:rsidRDefault="00975F26" w:rsidP="002A479B">
            <w:pPr>
              <w:jc w:val="center"/>
              <w:rPr>
                <w:color w:val="000000"/>
                <w:sz w:val="20"/>
              </w:rPr>
            </w:pPr>
            <w:r>
              <w:rPr>
                <w:color w:val="000000"/>
                <w:sz w:val="20"/>
              </w:rPr>
              <w:t>–</w:t>
            </w:r>
          </w:p>
        </w:tc>
        <w:tc>
          <w:tcPr>
            <w:tcW w:w="2222" w:type="dxa"/>
            <w:shd w:val="clear" w:color="auto" w:fill="auto"/>
            <w:vAlign w:val="center"/>
            <w:hideMark/>
          </w:tcPr>
          <w:p w14:paraId="2B9A3A74"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56C14789"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D1070AD" w14:textId="77777777" w:rsidTr="002A479B">
        <w:trPr>
          <w:trHeight w:val="768"/>
        </w:trPr>
        <w:tc>
          <w:tcPr>
            <w:tcW w:w="565" w:type="dxa"/>
            <w:shd w:val="clear" w:color="auto" w:fill="auto"/>
            <w:vAlign w:val="center"/>
            <w:hideMark/>
          </w:tcPr>
          <w:p w14:paraId="33CA835A"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740" w:type="dxa"/>
            <w:shd w:val="clear" w:color="auto" w:fill="auto"/>
            <w:vAlign w:val="center"/>
            <w:hideMark/>
          </w:tcPr>
          <w:p w14:paraId="7B1DE810" w14:textId="04C9ADBE" w:rsidR="00975F26" w:rsidRPr="00ED0D6D" w:rsidRDefault="00975F26" w:rsidP="002A479B">
            <w:pPr>
              <w:jc w:val="both"/>
              <w:rPr>
                <w:color w:val="000000"/>
                <w:sz w:val="20"/>
              </w:rPr>
            </w:pPr>
            <w:r w:rsidRPr="00ED0D6D">
              <w:rPr>
                <w:color w:val="000000"/>
                <w:sz w:val="20"/>
              </w:rPr>
              <w:t>Lietuvos biudžeto skaidrumo indekso (</w:t>
            </w:r>
            <w:proofErr w:type="spellStart"/>
            <w:r w:rsidRPr="00F46DD0">
              <w:rPr>
                <w:i/>
                <w:iCs/>
                <w:color w:val="000000"/>
                <w:sz w:val="20"/>
              </w:rPr>
              <w:t>Budget</w:t>
            </w:r>
            <w:proofErr w:type="spellEnd"/>
            <w:r w:rsidRPr="00F46DD0">
              <w:rPr>
                <w:i/>
                <w:iCs/>
                <w:color w:val="000000"/>
                <w:sz w:val="20"/>
              </w:rPr>
              <w:t xml:space="preserve"> </w:t>
            </w:r>
            <w:proofErr w:type="spellStart"/>
            <w:r w:rsidRPr="00F46DD0">
              <w:rPr>
                <w:i/>
                <w:iCs/>
                <w:color w:val="000000"/>
                <w:sz w:val="20"/>
              </w:rPr>
              <w:t>Transparency</w:t>
            </w:r>
            <w:proofErr w:type="spellEnd"/>
            <w:r w:rsidRPr="00ED0D6D">
              <w:rPr>
                <w:color w:val="000000"/>
                <w:sz w:val="20"/>
              </w:rPr>
              <w:t xml:space="preserve">, remiantis </w:t>
            </w:r>
            <w:proofErr w:type="spellStart"/>
            <w:r w:rsidRPr="00F46DD0">
              <w:rPr>
                <w:i/>
                <w:iCs/>
                <w:color w:val="000000"/>
                <w:sz w:val="20"/>
              </w:rPr>
              <w:t>Index</w:t>
            </w:r>
            <w:proofErr w:type="spellEnd"/>
            <w:r w:rsidRPr="00F46DD0">
              <w:rPr>
                <w:i/>
                <w:iCs/>
                <w:color w:val="000000"/>
                <w:sz w:val="20"/>
              </w:rPr>
              <w:t xml:space="preserve"> </w:t>
            </w:r>
            <w:proofErr w:type="spellStart"/>
            <w:r w:rsidRPr="00F46DD0">
              <w:rPr>
                <w:i/>
                <w:iCs/>
                <w:color w:val="000000"/>
                <w:sz w:val="20"/>
              </w:rPr>
              <w:t>of</w:t>
            </w:r>
            <w:proofErr w:type="spellEnd"/>
            <w:r w:rsidRPr="00F46DD0">
              <w:rPr>
                <w:i/>
                <w:iCs/>
                <w:color w:val="000000"/>
                <w:sz w:val="20"/>
              </w:rPr>
              <w:t xml:space="preserve"> </w:t>
            </w:r>
            <w:proofErr w:type="spellStart"/>
            <w:r w:rsidRPr="00F46DD0">
              <w:rPr>
                <w:i/>
                <w:iCs/>
                <w:color w:val="000000"/>
                <w:sz w:val="20"/>
              </w:rPr>
              <w:t>Public</w:t>
            </w:r>
            <w:proofErr w:type="spellEnd"/>
            <w:r w:rsidRPr="00F46DD0">
              <w:rPr>
                <w:i/>
                <w:iCs/>
                <w:color w:val="000000"/>
                <w:sz w:val="20"/>
              </w:rPr>
              <w:t xml:space="preserve"> </w:t>
            </w:r>
            <w:proofErr w:type="spellStart"/>
            <w:r w:rsidRPr="00F46DD0">
              <w:rPr>
                <w:i/>
                <w:iCs/>
                <w:color w:val="000000"/>
                <w:sz w:val="20"/>
              </w:rPr>
              <w:t>Integrity</w:t>
            </w:r>
            <w:proofErr w:type="spellEnd"/>
            <w:r w:rsidRPr="00ED0D6D">
              <w:rPr>
                <w:color w:val="000000"/>
                <w:sz w:val="20"/>
              </w:rPr>
              <w:t xml:space="preserve"> duomenų baze) pagerėjimas</w:t>
            </w:r>
            <w:r w:rsidR="00BD7564">
              <w:rPr>
                <w:color w:val="000000"/>
                <w:sz w:val="20"/>
              </w:rPr>
              <w:t xml:space="preserve"> </w:t>
            </w:r>
            <w:r w:rsidRPr="00ED0D6D">
              <w:rPr>
                <w:color w:val="000000"/>
                <w:sz w:val="20"/>
              </w:rPr>
              <w:t xml:space="preserve"> </w:t>
            </w:r>
          </w:p>
        </w:tc>
        <w:tc>
          <w:tcPr>
            <w:tcW w:w="1080" w:type="dxa"/>
            <w:shd w:val="clear" w:color="000000" w:fill="FFFFFF"/>
            <w:vAlign w:val="center"/>
            <w:hideMark/>
          </w:tcPr>
          <w:p w14:paraId="455C9BE2" w14:textId="77777777" w:rsidR="00975F26" w:rsidRPr="00ED0D6D" w:rsidRDefault="00975F26" w:rsidP="002A479B">
            <w:pPr>
              <w:jc w:val="center"/>
              <w:rPr>
                <w:color w:val="000000"/>
                <w:sz w:val="20"/>
              </w:rPr>
            </w:pPr>
            <w:r w:rsidRPr="00ED0D6D">
              <w:rPr>
                <w:color w:val="000000"/>
                <w:sz w:val="20"/>
              </w:rPr>
              <w:t>5,9</w:t>
            </w:r>
          </w:p>
        </w:tc>
        <w:tc>
          <w:tcPr>
            <w:tcW w:w="1080" w:type="dxa"/>
            <w:shd w:val="clear" w:color="000000" w:fill="FFFFFF"/>
            <w:vAlign w:val="center"/>
            <w:hideMark/>
          </w:tcPr>
          <w:p w14:paraId="0CD50080" w14:textId="77777777" w:rsidR="00975F26" w:rsidRPr="00ED0D6D" w:rsidRDefault="00975F26" w:rsidP="002A479B">
            <w:pPr>
              <w:jc w:val="center"/>
              <w:rPr>
                <w:color w:val="000000"/>
                <w:sz w:val="20"/>
              </w:rPr>
            </w:pPr>
            <w:r w:rsidRPr="00ED0D6D">
              <w:rPr>
                <w:color w:val="000000"/>
                <w:sz w:val="20"/>
              </w:rPr>
              <w:t>5,9</w:t>
            </w:r>
          </w:p>
        </w:tc>
        <w:tc>
          <w:tcPr>
            <w:tcW w:w="938" w:type="dxa"/>
            <w:shd w:val="clear" w:color="auto" w:fill="auto"/>
            <w:vAlign w:val="center"/>
            <w:hideMark/>
          </w:tcPr>
          <w:p w14:paraId="6280E858"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hideMark/>
          </w:tcPr>
          <w:p w14:paraId="065E5A81" w14:textId="77777777" w:rsidR="00975F26" w:rsidRPr="00ED0D6D" w:rsidRDefault="00975F26" w:rsidP="002A479B">
            <w:pPr>
              <w:jc w:val="center"/>
              <w:rPr>
                <w:color w:val="000000"/>
                <w:sz w:val="20"/>
              </w:rPr>
            </w:pPr>
            <w:r w:rsidRPr="00ED0D6D">
              <w:rPr>
                <w:color w:val="000000"/>
                <w:sz w:val="20"/>
              </w:rPr>
              <w:t>7,5</w:t>
            </w:r>
          </w:p>
        </w:tc>
        <w:tc>
          <w:tcPr>
            <w:tcW w:w="1250" w:type="dxa"/>
            <w:shd w:val="clear" w:color="auto" w:fill="auto"/>
            <w:vAlign w:val="center"/>
            <w:hideMark/>
          </w:tcPr>
          <w:p w14:paraId="6CC2B4DE"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hideMark/>
          </w:tcPr>
          <w:p w14:paraId="04A196B9" w14:textId="77777777" w:rsidR="00975F26" w:rsidRPr="00ED0D6D" w:rsidRDefault="00975F26" w:rsidP="002A479B">
            <w:pPr>
              <w:jc w:val="center"/>
              <w:rPr>
                <w:color w:val="000000"/>
                <w:sz w:val="20"/>
              </w:rPr>
            </w:pPr>
            <w:r>
              <w:rPr>
                <w:color w:val="000000"/>
                <w:sz w:val="20"/>
              </w:rPr>
              <w:t>–</w:t>
            </w:r>
          </w:p>
        </w:tc>
        <w:tc>
          <w:tcPr>
            <w:tcW w:w="2222" w:type="dxa"/>
            <w:shd w:val="clear" w:color="auto" w:fill="auto"/>
            <w:vAlign w:val="center"/>
            <w:hideMark/>
          </w:tcPr>
          <w:p w14:paraId="461FE43D"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5083D85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A5FAD8F" w14:textId="77777777" w:rsidTr="002A479B">
        <w:trPr>
          <w:trHeight w:val="431"/>
        </w:trPr>
        <w:tc>
          <w:tcPr>
            <w:tcW w:w="565" w:type="dxa"/>
            <w:shd w:val="clear" w:color="000000" w:fill="FFFFFF"/>
            <w:vAlign w:val="center"/>
            <w:hideMark/>
          </w:tcPr>
          <w:p w14:paraId="2ABF9795"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000000" w:fill="FFFFFF"/>
            <w:hideMark/>
          </w:tcPr>
          <w:p w14:paraId="1326F6FD" w14:textId="77777777" w:rsidR="00975F26" w:rsidRPr="00ED0D6D" w:rsidRDefault="00975F26" w:rsidP="002A479B">
            <w:pPr>
              <w:jc w:val="both"/>
              <w:rPr>
                <w:color w:val="000000"/>
                <w:sz w:val="20"/>
              </w:rPr>
            </w:pPr>
            <w:r w:rsidRPr="00ED0D6D">
              <w:rPr>
                <w:color w:val="000000"/>
                <w:sz w:val="20"/>
              </w:rPr>
              <w:t xml:space="preserve">BVP gyventojui Lietuvos apskrityse (perkamosios galios standartais) augimas, palyginti su ES vidurkiu (proc.) </w:t>
            </w:r>
          </w:p>
        </w:tc>
        <w:tc>
          <w:tcPr>
            <w:tcW w:w="1080" w:type="dxa"/>
            <w:shd w:val="clear" w:color="000000" w:fill="FFFFFF"/>
            <w:vAlign w:val="center"/>
            <w:hideMark/>
          </w:tcPr>
          <w:p w14:paraId="58DE02CD" w14:textId="77777777" w:rsidR="00975F26" w:rsidRPr="00ED0D6D" w:rsidRDefault="00975F26" w:rsidP="002A479B">
            <w:pPr>
              <w:jc w:val="center"/>
              <w:rPr>
                <w:color w:val="000000"/>
                <w:sz w:val="20"/>
              </w:rPr>
            </w:pPr>
            <w:r w:rsidRPr="00ED0D6D">
              <w:rPr>
                <w:color w:val="000000"/>
                <w:sz w:val="20"/>
              </w:rPr>
              <w:t>4,3</w:t>
            </w:r>
          </w:p>
        </w:tc>
        <w:tc>
          <w:tcPr>
            <w:tcW w:w="1080" w:type="dxa"/>
            <w:shd w:val="clear" w:color="000000" w:fill="FFFFFF"/>
            <w:vAlign w:val="center"/>
            <w:hideMark/>
          </w:tcPr>
          <w:p w14:paraId="581E69D5" w14:textId="77777777" w:rsidR="00975F26" w:rsidRPr="00ED0D6D" w:rsidRDefault="00975F26" w:rsidP="002A479B">
            <w:pPr>
              <w:jc w:val="center"/>
              <w:rPr>
                <w:color w:val="000000"/>
                <w:sz w:val="20"/>
              </w:rPr>
            </w:pPr>
            <w:r w:rsidRPr="008644E2">
              <w:rPr>
                <w:i/>
                <w:iCs/>
                <w:color w:val="000000"/>
                <w:sz w:val="20"/>
              </w:rPr>
              <w:t>n. d.</w:t>
            </w:r>
          </w:p>
        </w:tc>
        <w:tc>
          <w:tcPr>
            <w:tcW w:w="938" w:type="dxa"/>
            <w:shd w:val="clear" w:color="auto" w:fill="auto"/>
            <w:vAlign w:val="center"/>
            <w:hideMark/>
          </w:tcPr>
          <w:p w14:paraId="21CEF7C8"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hideMark/>
          </w:tcPr>
          <w:p w14:paraId="1C04809C" w14:textId="77777777" w:rsidR="00975F26" w:rsidRPr="00ED0D6D" w:rsidRDefault="00975F26" w:rsidP="002A479B">
            <w:pPr>
              <w:jc w:val="center"/>
              <w:rPr>
                <w:color w:val="000000"/>
                <w:sz w:val="20"/>
              </w:rPr>
            </w:pPr>
            <w:r w:rsidRPr="00ED0D6D">
              <w:rPr>
                <w:color w:val="000000"/>
                <w:sz w:val="20"/>
              </w:rPr>
              <w:t>10</w:t>
            </w:r>
          </w:p>
        </w:tc>
        <w:tc>
          <w:tcPr>
            <w:tcW w:w="1250" w:type="dxa"/>
            <w:shd w:val="clear" w:color="000000" w:fill="FFFFFF"/>
            <w:vAlign w:val="center"/>
            <w:hideMark/>
          </w:tcPr>
          <w:p w14:paraId="73C6A90D" w14:textId="77777777" w:rsidR="00975F26" w:rsidRPr="00ED0D6D" w:rsidRDefault="00975F26" w:rsidP="002A479B">
            <w:pPr>
              <w:jc w:val="center"/>
              <w:rPr>
                <w:color w:val="000000"/>
                <w:sz w:val="20"/>
              </w:rPr>
            </w:pPr>
            <w:r w:rsidRPr="008A0880">
              <w:rPr>
                <w:color w:val="000000"/>
                <w:sz w:val="20"/>
              </w:rPr>
              <w:t>–</w:t>
            </w:r>
          </w:p>
        </w:tc>
        <w:tc>
          <w:tcPr>
            <w:tcW w:w="1250" w:type="dxa"/>
            <w:shd w:val="clear" w:color="000000" w:fill="FFFFFF"/>
            <w:vAlign w:val="center"/>
            <w:hideMark/>
          </w:tcPr>
          <w:p w14:paraId="27504365" w14:textId="77777777" w:rsidR="00975F26" w:rsidRPr="00ED0D6D" w:rsidRDefault="00975F26" w:rsidP="002A479B">
            <w:pPr>
              <w:jc w:val="center"/>
              <w:rPr>
                <w:color w:val="000000"/>
                <w:sz w:val="20"/>
              </w:rPr>
            </w:pPr>
            <w:r w:rsidRPr="008A0880">
              <w:rPr>
                <w:color w:val="000000"/>
                <w:sz w:val="20"/>
              </w:rPr>
              <w:t>–</w:t>
            </w:r>
          </w:p>
        </w:tc>
        <w:tc>
          <w:tcPr>
            <w:tcW w:w="2222" w:type="dxa"/>
            <w:shd w:val="clear" w:color="000000" w:fill="FFFFFF"/>
            <w:vAlign w:val="center"/>
            <w:hideMark/>
          </w:tcPr>
          <w:p w14:paraId="4D365447"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384C18C9"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0B25A5E" w14:textId="77777777" w:rsidTr="002A479B">
        <w:trPr>
          <w:trHeight w:val="431"/>
        </w:trPr>
        <w:tc>
          <w:tcPr>
            <w:tcW w:w="565" w:type="dxa"/>
            <w:shd w:val="clear" w:color="000000" w:fill="FFFFFF"/>
            <w:vAlign w:val="center"/>
            <w:hideMark/>
          </w:tcPr>
          <w:p w14:paraId="23923F4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000000" w:fill="FFFFFF"/>
            <w:hideMark/>
          </w:tcPr>
          <w:p w14:paraId="3C92A26B" w14:textId="77777777" w:rsidR="00975F26" w:rsidRPr="00ED0D6D" w:rsidRDefault="00975F26" w:rsidP="002A479B">
            <w:pPr>
              <w:jc w:val="both"/>
              <w:rPr>
                <w:color w:val="000000"/>
                <w:sz w:val="20"/>
              </w:rPr>
            </w:pPr>
            <w:r w:rsidRPr="00ED0D6D">
              <w:rPr>
                <w:color w:val="000000"/>
                <w:sz w:val="20"/>
              </w:rPr>
              <w:t>Savivaldybių disponuojamų lėšų, skirtų socialinei-ekonominei plėtrai, dalies padidėjimas (proc</w:t>
            </w:r>
            <w:r>
              <w:rPr>
                <w:color w:val="000000"/>
                <w:sz w:val="20"/>
              </w:rPr>
              <w:t>.</w:t>
            </w:r>
            <w:r w:rsidRPr="00ED0D6D">
              <w:rPr>
                <w:color w:val="000000"/>
                <w:sz w:val="20"/>
              </w:rPr>
              <w:t xml:space="preserve"> punktai)   </w:t>
            </w:r>
          </w:p>
        </w:tc>
        <w:tc>
          <w:tcPr>
            <w:tcW w:w="1080" w:type="dxa"/>
            <w:shd w:val="clear" w:color="000000" w:fill="FFFFFF"/>
            <w:vAlign w:val="center"/>
            <w:hideMark/>
          </w:tcPr>
          <w:p w14:paraId="606DC6F9" w14:textId="77777777" w:rsidR="00975F26" w:rsidRPr="00ED0D6D" w:rsidRDefault="00975F26" w:rsidP="002A479B">
            <w:pPr>
              <w:jc w:val="center"/>
              <w:rPr>
                <w:color w:val="000000"/>
                <w:sz w:val="20"/>
              </w:rPr>
            </w:pPr>
            <w:r w:rsidRPr="008644E2">
              <w:rPr>
                <w:i/>
                <w:iCs/>
                <w:color w:val="000000"/>
                <w:sz w:val="20"/>
              </w:rPr>
              <w:t>n. d.</w:t>
            </w:r>
          </w:p>
        </w:tc>
        <w:tc>
          <w:tcPr>
            <w:tcW w:w="1080" w:type="dxa"/>
            <w:shd w:val="clear" w:color="000000" w:fill="FFFFFF"/>
            <w:vAlign w:val="center"/>
            <w:hideMark/>
          </w:tcPr>
          <w:p w14:paraId="6E773212" w14:textId="77777777" w:rsidR="00975F26" w:rsidRPr="00ED0D6D" w:rsidRDefault="00975F26" w:rsidP="002A479B">
            <w:pPr>
              <w:jc w:val="center"/>
              <w:rPr>
                <w:color w:val="000000"/>
                <w:sz w:val="20"/>
              </w:rPr>
            </w:pPr>
            <w:r w:rsidRPr="00ED0D6D">
              <w:rPr>
                <w:color w:val="000000"/>
                <w:sz w:val="20"/>
              </w:rPr>
              <w:t>44</w:t>
            </w:r>
          </w:p>
        </w:tc>
        <w:tc>
          <w:tcPr>
            <w:tcW w:w="938" w:type="dxa"/>
            <w:shd w:val="clear" w:color="auto" w:fill="auto"/>
            <w:vAlign w:val="center"/>
            <w:hideMark/>
          </w:tcPr>
          <w:p w14:paraId="6DC8C0CA"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49990715" w14:textId="77777777" w:rsidR="00975F26" w:rsidRPr="00ED0D6D" w:rsidRDefault="00975F26" w:rsidP="002A479B">
            <w:pPr>
              <w:jc w:val="center"/>
              <w:rPr>
                <w:color w:val="000000"/>
                <w:sz w:val="20"/>
              </w:rPr>
            </w:pPr>
            <w:r w:rsidRPr="00ED0D6D">
              <w:rPr>
                <w:color w:val="000000"/>
                <w:sz w:val="20"/>
              </w:rPr>
              <w:t>5</w:t>
            </w:r>
          </w:p>
        </w:tc>
        <w:tc>
          <w:tcPr>
            <w:tcW w:w="1250" w:type="dxa"/>
            <w:shd w:val="clear" w:color="000000" w:fill="FFFFFF"/>
            <w:vAlign w:val="center"/>
            <w:hideMark/>
          </w:tcPr>
          <w:p w14:paraId="0EB19AA8" w14:textId="77777777" w:rsidR="00975F26" w:rsidRPr="00ED0D6D" w:rsidRDefault="00975F26" w:rsidP="002A479B">
            <w:pPr>
              <w:jc w:val="center"/>
              <w:rPr>
                <w:color w:val="000000"/>
                <w:sz w:val="20"/>
              </w:rPr>
            </w:pPr>
            <w:r w:rsidRPr="008A0880">
              <w:rPr>
                <w:color w:val="000000"/>
                <w:sz w:val="20"/>
              </w:rPr>
              <w:t>–</w:t>
            </w:r>
          </w:p>
        </w:tc>
        <w:tc>
          <w:tcPr>
            <w:tcW w:w="1250" w:type="dxa"/>
            <w:shd w:val="clear" w:color="000000" w:fill="FFFFFF"/>
            <w:vAlign w:val="center"/>
            <w:hideMark/>
          </w:tcPr>
          <w:p w14:paraId="4E86D355" w14:textId="77777777" w:rsidR="00975F26" w:rsidRPr="00ED0D6D" w:rsidRDefault="00975F26" w:rsidP="002A479B">
            <w:pPr>
              <w:jc w:val="center"/>
              <w:rPr>
                <w:color w:val="000000"/>
                <w:sz w:val="20"/>
              </w:rPr>
            </w:pPr>
            <w:r w:rsidRPr="008A0880">
              <w:rPr>
                <w:color w:val="000000"/>
                <w:sz w:val="20"/>
              </w:rPr>
              <w:t>–</w:t>
            </w:r>
          </w:p>
        </w:tc>
        <w:tc>
          <w:tcPr>
            <w:tcW w:w="2222" w:type="dxa"/>
            <w:shd w:val="clear" w:color="000000" w:fill="FFFFFF"/>
            <w:vAlign w:val="center"/>
            <w:hideMark/>
          </w:tcPr>
          <w:p w14:paraId="2566357A"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5D1E5BBD"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B3D6484" w14:textId="77777777" w:rsidTr="002A479B">
        <w:trPr>
          <w:trHeight w:val="408"/>
        </w:trPr>
        <w:tc>
          <w:tcPr>
            <w:tcW w:w="565" w:type="dxa"/>
            <w:shd w:val="clear" w:color="000000" w:fill="FFFFFF"/>
            <w:vAlign w:val="center"/>
            <w:hideMark/>
          </w:tcPr>
          <w:p w14:paraId="0541B9E5"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000000" w:fill="FFFFFF"/>
            <w:hideMark/>
          </w:tcPr>
          <w:p w14:paraId="45852F7A" w14:textId="77777777" w:rsidR="00975F26" w:rsidRPr="00ED0D6D" w:rsidRDefault="00975F26" w:rsidP="002A479B">
            <w:pPr>
              <w:jc w:val="both"/>
              <w:rPr>
                <w:color w:val="000000"/>
                <w:sz w:val="20"/>
              </w:rPr>
            </w:pPr>
            <w:r w:rsidRPr="00ED0D6D">
              <w:rPr>
                <w:color w:val="000000"/>
                <w:sz w:val="20"/>
              </w:rPr>
              <w:t>Pozicija pagal „</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sidRPr="00ED0D6D">
              <w:rPr>
                <w:color w:val="000000"/>
                <w:sz w:val="20"/>
              </w:rPr>
              <w:t xml:space="preserve">“ mokesčių mokėjimo rodiklį (vieta)   </w:t>
            </w:r>
          </w:p>
        </w:tc>
        <w:tc>
          <w:tcPr>
            <w:tcW w:w="1080" w:type="dxa"/>
            <w:shd w:val="clear" w:color="000000" w:fill="FFFFFF"/>
            <w:vAlign w:val="center"/>
            <w:hideMark/>
          </w:tcPr>
          <w:p w14:paraId="217B3862" w14:textId="77777777" w:rsidR="00975F26" w:rsidRPr="00ED0D6D" w:rsidRDefault="00975F26" w:rsidP="002A479B">
            <w:pPr>
              <w:jc w:val="center"/>
              <w:rPr>
                <w:color w:val="000000"/>
                <w:sz w:val="20"/>
              </w:rPr>
            </w:pPr>
            <w:r w:rsidRPr="00ED0D6D">
              <w:rPr>
                <w:color w:val="000000"/>
                <w:sz w:val="20"/>
              </w:rPr>
              <w:t>18</w:t>
            </w:r>
          </w:p>
        </w:tc>
        <w:tc>
          <w:tcPr>
            <w:tcW w:w="1080" w:type="dxa"/>
            <w:shd w:val="clear" w:color="000000" w:fill="FFFFFF"/>
            <w:vAlign w:val="center"/>
            <w:hideMark/>
          </w:tcPr>
          <w:p w14:paraId="0F2ED202" w14:textId="77777777" w:rsidR="00975F26" w:rsidRPr="00ED0D6D" w:rsidRDefault="00975F26" w:rsidP="002A479B">
            <w:pPr>
              <w:jc w:val="center"/>
              <w:rPr>
                <w:color w:val="000000"/>
                <w:sz w:val="20"/>
              </w:rPr>
            </w:pPr>
            <w:r w:rsidRPr="002D05A4">
              <w:rPr>
                <w:i/>
                <w:iCs/>
                <w:color w:val="000000"/>
                <w:sz w:val="20"/>
              </w:rPr>
              <w:t>n. d.</w:t>
            </w:r>
          </w:p>
        </w:tc>
        <w:tc>
          <w:tcPr>
            <w:tcW w:w="938" w:type="dxa"/>
            <w:shd w:val="clear" w:color="auto" w:fill="auto"/>
            <w:vAlign w:val="center"/>
            <w:hideMark/>
          </w:tcPr>
          <w:p w14:paraId="123B585E"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09B9C620" w14:textId="77777777" w:rsidR="00975F26" w:rsidRPr="00ED0D6D" w:rsidRDefault="00975F26" w:rsidP="002A479B">
            <w:pPr>
              <w:jc w:val="center"/>
              <w:rPr>
                <w:color w:val="000000"/>
                <w:sz w:val="20"/>
              </w:rPr>
            </w:pPr>
            <w:r w:rsidRPr="00ED0D6D">
              <w:rPr>
                <w:color w:val="000000"/>
                <w:sz w:val="20"/>
              </w:rPr>
              <w:t>22</w:t>
            </w:r>
          </w:p>
        </w:tc>
        <w:tc>
          <w:tcPr>
            <w:tcW w:w="1250" w:type="dxa"/>
            <w:shd w:val="clear" w:color="000000" w:fill="FFFFFF"/>
            <w:vAlign w:val="center"/>
            <w:hideMark/>
          </w:tcPr>
          <w:p w14:paraId="36F2610A" w14:textId="77777777" w:rsidR="00975F26" w:rsidRPr="00ED0D6D" w:rsidRDefault="00975F26" w:rsidP="002A479B">
            <w:pPr>
              <w:jc w:val="center"/>
              <w:rPr>
                <w:color w:val="000000"/>
                <w:sz w:val="20"/>
              </w:rPr>
            </w:pPr>
            <w:r w:rsidRPr="008A0880">
              <w:rPr>
                <w:color w:val="000000"/>
                <w:sz w:val="20"/>
              </w:rPr>
              <w:t>–</w:t>
            </w:r>
          </w:p>
        </w:tc>
        <w:tc>
          <w:tcPr>
            <w:tcW w:w="1250" w:type="dxa"/>
            <w:shd w:val="clear" w:color="000000" w:fill="FFFFFF"/>
            <w:vAlign w:val="center"/>
            <w:hideMark/>
          </w:tcPr>
          <w:p w14:paraId="0B8184F1" w14:textId="77777777" w:rsidR="00975F26" w:rsidRPr="00ED0D6D" w:rsidRDefault="00975F26" w:rsidP="002A479B">
            <w:pPr>
              <w:jc w:val="center"/>
              <w:rPr>
                <w:color w:val="000000"/>
                <w:sz w:val="20"/>
              </w:rPr>
            </w:pPr>
            <w:r w:rsidRPr="008A0880">
              <w:rPr>
                <w:color w:val="000000"/>
                <w:sz w:val="20"/>
              </w:rPr>
              <w:t>–</w:t>
            </w:r>
          </w:p>
        </w:tc>
        <w:tc>
          <w:tcPr>
            <w:tcW w:w="2222" w:type="dxa"/>
            <w:shd w:val="clear" w:color="000000" w:fill="FFFFFF"/>
            <w:hideMark/>
          </w:tcPr>
          <w:p w14:paraId="02D5CFE5" w14:textId="77777777" w:rsidR="00975F26" w:rsidRPr="00ED0D6D" w:rsidRDefault="00975F26" w:rsidP="002A479B">
            <w:pPr>
              <w:jc w:val="center"/>
              <w:rPr>
                <w:color w:val="000000"/>
                <w:sz w:val="20"/>
              </w:rPr>
            </w:pPr>
            <w:r w:rsidRPr="00ED0D6D">
              <w:rPr>
                <w:color w:val="000000"/>
                <w:sz w:val="20"/>
              </w:rPr>
              <w:t>Pasaulio banko tyrimo „</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sidRPr="00ED0D6D">
              <w:rPr>
                <w:color w:val="000000"/>
                <w:sz w:val="20"/>
              </w:rPr>
              <w:t>“ ataskaita</w:t>
            </w:r>
          </w:p>
        </w:tc>
        <w:tc>
          <w:tcPr>
            <w:tcW w:w="1172" w:type="dxa"/>
            <w:shd w:val="clear" w:color="auto" w:fill="auto"/>
            <w:vAlign w:val="center"/>
            <w:hideMark/>
          </w:tcPr>
          <w:p w14:paraId="5F953C76"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6EBF952" w14:textId="77777777" w:rsidTr="002A479B">
        <w:trPr>
          <w:trHeight w:val="372"/>
        </w:trPr>
        <w:tc>
          <w:tcPr>
            <w:tcW w:w="565" w:type="dxa"/>
            <w:shd w:val="clear" w:color="000000" w:fill="FFFFFF"/>
            <w:vAlign w:val="center"/>
            <w:hideMark/>
          </w:tcPr>
          <w:p w14:paraId="7D461123"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000000" w:fill="FFFFFF"/>
            <w:hideMark/>
          </w:tcPr>
          <w:p w14:paraId="040C6F38" w14:textId="77777777" w:rsidR="00975F26" w:rsidRPr="00ED0D6D" w:rsidRDefault="00975F26" w:rsidP="002A479B">
            <w:pPr>
              <w:jc w:val="both"/>
              <w:rPr>
                <w:color w:val="000000"/>
                <w:sz w:val="20"/>
              </w:rPr>
            </w:pPr>
            <w:r w:rsidRPr="00ED0D6D">
              <w:rPr>
                <w:color w:val="000000"/>
                <w:sz w:val="20"/>
              </w:rPr>
              <w:t xml:space="preserve">Pozicija pagal </w:t>
            </w:r>
            <w:r>
              <w:rPr>
                <w:color w:val="000000"/>
                <w:sz w:val="20"/>
              </w:rPr>
              <w:t>„</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Pr>
                <w:color w:val="000000"/>
                <w:sz w:val="20"/>
              </w:rPr>
              <w:t>“</w:t>
            </w:r>
            <w:r w:rsidRPr="00ED0D6D">
              <w:rPr>
                <w:color w:val="000000"/>
                <w:sz w:val="20"/>
              </w:rPr>
              <w:t xml:space="preserve"> nemokumo sprendimo rodiklį (vieta)   </w:t>
            </w:r>
          </w:p>
        </w:tc>
        <w:tc>
          <w:tcPr>
            <w:tcW w:w="1080" w:type="dxa"/>
            <w:shd w:val="clear" w:color="000000" w:fill="FFFFFF"/>
            <w:vAlign w:val="center"/>
            <w:hideMark/>
          </w:tcPr>
          <w:p w14:paraId="6C13626D" w14:textId="77777777" w:rsidR="00975F26" w:rsidRPr="00ED0D6D" w:rsidRDefault="00975F26" w:rsidP="002A479B">
            <w:pPr>
              <w:jc w:val="center"/>
              <w:rPr>
                <w:color w:val="000000"/>
                <w:sz w:val="20"/>
              </w:rPr>
            </w:pPr>
            <w:r w:rsidRPr="00ED0D6D">
              <w:rPr>
                <w:color w:val="000000"/>
                <w:sz w:val="20"/>
              </w:rPr>
              <w:t>89</w:t>
            </w:r>
          </w:p>
        </w:tc>
        <w:tc>
          <w:tcPr>
            <w:tcW w:w="1080" w:type="dxa"/>
            <w:shd w:val="clear" w:color="000000" w:fill="FFFFFF"/>
            <w:vAlign w:val="center"/>
            <w:hideMark/>
          </w:tcPr>
          <w:p w14:paraId="3EB3DA72" w14:textId="77777777" w:rsidR="00975F26" w:rsidRPr="00ED0D6D" w:rsidRDefault="00975F26" w:rsidP="002A479B">
            <w:pPr>
              <w:jc w:val="center"/>
              <w:rPr>
                <w:color w:val="000000"/>
                <w:sz w:val="20"/>
              </w:rPr>
            </w:pPr>
            <w:r w:rsidRPr="002D05A4">
              <w:rPr>
                <w:i/>
                <w:iCs/>
                <w:color w:val="000000"/>
                <w:sz w:val="20"/>
              </w:rPr>
              <w:t>n. d.</w:t>
            </w:r>
          </w:p>
        </w:tc>
        <w:tc>
          <w:tcPr>
            <w:tcW w:w="938" w:type="dxa"/>
            <w:shd w:val="clear" w:color="auto" w:fill="auto"/>
            <w:vAlign w:val="center"/>
            <w:hideMark/>
          </w:tcPr>
          <w:p w14:paraId="14D02228"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0FBB0ABD" w14:textId="77777777" w:rsidR="00975F26" w:rsidRPr="00ED0D6D" w:rsidRDefault="00975F26" w:rsidP="002A479B">
            <w:pPr>
              <w:jc w:val="center"/>
              <w:rPr>
                <w:color w:val="000000"/>
                <w:sz w:val="20"/>
              </w:rPr>
            </w:pPr>
            <w:r w:rsidRPr="00ED0D6D">
              <w:rPr>
                <w:color w:val="000000"/>
                <w:sz w:val="20"/>
              </w:rPr>
              <w:t>40</w:t>
            </w:r>
          </w:p>
        </w:tc>
        <w:tc>
          <w:tcPr>
            <w:tcW w:w="1250" w:type="dxa"/>
            <w:shd w:val="clear" w:color="000000" w:fill="FFFFFF"/>
            <w:vAlign w:val="center"/>
            <w:hideMark/>
          </w:tcPr>
          <w:p w14:paraId="15979C9A" w14:textId="77777777" w:rsidR="00975F26" w:rsidRPr="00ED0D6D" w:rsidRDefault="00975F26" w:rsidP="002A479B">
            <w:pPr>
              <w:jc w:val="center"/>
              <w:rPr>
                <w:color w:val="000000"/>
                <w:sz w:val="20"/>
              </w:rPr>
            </w:pPr>
            <w:r w:rsidRPr="008A0880">
              <w:rPr>
                <w:color w:val="000000"/>
                <w:sz w:val="20"/>
              </w:rPr>
              <w:t>–</w:t>
            </w:r>
          </w:p>
        </w:tc>
        <w:tc>
          <w:tcPr>
            <w:tcW w:w="1250" w:type="dxa"/>
            <w:shd w:val="clear" w:color="000000" w:fill="FFFFFF"/>
            <w:vAlign w:val="center"/>
            <w:hideMark/>
          </w:tcPr>
          <w:p w14:paraId="745F6C4D" w14:textId="77777777" w:rsidR="00975F26" w:rsidRPr="00ED0D6D" w:rsidRDefault="00975F26" w:rsidP="002A479B">
            <w:pPr>
              <w:jc w:val="center"/>
              <w:rPr>
                <w:color w:val="000000"/>
                <w:sz w:val="20"/>
              </w:rPr>
            </w:pPr>
            <w:r w:rsidRPr="008A0880">
              <w:rPr>
                <w:color w:val="000000"/>
                <w:sz w:val="20"/>
              </w:rPr>
              <w:t>–</w:t>
            </w:r>
          </w:p>
        </w:tc>
        <w:tc>
          <w:tcPr>
            <w:tcW w:w="2222" w:type="dxa"/>
            <w:shd w:val="clear" w:color="000000" w:fill="FFFFFF"/>
            <w:hideMark/>
          </w:tcPr>
          <w:p w14:paraId="0BCAB432" w14:textId="77777777" w:rsidR="00975F26" w:rsidRPr="00ED0D6D" w:rsidRDefault="00975F26" w:rsidP="002A479B">
            <w:pPr>
              <w:jc w:val="center"/>
              <w:rPr>
                <w:color w:val="000000"/>
                <w:sz w:val="20"/>
              </w:rPr>
            </w:pPr>
            <w:r w:rsidRPr="00ED0D6D">
              <w:rPr>
                <w:color w:val="000000"/>
                <w:sz w:val="20"/>
              </w:rPr>
              <w:t>Pasaulio banko tyrimo „</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sidRPr="00ED0D6D">
              <w:rPr>
                <w:color w:val="000000"/>
                <w:sz w:val="20"/>
              </w:rPr>
              <w:t>“ ataskaita</w:t>
            </w:r>
          </w:p>
        </w:tc>
        <w:tc>
          <w:tcPr>
            <w:tcW w:w="1172" w:type="dxa"/>
            <w:shd w:val="clear" w:color="auto" w:fill="auto"/>
            <w:vAlign w:val="center"/>
            <w:hideMark/>
          </w:tcPr>
          <w:p w14:paraId="7A6F9D2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E601562" w14:textId="77777777" w:rsidTr="002A479B">
        <w:trPr>
          <w:trHeight w:val="612"/>
        </w:trPr>
        <w:tc>
          <w:tcPr>
            <w:tcW w:w="565" w:type="dxa"/>
            <w:shd w:val="clear" w:color="000000" w:fill="FFFFFF"/>
            <w:vAlign w:val="center"/>
            <w:hideMark/>
          </w:tcPr>
          <w:p w14:paraId="45C87BD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000000" w:fill="FFFFFF"/>
            <w:hideMark/>
          </w:tcPr>
          <w:p w14:paraId="37445BD2" w14:textId="77777777" w:rsidR="00975F26" w:rsidRPr="00ED0D6D" w:rsidRDefault="00975F26" w:rsidP="002A479B">
            <w:pPr>
              <w:jc w:val="both"/>
              <w:rPr>
                <w:color w:val="000000"/>
                <w:sz w:val="20"/>
              </w:rPr>
            </w:pPr>
            <w:r w:rsidRPr="00ED0D6D">
              <w:rPr>
                <w:color w:val="000000"/>
                <w:sz w:val="20"/>
              </w:rPr>
              <w:t xml:space="preserve">Kapitalo rinkos dalyvių turto pokytis kasmet (proc.)   </w:t>
            </w:r>
          </w:p>
        </w:tc>
        <w:tc>
          <w:tcPr>
            <w:tcW w:w="1080" w:type="dxa"/>
            <w:shd w:val="clear" w:color="000000" w:fill="FFFFFF"/>
            <w:vAlign w:val="center"/>
            <w:hideMark/>
          </w:tcPr>
          <w:p w14:paraId="54836A45" w14:textId="77777777" w:rsidR="00975F26" w:rsidRPr="00ED0D6D" w:rsidRDefault="00975F26" w:rsidP="002A479B">
            <w:pPr>
              <w:jc w:val="center"/>
              <w:rPr>
                <w:color w:val="000000"/>
                <w:sz w:val="20"/>
              </w:rPr>
            </w:pPr>
            <w:r w:rsidRPr="00ED0D6D">
              <w:rPr>
                <w:color w:val="000000"/>
                <w:sz w:val="20"/>
              </w:rPr>
              <w:t>-7</w:t>
            </w:r>
          </w:p>
        </w:tc>
        <w:tc>
          <w:tcPr>
            <w:tcW w:w="1080" w:type="dxa"/>
            <w:shd w:val="clear" w:color="000000" w:fill="FFFFFF"/>
            <w:vAlign w:val="center"/>
            <w:hideMark/>
          </w:tcPr>
          <w:p w14:paraId="5090B0E2" w14:textId="77777777" w:rsidR="00975F26" w:rsidRPr="00ED0D6D" w:rsidRDefault="00975F26" w:rsidP="002A479B">
            <w:pPr>
              <w:jc w:val="center"/>
              <w:rPr>
                <w:color w:val="000000"/>
                <w:sz w:val="20"/>
              </w:rPr>
            </w:pPr>
            <w:r w:rsidRPr="002D05A4">
              <w:rPr>
                <w:i/>
                <w:iCs/>
                <w:color w:val="000000"/>
                <w:sz w:val="20"/>
              </w:rPr>
              <w:t>n. d.</w:t>
            </w:r>
          </w:p>
        </w:tc>
        <w:tc>
          <w:tcPr>
            <w:tcW w:w="938" w:type="dxa"/>
            <w:shd w:val="clear" w:color="auto" w:fill="auto"/>
            <w:vAlign w:val="center"/>
            <w:hideMark/>
          </w:tcPr>
          <w:p w14:paraId="59DEA372"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4D3121FB" w14:textId="77777777" w:rsidR="00975F26" w:rsidRPr="00ED0D6D" w:rsidRDefault="00975F26" w:rsidP="002A479B">
            <w:pPr>
              <w:jc w:val="center"/>
              <w:rPr>
                <w:color w:val="000000"/>
                <w:sz w:val="20"/>
              </w:rPr>
            </w:pPr>
            <w:r w:rsidRPr="00ED0D6D">
              <w:rPr>
                <w:color w:val="000000"/>
                <w:sz w:val="20"/>
              </w:rPr>
              <w:t>2</w:t>
            </w:r>
          </w:p>
        </w:tc>
        <w:tc>
          <w:tcPr>
            <w:tcW w:w="1250" w:type="dxa"/>
            <w:shd w:val="clear" w:color="000000" w:fill="FFFFFF"/>
            <w:vAlign w:val="center"/>
            <w:hideMark/>
          </w:tcPr>
          <w:p w14:paraId="70F184A7" w14:textId="77777777" w:rsidR="00975F26" w:rsidRPr="00ED0D6D" w:rsidRDefault="00975F26" w:rsidP="002A479B">
            <w:pPr>
              <w:jc w:val="center"/>
              <w:rPr>
                <w:color w:val="000000"/>
                <w:sz w:val="20"/>
              </w:rPr>
            </w:pPr>
            <w:r w:rsidRPr="008A0880">
              <w:rPr>
                <w:color w:val="000000"/>
                <w:sz w:val="20"/>
              </w:rPr>
              <w:t>–</w:t>
            </w:r>
          </w:p>
        </w:tc>
        <w:tc>
          <w:tcPr>
            <w:tcW w:w="1250" w:type="dxa"/>
            <w:shd w:val="clear" w:color="000000" w:fill="FFFFFF"/>
            <w:vAlign w:val="center"/>
            <w:hideMark/>
          </w:tcPr>
          <w:p w14:paraId="7C7AFF23" w14:textId="77777777" w:rsidR="00975F26" w:rsidRPr="00ED0D6D" w:rsidRDefault="00975F26" w:rsidP="002A479B">
            <w:pPr>
              <w:jc w:val="center"/>
              <w:rPr>
                <w:color w:val="000000"/>
                <w:sz w:val="20"/>
              </w:rPr>
            </w:pPr>
            <w:r w:rsidRPr="008A0880">
              <w:rPr>
                <w:color w:val="000000"/>
                <w:sz w:val="20"/>
              </w:rPr>
              <w:t>–</w:t>
            </w:r>
          </w:p>
        </w:tc>
        <w:tc>
          <w:tcPr>
            <w:tcW w:w="2222" w:type="dxa"/>
            <w:shd w:val="clear" w:color="000000" w:fill="FFFFFF"/>
            <w:vAlign w:val="center"/>
            <w:hideMark/>
          </w:tcPr>
          <w:p w14:paraId="159AE751" w14:textId="77777777" w:rsidR="00975F26" w:rsidRPr="00ED0D6D" w:rsidRDefault="00975F26" w:rsidP="002A479B">
            <w:pPr>
              <w:jc w:val="center"/>
              <w:rPr>
                <w:color w:val="000000"/>
                <w:sz w:val="20"/>
              </w:rPr>
            </w:pPr>
            <w:r w:rsidRPr="00ED0D6D">
              <w:rPr>
                <w:color w:val="000000"/>
                <w:sz w:val="20"/>
              </w:rPr>
              <w:t>https://www.lb.lt/lt/apie-finansini-stabiluma#ex-1-1</w:t>
            </w:r>
          </w:p>
        </w:tc>
        <w:tc>
          <w:tcPr>
            <w:tcW w:w="1172" w:type="dxa"/>
            <w:shd w:val="clear" w:color="auto" w:fill="auto"/>
            <w:vAlign w:val="center"/>
            <w:hideMark/>
          </w:tcPr>
          <w:p w14:paraId="72A8BCC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51BCF1E" w14:textId="77777777" w:rsidTr="002A479B">
        <w:trPr>
          <w:trHeight w:val="564"/>
        </w:trPr>
        <w:tc>
          <w:tcPr>
            <w:tcW w:w="565" w:type="dxa"/>
            <w:shd w:val="clear" w:color="000000" w:fill="FFFFFF"/>
            <w:vAlign w:val="center"/>
            <w:hideMark/>
          </w:tcPr>
          <w:p w14:paraId="572135D4"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740" w:type="dxa"/>
            <w:shd w:val="clear" w:color="auto" w:fill="auto"/>
            <w:hideMark/>
          </w:tcPr>
          <w:p w14:paraId="301AEF11" w14:textId="77777777" w:rsidR="00975F26" w:rsidRPr="00ED0D6D" w:rsidRDefault="00975F26" w:rsidP="002A479B">
            <w:pPr>
              <w:jc w:val="both"/>
              <w:rPr>
                <w:color w:val="000000"/>
                <w:sz w:val="20"/>
              </w:rPr>
            </w:pPr>
            <w:r w:rsidRPr="00ED0D6D">
              <w:rPr>
                <w:color w:val="000000"/>
                <w:sz w:val="20"/>
              </w:rPr>
              <w:t xml:space="preserve">Finansinėms priemonėms įgyvendinti pritrauktos privačios lėšos (mln. </w:t>
            </w:r>
            <w:r>
              <w:rPr>
                <w:color w:val="000000"/>
                <w:sz w:val="20"/>
              </w:rPr>
              <w:t>eurų</w:t>
            </w:r>
            <w:r w:rsidRPr="00ED0D6D">
              <w:rPr>
                <w:color w:val="000000"/>
                <w:sz w:val="20"/>
              </w:rPr>
              <w:t xml:space="preserve">) </w:t>
            </w:r>
          </w:p>
        </w:tc>
        <w:tc>
          <w:tcPr>
            <w:tcW w:w="1080" w:type="dxa"/>
            <w:shd w:val="clear" w:color="000000" w:fill="FFFFFF"/>
            <w:vAlign w:val="center"/>
            <w:hideMark/>
          </w:tcPr>
          <w:p w14:paraId="14522BFB" w14:textId="77777777" w:rsidR="00975F26" w:rsidRPr="00ED0D6D" w:rsidRDefault="00975F26" w:rsidP="002A479B">
            <w:pPr>
              <w:jc w:val="center"/>
              <w:rPr>
                <w:color w:val="000000"/>
                <w:sz w:val="20"/>
              </w:rPr>
            </w:pPr>
            <w:r w:rsidRPr="00ED0D6D">
              <w:rPr>
                <w:color w:val="000000"/>
                <w:sz w:val="20"/>
              </w:rPr>
              <w:t>969</w:t>
            </w:r>
          </w:p>
        </w:tc>
        <w:tc>
          <w:tcPr>
            <w:tcW w:w="1080" w:type="dxa"/>
            <w:shd w:val="clear" w:color="000000" w:fill="FFFFFF"/>
            <w:vAlign w:val="center"/>
            <w:hideMark/>
          </w:tcPr>
          <w:p w14:paraId="2F6DF6A1"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273</w:t>
            </w:r>
          </w:p>
        </w:tc>
        <w:tc>
          <w:tcPr>
            <w:tcW w:w="938" w:type="dxa"/>
            <w:shd w:val="clear" w:color="auto" w:fill="auto"/>
            <w:vAlign w:val="center"/>
            <w:hideMark/>
          </w:tcPr>
          <w:p w14:paraId="289B4C0A"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68C0F565"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100</w:t>
            </w:r>
          </w:p>
        </w:tc>
        <w:tc>
          <w:tcPr>
            <w:tcW w:w="1250" w:type="dxa"/>
            <w:shd w:val="clear" w:color="auto" w:fill="auto"/>
            <w:vAlign w:val="center"/>
            <w:hideMark/>
          </w:tcPr>
          <w:p w14:paraId="4D9314C2" w14:textId="77777777" w:rsidR="00975F26" w:rsidRPr="00ED0D6D" w:rsidRDefault="00975F26" w:rsidP="002A479B">
            <w:pPr>
              <w:jc w:val="center"/>
              <w:rPr>
                <w:color w:val="000000"/>
                <w:sz w:val="20"/>
              </w:rPr>
            </w:pPr>
            <w:r w:rsidRPr="008A0880">
              <w:rPr>
                <w:color w:val="000000"/>
                <w:sz w:val="20"/>
              </w:rPr>
              <w:t>–</w:t>
            </w:r>
          </w:p>
        </w:tc>
        <w:tc>
          <w:tcPr>
            <w:tcW w:w="1250" w:type="dxa"/>
            <w:shd w:val="clear" w:color="auto" w:fill="auto"/>
            <w:vAlign w:val="center"/>
            <w:hideMark/>
          </w:tcPr>
          <w:p w14:paraId="1E9033FD" w14:textId="77777777" w:rsidR="00975F26" w:rsidRPr="00ED0D6D" w:rsidRDefault="00975F26" w:rsidP="002A479B">
            <w:pPr>
              <w:jc w:val="center"/>
              <w:rPr>
                <w:color w:val="000000"/>
                <w:sz w:val="20"/>
              </w:rPr>
            </w:pPr>
            <w:r w:rsidRPr="008A0880">
              <w:rPr>
                <w:color w:val="000000"/>
                <w:sz w:val="20"/>
              </w:rPr>
              <w:t>–</w:t>
            </w:r>
          </w:p>
        </w:tc>
        <w:tc>
          <w:tcPr>
            <w:tcW w:w="2222" w:type="dxa"/>
            <w:shd w:val="clear" w:color="auto" w:fill="auto"/>
            <w:vAlign w:val="center"/>
            <w:hideMark/>
          </w:tcPr>
          <w:p w14:paraId="1D273EC3"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059F8E1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F15A02F" w14:textId="77777777" w:rsidTr="002A479B">
        <w:trPr>
          <w:trHeight w:val="540"/>
        </w:trPr>
        <w:tc>
          <w:tcPr>
            <w:tcW w:w="565" w:type="dxa"/>
            <w:shd w:val="clear" w:color="auto" w:fill="auto"/>
            <w:vAlign w:val="center"/>
            <w:hideMark/>
          </w:tcPr>
          <w:p w14:paraId="26E590E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hideMark/>
          </w:tcPr>
          <w:p w14:paraId="4FF4FA68" w14:textId="77777777" w:rsidR="00975F26" w:rsidRPr="00ED0D6D" w:rsidRDefault="00975F26" w:rsidP="002A479B">
            <w:pPr>
              <w:jc w:val="both"/>
              <w:rPr>
                <w:color w:val="000000"/>
                <w:sz w:val="20"/>
              </w:rPr>
            </w:pPr>
            <w:r w:rsidRPr="00ED0D6D">
              <w:rPr>
                <w:color w:val="000000"/>
                <w:sz w:val="20"/>
              </w:rPr>
              <w:t xml:space="preserve">Darbuotojų, gaunančių ne mažiau nei </w:t>
            </w:r>
            <w:r>
              <w:rPr>
                <w:color w:val="000000"/>
                <w:sz w:val="20"/>
              </w:rPr>
              <w:t>minimalioji mėnesinė alga (</w:t>
            </w:r>
            <w:r w:rsidRPr="00ED0D6D">
              <w:rPr>
                <w:color w:val="000000"/>
                <w:sz w:val="20"/>
              </w:rPr>
              <w:t>MMA</w:t>
            </w:r>
            <w:r>
              <w:rPr>
                <w:color w:val="000000"/>
                <w:sz w:val="20"/>
              </w:rPr>
              <w:t>)</w:t>
            </w:r>
            <w:r w:rsidRPr="00ED0D6D">
              <w:rPr>
                <w:color w:val="000000"/>
                <w:sz w:val="20"/>
              </w:rPr>
              <w:t xml:space="preserve">, neišnaudoto </w:t>
            </w:r>
            <w:r>
              <w:rPr>
                <w:color w:val="000000"/>
                <w:sz w:val="20"/>
              </w:rPr>
              <w:t>gyventojų pajamų mokesčio (</w:t>
            </w:r>
            <w:r w:rsidRPr="00ED0D6D">
              <w:rPr>
                <w:color w:val="000000"/>
                <w:sz w:val="20"/>
              </w:rPr>
              <w:t>GPM</w:t>
            </w:r>
            <w:r>
              <w:rPr>
                <w:color w:val="000000"/>
                <w:sz w:val="20"/>
              </w:rPr>
              <w:t>)</w:t>
            </w:r>
            <w:r w:rsidRPr="00ED0D6D">
              <w:rPr>
                <w:color w:val="000000"/>
                <w:sz w:val="20"/>
              </w:rPr>
              <w:t xml:space="preserve"> potencialo įvertis (proc.)   </w:t>
            </w:r>
          </w:p>
        </w:tc>
        <w:tc>
          <w:tcPr>
            <w:tcW w:w="1080" w:type="dxa"/>
            <w:shd w:val="clear" w:color="000000" w:fill="FFFFFF"/>
            <w:vAlign w:val="center"/>
            <w:hideMark/>
          </w:tcPr>
          <w:p w14:paraId="043757BA" w14:textId="77777777" w:rsidR="00975F26" w:rsidRPr="00ED0D6D" w:rsidRDefault="00975F26" w:rsidP="002A479B">
            <w:pPr>
              <w:jc w:val="center"/>
              <w:rPr>
                <w:color w:val="000000"/>
                <w:sz w:val="20"/>
              </w:rPr>
            </w:pPr>
            <w:r w:rsidRPr="00ED0D6D">
              <w:rPr>
                <w:color w:val="000000"/>
                <w:sz w:val="20"/>
              </w:rPr>
              <w:t>3,7</w:t>
            </w:r>
          </w:p>
        </w:tc>
        <w:tc>
          <w:tcPr>
            <w:tcW w:w="1080" w:type="dxa"/>
            <w:shd w:val="clear" w:color="000000" w:fill="FFFFFF"/>
            <w:vAlign w:val="center"/>
            <w:hideMark/>
          </w:tcPr>
          <w:p w14:paraId="5A2D3C48" w14:textId="77777777" w:rsidR="00975F26" w:rsidRPr="00ED0D6D" w:rsidRDefault="00975F26" w:rsidP="002A479B">
            <w:pPr>
              <w:jc w:val="center"/>
              <w:rPr>
                <w:color w:val="000000"/>
                <w:sz w:val="20"/>
              </w:rPr>
            </w:pPr>
            <w:r w:rsidRPr="00881C4D">
              <w:rPr>
                <w:i/>
                <w:iCs/>
                <w:color w:val="000000"/>
                <w:sz w:val="20"/>
              </w:rPr>
              <w:t>n. d.</w:t>
            </w:r>
          </w:p>
        </w:tc>
        <w:tc>
          <w:tcPr>
            <w:tcW w:w="938" w:type="dxa"/>
            <w:shd w:val="clear" w:color="auto" w:fill="auto"/>
            <w:vAlign w:val="center"/>
            <w:hideMark/>
          </w:tcPr>
          <w:p w14:paraId="146E7B76"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6D832785" w14:textId="77777777" w:rsidR="00975F26" w:rsidRPr="00ED0D6D" w:rsidRDefault="00975F26" w:rsidP="002A479B">
            <w:pPr>
              <w:jc w:val="center"/>
              <w:rPr>
                <w:color w:val="000000"/>
                <w:sz w:val="20"/>
              </w:rPr>
            </w:pPr>
            <w:r w:rsidRPr="00ED0D6D">
              <w:rPr>
                <w:color w:val="000000"/>
                <w:sz w:val="20"/>
              </w:rPr>
              <w:t>4,5</w:t>
            </w:r>
          </w:p>
        </w:tc>
        <w:tc>
          <w:tcPr>
            <w:tcW w:w="1250" w:type="dxa"/>
            <w:shd w:val="clear" w:color="auto" w:fill="auto"/>
            <w:vAlign w:val="center"/>
            <w:hideMark/>
          </w:tcPr>
          <w:p w14:paraId="5B90085C" w14:textId="77777777" w:rsidR="00975F26" w:rsidRPr="00ED0D6D" w:rsidRDefault="00975F26" w:rsidP="002A479B">
            <w:pPr>
              <w:jc w:val="center"/>
              <w:rPr>
                <w:color w:val="000000"/>
                <w:sz w:val="20"/>
              </w:rPr>
            </w:pPr>
            <w:r w:rsidRPr="008A0880">
              <w:rPr>
                <w:color w:val="000000"/>
                <w:sz w:val="20"/>
              </w:rPr>
              <w:t>–</w:t>
            </w:r>
          </w:p>
        </w:tc>
        <w:tc>
          <w:tcPr>
            <w:tcW w:w="1250" w:type="dxa"/>
            <w:shd w:val="clear" w:color="auto" w:fill="auto"/>
            <w:vAlign w:val="center"/>
            <w:hideMark/>
          </w:tcPr>
          <w:p w14:paraId="3F9D92C1" w14:textId="77777777" w:rsidR="00975F26" w:rsidRPr="00ED0D6D" w:rsidRDefault="00975F26" w:rsidP="002A479B">
            <w:pPr>
              <w:jc w:val="center"/>
              <w:rPr>
                <w:color w:val="000000"/>
                <w:sz w:val="20"/>
              </w:rPr>
            </w:pPr>
            <w:r w:rsidRPr="008A0880">
              <w:rPr>
                <w:color w:val="000000"/>
                <w:sz w:val="20"/>
              </w:rPr>
              <w:t>–</w:t>
            </w:r>
          </w:p>
        </w:tc>
        <w:tc>
          <w:tcPr>
            <w:tcW w:w="2222" w:type="dxa"/>
            <w:shd w:val="clear" w:color="auto" w:fill="auto"/>
            <w:vAlign w:val="center"/>
            <w:hideMark/>
          </w:tcPr>
          <w:p w14:paraId="1B13CE15"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61D5B88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08F163D" w14:textId="77777777" w:rsidTr="002A479B">
        <w:trPr>
          <w:trHeight w:val="672"/>
        </w:trPr>
        <w:tc>
          <w:tcPr>
            <w:tcW w:w="565" w:type="dxa"/>
            <w:shd w:val="clear" w:color="auto" w:fill="auto"/>
            <w:vAlign w:val="center"/>
            <w:hideMark/>
          </w:tcPr>
          <w:p w14:paraId="5BAF164C"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hideMark/>
          </w:tcPr>
          <w:p w14:paraId="66F738AD" w14:textId="77777777" w:rsidR="00975F26" w:rsidRPr="00ED0D6D" w:rsidRDefault="00975F26" w:rsidP="002A479B">
            <w:pPr>
              <w:jc w:val="both"/>
              <w:rPr>
                <w:sz w:val="20"/>
              </w:rPr>
            </w:pPr>
            <w:r w:rsidRPr="00ED0D6D">
              <w:rPr>
                <w:sz w:val="20"/>
              </w:rPr>
              <w:t>67 proc. vidutinio darbo užmokesčio dydžio pajamas gaunančių asmenų darbo apmokestinimo naštos atotrūkis nuo ES vidurkio (proc</w:t>
            </w:r>
            <w:r>
              <w:rPr>
                <w:sz w:val="20"/>
              </w:rPr>
              <w:t>.</w:t>
            </w:r>
            <w:r w:rsidRPr="00ED0D6D">
              <w:rPr>
                <w:sz w:val="20"/>
              </w:rPr>
              <w:t xml:space="preserve"> punktai) </w:t>
            </w:r>
          </w:p>
        </w:tc>
        <w:tc>
          <w:tcPr>
            <w:tcW w:w="1080" w:type="dxa"/>
            <w:shd w:val="clear" w:color="000000" w:fill="FFFFFF"/>
            <w:vAlign w:val="center"/>
            <w:hideMark/>
          </w:tcPr>
          <w:p w14:paraId="3546213C" w14:textId="77777777" w:rsidR="00975F26" w:rsidRPr="00ED0D6D" w:rsidRDefault="00975F26" w:rsidP="002A479B">
            <w:pPr>
              <w:jc w:val="center"/>
              <w:rPr>
                <w:color w:val="000000"/>
                <w:sz w:val="20"/>
              </w:rPr>
            </w:pPr>
            <w:r w:rsidRPr="00ED0D6D">
              <w:rPr>
                <w:color w:val="000000"/>
                <w:sz w:val="20"/>
              </w:rPr>
              <w:t>-1,3</w:t>
            </w:r>
          </w:p>
        </w:tc>
        <w:tc>
          <w:tcPr>
            <w:tcW w:w="1080" w:type="dxa"/>
            <w:shd w:val="clear" w:color="000000" w:fill="FFFFFF"/>
            <w:vAlign w:val="center"/>
            <w:hideMark/>
          </w:tcPr>
          <w:p w14:paraId="5E75D336" w14:textId="77777777" w:rsidR="00975F26" w:rsidRPr="00ED0D6D" w:rsidRDefault="00975F26" w:rsidP="002A479B">
            <w:pPr>
              <w:jc w:val="center"/>
              <w:rPr>
                <w:color w:val="000000"/>
                <w:sz w:val="20"/>
              </w:rPr>
            </w:pPr>
            <w:r w:rsidRPr="00881C4D">
              <w:rPr>
                <w:i/>
                <w:iCs/>
                <w:color w:val="000000"/>
                <w:sz w:val="20"/>
              </w:rPr>
              <w:t>n. d.</w:t>
            </w:r>
          </w:p>
        </w:tc>
        <w:tc>
          <w:tcPr>
            <w:tcW w:w="938" w:type="dxa"/>
            <w:shd w:val="clear" w:color="auto" w:fill="auto"/>
            <w:vAlign w:val="center"/>
            <w:hideMark/>
          </w:tcPr>
          <w:p w14:paraId="6934A557"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23B7FBEF" w14:textId="77777777" w:rsidR="00975F26" w:rsidRPr="00ED0D6D" w:rsidRDefault="00975F26" w:rsidP="002A479B">
            <w:pPr>
              <w:jc w:val="center"/>
              <w:rPr>
                <w:color w:val="000000"/>
                <w:sz w:val="20"/>
              </w:rPr>
            </w:pPr>
            <w:r w:rsidRPr="00ED0D6D">
              <w:rPr>
                <w:color w:val="000000"/>
                <w:sz w:val="20"/>
              </w:rPr>
              <w:t>0</w:t>
            </w:r>
          </w:p>
        </w:tc>
        <w:tc>
          <w:tcPr>
            <w:tcW w:w="1250" w:type="dxa"/>
            <w:shd w:val="clear" w:color="auto" w:fill="auto"/>
            <w:vAlign w:val="center"/>
            <w:hideMark/>
          </w:tcPr>
          <w:p w14:paraId="6448C6EE" w14:textId="77777777" w:rsidR="00975F26" w:rsidRPr="00ED0D6D" w:rsidRDefault="00975F26" w:rsidP="002A479B">
            <w:pPr>
              <w:jc w:val="center"/>
              <w:rPr>
                <w:color w:val="000000"/>
                <w:sz w:val="20"/>
              </w:rPr>
            </w:pPr>
            <w:r w:rsidRPr="008A0880">
              <w:rPr>
                <w:color w:val="000000"/>
                <w:sz w:val="20"/>
              </w:rPr>
              <w:t>–</w:t>
            </w:r>
          </w:p>
        </w:tc>
        <w:tc>
          <w:tcPr>
            <w:tcW w:w="1250" w:type="dxa"/>
            <w:shd w:val="clear" w:color="auto" w:fill="auto"/>
            <w:vAlign w:val="center"/>
            <w:hideMark/>
          </w:tcPr>
          <w:p w14:paraId="570480C3" w14:textId="77777777" w:rsidR="00975F26" w:rsidRPr="00ED0D6D" w:rsidRDefault="00975F26" w:rsidP="002A479B">
            <w:pPr>
              <w:jc w:val="center"/>
              <w:rPr>
                <w:color w:val="000000"/>
                <w:sz w:val="20"/>
              </w:rPr>
            </w:pPr>
            <w:r w:rsidRPr="008A0880">
              <w:rPr>
                <w:color w:val="000000"/>
                <w:sz w:val="20"/>
              </w:rPr>
              <w:t>–</w:t>
            </w:r>
          </w:p>
        </w:tc>
        <w:tc>
          <w:tcPr>
            <w:tcW w:w="2222" w:type="dxa"/>
            <w:shd w:val="clear" w:color="auto" w:fill="auto"/>
            <w:vAlign w:val="center"/>
            <w:hideMark/>
          </w:tcPr>
          <w:p w14:paraId="62CC8CAF"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5C3DF93A"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01A1CFCB" w14:textId="77777777" w:rsidTr="002A479B">
        <w:trPr>
          <w:trHeight w:val="408"/>
        </w:trPr>
        <w:tc>
          <w:tcPr>
            <w:tcW w:w="565" w:type="dxa"/>
            <w:shd w:val="clear" w:color="auto" w:fill="auto"/>
            <w:vAlign w:val="center"/>
            <w:hideMark/>
          </w:tcPr>
          <w:p w14:paraId="1C54F8C8"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740" w:type="dxa"/>
            <w:shd w:val="clear" w:color="auto" w:fill="auto"/>
            <w:hideMark/>
          </w:tcPr>
          <w:p w14:paraId="02D8C33D" w14:textId="77777777" w:rsidR="00975F26" w:rsidRPr="00ED0D6D" w:rsidRDefault="00975F26" w:rsidP="002A479B">
            <w:pPr>
              <w:jc w:val="both"/>
              <w:rPr>
                <w:color w:val="000000"/>
                <w:sz w:val="20"/>
              </w:rPr>
            </w:pPr>
            <w:r w:rsidRPr="00ED0D6D">
              <w:rPr>
                <w:color w:val="000000"/>
                <w:sz w:val="20"/>
              </w:rPr>
              <w:t xml:space="preserve">Efektyvaus ir nominalaus </w:t>
            </w:r>
            <w:r>
              <w:rPr>
                <w:color w:val="000000"/>
                <w:sz w:val="20"/>
              </w:rPr>
              <w:t>pridėtinės vertės mokesčio (</w:t>
            </w:r>
            <w:r w:rsidRPr="00ED0D6D">
              <w:rPr>
                <w:color w:val="000000"/>
                <w:sz w:val="20"/>
              </w:rPr>
              <w:t>PVM</w:t>
            </w:r>
            <w:r>
              <w:rPr>
                <w:color w:val="000000"/>
                <w:sz w:val="20"/>
              </w:rPr>
              <w:t>)</w:t>
            </w:r>
            <w:r w:rsidRPr="00ED0D6D">
              <w:rPr>
                <w:color w:val="000000"/>
                <w:sz w:val="20"/>
              </w:rPr>
              <w:t xml:space="preserve"> tarifo santykis (koeficientas)   </w:t>
            </w:r>
          </w:p>
        </w:tc>
        <w:tc>
          <w:tcPr>
            <w:tcW w:w="1080" w:type="dxa"/>
            <w:shd w:val="clear" w:color="000000" w:fill="FFFFFF"/>
            <w:vAlign w:val="center"/>
            <w:hideMark/>
          </w:tcPr>
          <w:p w14:paraId="50C69F93" w14:textId="77777777" w:rsidR="00975F26" w:rsidRPr="00ED0D6D" w:rsidRDefault="00975F26" w:rsidP="002A479B">
            <w:pPr>
              <w:jc w:val="center"/>
              <w:rPr>
                <w:color w:val="000000"/>
                <w:sz w:val="20"/>
              </w:rPr>
            </w:pPr>
            <w:r w:rsidRPr="00ED0D6D">
              <w:rPr>
                <w:color w:val="000000"/>
                <w:sz w:val="20"/>
              </w:rPr>
              <w:t>0,777</w:t>
            </w:r>
          </w:p>
        </w:tc>
        <w:tc>
          <w:tcPr>
            <w:tcW w:w="1080" w:type="dxa"/>
            <w:shd w:val="clear" w:color="000000" w:fill="FFFFFF"/>
            <w:vAlign w:val="center"/>
            <w:hideMark/>
          </w:tcPr>
          <w:p w14:paraId="6EE4AEE2" w14:textId="77777777" w:rsidR="00975F26" w:rsidRPr="00ED0D6D" w:rsidRDefault="00975F26" w:rsidP="002A479B">
            <w:pPr>
              <w:jc w:val="center"/>
              <w:rPr>
                <w:color w:val="000000"/>
                <w:sz w:val="20"/>
              </w:rPr>
            </w:pPr>
            <w:r w:rsidRPr="00ED0D6D">
              <w:rPr>
                <w:color w:val="000000"/>
                <w:sz w:val="20"/>
              </w:rPr>
              <w:t>0,797</w:t>
            </w:r>
          </w:p>
        </w:tc>
        <w:tc>
          <w:tcPr>
            <w:tcW w:w="938" w:type="dxa"/>
            <w:shd w:val="clear" w:color="auto" w:fill="auto"/>
            <w:vAlign w:val="center"/>
            <w:hideMark/>
          </w:tcPr>
          <w:p w14:paraId="5615F4D5"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235E7C67" w14:textId="77777777" w:rsidR="00975F26" w:rsidRPr="00ED0D6D" w:rsidRDefault="00975F26" w:rsidP="002A479B">
            <w:pPr>
              <w:jc w:val="center"/>
              <w:rPr>
                <w:color w:val="000000"/>
                <w:sz w:val="20"/>
              </w:rPr>
            </w:pPr>
            <w:r w:rsidRPr="00ED0D6D">
              <w:rPr>
                <w:color w:val="000000"/>
                <w:sz w:val="20"/>
              </w:rPr>
              <w:t>0,81</w:t>
            </w:r>
          </w:p>
        </w:tc>
        <w:tc>
          <w:tcPr>
            <w:tcW w:w="1250" w:type="dxa"/>
            <w:shd w:val="clear" w:color="auto" w:fill="auto"/>
            <w:vAlign w:val="center"/>
            <w:hideMark/>
          </w:tcPr>
          <w:p w14:paraId="7AD739E8" w14:textId="77777777" w:rsidR="00975F26" w:rsidRPr="00ED0D6D" w:rsidRDefault="00975F26" w:rsidP="002A479B">
            <w:pPr>
              <w:jc w:val="center"/>
              <w:rPr>
                <w:color w:val="000000"/>
                <w:sz w:val="20"/>
              </w:rPr>
            </w:pPr>
            <w:r w:rsidRPr="008A0880">
              <w:rPr>
                <w:color w:val="000000"/>
                <w:sz w:val="20"/>
              </w:rPr>
              <w:t>–</w:t>
            </w:r>
          </w:p>
        </w:tc>
        <w:tc>
          <w:tcPr>
            <w:tcW w:w="1250" w:type="dxa"/>
            <w:shd w:val="clear" w:color="auto" w:fill="auto"/>
            <w:vAlign w:val="center"/>
            <w:hideMark/>
          </w:tcPr>
          <w:p w14:paraId="2DD565DB" w14:textId="77777777" w:rsidR="00975F26" w:rsidRPr="00ED0D6D" w:rsidRDefault="00975F26" w:rsidP="002A479B">
            <w:pPr>
              <w:jc w:val="center"/>
              <w:rPr>
                <w:color w:val="000000"/>
                <w:sz w:val="20"/>
              </w:rPr>
            </w:pPr>
            <w:r w:rsidRPr="008A0880">
              <w:rPr>
                <w:color w:val="000000"/>
                <w:sz w:val="20"/>
              </w:rPr>
              <w:t>–</w:t>
            </w:r>
          </w:p>
        </w:tc>
        <w:tc>
          <w:tcPr>
            <w:tcW w:w="2222" w:type="dxa"/>
            <w:shd w:val="clear" w:color="auto" w:fill="auto"/>
            <w:vAlign w:val="center"/>
            <w:hideMark/>
          </w:tcPr>
          <w:p w14:paraId="6EB13DAD"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2097FBC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DA5E052" w14:textId="77777777" w:rsidTr="002A479B">
        <w:trPr>
          <w:trHeight w:val="287"/>
        </w:trPr>
        <w:tc>
          <w:tcPr>
            <w:tcW w:w="565" w:type="dxa"/>
            <w:shd w:val="clear" w:color="auto" w:fill="auto"/>
            <w:vAlign w:val="center"/>
            <w:hideMark/>
          </w:tcPr>
          <w:p w14:paraId="37AD4675" w14:textId="77777777" w:rsidR="00975F26" w:rsidRPr="00ED0D6D" w:rsidRDefault="00975F26" w:rsidP="002A479B">
            <w:pPr>
              <w:pStyle w:val="Sraopastraipa"/>
              <w:numPr>
                <w:ilvl w:val="0"/>
                <w:numId w:val="11"/>
              </w:numPr>
              <w:spacing w:after="0"/>
              <w:ind w:left="0" w:firstLine="0"/>
              <w:jc w:val="center"/>
              <w:rPr>
                <w:rFonts w:ascii="Times New Roman" w:hAnsi="Times New Roman"/>
                <w:color w:val="000000"/>
                <w:sz w:val="20"/>
                <w:szCs w:val="20"/>
              </w:rPr>
            </w:pPr>
          </w:p>
        </w:tc>
        <w:tc>
          <w:tcPr>
            <w:tcW w:w="4740" w:type="dxa"/>
            <w:shd w:val="clear" w:color="auto" w:fill="auto"/>
            <w:noWrap/>
            <w:hideMark/>
          </w:tcPr>
          <w:p w14:paraId="0D74DAB0" w14:textId="77777777" w:rsidR="00975F26" w:rsidRPr="00ED0D6D" w:rsidRDefault="00975F26" w:rsidP="002A479B">
            <w:pPr>
              <w:jc w:val="both"/>
              <w:rPr>
                <w:color w:val="000000"/>
                <w:sz w:val="20"/>
              </w:rPr>
            </w:pPr>
            <w:r w:rsidRPr="00ED0D6D">
              <w:rPr>
                <w:color w:val="000000"/>
                <w:sz w:val="20"/>
              </w:rPr>
              <w:t>Valdžios sektoriaus skolos lygis (proc.)</w:t>
            </w:r>
          </w:p>
        </w:tc>
        <w:tc>
          <w:tcPr>
            <w:tcW w:w="1080" w:type="dxa"/>
            <w:shd w:val="clear" w:color="000000" w:fill="FFFFFF"/>
            <w:vAlign w:val="center"/>
            <w:hideMark/>
          </w:tcPr>
          <w:p w14:paraId="56F64B42" w14:textId="77777777" w:rsidR="00975F26" w:rsidRPr="00ED0D6D" w:rsidRDefault="00975F26" w:rsidP="002A479B">
            <w:pPr>
              <w:jc w:val="center"/>
              <w:rPr>
                <w:color w:val="000000"/>
                <w:sz w:val="20"/>
              </w:rPr>
            </w:pPr>
            <w:r w:rsidRPr="00ED0D6D">
              <w:rPr>
                <w:color w:val="000000"/>
                <w:sz w:val="20"/>
              </w:rPr>
              <w:t>35,9</w:t>
            </w:r>
          </w:p>
        </w:tc>
        <w:tc>
          <w:tcPr>
            <w:tcW w:w="1080" w:type="dxa"/>
            <w:shd w:val="clear" w:color="000000" w:fill="FFFFFF"/>
            <w:vAlign w:val="center"/>
            <w:hideMark/>
          </w:tcPr>
          <w:p w14:paraId="41B1FB18" w14:textId="77777777" w:rsidR="00975F26" w:rsidRPr="00ED0D6D" w:rsidRDefault="00975F26" w:rsidP="002A479B">
            <w:pPr>
              <w:jc w:val="center"/>
              <w:rPr>
                <w:color w:val="000000"/>
                <w:sz w:val="20"/>
              </w:rPr>
            </w:pPr>
            <w:r w:rsidRPr="008644E2">
              <w:rPr>
                <w:i/>
                <w:iCs/>
                <w:color w:val="000000"/>
                <w:sz w:val="20"/>
              </w:rPr>
              <w:t>n. d.</w:t>
            </w:r>
          </w:p>
        </w:tc>
        <w:tc>
          <w:tcPr>
            <w:tcW w:w="938" w:type="dxa"/>
            <w:shd w:val="clear" w:color="auto" w:fill="auto"/>
            <w:vAlign w:val="center"/>
            <w:hideMark/>
          </w:tcPr>
          <w:p w14:paraId="63FA9292" w14:textId="77777777" w:rsidR="00975F26" w:rsidRPr="00ED0D6D" w:rsidRDefault="00975F26" w:rsidP="002A479B">
            <w:pPr>
              <w:jc w:val="center"/>
              <w:rPr>
                <w:color w:val="000000"/>
                <w:sz w:val="20"/>
              </w:rPr>
            </w:pPr>
            <w:r w:rsidRPr="00BA12DC">
              <w:rPr>
                <w:color w:val="000000"/>
                <w:sz w:val="20"/>
              </w:rPr>
              <w:t>–</w:t>
            </w:r>
          </w:p>
        </w:tc>
        <w:tc>
          <w:tcPr>
            <w:tcW w:w="983" w:type="dxa"/>
            <w:shd w:val="clear" w:color="000000" w:fill="FFFFFF"/>
            <w:vAlign w:val="center"/>
            <w:hideMark/>
          </w:tcPr>
          <w:p w14:paraId="1ED5D67D" w14:textId="77777777" w:rsidR="00975F26" w:rsidRPr="00ED0D6D" w:rsidRDefault="00975F26" w:rsidP="002A479B">
            <w:pPr>
              <w:jc w:val="center"/>
              <w:rPr>
                <w:color w:val="000000"/>
                <w:sz w:val="20"/>
              </w:rPr>
            </w:pPr>
            <w:r w:rsidRPr="00ED0D6D">
              <w:rPr>
                <w:color w:val="000000"/>
                <w:sz w:val="20"/>
              </w:rPr>
              <w:t>35,1</w:t>
            </w:r>
          </w:p>
        </w:tc>
        <w:tc>
          <w:tcPr>
            <w:tcW w:w="1250" w:type="dxa"/>
            <w:shd w:val="clear" w:color="auto" w:fill="auto"/>
            <w:vAlign w:val="center"/>
            <w:hideMark/>
          </w:tcPr>
          <w:p w14:paraId="0C923F06" w14:textId="77777777" w:rsidR="00975F26" w:rsidRPr="00ED0D6D" w:rsidRDefault="00975F26" w:rsidP="002A479B">
            <w:pPr>
              <w:jc w:val="center"/>
              <w:rPr>
                <w:color w:val="000000"/>
                <w:sz w:val="20"/>
              </w:rPr>
            </w:pPr>
            <w:r w:rsidRPr="008A0880">
              <w:rPr>
                <w:color w:val="000000"/>
                <w:sz w:val="20"/>
              </w:rPr>
              <w:t>–</w:t>
            </w:r>
          </w:p>
        </w:tc>
        <w:tc>
          <w:tcPr>
            <w:tcW w:w="1250" w:type="dxa"/>
            <w:shd w:val="clear" w:color="auto" w:fill="auto"/>
            <w:vAlign w:val="center"/>
            <w:hideMark/>
          </w:tcPr>
          <w:p w14:paraId="618872D7" w14:textId="77777777" w:rsidR="00975F26" w:rsidRPr="00ED0D6D" w:rsidRDefault="00975F26" w:rsidP="002A479B">
            <w:pPr>
              <w:jc w:val="center"/>
              <w:rPr>
                <w:color w:val="000000"/>
                <w:sz w:val="20"/>
              </w:rPr>
            </w:pPr>
            <w:r w:rsidRPr="008A0880">
              <w:rPr>
                <w:color w:val="000000"/>
                <w:sz w:val="20"/>
              </w:rPr>
              <w:t>–</w:t>
            </w:r>
          </w:p>
        </w:tc>
        <w:tc>
          <w:tcPr>
            <w:tcW w:w="2222" w:type="dxa"/>
            <w:shd w:val="clear" w:color="auto" w:fill="auto"/>
            <w:vAlign w:val="center"/>
            <w:hideMark/>
          </w:tcPr>
          <w:p w14:paraId="4AAA7BA5" w14:textId="77777777" w:rsidR="00975F26" w:rsidRPr="00ED0D6D" w:rsidRDefault="00975F26" w:rsidP="002A479B">
            <w:pPr>
              <w:jc w:val="center"/>
              <w:rPr>
                <w:color w:val="000000"/>
                <w:sz w:val="20"/>
              </w:rPr>
            </w:pPr>
            <w:r w:rsidRPr="00ED0D6D">
              <w:rPr>
                <w:color w:val="000000"/>
                <w:sz w:val="20"/>
              </w:rPr>
              <w:t>FM</w:t>
            </w:r>
          </w:p>
        </w:tc>
        <w:tc>
          <w:tcPr>
            <w:tcW w:w="1172" w:type="dxa"/>
            <w:shd w:val="clear" w:color="auto" w:fill="auto"/>
            <w:vAlign w:val="center"/>
            <w:hideMark/>
          </w:tcPr>
          <w:p w14:paraId="0956451B" w14:textId="77777777" w:rsidR="00975F26" w:rsidRPr="00ED0D6D" w:rsidRDefault="00975F26" w:rsidP="002A479B">
            <w:pPr>
              <w:jc w:val="center"/>
              <w:rPr>
                <w:color w:val="000000"/>
                <w:sz w:val="20"/>
              </w:rPr>
            </w:pPr>
            <w:r w:rsidRPr="00ED0D6D">
              <w:rPr>
                <w:color w:val="000000"/>
                <w:sz w:val="20"/>
              </w:rPr>
              <w:t>17LRVP</w:t>
            </w:r>
          </w:p>
        </w:tc>
      </w:tr>
    </w:tbl>
    <w:p w14:paraId="3A1E7FCB" w14:textId="77777777" w:rsidR="00975F26" w:rsidRPr="00223C36" w:rsidRDefault="00975F26" w:rsidP="00223C36">
      <w:pPr>
        <w:spacing w:line="380" w:lineRule="atLeast"/>
        <w:jc w:val="both"/>
        <w:rPr>
          <w:bCs/>
          <w:sz w:val="20"/>
        </w:rPr>
      </w:pPr>
    </w:p>
    <w:p w14:paraId="3F19607E" w14:textId="5E089EE6" w:rsidR="00975F26" w:rsidRPr="00223C36" w:rsidRDefault="00223C36" w:rsidP="00223C36">
      <w:pPr>
        <w:spacing w:line="380" w:lineRule="atLeast"/>
        <w:ind w:left="360"/>
        <w:jc w:val="both"/>
        <w:rPr>
          <w:b/>
          <w:szCs w:val="24"/>
        </w:rPr>
      </w:pPr>
      <w:r>
        <w:rPr>
          <w:b/>
          <w:szCs w:val="24"/>
        </w:rPr>
        <w:t>2.2.5.</w:t>
      </w:r>
      <w:r w:rsidR="00975F26" w:rsidRPr="00223C36">
        <w:rPr>
          <w:b/>
          <w:szCs w:val="24"/>
        </w:rPr>
        <w:t xml:space="preserve"> Ekonomikos konkurencingumas ir valstybės informaciniai ištekliai</w:t>
      </w:r>
    </w:p>
    <w:tbl>
      <w:tblPr>
        <w:tblpPr w:leftFromText="180" w:rightFromText="180" w:vertAnchor="text" w:tblpY="1"/>
        <w:tblOverlap w:val="never"/>
        <w:tblW w:w="15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080"/>
        <w:gridCol w:w="1080"/>
        <w:gridCol w:w="956"/>
        <w:gridCol w:w="983"/>
        <w:gridCol w:w="1250"/>
        <w:gridCol w:w="1250"/>
        <w:gridCol w:w="2311"/>
        <w:gridCol w:w="1189"/>
      </w:tblGrid>
      <w:tr w:rsidR="00975F26" w:rsidRPr="00ED0D6D" w14:paraId="5A989477" w14:textId="77777777" w:rsidTr="002A479B">
        <w:trPr>
          <w:trHeight w:val="999"/>
        </w:trPr>
        <w:tc>
          <w:tcPr>
            <w:tcW w:w="657" w:type="dxa"/>
            <w:shd w:val="clear" w:color="000000" w:fill="DEEAF6"/>
            <w:vAlign w:val="center"/>
            <w:hideMark/>
          </w:tcPr>
          <w:p w14:paraId="4B97A221" w14:textId="77777777" w:rsidR="00975F26" w:rsidRPr="00ED0D6D" w:rsidRDefault="00975F26" w:rsidP="002A479B">
            <w:pPr>
              <w:jc w:val="center"/>
              <w:rPr>
                <w:b/>
                <w:bCs/>
                <w:color w:val="000000"/>
                <w:sz w:val="20"/>
              </w:rPr>
            </w:pPr>
            <w:r w:rsidRPr="00ED0D6D">
              <w:rPr>
                <w:b/>
                <w:bCs/>
                <w:color w:val="000000"/>
                <w:sz w:val="20"/>
              </w:rPr>
              <w:t>Eil. Nr.</w:t>
            </w:r>
          </w:p>
        </w:tc>
        <w:tc>
          <w:tcPr>
            <w:tcW w:w="4648" w:type="dxa"/>
            <w:shd w:val="clear" w:color="000000" w:fill="DEEAF6"/>
            <w:vAlign w:val="center"/>
            <w:hideMark/>
          </w:tcPr>
          <w:p w14:paraId="1333BC75"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42D1A0A2"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7F0C2F4E"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117FB5FB"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6B750E5C"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04B4D7C3"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28C5FC87"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311" w:type="dxa"/>
            <w:shd w:val="clear" w:color="000000" w:fill="DEEAF6"/>
            <w:vAlign w:val="center"/>
            <w:hideMark/>
          </w:tcPr>
          <w:p w14:paraId="4E7592B8" w14:textId="77777777" w:rsidR="00975F26" w:rsidRPr="00ED0D6D" w:rsidRDefault="00975F26" w:rsidP="002A479B">
            <w:pPr>
              <w:jc w:val="center"/>
              <w:rPr>
                <w:b/>
                <w:bCs/>
                <w:color w:val="000000"/>
                <w:sz w:val="20"/>
              </w:rPr>
            </w:pPr>
            <w:r w:rsidRPr="00ED0D6D">
              <w:rPr>
                <w:b/>
                <w:bCs/>
                <w:color w:val="000000"/>
                <w:sz w:val="20"/>
              </w:rPr>
              <w:t>Duomenų šaltinis</w:t>
            </w:r>
          </w:p>
        </w:tc>
        <w:tc>
          <w:tcPr>
            <w:tcW w:w="1189" w:type="dxa"/>
            <w:shd w:val="clear" w:color="FFFFFF" w:fill="DDEBF7"/>
            <w:vAlign w:val="center"/>
            <w:hideMark/>
          </w:tcPr>
          <w:p w14:paraId="0F8A8838"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50988AFC" w14:textId="77777777" w:rsidR="00975F26" w:rsidRPr="00ED0D6D" w:rsidRDefault="00975F26" w:rsidP="002A479B">
            <w:pPr>
              <w:jc w:val="center"/>
              <w:rPr>
                <w:b/>
                <w:bCs/>
                <w:color w:val="000000"/>
                <w:sz w:val="20"/>
              </w:rPr>
            </w:pPr>
            <w:r w:rsidRPr="00ED0D6D">
              <w:rPr>
                <w:b/>
                <w:bCs/>
                <w:color w:val="000000"/>
                <w:sz w:val="20"/>
              </w:rPr>
              <w:t>17LRVP</w:t>
            </w:r>
          </w:p>
          <w:p w14:paraId="0718B9B2"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2885BF5B" w14:textId="77777777" w:rsidTr="002A479B">
        <w:trPr>
          <w:trHeight w:val="504"/>
        </w:trPr>
        <w:tc>
          <w:tcPr>
            <w:tcW w:w="657" w:type="dxa"/>
            <w:shd w:val="clear" w:color="auto" w:fill="auto"/>
            <w:vAlign w:val="center"/>
            <w:hideMark/>
          </w:tcPr>
          <w:p w14:paraId="2A8478E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71F8120" w14:textId="77777777" w:rsidR="00975F26" w:rsidRPr="00ED0D6D" w:rsidRDefault="00975F26" w:rsidP="002A479B">
            <w:pPr>
              <w:jc w:val="both"/>
              <w:rPr>
                <w:color w:val="000000"/>
                <w:sz w:val="20"/>
              </w:rPr>
            </w:pPr>
            <w:r w:rsidRPr="00ED0D6D">
              <w:rPr>
                <w:color w:val="000000"/>
                <w:sz w:val="20"/>
              </w:rPr>
              <w:t>Modernizuotų e. paslaugų dalis, palyginti su visomis e. paslaugomis (proc.)</w:t>
            </w:r>
          </w:p>
        </w:tc>
        <w:tc>
          <w:tcPr>
            <w:tcW w:w="1080" w:type="dxa"/>
            <w:shd w:val="clear" w:color="auto" w:fill="auto"/>
            <w:noWrap/>
            <w:vAlign w:val="center"/>
          </w:tcPr>
          <w:p w14:paraId="4EA9737A" w14:textId="77777777" w:rsidR="00975F26" w:rsidRPr="00ED0D6D" w:rsidRDefault="00975F26" w:rsidP="002A479B">
            <w:pPr>
              <w:jc w:val="center"/>
              <w:rPr>
                <w:color w:val="000000"/>
                <w:sz w:val="20"/>
              </w:rPr>
            </w:pPr>
            <w:r w:rsidRPr="008030E6">
              <w:rPr>
                <w:i/>
                <w:iCs/>
                <w:color w:val="000000"/>
                <w:sz w:val="20"/>
              </w:rPr>
              <w:t>n. d.</w:t>
            </w:r>
          </w:p>
        </w:tc>
        <w:tc>
          <w:tcPr>
            <w:tcW w:w="1080" w:type="dxa"/>
            <w:shd w:val="clear" w:color="000000" w:fill="FFFFFF"/>
            <w:vAlign w:val="center"/>
          </w:tcPr>
          <w:p w14:paraId="55BFFAC4" w14:textId="77777777" w:rsidR="00975F26" w:rsidRPr="00ED0D6D" w:rsidRDefault="00975F26" w:rsidP="002A479B">
            <w:pPr>
              <w:jc w:val="center"/>
              <w:rPr>
                <w:color w:val="000000"/>
                <w:sz w:val="20"/>
              </w:rPr>
            </w:pPr>
            <w:r w:rsidRPr="00ED0D6D">
              <w:rPr>
                <w:color w:val="000000"/>
                <w:sz w:val="20"/>
              </w:rPr>
              <w:t>39,5</w:t>
            </w:r>
          </w:p>
        </w:tc>
        <w:tc>
          <w:tcPr>
            <w:tcW w:w="956" w:type="dxa"/>
            <w:shd w:val="clear" w:color="auto" w:fill="auto"/>
            <w:vAlign w:val="center"/>
          </w:tcPr>
          <w:p w14:paraId="41041D2D"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55E0175F"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10ED710E" w14:textId="77777777" w:rsidR="00975F26" w:rsidRPr="00ED0D6D" w:rsidRDefault="00975F26" w:rsidP="002A479B">
            <w:pPr>
              <w:jc w:val="center"/>
              <w:rPr>
                <w:color w:val="000000"/>
                <w:sz w:val="20"/>
              </w:rPr>
            </w:pPr>
            <w:r w:rsidRPr="00ED0D6D">
              <w:rPr>
                <w:color w:val="000000"/>
                <w:sz w:val="20"/>
              </w:rPr>
              <w:t>80</w:t>
            </w:r>
          </w:p>
        </w:tc>
        <w:tc>
          <w:tcPr>
            <w:tcW w:w="1250" w:type="dxa"/>
            <w:shd w:val="clear" w:color="auto" w:fill="auto"/>
            <w:vAlign w:val="center"/>
          </w:tcPr>
          <w:p w14:paraId="0016DBE4" w14:textId="77777777" w:rsidR="00975F26" w:rsidRPr="00ED0D6D" w:rsidRDefault="00975F26" w:rsidP="002A479B">
            <w:pPr>
              <w:jc w:val="center"/>
              <w:rPr>
                <w:color w:val="000000"/>
                <w:sz w:val="20"/>
              </w:rPr>
            </w:pPr>
            <w:r>
              <w:rPr>
                <w:color w:val="000000"/>
                <w:sz w:val="20"/>
              </w:rPr>
              <w:t>–</w:t>
            </w:r>
          </w:p>
        </w:tc>
        <w:tc>
          <w:tcPr>
            <w:tcW w:w="2311" w:type="dxa"/>
            <w:shd w:val="clear" w:color="auto" w:fill="auto"/>
            <w:vAlign w:val="center"/>
          </w:tcPr>
          <w:p w14:paraId="07FE56FB" w14:textId="77777777" w:rsidR="00975F26" w:rsidRPr="00ED0D6D" w:rsidRDefault="00975F26" w:rsidP="002A479B">
            <w:pPr>
              <w:jc w:val="center"/>
              <w:rPr>
                <w:color w:val="000000"/>
                <w:sz w:val="20"/>
              </w:rPr>
            </w:pPr>
            <w:r w:rsidRPr="00ED0D6D">
              <w:rPr>
                <w:color w:val="000000"/>
                <w:sz w:val="20"/>
              </w:rPr>
              <w:t>Informacinės visuomenės plėtros komitetas (</w:t>
            </w:r>
            <w:r>
              <w:rPr>
                <w:color w:val="000000"/>
                <w:sz w:val="20"/>
              </w:rPr>
              <w:t>toliau –</w:t>
            </w:r>
            <w:r w:rsidRPr="00ED0D6D">
              <w:rPr>
                <w:color w:val="000000"/>
                <w:sz w:val="20"/>
              </w:rPr>
              <w:t>IVPK)</w:t>
            </w:r>
          </w:p>
        </w:tc>
        <w:tc>
          <w:tcPr>
            <w:tcW w:w="1189" w:type="dxa"/>
            <w:shd w:val="clear" w:color="auto" w:fill="auto"/>
            <w:vAlign w:val="center"/>
          </w:tcPr>
          <w:p w14:paraId="435B818C"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10F0C660" w14:textId="77777777" w:rsidTr="002A479B">
        <w:trPr>
          <w:trHeight w:val="504"/>
        </w:trPr>
        <w:tc>
          <w:tcPr>
            <w:tcW w:w="657" w:type="dxa"/>
            <w:shd w:val="clear" w:color="auto" w:fill="auto"/>
            <w:vAlign w:val="center"/>
          </w:tcPr>
          <w:p w14:paraId="2E0AD21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02B6405" w14:textId="77777777" w:rsidR="00975F26" w:rsidRPr="00ED0D6D" w:rsidRDefault="00975F26" w:rsidP="002A479B">
            <w:pPr>
              <w:jc w:val="both"/>
              <w:rPr>
                <w:color w:val="000000"/>
                <w:sz w:val="20"/>
              </w:rPr>
            </w:pPr>
            <w:r w:rsidRPr="00ED0D6D">
              <w:rPr>
                <w:color w:val="000000"/>
                <w:sz w:val="20"/>
              </w:rPr>
              <w:t>Institucijų, teikiančių e. paslaugas, dalis, palyginti su visomis institucijomis (proc.)</w:t>
            </w:r>
          </w:p>
        </w:tc>
        <w:tc>
          <w:tcPr>
            <w:tcW w:w="1080" w:type="dxa"/>
            <w:shd w:val="clear" w:color="auto" w:fill="auto"/>
            <w:noWrap/>
            <w:vAlign w:val="center"/>
          </w:tcPr>
          <w:p w14:paraId="4BA90A94" w14:textId="77777777" w:rsidR="00975F26" w:rsidRPr="00ED0D6D" w:rsidRDefault="00975F26" w:rsidP="002A479B">
            <w:pPr>
              <w:jc w:val="center"/>
              <w:rPr>
                <w:color w:val="000000"/>
                <w:sz w:val="20"/>
              </w:rPr>
            </w:pPr>
            <w:r w:rsidRPr="008030E6">
              <w:rPr>
                <w:i/>
                <w:iCs/>
                <w:color w:val="000000"/>
                <w:sz w:val="20"/>
              </w:rPr>
              <w:t>n. d.</w:t>
            </w:r>
          </w:p>
        </w:tc>
        <w:tc>
          <w:tcPr>
            <w:tcW w:w="1080" w:type="dxa"/>
            <w:shd w:val="clear" w:color="000000" w:fill="FFFFFF"/>
            <w:vAlign w:val="center"/>
          </w:tcPr>
          <w:p w14:paraId="2F07A5DC" w14:textId="77777777" w:rsidR="00975F26" w:rsidRPr="00ED0D6D" w:rsidRDefault="00975F26" w:rsidP="002A479B">
            <w:pPr>
              <w:jc w:val="center"/>
              <w:rPr>
                <w:color w:val="000000"/>
                <w:sz w:val="20"/>
              </w:rPr>
            </w:pPr>
            <w:r w:rsidRPr="00ED0D6D">
              <w:rPr>
                <w:color w:val="000000"/>
                <w:sz w:val="20"/>
              </w:rPr>
              <w:t>55,3</w:t>
            </w:r>
          </w:p>
        </w:tc>
        <w:tc>
          <w:tcPr>
            <w:tcW w:w="956" w:type="dxa"/>
            <w:shd w:val="clear" w:color="auto" w:fill="auto"/>
            <w:vAlign w:val="center"/>
          </w:tcPr>
          <w:p w14:paraId="5372B772"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72F47809"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27ADF97E" w14:textId="77777777" w:rsidR="00975F26" w:rsidRPr="00ED0D6D" w:rsidRDefault="00975F26" w:rsidP="002A479B">
            <w:pPr>
              <w:jc w:val="center"/>
              <w:rPr>
                <w:color w:val="000000"/>
                <w:sz w:val="20"/>
              </w:rPr>
            </w:pPr>
            <w:r w:rsidRPr="00ED0D6D">
              <w:rPr>
                <w:color w:val="000000"/>
                <w:sz w:val="20"/>
              </w:rPr>
              <w:t>75</w:t>
            </w:r>
          </w:p>
        </w:tc>
        <w:tc>
          <w:tcPr>
            <w:tcW w:w="1250" w:type="dxa"/>
            <w:shd w:val="clear" w:color="auto" w:fill="auto"/>
            <w:vAlign w:val="center"/>
          </w:tcPr>
          <w:p w14:paraId="584912F1" w14:textId="77777777" w:rsidR="00975F26" w:rsidRPr="00ED0D6D" w:rsidRDefault="00975F26" w:rsidP="002A479B">
            <w:pPr>
              <w:jc w:val="center"/>
              <w:rPr>
                <w:color w:val="000000"/>
                <w:sz w:val="20"/>
              </w:rPr>
            </w:pPr>
            <w:r>
              <w:rPr>
                <w:color w:val="000000"/>
                <w:sz w:val="20"/>
              </w:rPr>
              <w:t>–</w:t>
            </w:r>
          </w:p>
        </w:tc>
        <w:tc>
          <w:tcPr>
            <w:tcW w:w="2311" w:type="dxa"/>
            <w:shd w:val="clear" w:color="auto" w:fill="auto"/>
            <w:vAlign w:val="center"/>
          </w:tcPr>
          <w:p w14:paraId="06687BED" w14:textId="77777777" w:rsidR="00975F26" w:rsidRPr="00ED0D6D" w:rsidRDefault="00975F26" w:rsidP="002A479B">
            <w:pPr>
              <w:jc w:val="center"/>
              <w:rPr>
                <w:color w:val="000000"/>
                <w:sz w:val="20"/>
              </w:rPr>
            </w:pPr>
            <w:r w:rsidRPr="00ED0D6D">
              <w:rPr>
                <w:color w:val="000000"/>
                <w:sz w:val="20"/>
              </w:rPr>
              <w:t>IVPK</w:t>
            </w:r>
          </w:p>
        </w:tc>
        <w:tc>
          <w:tcPr>
            <w:tcW w:w="1189" w:type="dxa"/>
            <w:shd w:val="clear" w:color="auto" w:fill="auto"/>
            <w:vAlign w:val="center"/>
          </w:tcPr>
          <w:p w14:paraId="7166D470"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34A4854C" w14:textId="77777777" w:rsidTr="002A479B">
        <w:trPr>
          <w:trHeight w:val="504"/>
        </w:trPr>
        <w:tc>
          <w:tcPr>
            <w:tcW w:w="657" w:type="dxa"/>
            <w:shd w:val="clear" w:color="auto" w:fill="auto"/>
            <w:vAlign w:val="center"/>
          </w:tcPr>
          <w:p w14:paraId="7FF703BF"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4257C367" w14:textId="77777777" w:rsidR="00975F26" w:rsidRPr="00ED0D6D" w:rsidRDefault="00975F26" w:rsidP="002A479B">
            <w:pPr>
              <w:rPr>
                <w:color w:val="000000"/>
                <w:sz w:val="20"/>
              </w:rPr>
            </w:pPr>
            <w:r w:rsidRPr="00ED0D6D">
              <w:rPr>
                <w:color w:val="000000"/>
                <w:sz w:val="20"/>
              </w:rPr>
              <w:t>Duomenų atvėrimo brandos reitingas (Lietuvos vieta)</w:t>
            </w:r>
          </w:p>
        </w:tc>
        <w:tc>
          <w:tcPr>
            <w:tcW w:w="1080" w:type="dxa"/>
            <w:shd w:val="clear" w:color="auto" w:fill="auto"/>
            <w:noWrap/>
            <w:vAlign w:val="center"/>
          </w:tcPr>
          <w:p w14:paraId="3BF01A90" w14:textId="77777777" w:rsidR="00975F26" w:rsidRPr="00ED0D6D" w:rsidRDefault="00975F26" w:rsidP="002A479B">
            <w:pPr>
              <w:jc w:val="center"/>
              <w:rPr>
                <w:color w:val="000000"/>
                <w:sz w:val="20"/>
              </w:rPr>
            </w:pPr>
            <w:r w:rsidRPr="008030E6">
              <w:rPr>
                <w:i/>
                <w:iCs/>
                <w:color w:val="000000"/>
                <w:sz w:val="20"/>
              </w:rPr>
              <w:t>n. d.</w:t>
            </w:r>
          </w:p>
        </w:tc>
        <w:tc>
          <w:tcPr>
            <w:tcW w:w="1080" w:type="dxa"/>
            <w:shd w:val="clear" w:color="000000" w:fill="FFFFFF"/>
            <w:vAlign w:val="center"/>
          </w:tcPr>
          <w:p w14:paraId="0537DF7B" w14:textId="77777777" w:rsidR="00975F26" w:rsidRPr="00ED0D6D" w:rsidRDefault="00975F26" w:rsidP="002A479B">
            <w:pPr>
              <w:jc w:val="center"/>
              <w:rPr>
                <w:color w:val="000000"/>
                <w:sz w:val="20"/>
              </w:rPr>
            </w:pPr>
            <w:r w:rsidRPr="00ED0D6D">
              <w:rPr>
                <w:color w:val="000000"/>
                <w:sz w:val="20"/>
              </w:rPr>
              <w:t>11</w:t>
            </w:r>
          </w:p>
        </w:tc>
        <w:tc>
          <w:tcPr>
            <w:tcW w:w="956" w:type="dxa"/>
            <w:shd w:val="clear" w:color="auto" w:fill="auto"/>
            <w:vAlign w:val="center"/>
          </w:tcPr>
          <w:p w14:paraId="4B852B01"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4ECF9D7A"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0DD9428A" w14:textId="77777777" w:rsidR="00975F26" w:rsidRPr="00ED0D6D" w:rsidRDefault="00975F26" w:rsidP="002A479B">
            <w:pPr>
              <w:jc w:val="center"/>
              <w:rPr>
                <w:color w:val="000000"/>
                <w:sz w:val="20"/>
              </w:rPr>
            </w:pPr>
            <w:r w:rsidRPr="00ED0D6D">
              <w:rPr>
                <w:color w:val="000000"/>
                <w:sz w:val="20"/>
              </w:rPr>
              <w:t>8</w:t>
            </w:r>
          </w:p>
        </w:tc>
        <w:tc>
          <w:tcPr>
            <w:tcW w:w="1250" w:type="dxa"/>
            <w:shd w:val="clear" w:color="auto" w:fill="auto"/>
            <w:vAlign w:val="center"/>
          </w:tcPr>
          <w:p w14:paraId="62DA6D37" w14:textId="77777777" w:rsidR="00975F26" w:rsidRPr="00ED0D6D" w:rsidRDefault="00975F26" w:rsidP="002A479B">
            <w:pPr>
              <w:jc w:val="center"/>
              <w:rPr>
                <w:color w:val="000000"/>
                <w:sz w:val="20"/>
              </w:rPr>
            </w:pPr>
            <w:r>
              <w:rPr>
                <w:color w:val="000000"/>
                <w:sz w:val="20"/>
              </w:rPr>
              <w:t>–</w:t>
            </w:r>
          </w:p>
        </w:tc>
        <w:tc>
          <w:tcPr>
            <w:tcW w:w="2311" w:type="dxa"/>
            <w:shd w:val="clear" w:color="auto" w:fill="auto"/>
            <w:vAlign w:val="center"/>
          </w:tcPr>
          <w:p w14:paraId="709CC2F3" w14:textId="77777777" w:rsidR="00975F26" w:rsidRPr="00ED0D6D" w:rsidRDefault="00975F26" w:rsidP="002A479B">
            <w:pPr>
              <w:jc w:val="center"/>
              <w:rPr>
                <w:color w:val="000000"/>
                <w:sz w:val="20"/>
              </w:rPr>
            </w:pPr>
            <w:r w:rsidRPr="00ED0D6D">
              <w:rPr>
                <w:color w:val="000000"/>
                <w:sz w:val="20"/>
              </w:rPr>
              <w:t>Europos duomenų portalas, Atvirų duomenų brandos ataskaita</w:t>
            </w:r>
          </w:p>
        </w:tc>
        <w:tc>
          <w:tcPr>
            <w:tcW w:w="1189" w:type="dxa"/>
            <w:shd w:val="clear" w:color="auto" w:fill="auto"/>
            <w:vAlign w:val="center"/>
          </w:tcPr>
          <w:p w14:paraId="48EFDAAA"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76625F82" w14:textId="77777777" w:rsidTr="002A479B">
        <w:trPr>
          <w:trHeight w:val="504"/>
        </w:trPr>
        <w:tc>
          <w:tcPr>
            <w:tcW w:w="657" w:type="dxa"/>
            <w:shd w:val="clear" w:color="auto" w:fill="auto"/>
            <w:vAlign w:val="center"/>
          </w:tcPr>
          <w:p w14:paraId="269A90C6"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2B0BF71" w14:textId="77777777" w:rsidR="00975F26" w:rsidRPr="00ED0D6D" w:rsidRDefault="00975F26" w:rsidP="002A479B">
            <w:pPr>
              <w:jc w:val="both"/>
              <w:rPr>
                <w:color w:val="000000"/>
                <w:sz w:val="20"/>
              </w:rPr>
            </w:pPr>
            <w:r w:rsidRPr="00ED0D6D">
              <w:rPr>
                <w:color w:val="000000"/>
                <w:sz w:val="20"/>
              </w:rPr>
              <w:t>Aukštos technologinės vertės produkcijos dalis nuo visos Lietuvos apdirbamosios gamybos produkcijos (proc.)</w:t>
            </w:r>
          </w:p>
        </w:tc>
        <w:tc>
          <w:tcPr>
            <w:tcW w:w="1080" w:type="dxa"/>
            <w:shd w:val="clear" w:color="auto" w:fill="auto"/>
            <w:noWrap/>
            <w:vAlign w:val="center"/>
          </w:tcPr>
          <w:p w14:paraId="21AD1EC8" w14:textId="77777777" w:rsidR="00975F26" w:rsidRPr="00ED0D6D" w:rsidRDefault="00975F26" w:rsidP="002A479B">
            <w:pPr>
              <w:jc w:val="center"/>
              <w:rPr>
                <w:color w:val="000000"/>
                <w:sz w:val="20"/>
              </w:rPr>
            </w:pPr>
            <w:r w:rsidRPr="008030E6">
              <w:rPr>
                <w:i/>
                <w:iCs/>
                <w:color w:val="000000"/>
                <w:sz w:val="20"/>
              </w:rPr>
              <w:t>n. d.</w:t>
            </w:r>
          </w:p>
        </w:tc>
        <w:tc>
          <w:tcPr>
            <w:tcW w:w="1080" w:type="dxa"/>
            <w:shd w:val="clear" w:color="000000" w:fill="FFFFFF"/>
            <w:vAlign w:val="center"/>
          </w:tcPr>
          <w:p w14:paraId="09829223" w14:textId="77777777" w:rsidR="00975F26" w:rsidRPr="00ED0D6D" w:rsidRDefault="00975F26" w:rsidP="002A479B">
            <w:pPr>
              <w:jc w:val="center"/>
              <w:rPr>
                <w:color w:val="000000"/>
                <w:sz w:val="20"/>
              </w:rPr>
            </w:pPr>
            <w:r w:rsidRPr="00ED0D6D">
              <w:rPr>
                <w:color w:val="000000"/>
                <w:sz w:val="20"/>
              </w:rPr>
              <w:t>4,6</w:t>
            </w:r>
          </w:p>
        </w:tc>
        <w:tc>
          <w:tcPr>
            <w:tcW w:w="956" w:type="dxa"/>
            <w:shd w:val="clear" w:color="auto" w:fill="auto"/>
            <w:vAlign w:val="center"/>
          </w:tcPr>
          <w:p w14:paraId="712CF405"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649A6391"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11EAA658" w14:textId="77777777" w:rsidR="00975F26" w:rsidRPr="00ED0D6D" w:rsidRDefault="00975F26" w:rsidP="002A479B">
            <w:pPr>
              <w:jc w:val="center"/>
              <w:rPr>
                <w:color w:val="000000"/>
                <w:sz w:val="20"/>
              </w:rPr>
            </w:pPr>
            <w:r w:rsidRPr="00ED0D6D">
              <w:rPr>
                <w:color w:val="000000"/>
                <w:sz w:val="20"/>
              </w:rPr>
              <w:t>7</w:t>
            </w:r>
          </w:p>
        </w:tc>
        <w:tc>
          <w:tcPr>
            <w:tcW w:w="1250" w:type="dxa"/>
            <w:shd w:val="clear" w:color="auto" w:fill="auto"/>
            <w:vAlign w:val="center"/>
          </w:tcPr>
          <w:p w14:paraId="71FC2A53" w14:textId="77777777" w:rsidR="00975F26" w:rsidRPr="00ED0D6D" w:rsidRDefault="00975F26" w:rsidP="002A479B">
            <w:pPr>
              <w:jc w:val="center"/>
              <w:rPr>
                <w:color w:val="000000"/>
                <w:sz w:val="20"/>
              </w:rPr>
            </w:pPr>
            <w:r>
              <w:rPr>
                <w:color w:val="000000"/>
                <w:sz w:val="20"/>
              </w:rPr>
              <w:t>–</w:t>
            </w:r>
          </w:p>
        </w:tc>
        <w:tc>
          <w:tcPr>
            <w:tcW w:w="2311" w:type="dxa"/>
            <w:shd w:val="clear" w:color="auto" w:fill="auto"/>
            <w:vAlign w:val="center"/>
          </w:tcPr>
          <w:p w14:paraId="71F0A05F" w14:textId="77777777" w:rsidR="00975F26" w:rsidRPr="00ED0D6D" w:rsidRDefault="00975F26" w:rsidP="002A479B">
            <w:pPr>
              <w:jc w:val="center"/>
              <w:rPr>
                <w:color w:val="000000"/>
                <w:sz w:val="20"/>
              </w:rPr>
            </w:pPr>
            <w:r w:rsidRPr="00ED0D6D">
              <w:rPr>
                <w:color w:val="000000"/>
                <w:sz w:val="20"/>
              </w:rPr>
              <w:t>Lietuvos statistikos departamentas</w:t>
            </w:r>
          </w:p>
        </w:tc>
        <w:tc>
          <w:tcPr>
            <w:tcW w:w="1189" w:type="dxa"/>
            <w:shd w:val="clear" w:color="auto" w:fill="auto"/>
            <w:vAlign w:val="center"/>
          </w:tcPr>
          <w:p w14:paraId="37453DD8" w14:textId="77777777" w:rsidR="00975F26" w:rsidRPr="00ED0D6D" w:rsidRDefault="00975F26" w:rsidP="002A479B">
            <w:pPr>
              <w:jc w:val="center"/>
              <w:rPr>
                <w:b/>
                <w:bCs/>
                <w:color w:val="000000"/>
                <w:sz w:val="20"/>
              </w:rPr>
            </w:pPr>
            <w:r w:rsidRPr="00ED0D6D">
              <w:rPr>
                <w:color w:val="000000"/>
                <w:sz w:val="20"/>
              </w:rPr>
              <w:t xml:space="preserve"> </w:t>
            </w:r>
            <w:r w:rsidRPr="00ED0D6D">
              <w:rPr>
                <w:b/>
                <w:bCs/>
                <w:color w:val="000000"/>
                <w:sz w:val="20"/>
              </w:rPr>
              <w:t>18LRVP</w:t>
            </w:r>
          </w:p>
        </w:tc>
      </w:tr>
      <w:tr w:rsidR="00975F26" w:rsidRPr="00ED0D6D" w14:paraId="78B6CA1A" w14:textId="77777777" w:rsidTr="002A479B">
        <w:trPr>
          <w:trHeight w:val="504"/>
        </w:trPr>
        <w:tc>
          <w:tcPr>
            <w:tcW w:w="657" w:type="dxa"/>
            <w:shd w:val="clear" w:color="auto" w:fill="auto"/>
            <w:vAlign w:val="center"/>
          </w:tcPr>
          <w:p w14:paraId="36F6E87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394159AD" w14:textId="77777777" w:rsidR="00975F26" w:rsidRPr="00ED0D6D" w:rsidRDefault="00975F26" w:rsidP="002A479B">
            <w:pPr>
              <w:jc w:val="both"/>
              <w:rPr>
                <w:color w:val="000000"/>
                <w:sz w:val="20"/>
                <w:highlight w:val="yellow"/>
              </w:rPr>
            </w:pPr>
            <w:r w:rsidRPr="00ED0D6D">
              <w:rPr>
                <w:color w:val="000000"/>
                <w:sz w:val="20"/>
              </w:rPr>
              <w:t>Lietuvos antrinių žaliavų panaudojimo (</w:t>
            </w:r>
            <w:proofErr w:type="spellStart"/>
            <w:r w:rsidRPr="00ED0D6D">
              <w:rPr>
                <w:color w:val="000000"/>
                <w:sz w:val="20"/>
              </w:rPr>
              <w:t>žiediškumo</w:t>
            </w:r>
            <w:proofErr w:type="spellEnd"/>
            <w:r w:rsidRPr="00ED0D6D">
              <w:rPr>
                <w:color w:val="000000"/>
                <w:sz w:val="20"/>
              </w:rPr>
              <w:t xml:space="preserve">) indeksas </w:t>
            </w:r>
          </w:p>
        </w:tc>
        <w:tc>
          <w:tcPr>
            <w:tcW w:w="1080" w:type="dxa"/>
            <w:shd w:val="clear" w:color="auto" w:fill="auto"/>
            <w:noWrap/>
            <w:vAlign w:val="center"/>
          </w:tcPr>
          <w:p w14:paraId="1B1A1505" w14:textId="77777777" w:rsidR="00975F26" w:rsidRPr="00ED0D6D" w:rsidRDefault="00975F26" w:rsidP="002A479B">
            <w:pPr>
              <w:jc w:val="center"/>
              <w:rPr>
                <w:color w:val="000000"/>
                <w:sz w:val="20"/>
              </w:rPr>
            </w:pPr>
            <w:r w:rsidRPr="00ED0D6D">
              <w:rPr>
                <w:color w:val="000000"/>
                <w:sz w:val="20"/>
              </w:rPr>
              <w:t>4</w:t>
            </w:r>
          </w:p>
        </w:tc>
        <w:tc>
          <w:tcPr>
            <w:tcW w:w="1080" w:type="dxa"/>
            <w:shd w:val="clear" w:color="000000" w:fill="FFFFFF"/>
            <w:vAlign w:val="center"/>
          </w:tcPr>
          <w:p w14:paraId="52A52C1E" w14:textId="77777777" w:rsidR="00975F26" w:rsidRPr="00ED0D6D" w:rsidRDefault="00975F26" w:rsidP="002A479B">
            <w:pPr>
              <w:jc w:val="center"/>
              <w:rPr>
                <w:color w:val="000000"/>
                <w:sz w:val="20"/>
              </w:rPr>
            </w:pPr>
            <w:r w:rsidRPr="008644E2">
              <w:rPr>
                <w:i/>
                <w:iCs/>
                <w:color w:val="000000"/>
                <w:sz w:val="20"/>
              </w:rPr>
              <w:t>n. d.</w:t>
            </w:r>
          </w:p>
        </w:tc>
        <w:tc>
          <w:tcPr>
            <w:tcW w:w="956" w:type="dxa"/>
            <w:shd w:val="clear" w:color="auto" w:fill="auto"/>
            <w:vAlign w:val="center"/>
          </w:tcPr>
          <w:p w14:paraId="259A69CB"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2FD963FE"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bottom"/>
          </w:tcPr>
          <w:p w14:paraId="41DDD98B" w14:textId="77777777" w:rsidR="00975F26" w:rsidRPr="00ED0D6D" w:rsidRDefault="00975F26" w:rsidP="002A479B">
            <w:pPr>
              <w:jc w:val="center"/>
              <w:rPr>
                <w:color w:val="000000"/>
                <w:sz w:val="20"/>
              </w:rPr>
            </w:pPr>
            <w:r>
              <w:rPr>
                <w:color w:val="000000"/>
                <w:sz w:val="20"/>
              </w:rPr>
              <w:t>n</w:t>
            </w:r>
            <w:r w:rsidRPr="00ED0D6D">
              <w:rPr>
                <w:color w:val="000000"/>
                <w:sz w:val="20"/>
              </w:rPr>
              <w:t>e mažiau ne</w:t>
            </w:r>
            <w:r>
              <w:rPr>
                <w:color w:val="000000"/>
                <w:sz w:val="20"/>
              </w:rPr>
              <w:t>gu</w:t>
            </w:r>
            <w:r w:rsidRPr="00ED0D6D">
              <w:rPr>
                <w:color w:val="000000"/>
                <w:sz w:val="20"/>
              </w:rPr>
              <w:t xml:space="preserve"> ES vidurkis </w:t>
            </w:r>
          </w:p>
        </w:tc>
        <w:tc>
          <w:tcPr>
            <w:tcW w:w="1250" w:type="dxa"/>
            <w:shd w:val="clear" w:color="auto" w:fill="auto"/>
            <w:vAlign w:val="center"/>
          </w:tcPr>
          <w:p w14:paraId="76EF9444" w14:textId="77777777" w:rsidR="00975F26" w:rsidRPr="00ED0D6D" w:rsidRDefault="00975F26" w:rsidP="002A479B">
            <w:pPr>
              <w:jc w:val="center"/>
              <w:rPr>
                <w:color w:val="000000"/>
                <w:sz w:val="20"/>
              </w:rPr>
            </w:pPr>
            <w:r>
              <w:rPr>
                <w:color w:val="000000"/>
                <w:sz w:val="20"/>
              </w:rPr>
              <w:t>–</w:t>
            </w:r>
          </w:p>
        </w:tc>
        <w:tc>
          <w:tcPr>
            <w:tcW w:w="2311" w:type="dxa"/>
            <w:shd w:val="clear" w:color="auto" w:fill="auto"/>
            <w:vAlign w:val="center"/>
          </w:tcPr>
          <w:p w14:paraId="6017EEAF" w14:textId="77777777" w:rsidR="00975F26" w:rsidRPr="00ED0D6D" w:rsidRDefault="00975F26" w:rsidP="002A479B">
            <w:pPr>
              <w:jc w:val="center"/>
              <w:rPr>
                <w:color w:val="000000"/>
                <w:sz w:val="20"/>
              </w:rPr>
            </w:pPr>
            <w:r w:rsidRPr="00ED0D6D">
              <w:rPr>
                <w:color w:val="000000"/>
                <w:sz w:val="20"/>
              </w:rPr>
              <w:t>Eurostatas</w:t>
            </w:r>
          </w:p>
        </w:tc>
        <w:tc>
          <w:tcPr>
            <w:tcW w:w="1189" w:type="dxa"/>
            <w:shd w:val="clear" w:color="auto" w:fill="auto"/>
            <w:vAlign w:val="center"/>
          </w:tcPr>
          <w:p w14:paraId="112CA4B1" w14:textId="77777777" w:rsidR="00975F26" w:rsidRPr="00ED0D6D" w:rsidRDefault="00975F26" w:rsidP="002A479B">
            <w:pPr>
              <w:jc w:val="center"/>
              <w:rPr>
                <w:color w:val="000000"/>
                <w:sz w:val="20"/>
              </w:rPr>
            </w:pPr>
            <w:r w:rsidRPr="00ED0D6D">
              <w:rPr>
                <w:b/>
                <w:bCs/>
                <w:color w:val="000000"/>
                <w:sz w:val="20"/>
              </w:rPr>
              <w:t>18LRVP</w:t>
            </w:r>
          </w:p>
        </w:tc>
      </w:tr>
      <w:tr w:rsidR="00975F26" w:rsidRPr="00ED0D6D" w14:paraId="75080EA8" w14:textId="77777777" w:rsidTr="002A479B">
        <w:trPr>
          <w:trHeight w:val="504"/>
        </w:trPr>
        <w:tc>
          <w:tcPr>
            <w:tcW w:w="657" w:type="dxa"/>
            <w:shd w:val="clear" w:color="auto" w:fill="auto"/>
            <w:vAlign w:val="center"/>
          </w:tcPr>
          <w:p w14:paraId="1774434E"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6246C48D" w14:textId="77777777" w:rsidR="00975F26" w:rsidRPr="00ED0D6D" w:rsidRDefault="00975F26" w:rsidP="002A479B">
            <w:pPr>
              <w:rPr>
                <w:color w:val="000000"/>
                <w:sz w:val="20"/>
              </w:rPr>
            </w:pPr>
            <w:r w:rsidRPr="00ED0D6D">
              <w:rPr>
                <w:color w:val="000000"/>
                <w:sz w:val="20"/>
              </w:rPr>
              <w:t xml:space="preserve">Pasaulinis inovacijų indeksas (vieta) </w:t>
            </w:r>
          </w:p>
        </w:tc>
        <w:tc>
          <w:tcPr>
            <w:tcW w:w="1080" w:type="dxa"/>
            <w:shd w:val="clear" w:color="auto" w:fill="auto"/>
            <w:noWrap/>
            <w:vAlign w:val="center"/>
          </w:tcPr>
          <w:p w14:paraId="4FEF3E6C" w14:textId="77777777" w:rsidR="00975F26" w:rsidRPr="00ED0D6D" w:rsidRDefault="00975F26" w:rsidP="002A479B">
            <w:pPr>
              <w:jc w:val="center"/>
              <w:rPr>
                <w:color w:val="000000"/>
                <w:sz w:val="20"/>
              </w:rPr>
            </w:pPr>
            <w:r w:rsidRPr="00ED0D6D">
              <w:rPr>
                <w:color w:val="000000"/>
                <w:sz w:val="20"/>
              </w:rPr>
              <w:t>38</w:t>
            </w:r>
          </w:p>
        </w:tc>
        <w:tc>
          <w:tcPr>
            <w:tcW w:w="1080" w:type="dxa"/>
            <w:shd w:val="clear" w:color="000000" w:fill="FFFFFF"/>
            <w:vAlign w:val="center"/>
          </w:tcPr>
          <w:p w14:paraId="283A8FF9" w14:textId="77777777" w:rsidR="00975F26" w:rsidRPr="00ED0D6D" w:rsidRDefault="00975F26" w:rsidP="002A479B">
            <w:pPr>
              <w:jc w:val="center"/>
              <w:rPr>
                <w:color w:val="000000"/>
                <w:sz w:val="20"/>
              </w:rPr>
            </w:pPr>
            <w:r w:rsidRPr="00ED0D6D">
              <w:rPr>
                <w:color w:val="000000"/>
                <w:sz w:val="20"/>
              </w:rPr>
              <w:t>40</w:t>
            </w:r>
          </w:p>
        </w:tc>
        <w:tc>
          <w:tcPr>
            <w:tcW w:w="956" w:type="dxa"/>
            <w:shd w:val="clear" w:color="auto" w:fill="auto"/>
            <w:vAlign w:val="center"/>
          </w:tcPr>
          <w:p w14:paraId="69B21C05" w14:textId="77777777" w:rsidR="00975F26" w:rsidRPr="00ED0D6D" w:rsidRDefault="00975F26" w:rsidP="002A479B">
            <w:pPr>
              <w:jc w:val="center"/>
              <w:rPr>
                <w:color w:val="000000"/>
                <w:sz w:val="20"/>
              </w:rPr>
            </w:pPr>
            <w:r w:rsidRPr="00ED0D6D">
              <w:rPr>
                <w:color w:val="000000"/>
                <w:sz w:val="20"/>
              </w:rPr>
              <w:t>25,8</w:t>
            </w:r>
          </w:p>
        </w:tc>
        <w:tc>
          <w:tcPr>
            <w:tcW w:w="983" w:type="dxa"/>
            <w:shd w:val="clear" w:color="auto" w:fill="auto"/>
            <w:vAlign w:val="center"/>
          </w:tcPr>
          <w:p w14:paraId="70E9E07A" w14:textId="77777777" w:rsidR="00975F26" w:rsidRPr="00ED0D6D" w:rsidRDefault="00975F26" w:rsidP="002A479B">
            <w:pPr>
              <w:jc w:val="center"/>
              <w:rPr>
                <w:color w:val="000000"/>
                <w:sz w:val="20"/>
              </w:rPr>
            </w:pPr>
            <w:r w:rsidRPr="00ED0D6D">
              <w:rPr>
                <w:color w:val="000000"/>
                <w:sz w:val="20"/>
              </w:rPr>
              <w:t>28</w:t>
            </w:r>
          </w:p>
        </w:tc>
        <w:tc>
          <w:tcPr>
            <w:tcW w:w="1250" w:type="dxa"/>
            <w:shd w:val="clear" w:color="auto" w:fill="auto"/>
            <w:noWrap/>
            <w:vAlign w:val="center"/>
          </w:tcPr>
          <w:p w14:paraId="5755A167" w14:textId="77777777" w:rsidR="00975F26" w:rsidRPr="00ED0D6D" w:rsidRDefault="00975F26" w:rsidP="002A479B">
            <w:pPr>
              <w:jc w:val="center"/>
              <w:rPr>
                <w:color w:val="000000"/>
                <w:sz w:val="20"/>
              </w:rPr>
            </w:pPr>
            <w:r w:rsidRPr="00ED0D6D">
              <w:rPr>
                <w:color w:val="000000"/>
                <w:sz w:val="20"/>
              </w:rPr>
              <w:t>35</w:t>
            </w:r>
          </w:p>
        </w:tc>
        <w:tc>
          <w:tcPr>
            <w:tcW w:w="1250" w:type="dxa"/>
            <w:shd w:val="clear" w:color="auto" w:fill="auto"/>
            <w:vAlign w:val="center"/>
          </w:tcPr>
          <w:p w14:paraId="0B1DDAA4"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1359807A" w14:textId="77777777" w:rsidR="00975F26" w:rsidRPr="00ED0D6D" w:rsidRDefault="00975F26" w:rsidP="002A479B">
            <w:pPr>
              <w:jc w:val="center"/>
              <w:rPr>
                <w:color w:val="000000"/>
                <w:sz w:val="20"/>
              </w:rPr>
            </w:pPr>
            <w:r w:rsidRPr="00ED0D6D">
              <w:rPr>
                <w:color w:val="000000"/>
                <w:sz w:val="20"/>
              </w:rPr>
              <w:t>Pasaulinės intelektinės nuosavybės organizacijos leidinys „</w:t>
            </w:r>
            <w:proofErr w:type="spellStart"/>
            <w:r w:rsidRPr="00ED0D6D">
              <w:rPr>
                <w:color w:val="000000"/>
                <w:sz w:val="20"/>
              </w:rPr>
              <w:t>The</w:t>
            </w:r>
            <w:proofErr w:type="spellEnd"/>
            <w:r w:rsidRPr="00ED0D6D">
              <w:rPr>
                <w:color w:val="000000"/>
                <w:sz w:val="20"/>
              </w:rPr>
              <w:t xml:space="preserve"> Global </w:t>
            </w:r>
            <w:proofErr w:type="spellStart"/>
            <w:r w:rsidRPr="00ED0D6D">
              <w:rPr>
                <w:color w:val="000000"/>
                <w:sz w:val="20"/>
              </w:rPr>
              <w:t>Innovation</w:t>
            </w:r>
            <w:proofErr w:type="spellEnd"/>
            <w:r w:rsidRPr="00ED0D6D">
              <w:rPr>
                <w:color w:val="000000"/>
                <w:sz w:val="20"/>
              </w:rPr>
              <w:t xml:space="preserve"> </w:t>
            </w:r>
            <w:proofErr w:type="spellStart"/>
            <w:r w:rsidRPr="00ED0D6D">
              <w:rPr>
                <w:color w:val="000000"/>
                <w:sz w:val="20"/>
              </w:rPr>
              <w:t>Index</w:t>
            </w:r>
            <w:proofErr w:type="spellEnd"/>
            <w:r w:rsidRPr="00ED0D6D">
              <w:rPr>
                <w:color w:val="000000"/>
                <w:sz w:val="20"/>
              </w:rPr>
              <w:t>“</w:t>
            </w:r>
          </w:p>
        </w:tc>
        <w:tc>
          <w:tcPr>
            <w:tcW w:w="1189" w:type="dxa"/>
            <w:shd w:val="clear" w:color="auto" w:fill="auto"/>
            <w:vAlign w:val="center"/>
          </w:tcPr>
          <w:p w14:paraId="6BA272F4" w14:textId="77777777" w:rsidR="00975F26" w:rsidRDefault="00975F26" w:rsidP="002A479B">
            <w:pPr>
              <w:jc w:val="center"/>
              <w:rPr>
                <w:b/>
                <w:bCs/>
                <w:color w:val="000000"/>
                <w:sz w:val="20"/>
              </w:rPr>
            </w:pPr>
            <w:r>
              <w:rPr>
                <w:b/>
                <w:bCs/>
                <w:color w:val="000000"/>
                <w:sz w:val="20"/>
              </w:rPr>
              <w:t>VPS2030</w:t>
            </w:r>
          </w:p>
          <w:p w14:paraId="5220E20A" w14:textId="77777777" w:rsidR="00975F26" w:rsidRPr="00ED0D6D" w:rsidRDefault="00975F26" w:rsidP="002A479B">
            <w:pPr>
              <w:jc w:val="center"/>
              <w:rPr>
                <w:b/>
                <w:bCs/>
                <w:color w:val="000000"/>
                <w:sz w:val="20"/>
              </w:rPr>
            </w:pPr>
            <w:r w:rsidRPr="00ED0D6D">
              <w:rPr>
                <w:b/>
                <w:bCs/>
                <w:color w:val="000000"/>
                <w:sz w:val="20"/>
              </w:rPr>
              <w:t>18LRVP</w:t>
            </w:r>
          </w:p>
          <w:p w14:paraId="528C8CF2" w14:textId="77777777" w:rsidR="00975F26" w:rsidRPr="00ED0D6D" w:rsidRDefault="00975F26" w:rsidP="002A479B">
            <w:pPr>
              <w:jc w:val="center"/>
              <w:rPr>
                <w:b/>
                <w:bCs/>
                <w:color w:val="000000"/>
                <w:sz w:val="20"/>
              </w:rPr>
            </w:pPr>
            <w:r w:rsidRPr="00ED0D6D">
              <w:rPr>
                <w:color w:val="000000"/>
                <w:sz w:val="20"/>
              </w:rPr>
              <w:t xml:space="preserve">17LRVP </w:t>
            </w:r>
          </w:p>
        </w:tc>
      </w:tr>
      <w:tr w:rsidR="00975F26" w:rsidRPr="00ED0D6D" w14:paraId="7646C2C0" w14:textId="77777777" w:rsidTr="002A479B">
        <w:trPr>
          <w:trHeight w:val="504"/>
        </w:trPr>
        <w:tc>
          <w:tcPr>
            <w:tcW w:w="657" w:type="dxa"/>
            <w:shd w:val="clear" w:color="auto" w:fill="auto"/>
            <w:vAlign w:val="center"/>
          </w:tcPr>
          <w:p w14:paraId="51272EB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73789FA" w14:textId="77777777" w:rsidR="00975F26" w:rsidRPr="00ED0D6D" w:rsidRDefault="00975F26" w:rsidP="002A479B">
            <w:pPr>
              <w:jc w:val="both"/>
              <w:rPr>
                <w:color w:val="000000"/>
                <w:sz w:val="20"/>
              </w:rPr>
            </w:pPr>
            <w:r w:rsidRPr="00ED0D6D">
              <w:rPr>
                <w:color w:val="000000"/>
                <w:sz w:val="20"/>
              </w:rPr>
              <w:t xml:space="preserve">Lietuvos darbo produktyvumas per vieną dirbtą valandą, ES vidurkio </w:t>
            </w:r>
            <w:r>
              <w:rPr>
                <w:color w:val="000000"/>
                <w:sz w:val="20"/>
              </w:rPr>
              <w:t xml:space="preserve">dalis </w:t>
            </w:r>
            <w:r w:rsidRPr="00ED0D6D">
              <w:rPr>
                <w:color w:val="000000"/>
                <w:sz w:val="20"/>
              </w:rPr>
              <w:t xml:space="preserve">(proc.) </w:t>
            </w:r>
          </w:p>
        </w:tc>
        <w:tc>
          <w:tcPr>
            <w:tcW w:w="1080" w:type="dxa"/>
            <w:shd w:val="clear" w:color="auto" w:fill="auto"/>
            <w:noWrap/>
            <w:vAlign w:val="center"/>
          </w:tcPr>
          <w:p w14:paraId="58B52CD0" w14:textId="77777777" w:rsidR="00975F26" w:rsidRPr="00ED0D6D" w:rsidRDefault="00975F26" w:rsidP="002A479B">
            <w:pPr>
              <w:jc w:val="center"/>
              <w:rPr>
                <w:color w:val="000000"/>
                <w:sz w:val="20"/>
              </w:rPr>
            </w:pPr>
            <w:r w:rsidRPr="00ED0D6D">
              <w:rPr>
                <w:color w:val="000000"/>
                <w:sz w:val="20"/>
              </w:rPr>
              <w:t>67,7</w:t>
            </w:r>
          </w:p>
        </w:tc>
        <w:tc>
          <w:tcPr>
            <w:tcW w:w="1080" w:type="dxa"/>
            <w:shd w:val="clear" w:color="000000" w:fill="FFFFFF"/>
            <w:vAlign w:val="center"/>
          </w:tcPr>
          <w:p w14:paraId="3984FE1B" w14:textId="77777777" w:rsidR="00975F26" w:rsidRPr="00ED0D6D" w:rsidRDefault="00975F26" w:rsidP="002A479B">
            <w:pPr>
              <w:jc w:val="center"/>
              <w:rPr>
                <w:color w:val="000000"/>
                <w:sz w:val="20"/>
              </w:rPr>
            </w:pPr>
            <w:r w:rsidRPr="00307CE5">
              <w:rPr>
                <w:i/>
                <w:iCs/>
                <w:color w:val="000000"/>
                <w:sz w:val="20"/>
              </w:rPr>
              <w:t>n. d.</w:t>
            </w:r>
          </w:p>
        </w:tc>
        <w:tc>
          <w:tcPr>
            <w:tcW w:w="956" w:type="dxa"/>
            <w:shd w:val="clear" w:color="auto" w:fill="auto"/>
            <w:vAlign w:val="center"/>
          </w:tcPr>
          <w:p w14:paraId="3E1523C8" w14:textId="77777777" w:rsidR="00975F26" w:rsidRPr="00ED0D6D" w:rsidRDefault="00975F26" w:rsidP="002A479B">
            <w:pPr>
              <w:jc w:val="center"/>
              <w:rPr>
                <w:color w:val="000000"/>
                <w:sz w:val="20"/>
              </w:rPr>
            </w:pPr>
            <w:r w:rsidRPr="00385671">
              <w:rPr>
                <w:color w:val="000000"/>
                <w:sz w:val="20"/>
              </w:rPr>
              <w:t>–</w:t>
            </w:r>
          </w:p>
        </w:tc>
        <w:tc>
          <w:tcPr>
            <w:tcW w:w="983" w:type="dxa"/>
            <w:shd w:val="clear" w:color="auto" w:fill="auto"/>
            <w:vAlign w:val="center"/>
          </w:tcPr>
          <w:p w14:paraId="4C0A7E8E" w14:textId="77777777" w:rsidR="00975F26" w:rsidRPr="00ED0D6D" w:rsidRDefault="00975F26" w:rsidP="002A479B">
            <w:pPr>
              <w:jc w:val="center"/>
              <w:rPr>
                <w:color w:val="000000"/>
                <w:sz w:val="20"/>
              </w:rPr>
            </w:pPr>
            <w:r w:rsidRPr="00ED0D6D">
              <w:rPr>
                <w:color w:val="000000"/>
                <w:sz w:val="20"/>
              </w:rPr>
              <w:t>78,44</w:t>
            </w:r>
          </w:p>
        </w:tc>
        <w:tc>
          <w:tcPr>
            <w:tcW w:w="1250" w:type="dxa"/>
            <w:shd w:val="clear" w:color="auto" w:fill="auto"/>
            <w:noWrap/>
            <w:vAlign w:val="center"/>
          </w:tcPr>
          <w:p w14:paraId="49A5F1B1" w14:textId="77777777" w:rsidR="00975F26" w:rsidRPr="00ED0D6D" w:rsidRDefault="00975F26" w:rsidP="002A479B">
            <w:pPr>
              <w:jc w:val="center"/>
              <w:rPr>
                <w:color w:val="000000"/>
                <w:sz w:val="20"/>
              </w:rPr>
            </w:pPr>
            <w:r w:rsidRPr="00ED0D6D">
              <w:rPr>
                <w:color w:val="000000"/>
                <w:sz w:val="20"/>
              </w:rPr>
              <w:t>76</w:t>
            </w:r>
          </w:p>
        </w:tc>
        <w:tc>
          <w:tcPr>
            <w:tcW w:w="1250" w:type="dxa"/>
            <w:shd w:val="clear" w:color="auto" w:fill="auto"/>
            <w:vAlign w:val="center"/>
          </w:tcPr>
          <w:p w14:paraId="7E35E08C"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73F46579" w14:textId="77777777" w:rsidR="00975F26" w:rsidRPr="00ED0D6D" w:rsidRDefault="00975F26" w:rsidP="002A479B">
            <w:pPr>
              <w:jc w:val="center"/>
              <w:rPr>
                <w:color w:val="000000"/>
                <w:sz w:val="20"/>
              </w:rPr>
            </w:pPr>
            <w:r w:rsidRPr="00ED0D6D">
              <w:rPr>
                <w:color w:val="000000"/>
                <w:sz w:val="20"/>
              </w:rPr>
              <w:t>Lietuvos statistikos departamentas, Eurostatas</w:t>
            </w:r>
          </w:p>
        </w:tc>
        <w:tc>
          <w:tcPr>
            <w:tcW w:w="1189" w:type="dxa"/>
            <w:shd w:val="clear" w:color="auto" w:fill="auto"/>
            <w:vAlign w:val="center"/>
          </w:tcPr>
          <w:p w14:paraId="01E5D4A9" w14:textId="77777777" w:rsidR="00975F26" w:rsidRPr="00ED0D6D" w:rsidRDefault="00975F26" w:rsidP="002A479B">
            <w:pPr>
              <w:jc w:val="center"/>
              <w:rPr>
                <w:b/>
                <w:bCs/>
                <w:color w:val="000000"/>
                <w:sz w:val="20"/>
              </w:rPr>
            </w:pPr>
            <w:r w:rsidRPr="00ED0D6D">
              <w:rPr>
                <w:b/>
                <w:bCs/>
                <w:color w:val="000000"/>
                <w:sz w:val="20"/>
              </w:rPr>
              <w:t>18LRVP</w:t>
            </w:r>
          </w:p>
          <w:p w14:paraId="691C1B0D" w14:textId="77777777" w:rsidR="00975F26" w:rsidRPr="00ED0D6D" w:rsidRDefault="00975F26" w:rsidP="002A479B">
            <w:pPr>
              <w:jc w:val="center"/>
              <w:rPr>
                <w:b/>
                <w:bCs/>
                <w:color w:val="000000"/>
                <w:sz w:val="20"/>
              </w:rPr>
            </w:pPr>
            <w:r w:rsidRPr="00ED0D6D">
              <w:rPr>
                <w:color w:val="000000"/>
                <w:sz w:val="20"/>
              </w:rPr>
              <w:t>17LRVP</w:t>
            </w:r>
          </w:p>
        </w:tc>
      </w:tr>
      <w:tr w:rsidR="00975F26" w:rsidRPr="00ED0D6D" w14:paraId="4B495570" w14:textId="77777777" w:rsidTr="002A479B">
        <w:trPr>
          <w:trHeight w:val="504"/>
        </w:trPr>
        <w:tc>
          <w:tcPr>
            <w:tcW w:w="657" w:type="dxa"/>
            <w:shd w:val="clear" w:color="auto" w:fill="auto"/>
            <w:vAlign w:val="center"/>
          </w:tcPr>
          <w:p w14:paraId="13AA285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01DACE0E" w14:textId="77777777" w:rsidR="00975F26" w:rsidRPr="00ED0D6D" w:rsidRDefault="00975F26" w:rsidP="002A479B">
            <w:pPr>
              <w:jc w:val="both"/>
              <w:rPr>
                <w:color w:val="000000"/>
                <w:sz w:val="20"/>
              </w:rPr>
            </w:pPr>
            <w:r w:rsidRPr="00ED0D6D">
              <w:rPr>
                <w:color w:val="000000"/>
                <w:sz w:val="20"/>
              </w:rPr>
              <w:t xml:space="preserve">Verslo išlaidos MTEP veiklai, BVP dalis (proc.) </w:t>
            </w:r>
          </w:p>
        </w:tc>
        <w:tc>
          <w:tcPr>
            <w:tcW w:w="1080" w:type="dxa"/>
            <w:shd w:val="clear" w:color="auto" w:fill="auto"/>
            <w:noWrap/>
            <w:vAlign w:val="center"/>
          </w:tcPr>
          <w:p w14:paraId="421F9BE5" w14:textId="77777777" w:rsidR="00975F26" w:rsidRPr="00ED0D6D" w:rsidRDefault="00975F26" w:rsidP="002A479B">
            <w:pPr>
              <w:jc w:val="center"/>
              <w:rPr>
                <w:color w:val="000000"/>
                <w:sz w:val="20"/>
              </w:rPr>
            </w:pPr>
            <w:r w:rsidRPr="00ED0D6D">
              <w:rPr>
                <w:color w:val="000000"/>
                <w:sz w:val="20"/>
              </w:rPr>
              <w:t>0,43</w:t>
            </w:r>
          </w:p>
        </w:tc>
        <w:tc>
          <w:tcPr>
            <w:tcW w:w="1080" w:type="dxa"/>
            <w:shd w:val="clear" w:color="000000" w:fill="FFFFFF"/>
            <w:vAlign w:val="center"/>
          </w:tcPr>
          <w:p w14:paraId="51AC6B7F" w14:textId="77777777" w:rsidR="00975F26" w:rsidRPr="00ED0D6D" w:rsidRDefault="00975F26" w:rsidP="002A479B">
            <w:pPr>
              <w:jc w:val="center"/>
              <w:rPr>
                <w:color w:val="000000"/>
                <w:sz w:val="20"/>
              </w:rPr>
            </w:pPr>
            <w:r w:rsidRPr="00307CE5">
              <w:rPr>
                <w:i/>
                <w:iCs/>
                <w:color w:val="000000"/>
                <w:sz w:val="20"/>
              </w:rPr>
              <w:t>n. d.</w:t>
            </w:r>
          </w:p>
        </w:tc>
        <w:tc>
          <w:tcPr>
            <w:tcW w:w="956" w:type="dxa"/>
            <w:shd w:val="clear" w:color="auto" w:fill="auto"/>
            <w:vAlign w:val="center"/>
          </w:tcPr>
          <w:p w14:paraId="5EA4C6AB" w14:textId="77777777" w:rsidR="00975F26" w:rsidRPr="00ED0D6D" w:rsidRDefault="00975F26" w:rsidP="002A479B">
            <w:pPr>
              <w:jc w:val="center"/>
              <w:rPr>
                <w:color w:val="000000"/>
                <w:sz w:val="20"/>
              </w:rPr>
            </w:pPr>
            <w:r w:rsidRPr="00385671">
              <w:rPr>
                <w:color w:val="000000"/>
                <w:sz w:val="20"/>
              </w:rPr>
              <w:t>–</w:t>
            </w:r>
          </w:p>
        </w:tc>
        <w:tc>
          <w:tcPr>
            <w:tcW w:w="983" w:type="dxa"/>
            <w:shd w:val="clear" w:color="auto" w:fill="auto"/>
            <w:vAlign w:val="center"/>
          </w:tcPr>
          <w:p w14:paraId="72667EA9" w14:textId="77777777" w:rsidR="00975F26" w:rsidRPr="00ED0D6D" w:rsidRDefault="00975F26" w:rsidP="002A479B">
            <w:pPr>
              <w:jc w:val="center"/>
              <w:rPr>
                <w:color w:val="000000"/>
                <w:sz w:val="20"/>
              </w:rPr>
            </w:pPr>
            <w:r w:rsidRPr="00ED0D6D">
              <w:rPr>
                <w:color w:val="000000"/>
                <w:sz w:val="20"/>
              </w:rPr>
              <w:t>0,9</w:t>
            </w:r>
          </w:p>
        </w:tc>
        <w:tc>
          <w:tcPr>
            <w:tcW w:w="1250" w:type="dxa"/>
            <w:shd w:val="clear" w:color="auto" w:fill="auto"/>
            <w:noWrap/>
            <w:vAlign w:val="center"/>
          </w:tcPr>
          <w:p w14:paraId="611612DA" w14:textId="77777777" w:rsidR="00975F26" w:rsidRPr="00ED0D6D" w:rsidRDefault="00975F26" w:rsidP="002A479B">
            <w:pPr>
              <w:jc w:val="center"/>
              <w:rPr>
                <w:color w:val="000000"/>
                <w:sz w:val="20"/>
              </w:rPr>
            </w:pPr>
            <w:r w:rsidRPr="00ED0D6D">
              <w:rPr>
                <w:color w:val="000000"/>
                <w:sz w:val="20"/>
              </w:rPr>
              <w:t>1,5</w:t>
            </w:r>
          </w:p>
        </w:tc>
        <w:tc>
          <w:tcPr>
            <w:tcW w:w="1250" w:type="dxa"/>
            <w:shd w:val="clear" w:color="auto" w:fill="auto"/>
            <w:vAlign w:val="center"/>
          </w:tcPr>
          <w:p w14:paraId="26DE1FF8"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327D40B7" w14:textId="77777777" w:rsidR="00975F26" w:rsidRPr="00ED0D6D" w:rsidRDefault="00975F26" w:rsidP="002A479B">
            <w:pPr>
              <w:jc w:val="center"/>
              <w:rPr>
                <w:color w:val="000000"/>
                <w:sz w:val="20"/>
              </w:rPr>
            </w:pPr>
            <w:r w:rsidRPr="00ED0D6D">
              <w:rPr>
                <w:color w:val="000000"/>
                <w:sz w:val="20"/>
              </w:rPr>
              <w:t>Lietuvos statistikos departamentas, Eurostatas</w:t>
            </w:r>
          </w:p>
        </w:tc>
        <w:tc>
          <w:tcPr>
            <w:tcW w:w="1189" w:type="dxa"/>
            <w:shd w:val="clear" w:color="auto" w:fill="auto"/>
            <w:vAlign w:val="center"/>
          </w:tcPr>
          <w:p w14:paraId="0A287B3C" w14:textId="77777777" w:rsidR="00975F26" w:rsidRPr="00ED0D6D" w:rsidRDefault="00975F26" w:rsidP="002A479B">
            <w:pPr>
              <w:jc w:val="center"/>
              <w:rPr>
                <w:color w:val="000000"/>
                <w:sz w:val="20"/>
              </w:rPr>
            </w:pPr>
            <w:r w:rsidRPr="00ED0D6D">
              <w:rPr>
                <w:color w:val="000000"/>
                <w:sz w:val="20"/>
              </w:rPr>
              <w:t>NPP2030 NPP2020</w:t>
            </w:r>
          </w:p>
          <w:p w14:paraId="4E0C5C9A" w14:textId="77777777" w:rsidR="00975F26" w:rsidRPr="00ED0D6D" w:rsidRDefault="00975F26" w:rsidP="002A479B">
            <w:pPr>
              <w:jc w:val="center"/>
              <w:rPr>
                <w:b/>
                <w:bCs/>
                <w:color w:val="000000"/>
                <w:sz w:val="20"/>
              </w:rPr>
            </w:pPr>
            <w:r w:rsidRPr="00ED0D6D">
              <w:rPr>
                <w:color w:val="000000"/>
                <w:sz w:val="20"/>
              </w:rPr>
              <w:t>17LRVP</w:t>
            </w:r>
          </w:p>
        </w:tc>
      </w:tr>
      <w:tr w:rsidR="00975F26" w:rsidRPr="00ED0D6D" w14:paraId="4857A4F1" w14:textId="77777777" w:rsidTr="002A479B">
        <w:trPr>
          <w:trHeight w:val="504"/>
        </w:trPr>
        <w:tc>
          <w:tcPr>
            <w:tcW w:w="657" w:type="dxa"/>
            <w:shd w:val="clear" w:color="auto" w:fill="auto"/>
            <w:vAlign w:val="center"/>
          </w:tcPr>
          <w:p w14:paraId="575F8D31"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07B87309" w14:textId="4676944F" w:rsidR="00975F26" w:rsidRPr="00ED0D6D" w:rsidRDefault="00975F26" w:rsidP="002A479B">
            <w:pPr>
              <w:jc w:val="both"/>
              <w:rPr>
                <w:color w:val="000000"/>
                <w:sz w:val="20"/>
              </w:rPr>
            </w:pPr>
            <w:r w:rsidRPr="00ED0D6D">
              <w:rPr>
                <w:color w:val="000000"/>
                <w:sz w:val="20"/>
              </w:rPr>
              <w:t>Verslo aplinkos indeksas</w:t>
            </w:r>
            <w:r>
              <w:rPr>
                <w:color w:val="000000"/>
                <w:sz w:val="20"/>
              </w:rPr>
              <w:t xml:space="preserve"> </w:t>
            </w:r>
            <w:r w:rsidRPr="00ED0D6D">
              <w:rPr>
                <w:color w:val="000000"/>
                <w:sz w:val="20"/>
              </w:rPr>
              <w:t xml:space="preserve">(vieta) </w:t>
            </w:r>
          </w:p>
        </w:tc>
        <w:tc>
          <w:tcPr>
            <w:tcW w:w="1080" w:type="dxa"/>
            <w:shd w:val="clear" w:color="auto" w:fill="auto"/>
            <w:noWrap/>
            <w:vAlign w:val="center"/>
          </w:tcPr>
          <w:p w14:paraId="4A21D8C4" w14:textId="77777777" w:rsidR="00975F26" w:rsidRPr="00ED0D6D" w:rsidRDefault="00975F26" w:rsidP="002A479B">
            <w:pPr>
              <w:jc w:val="center"/>
              <w:rPr>
                <w:color w:val="000000"/>
                <w:sz w:val="20"/>
              </w:rPr>
            </w:pPr>
            <w:r w:rsidRPr="00ED0D6D">
              <w:rPr>
                <w:color w:val="000000"/>
                <w:sz w:val="20"/>
              </w:rPr>
              <w:t>11</w:t>
            </w:r>
          </w:p>
        </w:tc>
        <w:tc>
          <w:tcPr>
            <w:tcW w:w="1080" w:type="dxa"/>
            <w:shd w:val="clear" w:color="000000" w:fill="FFFFFF"/>
            <w:vAlign w:val="center"/>
          </w:tcPr>
          <w:p w14:paraId="0F85AF66" w14:textId="77777777" w:rsidR="00975F26" w:rsidRPr="00ED0D6D" w:rsidRDefault="00975F26" w:rsidP="002A479B">
            <w:pPr>
              <w:jc w:val="center"/>
              <w:rPr>
                <w:color w:val="000000"/>
                <w:sz w:val="20"/>
              </w:rPr>
            </w:pPr>
            <w:r w:rsidRPr="00307CE5">
              <w:rPr>
                <w:i/>
                <w:iCs/>
                <w:color w:val="000000"/>
                <w:sz w:val="20"/>
              </w:rPr>
              <w:t>n. d.</w:t>
            </w:r>
          </w:p>
        </w:tc>
        <w:tc>
          <w:tcPr>
            <w:tcW w:w="956" w:type="dxa"/>
            <w:shd w:val="clear" w:color="auto" w:fill="auto"/>
            <w:vAlign w:val="center"/>
          </w:tcPr>
          <w:p w14:paraId="16A68784" w14:textId="77777777" w:rsidR="00975F26" w:rsidRPr="00ED0D6D" w:rsidRDefault="00975F26" w:rsidP="002A479B">
            <w:pPr>
              <w:jc w:val="center"/>
              <w:rPr>
                <w:color w:val="000000"/>
                <w:sz w:val="20"/>
              </w:rPr>
            </w:pPr>
            <w:r w:rsidRPr="00ED0D6D">
              <w:rPr>
                <w:color w:val="000000"/>
                <w:sz w:val="20"/>
              </w:rPr>
              <w:t>37,1</w:t>
            </w:r>
          </w:p>
        </w:tc>
        <w:tc>
          <w:tcPr>
            <w:tcW w:w="983" w:type="dxa"/>
            <w:shd w:val="clear" w:color="auto" w:fill="auto"/>
            <w:vAlign w:val="center"/>
          </w:tcPr>
          <w:p w14:paraId="0DA993EB" w14:textId="77777777" w:rsidR="00975F26" w:rsidRPr="00ED0D6D" w:rsidRDefault="00975F26" w:rsidP="002A479B">
            <w:pPr>
              <w:jc w:val="center"/>
              <w:rPr>
                <w:color w:val="000000"/>
                <w:sz w:val="20"/>
              </w:rPr>
            </w:pPr>
            <w:r w:rsidRPr="00ED0D6D">
              <w:rPr>
                <w:color w:val="000000"/>
                <w:sz w:val="20"/>
              </w:rPr>
              <w:t>15</w:t>
            </w:r>
          </w:p>
        </w:tc>
        <w:tc>
          <w:tcPr>
            <w:tcW w:w="1250" w:type="dxa"/>
            <w:shd w:val="clear" w:color="auto" w:fill="auto"/>
            <w:noWrap/>
            <w:vAlign w:val="center"/>
          </w:tcPr>
          <w:p w14:paraId="3D9C645B" w14:textId="77777777" w:rsidR="00975F26" w:rsidRPr="00ED0D6D" w:rsidRDefault="00975F26" w:rsidP="002A479B">
            <w:pPr>
              <w:jc w:val="center"/>
              <w:rPr>
                <w:color w:val="000000"/>
                <w:sz w:val="20"/>
              </w:rPr>
            </w:pPr>
            <w:r w:rsidRPr="003E16DC">
              <w:rPr>
                <w:color w:val="000000"/>
                <w:sz w:val="20"/>
              </w:rPr>
              <w:t>–</w:t>
            </w:r>
          </w:p>
        </w:tc>
        <w:tc>
          <w:tcPr>
            <w:tcW w:w="1250" w:type="dxa"/>
            <w:shd w:val="clear" w:color="auto" w:fill="auto"/>
            <w:vAlign w:val="center"/>
          </w:tcPr>
          <w:p w14:paraId="33C2C390"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51D5303F" w14:textId="77777777" w:rsidR="00975F26" w:rsidRPr="00ED0D6D" w:rsidRDefault="00975F26" w:rsidP="002A479B">
            <w:pPr>
              <w:jc w:val="center"/>
              <w:rPr>
                <w:color w:val="000000"/>
                <w:sz w:val="20"/>
              </w:rPr>
            </w:pPr>
            <w:r w:rsidRPr="00ED0D6D">
              <w:rPr>
                <w:color w:val="000000"/>
                <w:sz w:val="20"/>
              </w:rPr>
              <w:t>Pasaulio banko tyrimo „</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sidRPr="00ED0D6D">
              <w:rPr>
                <w:color w:val="000000"/>
                <w:sz w:val="20"/>
              </w:rPr>
              <w:t>“ ataskaita</w:t>
            </w:r>
          </w:p>
        </w:tc>
        <w:tc>
          <w:tcPr>
            <w:tcW w:w="1189" w:type="dxa"/>
            <w:shd w:val="clear" w:color="auto" w:fill="auto"/>
            <w:vAlign w:val="center"/>
          </w:tcPr>
          <w:p w14:paraId="7AA8BEEB" w14:textId="77777777" w:rsidR="00975F26" w:rsidRPr="00ED0D6D" w:rsidRDefault="00975F26" w:rsidP="002A479B">
            <w:pPr>
              <w:jc w:val="center"/>
              <w:rPr>
                <w:color w:val="000000"/>
                <w:sz w:val="20"/>
              </w:rPr>
            </w:pPr>
            <w:r w:rsidRPr="00ED0D6D">
              <w:rPr>
                <w:color w:val="000000"/>
                <w:sz w:val="20"/>
              </w:rPr>
              <w:t>VPS2030  NPP2030 NPP2020</w:t>
            </w:r>
          </w:p>
          <w:p w14:paraId="36B13C00" w14:textId="77777777" w:rsidR="00975F26" w:rsidRPr="00ED0D6D" w:rsidRDefault="00975F26" w:rsidP="002A479B">
            <w:pPr>
              <w:jc w:val="center"/>
              <w:rPr>
                <w:b/>
                <w:bCs/>
                <w:color w:val="000000"/>
                <w:sz w:val="20"/>
              </w:rPr>
            </w:pPr>
            <w:r w:rsidRPr="00ED0D6D">
              <w:rPr>
                <w:color w:val="000000"/>
                <w:sz w:val="20"/>
              </w:rPr>
              <w:t>17LRVP</w:t>
            </w:r>
          </w:p>
        </w:tc>
      </w:tr>
      <w:tr w:rsidR="00975F26" w:rsidRPr="00ED0D6D" w14:paraId="14A68C58" w14:textId="77777777" w:rsidTr="002A479B">
        <w:trPr>
          <w:trHeight w:val="504"/>
        </w:trPr>
        <w:tc>
          <w:tcPr>
            <w:tcW w:w="657" w:type="dxa"/>
            <w:shd w:val="clear" w:color="auto" w:fill="auto"/>
            <w:vAlign w:val="center"/>
          </w:tcPr>
          <w:p w14:paraId="655F7C5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1B3186FF" w14:textId="77777777" w:rsidR="00975F26" w:rsidRPr="00ED0D6D" w:rsidRDefault="00975F26" w:rsidP="002A479B">
            <w:pPr>
              <w:jc w:val="both"/>
              <w:rPr>
                <w:color w:val="000000"/>
                <w:sz w:val="20"/>
              </w:rPr>
            </w:pPr>
            <w:r w:rsidRPr="00ED0D6D">
              <w:rPr>
                <w:color w:val="000000"/>
                <w:sz w:val="20"/>
              </w:rPr>
              <w:t>Pozicija pagal „</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sidRPr="00ED0D6D">
              <w:rPr>
                <w:color w:val="000000"/>
                <w:sz w:val="20"/>
              </w:rPr>
              <w:t xml:space="preserve">“ smulkiųjų investuotojų apsaugos rodiklį (vieta)   </w:t>
            </w:r>
          </w:p>
        </w:tc>
        <w:tc>
          <w:tcPr>
            <w:tcW w:w="1080" w:type="dxa"/>
            <w:shd w:val="clear" w:color="auto" w:fill="auto"/>
            <w:noWrap/>
            <w:vAlign w:val="center"/>
          </w:tcPr>
          <w:p w14:paraId="5614AE5D" w14:textId="77777777" w:rsidR="00975F26" w:rsidRPr="00ED0D6D" w:rsidRDefault="00975F26" w:rsidP="002A479B">
            <w:pPr>
              <w:jc w:val="center"/>
              <w:rPr>
                <w:color w:val="000000"/>
                <w:sz w:val="20"/>
              </w:rPr>
            </w:pPr>
            <w:r w:rsidRPr="00ED0D6D">
              <w:rPr>
                <w:color w:val="000000"/>
                <w:sz w:val="20"/>
              </w:rPr>
              <w:t>37</w:t>
            </w:r>
          </w:p>
        </w:tc>
        <w:tc>
          <w:tcPr>
            <w:tcW w:w="1080" w:type="dxa"/>
            <w:shd w:val="clear" w:color="000000" w:fill="FFFFFF"/>
            <w:vAlign w:val="center"/>
          </w:tcPr>
          <w:p w14:paraId="72721BCB" w14:textId="77777777" w:rsidR="00975F26" w:rsidRPr="00ED0D6D" w:rsidRDefault="00975F26" w:rsidP="002A479B">
            <w:pPr>
              <w:jc w:val="center"/>
              <w:rPr>
                <w:color w:val="000000"/>
                <w:sz w:val="20"/>
              </w:rPr>
            </w:pPr>
            <w:r w:rsidRPr="00307CE5">
              <w:rPr>
                <w:i/>
                <w:iCs/>
                <w:color w:val="000000"/>
                <w:sz w:val="20"/>
              </w:rPr>
              <w:t>n. d.</w:t>
            </w:r>
          </w:p>
        </w:tc>
        <w:tc>
          <w:tcPr>
            <w:tcW w:w="956" w:type="dxa"/>
            <w:shd w:val="clear" w:color="auto" w:fill="auto"/>
            <w:vAlign w:val="center"/>
          </w:tcPr>
          <w:p w14:paraId="1EA13E2C" w14:textId="77777777" w:rsidR="00975F26" w:rsidRPr="00ED0D6D" w:rsidRDefault="00975F26" w:rsidP="002A479B">
            <w:pPr>
              <w:jc w:val="center"/>
              <w:rPr>
                <w:color w:val="000000"/>
                <w:sz w:val="20"/>
              </w:rPr>
            </w:pPr>
            <w:r w:rsidRPr="00AD0984">
              <w:rPr>
                <w:color w:val="000000"/>
                <w:sz w:val="20"/>
              </w:rPr>
              <w:t>–</w:t>
            </w:r>
          </w:p>
        </w:tc>
        <w:tc>
          <w:tcPr>
            <w:tcW w:w="983" w:type="dxa"/>
            <w:shd w:val="clear" w:color="auto" w:fill="auto"/>
            <w:vAlign w:val="center"/>
          </w:tcPr>
          <w:p w14:paraId="2ADAE88A"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auto" w:fill="auto"/>
            <w:noWrap/>
            <w:vAlign w:val="center"/>
          </w:tcPr>
          <w:p w14:paraId="2B17C5B5" w14:textId="77777777" w:rsidR="00975F26" w:rsidRPr="00ED0D6D" w:rsidRDefault="00975F26" w:rsidP="002A479B">
            <w:pPr>
              <w:jc w:val="center"/>
              <w:rPr>
                <w:color w:val="000000"/>
                <w:sz w:val="20"/>
              </w:rPr>
            </w:pPr>
            <w:r w:rsidRPr="003E16DC">
              <w:rPr>
                <w:color w:val="000000"/>
                <w:sz w:val="20"/>
              </w:rPr>
              <w:t>–</w:t>
            </w:r>
          </w:p>
        </w:tc>
        <w:tc>
          <w:tcPr>
            <w:tcW w:w="1250" w:type="dxa"/>
            <w:shd w:val="clear" w:color="auto" w:fill="auto"/>
            <w:vAlign w:val="center"/>
          </w:tcPr>
          <w:p w14:paraId="4A0886D9"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442A015B" w14:textId="77777777" w:rsidR="00975F26" w:rsidRPr="00ED0D6D" w:rsidRDefault="00975F26" w:rsidP="002A479B">
            <w:pPr>
              <w:jc w:val="center"/>
              <w:rPr>
                <w:color w:val="000000"/>
                <w:sz w:val="20"/>
              </w:rPr>
            </w:pPr>
            <w:r w:rsidRPr="00ED0D6D">
              <w:rPr>
                <w:color w:val="000000"/>
                <w:sz w:val="20"/>
              </w:rPr>
              <w:t>Pasaulio banko tyrimo „</w:t>
            </w:r>
            <w:proofErr w:type="spellStart"/>
            <w:r w:rsidRPr="00ED0D6D">
              <w:rPr>
                <w:color w:val="000000"/>
                <w:sz w:val="20"/>
              </w:rPr>
              <w:t>Doing</w:t>
            </w:r>
            <w:proofErr w:type="spellEnd"/>
            <w:r w:rsidRPr="00ED0D6D">
              <w:rPr>
                <w:color w:val="000000"/>
                <w:sz w:val="20"/>
              </w:rPr>
              <w:t xml:space="preserve"> </w:t>
            </w:r>
            <w:proofErr w:type="spellStart"/>
            <w:r w:rsidRPr="00ED0D6D">
              <w:rPr>
                <w:color w:val="000000"/>
                <w:sz w:val="20"/>
              </w:rPr>
              <w:t>Business</w:t>
            </w:r>
            <w:proofErr w:type="spellEnd"/>
            <w:r w:rsidRPr="00ED0D6D">
              <w:rPr>
                <w:color w:val="000000"/>
                <w:sz w:val="20"/>
              </w:rPr>
              <w:t>“ ataskaita</w:t>
            </w:r>
          </w:p>
        </w:tc>
        <w:tc>
          <w:tcPr>
            <w:tcW w:w="1189" w:type="dxa"/>
            <w:shd w:val="clear" w:color="auto" w:fill="auto"/>
            <w:vAlign w:val="center"/>
          </w:tcPr>
          <w:p w14:paraId="1A82E7B0" w14:textId="77777777" w:rsidR="00975F26" w:rsidRPr="00ED0D6D" w:rsidRDefault="00975F26" w:rsidP="002A479B">
            <w:pPr>
              <w:jc w:val="center"/>
              <w:rPr>
                <w:color w:val="000000"/>
                <w:sz w:val="20"/>
              </w:rPr>
            </w:pPr>
            <w:r w:rsidRPr="00ED0D6D">
              <w:rPr>
                <w:color w:val="000000"/>
                <w:sz w:val="20"/>
              </w:rPr>
              <w:t>NPP2020</w:t>
            </w:r>
          </w:p>
          <w:p w14:paraId="2AFF066F" w14:textId="77777777" w:rsidR="00975F26" w:rsidRPr="00ED0D6D" w:rsidRDefault="00975F26" w:rsidP="002A479B">
            <w:pPr>
              <w:jc w:val="center"/>
              <w:rPr>
                <w:b/>
                <w:bCs/>
                <w:color w:val="000000"/>
                <w:sz w:val="20"/>
              </w:rPr>
            </w:pPr>
            <w:r w:rsidRPr="00ED0D6D">
              <w:rPr>
                <w:color w:val="000000"/>
                <w:sz w:val="20"/>
              </w:rPr>
              <w:t xml:space="preserve">17LRVP </w:t>
            </w:r>
          </w:p>
        </w:tc>
      </w:tr>
      <w:tr w:rsidR="00975F26" w:rsidRPr="00ED0D6D" w14:paraId="327116BD" w14:textId="77777777" w:rsidTr="002A479B">
        <w:trPr>
          <w:trHeight w:val="218"/>
        </w:trPr>
        <w:tc>
          <w:tcPr>
            <w:tcW w:w="657" w:type="dxa"/>
            <w:shd w:val="clear" w:color="auto" w:fill="auto"/>
            <w:vAlign w:val="center"/>
            <w:hideMark/>
          </w:tcPr>
          <w:p w14:paraId="5462D267"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648" w:type="dxa"/>
            <w:shd w:val="clear" w:color="auto" w:fill="auto"/>
            <w:vAlign w:val="center"/>
          </w:tcPr>
          <w:p w14:paraId="6E2E895D" w14:textId="77777777" w:rsidR="00975F26" w:rsidRPr="00ED0D6D" w:rsidRDefault="00975F26" w:rsidP="002A479B">
            <w:pPr>
              <w:jc w:val="both"/>
              <w:rPr>
                <w:color w:val="000000"/>
                <w:sz w:val="20"/>
              </w:rPr>
            </w:pPr>
            <w:r w:rsidRPr="00ED0D6D">
              <w:rPr>
                <w:color w:val="000000"/>
                <w:sz w:val="20"/>
              </w:rPr>
              <w:t xml:space="preserve">Įsteigtų socialinių verslų skaičius (vienetai)   </w:t>
            </w:r>
          </w:p>
        </w:tc>
        <w:tc>
          <w:tcPr>
            <w:tcW w:w="1080" w:type="dxa"/>
            <w:shd w:val="clear" w:color="000000" w:fill="FFFFFF"/>
            <w:vAlign w:val="center"/>
          </w:tcPr>
          <w:p w14:paraId="0A58ADB9" w14:textId="77777777" w:rsidR="00975F26" w:rsidRPr="00ED0D6D" w:rsidRDefault="00975F26" w:rsidP="002A479B">
            <w:pPr>
              <w:jc w:val="center"/>
              <w:rPr>
                <w:color w:val="000000"/>
                <w:sz w:val="20"/>
              </w:rPr>
            </w:pPr>
            <w:r w:rsidRPr="00ED0D6D">
              <w:rPr>
                <w:color w:val="000000"/>
                <w:sz w:val="20"/>
              </w:rPr>
              <w:t>95</w:t>
            </w:r>
          </w:p>
        </w:tc>
        <w:tc>
          <w:tcPr>
            <w:tcW w:w="1080" w:type="dxa"/>
            <w:shd w:val="clear" w:color="auto" w:fill="auto"/>
            <w:noWrap/>
            <w:vAlign w:val="center"/>
          </w:tcPr>
          <w:p w14:paraId="070D4C48" w14:textId="77777777" w:rsidR="00975F26" w:rsidRPr="00ED0D6D" w:rsidRDefault="00975F26" w:rsidP="002A479B">
            <w:pPr>
              <w:jc w:val="center"/>
              <w:rPr>
                <w:color w:val="000000"/>
                <w:sz w:val="20"/>
              </w:rPr>
            </w:pPr>
            <w:r w:rsidRPr="00ED0D6D">
              <w:rPr>
                <w:color w:val="000000"/>
                <w:sz w:val="20"/>
              </w:rPr>
              <w:t>132</w:t>
            </w:r>
          </w:p>
        </w:tc>
        <w:tc>
          <w:tcPr>
            <w:tcW w:w="956" w:type="dxa"/>
            <w:shd w:val="clear" w:color="auto" w:fill="auto"/>
            <w:vAlign w:val="center"/>
          </w:tcPr>
          <w:p w14:paraId="243410DE" w14:textId="77777777" w:rsidR="00975F26" w:rsidRPr="00ED0D6D" w:rsidRDefault="00975F26" w:rsidP="002A479B">
            <w:pPr>
              <w:jc w:val="center"/>
              <w:rPr>
                <w:color w:val="000000"/>
                <w:sz w:val="20"/>
              </w:rPr>
            </w:pPr>
            <w:r w:rsidRPr="00AD0984">
              <w:rPr>
                <w:color w:val="000000"/>
                <w:sz w:val="20"/>
              </w:rPr>
              <w:t>–</w:t>
            </w:r>
          </w:p>
        </w:tc>
        <w:tc>
          <w:tcPr>
            <w:tcW w:w="983" w:type="dxa"/>
            <w:shd w:val="clear" w:color="auto" w:fill="auto"/>
            <w:vAlign w:val="center"/>
          </w:tcPr>
          <w:p w14:paraId="7C77DCA7" w14:textId="77777777" w:rsidR="00975F26" w:rsidRPr="00ED0D6D" w:rsidRDefault="00975F26" w:rsidP="002A479B">
            <w:pPr>
              <w:jc w:val="center"/>
              <w:rPr>
                <w:color w:val="000000"/>
                <w:sz w:val="20"/>
              </w:rPr>
            </w:pPr>
            <w:r w:rsidRPr="00ED0D6D">
              <w:rPr>
                <w:color w:val="000000"/>
                <w:sz w:val="20"/>
              </w:rPr>
              <w:t>150</w:t>
            </w:r>
          </w:p>
        </w:tc>
        <w:tc>
          <w:tcPr>
            <w:tcW w:w="1250" w:type="dxa"/>
            <w:shd w:val="clear" w:color="auto" w:fill="auto"/>
            <w:noWrap/>
            <w:vAlign w:val="center"/>
          </w:tcPr>
          <w:p w14:paraId="1D58E1DD" w14:textId="77777777" w:rsidR="00975F26" w:rsidRPr="00ED0D6D" w:rsidRDefault="00975F26" w:rsidP="002A479B">
            <w:pPr>
              <w:jc w:val="center"/>
              <w:rPr>
                <w:color w:val="000000"/>
                <w:sz w:val="20"/>
              </w:rPr>
            </w:pPr>
            <w:r w:rsidRPr="003E16DC">
              <w:rPr>
                <w:color w:val="000000"/>
                <w:sz w:val="20"/>
              </w:rPr>
              <w:t>–</w:t>
            </w:r>
          </w:p>
        </w:tc>
        <w:tc>
          <w:tcPr>
            <w:tcW w:w="1250" w:type="dxa"/>
            <w:shd w:val="clear" w:color="auto" w:fill="auto"/>
            <w:vAlign w:val="center"/>
          </w:tcPr>
          <w:p w14:paraId="75DDA40A"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52EAFBC8" w14:textId="77777777" w:rsidR="00975F26" w:rsidRPr="00ED0D6D" w:rsidRDefault="00975F26" w:rsidP="002A479B">
            <w:pPr>
              <w:jc w:val="center"/>
              <w:rPr>
                <w:color w:val="000000"/>
                <w:sz w:val="20"/>
              </w:rPr>
            </w:pPr>
            <w:r w:rsidRPr="00ED0D6D">
              <w:rPr>
                <w:color w:val="000000"/>
                <w:sz w:val="20"/>
              </w:rPr>
              <w:t>VšĮ „Versli Lietuva“</w:t>
            </w:r>
          </w:p>
        </w:tc>
        <w:tc>
          <w:tcPr>
            <w:tcW w:w="1189" w:type="dxa"/>
            <w:shd w:val="clear" w:color="auto" w:fill="auto"/>
            <w:vAlign w:val="center"/>
          </w:tcPr>
          <w:p w14:paraId="1BCA1414"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46601949" w14:textId="77777777" w:rsidTr="002A479B">
        <w:trPr>
          <w:trHeight w:val="305"/>
        </w:trPr>
        <w:tc>
          <w:tcPr>
            <w:tcW w:w="657" w:type="dxa"/>
            <w:shd w:val="clear" w:color="auto" w:fill="auto"/>
            <w:vAlign w:val="center"/>
            <w:hideMark/>
          </w:tcPr>
          <w:p w14:paraId="3782117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3E52D5F" w14:textId="77777777" w:rsidR="00975F26" w:rsidRPr="00ED0D6D" w:rsidRDefault="00975F26" w:rsidP="002A479B">
            <w:pPr>
              <w:jc w:val="both"/>
              <w:rPr>
                <w:color w:val="000000"/>
                <w:sz w:val="20"/>
              </w:rPr>
            </w:pPr>
            <w:r w:rsidRPr="00ED0D6D">
              <w:rPr>
                <w:color w:val="000000"/>
                <w:sz w:val="20"/>
              </w:rPr>
              <w:t xml:space="preserve">Konsoliduotos valstybės informacinių išteklių infrastruktūros dalis nuo visos valstybės valdomos valstybės informacinių išteklių infrastruktūros (proc.)  </w:t>
            </w:r>
          </w:p>
        </w:tc>
        <w:tc>
          <w:tcPr>
            <w:tcW w:w="1080" w:type="dxa"/>
            <w:shd w:val="clear" w:color="000000" w:fill="FFFFFF"/>
            <w:vAlign w:val="center"/>
          </w:tcPr>
          <w:p w14:paraId="5A0A43E4" w14:textId="77777777" w:rsidR="00975F26" w:rsidRPr="00ED0D6D" w:rsidRDefault="00975F26" w:rsidP="002A479B">
            <w:pPr>
              <w:jc w:val="center"/>
              <w:rPr>
                <w:color w:val="000000"/>
                <w:sz w:val="20"/>
              </w:rPr>
            </w:pPr>
            <w:r w:rsidRPr="00ED0D6D">
              <w:rPr>
                <w:color w:val="000000"/>
                <w:sz w:val="20"/>
              </w:rPr>
              <w:t>4,4</w:t>
            </w:r>
          </w:p>
        </w:tc>
        <w:tc>
          <w:tcPr>
            <w:tcW w:w="1080" w:type="dxa"/>
            <w:shd w:val="clear" w:color="auto" w:fill="auto"/>
            <w:noWrap/>
            <w:vAlign w:val="center"/>
          </w:tcPr>
          <w:p w14:paraId="56DB6C60" w14:textId="77777777" w:rsidR="00975F26" w:rsidRPr="00ED0D6D" w:rsidRDefault="00975F26" w:rsidP="002A479B">
            <w:pPr>
              <w:jc w:val="center"/>
              <w:rPr>
                <w:color w:val="000000"/>
                <w:sz w:val="20"/>
              </w:rPr>
            </w:pPr>
            <w:r w:rsidRPr="00ED0D6D">
              <w:rPr>
                <w:color w:val="000000"/>
                <w:sz w:val="20"/>
              </w:rPr>
              <w:t>6,4</w:t>
            </w:r>
          </w:p>
        </w:tc>
        <w:tc>
          <w:tcPr>
            <w:tcW w:w="956" w:type="dxa"/>
            <w:shd w:val="clear" w:color="auto" w:fill="auto"/>
            <w:vAlign w:val="center"/>
          </w:tcPr>
          <w:p w14:paraId="3AD983F4" w14:textId="77777777" w:rsidR="00975F26" w:rsidRPr="00ED0D6D" w:rsidRDefault="00975F26" w:rsidP="002A479B">
            <w:pPr>
              <w:jc w:val="center"/>
              <w:rPr>
                <w:color w:val="000000"/>
                <w:sz w:val="20"/>
              </w:rPr>
            </w:pPr>
            <w:r w:rsidRPr="00AD0984">
              <w:rPr>
                <w:color w:val="000000"/>
                <w:sz w:val="20"/>
              </w:rPr>
              <w:t>–</w:t>
            </w:r>
          </w:p>
        </w:tc>
        <w:tc>
          <w:tcPr>
            <w:tcW w:w="983" w:type="dxa"/>
            <w:shd w:val="clear" w:color="auto" w:fill="auto"/>
            <w:vAlign w:val="center"/>
          </w:tcPr>
          <w:p w14:paraId="45A802C1" w14:textId="77777777" w:rsidR="00975F26" w:rsidRPr="00ED0D6D" w:rsidRDefault="00975F26" w:rsidP="002A479B">
            <w:pPr>
              <w:jc w:val="center"/>
              <w:rPr>
                <w:color w:val="000000"/>
                <w:sz w:val="20"/>
              </w:rPr>
            </w:pPr>
            <w:r w:rsidRPr="00ED0D6D">
              <w:rPr>
                <w:color w:val="000000"/>
                <w:sz w:val="20"/>
              </w:rPr>
              <w:t>50</w:t>
            </w:r>
          </w:p>
        </w:tc>
        <w:tc>
          <w:tcPr>
            <w:tcW w:w="1250" w:type="dxa"/>
            <w:shd w:val="clear" w:color="auto" w:fill="auto"/>
            <w:noWrap/>
            <w:vAlign w:val="center"/>
          </w:tcPr>
          <w:p w14:paraId="597E7B28" w14:textId="77777777" w:rsidR="00975F26" w:rsidRPr="00ED0D6D" w:rsidRDefault="00975F26" w:rsidP="002A479B">
            <w:pPr>
              <w:jc w:val="center"/>
              <w:rPr>
                <w:color w:val="000000"/>
                <w:sz w:val="20"/>
              </w:rPr>
            </w:pPr>
            <w:r w:rsidRPr="003E16DC">
              <w:rPr>
                <w:color w:val="000000"/>
                <w:sz w:val="20"/>
              </w:rPr>
              <w:t>–</w:t>
            </w:r>
          </w:p>
        </w:tc>
        <w:tc>
          <w:tcPr>
            <w:tcW w:w="1250" w:type="dxa"/>
            <w:shd w:val="clear" w:color="auto" w:fill="auto"/>
            <w:vAlign w:val="center"/>
          </w:tcPr>
          <w:p w14:paraId="64478D96"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280FAE74" w14:textId="77777777" w:rsidR="00975F26" w:rsidRPr="00ED0D6D" w:rsidRDefault="00975F26" w:rsidP="002A479B">
            <w:pPr>
              <w:jc w:val="center"/>
              <w:rPr>
                <w:color w:val="000000"/>
                <w:sz w:val="20"/>
              </w:rPr>
            </w:pPr>
            <w:r w:rsidRPr="00ED0D6D">
              <w:rPr>
                <w:color w:val="000000"/>
                <w:sz w:val="20"/>
              </w:rPr>
              <w:t>IVPK</w:t>
            </w:r>
          </w:p>
        </w:tc>
        <w:tc>
          <w:tcPr>
            <w:tcW w:w="1189" w:type="dxa"/>
            <w:shd w:val="clear" w:color="auto" w:fill="auto"/>
            <w:vAlign w:val="center"/>
          </w:tcPr>
          <w:p w14:paraId="7CA44E63"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07C74F87" w14:textId="77777777" w:rsidTr="002A479B">
        <w:trPr>
          <w:trHeight w:val="359"/>
        </w:trPr>
        <w:tc>
          <w:tcPr>
            <w:tcW w:w="657" w:type="dxa"/>
            <w:shd w:val="clear" w:color="auto" w:fill="auto"/>
            <w:vAlign w:val="center"/>
            <w:hideMark/>
          </w:tcPr>
          <w:p w14:paraId="6FB6DFF5"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tcPr>
          <w:p w14:paraId="55BA9D0F" w14:textId="77777777" w:rsidR="00975F26" w:rsidRPr="00ED0D6D" w:rsidRDefault="00975F26" w:rsidP="002A479B">
            <w:pPr>
              <w:rPr>
                <w:color w:val="000000"/>
                <w:sz w:val="20"/>
              </w:rPr>
            </w:pPr>
            <w:r w:rsidRPr="00ED0D6D">
              <w:rPr>
                <w:color w:val="000000"/>
                <w:sz w:val="20"/>
              </w:rPr>
              <w:t xml:space="preserve">Valstybės valdomų įmonių skaičius (vienetai)   </w:t>
            </w:r>
          </w:p>
        </w:tc>
        <w:tc>
          <w:tcPr>
            <w:tcW w:w="1080" w:type="dxa"/>
            <w:shd w:val="clear" w:color="000000" w:fill="FFFFFF"/>
            <w:vAlign w:val="center"/>
          </w:tcPr>
          <w:p w14:paraId="73282761" w14:textId="77777777" w:rsidR="00975F26" w:rsidRPr="00ED0D6D" w:rsidRDefault="00975F26" w:rsidP="002A479B">
            <w:pPr>
              <w:jc w:val="center"/>
              <w:rPr>
                <w:color w:val="000000"/>
                <w:sz w:val="20"/>
              </w:rPr>
            </w:pPr>
            <w:r w:rsidRPr="00ED0D6D">
              <w:rPr>
                <w:color w:val="000000"/>
                <w:sz w:val="20"/>
              </w:rPr>
              <w:t>50</w:t>
            </w:r>
          </w:p>
        </w:tc>
        <w:tc>
          <w:tcPr>
            <w:tcW w:w="1080" w:type="dxa"/>
            <w:shd w:val="clear" w:color="000000" w:fill="FFFFFF"/>
            <w:vAlign w:val="center"/>
          </w:tcPr>
          <w:p w14:paraId="667BB9C2" w14:textId="77777777" w:rsidR="00975F26" w:rsidRPr="00ED0D6D" w:rsidRDefault="00975F26" w:rsidP="002A479B">
            <w:pPr>
              <w:jc w:val="center"/>
              <w:rPr>
                <w:color w:val="000000"/>
                <w:sz w:val="20"/>
              </w:rPr>
            </w:pPr>
            <w:r w:rsidRPr="00ED0D6D">
              <w:rPr>
                <w:color w:val="000000"/>
                <w:sz w:val="20"/>
              </w:rPr>
              <w:t>51</w:t>
            </w:r>
          </w:p>
        </w:tc>
        <w:tc>
          <w:tcPr>
            <w:tcW w:w="956" w:type="dxa"/>
            <w:shd w:val="clear" w:color="auto" w:fill="auto"/>
            <w:vAlign w:val="center"/>
          </w:tcPr>
          <w:p w14:paraId="33923BB1" w14:textId="77777777" w:rsidR="00975F26" w:rsidRPr="00ED0D6D" w:rsidRDefault="00975F26" w:rsidP="002A479B">
            <w:pPr>
              <w:jc w:val="center"/>
              <w:rPr>
                <w:color w:val="000000"/>
                <w:sz w:val="20"/>
              </w:rPr>
            </w:pPr>
            <w:r w:rsidRPr="00AD0984">
              <w:rPr>
                <w:color w:val="000000"/>
                <w:sz w:val="20"/>
              </w:rPr>
              <w:t>–</w:t>
            </w:r>
          </w:p>
        </w:tc>
        <w:tc>
          <w:tcPr>
            <w:tcW w:w="983" w:type="dxa"/>
            <w:shd w:val="clear" w:color="auto" w:fill="auto"/>
            <w:vAlign w:val="center"/>
          </w:tcPr>
          <w:p w14:paraId="0C08C494" w14:textId="77777777" w:rsidR="00975F26" w:rsidRPr="00ED0D6D" w:rsidRDefault="00975F26" w:rsidP="002A479B">
            <w:pPr>
              <w:jc w:val="center"/>
              <w:rPr>
                <w:color w:val="000000"/>
                <w:sz w:val="20"/>
              </w:rPr>
            </w:pPr>
            <w:r w:rsidRPr="00ED0D6D">
              <w:rPr>
                <w:color w:val="000000"/>
                <w:sz w:val="20"/>
              </w:rPr>
              <w:t>34</w:t>
            </w:r>
          </w:p>
        </w:tc>
        <w:tc>
          <w:tcPr>
            <w:tcW w:w="1250" w:type="dxa"/>
            <w:shd w:val="clear" w:color="auto" w:fill="auto"/>
            <w:vAlign w:val="center"/>
          </w:tcPr>
          <w:p w14:paraId="476A1BFC" w14:textId="77777777" w:rsidR="00975F26" w:rsidRPr="00ED0D6D" w:rsidRDefault="00975F26" w:rsidP="002A479B">
            <w:pPr>
              <w:jc w:val="center"/>
              <w:rPr>
                <w:color w:val="000000"/>
                <w:sz w:val="20"/>
              </w:rPr>
            </w:pPr>
            <w:r w:rsidRPr="003E16DC">
              <w:rPr>
                <w:color w:val="000000"/>
                <w:sz w:val="20"/>
              </w:rPr>
              <w:t>–</w:t>
            </w:r>
          </w:p>
        </w:tc>
        <w:tc>
          <w:tcPr>
            <w:tcW w:w="1250" w:type="dxa"/>
            <w:shd w:val="clear" w:color="auto" w:fill="auto"/>
            <w:vAlign w:val="center"/>
          </w:tcPr>
          <w:p w14:paraId="4CC0718E" w14:textId="77777777" w:rsidR="00975F26" w:rsidRPr="00ED0D6D" w:rsidRDefault="00975F26" w:rsidP="002A479B">
            <w:pPr>
              <w:jc w:val="center"/>
              <w:rPr>
                <w:color w:val="000000"/>
                <w:sz w:val="20"/>
              </w:rPr>
            </w:pPr>
            <w:r w:rsidRPr="00B52618">
              <w:rPr>
                <w:color w:val="000000"/>
                <w:sz w:val="20"/>
              </w:rPr>
              <w:t>–</w:t>
            </w:r>
          </w:p>
        </w:tc>
        <w:tc>
          <w:tcPr>
            <w:tcW w:w="2311" w:type="dxa"/>
            <w:shd w:val="clear" w:color="auto" w:fill="auto"/>
            <w:vAlign w:val="center"/>
          </w:tcPr>
          <w:p w14:paraId="0DD13AB7" w14:textId="77777777" w:rsidR="00975F26" w:rsidRPr="00ED0D6D" w:rsidRDefault="00975F26" w:rsidP="002A479B">
            <w:pPr>
              <w:jc w:val="center"/>
              <w:rPr>
                <w:color w:val="000000"/>
                <w:sz w:val="20"/>
              </w:rPr>
            </w:pPr>
            <w:r w:rsidRPr="00ED0D6D">
              <w:rPr>
                <w:color w:val="000000"/>
                <w:sz w:val="20"/>
              </w:rPr>
              <w:t>VšĮ Valdymo koordinavimo centras</w:t>
            </w:r>
          </w:p>
        </w:tc>
        <w:tc>
          <w:tcPr>
            <w:tcW w:w="1189" w:type="dxa"/>
            <w:shd w:val="clear" w:color="auto" w:fill="auto"/>
            <w:vAlign w:val="center"/>
          </w:tcPr>
          <w:p w14:paraId="2EC64810"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2F0FB54" w14:textId="77777777" w:rsidTr="002A479B">
        <w:trPr>
          <w:trHeight w:val="440"/>
        </w:trPr>
        <w:tc>
          <w:tcPr>
            <w:tcW w:w="657" w:type="dxa"/>
            <w:shd w:val="clear" w:color="000000" w:fill="FFFFFF"/>
            <w:vAlign w:val="center"/>
            <w:hideMark/>
          </w:tcPr>
          <w:p w14:paraId="0442ACF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0CF30934" w14:textId="77777777" w:rsidR="00975F26" w:rsidRPr="00ED0D6D" w:rsidRDefault="00975F26" w:rsidP="002A479B">
            <w:pPr>
              <w:jc w:val="both"/>
              <w:rPr>
                <w:color w:val="000000"/>
                <w:sz w:val="20"/>
              </w:rPr>
            </w:pPr>
            <w:r w:rsidRPr="00ED0D6D">
              <w:rPr>
                <w:color w:val="000000"/>
                <w:sz w:val="20"/>
              </w:rPr>
              <w:t>Ūkio subjekt</w:t>
            </w:r>
            <w:r>
              <w:rPr>
                <w:color w:val="000000"/>
                <w:sz w:val="20"/>
              </w:rPr>
              <w:t>ų</w:t>
            </w:r>
            <w:r w:rsidRPr="00ED0D6D">
              <w:rPr>
                <w:color w:val="000000"/>
                <w:sz w:val="20"/>
              </w:rPr>
              <w:t>, teigiamai vertinan</w:t>
            </w:r>
            <w:r>
              <w:rPr>
                <w:color w:val="000000"/>
                <w:sz w:val="20"/>
              </w:rPr>
              <w:t>čių</w:t>
            </w:r>
            <w:r w:rsidRPr="00ED0D6D">
              <w:rPr>
                <w:color w:val="000000"/>
                <w:sz w:val="20"/>
              </w:rPr>
              <w:t xml:space="preserve"> priežiūros institucijų veiklą, </w:t>
            </w:r>
            <w:r>
              <w:rPr>
                <w:color w:val="000000"/>
                <w:sz w:val="20"/>
              </w:rPr>
              <w:t>dalis</w:t>
            </w:r>
            <w:r w:rsidRPr="00ED0D6D">
              <w:rPr>
                <w:color w:val="000000"/>
                <w:sz w:val="20"/>
              </w:rPr>
              <w:t xml:space="preserve"> nuo visų apklaustųjų (proc.)   </w:t>
            </w:r>
          </w:p>
        </w:tc>
        <w:tc>
          <w:tcPr>
            <w:tcW w:w="1080" w:type="dxa"/>
            <w:shd w:val="clear" w:color="000000" w:fill="FFFFFF"/>
            <w:vAlign w:val="center"/>
          </w:tcPr>
          <w:p w14:paraId="62B4D892" w14:textId="77777777" w:rsidR="00975F26" w:rsidRPr="00ED0D6D" w:rsidRDefault="00975F26" w:rsidP="002A479B">
            <w:pPr>
              <w:jc w:val="center"/>
              <w:rPr>
                <w:color w:val="000000"/>
                <w:sz w:val="20"/>
              </w:rPr>
            </w:pPr>
            <w:r w:rsidRPr="00ED0D6D">
              <w:rPr>
                <w:color w:val="000000"/>
                <w:sz w:val="20"/>
              </w:rPr>
              <w:t>77</w:t>
            </w:r>
          </w:p>
        </w:tc>
        <w:tc>
          <w:tcPr>
            <w:tcW w:w="1080" w:type="dxa"/>
            <w:shd w:val="clear" w:color="000000" w:fill="FFFFFF"/>
            <w:vAlign w:val="center"/>
          </w:tcPr>
          <w:p w14:paraId="4EE53A38" w14:textId="77777777" w:rsidR="00975F26" w:rsidRPr="00ED0D6D" w:rsidRDefault="00975F26" w:rsidP="002A479B">
            <w:pPr>
              <w:jc w:val="center"/>
              <w:rPr>
                <w:color w:val="000000"/>
                <w:sz w:val="20"/>
              </w:rPr>
            </w:pPr>
            <w:r w:rsidRPr="00ED0D6D">
              <w:rPr>
                <w:color w:val="000000"/>
                <w:sz w:val="20"/>
              </w:rPr>
              <w:t>82</w:t>
            </w:r>
          </w:p>
        </w:tc>
        <w:tc>
          <w:tcPr>
            <w:tcW w:w="956" w:type="dxa"/>
            <w:shd w:val="clear" w:color="auto" w:fill="auto"/>
            <w:vAlign w:val="center"/>
          </w:tcPr>
          <w:p w14:paraId="4AF766BC" w14:textId="77777777" w:rsidR="00975F26" w:rsidRPr="00ED0D6D" w:rsidRDefault="00975F26" w:rsidP="002A479B">
            <w:pPr>
              <w:jc w:val="center"/>
              <w:rPr>
                <w:color w:val="000000"/>
                <w:sz w:val="20"/>
              </w:rPr>
            </w:pPr>
            <w:r w:rsidRPr="00AD0984">
              <w:rPr>
                <w:color w:val="000000"/>
                <w:sz w:val="20"/>
              </w:rPr>
              <w:t>–</w:t>
            </w:r>
          </w:p>
        </w:tc>
        <w:tc>
          <w:tcPr>
            <w:tcW w:w="983" w:type="dxa"/>
            <w:shd w:val="clear" w:color="000000" w:fill="FFFFFF"/>
            <w:vAlign w:val="center"/>
          </w:tcPr>
          <w:p w14:paraId="102D25D2" w14:textId="77777777" w:rsidR="00975F26" w:rsidRPr="00ED0D6D" w:rsidRDefault="00975F26" w:rsidP="002A479B">
            <w:pPr>
              <w:jc w:val="center"/>
              <w:rPr>
                <w:color w:val="000000"/>
                <w:sz w:val="20"/>
              </w:rPr>
            </w:pPr>
            <w:r w:rsidRPr="00ED0D6D">
              <w:rPr>
                <w:color w:val="000000"/>
                <w:sz w:val="20"/>
              </w:rPr>
              <w:t>80</w:t>
            </w:r>
          </w:p>
        </w:tc>
        <w:tc>
          <w:tcPr>
            <w:tcW w:w="1250" w:type="dxa"/>
            <w:shd w:val="clear" w:color="000000" w:fill="FFFFFF"/>
            <w:vAlign w:val="center"/>
          </w:tcPr>
          <w:p w14:paraId="2F10B5DE" w14:textId="77777777" w:rsidR="00975F26" w:rsidRPr="00ED0D6D" w:rsidRDefault="00975F26" w:rsidP="002A479B">
            <w:pPr>
              <w:jc w:val="center"/>
              <w:rPr>
                <w:color w:val="000000"/>
                <w:sz w:val="20"/>
              </w:rPr>
            </w:pPr>
            <w:r w:rsidRPr="003E16DC">
              <w:rPr>
                <w:color w:val="000000"/>
                <w:sz w:val="20"/>
              </w:rPr>
              <w:t>–</w:t>
            </w:r>
          </w:p>
        </w:tc>
        <w:tc>
          <w:tcPr>
            <w:tcW w:w="1250" w:type="dxa"/>
            <w:shd w:val="clear" w:color="000000" w:fill="FFFFFF"/>
            <w:vAlign w:val="center"/>
          </w:tcPr>
          <w:p w14:paraId="2F1DD18D" w14:textId="77777777" w:rsidR="00975F26" w:rsidRPr="00ED0D6D" w:rsidRDefault="00975F26" w:rsidP="002A479B">
            <w:pPr>
              <w:jc w:val="center"/>
              <w:rPr>
                <w:color w:val="000000"/>
                <w:sz w:val="20"/>
              </w:rPr>
            </w:pPr>
            <w:r w:rsidRPr="00B52618">
              <w:rPr>
                <w:color w:val="000000"/>
                <w:sz w:val="20"/>
              </w:rPr>
              <w:t>–</w:t>
            </w:r>
          </w:p>
        </w:tc>
        <w:tc>
          <w:tcPr>
            <w:tcW w:w="2311" w:type="dxa"/>
            <w:shd w:val="clear" w:color="000000" w:fill="FFFFFF"/>
            <w:vAlign w:val="center"/>
          </w:tcPr>
          <w:p w14:paraId="25FCE823" w14:textId="77777777" w:rsidR="00975F26" w:rsidRPr="00ED0D6D" w:rsidRDefault="00975F26" w:rsidP="002A479B">
            <w:pPr>
              <w:jc w:val="center"/>
              <w:rPr>
                <w:color w:val="000000"/>
                <w:sz w:val="20"/>
              </w:rPr>
            </w:pPr>
            <w:r>
              <w:rPr>
                <w:color w:val="000000"/>
                <w:sz w:val="20"/>
              </w:rPr>
              <w:t>ū</w:t>
            </w:r>
            <w:r w:rsidRPr="00ED0D6D">
              <w:rPr>
                <w:color w:val="000000"/>
                <w:sz w:val="20"/>
              </w:rPr>
              <w:t>kio subjektų apklausos duomenys</w:t>
            </w:r>
          </w:p>
        </w:tc>
        <w:tc>
          <w:tcPr>
            <w:tcW w:w="1189" w:type="dxa"/>
            <w:shd w:val="clear" w:color="auto" w:fill="auto"/>
            <w:vAlign w:val="center"/>
          </w:tcPr>
          <w:p w14:paraId="72625F5A"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3D92791" w14:textId="77777777" w:rsidTr="002A479B">
        <w:trPr>
          <w:trHeight w:val="431"/>
        </w:trPr>
        <w:tc>
          <w:tcPr>
            <w:tcW w:w="657" w:type="dxa"/>
            <w:shd w:val="clear" w:color="000000" w:fill="FFFFFF"/>
            <w:vAlign w:val="center"/>
            <w:hideMark/>
          </w:tcPr>
          <w:p w14:paraId="31E6944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75D2CADE" w14:textId="77777777" w:rsidR="00975F26" w:rsidRPr="00ED0D6D" w:rsidRDefault="00975F26" w:rsidP="002A479B">
            <w:pPr>
              <w:jc w:val="both"/>
              <w:rPr>
                <w:color w:val="000000"/>
                <w:sz w:val="20"/>
              </w:rPr>
            </w:pPr>
            <w:r w:rsidRPr="00ED0D6D">
              <w:rPr>
                <w:color w:val="000000"/>
                <w:sz w:val="20"/>
              </w:rPr>
              <w:t xml:space="preserve">Pirkimų, kuriems taikytas kainos (sąnaudų) ir kokybės santykio ar sąnaudų kriterijus, vertės dalis nuo visų pirkimų vertės (proc.)   </w:t>
            </w:r>
          </w:p>
        </w:tc>
        <w:tc>
          <w:tcPr>
            <w:tcW w:w="1080" w:type="dxa"/>
            <w:shd w:val="clear" w:color="000000" w:fill="FFFFFF"/>
            <w:vAlign w:val="center"/>
          </w:tcPr>
          <w:p w14:paraId="32BDA282" w14:textId="77777777" w:rsidR="00975F26" w:rsidRPr="00ED0D6D" w:rsidRDefault="00975F26" w:rsidP="002A479B">
            <w:pPr>
              <w:jc w:val="center"/>
              <w:rPr>
                <w:color w:val="000000"/>
                <w:sz w:val="20"/>
              </w:rPr>
            </w:pPr>
            <w:r w:rsidRPr="00ED0D6D">
              <w:rPr>
                <w:color w:val="000000"/>
                <w:sz w:val="20"/>
              </w:rPr>
              <w:t>38</w:t>
            </w:r>
          </w:p>
        </w:tc>
        <w:tc>
          <w:tcPr>
            <w:tcW w:w="1080" w:type="dxa"/>
            <w:shd w:val="clear" w:color="000000" w:fill="FFFFFF"/>
            <w:vAlign w:val="center"/>
          </w:tcPr>
          <w:p w14:paraId="30101272" w14:textId="77777777" w:rsidR="00975F26" w:rsidRPr="00ED0D6D" w:rsidRDefault="00975F26" w:rsidP="002A479B">
            <w:pPr>
              <w:jc w:val="center"/>
              <w:rPr>
                <w:color w:val="000000"/>
                <w:sz w:val="20"/>
              </w:rPr>
            </w:pPr>
            <w:r w:rsidRPr="00ED0D6D">
              <w:rPr>
                <w:color w:val="000000"/>
                <w:sz w:val="20"/>
              </w:rPr>
              <w:t>30,6</w:t>
            </w:r>
          </w:p>
        </w:tc>
        <w:tc>
          <w:tcPr>
            <w:tcW w:w="956" w:type="dxa"/>
            <w:shd w:val="clear" w:color="auto" w:fill="auto"/>
            <w:vAlign w:val="center"/>
          </w:tcPr>
          <w:p w14:paraId="73A0623F" w14:textId="77777777" w:rsidR="00975F26" w:rsidRPr="00ED0D6D" w:rsidRDefault="00975F26" w:rsidP="002A479B">
            <w:pPr>
              <w:jc w:val="center"/>
              <w:rPr>
                <w:color w:val="000000"/>
                <w:sz w:val="20"/>
              </w:rPr>
            </w:pPr>
            <w:r w:rsidRPr="00AD0984">
              <w:rPr>
                <w:color w:val="000000"/>
                <w:sz w:val="20"/>
              </w:rPr>
              <w:t>–</w:t>
            </w:r>
          </w:p>
        </w:tc>
        <w:tc>
          <w:tcPr>
            <w:tcW w:w="983" w:type="dxa"/>
            <w:shd w:val="clear" w:color="000000" w:fill="FFFFFF"/>
            <w:vAlign w:val="center"/>
          </w:tcPr>
          <w:p w14:paraId="6AE60BFC"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000000" w:fill="FFFFFF"/>
            <w:vAlign w:val="center"/>
          </w:tcPr>
          <w:p w14:paraId="1666C18E" w14:textId="77777777" w:rsidR="00975F26" w:rsidRPr="00ED0D6D" w:rsidRDefault="00975F26" w:rsidP="002A479B">
            <w:pPr>
              <w:jc w:val="center"/>
              <w:rPr>
                <w:color w:val="000000"/>
                <w:sz w:val="20"/>
              </w:rPr>
            </w:pPr>
            <w:r w:rsidRPr="003E16DC">
              <w:rPr>
                <w:color w:val="000000"/>
                <w:sz w:val="20"/>
              </w:rPr>
              <w:t>–</w:t>
            </w:r>
          </w:p>
        </w:tc>
        <w:tc>
          <w:tcPr>
            <w:tcW w:w="1250" w:type="dxa"/>
            <w:shd w:val="clear" w:color="000000" w:fill="FFFFFF"/>
            <w:vAlign w:val="center"/>
          </w:tcPr>
          <w:p w14:paraId="7F1C1390" w14:textId="77777777" w:rsidR="00975F26" w:rsidRPr="00ED0D6D" w:rsidRDefault="00975F26" w:rsidP="002A479B">
            <w:pPr>
              <w:jc w:val="center"/>
              <w:rPr>
                <w:color w:val="000000"/>
                <w:sz w:val="20"/>
              </w:rPr>
            </w:pPr>
            <w:r w:rsidRPr="00B52618">
              <w:rPr>
                <w:color w:val="000000"/>
                <w:sz w:val="20"/>
              </w:rPr>
              <w:t>–</w:t>
            </w:r>
          </w:p>
        </w:tc>
        <w:tc>
          <w:tcPr>
            <w:tcW w:w="2311" w:type="dxa"/>
            <w:shd w:val="clear" w:color="000000" w:fill="FFFFFF"/>
            <w:vAlign w:val="center"/>
          </w:tcPr>
          <w:p w14:paraId="7327773E" w14:textId="77777777" w:rsidR="00975F26" w:rsidRPr="00ED0D6D" w:rsidRDefault="00975F26" w:rsidP="002A479B">
            <w:pPr>
              <w:jc w:val="center"/>
              <w:rPr>
                <w:color w:val="000000"/>
                <w:sz w:val="20"/>
              </w:rPr>
            </w:pPr>
            <w:r w:rsidRPr="00ED0D6D">
              <w:rPr>
                <w:color w:val="000000"/>
                <w:sz w:val="20"/>
              </w:rPr>
              <w:t>Viešųjų pirkimų tarnyba</w:t>
            </w:r>
          </w:p>
        </w:tc>
        <w:tc>
          <w:tcPr>
            <w:tcW w:w="1189" w:type="dxa"/>
            <w:shd w:val="clear" w:color="auto" w:fill="auto"/>
            <w:vAlign w:val="center"/>
          </w:tcPr>
          <w:p w14:paraId="4C167025"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859402B" w14:textId="77777777" w:rsidTr="002A479B">
        <w:trPr>
          <w:trHeight w:val="408"/>
        </w:trPr>
        <w:tc>
          <w:tcPr>
            <w:tcW w:w="657" w:type="dxa"/>
            <w:shd w:val="clear" w:color="000000" w:fill="FFFFFF"/>
            <w:vAlign w:val="center"/>
            <w:hideMark/>
          </w:tcPr>
          <w:p w14:paraId="0CCF9D47"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13D157BB" w14:textId="77777777" w:rsidR="00975F26" w:rsidRPr="00ED0D6D" w:rsidRDefault="00975F26" w:rsidP="002A479B">
            <w:pPr>
              <w:jc w:val="both"/>
              <w:rPr>
                <w:color w:val="000000"/>
                <w:sz w:val="20"/>
              </w:rPr>
            </w:pPr>
            <w:r w:rsidRPr="00ED0D6D">
              <w:rPr>
                <w:color w:val="000000"/>
                <w:sz w:val="20"/>
              </w:rPr>
              <w:t xml:space="preserve">Pirkimų, kuriems taikytas elektroninis aukcionas, vertės dalis nuo visų pirkimų vertės (proc.)   </w:t>
            </w:r>
          </w:p>
        </w:tc>
        <w:tc>
          <w:tcPr>
            <w:tcW w:w="1080" w:type="dxa"/>
            <w:shd w:val="clear" w:color="000000" w:fill="FFFFFF"/>
            <w:vAlign w:val="center"/>
          </w:tcPr>
          <w:p w14:paraId="611F577B" w14:textId="77777777" w:rsidR="00975F26" w:rsidRPr="00ED0D6D" w:rsidRDefault="00975F26" w:rsidP="002A479B">
            <w:pPr>
              <w:jc w:val="center"/>
              <w:rPr>
                <w:color w:val="000000"/>
                <w:sz w:val="20"/>
              </w:rPr>
            </w:pPr>
            <w:r w:rsidRPr="00ED0D6D">
              <w:rPr>
                <w:color w:val="000000"/>
                <w:sz w:val="20"/>
              </w:rPr>
              <w:t>0,6</w:t>
            </w:r>
          </w:p>
        </w:tc>
        <w:tc>
          <w:tcPr>
            <w:tcW w:w="1080" w:type="dxa"/>
            <w:shd w:val="clear" w:color="000000" w:fill="FFFFFF"/>
            <w:vAlign w:val="center"/>
          </w:tcPr>
          <w:p w14:paraId="0A6BEC85" w14:textId="77777777" w:rsidR="00975F26" w:rsidRPr="00ED0D6D" w:rsidRDefault="00975F26" w:rsidP="002A479B">
            <w:pPr>
              <w:jc w:val="center"/>
              <w:rPr>
                <w:color w:val="000000"/>
                <w:sz w:val="20"/>
              </w:rPr>
            </w:pPr>
            <w:r w:rsidRPr="00ED0D6D">
              <w:rPr>
                <w:color w:val="000000"/>
                <w:sz w:val="20"/>
              </w:rPr>
              <w:t>0,31</w:t>
            </w:r>
          </w:p>
        </w:tc>
        <w:tc>
          <w:tcPr>
            <w:tcW w:w="956" w:type="dxa"/>
            <w:shd w:val="clear" w:color="auto" w:fill="auto"/>
            <w:vAlign w:val="center"/>
          </w:tcPr>
          <w:p w14:paraId="695D4DD5" w14:textId="77777777" w:rsidR="00975F26" w:rsidRPr="00ED0D6D" w:rsidRDefault="00975F26" w:rsidP="002A479B">
            <w:pPr>
              <w:jc w:val="center"/>
              <w:rPr>
                <w:color w:val="000000"/>
                <w:sz w:val="20"/>
              </w:rPr>
            </w:pPr>
            <w:r w:rsidRPr="00AD0984">
              <w:rPr>
                <w:color w:val="000000"/>
                <w:sz w:val="20"/>
              </w:rPr>
              <w:t>–</w:t>
            </w:r>
          </w:p>
        </w:tc>
        <w:tc>
          <w:tcPr>
            <w:tcW w:w="983" w:type="dxa"/>
            <w:shd w:val="clear" w:color="000000" w:fill="FFFFFF"/>
            <w:vAlign w:val="center"/>
          </w:tcPr>
          <w:p w14:paraId="3B7FC1F7" w14:textId="77777777" w:rsidR="00975F26" w:rsidRPr="00ED0D6D" w:rsidRDefault="00975F26" w:rsidP="002A479B">
            <w:pPr>
              <w:jc w:val="center"/>
              <w:rPr>
                <w:color w:val="000000"/>
                <w:sz w:val="20"/>
              </w:rPr>
            </w:pPr>
            <w:r w:rsidRPr="00ED0D6D">
              <w:rPr>
                <w:color w:val="000000"/>
                <w:sz w:val="20"/>
              </w:rPr>
              <w:t>2</w:t>
            </w:r>
          </w:p>
        </w:tc>
        <w:tc>
          <w:tcPr>
            <w:tcW w:w="1250" w:type="dxa"/>
            <w:shd w:val="clear" w:color="000000" w:fill="FFFFFF"/>
            <w:vAlign w:val="center"/>
          </w:tcPr>
          <w:p w14:paraId="2F40F58D" w14:textId="77777777" w:rsidR="00975F26" w:rsidRPr="00ED0D6D" w:rsidRDefault="00975F26" w:rsidP="002A479B">
            <w:pPr>
              <w:jc w:val="center"/>
              <w:rPr>
                <w:color w:val="000000"/>
                <w:sz w:val="20"/>
              </w:rPr>
            </w:pPr>
            <w:r w:rsidRPr="003E16DC">
              <w:rPr>
                <w:color w:val="000000"/>
                <w:sz w:val="20"/>
              </w:rPr>
              <w:t>–</w:t>
            </w:r>
          </w:p>
        </w:tc>
        <w:tc>
          <w:tcPr>
            <w:tcW w:w="1250" w:type="dxa"/>
            <w:shd w:val="clear" w:color="000000" w:fill="FFFFFF"/>
            <w:vAlign w:val="center"/>
          </w:tcPr>
          <w:p w14:paraId="6A18ED60" w14:textId="77777777" w:rsidR="00975F26" w:rsidRPr="00ED0D6D" w:rsidRDefault="00975F26" w:rsidP="002A479B">
            <w:pPr>
              <w:jc w:val="center"/>
              <w:rPr>
                <w:color w:val="000000"/>
                <w:sz w:val="20"/>
              </w:rPr>
            </w:pPr>
            <w:r w:rsidRPr="00B52618">
              <w:rPr>
                <w:color w:val="000000"/>
                <w:sz w:val="20"/>
              </w:rPr>
              <w:t>–</w:t>
            </w:r>
          </w:p>
        </w:tc>
        <w:tc>
          <w:tcPr>
            <w:tcW w:w="2311" w:type="dxa"/>
            <w:shd w:val="clear" w:color="000000" w:fill="FFFFFF"/>
            <w:vAlign w:val="center"/>
          </w:tcPr>
          <w:p w14:paraId="59575CD5" w14:textId="77777777" w:rsidR="00975F26" w:rsidRPr="00ED0D6D" w:rsidRDefault="00975F26" w:rsidP="002A479B">
            <w:pPr>
              <w:jc w:val="center"/>
              <w:rPr>
                <w:color w:val="000000"/>
                <w:sz w:val="20"/>
              </w:rPr>
            </w:pPr>
            <w:r w:rsidRPr="00ED0D6D">
              <w:rPr>
                <w:color w:val="000000"/>
                <w:sz w:val="20"/>
              </w:rPr>
              <w:t>Viešųjų pirkimų tarnyba</w:t>
            </w:r>
          </w:p>
        </w:tc>
        <w:tc>
          <w:tcPr>
            <w:tcW w:w="1189" w:type="dxa"/>
            <w:shd w:val="clear" w:color="auto" w:fill="auto"/>
            <w:vAlign w:val="center"/>
          </w:tcPr>
          <w:p w14:paraId="079132DF"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113C234" w14:textId="77777777" w:rsidTr="002A479B">
        <w:trPr>
          <w:trHeight w:val="372"/>
        </w:trPr>
        <w:tc>
          <w:tcPr>
            <w:tcW w:w="657" w:type="dxa"/>
            <w:shd w:val="clear" w:color="000000" w:fill="FFFFFF"/>
            <w:vAlign w:val="center"/>
            <w:hideMark/>
          </w:tcPr>
          <w:p w14:paraId="42FFA370"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642DD627" w14:textId="77777777" w:rsidR="00975F26" w:rsidRPr="00ED0D6D" w:rsidRDefault="00975F26" w:rsidP="002A479B">
            <w:pPr>
              <w:jc w:val="both"/>
              <w:rPr>
                <w:color w:val="000000"/>
                <w:sz w:val="20"/>
              </w:rPr>
            </w:pPr>
            <w:r w:rsidRPr="00ED0D6D">
              <w:rPr>
                <w:color w:val="000000"/>
                <w:sz w:val="20"/>
              </w:rPr>
              <w:t xml:space="preserve">Atvirų viešojo sektoriaus duomenų rinkinių padidėjimas nuo paskelbtųjų centralizuotame portale (proc.)   </w:t>
            </w:r>
          </w:p>
        </w:tc>
        <w:tc>
          <w:tcPr>
            <w:tcW w:w="1080" w:type="dxa"/>
            <w:shd w:val="clear" w:color="000000" w:fill="FFFFFF"/>
            <w:vAlign w:val="center"/>
          </w:tcPr>
          <w:p w14:paraId="4D7D8789" w14:textId="77777777" w:rsidR="00975F26" w:rsidRPr="00ED0D6D" w:rsidRDefault="00975F26" w:rsidP="002A479B">
            <w:pPr>
              <w:jc w:val="center"/>
              <w:rPr>
                <w:color w:val="000000"/>
                <w:sz w:val="20"/>
              </w:rPr>
            </w:pPr>
            <w:r w:rsidRPr="00ED0D6D">
              <w:rPr>
                <w:color w:val="000000"/>
                <w:sz w:val="20"/>
              </w:rPr>
              <w:t>1,9</w:t>
            </w:r>
          </w:p>
        </w:tc>
        <w:tc>
          <w:tcPr>
            <w:tcW w:w="1080" w:type="dxa"/>
            <w:shd w:val="clear" w:color="000000" w:fill="FFFFFF"/>
            <w:vAlign w:val="center"/>
          </w:tcPr>
          <w:p w14:paraId="63C565CA" w14:textId="77777777" w:rsidR="00975F26" w:rsidRPr="00ED0D6D" w:rsidRDefault="00975F26" w:rsidP="002A479B">
            <w:pPr>
              <w:jc w:val="center"/>
              <w:rPr>
                <w:color w:val="000000"/>
                <w:sz w:val="20"/>
              </w:rPr>
            </w:pPr>
            <w:r w:rsidRPr="00ED0D6D">
              <w:rPr>
                <w:color w:val="000000"/>
                <w:sz w:val="20"/>
              </w:rPr>
              <w:t>35,6</w:t>
            </w:r>
          </w:p>
        </w:tc>
        <w:tc>
          <w:tcPr>
            <w:tcW w:w="956" w:type="dxa"/>
            <w:shd w:val="clear" w:color="auto" w:fill="auto"/>
            <w:vAlign w:val="center"/>
          </w:tcPr>
          <w:p w14:paraId="26DEDA1D" w14:textId="77777777" w:rsidR="00975F26" w:rsidRPr="00ED0D6D" w:rsidRDefault="00975F26" w:rsidP="002A479B">
            <w:pPr>
              <w:jc w:val="center"/>
              <w:rPr>
                <w:color w:val="000000"/>
                <w:sz w:val="20"/>
              </w:rPr>
            </w:pPr>
            <w:r w:rsidRPr="00AD0984">
              <w:rPr>
                <w:color w:val="000000"/>
                <w:sz w:val="20"/>
              </w:rPr>
              <w:t>–</w:t>
            </w:r>
          </w:p>
        </w:tc>
        <w:tc>
          <w:tcPr>
            <w:tcW w:w="983" w:type="dxa"/>
            <w:shd w:val="clear" w:color="000000" w:fill="FFFFFF"/>
            <w:vAlign w:val="center"/>
          </w:tcPr>
          <w:p w14:paraId="4E625B4F" w14:textId="77777777" w:rsidR="00975F26" w:rsidRPr="00ED0D6D" w:rsidRDefault="00975F26" w:rsidP="002A479B">
            <w:pPr>
              <w:jc w:val="center"/>
              <w:rPr>
                <w:color w:val="000000"/>
                <w:sz w:val="20"/>
              </w:rPr>
            </w:pPr>
            <w:r w:rsidRPr="00ED0D6D">
              <w:rPr>
                <w:color w:val="000000"/>
                <w:sz w:val="20"/>
              </w:rPr>
              <w:t>20</w:t>
            </w:r>
          </w:p>
        </w:tc>
        <w:tc>
          <w:tcPr>
            <w:tcW w:w="1250" w:type="dxa"/>
            <w:shd w:val="clear" w:color="000000" w:fill="FFFFFF"/>
            <w:vAlign w:val="center"/>
          </w:tcPr>
          <w:p w14:paraId="2E55B832" w14:textId="77777777" w:rsidR="00975F26" w:rsidRPr="00ED0D6D" w:rsidRDefault="00975F26" w:rsidP="002A479B">
            <w:pPr>
              <w:jc w:val="center"/>
              <w:rPr>
                <w:color w:val="000000"/>
                <w:sz w:val="20"/>
              </w:rPr>
            </w:pPr>
            <w:r w:rsidRPr="003E16DC">
              <w:rPr>
                <w:color w:val="000000"/>
                <w:sz w:val="20"/>
              </w:rPr>
              <w:t>–</w:t>
            </w:r>
          </w:p>
        </w:tc>
        <w:tc>
          <w:tcPr>
            <w:tcW w:w="1250" w:type="dxa"/>
            <w:shd w:val="clear" w:color="000000" w:fill="FFFFFF"/>
            <w:vAlign w:val="center"/>
          </w:tcPr>
          <w:p w14:paraId="29882F7B" w14:textId="77777777" w:rsidR="00975F26" w:rsidRPr="00ED0D6D" w:rsidRDefault="00975F26" w:rsidP="002A479B">
            <w:pPr>
              <w:jc w:val="center"/>
              <w:rPr>
                <w:color w:val="000000"/>
                <w:sz w:val="20"/>
              </w:rPr>
            </w:pPr>
            <w:r w:rsidRPr="00B52618">
              <w:rPr>
                <w:color w:val="000000"/>
                <w:sz w:val="20"/>
              </w:rPr>
              <w:t>–</w:t>
            </w:r>
          </w:p>
        </w:tc>
        <w:tc>
          <w:tcPr>
            <w:tcW w:w="2311" w:type="dxa"/>
            <w:shd w:val="clear" w:color="000000" w:fill="FFFFFF"/>
            <w:vAlign w:val="center"/>
          </w:tcPr>
          <w:p w14:paraId="689248F0" w14:textId="77777777" w:rsidR="00975F26" w:rsidRPr="00ED0D6D" w:rsidRDefault="00975F26" w:rsidP="002A479B">
            <w:pPr>
              <w:jc w:val="center"/>
              <w:rPr>
                <w:color w:val="000000"/>
                <w:sz w:val="20"/>
              </w:rPr>
            </w:pPr>
            <w:r w:rsidRPr="00ED0D6D">
              <w:rPr>
                <w:color w:val="000000"/>
                <w:sz w:val="20"/>
              </w:rPr>
              <w:t>IVPK</w:t>
            </w:r>
          </w:p>
        </w:tc>
        <w:tc>
          <w:tcPr>
            <w:tcW w:w="1189" w:type="dxa"/>
            <w:shd w:val="clear" w:color="auto" w:fill="auto"/>
            <w:vAlign w:val="center"/>
          </w:tcPr>
          <w:p w14:paraId="4F05156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4376942" w14:textId="77777777" w:rsidTr="002A479B">
        <w:trPr>
          <w:trHeight w:val="372"/>
        </w:trPr>
        <w:tc>
          <w:tcPr>
            <w:tcW w:w="657" w:type="dxa"/>
            <w:shd w:val="clear" w:color="000000" w:fill="FFFFFF"/>
            <w:vAlign w:val="center"/>
            <w:hideMark/>
          </w:tcPr>
          <w:p w14:paraId="3E0E02EF" w14:textId="77777777" w:rsidR="00975F26" w:rsidRPr="00ED0D6D" w:rsidRDefault="00975F26" w:rsidP="002A479B">
            <w:pPr>
              <w:pStyle w:val="Sraopastraipa"/>
              <w:numPr>
                <w:ilvl w:val="0"/>
                <w:numId w:val="11"/>
              </w:numPr>
              <w:ind w:left="0" w:firstLine="0"/>
              <w:rPr>
                <w:rFonts w:ascii="Times New Roman" w:hAnsi="Times New Roman"/>
                <w:color w:val="000000"/>
                <w:sz w:val="20"/>
                <w:szCs w:val="20"/>
              </w:rPr>
            </w:pPr>
          </w:p>
        </w:tc>
        <w:tc>
          <w:tcPr>
            <w:tcW w:w="4648" w:type="dxa"/>
            <w:shd w:val="clear" w:color="000000" w:fill="FFFFFF"/>
          </w:tcPr>
          <w:p w14:paraId="3A934D96" w14:textId="77777777" w:rsidR="00975F26" w:rsidRPr="00ED0D6D" w:rsidRDefault="00975F26" w:rsidP="002A479B">
            <w:pPr>
              <w:jc w:val="both"/>
              <w:rPr>
                <w:color w:val="000000"/>
                <w:sz w:val="20"/>
              </w:rPr>
            </w:pPr>
            <w:r w:rsidRPr="00ED0D6D">
              <w:rPr>
                <w:color w:val="000000"/>
                <w:sz w:val="20"/>
              </w:rPr>
              <w:t xml:space="preserve">Vieta Pasaulio inovacijų indekse pagal žinių ir technologijų rezultatus    </w:t>
            </w:r>
          </w:p>
        </w:tc>
        <w:tc>
          <w:tcPr>
            <w:tcW w:w="1080" w:type="dxa"/>
            <w:shd w:val="clear" w:color="000000" w:fill="FFFFFF"/>
            <w:vAlign w:val="center"/>
          </w:tcPr>
          <w:p w14:paraId="40144743" w14:textId="77777777" w:rsidR="00975F26" w:rsidRPr="00ED0D6D" w:rsidRDefault="00975F26" w:rsidP="002A479B">
            <w:pPr>
              <w:jc w:val="center"/>
              <w:rPr>
                <w:color w:val="000000"/>
                <w:sz w:val="20"/>
              </w:rPr>
            </w:pPr>
            <w:r w:rsidRPr="00ED0D6D">
              <w:rPr>
                <w:color w:val="000000"/>
                <w:sz w:val="20"/>
              </w:rPr>
              <w:t>55</w:t>
            </w:r>
          </w:p>
        </w:tc>
        <w:tc>
          <w:tcPr>
            <w:tcW w:w="1080" w:type="dxa"/>
            <w:shd w:val="clear" w:color="000000" w:fill="FFFFFF"/>
            <w:vAlign w:val="center"/>
          </w:tcPr>
          <w:p w14:paraId="64FEB206" w14:textId="77777777" w:rsidR="00975F26" w:rsidRPr="00ED0D6D" w:rsidRDefault="00975F26" w:rsidP="002A479B">
            <w:pPr>
              <w:jc w:val="center"/>
              <w:rPr>
                <w:color w:val="000000"/>
                <w:sz w:val="20"/>
              </w:rPr>
            </w:pPr>
            <w:r w:rsidRPr="00ED0D6D">
              <w:rPr>
                <w:color w:val="000000"/>
                <w:sz w:val="20"/>
              </w:rPr>
              <w:t>48</w:t>
            </w:r>
          </w:p>
        </w:tc>
        <w:tc>
          <w:tcPr>
            <w:tcW w:w="956" w:type="dxa"/>
            <w:shd w:val="clear" w:color="auto" w:fill="auto"/>
            <w:vAlign w:val="center"/>
          </w:tcPr>
          <w:p w14:paraId="1A008479" w14:textId="77777777" w:rsidR="00975F26" w:rsidRPr="00ED0D6D" w:rsidRDefault="00975F26" w:rsidP="002A479B">
            <w:pPr>
              <w:jc w:val="center"/>
              <w:rPr>
                <w:color w:val="000000"/>
                <w:sz w:val="20"/>
              </w:rPr>
            </w:pPr>
            <w:r w:rsidRPr="00ED0D6D">
              <w:rPr>
                <w:color w:val="000000"/>
                <w:sz w:val="20"/>
              </w:rPr>
              <w:t>24,6</w:t>
            </w:r>
          </w:p>
        </w:tc>
        <w:tc>
          <w:tcPr>
            <w:tcW w:w="983" w:type="dxa"/>
            <w:shd w:val="clear" w:color="000000" w:fill="FFFFFF"/>
            <w:vAlign w:val="center"/>
          </w:tcPr>
          <w:p w14:paraId="20E6C5D7" w14:textId="77777777" w:rsidR="00975F26" w:rsidRPr="00ED0D6D" w:rsidRDefault="00975F26" w:rsidP="002A479B">
            <w:pPr>
              <w:jc w:val="center"/>
              <w:rPr>
                <w:color w:val="000000"/>
                <w:sz w:val="20"/>
              </w:rPr>
            </w:pPr>
            <w:r w:rsidRPr="00ED0D6D">
              <w:rPr>
                <w:color w:val="000000"/>
                <w:sz w:val="20"/>
              </w:rPr>
              <w:t>40</w:t>
            </w:r>
          </w:p>
        </w:tc>
        <w:tc>
          <w:tcPr>
            <w:tcW w:w="1250" w:type="dxa"/>
            <w:shd w:val="clear" w:color="000000" w:fill="FFFFFF"/>
            <w:vAlign w:val="center"/>
          </w:tcPr>
          <w:p w14:paraId="50407F34" w14:textId="77777777" w:rsidR="00975F26" w:rsidRPr="00ED0D6D" w:rsidRDefault="00975F26" w:rsidP="002A479B">
            <w:pPr>
              <w:jc w:val="center"/>
              <w:rPr>
                <w:color w:val="000000"/>
                <w:sz w:val="20"/>
              </w:rPr>
            </w:pPr>
            <w:r w:rsidRPr="003E16DC">
              <w:rPr>
                <w:color w:val="000000"/>
                <w:sz w:val="20"/>
              </w:rPr>
              <w:t>–</w:t>
            </w:r>
          </w:p>
        </w:tc>
        <w:tc>
          <w:tcPr>
            <w:tcW w:w="1250" w:type="dxa"/>
            <w:shd w:val="clear" w:color="000000" w:fill="FFFFFF"/>
            <w:vAlign w:val="center"/>
          </w:tcPr>
          <w:p w14:paraId="555CCD46" w14:textId="77777777" w:rsidR="00975F26" w:rsidRPr="00ED0D6D" w:rsidRDefault="00975F26" w:rsidP="002A479B">
            <w:pPr>
              <w:jc w:val="center"/>
              <w:rPr>
                <w:color w:val="000000"/>
                <w:sz w:val="20"/>
              </w:rPr>
            </w:pPr>
            <w:r w:rsidRPr="00B52618">
              <w:rPr>
                <w:color w:val="000000"/>
                <w:sz w:val="20"/>
              </w:rPr>
              <w:t>–</w:t>
            </w:r>
          </w:p>
        </w:tc>
        <w:tc>
          <w:tcPr>
            <w:tcW w:w="2311" w:type="dxa"/>
            <w:shd w:val="clear" w:color="000000" w:fill="FFFFFF"/>
            <w:vAlign w:val="center"/>
          </w:tcPr>
          <w:p w14:paraId="643BD909" w14:textId="77777777" w:rsidR="00975F26" w:rsidRPr="00ED0D6D" w:rsidRDefault="00975F26" w:rsidP="002A479B">
            <w:pPr>
              <w:jc w:val="center"/>
              <w:rPr>
                <w:color w:val="000000"/>
                <w:sz w:val="20"/>
              </w:rPr>
            </w:pPr>
            <w:r w:rsidRPr="00ED0D6D">
              <w:rPr>
                <w:color w:val="000000"/>
                <w:sz w:val="20"/>
              </w:rPr>
              <w:t>Pasaulinės intelektinės nuosavybės organizacijos leidinys „</w:t>
            </w:r>
            <w:proofErr w:type="spellStart"/>
            <w:r w:rsidRPr="00ED0D6D">
              <w:rPr>
                <w:color w:val="000000"/>
                <w:sz w:val="20"/>
              </w:rPr>
              <w:t>The</w:t>
            </w:r>
            <w:proofErr w:type="spellEnd"/>
            <w:r w:rsidRPr="00ED0D6D">
              <w:rPr>
                <w:color w:val="000000"/>
                <w:sz w:val="20"/>
              </w:rPr>
              <w:t xml:space="preserve"> Global </w:t>
            </w:r>
            <w:proofErr w:type="spellStart"/>
            <w:r w:rsidRPr="00ED0D6D">
              <w:rPr>
                <w:color w:val="000000"/>
                <w:sz w:val="20"/>
              </w:rPr>
              <w:t>Innovation</w:t>
            </w:r>
            <w:proofErr w:type="spellEnd"/>
            <w:r w:rsidRPr="00ED0D6D">
              <w:rPr>
                <w:color w:val="000000"/>
                <w:sz w:val="20"/>
              </w:rPr>
              <w:t xml:space="preserve"> </w:t>
            </w:r>
            <w:proofErr w:type="spellStart"/>
            <w:r w:rsidRPr="00ED0D6D">
              <w:rPr>
                <w:color w:val="000000"/>
                <w:sz w:val="20"/>
              </w:rPr>
              <w:t>Index</w:t>
            </w:r>
            <w:proofErr w:type="spellEnd"/>
            <w:r w:rsidRPr="00ED0D6D">
              <w:rPr>
                <w:color w:val="000000"/>
                <w:sz w:val="20"/>
              </w:rPr>
              <w:t>“</w:t>
            </w:r>
          </w:p>
        </w:tc>
        <w:tc>
          <w:tcPr>
            <w:tcW w:w="1189" w:type="dxa"/>
            <w:shd w:val="clear" w:color="000000" w:fill="FFFFFF"/>
            <w:vAlign w:val="center"/>
          </w:tcPr>
          <w:p w14:paraId="6702099B"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386D760A" w14:textId="77777777" w:rsidTr="002A479B">
        <w:trPr>
          <w:trHeight w:val="485"/>
        </w:trPr>
        <w:tc>
          <w:tcPr>
            <w:tcW w:w="657" w:type="dxa"/>
            <w:shd w:val="clear" w:color="auto" w:fill="auto"/>
            <w:vAlign w:val="center"/>
          </w:tcPr>
          <w:p w14:paraId="6CCDDCA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0978834" w14:textId="77777777" w:rsidR="00975F26" w:rsidRPr="00ED0D6D" w:rsidRDefault="00975F26" w:rsidP="002A479B">
            <w:pPr>
              <w:jc w:val="both"/>
              <w:rPr>
                <w:color w:val="000000"/>
                <w:sz w:val="20"/>
              </w:rPr>
            </w:pPr>
            <w:r w:rsidRPr="00ED0D6D">
              <w:rPr>
                <w:color w:val="000000"/>
                <w:sz w:val="20"/>
              </w:rPr>
              <w:t xml:space="preserve">Visos apdirbamosios pramonės produkcijos struktūros dalis, kurią sudaro pažangiųjų (aukštųjų) ir vidutiniškai pažangių technologijų produkcija (proc.) </w:t>
            </w:r>
          </w:p>
        </w:tc>
        <w:tc>
          <w:tcPr>
            <w:tcW w:w="1080" w:type="dxa"/>
            <w:shd w:val="clear" w:color="000000" w:fill="FFFFFF"/>
            <w:vAlign w:val="center"/>
          </w:tcPr>
          <w:p w14:paraId="405104F0" w14:textId="77777777" w:rsidR="00975F26" w:rsidRPr="00ED0D6D" w:rsidRDefault="00975F26" w:rsidP="002A479B">
            <w:pPr>
              <w:jc w:val="center"/>
              <w:rPr>
                <w:color w:val="000000"/>
                <w:sz w:val="20"/>
              </w:rPr>
            </w:pPr>
            <w:r w:rsidRPr="00ED0D6D">
              <w:rPr>
                <w:color w:val="000000"/>
                <w:sz w:val="20"/>
              </w:rPr>
              <w:t>23,9</w:t>
            </w:r>
          </w:p>
        </w:tc>
        <w:tc>
          <w:tcPr>
            <w:tcW w:w="1080" w:type="dxa"/>
            <w:shd w:val="clear" w:color="000000" w:fill="FFFFFF"/>
            <w:vAlign w:val="center"/>
          </w:tcPr>
          <w:p w14:paraId="7F37410D" w14:textId="77777777" w:rsidR="00975F26" w:rsidRPr="00F46DD0" w:rsidRDefault="00975F26" w:rsidP="002A479B">
            <w:pPr>
              <w:jc w:val="center"/>
              <w:rPr>
                <w:i/>
                <w:iCs/>
                <w:color w:val="000000"/>
                <w:sz w:val="20"/>
              </w:rPr>
            </w:pPr>
            <w:r w:rsidRPr="00F46DD0">
              <w:rPr>
                <w:i/>
                <w:iCs/>
                <w:color w:val="000000"/>
                <w:sz w:val="20"/>
              </w:rPr>
              <w:t>n. d.</w:t>
            </w:r>
          </w:p>
        </w:tc>
        <w:tc>
          <w:tcPr>
            <w:tcW w:w="956" w:type="dxa"/>
            <w:shd w:val="clear" w:color="auto" w:fill="auto"/>
            <w:vAlign w:val="center"/>
          </w:tcPr>
          <w:p w14:paraId="05C79613"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54D4FE3D" w14:textId="77777777" w:rsidR="00975F26" w:rsidRPr="00ED0D6D" w:rsidRDefault="00975F26" w:rsidP="002A479B">
            <w:pPr>
              <w:jc w:val="center"/>
              <w:rPr>
                <w:color w:val="000000"/>
                <w:sz w:val="20"/>
              </w:rPr>
            </w:pPr>
            <w:r w:rsidRPr="00ED0D6D">
              <w:rPr>
                <w:color w:val="000000"/>
                <w:sz w:val="20"/>
              </w:rPr>
              <w:t>22</w:t>
            </w:r>
          </w:p>
        </w:tc>
        <w:tc>
          <w:tcPr>
            <w:tcW w:w="1250" w:type="dxa"/>
            <w:shd w:val="clear" w:color="auto" w:fill="auto"/>
            <w:vAlign w:val="center"/>
          </w:tcPr>
          <w:p w14:paraId="0A2A51DD" w14:textId="77777777" w:rsidR="00975F26" w:rsidRPr="00ED0D6D" w:rsidRDefault="00975F26" w:rsidP="002A479B">
            <w:pPr>
              <w:jc w:val="center"/>
              <w:rPr>
                <w:color w:val="000000"/>
                <w:sz w:val="20"/>
              </w:rPr>
            </w:pPr>
            <w:r w:rsidRPr="00692A73">
              <w:rPr>
                <w:color w:val="000000"/>
                <w:sz w:val="20"/>
              </w:rPr>
              <w:t>–</w:t>
            </w:r>
          </w:p>
        </w:tc>
        <w:tc>
          <w:tcPr>
            <w:tcW w:w="1250" w:type="dxa"/>
            <w:shd w:val="clear" w:color="auto" w:fill="auto"/>
            <w:vAlign w:val="center"/>
          </w:tcPr>
          <w:p w14:paraId="14934DC0"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721A76A5" w14:textId="77777777" w:rsidR="00975F26" w:rsidRPr="00ED0D6D" w:rsidRDefault="00975F26" w:rsidP="002A479B">
            <w:pPr>
              <w:jc w:val="center"/>
              <w:rPr>
                <w:color w:val="000000"/>
                <w:sz w:val="20"/>
              </w:rPr>
            </w:pPr>
            <w:r w:rsidRPr="00ED0D6D">
              <w:rPr>
                <w:color w:val="000000"/>
                <w:sz w:val="20"/>
              </w:rPr>
              <w:t>Lietuvos statistikos departamentas</w:t>
            </w:r>
          </w:p>
        </w:tc>
        <w:tc>
          <w:tcPr>
            <w:tcW w:w="1189" w:type="dxa"/>
            <w:shd w:val="clear" w:color="auto" w:fill="auto"/>
            <w:vAlign w:val="center"/>
          </w:tcPr>
          <w:p w14:paraId="7C46851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DC01EB5" w14:textId="77777777" w:rsidTr="002A479B">
        <w:trPr>
          <w:trHeight w:val="408"/>
        </w:trPr>
        <w:tc>
          <w:tcPr>
            <w:tcW w:w="657" w:type="dxa"/>
            <w:shd w:val="clear" w:color="auto" w:fill="auto"/>
            <w:vAlign w:val="center"/>
            <w:hideMark/>
          </w:tcPr>
          <w:p w14:paraId="5A5622A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357BD295" w14:textId="77777777" w:rsidR="00975F26" w:rsidRPr="00ED0D6D" w:rsidRDefault="00975F26" w:rsidP="002A479B">
            <w:pPr>
              <w:jc w:val="both"/>
              <w:rPr>
                <w:color w:val="000000"/>
                <w:sz w:val="20"/>
              </w:rPr>
            </w:pPr>
            <w:r w:rsidRPr="00ED0D6D">
              <w:rPr>
                <w:color w:val="000000"/>
                <w:sz w:val="20"/>
              </w:rPr>
              <w:t xml:space="preserve">Prisitaikymo naštos ūkio subjektams sumažinimas (mln. </w:t>
            </w:r>
            <w:r>
              <w:rPr>
                <w:color w:val="000000"/>
                <w:sz w:val="20"/>
              </w:rPr>
              <w:t>eurų</w:t>
            </w:r>
            <w:r w:rsidRPr="00ED0D6D">
              <w:rPr>
                <w:color w:val="000000"/>
                <w:sz w:val="20"/>
              </w:rPr>
              <w:t xml:space="preserve">)   </w:t>
            </w:r>
          </w:p>
        </w:tc>
        <w:tc>
          <w:tcPr>
            <w:tcW w:w="1080" w:type="dxa"/>
            <w:shd w:val="clear" w:color="000000" w:fill="FFFFFF"/>
            <w:vAlign w:val="center"/>
          </w:tcPr>
          <w:p w14:paraId="6A4A7245" w14:textId="77777777" w:rsidR="00975F26" w:rsidRPr="00ED0D6D" w:rsidRDefault="00975F26" w:rsidP="002A479B">
            <w:pPr>
              <w:jc w:val="center"/>
              <w:rPr>
                <w:color w:val="000000"/>
                <w:sz w:val="20"/>
              </w:rPr>
            </w:pPr>
            <w:r w:rsidRPr="00ED0D6D">
              <w:rPr>
                <w:color w:val="000000"/>
                <w:sz w:val="20"/>
              </w:rPr>
              <w:t>1,465</w:t>
            </w:r>
          </w:p>
        </w:tc>
        <w:tc>
          <w:tcPr>
            <w:tcW w:w="1080" w:type="dxa"/>
            <w:shd w:val="clear" w:color="000000" w:fill="FFFFFF"/>
            <w:vAlign w:val="center"/>
          </w:tcPr>
          <w:p w14:paraId="450EC098" w14:textId="77777777" w:rsidR="00975F26" w:rsidRPr="00ED0D6D" w:rsidRDefault="00975F26" w:rsidP="002A479B">
            <w:pPr>
              <w:jc w:val="center"/>
              <w:rPr>
                <w:color w:val="000000"/>
                <w:sz w:val="20"/>
              </w:rPr>
            </w:pPr>
            <w:r w:rsidRPr="00ED0D6D">
              <w:rPr>
                <w:color w:val="000000"/>
                <w:sz w:val="20"/>
              </w:rPr>
              <w:t>1,48</w:t>
            </w:r>
          </w:p>
        </w:tc>
        <w:tc>
          <w:tcPr>
            <w:tcW w:w="956" w:type="dxa"/>
            <w:shd w:val="clear" w:color="auto" w:fill="auto"/>
            <w:vAlign w:val="center"/>
          </w:tcPr>
          <w:p w14:paraId="61FF66E7"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1E1B8409" w14:textId="77777777" w:rsidR="00975F26" w:rsidRPr="00ED0D6D" w:rsidRDefault="00975F26" w:rsidP="002A479B">
            <w:pPr>
              <w:jc w:val="center"/>
              <w:rPr>
                <w:color w:val="000000"/>
                <w:sz w:val="20"/>
              </w:rPr>
            </w:pPr>
            <w:r w:rsidRPr="00ED0D6D">
              <w:rPr>
                <w:color w:val="000000"/>
                <w:sz w:val="20"/>
              </w:rPr>
              <w:t>1</w:t>
            </w:r>
          </w:p>
        </w:tc>
        <w:tc>
          <w:tcPr>
            <w:tcW w:w="1250" w:type="dxa"/>
            <w:shd w:val="clear" w:color="auto" w:fill="auto"/>
            <w:vAlign w:val="center"/>
          </w:tcPr>
          <w:p w14:paraId="20A51820"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789B48B5"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784133B9" w14:textId="77777777" w:rsidR="00975F26" w:rsidRPr="00ED0D6D" w:rsidRDefault="00975F26" w:rsidP="002A479B">
            <w:pPr>
              <w:jc w:val="center"/>
              <w:rPr>
                <w:color w:val="000000"/>
                <w:sz w:val="20"/>
              </w:rPr>
            </w:pPr>
            <w:r w:rsidRPr="00ED0D6D">
              <w:rPr>
                <w:color w:val="000000"/>
                <w:sz w:val="20"/>
              </w:rPr>
              <w:t>Teisinio reguliavimo tinkamumo patikrų projekto administracinės ir (ar) kitos reguliavimo naštos pokyčio tyrimo ataskaita</w:t>
            </w:r>
          </w:p>
        </w:tc>
        <w:tc>
          <w:tcPr>
            <w:tcW w:w="1189" w:type="dxa"/>
            <w:shd w:val="clear" w:color="auto" w:fill="auto"/>
            <w:vAlign w:val="center"/>
          </w:tcPr>
          <w:p w14:paraId="786A36AA"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1BA4863" w14:textId="77777777" w:rsidTr="002A479B">
        <w:trPr>
          <w:trHeight w:val="384"/>
        </w:trPr>
        <w:tc>
          <w:tcPr>
            <w:tcW w:w="657" w:type="dxa"/>
            <w:shd w:val="clear" w:color="auto" w:fill="auto"/>
            <w:vAlign w:val="center"/>
            <w:hideMark/>
          </w:tcPr>
          <w:p w14:paraId="6E66BE79"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76A6150D" w14:textId="77777777" w:rsidR="00975F26" w:rsidRPr="00ED0D6D" w:rsidRDefault="00975F26" w:rsidP="002A479B">
            <w:pPr>
              <w:jc w:val="both"/>
              <w:rPr>
                <w:color w:val="000000"/>
                <w:sz w:val="20"/>
              </w:rPr>
            </w:pPr>
            <w:r w:rsidRPr="00ED0D6D">
              <w:rPr>
                <w:color w:val="000000"/>
                <w:sz w:val="20"/>
              </w:rPr>
              <w:t xml:space="preserve">Veikiančių </w:t>
            </w:r>
            <w:r>
              <w:rPr>
                <w:color w:val="000000"/>
                <w:sz w:val="20"/>
              </w:rPr>
              <w:t>MVĮ</w:t>
            </w:r>
            <w:r w:rsidRPr="00ED0D6D">
              <w:rPr>
                <w:color w:val="000000"/>
                <w:sz w:val="20"/>
              </w:rPr>
              <w:t xml:space="preserve"> skaičius, tenkantis 1 tūkst. gyventojų (vienetai)   </w:t>
            </w:r>
          </w:p>
        </w:tc>
        <w:tc>
          <w:tcPr>
            <w:tcW w:w="1080" w:type="dxa"/>
            <w:shd w:val="clear" w:color="000000" w:fill="FFFFFF"/>
            <w:vAlign w:val="center"/>
          </w:tcPr>
          <w:p w14:paraId="5C827F8B" w14:textId="77777777" w:rsidR="00975F26" w:rsidRPr="00ED0D6D" w:rsidRDefault="00975F26" w:rsidP="002A479B">
            <w:pPr>
              <w:jc w:val="center"/>
              <w:rPr>
                <w:color w:val="000000"/>
                <w:sz w:val="20"/>
              </w:rPr>
            </w:pPr>
            <w:r w:rsidRPr="00ED0D6D">
              <w:rPr>
                <w:color w:val="000000"/>
                <w:sz w:val="20"/>
              </w:rPr>
              <w:t>31</w:t>
            </w:r>
          </w:p>
        </w:tc>
        <w:tc>
          <w:tcPr>
            <w:tcW w:w="1080" w:type="dxa"/>
            <w:shd w:val="clear" w:color="000000" w:fill="FFFFFF"/>
            <w:vAlign w:val="center"/>
          </w:tcPr>
          <w:p w14:paraId="1563E006" w14:textId="77777777" w:rsidR="00975F26" w:rsidRPr="00ED0D6D" w:rsidRDefault="00975F26" w:rsidP="002A479B">
            <w:pPr>
              <w:jc w:val="center"/>
              <w:rPr>
                <w:color w:val="000000"/>
                <w:sz w:val="20"/>
              </w:rPr>
            </w:pPr>
            <w:r w:rsidRPr="00ED0D6D">
              <w:rPr>
                <w:color w:val="000000"/>
                <w:sz w:val="20"/>
              </w:rPr>
              <w:t>31,2</w:t>
            </w:r>
          </w:p>
        </w:tc>
        <w:tc>
          <w:tcPr>
            <w:tcW w:w="956" w:type="dxa"/>
            <w:shd w:val="clear" w:color="auto" w:fill="auto"/>
            <w:vAlign w:val="center"/>
          </w:tcPr>
          <w:p w14:paraId="33960891"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1DD379F8"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auto" w:fill="auto"/>
            <w:vAlign w:val="center"/>
          </w:tcPr>
          <w:p w14:paraId="54FAEA05"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38F0B43C"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053F234A" w14:textId="77777777" w:rsidR="00975F26" w:rsidRPr="00ED0D6D" w:rsidRDefault="00975F26" w:rsidP="002A479B">
            <w:pPr>
              <w:jc w:val="center"/>
              <w:rPr>
                <w:color w:val="000000"/>
                <w:sz w:val="20"/>
              </w:rPr>
            </w:pPr>
            <w:r w:rsidRPr="00ED0D6D">
              <w:rPr>
                <w:color w:val="000000"/>
                <w:sz w:val="20"/>
              </w:rPr>
              <w:t>Lietuvos statistikos departamentas</w:t>
            </w:r>
          </w:p>
        </w:tc>
        <w:tc>
          <w:tcPr>
            <w:tcW w:w="1189" w:type="dxa"/>
            <w:shd w:val="clear" w:color="auto" w:fill="auto"/>
            <w:vAlign w:val="center"/>
          </w:tcPr>
          <w:p w14:paraId="623977EA"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B7DFE7D" w14:textId="77777777" w:rsidTr="002A479B">
        <w:trPr>
          <w:trHeight w:val="384"/>
        </w:trPr>
        <w:tc>
          <w:tcPr>
            <w:tcW w:w="657" w:type="dxa"/>
            <w:shd w:val="clear" w:color="auto" w:fill="auto"/>
            <w:vAlign w:val="center"/>
          </w:tcPr>
          <w:p w14:paraId="7277EBE2"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7DA128D8" w14:textId="77777777" w:rsidR="00975F26" w:rsidRPr="00ED0D6D" w:rsidRDefault="00975F26" w:rsidP="002A479B">
            <w:pPr>
              <w:jc w:val="both"/>
              <w:rPr>
                <w:color w:val="000000"/>
                <w:sz w:val="20"/>
              </w:rPr>
            </w:pPr>
            <w:r w:rsidRPr="00ED0D6D">
              <w:rPr>
                <w:color w:val="000000"/>
                <w:sz w:val="20"/>
              </w:rPr>
              <w:t xml:space="preserve">Lietuviškos kilmės prekių (be energetinių produktų) eksporto į tikslines eksporto rinkas padidėjimas kasmet, skaičiuojant nuo prieš tai buvusių metų lygio (proc.)    </w:t>
            </w:r>
          </w:p>
        </w:tc>
        <w:tc>
          <w:tcPr>
            <w:tcW w:w="1080" w:type="dxa"/>
            <w:shd w:val="clear" w:color="000000" w:fill="FFFFFF"/>
            <w:vAlign w:val="center"/>
          </w:tcPr>
          <w:p w14:paraId="2AA8EE77" w14:textId="77777777" w:rsidR="00975F26" w:rsidRPr="00ED0D6D" w:rsidRDefault="00975F26" w:rsidP="002A479B">
            <w:pPr>
              <w:jc w:val="center"/>
              <w:rPr>
                <w:color w:val="000000"/>
                <w:sz w:val="20"/>
              </w:rPr>
            </w:pPr>
            <w:r w:rsidRPr="00ED0D6D">
              <w:rPr>
                <w:color w:val="000000"/>
                <w:sz w:val="20"/>
              </w:rPr>
              <w:t>6,8</w:t>
            </w:r>
          </w:p>
        </w:tc>
        <w:tc>
          <w:tcPr>
            <w:tcW w:w="1080" w:type="dxa"/>
            <w:shd w:val="clear" w:color="000000" w:fill="FFFFFF"/>
            <w:vAlign w:val="center"/>
          </w:tcPr>
          <w:p w14:paraId="2DD118C8" w14:textId="77777777" w:rsidR="00975F26" w:rsidRPr="00ED0D6D" w:rsidRDefault="00975F26" w:rsidP="002A479B">
            <w:pPr>
              <w:jc w:val="center"/>
              <w:rPr>
                <w:color w:val="000000"/>
                <w:sz w:val="20"/>
              </w:rPr>
            </w:pPr>
            <w:r w:rsidRPr="00ED0D6D">
              <w:rPr>
                <w:color w:val="000000"/>
                <w:sz w:val="20"/>
              </w:rPr>
              <w:t>11,2</w:t>
            </w:r>
          </w:p>
        </w:tc>
        <w:tc>
          <w:tcPr>
            <w:tcW w:w="956" w:type="dxa"/>
            <w:shd w:val="clear" w:color="auto" w:fill="auto"/>
            <w:vAlign w:val="center"/>
          </w:tcPr>
          <w:p w14:paraId="49B08A6C"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14BB1BF1" w14:textId="77777777" w:rsidR="00975F26" w:rsidRPr="00ED0D6D" w:rsidRDefault="00975F26" w:rsidP="002A479B">
            <w:pPr>
              <w:jc w:val="center"/>
              <w:rPr>
                <w:color w:val="000000"/>
                <w:sz w:val="20"/>
              </w:rPr>
            </w:pPr>
            <w:r w:rsidRPr="00ED0D6D">
              <w:rPr>
                <w:color w:val="000000"/>
                <w:sz w:val="20"/>
              </w:rPr>
              <w:t>4</w:t>
            </w:r>
          </w:p>
        </w:tc>
        <w:tc>
          <w:tcPr>
            <w:tcW w:w="1250" w:type="dxa"/>
            <w:shd w:val="clear" w:color="auto" w:fill="auto"/>
            <w:vAlign w:val="center"/>
          </w:tcPr>
          <w:p w14:paraId="692BA3B2"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4A33D7E1"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41EDA203" w14:textId="77777777" w:rsidR="00975F26" w:rsidRPr="00ED0D6D" w:rsidRDefault="00975F26" w:rsidP="002A479B">
            <w:pPr>
              <w:jc w:val="center"/>
              <w:rPr>
                <w:color w:val="000000"/>
                <w:sz w:val="20"/>
              </w:rPr>
            </w:pPr>
            <w:r w:rsidRPr="00ED0D6D">
              <w:rPr>
                <w:color w:val="000000"/>
                <w:sz w:val="20"/>
              </w:rPr>
              <w:t>Lietuvos statistikos departamentas</w:t>
            </w:r>
          </w:p>
        </w:tc>
        <w:tc>
          <w:tcPr>
            <w:tcW w:w="1189" w:type="dxa"/>
            <w:shd w:val="clear" w:color="auto" w:fill="auto"/>
            <w:vAlign w:val="center"/>
          </w:tcPr>
          <w:p w14:paraId="546D2DA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F60CFDA" w14:textId="77777777" w:rsidTr="002A479B">
        <w:trPr>
          <w:trHeight w:val="384"/>
        </w:trPr>
        <w:tc>
          <w:tcPr>
            <w:tcW w:w="657" w:type="dxa"/>
            <w:shd w:val="clear" w:color="auto" w:fill="auto"/>
            <w:vAlign w:val="center"/>
          </w:tcPr>
          <w:p w14:paraId="2B990DE7"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29B72093" w14:textId="77777777" w:rsidR="00975F26" w:rsidRPr="00ED0D6D" w:rsidRDefault="00975F26" w:rsidP="002A479B">
            <w:pPr>
              <w:jc w:val="both"/>
              <w:rPr>
                <w:color w:val="000000"/>
                <w:sz w:val="20"/>
              </w:rPr>
            </w:pPr>
            <w:r w:rsidRPr="00ED0D6D">
              <w:rPr>
                <w:color w:val="000000"/>
                <w:sz w:val="20"/>
              </w:rPr>
              <w:t xml:space="preserve">Lietuviškos kilmės paslaugų eksporto į tikslines eksporto rinkas padidėjimas kasmet, skaičiuojant nuo prieš tai buvusių metų lygio (proc.)    </w:t>
            </w:r>
          </w:p>
        </w:tc>
        <w:tc>
          <w:tcPr>
            <w:tcW w:w="1080" w:type="dxa"/>
            <w:shd w:val="clear" w:color="000000" w:fill="FFFFFF"/>
            <w:vAlign w:val="center"/>
          </w:tcPr>
          <w:p w14:paraId="71697015" w14:textId="77777777" w:rsidR="00975F26" w:rsidRPr="00ED0D6D" w:rsidRDefault="00975F26" w:rsidP="002A479B">
            <w:pPr>
              <w:jc w:val="center"/>
              <w:rPr>
                <w:color w:val="000000"/>
                <w:sz w:val="20"/>
              </w:rPr>
            </w:pPr>
            <w:r w:rsidRPr="00ED0D6D">
              <w:rPr>
                <w:color w:val="000000"/>
                <w:sz w:val="20"/>
              </w:rPr>
              <w:t>15,8</w:t>
            </w:r>
          </w:p>
        </w:tc>
        <w:tc>
          <w:tcPr>
            <w:tcW w:w="1080" w:type="dxa"/>
            <w:shd w:val="clear" w:color="000000" w:fill="FFFFFF"/>
            <w:vAlign w:val="center"/>
          </w:tcPr>
          <w:p w14:paraId="74FDB6CF" w14:textId="77777777" w:rsidR="00975F26" w:rsidRPr="00F46DD0" w:rsidRDefault="00975F26" w:rsidP="002A479B">
            <w:pPr>
              <w:jc w:val="center"/>
              <w:rPr>
                <w:i/>
                <w:iCs/>
                <w:color w:val="000000"/>
                <w:sz w:val="20"/>
              </w:rPr>
            </w:pPr>
            <w:r w:rsidRPr="00F46DD0">
              <w:rPr>
                <w:i/>
                <w:iCs/>
                <w:color w:val="000000"/>
                <w:sz w:val="20"/>
              </w:rPr>
              <w:t xml:space="preserve">n. d. </w:t>
            </w:r>
          </w:p>
        </w:tc>
        <w:tc>
          <w:tcPr>
            <w:tcW w:w="956" w:type="dxa"/>
            <w:shd w:val="clear" w:color="auto" w:fill="auto"/>
            <w:vAlign w:val="center"/>
          </w:tcPr>
          <w:p w14:paraId="445B13AB"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750E5352" w14:textId="77777777" w:rsidR="00975F26" w:rsidRPr="00ED0D6D" w:rsidRDefault="00975F26" w:rsidP="002A479B">
            <w:pPr>
              <w:jc w:val="center"/>
              <w:rPr>
                <w:color w:val="000000"/>
                <w:sz w:val="20"/>
              </w:rPr>
            </w:pPr>
            <w:r w:rsidRPr="00ED0D6D">
              <w:rPr>
                <w:color w:val="000000"/>
                <w:sz w:val="20"/>
              </w:rPr>
              <w:t>6</w:t>
            </w:r>
          </w:p>
        </w:tc>
        <w:tc>
          <w:tcPr>
            <w:tcW w:w="1250" w:type="dxa"/>
            <w:shd w:val="clear" w:color="auto" w:fill="auto"/>
            <w:vAlign w:val="center"/>
          </w:tcPr>
          <w:p w14:paraId="419F6694"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1B2F03ED"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75B64B80" w14:textId="77777777" w:rsidR="00975F26" w:rsidRPr="00ED0D6D" w:rsidRDefault="00975F26" w:rsidP="002A479B">
            <w:pPr>
              <w:jc w:val="center"/>
              <w:rPr>
                <w:color w:val="000000"/>
                <w:sz w:val="20"/>
              </w:rPr>
            </w:pPr>
            <w:r w:rsidRPr="00ED0D6D">
              <w:rPr>
                <w:color w:val="000000"/>
                <w:sz w:val="20"/>
              </w:rPr>
              <w:t>Lietuvos bankas</w:t>
            </w:r>
          </w:p>
        </w:tc>
        <w:tc>
          <w:tcPr>
            <w:tcW w:w="1189" w:type="dxa"/>
            <w:shd w:val="clear" w:color="auto" w:fill="auto"/>
            <w:vAlign w:val="center"/>
          </w:tcPr>
          <w:p w14:paraId="6D7B5460"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E8BA9AD" w14:textId="77777777" w:rsidTr="002A479B">
        <w:trPr>
          <w:trHeight w:val="384"/>
        </w:trPr>
        <w:tc>
          <w:tcPr>
            <w:tcW w:w="657" w:type="dxa"/>
            <w:shd w:val="clear" w:color="auto" w:fill="auto"/>
            <w:vAlign w:val="center"/>
          </w:tcPr>
          <w:p w14:paraId="3012A41B"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562E6557" w14:textId="77777777" w:rsidR="00975F26" w:rsidRPr="00ED0D6D" w:rsidRDefault="00975F26" w:rsidP="002A479B">
            <w:pPr>
              <w:jc w:val="both"/>
              <w:rPr>
                <w:color w:val="000000"/>
                <w:sz w:val="20"/>
              </w:rPr>
            </w:pPr>
            <w:r w:rsidRPr="00ED0D6D">
              <w:rPr>
                <w:color w:val="000000"/>
                <w:sz w:val="20"/>
              </w:rPr>
              <w:t xml:space="preserve">Įmonių skaičius eksportuotojų duomenų bazėje (kaupiamieji vienetai)   </w:t>
            </w:r>
          </w:p>
        </w:tc>
        <w:tc>
          <w:tcPr>
            <w:tcW w:w="1080" w:type="dxa"/>
            <w:shd w:val="clear" w:color="000000" w:fill="FFFFFF"/>
            <w:vAlign w:val="center"/>
          </w:tcPr>
          <w:p w14:paraId="4CF2AA06" w14:textId="77777777" w:rsidR="00975F26" w:rsidRPr="00ED0D6D" w:rsidRDefault="00975F26" w:rsidP="002A479B">
            <w:pPr>
              <w:jc w:val="center"/>
              <w:rPr>
                <w:color w:val="000000"/>
                <w:sz w:val="20"/>
              </w:rPr>
            </w:pPr>
            <w:r w:rsidRPr="00ED0D6D">
              <w:rPr>
                <w:color w:val="000000"/>
                <w:sz w:val="20"/>
              </w:rPr>
              <w:t>2</w:t>
            </w:r>
            <w:r>
              <w:rPr>
                <w:color w:val="000000"/>
                <w:sz w:val="20"/>
              </w:rPr>
              <w:t xml:space="preserve"> </w:t>
            </w:r>
            <w:r w:rsidRPr="00ED0D6D">
              <w:rPr>
                <w:color w:val="000000"/>
                <w:sz w:val="20"/>
              </w:rPr>
              <w:t>401</w:t>
            </w:r>
          </w:p>
        </w:tc>
        <w:tc>
          <w:tcPr>
            <w:tcW w:w="1080" w:type="dxa"/>
            <w:shd w:val="clear" w:color="000000" w:fill="FFFFFF"/>
            <w:vAlign w:val="center"/>
          </w:tcPr>
          <w:p w14:paraId="147185D8" w14:textId="77777777" w:rsidR="00975F26" w:rsidRPr="00ED0D6D" w:rsidRDefault="00975F26" w:rsidP="002A479B">
            <w:pPr>
              <w:jc w:val="center"/>
              <w:rPr>
                <w:color w:val="000000"/>
                <w:sz w:val="20"/>
              </w:rPr>
            </w:pPr>
            <w:r w:rsidRPr="00ED0D6D">
              <w:rPr>
                <w:color w:val="000000"/>
                <w:sz w:val="20"/>
              </w:rPr>
              <w:t>2</w:t>
            </w:r>
            <w:r>
              <w:rPr>
                <w:color w:val="000000"/>
                <w:sz w:val="20"/>
              </w:rPr>
              <w:t xml:space="preserve"> </w:t>
            </w:r>
            <w:r w:rsidRPr="00ED0D6D">
              <w:rPr>
                <w:color w:val="000000"/>
                <w:sz w:val="20"/>
              </w:rPr>
              <w:t>501</w:t>
            </w:r>
          </w:p>
        </w:tc>
        <w:tc>
          <w:tcPr>
            <w:tcW w:w="956" w:type="dxa"/>
            <w:shd w:val="clear" w:color="auto" w:fill="auto"/>
            <w:vAlign w:val="center"/>
          </w:tcPr>
          <w:p w14:paraId="622864E4"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42B36C39" w14:textId="77777777" w:rsidR="00975F26" w:rsidRPr="00ED0D6D" w:rsidRDefault="00975F26" w:rsidP="002A479B">
            <w:pPr>
              <w:jc w:val="center"/>
              <w:rPr>
                <w:color w:val="000000"/>
                <w:sz w:val="20"/>
              </w:rPr>
            </w:pPr>
            <w:r w:rsidRPr="00ED0D6D">
              <w:rPr>
                <w:color w:val="000000"/>
                <w:sz w:val="20"/>
              </w:rPr>
              <w:t>2</w:t>
            </w:r>
            <w:r>
              <w:rPr>
                <w:color w:val="000000"/>
                <w:sz w:val="20"/>
              </w:rPr>
              <w:t xml:space="preserve"> </w:t>
            </w:r>
            <w:r w:rsidRPr="00ED0D6D">
              <w:rPr>
                <w:color w:val="000000"/>
                <w:sz w:val="20"/>
              </w:rPr>
              <w:t>500</w:t>
            </w:r>
          </w:p>
        </w:tc>
        <w:tc>
          <w:tcPr>
            <w:tcW w:w="1250" w:type="dxa"/>
            <w:shd w:val="clear" w:color="auto" w:fill="auto"/>
            <w:vAlign w:val="center"/>
          </w:tcPr>
          <w:p w14:paraId="784BA809"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097A5F9A"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36B25403" w14:textId="77777777" w:rsidR="00975F26" w:rsidRPr="00ED0D6D" w:rsidRDefault="00975F26" w:rsidP="002A479B">
            <w:pPr>
              <w:jc w:val="center"/>
              <w:rPr>
                <w:color w:val="000000"/>
                <w:sz w:val="20"/>
              </w:rPr>
            </w:pPr>
            <w:r w:rsidRPr="00ED0D6D">
              <w:rPr>
                <w:color w:val="000000"/>
                <w:sz w:val="20"/>
              </w:rPr>
              <w:t xml:space="preserve">VšĮ „Versli Lietuva“ Eksportuotojų duomenų bazė </w:t>
            </w:r>
          </w:p>
        </w:tc>
        <w:tc>
          <w:tcPr>
            <w:tcW w:w="1189" w:type="dxa"/>
            <w:shd w:val="clear" w:color="auto" w:fill="auto"/>
            <w:vAlign w:val="center"/>
          </w:tcPr>
          <w:p w14:paraId="724DD25A"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C47C029" w14:textId="77777777" w:rsidTr="002A479B">
        <w:trPr>
          <w:trHeight w:val="384"/>
        </w:trPr>
        <w:tc>
          <w:tcPr>
            <w:tcW w:w="657" w:type="dxa"/>
            <w:shd w:val="clear" w:color="auto" w:fill="auto"/>
            <w:vAlign w:val="center"/>
          </w:tcPr>
          <w:p w14:paraId="3EF929BD"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77C313F8" w14:textId="77777777" w:rsidR="00975F26" w:rsidRPr="00ED0D6D" w:rsidRDefault="00975F26" w:rsidP="002A479B">
            <w:pPr>
              <w:jc w:val="both"/>
              <w:rPr>
                <w:color w:val="000000"/>
                <w:sz w:val="20"/>
              </w:rPr>
            </w:pPr>
            <w:r w:rsidRPr="00ED0D6D">
              <w:rPr>
                <w:color w:val="000000"/>
                <w:sz w:val="20"/>
              </w:rPr>
              <w:t xml:space="preserve">Naujų </w:t>
            </w:r>
            <w:r>
              <w:rPr>
                <w:color w:val="000000"/>
                <w:sz w:val="20"/>
              </w:rPr>
              <w:t xml:space="preserve">tiesioginių užsienio investicijų (toliau – </w:t>
            </w:r>
            <w:r w:rsidRPr="00ED0D6D">
              <w:rPr>
                <w:color w:val="000000"/>
                <w:sz w:val="20"/>
              </w:rPr>
              <w:t>TUI</w:t>
            </w:r>
            <w:r>
              <w:rPr>
                <w:color w:val="000000"/>
                <w:sz w:val="20"/>
              </w:rPr>
              <w:t>)</w:t>
            </w:r>
            <w:r w:rsidRPr="00ED0D6D">
              <w:rPr>
                <w:color w:val="000000"/>
                <w:sz w:val="20"/>
              </w:rPr>
              <w:t xml:space="preserve"> aukštos pridėtinės vertės projektų skaičius (vienetai)   </w:t>
            </w:r>
          </w:p>
        </w:tc>
        <w:tc>
          <w:tcPr>
            <w:tcW w:w="1080" w:type="dxa"/>
            <w:shd w:val="clear" w:color="000000" w:fill="FFFFFF"/>
            <w:vAlign w:val="center"/>
          </w:tcPr>
          <w:p w14:paraId="11E208E8" w14:textId="77777777" w:rsidR="00975F26" w:rsidRPr="00ED0D6D" w:rsidRDefault="00975F26" w:rsidP="002A479B">
            <w:pPr>
              <w:jc w:val="center"/>
              <w:rPr>
                <w:color w:val="000000"/>
                <w:sz w:val="20"/>
              </w:rPr>
            </w:pPr>
            <w:r w:rsidRPr="00ED0D6D">
              <w:rPr>
                <w:color w:val="000000"/>
                <w:sz w:val="20"/>
              </w:rPr>
              <w:t>54</w:t>
            </w:r>
          </w:p>
        </w:tc>
        <w:tc>
          <w:tcPr>
            <w:tcW w:w="1080" w:type="dxa"/>
            <w:shd w:val="clear" w:color="000000" w:fill="FFFFFF"/>
            <w:vAlign w:val="center"/>
          </w:tcPr>
          <w:p w14:paraId="277C70D8" w14:textId="77777777" w:rsidR="00975F26" w:rsidRPr="00ED0D6D" w:rsidRDefault="00975F26" w:rsidP="002A479B">
            <w:pPr>
              <w:jc w:val="center"/>
              <w:rPr>
                <w:color w:val="000000"/>
                <w:sz w:val="20"/>
              </w:rPr>
            </w:pPr>
            <w:r w:rsidRPr="007722E2">
              <w:rPr>
                <w:i/>
                <w:iCs/>
                <w:color w:val="000000"/>
                <w:sz w:val="20"/>
              </w:rPr>
              <w:t xml:space="preserve">n. d. </w:t>
            </w:r>
          </w:p>
        </w:tc>
        <w:tc>
          <w:tcPr>
            <w:tcW w:w="956" w:type="dxa"/>
            <w:shd w:val="clear" w:color="auto" w:fill="auto"/>
            <w:vAlign w:val="center"/>
          </w:tcPr>
          <w:p w14:paraId="6C01C9A9"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1BA24545" w14:textId="77777777" w:rsidR="00975F26" w:rsidRPr="00ED0D6D" w:rsidRDefault="00975F26" w:rsidP="002A479B">
            <w:pPr>
              <w:jc w:val="center"/>
              <w:rPr>
                <w:color w:val="000000"/>
                <w:sz w:val="20"/>
              </w:rPr>
            </w:pPr>
            <w:r w:rsidRPr="00ED0D6D">
              <w:rPr>
                <w:color w:val="000000"/>
                <w:sz w:val="20"/>
              </w:rPr>
              <w:t>60</w:t>
            </w:r>
          </w:p>
        </w:tc>
        <w:tc>
          <w:tcPr>
            <w:tcW w:w="1250" w:type="dxa"/>
            <w:shd w:val="clear" w:color="auto" w:fill="auto"/>
            <w:vAlign w:val="center"/>
          </w:tcPr>
          <w:p w14:paraId="3B4818B2"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57E83A15"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0309142B" w14:textId="77777777" w:rsidR="00975F26" w:rsidRPr="00ED0D6D" w:rsidRDefault="00975F26" w:rsidP="002A479B">
            <w:pPr>
              <w:jc w:val="center"/>
              <w:rPr>
                <w:color w:val="000000"/>
                <w:sz w:val="20"/>
              </w:rPr>
            </w:pPr>
            <w:r>
              <w:rPr>
                <w:color w:val="000000"/>
                <w:sz w:val="20"/>
              </w:rPr>
              <w:t>u</w:t>
            </w:r>
            <w:r w:rsidRPr="00ED0D6D">
              <w:rPr>
                <w:color w:val="000000"/>
                <w:sz w:val="20"/>
              </w:rPr>
              <w:t>žsienio investicijų stebėsenos duomenų bazė „</w:t>
            </w:r>
            <w:proofErr w:type="spellStart"/>
            <w:r w:rsidRPr="00ED0D6D">
              <w:rPr>
                <w:color w:val="000000"/>
                <w:sz w:val="20"/>
              </w:rPr>
              <w:t>fDi</w:t>
            </w:r>
            <w:proofErr w:type="spellEnd"/>
            <w:r w:rsidRPr="00ED0D6D">
              <w:rPr>
                <w:color w:val="000000"/>
                <w:sz w:val="20"/>
              </w:rPr>
              <w:t xml:space="preserve"> </w:t>
            </w:r>
            <w:proofErr w:type="spellStart"/>
            <w:r w:rsidRPr="00ED0D6D">
              <w:rPr>
                <w:color w:val="000000"/>
                <w:sz w:val="20"/>
              </w:rPr>
              <w:t>Markets</w:t>
            </w:r>
            <w:proofErr w:type="spellEnd"/>
            <w:r w:rsidRPr="00ED0D6D">
              <w:rPr>
                <w:color w:val="000000"/>
                <w:sz w:val="20"/>
              </w:rPr>
              <w:t>“, VšĮ „Investuok Lietuvoje“</w:t>
            </w:r>
          </w:p>
        </w:tc>
        <w:tc>
          <w:tcPr>
            <w:tcW w:w="1189" w:type="dxa"/>
            <w:shd w:val="clear" w:color="auto" w:fill="auto"/>
            <w:vAlign w:val="center"/>
          </w:tcPr>
          <w:p w14:paraId="0E57759D"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11B104F" w14:textId="77777777" w:rsidTr="002A479B">
        <w:trPr>
          <w:trHeight w:val="384"/>
        </w:trPr>
        <w:tc>
          <w:tcPr>
            <w:tcW w:w="657" w:type="dxa"/>
            <w:shd w:val="clear" w:color="auto" w:fill="auto"/>
            <w:vAlign w:val="center"/>
          </w:tcPr>
          <w:p w14:paraId="77A3B13E"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5DD39B3F" w14:textId="77777777" w:rsidR="00975F26" w:rsidRPr="00ED0D6D" w:rsidRDefault="00975F26" w:rsidP="002A479B">
            <w:pPr>
              <w:jc w:val="both"/>
              <w:rPr>
                <w:color w:val="000000"/>
                <w:sz w:val="20"/>
              </w:rPr>
            </w:pPr>
            <w:r w:rsidRPr="00ED0D6D">
              <w:rPr>
                <w:color w:val="000000"/>
                <w:sz w:val="20"/>
              </w:rPr>
              <w:t xml:space="preserve">Naujų TUI aukštos pridėtinės vertės projektų numatomų sukurti darbo vietų skaičius (vienetai)   </w:t>
            </w:r>
          </w:p>
        </w:tc>
        <w:tc>
          <w:tcPr>
            <w:tcW w:w="1080" w:type="dxa"/>
            <w:shd w:val="clear" w:color="000000" w:fill="FFFFFF"/>
            <w:vAlign w:val="center"/>
          </w:tcPr>
          <w:p w14:paraId="19F7A651" w14:textId="77777777" w:rsidR="00975F26" w:rsidRPr="00ED0D6D" w:rsidRDefault="00975F26" w:rsidP="002A479B">
            <w:pPr>
              <w:jc w:val="center"/>
              <w:rPr>
                <w:color w:val="000000"/>
                <w:sz w:val="20"/>
              </w:rPr>
            </w:pPr>
            <w:r w:rsidRPr="00ED0D6D">
              <w:rPr>
                <w:color w:val="000000"/>
                <w:sz w:val="20"/>
              </w:rPr>
              <w:t>5</w:t>
            </w:r>
            <w:r>
              <w:rPr>
                <w:color w:val="000000"/>
                <w:sz w:val="20"/>
              </w:rPr>
              <w:t xml:space="preserve"> </w:t>
            </w:r>
            <w:r w:rsidRPr="00ED0D6D">
              <w:rPr>
                <w:color w:val="000000"/>
                <w:sz w:val="20"/>
              </w:rPr>
              <w:t>034</w:t>
            </w:r>
          </w:p>
        </w:tc>
        <w:tc>
          <w:tcPr>
            <w:tcW w:w="1080" w:type="dxa"/>
            <w:shd w:val="clear" w:color="000000" w:fill="FFFFFF"/>
            <w:vAlign w:val="center"/>
          </w:tcPr>
          <w:p w14:paraId="4CB43084" w14:textId="77777777" w:rsidR="00975F26" w:rsidRPr="00ED0D6D" w:rsidRDefault="00975F26" w:rsidP="002A479B">
            <w:pPr>
              <w:jc w:val="center"/>
              <w:rPr>
                <w:color w:val="000000"/>
                <w:sz w:val="20"/>
              </w:rPr>
            </w:pPr>
            <w:r w:rsidRPr="007722E2">
              <w:rPr>
                <w:i/>
                <w:iCs/>
                <w:color w:val="000000"/>
                <w:sz w:val="20"/>
              </w:rPr>
              <w:t xml:space="preserve">n. d. </w:t>
            </w:r>
          </w:p>
        </w:tc>
        <w:tc>
          <w:tcPr>
            <w:tcW w:w="956" w:type="dxa"/>
            <w:shd w:val="clear" w:color="auto" w:fill="auto"/>
            <w:vAlign w:val="center"/>
          </w:tcPr>
          <w:p w14:paraId="37B60F8C"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5E7F2E4C" w14:textId="77777777" w:rsidR="00975F26" w:rsidRPr="00ED0D6D" w:rsidRDefault="00975F26" w:rsidP="002A479B">
            <w:pPr>
              <w:jc w:val="center"/>
              <w:rPr>
                <w:color w:val="000000"/>
                <w:sz w:val="20"/>
              </w:rPr>
            </w:pPr>
            <w:r w:rsidRPr="00ED0D6D">
              <w:rPr>
                <w:color w:val="000000"/>
                <w:sz w:val="20"/>
              </w:rPr>
              <w:t>4</w:t>
            </w:r>
            <w:r>
              <w:rPr>
                <w:color w:val="000000"/>
                <w:sz w:val="20"/>
              </w:rPr>
              <w:t xml:space="preserve"> </w:t>
            </w:r>
            <w:r w:rsidRPr="00ED0D6D">
              <w:rPr>
                <w:color w:val="000000"/>
                <w:sz w:val="20"/>
              </w:rPr>
              <w:t>800</w:t>
            </w:r>
          </w:p>
        </w:tc>
        <w:tc>
          <w:tcPr>
            <w:tcW w:w="1250" w:type="dxa"/>
            <w:shd w:val="clear" w:color="auto" w:fill="auto"/>
            <w:vAlign w:val="center"/>
          </w:tcPr>
          <w:p w14:paraId="501FFB8A"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7601C67B"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3D28455C" w14:textId="77777777" w:rsidR="00975F26" w:rsidRPr="00ED0D6D" w:rsidRDefault="00975F26" w:rsidP="002A479B">
            <w:pPr>
              <w:jc w:val="center"/>
              <w:rPr>
                <w:color w:val="000000"/>
                <w:sz w:val="20"/>
              </w:rPr>
            </w:pPr>
            <w:r>
              <w:rPr>
                <w:color w:val="000000"/>
                <w:sz w:val="20"/>
              </w:rPr>
              <w:t>u</w:t>
            </w:r>
            <w:r w:rsidRPr="00ED0D6D">
              <w:rPr>
                <w:color w:val="000000"/>
                <w:sz w:val="20"/>
              </w:rPr>
              <w:t>žsienio investicijų stebėsenos duomenų bazė „</w:t>
            </w:r>
            <w:proofErr w:type="spellStart"/>
            <w:r w:rsidRPr="00ED0D6D">
              <w:rPr>
                <w:color w:val="000000"/>
                <w:sz w:val="20"/>
              </w:rPr>
              <w:t>fDi</w:t>
            </w:r>
            <w:proofErr w:type="spellEnd"/>
            <w:r w:rsidRPr="00ED0D6D">
              <w:rPr>
                <w:color w:val="000000"/>
                <w:sz w:val="20"/>
              </w:rPr>
              <w:t xml:space="preserve"> </w:t>
            </w:r>
            <w:proofErr w:type="spellStart"/>
            <w:r w:rsidRPr="00ED0D6D">
              <w:rPr>
                <w:color w:val="000000"/>
                <w:sz w:val="20"/>
              </w:rPr>
              <w:t>Markets</w:t>
            </w:r>
            <w:proofErr w:type="spellEnd"/>
            <w:r w:rsidRPr="00ED0D6D">
              <w:rPr>
                <w:color w:val="000000"/>
                <w:sz w:val="20"/>
              </w:rPr>
              <w:t>“, VšĮ „Investuok Lietuvoje“</w:t>
            </w:r>
          </w:p>
        </w:tc>
        <w:tc>
          <w:tcPr>
            <w:tcW w:w="1189" w:type="dxa"/>
            <w:shd w:val="clear" w:color="auto" w:fill="auto"/>
            <w:vAlign w:val="center"/>
          </w:tcPr>
          <w:p w14:paraId="4CF9AAD2"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E6F2BF1" w14:textId="77777777" w:rsidTr="002A479B">
        <w:trPr>
          <w:trHeight w:val="384"/>
        </w:trPr>
        <w:tc>
          <w:tcPr>
            <w:tcW w:w="657" w:type="dxa"/>
            <w:shd w:val="clear" w:color="auto" w:fill="auto"/>
            <w:vAlign w:val="center"/>
          </w:tcPr>
          <w:p w14:paraId="264D6E42"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038B9F5D" w14:textId="77777777" w:rsidR="00975F26" w:rsidRPr="00ED0D6D" w:rsidRDefault="00975F26" w:rsidP="002A479B">
            <w:pPr>
              <w:jc w:val="both"/>
              <w:rPr>
                <w:color w:val="000000"/>
                <w:sz w:val="20"/>
              </w:rPr>
            </w:pPr>
            <w:r>
              <w:rPr>
                <w:color w:val="000000"/>
                <w:sz w:val="20"/>
              </w:rPr>
              <w:t>Laisvosiose ekonominėse zonose</w:t>
            </w:r>
            <w:r w:rsidRPr="00ED0D6D">
              <w:rPr>
                <w:color w:val="000000"/>
                <w:sz w:val="20"/>
              </w:rPr>
              <w:t xml:space="preserve"> </w:t>
            </w:r>
            <w:r>
              <w:rPr>
                <w:color w:val="000000"/>
                <w:sz w:val="20"/>
              </w:rPr>
              <w:t xml:space="preserve">(toliau – LEZ) </w:t>
            </w:r>
            <w:r w:rsidRPr="00ED0D6D">
              <w:rPr>
                <w:color w:val="000000"/>
                <w:sz w:val="20"/>
              </w:rPr>
              <w:t>veikiančių įmonių investicijos</w:t>
            </w:r>
            <w:r>
              <w:rPr>
                <w:color w:val="000000"/>
                <w:sz w:val="20"/>
              </w:rPr>
              <w:t xml:space="preserve"> </w:t>
            </w:r>
            <w:r w:rsidRPr="00ED0D6D">
              <w:rPr>
                <w:color w:val="000000"/>
                <w:sz w:val="20"/>
              </w:rPr>
              <w:t xml:space="preserve">(mln. </w:t>
            </w:r>
            <w:r>
              <w:rPr>
                <w:color w:val="000000"/>
                <w:sz w:val="20"/>
              </w:rPr>
              <w:t>eurų</w:t>
            </w:r>
            <w:r w:rsidRPr="00ED0D6D">
              <w:rPr>
                <w:color w:val="000000"/>
                <w:sz w:val="20"/>
              </w:rPr>
              <w:t xml:space="preserve">)   </w:t>
            </w:r>
          </w:p>
        </w:tc>
        <w:tc>
          <w:tcPr>
            <w:tcW w:w="1080" w:type="dxa"/>
            <w:shd w:val="clear" w:color="000000" w:fill="FFFFFF"/>
            <w:vAlign w:val="center"/>
          </w:tcPr>
          <w:p w14:paraId="1E6D6DE8" w14:textId="77777777" w:rsidR="00975F26" w:rsidRPr="00ED0D6D" w:rsidRDefault="00975F26" w:rsidP="002A479B">
            <w:pPr>
              <w:jc w:val="center"/>
              <w:rPr>
                <w:color w:val="000000"/>
                <w:sz w:val="20"/>
              </w:rPr>
            </w:pPr>
            <w:r w:rsidRPr="00ED0D6D">
              <w:rPr>
                <w:color w:val="000000"/>
                <w:sz w:val="20"/>
              </w:rPr>
              <w:t>344</w:t>
            </w:r>
          </w:p>
        </w:tc>
        <w:tc>
          <w:tcPr>
            <w:tcW w:w="1080" w:type="dxa"/>
            <w:shd w:val="clear" w:color="000000" w:fill="FFFFFF"/>
            <w:vAlign w:val="center"/>
          </w:tcPr>
          <w:p w14:paraId="671E1CD2" w14:textId="77777777" w:rsidR="00975F26" w:rsidRPr="00ED0D6D" w:rsidRDefault="00975F26" w:rsidP="002A479B">
            <w:pPr>
              <w:jc w:val="center"/>
              <w:rPr>
                <w:color w:val="000000"/>
                <w:sz w:val="20"/>
              </w:rPr>
            </w:pPr>
            <w:r w:rsidRPr="007722E2">
              <w:rPr>
                <w:i/>
                <w:iCs/>
                <w:color w:val="000000"/>
                <w:sz w:val="20"/>
              </w:rPr>
              <w:t xml:space="preserve">n. d. </w:t>
            </w:r>
          </w:p>
        </w:tc>
        <w:tc>
          <w:tcPr>
            <w:tcW w:w="956" w:type="dxa"/>
            <w:shd w:val="clear" w:color="auto" w:fill="auto"/>
            <w:vAlign w:val="center"/>
          </w:tcPr>
          <w:p w14:paraId="09447F55" w14:textId="77777777" w:rsidR="00975F26" w:rsidRPr="00ED0D6D" w:rsidRDefault="00975F26" w:rsidP="002A479B">
            <w:pPr>
              <w:jc w:val="center"/>
              <w:rPr>
                <w:color w:val="000000"/>
                <w:sz w:val="20"/>
              </w:rPr>
            </w:pPr>
            <w:r w:rsidRPr="00796A49">
              <w:rPr>
                <w:color w:val="000000"/>
                <w:sz w:val="20"/>
              </w:rPr>
              <w:t>–</w:t>
            </w:r>
          </w:p>
        </w:tc>
        <w:tc>
          <w:tcPr>
            <w:tcW w:w="983" w:type="dxa"/>
            <w:shd w:val="clear" w:color="000000" w:fill="FFFFFF"/>
            <w:vAlign w:val="center"/>
          </w:tcPr>
          <w:p w14:paraId="23D58798" w14:textId="77777777" w:rsidR="00975F26" w:rsidRPr="00ED0D6D" w:rsidRDefault="00975F26" w:rsidP="002A479B">
            <w:pPr>
              <w:jc w:val="center"/>
              <w:rPr>
                <w:color w:val="000000"/>
                <w:sz w:val="20"/>
              </w:rPr>
            </w:pPr>
            <w:r w:rsidRPr="00ED0D6D">
              <w:rPr>
                <w:color w:val="000000"/>
                <w:sz w:val="20"/>
              </w:rPr>
              <w:t>150</w:t>
            </w:r>
          </w:p>
        </w:tc>
        <w:tc>
          <w:tcPr>
            <w:tcW w:w="1250" w:type="dxa"/>
            <w:shd w:val="clear" w:color="auto" w:fill="auto"/>
            <w:vAlign w:val="center"/>
          </w:tcPr>
          <w:p w14:paraId="51BF9009"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3D057D7D"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16AC048C" w14:textId="77777777" w:rsidR="00975F26" w:rsidRPr="00ED0D6D" w:rsidRDefault="00975F26" w:rsidP="002A479B">
            <w:pPr>
              <w:jc w:val="center"/>
              <w:rPr>
                <w:color w:val="000000"/>
                <w:sz w:val="20"/>
              </w:rPr>
            </w:pPr>
            <w:r w:rsidRPr="00ED0D6D">
              <w:rPr>
                <w:color w:val="000000"/>
                <w:sz w:val="20"/>
              </w:rPr>
              <w:t>LEZ valdymo bendrovių ataskaita</w:t>
            </w:r>
          </w:p>
        </w:tc>
        <w:tc>
          <w:tcPr>
            <w:tcW w:w="1189" w:type="dxa"/>
            <w:shd w:val="clear" w:color="auto" w:fill="auto"/>
            <w:vAlign w:val="center"/>
          </w:tcPr>
          <w:p w14:paraId="6037240F"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6281F56" w14:textId="77777777" w:rsidTr="002A479B">
        <w:trPr>
          <w:trHeight w:val="384"/>
        </w:trPr>
        <w:tc>
          <w:tcPr>
            <w:tcW w:w="657" w:type="dxa"/>
            <w:shd w:val="clear" w:color="auto" w:fill="auto"/>
            <w:vAlign w:val="center"/>
          </w:tcPr>
          <w:p w14:paraId="49F583E2"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tcPr>
          <w:p w14:paraId="6AD14BF1" w14:textId="77777777" w:rsidR="00975F26" w:rsidRPr="00ED0D6D" w:rsidRDefault="00975F26" w:rsidP="002A479B">
            <w:pPr>
              <w:jc w:val="both"/>
              <w:rPr>
                <w:color w:val="000000"/>
                <w:sz w:val="20"/>
              </w:rPr>
            </w:pPr>
            <w:r w:rsidRPr="00ED0D6D">
              <w:rPr>
                <w:color w:val="000000"/>
                <w:sz w:val="20"/>
              </w:rPr>
              <w:t xml:space="preserve">Pasaulio talentų konkurencingumo indeksas (pagal INSEAD „Global </w:t>
            </w:r>
            <w:proofErr w:type="spellStart"/>
            <w:r w:rsidRPr="00ED0D6D">
              <w:rPr>
                <w:color w:val="000000"/>
                <w:sz w:val="20"/>
              </w:rPr>
              <w:t>Talent</w:t>
            </w:r>
            <w:proofErr w:type="spellEnd"/>
            <w:r w:rsidRPr="00ED0D6D">
              <w:rPr>
                <w:color w:val="000000"/>
                <w:sz w:val="20"/>
              </w:rPr>
              <w:t xml:space="preserve"> </w:t>
            </w:r>
            <w:proofErr w:type="spellStart"/>
            <w:r w:rsidRPr="00ED0D6D">
              <w:rPr>
                <w:color w:val="000000"/>
                <w:sz w:val="20"/>
              </w:rPr>
              <w:t>Competitiveness</w:t>
            </w:r>
            <w:proofErr w:type="spellEnd"/>
            <w:r w:rsidRPr="00ED0D6D">
              <w:rPr>
                <w:color w:val="000000"/>
                <w:sz w:val="20"/>
              </w:rPr>
              <w:t xml:space="preserve"> </w:t>
            </w:r>
            <w:proofErr w:type="spellStart"/>
            <w:r w:rsidRPr="00ED0D6D">
              <w:rPr>
                <w:color w:val="000000"/>
                <w:sz w:val="20"/>
              </w:rPr>
              <w:t>Index</w:t>
            </w:r>
            <w:proofErr w:type="spellEnd"/>
            <w:r w:rsidRPr="00ED0D6D">
              <w:rPr>
                <w:color w:val="000000"/>
                <w:sz w:val="20"/>
              </w:rPr>
              <w:t xml:space="preserve">“) (vieta)   </w:t>
            </w:r>
          </w:p>
        </w:tc>
        <w:tc>
          <w:tcPr>
            <w:tcW w:w="1080" w:type="dxa"/>
            <w:shd w:val="clear" w:color="000000" w:fill="FFFFFF"/>
            <w:vAlign w:val="center"/>
          </w:tcPr>
          <w:p w14:paraId="7A5B4A64" w14:textId="77777777" w:rsidR="00975F26" w:rsidRPr="00ED0D6D" w:rsidRDefault="00975F26" w:rsidP="002A479B">
            <w:pPr>
              <w:jc w:val="center"/>
              <w:rPr>
                <w:color w:val="000000"/>
                <w:sz w:val="20"/>
              </w:rPr>
            </w:pPr>
            <w:r w:rsidRPr="00ED0D6D">
              <w:rPr>
                <w:color w:val="000000"/>
                <w:sz w:val="20"/>
              </w:rPr>
              <w:t>35</w:t>
            </w:r>
          </w:p>
        </w:tc>
        <w:tc>
          <w:tcPr>
            <w:tcW w:w="1080" w:type="dxa"/>
            <w:shd w:val="clear" w:color="000000" w:fill="FFFFFF"/>
            <w:vAlign w:val="center"/>
          </w:tcPr>
          <w:p w14:paraId="1B41E99F" w14:textId="77777777" w:rsidR="00975F26" w:rsidRPr="00ED0D6D" w:rsidRDefault="00975F26" w:rsidP="002A479B">
            <w:pPr>
              <w:jc w:val="center"/>
              <w:rPr>
                <w:color w:val="000000"/>
                <w:sz w:val="20"/>
              </w:rPr>
            </w:pPr>
            <w:r w:rsidRPr="00ED0D6D">
              <w:rPr>
                <w:color w:val="000000"/>
                <w:sz w:val="20"/>
              </w:rPr>
              <w:t>35</w:t>
            </w:r>
          </w:p>
        </w:tc>
        <w:tc>
          <w:tcPr>
            <w:tcW w:w="956" w:type="dxa"/>
            <w:shd w:val="clear" w:color="auto" w:fill="auto"/>
            <w:vAlign w:val="center"/>
          </w:tcPr>
          <w:p w14:paraId="4AAC4603" w14:textId="77777777" w:rsidR="00975F26" w:rsidRPr="00ED0D6D" w:rsidRDefault="00975F26" w:rsidP="002A479B">
            <w:pPr>
              <w:jc w:val="center"/>
              <w:rPr>
                <w:color w:val="000000"/>
                <w:sz w:val="20"/>
              </w:rPr>
            </w:pPr>
            <w:r w:rsidRPr="00ED0D6D">
              <w:rPr>
                <w:color w:val="000000"/>
                <w:sz w:val="20"/>
              </w:rPr>
              <w:t>28,5</w:t>
            </w:r>
          </w:p>
        </w:tc>
        <w:tc>
          <w:tcPr>
            <w:tcW w:w="983" w:type="dxa"/>
            <w:shd w:val="clear" w:color="000000" w:fill="FFFFFF"/>
            <w:vAlign w:val="center"/>
          </w:tcPr>
          <w:p w14:paraId="4E06C558" w14:textId="77777777" w:rsidR="00975F26" w:rsidRPr="00ED0D6D" w:rsidRDefault="00975F26" w:rsidP="002A479B">
            <w:pPr>
              <w:jc w:val="center"/>
              <w:rPr>
                <w:color w:val="000000"/>
                <w:sz w:val="20"/>
              </w:rPr>
            </w:pPr>
            <w:r w:rsidRPr="00ED0D6D">
              <w:rPr>
                <w:color w:val="000000"/>
                <w:sz w:val="20"/>
              </w:rPr>
              <w:t>20</w:t>
            </w:r>
          </w:p>
        </w:tc>
        <w:tc>
          <w:tcPr>
            <w:tcW w:w="1250" w:type="dxa"/>
            <w:shd w:val="clear" w:color="auto" w:fill="auto"/>
            <w:vAlign w:val="center"/>
          </w:tcPr>
          <w:p w14:paraId="74CD9C27"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0EEC868C"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22F25E6F" w14:textId="77777777" w:rsidR="00975F26" w:rsidRPr="00ED0D6D" w:rsidRDefault="00975F26" w:rsidP="002A479B">
            <w:pPr>
              <w:jc w:val="center"/>
              <w:rPr>
                <w:color w:val="000000"/>
                <w:sz w:val="20"/>
              </w:rPr>
            </w:pPr>
            <w:r w:rsidRPr="00ED0D6D">
              <w:rPr>
                <w:color w:val="000000"/>
                <w:sz w:val="20"/>
              </w:rPr>
              <w:t xml:space="preserve">„Global </w:t>
            </w:r>
            <w:proofErr w:type="spellStart"/>
            <w:r w:rsidRPr="00ED0D6D">
              <w:rPr>
                <w:color w:val="000000"/>
                <w:sz w:val="20"/>
              </w:rPr>
              <w:t>Talent</w:t>
            </w:r>
            <w:proofErr w:type="spellEnd"/>
            <w:r w:rsidRPr="00ED0D6D">
              <w:rPr>
                <w:color w:val="000000"/>
                <w:sz w:val="20"/>
              </w:rPr>
              <w:t xml:space="preserve"> </w:t>
            </w:r>
            <w:proofErr w:type="spellStart"/>
            <w:r w:rsidRPr="00ED0D6D">
              <w:rPr>
                <w:color w:val="000000"/>
                <w:sz w:val="20"/>
              </w:rPr>
              <w:t>Competitiveness</w:t>
            </w:r>
            <w:proofErr w:type="spellEnd"/>
            <w:r w:rsidRPr="00ED0D6D">
              <w:rPr>
                <w:color w:val="000000"/>
                <w:sz w:val="20"/>
              </w:rPr>
              <w:t xml:space="preserve"> </w:t>
            </w:r>
            <w:proofErr w:type="spellStart"/>
            <w:r w:rsidRPr="00ED0D6D">
              <w:rPr>
                <w:color w:val="000000"/>
                <w:sz w:val="20"/>
              </w:rPr>
              <w:t>Index</w:t>
            </w:r>
            <w:proofErr w:type="spellEnd"/>
            <w:r w:rsidRPr="00ED0D6D">
              <w:rPr>
                <w:color w:val="000000"/>
                <w:sz w:val="20"/>
              </w:rPr>
              <w:t xml:space="preserve">“ </w:t>
            </w:r>
          </w:p>
        </w:tc>
        <w:tc>
          <w:tcPr>
            <w:tcW w:w="1189" w:type="dxa"/>
            <w:shd w:val="clear" w:color="auto" w:fill="auto"/>
            <w:vAlign w:val="center"/>
          </w:tcPr>
          <w:p w14:paraId="471D9D4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C92753F" w14:textId="77777777" w:rsidTr="002A479B">
        <w:trPr>
          <w:trHeight w:val="200"/>
        </w:trPr>
        <w:tc>
          <w:tcPr>
            <w:tcW w:w="657" w:type="dxa"/>
            <w:shd w:val="clear" w:color="auto" w:fill="auto"/>
            <w:vAlign w:val="center"/>
          </w:tcPr>
          <w:p w14:paraId="5C46FEF5" w14:textId="77777777" w:rsidR="00975F26" w:rsidRPr="00ED0D6D" w:rsidRDefault="00975F26" w:rsidP="002A479B">
            <w:pPr>
              <w:pStyle w:val="Sraopastraipa"/>
              <w:numPr>
                <w:ilvl w:val="0"/>
                <w:numId w:val="11"/>
              </w:numPr>
              <w:spacing w:after="0"/>
              <w:ind w:left="0" w:firstLine="0"/>
              <w:jc w:val="center"/>
              <w:rPr>
                <w:rFonts w:ascii="Times New Roman" w:hAnsi="Times New Roman"/>
                <w:color w:val="000000"/>
                <w:sz w:val="20"/>
                <w:szCs w:val="20"/>
              </w:rPr>
            </w:pPr>
          </w:p>
        </w:tc>
        <w:tc>
          <w:tcPr>
            <w:tcW w:w="4648" w:type="dxa"/>
            <w:shd w:val="clear" w:color="auto" w:fill="auto"/>
            <w:noWrap/>
          </w:tcPr>
          <w:p w14:paraId="2AAFD93E" w14:textId="77777777" w:rsidR="00975F26" w:rsidRPr="00ED0D6D" w:rsidRDefault="00975F26" w:rsidP="002A479B">
            <w:pPr>
              <w:jc w:val="both"/>
              <w:rPr>
                <w:color w:val="000000"/>
                <w:sz w:val="20"/>
              </w:rPr>
            </w:pPr>
            <w:proofErr w:type="spellStart"/>
            <w:r w:rsidRPr="00ED0D6D">
              <w:rPr>
                <w:color w:val="000000"/>
                <w:sz w:val="20"/>
              </w:rPr>
              <w:t>Startuolių</w:t>
            </w:r>
            <w:proofErr w:type="spellEnd"/>
            <w:r w:rsidRPr="00ED0D6D">
              <w:rPr>
                <w:color w:val="000000"/>
                <w:sz w:val="20"/>
              </w:rPr>
              <w:t xml:space="preserve"> skaičius (kaupiamieji vienetai)   </w:t>
            </w:r>
          </w:p>
        </w:tc>
        <w:tc>
          <w:tcPr>
            <w:tcW w:w="1080" w:type="dxa"/>
            <w:shd w:val="clear" w:color="000000" w:fill="FFFFFF"/>
            <w:vAlign w:val="center"/>
          </w:tcPr>
          <w:p w14:paraId="372DEA01" w14:textId="77777777" w:rsidR="00975F26" w:rsidRPr="00ED0D6D" w:rsidRDefault="00975F26" w:rsidP="002A479B">
            <w:pPr>
              <w:jc w:val="center"/>
              <w:rPr>
                <w:color w:val="000000"/>
                <w:sz w:val="20"/>
              </w:rPr>
            </w:pPr>
            <w:r w:rsidRPr="00ED0D6D">
              <w:rPr>
                <w:color w:val="000000"/>
                <w:sz w:val="20"/>
              </w:rPr>
              <w:t>940</w:t>
            </w:r>
          </w:p>
        </w:tc>
        <w:tc>
          <w:tcPr>
            <w:tcW w:w="1080" w:type="dxa"/>
            <w:shd w:val="clear" w:color="000000" w:fill="FFFFFF"/>
            <w:vAlign w:val="center"/>
          </w:tcPr>
          <w:p w14:paraId="7776F0F7"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035</w:t>
            </w:r>
          </w:p>
        </w:tc>
        <w:tc>
          <w:tcPr>
            <w:tcW w:w="956" w:type="dxa"/>
            <w:shd w:val="clear" w:color="auto" w:fill="auto"/>
            <w:vAlign w:val="center"/>
          </w:tcPr>
          <w:p w14:paraId="2907344F" w14:textId="77777777" w:rsidR="00975F26" w:rsidRPr="00ED0D6D" w:rsidRDefault="00975F26" w:rsidP="002A479B">
            <w:pPr>
              <w:jc w:val="center"/>
              <w:rPr>
                <w:color w:val="000000"/>
                <w:sz w:val="20"/>
              </w:rPr>
            </w:pPr>
            <w:r w:rsidRPr="00B31DC4">
              <w:rPr>
                <w:color w:val="000000"/>
                <w:sz w:val="20"/>
              </w:rPr>
              <w:t>–</w:t>
            </w:r>
          </w:p>
        </w:tc>
        <w:tc>
          <w:tcPr>
            <w:tcW w:w="983" w:type="dxa"/>
            <w:shd w:val="clear" w:color="000000" w:fill="FFFFFF"/>
            <w:vAlign w:val="center"/>
          </w:tcPr>
          <w:p w14:paraId="146E88DA"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000</w:t>
            </w:r>
          </w:p>
        </w:tc>
        <w:tc>
          <w:tcPr>
            <w:tcW w:w="1250" w:type="dxa"/>
            <w:shd w:val="clear" w:color="auto" w:fill="auto"/>
            <w:vAlign w:val="center"/>
          </w:tcPr>
          <w:p w14:paraId="6F84D7FA"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565E8848"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039F12BE" w14:textId="77777777" w:rsidR="00975F26" w:rsidRPr="00ED0D6D" w:rsidRDefault="00975F26" w:rsidP="002A479B">
            <w:pPr>
              <w:jc w:val="center"/>
              <w:rPr>
                <w:color w:val="000000"/>
                <w:sz w:val="20"/>
              </w:rPr>
            </w:pPr>
            <w:r w:rsidRPr="00ED0D6D">
              <w:rPr>
                <w:color w:val="000000"/>
                <w:sz w:val="20"/>
              </w:rPr>
              <w:t xml:space="preserve">VšĮ „Versli Lietuva“ </w:t>
            </w:r>
          </w:p>
        </w:tc>
        <w:tc>
          <w:tcPr>
            <w:tcW w:w="1189" w:type="dxa"/>
            <w:shd w:val="clear" w:color="auto" w:fill="auto"/>
            <w:vAlign w:val="center"/>
          </w:tcPr>
          <w:p w14:paraId="089EBBA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C49561E" w14:textId="77777777" w:rsidTr="002A479B">
        <w:trPr>
          <w:trHeight w:val="209"/>
        </w:trPr>
        <w:tc>
          <w:tcPr>
            <w:tcW w:w="657" w:type="dxa"/>
            <w:shd w:val="clear" w:color="auto" w:fill="auto"/>
            <w:vAlign w:val="center"/>
          </w:tcPr>
          <w:p w14:paraId="29A8E1D5" w14:textId="77777777" w:rsidR="00975F26" w:rsidRPr="00ED0D6D" w:rsidRDefault="00975F26" w:rsidP="002A479B">
            <w:pPr>
              <w:pStyle w:val="Sraopastraipa"/>
              <w:numPr>
                <w:ilvl w:val="0"/>
                <w:numId w:val="11"/>
              </w:numPr>
              <w:spacing w:after="0"/>
              <w:ind w:left="0" w:firstLine="0"/>
              <w:jc w:val="center"/>
              <w:rPr>
                <w:rFonts w:ascii="Times New Roman" w:hAnsi="Times New Roman"/>
                <w:color w:val="000000"/>
                <w:sz w:val="20"/>
                <w:szCs w:val="20"/>
              </w:rPr>
            </w:pPr>
          </w:p>
        </w:tc>
        <w:tc>
          <w:tcPr>
            <w:tcW w:w="4648" w:type="dxa"/>
            <w:shd w:val="clear" w:color="auto" w:fill="auto"/>
            <w:noWrap/>
          </w:tcPr>
          <w:p w14:paraId="4EEC6A17" w14:textId="77777777" w:rsidR="00975F26" w:rsidRPr="00ED0D6D" w:rsidRDefault="00975F26" w:rsidP="002A479B">
            <w:pPr>
              <w:jc w:val="both"/>
              <w:rPr>
                <w:color w:val="000000"/>
                <w:sz w:val="20"/>
              </w:rPr>
            </w:pPr>
            <w:r w:rsidRPr="00ED0D6D">
              <w:rPr>
                <w:color w:val="000000"/>
                <w:sz w:val="20"/>
              </w:rPr>
              <w:t xml:space="preserve">Naujų </w:t>
            </w:r>
            <w:proofErr w:type="spellStart"/>
            <w:r w:rsidRPr="00ED0D6D">
              <w:rPr>
                <w:color w:val="000000"/>
                <w:sz w:val="20"/>
              </w:rPr>
              <w:t>startuolių</w:t>
            </w:r>
            <w:proofErr w:type="spellEnd"/>
            <w:r w:rsidRPr="00ED0D6D">
              <w:rPr>
                <w:color w:val="000000"/>
                <w:sz w:val="20"/>
              </w:rPr>
              <w:t xml:space="preserve"> skaičius (vienetai)   </w:t>
            </w:r>
          </w:p>
        </w:tc>
        <w:tc>
          <w:tcPr>
            <w:tcW w:w="1080" w:type="dxa"/>
            <w:shd w:val="clear" w:color="000000" w:fill="FFFFFF"/>
            <w:vAlign w:val="center"/>
          </w:tcPr>
          <w:p w14:paraId="5EAED9A8" w14:textId="77777777" w:rsidR="00975F26" w:rsidRPr="00ED0D6D" w:rsidRDefault="00975F26" w:rsidP="002A479B">
            <w:pPr>
              <w:jc w:val="center"/>
              <w:rPr>
                <w:color w:val="000000"/>
                <w:sz w:val="20"/>
              </w:rPr>
            </w:pPr>
            <w:r w:rsidRPr="00ED0D6D">
              <w:rPr>
                <w:color w:val="000000"/>
                <w:sz w:val="20"/>
              </w:rPr>
              <w:t>420</w:t>
            </w:r>
          </w:p>
        </w:tc>
        <w:tc>
          <w:tcPr>
            <w:tcW w:w="1080" w:type="dxa"/>
            <w:shd w:val="clear" w:color="000000" w:fill="FFFFFF"/>
            <w:vAlign w:val="center"/>
          </w:tcPr>
          <w:p w14:paraId="74E0F20C" w14:textId="77777777" w:rsidR="00975F26" w:rsidRPr="00ED0D6D" w:rsidRDefault="00975F26" w:rsidP="002A479B">
            <w:pPr>
              <w:jc w:val="center"/>
              <w:rPr>
                <w:color w:val="000000"/>
                <w:sz w:val="20"/>
              </w:rPr>
            </w:pPr>
            <w:r w:rsidRPr="00ED0D6D">
              <w:rPr>
                <w:color w:val="000000"/>
                <w:sz w:val="20"/>
              </w:rPr>
              <w:t>95</w:t>
            </w:r>
          </w:p>
        </w:tc>
        <w:tc>
          <w:tcPr>
            <w:tcW w:w="956" w:type="dxa"/>
            <w:shd w:val="clear" w:color="auto" w:fill="auto"/>
            <w:vAlign w:val="center"/>
          </w:tcPr>
          <w:p w14:paraId="74B2A566" w14:textId="77777777" w:rsidR="00975F26" w:rsidRPr="00ED0D6D" w:rsidRDefault="00975F26" w:rsidP="002A479B">
            <w:pPr>
              <w:jc w:val="center"/>
              <w:rPr>
                <w:color w:val="000000"/>
                <w:sz w:val="20"/>
              </w:rPr>
            </w:pPr>
            <w:r w:rsidRPr="00B31DC4">
              <w:rPr>
                <w:color w:val="000000"/>
                <w:sz w:val="20"/>
              </w:rPr>
              <w:t>–</w:t>
            </w:r>
          </w:p>
        </w:tc>
        <w:tc>
          <w:tcPr>
            <w:tcW w:w="983" w:type="dxa"/>
            <w:shd w:val="clear" w:color="000000" w:fill="FFFFFF"/>
            <w:vAlign w:val="center"/>
          </w:tcPr>
          <w:p w14:paraId="048041C1" w14:textId="77777777" w:rsidR="00975F26" w:rsidRPr="00ED0D6D" w:rsidRDefault="00975F26" w:rsidP="002A479B">
            <w:pPr>
              <w:jc w:val="center"/>
              <w:rPr>
                <w:color w:val="000000"/>
                <w:sz w:val="20"/>
              </w:rPr>
            </w:pPr>
            <w:r w:rsidRPr="00ED0D6D">
              <w:rPr>
                <w:color w:val="000000"/>
                <w:sz w:val="20"/>
              </w:rPr>
              <w:t>140</w:t>
            </w:r>
          </w:p>
        </w:tc>
        <w:tc>
          <w:tcPr>
            <w:tcW w:w="1250" w:type="dxa"/>
            <w:shd w:val="clear" w:color="auto" w:fill="auto"/>
            <w:vAlign w:val="center"/>
          </w:tcPr>
          <w:p w14:paraId="47673ACA"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5E4741A1"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6EADAD0E" w14:textId="77777777" w:rsidR="00975F26" w:rsidRPr="00ED0D6D" w:rsidRDefault="00975F26" w:rsidP="002A479B">
            <w:pPr>
              <w:jc w:val="center"/>
              <w:rPr>
                <w:color w:val="000000"/>
                <w:sz w:val="20"/>
              </w:rPr>
            </w:pPr>
            <w:r w:rsidRPr="00ED0D6D">
              <w:rPr>
                <w:color w:val="000000"/>
                <w:sz w:val="20"/>
              </w:rPr>
              <w:t>VšĮ „Versli Lietuva“</w:t>
            </w:r>
          </w:p>
        </w:tc>
        <w:tc>
          <w:tcPr>
            <w:tcW w:w="1189" w:type="dxa"/>
            <w:shd w:val="clear" w:color="auto" w:fill="auto"/>
            <w:vAlign w:val="center"/>
          </w:tcPr>
          <w:p w14:paraId="17D4DDB0"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4086DBD" w14:textId="77777777" w:rsidTr="002A479B">
        <w:trPr>
          <w:trHeight w:val="137"/>
        </w:trPr>
        <w:tc>
          <w:tcPr>
            <w:tcW w:w="657" w:type="dxa"/>
            <w:shd w:val="clear" w:color="auto" w:fill="auto"/>
            <w:vAlign w:val="center"/>
          </w:tcPr>
          <w:p w14:paraId="0479AB0C" w14:textId="77777777" w:rsidR="00975F26" w:rsidRPr="00ED0D6D" w:rsidRDefault="00975F26" w:rsidP="002A479B">
            <w:pPr>
              <w:pStyle w:val="Sraopastraipa"/>
              <w:numPr>
                <w:ilvl w:val="0"/>
                <w:numId w:val="11"/>
              </w:numPr>
              <w:spacing w:after="0"/>
              <w:ind w:left="0" w:firstLine="0"/>
              <w:jc w:val="center"/>
              <w:rPr>
                <w:rFonts w:ascii="Times New Roman" w:hAnsi="Times New Roman"/>
                <w:color w:val="000000"/>
                <w:sz w:val="20"/>
                <w:szCs w:val="20"/>
              </w:rPr>
            </w:pPr>
          </w:p>
        </w:tc>
        <w:tc>
          <w:tcPr>
            <w:tcW w:w="4648" w:type="dxa"/>
            <w:shd w:val="clear" w:color="auto" w:fill="auto"/>
            <w:noWrap/>
          </w:tcPr>
          <w:p w14:paraId="4AA39F49" w14:textId="77777777" w:rsidR="00975F26" w:rsidRPr="00ED0D6D" w:rsidRDefault="00975F26" w:rsidP="002A479B">
            <w:pPr>
              <w:jc w:val="both"/>
              <w:rPr>
                <w:color w:val="000000"/>
                <w:sz w:val="20"/>
              </w:rPr>
            </w:pPr>
            <w:proofErr w:type="spellStart"/>
            <w:r w:rsidRPr="00ED0D6D">
              <w:rPr>
                <w:color w:val="000000"/>
                <w:sz w:val="20"/>
              </w:rPr>
              <w:t>Startuolių</w:t>
            </w:r>
            <w:proofErr w:type="spellEnd"/>
            <w:r w:rsidRPr="00ED0D6D">
              <w:rPr>
                <w:color w:val="000000"/>
                <w:sz w:val="20"/>
              </w:rPr>
              <w:t xml:space="preserve"> pritrauktos investicijos</w:t>
            </w:r>
            <w:r>
              <w:rPr>
                <w:color w:val="000000"/>
                <w:sz w:val="20"/>
              </w:rPr>
              <w:t xml:space="preserve"> (</w:t>
            </w:r>
            <w:r w:rsidRPr="00ED0D6D">
              <w:rPr>
                <w:color w:val="000000"/>
                <w:sz w:val="20"/>
              </w:rPr>
              <w:t>ml</w:t>
            </w:r>
            <w:r>
              <w:rPr>
                <w:color w:val="000000"/>
                <w:sz w:val="20"/>
              </w:rPr>
              <w:t>n. eurų</w:t>
            </w:r>
            <w:r w:rsidRPr="00ED0D6D">
              <w:rPr>
                <w:color w:val="000000"/>
                <w:sz w:val="20"/>
              </w:rPr>
              <w:t xml:space="preserve">)   </w:t>
            </w:r>
          </w:p>
        </w:tc>
        <w:tc>
          <w:tcPr>
            <w:tcW w:w="1080" w:type="dxa"/>
            <w:shd w:val="clear" w:color="000000" w:fill="FFFFFF"/>
            <w:vAlign w:val="center"/>
          </w:tcPr>
          <w:p w14:paraId="022288A4" w14:textId="77777777" w:rsidR="00975F26" w:rsidRPr="00ED0D6D" w:rsidRDefault="00975F26" w:rsidP="002A479B">
            <w:pPr>
              <w:jc w:val="center"/>
              <w:rPr>
                <w:color w:val="000000"/>
                <w:sz w:val="20"/>
              </w:rPr>
            </w:pPr>
            <w:r w:rsidRPr="00ED0D6D">
              <w:rPr>
                <w:color w:val="000000"/>
                <w:sz w:val="20"/>
              </w:rPr>
              <w:t>176,5</w:t>
            </w:r>
          </w:p>
        </w:tc>
        <w:tc>
          <w:tcPr>
            <w:tcW w:w="1080" w:type="dxa"/>
            <w:shd w:val="clear" w:color="000000" w:fill="FFFFFF"/>
            <w:vAlign w:val="center"/>
          </w:tcPr>
          <w:p w14:paraId="01E0BC3F" w14:textId="77777777" w:rsidR="00975F26" w:rsidRPr="00ED0D6D" w:rsidRDefault="00975F26" w:rsidP="002A479B">
            <w:pPr>
              <w:jc w:val="center"/>
              <w:rPr>
                <w:color w:val="000000"/>
                <w:sz w:val="20"/>
              </w:rPr>
            </w:pPr>
            <w:r w:rsidRPr="00ED0D6D">
              <w:rPr>
                <w:color w:val="000000"/>
                <w:sz w:val="20"/>
              </w:rPr>
              <w:t>41,6</w:t>
            </w:r>
          </w:p>
        </w:tc>
        <w:tc>
          <w:tcPr>
            <w:tcW w:w="956" w:type="dxa"/>
            <w:shd w:val="clear" w:color="auto" w:fill="auto"/>
            <w:vAlign w:val="center"/>
          </w:tcPr>
          <w:p w14:paraId="25A26700" w14:textId="77777777" w:rsidR="00975F26" w:rsidRPr="00ED0D6D" w:rsidRDefault="00975F26" w:rsidP="002A479B">
            <w:pPr>
              <w:jc w:val="center"/>
              <w:rPr>
                <w:color w:val="000000"/>
                <w:sz w:val="20"/>
              </w:rPr>
            </w:pPr>
            <w:r w:rsidRPr="00B31DC4">
              <w:rPr>
                <w:color w:val="000000"/>
                <w:sz w:val="20"/>
              </w:rPr>
              <w:t>–</w:t>
            </w:r>
          </w:p>
        </w:tc>
        <w:tc>
          <w:tcPr>
            <w:tcW w:w="983" w:type="dxa"/>
            <w:shd w:val="clear" w:color="000000" w:fill="FFFFFF"/>
            <w:vAlign w:val="center"/>
          </w:tcPr>
          <w:p w14:paraId="6256389F" w14:textId="77777777" w:rsidR="00975F26" w:rsidRPr="00ED0D6D" w:rsidRDefault="00975F26" w:rsidP="002A479B">
            <w:pPr>
              <w:jc w:val="center"/>
              <w:rPr>
                <w:color w:val="000000"/>
                <w:sz w:val="20"/>
              </w:rPr>
            </w:pPr>
            <w:r w:rsidRPr="00ED0D6D">
              <w:rPr>
                <w:color w:val="000000"/>
                <w:sz w:val="20"/>
              </w:rPr>
              <w:t>36</w:t>
            </w:r>
          </w:p>
        </w:tc>
        <w:tc>
          <w:tcPr>
            <w:tcW w:w="1250" w:type="dxa"/>
            <w:shd w:val="clear" w:color="auto" w:fill="auto"/>
            <w:vAlign w:val="center"/>
          </w:tcPr>
          <w:p w14:paraId="20C704DB" w14:textId="77777777" w:rsidR="00975F26" w:rsidRPr="00ED0D6D" w:rsidRDefault="00975F26" w:rsidP="002A479B">
            <w:pPr>
              <w:jc w:val="center"/>
              <w:rPr>
                <w:color w:val="000000"/>
                <w:sz w:val="20"/>
                <w:highlight w:val="yellow"/>
              </w:rPr>
            </w:pPr>
            <w:r w:rsidRPr="00692A73">
              <w:rPr>
                <w:color w:val="000000"/>
                <w:sz w:val="20"/>
              </w:rPr>
              <w:t>–</w:t>
            </w:r>
          </w:p>
        </w:tc>
        <w:tc>
          <w:tcPr>
            <w:tcW w:w="1250" w:type="dxa"/>
            <w:shd w:val="clear" w:color="auto" w:fill="auto"/>
            <w:vAlign w:val="center"/>
          </w:tcPr>
          <w:p w14:paraId="0E11F7EA" w14:textId="77777777" w:rsidR="00975F26" w:rsidRPr="00ED0D6D" w:rsidRDefault="00975F26" w:rsidP="002A479B">
            <w:pPr>
              <w:jc w:val="center"/>
              <w:rPr>
                <w:color w:val="000000"/>
                <w:sz w:val="20"/>
              </w:rPr>
            </w:pPr>
            <w:r w:rsidRPr="00692A73">
              <w:rPr>
                <w:color w:val="000000"/>
                <w:sz w:val="20"/>
              </w:rPr>
              <w:t>–</w:t>
            </w:r>
          </w:p>
        </w:tc>
        <w:tc>
          <w:tcPr>
            <w:tcW w:w="2311" w:type="dxa"/>
            <w:shd w:val="clear" w:color="auto" w:fill="auto"/>
            <w:vAlign w:val="center"/>
          </w:tcPr>
          <w:p w14:paraId="626081E1" w14:textId="77777777" w:rsidR="00975F26" w:rsidRPr="00ED0D6D" w:rsidRDefault="00975F26" w:rsidP="002A479B">
            <w:pPr>
              <w:jc w:val="center"/>
              <w:rPr>
                <w:color w:val="000000"/>
                <w:sz w:val="20"/>
              </w:rPr>
            </w:pPr>
            <w:r w:rsidRPr="00ED0D6D">
              <w:rPr>
                <w:color w:val="000000"/>
                <w:sz w:val="20"/>
              </w:rPr>
              <w:t>VšĮ „Versli Lietuva“</w:t>
            </w:r>
          </w:p>
        </w:tc>
        <w:tc>
          <w:tcPr>
            <w:tcW w:w="1189" w:type="dxa"/>
            <w:shd w:val="clear" w:color="auto" w:fill="auto"/>
            <w:vAlign w:val="center"/>
          </w:tcPr>
          <w:p w14:paraId="2B638595" w14:textId="77777777" w:rsidR="00975F26" w:rsidRPr="00ED0D6D" w:rsidRDefault="00975F26" w:rsidP="002A479B">
            <w:pPr>
              <w:jc w:val="center"/>
              <w:rPr>
                <w:color w:val="000000"/>
                <w:sz w:val="20"/>
              </w:rPr>
            </w:pPr>
            <w:r w:rsidRPr="00ED0D6D">
              <w:rPr>
                <w:color w:val="000000"/>
                <w:sz w:val="20"/>
              </w:rPr>
              <w:t>17LRVP</w:t>
            </w:r>
          </w:p>
        </w:tc>
      </w:tr>
    </w:tbl>
    <w:p w14:paraId="72669F82" w14:textId="77777777" w:rsidR="00975F26" w:rsidRPr="00A6089B" w:rsidRDefault="00975F26" w:rsidP="00A6089B">
      <w:pPr>
        <w:spacing w:line="380" w:lineRule="atLeast"/>
        <w:jc w:val="both"/>
        <w:rPr>
          <w:bCs/>
          <w:sz w:val="20"/>
        </w:rPr>
      </w:pPr>
    </w:p>
    <w:p w14:paraId="7D6167E1" w14:textId="0243CD33" w:rsidR="00975F26" w:rsidRPr="00ED0D6D" w:rsidRDefault="00975F26" w:rsidP="00A6089B">
      <w:pPr>
        <w:spacing w:line="380" w:lineRule="atLeast"/>
        <w:ind w:left="720"/>
        <w:jc w:val="both"/>
        <w:rPr>
          <w:b/>
          <w:szCs w:val="24"/>
        </w:rPr>
      </w:pPr>
      <w:r w:rsidRPr="00ED0D6D">
        <w:rPr>
          <w:b/>
          <w:szCs w:val="24"/>
        </w:rPr>
        <w:t>2.</w:t>
      </w:r>
      <w:r w:rsidR="00A6089B">
        <w:rPr>
          <w:b/>
          <w:szCs w:val="24"/>
        </w:rPr>
        <w:t>2.</w:t>
      </w:r>
      <w:r w:rsidRPr="00ED0D6D">
        <w:rPr>
          <w:b/>
          <w:szCs w:val="24"/>
        </w:rPr>
        <w:t>6. Valstybės saugumas ir gynyba</w:t>
      </w:r>
      <w:r w:rsidRPr="00F46DD0">
        <w:rPr>
          <w:rStyle w:val="Puslapioinaosnuoroda"/>
          <w:bCs/>
          <w:szCs w:val="24"/>
        </w:rPr>
        <w:footnoteReference w:id="17"/>
      </w:r>
    </w:p>
    <w:tbl>
      <w:tblP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663"/>
        <w:gridCol w:w="1080"/>
        <w:gridCol w:w="1080"/>
        <w:gridCol w:w="953"/>
        <w:gridCol w:w="983"/>
        <w:gridCol w:w="1250"/>
        <w:gridCol w:w="1250"/>
        <w:gridCol w:w="2404"/>
        <w:gridCol w:w="1172"/>
      </w:tblGrid>
      <w:tr w:rsidR="00975F26" w:rsidRPr="00ED0D6D" w14:paraId="5554ACD3" w14:textId="77777777" w:rsidTr="002A479B">
        <w:trPr>
          <w:trHeight w:val="999"/>
        </w:trPr>
        <w:tc>
          <w:tcPr>
            <w:tcW w:w="642" w:type="dxa"/>
            <w:shd w:val="clear" w:color="000000" w:fill="DEEAF6"/>
            <w:vAlign w:val="center"/>
            <w:hideMark/>
          </w:tcPr>
          <w:p w14:paraId="1CDB202C" w14:textId="77777777" w:rsidR="00975F26" w:rsidRPr="00ED0D6D" w:rsidRDefault="00975F26" w:rsidP="002A479B">
            <w:pPr>
              <w:jc w:val="center"/>
              <w:rPr>
                <w:b/>
                <w:bCs/>
                <w:color w:val="000000"/>
                <w:sz w:val="20"/>
              </w:rPr>
            </w:pPr>
            <w:r w:rsidRPr="00ED0D6D">
              <w:rPr>
                <w:b/>
                <w:bCs/>
                <w:color w:val="000000"/>
                <w:sz w:val="20"/>
              </w:rPr>
              <w:t>Eil. Nr.</w:t>
            </w:r>
          </w:p>
        </w:tc>
        <w:tc>
          <w:tcPr>
            <w:tcW w:w="4663" w:type="dxa"/>
            <w:shd w:val="clear" w:color="000000" w:fill="DEEAF6"/>
            <w:vAlign w:val="center"/>
            <w:hideMark/>
          </w:tcPr>
          <w:p w14:paraId="1D6DEE29"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1D565AE3"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14E96E97"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53" w:type="dxa"/>
            <w:shd w:val="clear" w:color="000000" w:fill="DEEAF6"/>
            <w:vAlign w:val="center"/>
            <w:hideMark/>
          </w:tcPr>
          <w:p w14:paraId="5A444C34"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092C4D52"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039F01E2"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0617EC55"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404" w:type="dxa"/>
            <w:shd w:val="clear" w:color="000000" w:fill="DEEAF6"/>
            <w:vAlign w:val="center"/>
            <w:hideMark/>
          </w:tcPr>
          <w:p w14:paraId="5ED23951" w14:textId="77777777" w:rsidR="00975F26" w:rsidRPr="00ED0D6D" w:rsidRDefault="00975F26" w:rsidP="002A479B">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41EDBA5B"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58131E68" w14:textId="77777777" w:rsidR="00975F26" w:rsidRPr="00ED0D6D" w:rsidRDefault="00975F26" w:rsidP="002A479B">
            <w:pPr>
              <w:jc w:val="center"/>
              <w:rPr>
                <w:b/>
                <w:bCs/>
                <w:color w:val="000000"/>
                <w:sz w:val="20"/>
              </w:rPr>
            </w:pPr>
            <w:r w:rsidRPr="00ED0D6D">
              <w:rPr>
                <w:b/>
                <w:bCs/>
                <w:color w:val="000000"/>
                <w:sz w:val="20"/>
              </w:rPr>
              <w:t>17LRVP</w:t>
            </w:r>
          </w:p>
          <w:p w14:paraId="70826474"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3CD25FA3" w14:textId="77777777" w:rsidTr="002A479B">
        <w:trPr>
          <w:trHeight w:val="504"/>
        </w:trPr>
        <w:tc>
          <w:tcPr>
            <w:tcW w:w="642" w:type="dxa"/>
            <w:shd w:val="clear" w:color="auto" w:fill="auto"/>
            <w:vAlign w:val="center"/>
          </w:tcPr>
          <w:p w14:paraId="2C771011"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vAlign w:val="center"/>
          </w:tcPr>
          <w:p w14:paraId="6EB027DA" w14:textId="77777777" w:rsidR="00975F26" w:rsidRPr="00ED0D6D" w:rsidRDefault="00975F26" w:rsidP="002A479B">
            <w:pPr>
              <w:jc w:val="both"/>
              <w:rPr>
                <w:color w:val="000000"/>
                <w:sz w:val="20"/>
              </w:rPr>
            </w:pPr>
            <w:r w:rsidRPr="00ED0D6D">
              <w:rPr>
                <w:color w:val="000000"/>
                <w:sz w:val="20"/>
              </w:rPr>
              <w:t>Kibernetinio saugumo indeksas, Lietuvos įvertinimas (balai)</w:t>
            </w:r>
          </w:p>
        </w:tc>
        <w:tc>
          <w:tcPr>
            <w:tcW w:w="1080" w:type="dxa"/>
            <w:shd w:val="clear" w:color="auto" w:fill="auto"/>
            <w:noWrap/>
            <w:vAlign w:val="center"/>
          </w:tcPr>
          <w:p w14:paraId="76F5C191" w14:textId="77777777" w:rsidR="00975F26" w:rsidRPr="00ED0D6D" w:rsidRDefault="00975F26" w:rsidP="002A479B">
            <w:pPr>
              <w:jc w:val="center"/>
              <w:rPr>
                <w:color w:val="000000"/>
                <w:sz w:val="20"/>
              </w:rPr>
            </w:pPr>
            <w:r w:rsidRPr="00ED0D6D">
              <w:rPr>
                <w:color w:val="000000"/>
                <w:sz w:val="20"/>
              </w:rPr>
              <w:t>0,908 (2018)</w:t>
            </w:r>
          </w:p>
        </w:tc>
        <w:tc>
          <w:tcPr>
            <w:tcW w:w="1080" w:type="dxa"/>
            <w:shd w:val="clear" w:color="000000" w:fill="FFFFFF"/>
            <w:vAlign w:val="center"/>
          </w:tcPr>
          <w:p w14:paraId="4D0FBCC1" w14:textId="77777777" w:rsidR="00975F26" w:rsidRPr="00F46DD0" w:rsidRDefault="00975F26" w:rsidP="002A479B">
            <w:pPr>
              <w:jc w:val="center"/>
              <w:rPr>
                <w:i/>
                <w:iCs/>
                <w:color w:val="000000"/>
                <w:sz w:val="20"/>
              </w:rPr>
            </w:pPr>
            <w:r w:rsidRPr="00F46DD0">
              <w:rPr>
                <w:i/>
                <w:iCs/>
                <w:color w:val="000000"/>
                <w:sz w:val="20"/>
              </w:rPr>
              <w:t>n. d.</w:t>
            </w:r>
          </w:p>
        </w:tc>
        <w:tc>
          <w:tcPr>
            <w:tcW w:w="953" w:type="dxa"/>
            <w:shd w:val="clear" w:color="auto" w:fill="auto"/>
            <w:vAlign w:val="center"/>
          </w:tcPr>
          <w:p w14:paraId="6FC9134C" w14:textId="77777777" w:rsidR="00975F26" w:rsidRPr="00ED0D6D" w:rsidRDefault="00975F26" w:rsidP="002A479B">
            <w:pPr>
              <w:jc w:val="center"/>
              <w:rPr>
                <w:color w:val="000000"/>
                <w:sz w:val="20"/>
              </w:rPr>
            </w:pPr>
            <w:r w:rsidRPr="005F1563">
              <w:rPr>
                <w:color w:val="000000"/>
                <w:sz w:val="20"/>
              </w:rPr>
              <w:t>–</w:t>
            </w:r>
          </w:p>
        </w:tc>
        <w:tc>
          <w:tcPr>
            <w:tcW w:w="983" w:type="dxa"/>
            <w:shd w:val="clear" w:color="auto" w:fill="auto"/>
            <w:vAlign w:val="center"/>
          </w:tcPr>
          <w:p w14:paraId="0FF64CFD" w14:textId="77777777" w:rsidR="00975F26" w:rsidRPr="00ED0D6D" w:rsidRDefault="00975F26" w:rsidP="002A479B">
            <w:pPr>
              <w:jc w:val="center"/>
              <w:rPr>
                <w:color w:val="000000"/>
                <w:sz w:val="20"/>
              </w:rPr>
            </w:pPr>
            <w:r>
              <w:rPr>
                <w:color w:val="000000"/>
                <w:sz w:val="20"/>
              </w:rPr>
              <w:t>–</w:t>
            </w:r>
          </w:p>
        </w:tc>
        <w:tc>
          <w:tcPr>
            <w:tcW w:w="1250" w:type="dxa"/>
            <w:shd w:val="clear" w:color="auto" w:fill="auto"/>
            <w:noWrap/>
            <w:vAlign w:val="center"/>
          </w:tcPr>
          <w:p w14:paraId="76F43B7B" w14:textId="77777777" w:rsidR="00975F26" w:rsidRPr="00ED0D6D" w:rsidRDefault="00975F26" w:rsidP="002A479B">
            <w:pPr>
              <w:jc w:val="center"/>
              <w:rPr>
                <w:color w:val="000000"/>
                <w:sz w:val="20"/>
              </w:rPr>
            </w:pPr>
            <w:r w:rsidRPr="00ED0D6D">
              <w:rPr>
                <w:color w:val="000000"/>
                <w:sz w:val="20"/>
              </w:rPr>
              <w:t>0,88</w:t>
            </w:r>
          </w:p>
        </w:tc>
        <w:tc>
          <w:tcPr>
            <w:tcW w:w="1250" w:type="dxa"/>
            <w:shd w:val="clear" w:color="auto" w:fill="auto"/>
            <w:vAlign w:val="center"/>
          </w:tcPr>
          <w:p w14:paraId="129AD905" w14:textId="77777777" w:rsidR="00975F26" w:rsidRPr="00ED0D6D" w:rsidRDefault="00975F26" w:rsidP="002A479B">
            <w:pPr>
              <w:jc w:val="center"/>
              <w:rPr>
                <w:color w:val="000000"/>
                <w:sz w:val="20"/>
              </w:rPr>
            </w:pPr>
            <w:r>
              <w:rPr>
                <w:color w:val="000000"/>
                <w:sz w:val="20"/>
              </w:rPr>
              <w:t>–</w:t>
            </w:r>
          </w:p>
        </w:tc>
        <w:tc>
          <w:tcPr>
            <w:tcW w:w="2404" w:type="dxa"/>
            <w:shd w:val="clear" w:color="auto" w:fill="auto"/>
            <w:vAlign w:val="center"/>
          </w:tcPr>
          <w:p w14:paraId="598447B1" w14:textId="77777777" w:rsidR="00975F26" w:rsidRPr="00ED0D6D" w:rsidRDefault="00975F26" w:rsidP="002A479B">
            <w:pPr>
              <w:jc w:val="center"/>
              <w:rPr>
                <w:color w:val="000000"/>
                <w:sz w:val="20"/>
              </w:rPr>
            </w:pPr>
            <w:r w:rsidRPr="00ED0D6D">
              <w:rPr>
                <w:color w:val="000000"/>
                <w:sz w:val="20"/>
              </w:rPr>
              <w:t xml:space="preserve">Tarptautinė telekomunikacijų sąjunga </w:t>
            </w:r>
          </w:p>
        </w:tc>
        <w:tc>
          <w:tcPr>
            <w:tcW w:w="1172" w:type="dxa"/>
            <w:shd w:val="clear" w:color="auto" w:fill="auto"/>
            <w:vAlign w:val="center"/>
          </w:tcPr>
          <w:p w14:paraId="42BF37F4" w14:textId="77777777" w:rsidR="00975F26" w:rsidRPr="00ED0D6D" w:rsidRDefault="00975F26" w:rsidP="002A479B">
            <w:pPr>
              <w:jc w:val="center"/>
              <w:rPr>
                <w:b/>
                <w:bCs/>
                <w:i/>
                <w:iCs/>
                <w:color w:val="000000"/>
                <w:sz w:val="20"/>
              </w:rPr>
            </w:pPr>
            <w:r w:rsidRPr="00ED0D6D">
              <w:rPr>
                <w:b/>
                <w:bCs/>
                <w:color w:val="000000"/>
                <w:sz w:val="20"/>
              </w:rPr>
              <w:t>18LRVP</w:t>
            </w:r>
            <w:r w:rsidRPr="00ED0D6D">
              <w:rPr>
                <w:color w:val="000000"/>
                <w:sz w:val="20"/>
              </w:rPr>
              <w:t xml:space="preserve"> NPP2030</w:t>
            </w:r>
          </w:p>
        </w:tc>
      </w:tr>
      <w:tr w:rsidR="00975F26" w:rsidRPr="00ED0D6D" w14:paraId="6A843B2D" w14:textId="77777777" w:rsidTr="002A479B">
        <w:trPr>
          <w:trHeight w:val="504"/>
        </w:trPr>
        <w:tc>
          <w:tcPr>
            <w:tcW w:w="642" w:type="dxa"/>
            <w:shd w:val="clear" w:color="auto" w:fill="auto"/>
            <w:vAlign w:val="center"/>
          </w:tcPr>
          <w:p w14:paraId="6DABBB71"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tcPr>
          <w:p w14:paraId="7042C5F9" w14:textId="77777777" w:rsidR="00975F26" w:rsidRPr="00ED0D6D" w:rsidRDefault="00975F26" w:rsidP="002A479B">
            <w:pPr>
              <w:jc w:val="both"/>
              <w:rPr>
                <w:color w:val="000000"/>
                <w:sz w:val="20"/>
              </w:rPr>
            </w:pPr>
            <w:r w:rsidRPr="00ED0D6D">
              <w:rPr>
                <w:color w:val="000000"/>
                <w:sz w:val="20"/>
              </w:rPr>
              <w:t xml:space="preserve">Aktyviajame rezerve esančių žmonių skaičius   </w:t>
            </w:r>
          </w:p>
        </w:tc>
        <w:tc>
          <w:tcPr>
            <w:tcW w:w="1080" w:type="dxa"/>
            <w:shd w:val="clear" w:color="auto" w:fill="auto"/>
            <w:noWrap/>
            <w:vAlign w:val="center"/>
          </w:tcPr>
          <w:p w14:paraId="4CB1DF43" w14:textId="77777777" w:rsidR="00975F26" w:rsidRPr="00ED0D6D" w:rsidRDefault="00975F26" w:rsidP="002A479B">
            <w:pPr>
              <w:jc w:val="center"/>
              <w:rPr>
                <w:color w:val="000000"/>
                <w:sz w:val="20"/>
              </w:rPr>
            </w:pPr>
            <w:r w:rsidRPr="00ED0D6D">
              <w:rPr>
                <w:color w:val="000000"/>
                <w:sz w:val="20"/>
              </w:rPr>
              <w:t>18</w:t>
            </w:r>
            <w:r>
              <w:rPr>
                <w:color w:val="000000"/>
                <w:sz w:val="20"/>
              </w:rPr>
              <w:t xml:space="preserve"> </w:t>
            </w:r>
            <w:r w:rsidRPr="00ED0D6D">
              <w:rPr>
                <w:color w:val="000000"/>
                <w:sz w:val="20"/>
              </w:rPr>
              <w:t>200</w:t>
            </w:r>
          </w:p>
        </w:tc>
        <w:tc>
          <w:tcPr>
            <w:tcW w:w="1080" w:type="dxa"/>
            <w:shd w:val="clear" w:color="000000" w:fill="FFFFFF"/>
            <w:vAlign w:val="center"/>
          </w:tcPr>
          <w:p w14:paraId="5ECEE647" w14:textId="77777777" w:rsidR="00975F26" w:rsidRPr="00ED0D6D" w:rsidRDefault="00975F26" w:rsidP="002A479B">
            <w:pPr>
              <w:jc w:val="center"/>
              <w:rPr>
                <w:color w:val="000000"/>
                <w:sz w:val="20"/>
              </w:rPr>
            </w:pPr>
            <w:r w:rsidRPr="00ED0D6D">
              <w:rPr>
                <w:color w:val="000000"/>
                <w:sz w:val="20"/>
              </w:rPr>
              <w:t>22</w:t>
            </w:r>
            <w:r>
              <w:rPr>
                <w:color w:val="000000"/>
                <w:sz w:val="20"/>
              </w:rPr>
              <w:t xml:space="preserve"> </w:t>
            </w:r>
            <w:r w:rsidRPr="00ED0D6D">
              <w:rPr>
                <w:color w:val="000000"/>
                <w:sz w:val="20"/>
              </w:rPr>
              <w:t>121</w:t>
            </w:r>
          </w:p>
        </w:tc>
        <w:tc>
          <w:tcPr>
            <w:tcW w:w="953" w:type="dxa"/>
            <w:shd w:val="clear" w:color="auto" w:fill="auto"/>
            <w:vAlign w:val="center"/>
          </w:tcPr>
          <w:p w14:paraId="426522EF" w14:textId="77777777" w:rsidR="00975F26" w:rsidRPr="00ED0D6D" w:rsidRDefault="00975F26" w:rsidP="002A479B">
            <w:pPr>
              <w:jc w:val="center"/>
              <w:rPr>
                <w:color w:val="000000"/>
                <w:sz w:val="20"/>
              </w:rPr>
            </w:pPr>
            <w:r w:rsidRPr="005F1563">
              <w:rPr>
                <w:color w:val="000000"/>
                <w:sz w:val="20"/>
              </w:rPr>
              <w:t>–</w:t>
            </w:r>
          </w:p>
        </w:tc>
        <w:tc>
          <w:tcPr>
            <w:tcW w:w="983" w:type="dxa"/>
            <w:shd w:val="clear" w:color="auto" w:fill="auto"/>
            <w:vAlign w:val="center"/>
          </w:tcPr>
          <w:p w14:paraId="3CFA0F4E" w14:textId="77777777" w:rsidR="00975F26" w:rsidRPr="00ED0D6D" w:rsidRDefault="00975F26" w:rsidP="002A479B">
            <w:pPr>
              <w:jc w:val="center"/>
              <w:rPr>
                <w:color w:val="000000"/>
                <w:sz w:val="20"/>
              </w:rPr>
            </w:pPr>
            <w:r w:rsidRPr="00ED0D6D">
              <w:rPr>
                <w:color w:val="000000"/>
                <w:sz w:val="20"/>
              </w:rPr>
              <w:t>22</w:t>
            </w:r>
            <w:r>
              <w:rPr>
                <w:color w:val="000000"/>
                <w:sz w:val="20"/>
              </w:rPr>
              <w:t xml:space="preserve"> </w:t>
            </w:r>
            <w:r w:rsidRPr="00ED0D6D">
              <w:rPr>
                <w:color w:val="000000"/>
                <w:sz w:val="20"/>
              </w:rPr>
              <w:t>000</w:t>
            </w:r>
          </w:p>
        </w:tc>
        <w:tc>
          <w:tcPr>
            <w:tcW w:w="1250" w:type="dxa"/>
            <w:shd w:val="clear" w:color="auto" w:fill="auto"/>
            <w:noWrap/>
            <w:vAlign w:val="center"/>
          </w:tcPr>
          <w:p w14:paraId="6029ED10" w14:textId="77777777" w:rsidR="00975F26" w:rsidRPr="00ED0D6D" w:rsidRDefault="00975F26" w:rsidP="002A479B">
            <w:pPr>
              <w:jc w:val="center"/>
              <w:rPr>
                <w:color w:val="000000"/>
                <w:sz w:val="20"/>
              </w:rPr>
            </w:pPr>
            <w:r w:rsidRPr="00ED0D6D">
              <w:rPr>
                <w:color w:val="000000"/>
                <w:sz w:val="20"/>
              </w:rPr>
              <w:t>34</w:t>
            </w:r>
            <w:r>
              <w:rPr>
                <w:color w:val="000000"/>
                <w:sz w:val="20"/>
              </w:rPr>
              <w:t xml:space="preserve"> </w:t>
            </w:r>
            <w:r w:rsidRPr="00ED0D6D">
              <w:rPr>
                <w:color w:val="000000"/>
                <w:sz w:val="20"/>
              </w:rPr>
              <w:t>000</w:t>
            </w:r>
          </w:p>
        </w:tc>
        <w:tc>
          <w:tcPr>
            <w:tcW w:w="1250" w:type="dxa"/>
            <w:shd w:val="clear" w:color="auto" w:fill="auto"/>
            <w:vAlign w:val="center"/>
          </w:tcPr>
          <w:p w14:paraId="437874D3" w14:textId="77777777" w:rsidR="00975F26" w:rsidRPr="00ED0D6D" w:rsidRDefault="00975F26" w:rsidP="002A479B">
            <w:pPr>
              <w:jc w:val="center"/>
              <w:rPr>
                <w:color w:val="000000"/>
                <w:sz w:val="20"/>
              </w:rPr>
            </w:pPr>
            <w:r w:rsidRPr="00ED0D6D">
              <w:rPr>
                <w:color w:val="000000"/>
                <w:sz w:val="20"/>
              </w:rPr>
              <w:t>60</w:t>
            </w:r>
            <w:r>
              <w:rPr>
                <w:color w:val="000000"/>
                <w:sz w:val="20"/>
              </w:rPr>
              <w:t xml:space="preserve"> </w:t>
            </w:r>
            <w:r w:rsidRPr="00ED0D6D">
              <w:rPr>
                <w:color w:val="000000"/>
                <w:sz w:val="20"/>
              </w:rPr>
              <w:t>000</w:t>
            </w:r>
          </w:p>
        </w:tc>
        <w:tc>
          <w:tcPr>
            <w:tcW w:w="2404" w:type="dxa"/>
            <w:shd w:val="clear" w:color="auto" w:fill="auto"/>
            <w:vAlign w:val="center"/>
          </w:tcPr>
          <w:p w14:paraId="7F269FB6" w14:textId="77777777" w:rsidR="00975F26" w:rsidRPr="00ED0D6D" w:rsidRDefault="00975F26" w:rsidP="002A479B">
            <w:pPr>
              <w:jc w:val="center"/>
              <w:rPr>
                <w:color w:val="000000"/>
                <w:sz w:val="20"/>
              </w:rPr>
            </w:pPr>
            <w:r>
              <w:rPr>
                <w:color w:val="000000"/>
                <w:sz w:val="20"/>
              </w:rPr>
              <w:t>Lietuvos Respublikos k</w:t>
            </w:r>
            <w:r w:rsidRPr="00ED0D6D">
              <w:rPr>
                <w:color w:val="000000"/>
                <w:sz w:val="20"/>
              </w:rPr>
              <w:t>rašto apsaugos ministerija (</w:t>
            </w:r>
            <w:r>
              <w:rPr>
                <w:color w:val="000000"/>
                <w:sz w:val="20"/>
              </w:rPr>
              <w:t xml:space="preserve">toliau – </w:t>
            </w:r>
            <w:r w:rsidRPr="00ED0D6D">
              <w:rPr>
                <w:color w:val="000000"/>
                <w:sz w:val="20"/>
              </w:rPr>
              <w:t xml:space="preserve">KAM) </w:t>
            </w:r>
          </w:p>
        </w:tc>
        <w:tc>
          <w:tcPr>
            <w:tcW w:w="1172" w:type="dxa"/>
            <w:shd w:val="clear" w:color="auto" w:fill="auto"/>
            <w:vAlign w:val="center"/>
          </w:tcPr>
          <w:p w14:paraId="07C9F9E3"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3EE8144F" w14:textId="77777777" w:rsidTr="002A479B">
        <w:trPr>
          <w:trHeight w:val="56"/>
        </w:trPr>
        <w:tc>
          <w:tcPr>
            <w:tcW w:w="642" w:type="dxa"/>
            <w:shd w:val="clear" w:color="auto" w:fill="auto"/>
            <w:vAlign w:val="center"/>
          </w:tcPr>
          <w:p w14:paraId="6DDF12A6"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663" w:type="dxa"/>
            <w:shd w:val="clear" w:color="auto" w:fill="auto"/>
          </w:tcPr>
          <w:p w14:paraId="21DB5A53" w14:textId="77777777" w:rsidR="00975F26" w:rsidRPr="00ED0D6D" w:rsidRDefault="00975F26" w:rsidP="002A479B">
            <w:pPr>
              <w:jc w:val="both"/>
              <w:rPr>
                <w:color w:val="000000"/>
                <w:sz w:val="20"/>
              </w:rPr>
            </w:pPr>
            <w:r w:rsidRPr="00ED0D6D">
              <w:rPr>
                <w:color w:val="000000"/>
                <w:sz w:val="20"/>
              </w:rPr>
              <w:t>Lietuvos piliečių, pasirengusių ginti šalį, dalis (proc.)</w:t>
            </w:r>
          </w:p>
        </w:tc>
        <w:tc>
          <w:tcPr>
            <w:tcW w:w="1080" w:type="dxa"/>
            <w:shd w:val="clear" w:color="auto" w:fill="auto"/>
            <w:noWrap/>
            <w:vAlign w:val="center"/>
          </w:tcPr>
          <w:p w14:paraId="7724EAE8" w14:textId="77777777" w:rsidR="00975F26" w:rsidRPr="00ED0D6D" w:rsidRDefault="00975F26" w:rsidP="002A479B">
            <w:pPr>
              <w:jc w:val="center"/>
              <w:rPr>
                <w:color w:val="000000"/>
                <w:sz w:val="20"/>
              </w:rPr>
            </w:pPr>
            <w:r w:rsidRPr="00ED0D6D">
              <w:rPr>
                <w:color w:val="000000"/>
                <w:sz w:val="20"/>
              </w:rPr>
              <w:t>48,5</w:t>
            </w:r>
          </w:p>
        </w:tc>
        <w:tc>
          <w:tcPr>
            <w:tcW w:w="1080" w:type="dxa"/>
            <w:shd w:val="clear" w:color="000000" w:fill="FFFFFF"/>
            <w:vAlign w:val="center"/>
          </w:tcPr>
          <w:p w14:paraId="5E54AE6E" w14:textId="77777777" w:rsidR="00975F26" w:rsidRPr="00ED0D6D" w:rsidRDefault="00975F26" w:rsidP="002A479B">
            <w:pPr>
              <w:jc w:val="center"/>
              <w:rPr>
                <w:color w:val="000000"/>
                <w:sz w:val="20"/>
              </w:rPr>
            </w:pPr>
            <w:r w:rsidRPr="00ED0D6D">
              <w:rPr>
                <w:color w:val="000000"/>
                <w:sz w:val="20"/>
              </w:rPr>
              <w:t>49</w:t>
            </w:r>
          </w:p>
        </w:tc>
        <w:tc>
          <w:tcPr>
            <w:tcW w:w="953" w:type="dxa"/>
            <w:shd w:val="clear" w:color="auto" w:fill="auto"/>
            <w:vAlign w:val="center"/>
          </w:tcPr>
          <w:p w14:paraId="71B49E61" w14:textId="77777777" w:rsidR="00975F26" w:rsidRPr="00ED0D6D" w:rsidRDefault="00975F26" w:rsidP="002A479B">
            <w:pPr>
              <w:jc w:val="center"/>
              <w:rPr>
                <w:color w:val="000000"/>
                <w:sz w:val="20"/>
              </w:rPr>
            </w:pPr>
            <w:r w:rsidRPr="005F1563">
              <w:rPr>
                <w:color w:val="000000"/>
                <w:sz w:val="20"/>
              </w:rPr>
              <w:t>–</w:t>
            </w:r>
          </w:p>
        </w:tc>
        <w:tc>
          <w:tcPr>
            <w:tcW w:w="983" w:type="dxa"/>
            <w:shd w:val="clear" w:color="auto" w:fill="auto"/>
            <w:vAlign w:val="center"/>
          </w:tcPr>
          <w:p w14:paraId="392CE913" w14:textId="77777777" w:rsidR="00975F26" w:rsidRPr="00ED0D6D" w:rsidRDefault="00975F26" w:rsidP="002A479B">
            <w:pPr>
              <w:jc w:val="center"/>
              <w:rPr>
                <w:color w:val="000000"/>
                <w:sz w:val="20"/>
              </w:rPr>
            </w:pPr>
            <w:r w:rsidRPr="00ED0D6D">
              <w:rPr>
                <w:color w:val="000000"/>
                <w:sz w:val="20"/>
              </w:rPr>
              <w:t>49</w:t>
            </w:r>
          </w:p>
        </w:tc>
        <w:tc>
          <w:tcPr>
            <w:tcW w:w="1250" w:type="dxa"/>
            <w:shd w:val="clear" w:color="auto" w:fill="auto"/>
            <w:noWrap/>
            <w:vAlign w:val="center"/>
          </w:tcPr>
          <w:p w14:paraId="0AF63EDE" w14:textId="77777777" w:rsidR="00975F26" w:rsidRPr="00ED0D6D" w:rsidRDefault="00975F26" w:rsidP="002A479B">
            <w:pPr>
              <w:jc w:val="center"/>
              <w:rPr>
                <w:color w:val="000000"/>
                <w:sz w:val="20"/>
              </w:rPr>
            </w:pPr>
            <w:r w:rsidRPr="00ED0D6D">
              <w:rPr>
                <w:color w:val="000000"/>
                <w:sz w:val="20"/>
              </w:rPr>
              <w:t>55</w:t>
            </w:r>
          </w:p>
        </w:tc>
        <w:tc>
          <w:tcPr>
            <w:tcW w:w="1250" w:type="dxa"/>
            <w:shd w:val="clear" w:color="auto" w:fill="auto"/>
            <w:vAlign w:val="center"/>
          </w:tcPr>
          <w:p w14:paraId="23D690A2" w14:textId="77777777" w:rsidR="00975F26" w:rsidRPr="00ED0D6D" w:rsidRDefault="00975F26" w:rsidP="002A479B">
            <w:pPr>
              <w:jc w:val="center"/>
              <w:rPr>
                <w:color w:val="000000"/>
                <w:sz w:val="20"/>
              </w:rPr>
            </w:pPr>
            <w:r w:rsidRPr="00ED0D6D">
              <w:rPr>
                <w:color w:val="000000"/>
                <w:sz w:val="20"/>
              </w:rPr>
              <w:t>58</w:t>
            </w:r>
          </w:p>
        </w:tc>
        <w:tc>
          <w:tcPr>
            <w:tcW w:w="2404" w:type="dxa"/>
            <w:shd w:val="clear" w:color="auto" w:fill="auto"/>
            <w:vAlign w:val="center"/>
          </w:tcPr>
          <w:p w14:paraId="7977635A" w14:textId="77777777" w:rsidR="00975F26" w:rsidRPr="00ED0D6D" w:rsidRDefault="00975F26" w:rsidP="002A479B">
            <w:pPr>
              <w:jc w:val="center"/>
              <w:rPr>
                <w:color w:val="000000"/>
                <w:sz w:val="20"/>
              </w:rPr>
            </w:pPr>
            <w:r>
              <w:rPr>
                <w:color w:val="000000"/>
                <w:sz w:val="20"/>
              </w:rPr>
              <w:t>g</w:t>
            </w:r>
            <w:r w:rsidRPr="00ED0D6D">
              <w:rPr>
                <w:color w:val="000000"/>
                <w:sz w:val="20"/>
              </w:rPr>
              <w:t>yventojų apklausa</w:t>
            </w:r>
          </w:p>
        </w:tc>
        <w:tc>
          <w:tcPr>
            <w:tcW w:w="1172" w:type="dxa"/>
            <w:shd w:val="clear" w:color="auto" w:fill="auto"/>
            <w:vAlign w:val="center"/>
          </w:tcPr>
          <w:p w14:paraId="742B5EFD" w14:textId="77777777" w:rsidR="00975F26" w:rsidRPr="00ED0D6D" w:rsidRDefault="00975F26" w:rsidP="002A479B">
            <w:pPr>
              <w:jc w:val="center"/>
              <w:rPr>
                <w:b/>
                <w:bCs/>
                <w:color w:val="000000"/>
                <w:sz w:val="20"/>
              </w:rPr>
            </w:pPr>
            <w:r w:rsidRPr="00ED0D6D">
              <w:rPr>
                <w:color w:val="000000"/>
                <w:sz w:val="20"/>
              </w:rPr>
              <w:t>NPP2030</w:t>
            </w:r>
          </w:p>
        </w:tc>
      </w:tr>
      <w:tr w:rsidR="00975F26" w:rsidRPr="00ED0D6D" w14:paraId="090AA152" w14:textId="77777777" w:rsidTr="002A479B">
        <w:trPr>
          <w:trHeight w:val="368"/>
        </w:trPr>
        <w:tc>
          <w:tcPr>
            <w:tcW w:w="642" w:type="dxa"/>
            <w:shd w:val="clear" w:color="auto" w:fill="auto"/>
            <w:vAlign w:val="center"/>
            <w:hideMark/>
          </w:tcPr>
          <w:p w14:paraId="685FF30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vAlign w:val="center"/>
          </w:tcPr>
          <w:p w14:paraId="43FBA664" w14:textId="77777777" w:rsidR="00975F26" w:rsidRPr="00ED0D6D" w:rsidRDefault="00975F26" w:rsidP="002A479B">
            <w:pPr>
              <w:jc w:val="both"/>
              <w:rPr>
                <w:color w:val="000000"/>
                <w:sz w:val="20"/>
              </w:rPr>
            </w:pPr>
            <w:r w:rsidRPr="00ED0D6D">
              <w:rPr>
                <w:color w:val="000000"/>
                <w:sz w:val="20"/>
              </w:rPr>
              <w:t>Lietuvos piliečių, žinančių, kaip reikia elgtis mobilizacijos atveju, dalis (proc.)</w:t>
            </w:r>
          </w:p>
        </w:tc>
        <w:tc>
          <w:tcPr>
            <w:tcW w:w="1080" w:type="dxa"/>
            <w:shd w:val="clear" w:color="000000" w:fill="FFFFFF"/>
            <w:vAlign w:val="center"/>
          </w:tcPr>
          <w:p w14:paraId="282B296A" w14:textId="77777777" w:rsidR="00975F26" w:rsidRPr="00ED0D6D" w:rsidRDefault="00975F26" w:rsidP="002A479B">
            <w:pPr>
              <w:jc w:val="center"/>
              <w:rPr>
                <w:color w:val="000000"/>
                <w:sz w:val="20"/>
              </w:rPr>
            </w:pPr>
            <w:r w:rsidRPr="00ED0D6D">
              <w:rPr>
                <w:color w:val="000000"/>
                <w:sz w:val="20"/>
              </w:rPr>
              <w:t>27</w:t>
            </w:r>
          </w:p>
        </w:tc>
        <w:tc>
          <w:tcPr>
            <w:tcW w:w="1080" w:type="dxa"/>
            <w:shd w:val="clear" w:color="auto" w:fill="auto"/>
            <w:noWrap/>
            <w:vAlign w:val="center"/>
          </w:tcPr>
          <w:p w14:paraId="1AE08E3E" w14:textId="77777777" w:rsidR="00975F26" w:rsidRPr="00ED0D6D" w:rsidRDefault="00975F26" w:rsidP="002A479B">
            <w:pPr>
              <w:jc w:val="center"/>
              <w:rPr>
                <w:color w:val="000000"/>
                <w:sz w:val="20"/>
              </w:rPr>
            </w:pPr>
            <w:r w:rsidRPr="00ED0D6D">
              <w:rPr>
                <w:sz w:val="20"/>
              </w:rPr>
              <w:t>28</w:t>
            </w:r>
          </w:p>
        </w:tc>
        <w:tc>
          <w:tcPr>
            <w:tcW w:w="953" w:type="dxa"/>
            <w:shd w:val="clear" w:color="auto" w:fill="auto"/>
            <w:vAlign w:val="center"/>
          </w:tcPr>
          <w:p w14:paraId="33BDA5FC" w14:textId="77777777" w:rsidR="00975F26" w:rsidRPr="00ED0D6D" w:rsidRDefault="00975F26" w:rsidP="002A479B">
            <w:pPr>
              <w:jc w:val="center"/>
              <w:rPr>
                <w:color w:val="000000"/>
                <w:sz w:val="20"/>
              </w:rPr>
            </w:pPr>
            <w:r w:rsidRPr="005F1563">
              <w:rPr>
                <w:color w:val="000000"/>
                <w:sz w:val="20"/>
              </w:rPr>
              <w:t>–</w:t>
            </w:r>
          </w:p>
        </w:tc>
        <w:tc>
          <w:tcPr>
            <w:tcW w:w="983" w:type="dxa"/>
            <w:shd w:val="clear" w:color="auto" w:fill="auto"/>
            <w:vAlign w:val="center"/>
          </w:tcPr>
          <w:p w14:paraId="0D9576A3" w14:textId="77777777" w:rsidR="00975F26" w:rsidRPr="00ED0D6D" w:rsidRDefault="00975F26" w:rsidP="002A479B">
            <w:pPr>
              <w:jc w:val="center"/>
              <w:rPr>
                <w:color w:val="000000"/>
                <w:sz w:val="20"/>
              </w:rPr>
            </w:pPr>
            <w:r>
              <w:rPr>
                <w:sz w:val="20"/>
              </w:rPr>
              <w:t>–</w:t>
            </w:r>
          </w:p>
        </w:tc>
        <w:tc>
          <w:tcPr>
            <w:tcW w:w="1250" w:type="dxa"/>
            <w:shd w:val="clear" w:color="auto" w:fill="auto"/>
            <w:noWrap/>
            <w:vAlign w:val="center"/>
          </w:tcPr>
          <w:p w14:paraId="39F506A2" w14:textId="77777777" w:rsidR="00975F26" w:rsidRPr="00ED0D6D" w:rsidRDefault="00975F26" w:rsidP="002A479B">
            <w:pPr>
              <w:jc w:val="center"/>
              <w:rPr>
                <w:color w:val="000000"/>
                <w:sz w:val="20"/>
              </w:rPr>
            </w:pPr>
            <w:r w:rsidRPr="00ED0D6D">
              <w:rPr>
                <w:color w:val="000000"/>
                <w:sz w:val="20"/>
              </w:rPr>
              <w:t>33</w:t>
            </w:r>
          </w:p>
        </w:tc>
        <w:tc>
          <w:tcPr>
            <w:tcW w:w="1250" w:type="dxa"/>
            <w:shd w:val="clear" w:color="auto" w:fill="auto"/>
            <w:vAlign w:val="center"/>
          </w:tcPr>
          <w:p w14:paraId="080C5045" w14:textId="77777777" w:rsidR="00975F26" w:rsidRPr="00ED0D6D" w:rsidRDefault="00975F26" w:rsidP="002A479B">
            <w:pPr>
              <w:jc w:val="center"/>
              <w:rPr>
                <w:color w:val="000000"/>
                <w:sz w:val="20"/>
              </w:rPr>
            </w:pPr>
            <w:r w:rsidRPr="00ED0D6D">
              <w:rPr>
                <w:color w:val="000000"/>
                <w:sz w:val="20"/>
              </w:rPr>
              <w:t>38</w:t>
            </w:r>
          </w:p>
        </w:tc>
        <w:tc>
          <w:tcPr>
            <w:tcW w:w="2404" w:type="dxa"/>
            <w:shd w:val="clear" w:color="auto" w:fill="auto"/>
            <w:vAlign w:val="center"/>
          </w:tcPr>
          <w:p w14:paraId="5B700B41" w14:textId="77777777" w:rsidR="00975F26" w:rsidRPr="00ED0D6D" w:rsidRDefault="00975F26" w:rsidP="002A479B">
            <w:pPr>
              <w:jc w:val="center"/>
              <w:rPr>
                <w:color w:val="000000"/>
                <w:sz w:val="20"/>
              </w:rPr>
            </w:pPr>
            <w:r>
              <w:rPr>
                <w:color w:val="000000"/>
                <w:sz w:val="20"/>
              </w:rPr>
              <w:t>g</w:t>
            </w:r>
            <w:r w:rsidRPr="00ED0D6D">
              <w:rPr>
                <w:color w:val="000000"/>
                <w:sz w:val="20"/>
              </w:rPr>
              <w:t>yventojų apklausa</w:t>
            </w:r>
          </w:p>
        </w:tc>
        <w:tc>
          <w:tcPr>
            <w:tcW w:w="1172" w:type="dxa"/>
            <w:shd w:val="clear" w:color="auto" w:fill="auto"/>
            <w:vAlign w:val="center"/>
          </w:tcPr>
          <w:p w14:paraId="746CB28C" w14:textId="77777777" w:rsidR="00975F26" w:rsidRPr="00ED0D6D" w:rsidRDefault="00975F26" w:rsidP="002A479B">
            <w:pPr>
              <w:jc w:val="center"/>
              <w:rPr>
                <w:b/>
                <w:bCs/>
                <w:i/>
                <w:iCs/>
                <w:color w:val="000000"/>
                <w:sz w:val="20"/>
              </w:rPr>
            </w:pPr>
            <w:r w:rsidRPr="00ED0D6D">
              <w:rPr>
                <w:color w:val="000000"/>
                <w:sz w:val="20"/>
              </w:rPr>
              <w:t>NPP2030</w:t>
            </w:r>
          </w:p>
        </w:tc>
      </w:tr>
      <w:tr w:rsidR="00975F26" w:rsidRPr="00ED0D6D" w14:paraId="1A52E5D4" w14:textId="77777777" w:rsidTr="002A479B">
        <w:trPr>
          <w:trHeight w:val="368"/>
        </w:trPr>
        <w:tc>
          <w:tcPr>
            <w:tcW w:w="642" w:type="dxa"/>
            <w:shd w:val="clear" w:color="auto" w:fill="auto"/>
            <w:vAlign w:val="center"/>
          </w:tcPr>
          <w:p w14:paraId="77DB6F06"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vAlign w:val="center"/>
          </w:tcPr>
          <w:p w14:paraId="383F27C6" w14:textId="77777777" w:rsidR="00975F26" w:rsidRPr="00ED0D6D" w:rsidRDefault="00975F26" w:rsidP="002A479B">
            <w:pPr>
              <w:jc w:val="both"/>
              <w:rPr>
                <w:color w:val="000000"/>
                <w:sz w:val="20"/>
              </w:rPr>
            </w:pPr>
            <w:r w:rsidRPr="00ED0D6D">
              <w:rPr>
                <w:color w:val="000000"/>
                <w:sz w:val="20"/>
              </w:rPr>
              <w:t xml:space="preserve">Lietuvos gyventojų, pasitikinčių Lietuvos kariuomene, dalis, procentais (proc.) </w:t>
            </w:r>
          </w:p>
        </w:tc>
        <w:tc>
          <w:tcPr>
            <w:tcW w:w="1080" w:type="dxa"/>
            <w:shd w:val="clear" w:color="000000" w:fill="FFFFFF"/>
            <w:vAlign w:val="center"/>
          </w:tcPr>
          <w:p w14:paraId="69E5B4AA" w14:textId="77777777" w:rsidR="00975F26" w:rsidRPr="00ED0D6D" w:rsidRDefault="00975F26" w:rsidP="002A479B">
            <w:pPr>
              <w:jc w:val="center"/>
              <w:rPr>
                <w:color w:val="000000"/>
                <w:sz w:val="20"/>
              </w:rPr>
            </w:pPr>
            <w:r w:rsidRPr="00ED0D6D">
              <w:rPr>
                <w:color w:val="000000"/>
                <w:sz w:val="20"/>
              </w:rPr>
              <w:t>60</w:t>
            </w:r>
          </w:p>
        </w:tc>
        <w:tc>
          <w:tcPr>
            <w:tcW w:w="1080" w:type="dxa"/>
            <w:shd w:val="clear" w:color="auto" w:fill="auto"/>
            <w:noWrap/>
            <w:vAlign w:val="center"/>
          </w:tcPr>
          <w:p w14:paraId="2C50C084" w14:textId="77777777" w:rsidR="00975F26" w:rsidRPr="00ED0D6D" w:rsidRDefault="00975F26" w:rsidP="002A479B">
            <w:pPr>
              <w:jc w:val="center"/>
              <w:rPr>
                <w:sz w:val="20"/>
              </w:rPr>
            </w:pPr>
            <w:r w:rsidRPr="00ED0D6D">
              <w:rPr>
                <w:color w:val="000000"/>
                <w:sz w:val="20"/>
              </w:rPr>
              <w:t>63</w:t>
            </w:r>
          </w:p>
        </w:tc>
        <w:tc>
          <w:tcPr>
            <w:tcW w:w="953" w:type="dxa"/>
            <w:shd w:val="clear" w:color="auto" w:fill="auto"/>
            <w:vAlign w:val="center"/>
          </w:tcPr>
          <w:p w14:paraId="30F64ADE" w14:textId="77777777" w:rsidR="00975F26" w:rsidRPr="00ED0D6D" w:rsidRDefault="00975F26" w:rsidP="002A479B">
            <w:pPr>
              <w:jc w:val="center"/>
              <w:rPr>
                <w:color w:val="000000"/>
                <w:sz w:val="20"/>
              </w:rPr>
            </w:pPr>
            <w:r w:rsidRPr="005F1563">
              <w:rPr>
                <w:color w:val="000000"/>
                <w:sz w:val="20"/>
              </w:rPr>
              <w:t>–</w:t>
            </w:r>
          </w:p>
        </w:tc>
        <w:tc>
          <w:tcPr>
            <w:tcW w:w="983" w:type="dxa"/>
            <w:shd w:val="clear" w:color="auto" w:fill="auto"/>
            <w:vAlign w:val="center"/>
          </w:tcPr>
          <w:p w14:paraId="73A2E1FD" w14:textId="77777777" w:rsidR="00975F26" w:rsidRPr="00ED0D6D" w:rsidRDefault="00975F26" w:rsidP="002A479B">
            <w:pPr>
              <w:jc w:val="center"/>
              <w:rPr>
                <w:sz w:val="20"/>
              </w:rPr>
            </w:pPr>
            <w:r w:rsidRPr="00ED0D6D">
              <w:rPr>
                <w:color w:val="000000"/>
                <w:sz w:val="20"/>
              </w:rPr>
              <w:t>62</w:t>
            </w:r>
          </w:p>
        </w:tc>
        <w:tc>
          <w:tcPr>
            <w:tcW w:w="1250" w:type="dxa"/>
            <w:shd w:val="clear" w:color="auto" w:fill="auto"/>
            <w:noWrap/>
            <w:vAlign w:val="center"/>
          </w:tcPr>
          <w:p w14:paraId="4AC4A1B8"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747CDE97" w14:textId="77777777" w:rsidR="00975F26" w:rsidRPr="00ED0D6D" w:rsidRDefault="00975F26" w:rsidP="002A479B">
            <w:pPr>
              <w:jc w:val="center"/>
              <w:rPr>
                <w:color w:val="000000"/>
                <w:sz w:val="20"/>
              </w:rPr>
            </w:pPr>
            <w:r>
              <w:rPr>
                <w:color w:val="000000"/>
                <w:sz w:val="20"/>
              </w:rPr>
              <w:t>–</w:t>
            </w:r>
          </w:p>
        </w:tc>
        <w:tc>
          <w:tcPr>
            <w:tcW w:w="2404" w:type="dxa"/>
            <w:shd w:val="clear" w:color="auto" w:fill="auto"/>
            <w:vAlign w:val="center"/>
          </w:tcPr>
          <w:p w14:paraId="75744362" w14:textId="77777777" w:rsidR="00975F26" w:rsidRPr="00ED0D6D" w:rsidRDefault="00975F26" w:rsidP="002A479B">
            <w:pPr>
              <w:jc w:val="center"/>
              <w:rPr>
                <w:color w:val="000000"/>
                <w:sz w:val="20"/>
              </w:rPr>
            </w:pPr>
            <w:r w:rsidRPr="00ED0D6D">
              <w:rPr>
                <w:color w:val="000000"/>
                <w:sz w:val="20"/>
              </w:rPr>
              <w:t xml:space="preserve">UAB </w:t>
            </w:r>
            <w:r>
              <w:rPr>
                <w:color w:val="000000"/>
                <w:sz w:val="20"/>
              </w:rPr>
              <w:t>„</w:t>
            </w:r>
            <w:r w:rsidRPr="00ED0D6D">
              <w:rPr>
                <w:color w:val="000000"/>
                <w:sz w:val="20"/>
              </w:rPr>
              <w:t>Vilmorus</w:t>
            </w:r>
            <w:r>
              <w:rPr>
                <w:color w:val="000000"/>
                <w:sz w:val="20"/>
              </w:rPr>
              <w:t>“</w:t>
            </w:r>
          </w:p>
        </w:tc>
        <w:tc>
          <w:tcPr>
            <w:tcW w:w="1172" w:type="dxa"/>
            <w:shd w:val="clear" w:color="auto" w:fill="auto"/>
            <w:vAlign w:val="center"/>
          </w:tcPr>
          <w:p w14:paraId="084A029D"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A2836C4" w14:textId="77777777" w:rsidTr="002A479B">
        <w:trPr>
          <w:trHeight w:val="305"/>
        </w:trPr>
        <w:tc>
          <w:tcPr>
            <w:tcW w:w="642" w:type="dxa"/>
            <w:shd w:val="clear" w:color="auto" w:fill="auto"/>
            <w:vAlign w:val="center"/>
            <w:hideMark/>
          </w:tcPr>
          <w:p w14:paraId="7947B09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vAlign w:val="center"/>
          </w:tcPr>
          <w:p w14:paraId="4E4F2C29" w14:textId="77777777" w:rsidR="00975F26" w:rsidRPr="00ED0D6D" w:rsidRDefault="00975F26" w:rsidP="002A479B">
            <w:pPr>
              <w:jc w:val="both"/>
              <w:rPr>
                <w:color w:val="000000"/>
                <w:sz w:val="20"/>
              </w:rPr>
            </w:pPr>
            <w:r w:rsidRPr="00ED0D6D">
              <w:rPr>
                <w:color w:val="000000"/>
                <w:sz w:val="20"/>
              </w:rPr>
              <w:t xml:space="preserve">NATO rengiamas Lietuvos nacionalinių kariuomenės vystymo planų ir NATO įsipareigojimų vykdymo </w:t>
            </w:r>
            <w:r>
              <w:rPr>
                <w:color w:val="000000"/>
                <w:sz w:val="20"/>
              </w:rPr>
              <w:t>į</w:t>
            </w:r>
            <w:r w:rsidRPr="00ED0D6D">
              <w:rPr>
                <w:color w:val="000000"/>
                <w:sz w:val="20"/>
              </w:rPr>
              <w:t xml:space="preserve">vertinimas (indeksas) </w:t>
            </w:r>
          </w:p>
        </w:tc>
        <w:tc>
          <w:tcPr>
            <w:tcW w:w="1080" w:type="dxa"/>
            <w:shd w:val="clear" w:color="000000" w:fill="FFFFFF"/>
            <w:vAlign w:val="center"/>
          </w:tcPr>
          <w:p w14:paraId="4E5DF27E" w14:textId="77777777" w:rsidR="00975F26" w:rsidRPr="00ED0D6D" w:rsidRDefault="00975F26" w:rsidP="002A479B">
            <w:pPr>
              <w:jc w:val="center"/>
              <w:rPr>
                <w:color w:val="000000"/>
                <w:sz w:val="20"/>
              </w:rPr>
            </w:pPr>
            <w:r w:rsidRPr="00ED0D6D">
              <w:rPr>
                <w:color w:val="000000"/>
                <w:sz w:val="20"/>
              </w:rPr>
              <w:t>gerai</w:t>
            </w:r>
          </w:p>
        </w:tc>
        <w:tc>
          <w:tcPr>
            <w:tcW w:w="1080" w:type="dxa"/>
            <w:shd w:val="clear" w:color="auto" w:fill="auto"/>
            <w:noWrap/>
            <w:vAlign w:val="center"/>
          </w:tcPr>
          <w:p w14:paraId="052C9E33" w14:textId="77777777" w:rsidR="00975F26" w:rsidRPr="00ED0D6D" w:rsidRDefault="00975F26" w:rsidP="002A479B">
            <w:pPr>
              <w:jc w:val="center"/>
              <w:rPr>
                <w:color w:val="000000"/>
                <w:sz w:val="20"/>
              </w:rPr>
            </w:pPr>
            <w:r>
              <w:rPr>
                <w:color w:val="000000"/>
                <w:sz w:val="20"/>
              </w:rPr>
              <w:t>–</w:t>
            </w:r>
          </w:p>
        </w:tc>
        <w:tc>
          <w:tcPr>
            <w:tcW w:w="953" w:type="dxa"/>
            <w:shd w:val="clear" w:color="auto" w:fill="auto"/>
            <w:vAlign w:val="center"/>
          </w:tcPr>
          <w:p w14:paraId="1BBDB683" w14:textId="77777777" w:rsidR="00975F26" w:rsidRPr="00ED0D6D" w:rsidRDefault="00975F26" w:rsidP="002A479B">
            <w:pPr>
              <w:jc w:val="center"/>
              <w:rPr>
                <w:color w:val="000000"/>
                <w:sz w:val="20"/>
              </w:rPr>
            </w:pPr>
            <w:r w:rsidRPr="005F1563">
              <w:rPr>
                <w:color w:val="000000"/>
                <w:sz w:val="20"/>
              </w:rPr>
              <w:t>–</w:t>
            </w:r>
          </w:p>
        </w:tc>
        <w:tc>
          <w:tcPr>
            <w:tcW w:w="983" w:type="dxa"/>
            <w:shd w:val="clear" w:color="auto" w:fill="auto"/>
            <w:vAlign w:val="center"/>
          </w:tcPr>
          <w:p w14:paraId="580F8AF7" w14:textId="77777777" w:rsidR="00975F26" w:rsidRPr="00ED0D6D" w:rsidRDefault="00975F26" w:rsidP="002A479B">
            <w:pPr>
              <w:jc w:val="center"/>
              <w:rPr>
                <w:color w:val="000000"/>
                <w:sz w:val="20"/>
              </w:rPr>
            </w:pPr>
            <w:r w:rsidRPr="00ED0D6D">
              <w:rPr>
                <w:b/>
                <w:bCs/>
                <w:sz w:val="20"/>
              </w:rPr>
              <w:t xml:space="preserve"> </w:t>
            </w:r>
            <w:r>
              <w:rPr>
                <w:b/>
                <w:bCs/>
                <w:sz w:val="20"/>
              </w:rPr>
              <w:t>–</w:t>
            </w:r>
          </w:p>
        </w:tc>
        <w:tc>
          <w:tcPr>
            <w:tcW w:w="1250" w:type="dxa"/>
            <w:shd w:val="clear" w:color="auto" w:fill="auto"/>
            <w:noWrap/>
            <w:vAlign w:val="center"/>
          </w:tcPr>
          <w:p w14:paraId="67531B97" w14:textId="77777777" w:rsidR="00975F26" w:rsidRPr="00ED0D6D" w:rsidRDefault="00975F26" w:rsidP="002A479B">
            <w:pPr>
              <w:jc w:val="center"/>
              <w:rPr>
                <w:color w:val="000000"/>
                <w:sz w:val="20"/>
              </w:rPr>
            </w:pPr>
            <w:r w:rsidRPr="00ED0D6D">
              <w:rPr>
                <w:color w:val="000000"/>
                <w:sz w:val="20"/>
              </w:rPr>
              <w:t>gerai</w:t>
            </w:r>
          </w:p>
        </w:tc>
        <w:tc>
          <w:tcPr>
            <w:tcW w:w="1250" w:type="dxa"/>
            <w:shd w:val="clear" w:color="auto" w:fill="auto"/>
            <w:vAlign w:val="center"/>
          </w:tcPr>
          <w:p w14:paraId="7A566557" w14:textId="77777777" w:rsidR="00975F26" w:rsidRPr="00ED0D6D" w:rsidRDefault="00975F26" w:rsidP="002A479B">
            <w:pPr>
              <w:jc w:val="center"/>
              <w:rPr>
                <w:color w:val="000000"/>
                <w:sz w:val="20"/>
              </w:rPr>
            </w:pPr>
            <w:r w:rsidRPr="00ED0D6D">
              <w:rPr>
                <w:color w:val="000000"/>
                <w:sz w:val="20"/>
              </w:rPr>
              <w:t>labai gerai</w:t>
            </w:r>
          </w:p>
        </w:tc>
        <w:tc>
          <w:tcPr>
            <w:tcW w:w="2404" w:type="dxa"/>
            <w:shd w:val="clear" w:color="auto" w:fill="auto"/>
            <w:vAlign w:val="center"/>
          </w:tcPr>
          <w:p w14:paraId="5F7AB39D" w14:textId="77777777" w:rsidR="00975F26" w:rsidRPr="00ED0D6D" w:rsidRDefault="00975F26" w:rsidP="002A479B">
            <w:pPr>
              <w:jc w:val="center"/>
              <w:rPr>
                <w:color w:val="000000"/>
                <w:sz w:val="20"/>
              </w:rPr>
            </w:pPr>
            <w:r w:rsidRPr="00ED0D6D">
              <w:rPr>
                <w:color w:val="000000"/>
                <w:sz w:val="20"/>
              </w:rPr>
              <w:t>NATO gynybos planavimo ekspertų vertinimas</w:t>
            </w:r>
          </w:p>
        </w:tc>
        <w:tc>
          <w:tcPr>
            <w:tcW w:w="1172" w:type="dxa"/>
            <w:shd w:val="clear" w:color="auto" w:fill="auto"/>
            <w:vAlign w:val="center"/>
          </w:tcPr>
          <w:p w14:paraId="0149755E"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7083C2E2" w14:textId="77777777" w:rsidTr="002A479B">
        <w:trPr>
          <w:trHeight w:val="269"/>
        </w:trPr>
        <w:tc>
          <w:tcPr>
            <w:tcW w:w="642" w:type="dxa"/>
            <w:shd w:val="clear" w:color="000000" w:fill="FFFFFF"/>
            <w:vAlign w:val="center"/>
            <w:hideMark/>
          </w:tcPr>
          <w:p w14:paraId="73C9F011"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663" w:type="dxa"/>
            <w:shd w:val="clear" w:color="000000" w:fill="FFFFFF"/>
            <w:vAlign w:val="center"/>
          </w:tcPr>
          <w:p w14:paraId="250BB317" w14:textId="77777777" w:rsidR="00975F26" w:rsidRPr="00ED0D6D" w:rsidRDefault="00975F26" w:rsidP="002A479B">
            <w:pPr>
              <w:jc w:val="both"/>
              <w:rPr>
                <w:color w:val="000000"/>
                <w:sz w:val="20"/>
              </w:rPr>
            </w:pPr>
            <w:r w:rsidRPr="00ED0D6D">
              <w:rPr>
                <w:color w:val="000000"/>
                <w:sz w:val="20"/>
              </w:rPr>
              <w:t>Į L</w:t>
            </w:r>
            <w:r>
              <w:rPr>
                <w:color w:val="000000"/>
                <w:sz w:val="20"/>
              </w:rPr>
              <w:t>ietuvos šaulių sąjungos (LŠS)</w:t>
            </w:r>
            <w:r w:rsidRPr="00ED0D6D">
              <w:rPr>
                <w:color w:val="000000"/>
                <w:sz w:val="20"/>
              </w:rPr>
              <w:t xml:space="preserve"> kovinius būrius įrašytų šaulių skaičius  </w:t>
            </w:r>
          </w:p>
        </w:tc>
        <w:tc>
          <w:tcPr>
            <w:tcW w:w="1080" w:type="dxa"/>
            <w:shd w:val="clear" w:color="000000" w:fill="FFFFFF"/>
            <w:vAlign w:val="center"/>
          </w:tcPr>
          <w:p w14:paraId="4CE23705" w14:textId="77777777" w:rsidR="00975F26" w:rsidRPr="00ED0D6D" w:rsidRDefault="00975F26" w:rsidP="002A479B">
            <w:pPr>
              <w:jc w:val="center"/>
              <w:rPr>
                <w:color w:val="000000"/>
                <w:sz w:val="20"/>
              </w:rPr>
            </w:pPr>
            <w:r w:rsidRPr="00ED0D6D">
              <w:rPr>
                <w:color w:val="000000"/>
                <w:sz w:val="20"/>
              </w:rPr>
              <w:t>265</w:t>
            </w:r>
          </w:p>
        </w:tc>
        <w:tc>
          <w:tcPr>
            <w:tcW w:w="1080" w:type="dxa"/>
            <w:shd w:val="clear" w:color="000000" w:fill="FFFFFF"/>
            <w:vAlign w:val="center"/>
          </w:tcPr>
          <w:p w14:paraId="1D65A777" w14:textId="77777777" w:rsidR="00975F26" w:rsidRPr="00ED0D6D" w:rsidRDefault="00975F26" w:rsidP="002A479B">
            <w:pPr>
              <w:jc w:val="center"/>
              <w:rPr>
                <w:color w:val="000000"/>
                <w:sz w:val="20"/>
              </w:rPr>
            </w:pPr>
            <w:r w:rsidRPr="00ED0D6D">
              <w:rPr>
                <w:color w:val="000000"/>
                <w:sz w:val="20"/>
              </w:rPr>
              <w:t>288</w:t>
            </w:r>
          </w:p>
        </w:tc>
        <w:tc>
          <w:tcPr>
            <w:tcW w:w="953" w:type="dxa"/>
            <w:shd w:val="clear" w:color="auto" w:fill="auto"/>
            <w:vAlign w:val="center"/>
          </w:tcPr>
          <w:p w14:paraId="5FD6423E"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39B81F56" w14:textId="77777777" w:rsidR="00975F26" w:rsidRPr="00ED0D6D" w:rsidRDefault="00975F26" w:rsidP="002A479B">
            <w:pPr>
              <w:jc w:val="center"/>
              <w:rPr>
                <w:color w:val="000000"/>
                <w:sz w:val="20"/>
              </w:rPr>
            </w:pPr>
            <w:r w:rsidRPr="00ED0D6D">
              <w:rPr>
                <w:color w:val="000000"/>
                <w:sz w:val="20"/>
              </w:rPr>
              <w:t>250</w:t>
            </w:r>
          </w:p>
        </w:tc>
        <w:tc>
          <w:tcPr>
            <w:tcW w:w="1250" w:type="dxa"/>
            <w:shd w:val="clear" w:color="000000" w:fill="FFFFFF"/>
            <w:vAlign w:val="center"/>
          </w:tcPr>
          <w:p w14:paraId="679705C6" w14:textId="77777777" w:rsidR="00975F26" w:rsidRPr="00ED0D6D" w:rsidRDefault="00975F26" w:rsidP="002A479B">
            <w:pPr>
              <w:jc w:val="center"/>
              <w:rPr>
                <w:color w:val="000000"/>
                <w:sz w:val="20"/>
              </w:rPr>
            </w:pPr>
            <w:r w:rsidRPr="005F73B1">
              <w:rPr>
                <w:color w:val="000000"/>
                <w:sz w:val="20"/>
              </w:rPr>
              <w:t>–</w:t>
            </w:r>
          </w:p>
        </w:tc>
        <w:tc>
          <w:tcPr>
            <w:tcW w:w="1250" w:type="dxa"/>
            <w:shd w:val="clear" w:color="000000" w:fill="FFFFFF"/>
            <w:vAlign w:val="center"/>
          </w:tcPr>
          <w:p w14:paraId="27C56D79" w14:textId="77777777" w:rsidR="00975F26" w:rsidRPr="00ED0D6D" w:rsidRDefault="00975F26" w:rsidP="002A479B">
            <w:pPr>
              <w:jc w:val="center"/>
              <w:rPr>
                <w:color w:val="000000"/>
                <w:sz w:val="20"/>
              </w:rPr>
            </w:pPr>
            <w:r w:rsidRPr="005F73B1">
              <w:rPr>
                <w:color w:val="000000"/>
                <w:sz w:val="20"/>
              </w:rPr>
              <w:t>–</w:t>
            </w:r>
          </w:p>
        </w:tc>
        <w:tc>
          <w:tcPr>
            <w:tcW w:w="2404" w:type="dxa"/>
            <w:shd w:val="clear" w:color="000000" w:fill="FFFFFF"/>
            <w:vAlign w:val="center"/>
          </w:tcPr>
          <w:p w14:paraId="5C058E0D"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5C27736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032A709E" w14:textId="77777777" w:rsidTr="002A479B">
        <w:trPr>
          <w:trHeight w:val="431"/>
        </w:trPr>
        <w:tc>
          <w:tcPr>
            <w:tcW w:w="642" w:type="dxa"/>
            <w:shd w:val="clear" w:color="000000" w:fill="FFFFFF"/>
            <w:vAlign w:val="center"/>
            <w:hideMark/>
          </w:tcPr>
          <w:p w14:paraId="09D85157"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000000" w:fill="FFFFFF"/>
            <w:vAlign w:val="center"/>
          </w:tcPr>
          <w:p w14:paraId="4AB5262F" w14:textId="77777777" w:rsidR="00975F26" w:rsidRPr="00ED0D6D" w:rsidRDefault="00975F26" w:rsidP="002A479B">
            <w:pPr>
              <w:jc w:val="both"/>
              <w:rPr>
                <w:color w:val="000000"/>
                <w:sz w:val="20"/>
              </w:rPr>
            </w:pPr>
            <w:r w:rsidRPr="00ED0D6D">
              <w:rPr>
                <w:color w:val="000000"/>
                <w:sz w:val="20"/>
              </w:rPr>
              <w:t xml:space="preserve">Generolo Silvestro Žukausko (Pabradės) poligono išvystymas iki visiško pajėgumo (proc.)   </w:t>
            </w:r>
          </w:p>
        </w:tc>
        <w:tc>
          <w:tcPr>
            <w:tcW w:w="1080" w:type="dxa"/>
            <w:shd w:val="clear" w:color="000000" w:fill="FFFFFF"/>
            <w:vAlign w:val="center"/>
          </w:tcPr>
          <w:p w14:paraId="2286C007" w14:textId="77777777" w:rsidR="00975F26" w:rsidRPr="00ED0D6D" w:rsidRDefault="00975F26" w:rsidP="002A479B">
            <w:pPr>
              <w:jc w:val="center"/>
              <w:rPr>
                <w:color w:val="000000"/>
                <w:sz w:val="20"/>
              </w:rPr>
            </w:pPr>
            <w:r w:rsidRPr="00ED0D6D">
              <w:rPr>
                <w:color w:val="000000"/>
                <w:sz w:val="20"/>
              </w:rPr>
              <w:t>70</w:t>
            </w:r>
          </w:p>
        </w:tc>
        <w:tc>
          <w:tcPr>
            <w:tcW w:w="1080" w:type="dxa"/>
            <w:shd w:val="clear" w:color="000000" w:fill="FFFFFF"/>
            <w:vAlign w:val="center"/>
          </w:tcPr>
          <w:p w14:paraId="2681960D" w14:textId="77777777" w:rsidR="00975F26" w:rsidRPr="00ED0D6D" w:rsidRDefault="00975F26" w:rsidP="002A479B">
            <w:pPr>
              <w:jc w:val="center"/>
              <w:rPr>
                <w:color w:val="000000"/>
                <w:sz w:val="20"/>
              </w:rPr>
            </w:pPr>
            <w:r w:rsidRPr="00ED0D6D">
              <w:rPr>
                <w:color w:val="000000"/>
                <w:sz w:val="20"/>
              </w:rPr>
              <w:t>75</w:t>
            </w:r>
          </w:p>
        </w:tc>
        <w:tc>
          <w:tcPr>
            <w:tcW w:w="953" w:type="dxa"/>
            <w:shd w:val="clear" w:color="auto" w:fill="auto"/>
            <w:vAlign w:val="center"/>
          </w:tcPr>
          <w:p w14:paraId="54662B77"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6E9E5DA7" w14:textId="77777777" w:rsidR="00975F26" w:rsidRPr="00ED0D6D" w:rsidRDefault="00975F26" w:rsidP="002A479B">
            <w:pPr>
              <w:jc w:val="center"/>
              <w:rPr>
                <w:color w:val="000000"/>
                <w:sz w:val="20"/>
              </w:rPr>
            </w:pPr>
            <w:r w:rsidRPr="00ED0D6D">
              <w:rPr>
                <w:color w:val="000000"/>
                <w:sz w:val="20"/>
              </w:rPr>
              <w:t>90</w:t>
            </w:r>
          </w:p>
        </w:tc>
        <w:tc>
          <w:tcPr>
            <w:tcW w:w="1250" w:type="dxa"/>
            <w:shd w:val="clear" w:color="000000" w:fill="FFFFFF"/>
            <w:vAlign w:val="center"/>
          </w:tcPr>
          <w:p w14:paraId="4C7BBF50" w14:textId="77777777" w:rsidR="00975F26" w:rsidRPr="00ED0D6D" w:rsidRDefault="00975F26" w:rsidP="002A479B">
            <w:pPr>
              <w:jc w:val="center"/>
              <w:rPr>
                <w:color w:val="000000"/>
                <w:sz w:val="20"/>
              </w:rPr>
            </w:pPr>
            <w:r w:rsidRPr="005F73B1">
              <w:rPr>
                <w:color w:val="000000"/>
                <w:sz w:val="20"/>
              </w:rPr>
              <w:t>–</w:t>
            </w:r>
          </w:p>
        </w:tc>
        <w:tc>
          <w:tcPr>
            <w:tcW w:w="1250" w:type="dxa"/>
            <w:shd w:val="clear" w:color="000000" w:fill="FFFFFF"/>
            <w:vAlign w:val="center"/>
          </w:tcPr>
          <w:p w14:paraId="42672C6A" w14:textId="77777777" w:rsidR="00975F26" w:rsidRPr="00ED0D6D" w:rsidRDefault="00975F26" w:rsidP="002A479B">
            <w:pPr>
              <w:jc w:val="center"/>
              <w:rPr>
                <w:color w:val="000000"/>
                <w:sz w:val="20"/>
              </w:rPr>
            </w:pPr>
            <w:r w:rsidRPr="005F73B1">
              <w:rPr>
                <w:color w:val="000000"/>
                <w:sz w:val="20"/>
              </w:rPr>
              <w:t>–</w:t>
            </w:r>
          </w:p>
        </w:tc>
        <w:tc>
          <w:tcPr>
            <w:tcW w:w="2404" w:type="dxa"/>
            <w:shd w:val="clear" w:color="000000" w:fill="FFFFFF"/>
            <w:vAlign w:val="center"/>
          </w:tcPr>
          <w:p w14:paraId="0B1FBBDF"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5B7719ED"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197E440" w14:textId="77777777" w:rsidTr="002A479B">
        <w:trPr>
          <w:trHeight w:val="408"/>
        </w:trPr>
        <w:tc>
          <w:tcPr>
            <w:tcW w:w="642" w:type="dxa"/>
            <w:shd w:val="clear" w:color="000000" w:fill="FFFFFF"/>
            <w:vAlign w:val="center"/>
            <w:hideMark/>
          </w:tcPr>
          <w:p w14:paraId="0E2F16DF"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000000" w:fill="FFFFFF"/>
            <w:vAlign w:val="center"/>
          </w:tcPr>
          <w:p w14:paraId="3F8D28B4" w14:textId="77777777" w:rsidR="00975F26" w:rsidRPr="00ED0D6D" w:rsidRDefault="00975F26" w:rsidP="002A479B">
            <w:pPr>
              <w:jc w:val="both"/>
              <w:rPr>
                <w:color w:val="000000"/>
                <w:sz w:val="20"/>
              </w:rPr>
            </w:pPr>
            <w:r w:rsidRPr="00ED0D6D">
              <w:rPr>
                <w:color w:val="000000"/>
                <w:sz w:val="20"/>
              </w:rPr>
              <w:t xml:space="preserve">Gaižiūnų poligono išvystymas iki visiško pajėgumo (proc.)  </w:t>
            </w:r>
          </w:p>
        </w:tc>
        <w:tc>
          <w:tcPr>
            <w:tcW w:w="1080" w:type="dxa"/>
            <w:shd w:val="clear" w:color="000000" w:fill="FFFFFF"/>
            <w:vAlign w:val="center"/>
          </w:tcPr>
          <w:p w14:paraId="255F5B02" w14:textId="77777777" w:rsidR="00975F26" w:rsidRPr="00ED0D6D" w:rsidRDefault="00975F26" w:rsidP="002A479B">
            <w:pPr>
              <w:jc w:val="center"/>
              <w:rPr>
                <w:color w:val="000000"/>
                <w:sz w:val="20"/>
              </w:rPr>
            </w:pPr>
            <w:r w:rsidRPr="00ED0D6D">
              <w:rPr>
                <w:color w:val="000000"/>
                <w:sz w:val="20"/>
              </w:rPr>
              <w:t>53,4</w:t>
            </w:r>
          </w:p>
        </w:tc>
        <w:tc>
          <w:tcPr>
            <w:tcW w:w="1080" w:type="dxa"/>
            <w:shd w:val="clear" w:color="000000" w:fill="FFFFFF"/>
            <w:vAlign w:val="center"/>
          </w:tcPr>
          <w:p w14:paraId="5633187E" w14:textId="77777777" w:rsidR="00975F26" w:rsidRPr="00ED0D6D" w:rsidRDefault="00975F26" w:rsidP="002A479B">
            <w:pPr>
              <w:jc w:val="center"/>
              <w:rPr>
                <w:color w:val="000000"/>
                <w:sz w:val="20"/>
              </w:rPr>
            </w:pPr>
            <w:r w:rsidRPr="00ED0D6D">
              <w:rPr>
                <w:color w:val="000000"/>
                <w:sz w:val="20"/>
              </w:rPr>
              <w:t>57</w:t>
            </w:r>
          </w:p>
        </w:tc>
        <w:tc>
          <w:tcPr>
            <w:tcW w:w="953" w:type="dxa"/>
            <w:shd w:val="clear" w:color="auto" w:fill="auto"/>
            <w:vAlign w:val="center"/>
          </w:tcPr>
          <w:p w14:paraId="013F7F88"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7C0C2B24" w14:textId="77777777" w:rsidR="00975F26" w:rsidRPr="00ED0D6D" w:rsidRDefault="00975F26" w:rsidP="002A479B">
            <w:pPr>
              <w:jc w:val="center"/>
              <w:rPr>
                <w:color w:val="000000"/>
                <w:sz w:val="20"/>
              </w:rPr>
            </w:pPr>
            <w:r w:rsidRPr="00ED0D6D">
              <w:rPr>
                <w:color w:val="000000"/>
                <w:sz w:val="20"/>
              </w:rPr>
              <w:t>80</w:t>
            </w:r>
          </w:p>
        </w:tc>
        <w:tc>
          <w:tcPr>
            <w:tcW w:w="1250" w:type="dxa"/>
            <w:shd w:val="clear" w:color="000000" w:fill="FFFFFF"/>
            <w:vAlign w:val="center"/>
          </w:tcPr>
          <w:p w14:paraId="79E000C2" w14:textId="77777777" w:rsidR="00975F26" w:rsidRPr="00ED0D6D" w:rsidRDefault="00975F26" w:rsidP="002A479B">
            <w:pPr>
              <w:jc w:val="center"/>
              <w:rPr>
                <w:color w:val="000000"/>
                <w:sz w:val="20"/>
              </w:rPr>
            </w:pPr>
            <w:r w:rsidRPr="005F73B1">
              <w:rPr>
                <w:color w:val="000000"/>
                <w:sz w:val="20"/>
              </w:rPr>
              <w:t>–</w:t>
            </w:r>
          </w:p>
        </w:tc>
        <w:tc>
          <w:tcPr>
            <w:tcW w:w="1250" w:type="dxa"/>
            <w:shd w:val="clear" w:color="000000" w:fill="FFFFFF"/>
            <w:vAlign w:val="center"/>
          </w:tcPr>
          <w:p w14:paraId="218A0173" w14:textId="77777777" w:rsidR="00975F26" w:rsidRPr="00ED0D6D" w:rsidRDefault="00975F26" w:rsidP="002A479B">
            <w:pPr>
              <w:jc w:val="center"/>
              <w:rPr>
                <w:color w:val="000000"/>
                <w:sz w:val="20"/>
              </w:rPr>
            </w:pPr>
            <w:r w:rsidRPr="005F73B1">
              <w:rPr>
                <w:color w:val="000000"/>
                <w:sz w:val="20"/>
              </w:rPr>
              <w:t>–</w:t>
            </w:r>
          </w:p>
        </w:tc>
        <w:tc>
          <w:tcPr>
            <w:tcW w:w="2404" w:type="dxa"/>
            <w:shd w:val="clear" w:color="000000" w:fill="FFFFFF"/>
            <w:vAlign w:val="center"/>
          </w:tcPr>
          <w:p w14:paraId="46664CB4"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5D996A82"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4D1B11C" w14:textId="77777777" w:rsidTr="002A479B">
        <w:trPr>
          <w:trHeight w:val="372"/>
        </w:trPr>
        <w:tc>
          <w:tcPr>
            <w:tcW w:w="642" w:type="dxa"/>
            <w:shd w:val="clear" w:color="000000" w:fill="FFFFFF"/>
            <w:vAlign w:val="center"/>
            <w:hideMark/>
          </w:tcPr>
          <w:p w14:paraId="1B1C6217"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000000" w:fill="FFFFFF"/>
            <w:vAlign w:val="center"/>
          </w:tcPr>
          <w:p w14:paraId="2AEBC2FB" w14:textId="77777777" w:rsidR="00975F26" w:rsidRPr="00ED0D6D" w:rsidRDefault="00975F26" w:rsidP="002A479B">
            <w:pPr>
              <w:jc w:val="both"/>
              <w:rPr>
                <w:color w:val="000000"/>
                <w:sz w:val="20"/>
              </w:rPr>
            </w:pPr>
            <w:r w:rsidRPr="00ED0D6D">
              <w:rPr>
                <w:color w:val="000000"/>
                <w:sz w:val="20"/>
              </w:rPr>
              <w:t xml:space="preserve">Profesinės karo tarnybos karių atlyginimų padidinimas, palyginti su 2016 m. (proc.)  </w:t>
            </w:r>
          </w:p>
        </w:tc>
        <w:tc>
          <w:tcPr>
            <w:tcW w:w="1080" w:type="dxa"/>
            <w:shd w:val="clear" w:color="000000" w:fill="FFFFFF"/>
            <w:vAlign w:val="center"/>
          </w:tcPr>
          <w:p w14:paraId="31A3DA9F" w14:textId="77777777" w:rsidR="00975F26" w:rsidRPr="00ED0D6D" w:rsidRDefault="00975F26" w:rsidP="002A479B">
            <w:pPr>
              <w:jc w:val="center"/>
              <w:rPr>
                <w:color w:val="000000"/>
                <w:sz w:val="20"/>
              </w:rPr>
            </w:pPr>
            <w:r w:rsidRPr="00ED0D6D">
              <w:rPr>
                <w:color w:val="000000"/>
                <w:sz w:val="20"/>
              </w:rPr>
              <w:t>25,2</w:t>
            </w:r>
          </w:p>
        </w:tc>
        <w:tc>
          <w:tcPr>
            <w:tcW w:w="1080" w:type="dxa"/>
            <w:shd w:val="clear" w:color="000000" w:fill="FFFFFF"/>
            <w:vAlign w:val="center"/>
          </w:tcPr>
          <w:p w14:paraId="7606CB84" w14:textId="77777777" w:rsidR="00975F26" w:rsidRPr="00ED0D6D" w:rsidRDefault="00975F26" w:rsidP="002A479B">
            <w:pPr>
              <w:jc w:val="center"/>
              <w:rPr>
                <w:color w:val="000000"/>
                <w:sz w:val="20"/>
              </w:rPr>
            </w:pPr>
            <w:r w:rsidRPr="00ED0D6D">
              <w:rPr>
                <w:color w:val="000000"/>
                <w:sz w:val="20"/>
              </w:rPr>
              <w:t>30,3</w:t>
            </w:r>
          </w:p>
        </w:tc>
        <w:tc>
          <w:tcPr>
            <w:tcW w:w="953" w:type="dxa"/>
            <w:shd w:val="clear" w:color="auto" w:fill="auto"/>
            <w:vAlign w:val="center"/>
          </w:tcPr>
          <w:p w14:paraId="7DBA8B46"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787DF43D" w14:textId="77777777" w:rsidR="00975F26" w:rsidRPr="00ED0D6D" w:rsidRDefault="00975F26" w:rsidP="002A479B">
            <w:pPr>
              <w:jc w:val="center"/>
              <w:rPr>
                <w:color w:val="000000"/>
                <w:sz w:val="20"/>
              </w:rPr>
            </w:pPr>
            <w:r w:rsidRPr="00ED0D6D">
              <w:rPr>
                <w:color w:val="000000"/>
                <w:sz w:val="20"/>
              </w:rPr>
              <w:t>30</w:t>
            </w:r>
          </w:p>
        </w:tc>
        <w:tc>
          <w:tcPr>
            <w:tcW w:w="1250" w:type="dxa"/>
            <w:shd w:val="clear" w:color="000000" w:fill="FFFFFF"/>
            <w:vAlign w:val="center"/>
          </w:tcPr>
          <w:p w14:paraId="130FB316" w14:textId="77777777" w:rsidR="00975F26" w:rsidRPr="00ED0D6D" w:rsidRDefault="00975F26" w:rsidP="002A479B">
            <w:pPr>
              <w:jc w:val="center"/>
              <w:rPr>
                <w:color w:val="000000"/>
                <w:sz w:val="20"/>
              </w:rPr>
            </w:pPr>
            <w:r w:rsidRPr="005F73B1">
              <w:rPr>
                <w:color w:val="000000"/>
                <w:sz w:val="20"/>
              </w:rPr>
              <w:t>–</w:t>
            </w:r>
          </w:p>
        </w:tc>
        <w:tc>
          <w:tcPr>
            <w:tcW w:w="1250" w:type="dxa"/>
            <w:shd w:val="clear" w:color="000000" w:fill="FFFFFF"/>
            <w:vAlign w:val="center"/>
          </w:tcPr>
          <w:p w14:paraId="5C560E42" w14:textId="77777777" w:rsidR="00975F26" w:rsidRPr="00ED0D6D" w:rsidRDefault="00975F26" w:rsidP="002A479B">
            <w:pPr>
              <w:jc w:val="center"/>
              <w:rPr>
                <w:color w:val="000000"/>
                <w:sz w:val="20"/>
              </w:rPr>
            </w:pPr>
            <w:r w:rsidRPr="005F73B1">
              <w:rPr>
                <w:color w:val="000000"/>
                <w:sz w:val="20"/>
              </w:rPr>
              <w:t>–</w:t>
            </w:r>
          </w:p>
        </w:tc>
        <w:tc>
          <w:tcPr>
            <w:tcW w:w="2404" w:type="dxa"/>
            <w:shd w:val="clear" w:color="000000" w:fill="FFFFFF"/>
            <w:vAlign w:val="center"/>
          </w:tcPr>
          <w:p w14:paraId="6C6DEDD0"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50493DB9"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8FA44C3" w14:textId="77777777" w:rsidTr="002A479B">
        <w:trPr>
          <w:trHeight w:val="612"/>
        </w:trPr>
        <w:tc>
          <w:tcPr>
            <w:tcW w:w="642" w:type="dxa"/>
            <w:shd w:val="clear" w:color="000000" w:fill="FFFFFF"/>
            <w:vAlign w:val="center"/>
            <w:hideMark/>
          </w:tcPr>
          <w:p w14:paraId="1B843CE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000000" w:fill="FFFFFF"/>
            <w:vAlign w:val="center"/>
          </w:tcPr>
          <w:p w14:paraId="3B21AA42" w14:textId="77777777" w:rsidR="00975F26" w:rsidRPr="00ED0D6D" w:rsidRDefault="00975F26" w:rsidP="002A479B">
            <w:pPr>
              <w:jc w:val="both"/>
              <w:rPr>
                <w:color w:val="000000"/>
                <w:sz w:val="20"/>
              </w:rPr>
            </w:pPr>
            <w:r w:rsidRPr="00ED0D6D">
              <w:rPr>
                <w:color w:val="000000"/>
                <w:sz w:val="20"/>
              </w:rPr>
              <w:t>Įjungtų į kibernetinio saugumo informacinį tinklą valstybės informacinių išteklių ir ypatingos svarbos informacinės infrastruktūros valdytojų dalis (proc.)</w:t>
            </w:r>
          </w:p>
        </w:tc>
        <w:tc>
          <w:tcPr>
            <w:tcW w:w="1080" w:type="dxa"/>
            <w:shd w:val="clear" w:color="000000" w:fill="FFFFFF"/>
            <w:vAlign w:val="center"/>
          </w:tcPr>
          <w:p w14:paraId="158D8A3C" w14:textId="77777777" w:rsidR="00975F26" w:rsidRPr="00ED0D6D" w:rsidRDefault="00975F26" w:rsidP="002A479B">
            <w:pPr>
              <w:jc w:val="center"/>
              <w:rPr>
                <w:color w:val="000000"/>
                <w:sz w:val="20"/>
              </w:rPr>
            </w:pPr>
            <w:r w:rsidRPr="00ED0D6D">
              <w:rPr>
                <w:color w:val="000000"/>
                <w:sz w:val="20"/>
              </w:rPr>
              <w:t>70</w:t>
            </w:r>
          </w:p>
        </w:tc>
        <w:tc>
          <w:tcPr>
            <w:tcW w:w="1080" w:type="dxa"/>
            <w:shd w:val="clear" w:color="000000" w:fill="FFFFFF"/>
            <w:vAlign w:val="center"/>
          </w:tcPr>
          <w:p w14:paraId="71FCD49E" w14:textId="77777777" w:rsidR="00975F26" w:rsidRPr="00ED0D6D" w:rsidRDefault="00975F26" w:rsidP="002A479B">
            <w:pPr>
              <w:jc w:val="center"/>
              <w:rPr>
                <w:color w:val="000000"/>
                <w:sz w:val="20"/>
              </w:rPr>
            </w:pPr>
            <w:r w:rsidRPr="00ED0D6D">
              <w:rPr>
                <w:color w:val="000000"/>
                <w:sz w:val="20"/>
              </w:rPr>
              <w:t>81</w:t>
            </w:r>
          </w:p>
        </w:tc>
        <w:tc>
          <w:tcPr>
            <w:tcW w:w="953" w:type="dxa"/>
            <w:shd w:val="clear" w:color="auto" w:fill="auto"/>
            <w:vAlign w:val="center"/>
          </w:tcPr>
          <w:p w14:paraId="0B75B3C7"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3D7E8EDE" w14:textId="77777777" w:rsidR="00975F26" w:rsidRPr="00ED0D6D" w:rsidRDefault="00975F26" w:rsidP="002A479B">
            <w:pPr>
              <w:jc w:val="center"/>
              <w:rPr>
                <w:color w:val="000000"/>
                <w:sz w:val="20"/>
              </w:rPr>
            </w:pPr>
            <w:r w:rsidRPr="00ED0D6D">
              <w:rPr>
                <w:color w:val="000000"/>
                <w:sz w:val="20"/>
              </w:rPr>
              <w:t>85</w:t>
            </w:r>
          </w:p>
        </w:tc>
        <w:tc>
          <w:tcPr>
            <w:tcW w:w="1250" w:type="dxa"/>
            <w:shd w:val="clear" w:color="000000" w:fill="FFFFFF"/>
            <w:vAlign w:val="center"/>
          </w:tcPr>
          <w:p w14:paraId="3B3BAF9E" w14:textId="77777777" w:rsidR="00975F26" w:rsidRPr="00ED0D6D" w:rsidRDefault="00975F26" w:rsidP="002A479B">
            <w:pPr>
              <w:jc w:val="center"/>
              <w:rPr>
                <w:color w:val="000000"/>
                <w:sz w:val="20"/>
              </w:rPr>
            </w:pPr>
            <w:r w:rsidRPr="005F73B1">
              <w:rPr>
                <w:color w:val="000000"/>
                <w:sz w:val="20"/>
              </w:rPr>
              <w:t>–</w:t>
            </w:r>
          </w:p>
        </w:tc>
        <w:tc>
          <w:tcPr>
            <w:tcW w:w="1250" w:type="dxa"/>
            <w:shd w:val="clear" w:color="000000" w:fill="FFFFFF"/>
            <w:vAlign w:val="center"/>
          </w:tcPr>
          <w:p w14:paraId="7BCD197C" w14:textId="77777777" w:rsidR="00975F26" w:rsidRPr="00ED0D6D" w:rsidRDefault="00975F26" w:rsidP="002A479B">
            <w:pPr>
              <w:jc w:val="center"/>
              <w:rPr>
                <w:color w:val="000000"/>
                <w:sz w:val="20"/>
              </w:rPr>
            </w:pPr>
            <w:r w:rsidRPr="005F73B1">
              <w:rPr>
                <w:color w:val="000000"/>
                <w:sz w:val="20"/>
              </w:rPr>
              <w:t>–</w:t>
            </w:r>
          </w:p>
        </w:tc>
        <w:tc>
          <w:tcPr>
            <w:tcW w:w="2404" w:type="dxa"/>
            <w:shd w:val="clear" w:color="000000" w:fill="FFFFFF"/>
            <w:vAlign w:val="center"/>
          </w:tcPr>
          <w:p w14:paraId="0657A921"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6C000CD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8B318ED" w14:textId="77777777" w:rsidTr="002A479B">
        <w:trPr>
          <w:trHeight w:val="564"/>
        </w:trPr>
        <w:tc>
          <w:tcPr>
            <w:tcW w:w="642" w:type="dxa"/>
            <w:shd w:val="clear" w:color="000000" w:fill="FFFFFF"/>
            <w:vAlign w:val="center"/>
            <w:hideMark/>
          </w:tcPr>
          <w:p w14:paraId="142CDBF6"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63" w:type="dxa"/>
            <w:shd w:val="clear" w:color="auto" w:fill="auto"/>
            <w:vAlign w:val="center"/>
          </w:tcPr>
          <w:p w14:paraId="17FF2E28" w14:textId="77777777" w:rsidR="00975F26" w:rsidRPr="00ED0D6D" w:rsidRDefault="00975F26" w:rsidP="002A479B">
            <w:pPr>
              <w:jc w:val="both"/>
              <w:rPr>
                <w:color w:val="000000"/>
                <w:sz w:val="20"/>
              </w:rPr>
            </w:pPr>
            <w:r w:rsidRPr="00ED0D6D">
              <w:rPr>
                <w:color w:val="000000"/>
                <w:sz w:val="20"/>
              </w:rPr>
              <w:t xml:space="preserve">Nacionalinėse kibernetinio saugumo pratybose dalyvaujančių ypatingos svarbos informacinės infrastruktūros ir valstybės informacinių išteklių valdytojų dalis (proc.)  </w:t>
            </w:r>
          </w:p>
        </w:tc>
        <w:tc>
          <w:tcPr>
            <w:tcW w:w="1080" w:type="dxa"/>
            <w:shd w:val="clear" w:color="000000" w:fill="FFFFFF"/>
            <w:vAlign w:val="center"/>
          </w:tcPr>
          <w:p w14:paraId="339A7A71" w14:textId="77777777" w:rsidR="00975F26" w:rsidRPr="00ED0D6D" w:rsidRDefault="00975F26" w:rsidP="002A479B">
            <w:pPr>
              <w:jc w:val="center"/>
              <w:rPr>
                <w:color w:val="000000"/>
                <w:sz w:val="20"/>
              </w:rPr>
            </w:pPr>
            <w:r w:rsidRPr="00ED0D6D">
              <w:rPr>
                <w:color w:val="000000"/>
                <w:sz w:val="20"/>
              </w:rPr>
              <w:t>30</w:t>
            </w:r>
          </w:p>
        </w:tc>
        <w:tc>
          <w:tcPr>
            <w:tcW w:w="1080" w:type="dxa"/>
            <w:shd w:val="clear" w:color="000000" w:fill="FFFFFF"/>
            <w:vAlign w:val="center"/>
          </w:tcPr>
          <w:p w14:paraId="48580696" w14:textId="77777777" w:rsidR="00975F26" w:rsidRPr="00ED0D6D" w:rsidRDefault="00975F26" w:rsidP="002A479B">
            <w:pPr>
              <w:jc w:val="center"/>
              <w:rPr>
                <w:color w:val="000000"/>
                <w:sz w:val="20"/>
              </w:rPr>
            </w:pPr>
            <w:r w:rsidRPr="00ED0D6D">
              <w:rPr>
                <w:color w:val="000000"/>
                <w:sz w:val="20"/>
              </w:rPr>
              <w:t>26</w:t>
            </w:r>
          </w:p>
        </w:tc>
        <w:tc>
          <w:tcPr>
            <w:tcW w:w="953" w:type="dxa"/>
            <w:shd w:val="clear" w:color="auto" w:fill="auto"/>
            <w:vAlign w:val="center"/>
          </w:tcPr>
          <w:p w14:paraId="7401718B"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766DE584" w14:textId="77777777" w:rsidR="00975F26" w:rsidRPr="00ED0D6D" w:rsidRDefault="00975F26" w:rsidP="002A479B">
            <w:pPr>
              <w:jc w:val="center"/>
              <w:rPr>
                <w:color w:val="000000"/>
                <w:sz w:val="20"/>
              </w:rPr>
            </w:pPr>
            <w:r w:rsidRPr="00ED0D6D">
              <w:rPr>
                <w:color w:val="000000"/>
                <w:sz w:val="20"/>
              </w:rPr>
              <w:t>55</w:t>
            </w:r>
          </w:p>
        </w:tc>
        <w:tc>
          <w:tcPr>
            <w:tcW w:w="1250" w:type="dxa"/>
            <w:shd w:val="clear" w:color="auto" w:fill="auto"/>
            <w:vAlign w:val="center"/>
          </w:tcPr>
          <w:p w14:paraId="710AFB40" w14:textId="77777777" w:rsidR="00975F26" w:rsidRPr="00ED0D6D" w:rsidRDefault="00975F26" w:rsidP="002A479B">
            <w:pPr>
              <w:jc w:val="center"/>
              <w:rPr>
                <w:color w:val="000000"/>
                <w:sz w:val="20"/>
              </w:rPr>
            </w:pPr>
            <w:r w:rsidRPr="005F73B1">
              <w:rPr>
                <w:color w:val="000000"/>
                <w:sz w:val="20"/>
              </w:rPr>
              <w:t>–</w:t>
            </w:r>
          </w:p>
        </w:tc>
        <w:tc>
          <w:tcPr>
            <w:tcW w:w="1250" w:type="dxa"/>
            <w:shd w:val="clear" w:color="auto" w:fill="auto"/>
            <w:vAlign w:val="center"/>
          </w:tcPr>
          <w:p w14:paraId="4D55C1A8" w14:textId="77777777" w:rsidR="00975F26" w:rsidRPr="00ED0D6D" w:rsidRDefault="00975F26" w:rsidP="002A479B">
            <w:pPr>
              <w:jc w:val="center"/>
              <w:rPr>
                <w:color w:val="000000"/>
                <w:sz w:val="20"/>
              </w:rPr>
            </w:pPr>
            <w:r w:rsidRPr="005F73B1">
              <w:rPr>
                <w:color w:val="000000"/>
                <w:sz w:val="20"/>
              </w:rPr>
              <w:t>–</w:t>
            </w:r>
          </w:p>
        </w:tc>
        <w:tc>
          <w:tcPr>
            <w:tcW w:w="2404" w:type="dxa"/>
            <w:shd w:val="clear" w:color="auto" w:fill="auto"/>
            <w:vAlign w:val="center"/>
          </w:tcPr>
          <w:p w14:paraId="6DF32A29"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24A568D2"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0942105" w14:textId="77777777" w:rsidTr="002A479B">
        <w:trPr>
          <w:trHeight w:val="540"/>
        </w:trPr>
        <w:tc>
          <w:tcPr>
            <w:tcW w:w="642" w:type="dxa"/>
            <w:shd w:val="clear" w:color="auto" w:fill="auto"/>
            <w:vAlign w:val="center"/>
            <w:hideMark/>
          </w:tcPr>
          <w:p w14:paraId="09D037BC"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vAlign w:val="center"/>
          </w:tcPr>
          <w:p w14:paraId="13F6CFB0" w14:textId="77777777" w:rsidR="00975F26" w:rsidRPr="00ED0D6D" w:rsidRDefault="00975F26" w:rsidP="002A479B">
            <w:pPr>
              <w:jc w:val="both"/>
              <w:rPr>
                <w:color w:val="000000"/>
                <w:sz w:val="20"/>
              </w:rPr>
            </w:pPr>
            <w:r w:rsidRPr="00ED0D6D">
              <w:rPr>
                <w:color w:val="000000"/>
                <w:sz w:val="20"/>
              </w:rPr>
              <w:t>Rusijos daromo informacinio poveikio Lietuvos visuomenėje atpažinimas (proc.)</w:t>
            </w:r>
          </w:p>
        </w:tc>
        <w:tc>
          <w:tcPr>
            <w:tcW w:w="1080" w:type="dxa"/>
            <w:shd w:val="clear" w:color="000000" w:fill="FFFFFF"/>
            <w:vAlign w:val="center"/>
          </w:tcPr>
          <w:p w14:paraId="7E8A42BD" w14:textId="77777777" w:rsidR="00975F26" w:rsidRPr="00ED0D6D" w:rsidRDefault="00975F26" w:rsidP="002A479B">
            <w:pPr>
              <w:jc w:val="center"/>
              <w:rPr>
                <w:color w:val="000000"/>
                <w:sz w:val="20"/>
              </w:rPr>
            </w:pPr>
            <w:r w:rsidRPr="00ED0D6D">
              <w:rPr>
                <w:color w:val="000000"/>
                <w:sz w:val="20"/>
              </w:rPr>
              <w:t>58</w:t>
            </w:r>
          </w:p>
        </w:tc>
        <w:tc>
          <w:tcPr>
            <w:tcW w:w="1080" w:type="dxa"/>
            <w:shd w:val="clear" w:color="000000" w:fill="FFFFFF"/>
            <w:vAlign w:val="center"/>
          </w:tcPr>
          <w:p w14:paraId="192F4885" w14:textId="77777777" w:rsidR="00975F26" w:rsidRPr="00ED0D6D" w:rsidRDefault="00975F26" w:rsidP="002A479B">
            <w:pPr>
              <w:jc w:val="center"/>
              <w:rPr>
                <w:color w:val="000000"/>
                <w:sz w:val="20"/>
              </w:rPr>
            </w:pPr>
            <w:r w:rsidRPr="00ED0D6D">
              <w:rPr>
                <w:color w:val="000000"/>
                <w:sz w:val="20"/>
              </w:rPr>
              <w:t>63</w:t>
            </w:r>
          </w:p>
        </w:tc>
        <w:tc>
          <w:tcPr>
            <w:tcW w:w="953" w:type="dxa"/>
            <w:shd w:val="clear" w:color="auto" w:fill="auto"/>
            <w:vAlign w:val="center"/>
          </w:tcPr>
          <w:p w14:paraId="45FDD388"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35A8F19B" w14:textId="77777777" w:rsidR="00975F26" w:rsidRPr="00ED0D6D" w:rsidRDefault="00975F26" w:rsidP="002A479B">
            <w:pPr>
              <w:jc w:val="center"/>
              <w:rPr>
                <w:color w:val="000000"/>
                <w:sz w:val="20"/>
              </w:rPr>
            </w:pPr>
            <w:r w:rsidRPr="00ED0D6D">
              <w:rPr>
                <w:color w:val="000000"/>
                <w:sz w:val="20"/>
              </w:rPr>
              <w:t>68</w:t>
            </w:r>
          </w:p>
        </w:tc>
        <w:tc>
          <w:tcPr>
            <w:tcW w:w="1250" w:type="dxa"/>
            <w:shd w:val="clear" w:color="auto" w:fill="auto"/>
            <w:vAlign w:val="center"/>
          </w:tcPr>
          <w:p w14:paraId="2D49A20C" w14:textId="77777777" w:rsidR="00975F26" w:rsidRPr="00ED0D6D" w:rsidRDefault="00975F26" w:rsidP="002A479B">
            <w:pPr>
              <w:jc w:val="center"/>
              <w:rPr>
                <w:color w:val="000000"/>
                <w:sz w:val="20"/>
              </w:rPr>
            </w:pPr>
            <w:r w:rsidRPr="005F73B1">
              <w:rPr>
                <w:color w:val="000000"/>
                <w:sz w:val="20"/>
              </w:rPr>
              <w:t>–</w:t>
            </w:r>
          </w:p>
        </w:tc>
        <w:tc>
          <w:tcPr>
            <w:tcW w:w="1250" w:type="dxa"/>
            <w:shd w:val="clear" w:color="auto" w:fill="auto"/>
            <w:vAlign w:val="center"/>
          </w:tcPr>
          <w:p w14:paraId="7CDA7EEC" w14:textId="77777777" w:rsidR="00975F26" w:rsidRPr="00ED0D6D" w:rsidRDefault="00975F26" w:rsidP="002A479B">
            <w:pPr>
              <w:jc w:val="center"/>
              <w:rPr>
                <w:color w:val="000000"/>
                <w:sz w:val="20"/>
              </w:rPr>
            </w:pPr>
            <w:r w:rsidRPr="005F73B1">
              <w:rPr>
                <w:color w:val="000000"/>
                <w:sz w:val="20"/>
              </w:rPr>
              <w:t>–</w:t>
            </w:r>
          </w:p>
        </w:tc>
        <w:tc>
          <w:tcPr>
            <w:tcW w:w="2404" w:type="dxa"/>
            <w:shd w:val="clear" w:color="auto" w:fill="auto"/>
            <w:vAlign w:val="center"/>
          </w:tcPr>
          <w:p w14:paraId="65441865" w14:textId="77777777" w:rsidR="00975F26" w:rsidRPr="00ED0D6D" w:rsidRDefault="00975F26" w:rsidP="002A479B">
            <w:pPr>
              <w:jc w:val="center"/>
              <w:rPr>
                <w:color w:val="000000"/>
                <w:sz w:val="20"/>
              </w:rPr>
            </w:pPr>
            <w:r>
              <w:rPr>
                <w:color w:val="000000"/>
                <w:sz w:val="20"/>
              </w:rPr>
              <w:t>UAB „</w:t>
            </w:r>
            <w:proofErr w:type="spellStart"/>
            <w:r w:rsidRPr="00ED0D6D">
              <w:rPr>
                <w:color w:val="000000"/>
                <w:sz w:val="20"/>
              </w:rPr>
              <w:t>Spinter</w:t>
            </w:r>
            <w:proofErr w:type="spellEnd"/>
            <w:r w:rsidRPr="00ED0D6D">
              <w:rPr>
                <w:color w:val="000000"/>
                <w:sz w:val="20"/>
              </w:rPr>
              <w:t xml:space="preserve"> tyrimai</w:t>
            </w:r>
            <w:r>
              <w:rPr>
                <w:color w:val="000000"/>
                <w:sz w:val="20"/>
              </w:rPr>
              <w:t>“</w:t>
            </w:r>
          </w:p>
        </w:tc>
        <w:tc>
          <w:tcPr>
            <w:tcW w:w="1172" w:type="dxa"/>
            <w:shd w:val="clear" w:color="auto" w:fill="auto"/>
            <w:vAlign w:val="center"/>
          </w:tcPr>
          <w:p w14:paraId="0068D3D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3FC6353" w14:textId="77777777" w:rsidTr="002A479B">
        <w:trPr>
          <w:trHeight w:val="485"/>
        </w:trPr>
        <w:tc>
          <w:tcPr>
            <w:tcW w:w="642" w:type="dxa"/>
            <w:shd w:val="clear" w:color="auto" w:fill="auto"/>
            <w:vAlign w:val="center"/>
            <w:hideMark/>
          </w:tcPr>
          <w:p w14:paraId="5DC399F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vAlign w:val="center"/>
          </w:tcPr>
          <w:p w14:paraId="33F60566" w14:textId="77777777" w:rsidR="00975F26" w:rsidRPr="00ED0D6D" w:rsidRDefault="00975F26" w:rsidP="002A479B">
            <w:pPr>
              <w:jc w:val="both"/>
              <w:rPr>
                <w:sz w:val="20"/>
              </w:rPr>
            </w:pPr>
            <w:r w:rsidRPr="00ED0D6D">
              <w:rPr>
                <w:color w:val="000000"/>
                <w:sz w:val="20"/>
              </w:rPr>
              <w:t xml:space="preserve">NATO priešakinių pajėgų (angl. </w:t>
            </w:r>
            <w:proofErr w:type="spellStart"/>
            <w:r w:rsidRPr="00F46DD0">
              <w:rPr>
                <w:i/>
                <w:iCs/>
                <w:color w:val="000000"/>
                <w:sz w:val="20"/>
              </w:rPr>
              <w:t>Enhanced</w:t>
            </w:r>
            <w:proofErr w:type="spellEnd"/>
            <w:r w:rsidRPr="00F46DD0">
              <w:rPr>
                <w:i/>
                <w:iCs/>
                <w:color w:val="000000"/>
                <w:sz w:val="20"/>
              </w:rPr>
              <w:t xml:space="preserve"> </w:t>
            </w:r>
            <w:proofErr w:type="spellStart"/>
            <w:r w:rsidRPr="00F46DD0">
              <w:rPr>
                <w:i/>
                <w:iCs/>
                <w:color w:val="000000"/>
                <w:sz w:val="20"/>
              </w:rPr>
              <w:t>Forward</w:t>
            </w:r>
            <w:proofErr w:type="spellEnd"/>
            <w:r w:rsidRPr="00ED0D6D">
              <w:rPr>
                <w:color w:val="000000"/>
                <w:sz w:val="20"/>
              </w:rPr>
              <w:t xml:space="preserve"> </w:t>
            </w:r>
            <w:proofErr w:type="spellStart"/>
            <w:r w:rsidRPr="00F46DD0">
              <w:rPr>
                <w:i/>
                <w:iCs/>
                <w:color w:val="000000"/>
                <w:sz w:val="20"/>
              </w:rPr>
              <w:t>Presence</w:t>
            </w:r>
            <w:proofErr w:type="spellEnd"/>
            <w:r w:rsidRPr="00ED0D6D">
              <w:rPr>
                <w:color w:val="000000"/>
                <w:sz w:val="20"/>
              </w:rPr>
              <w:t xml:space="preserve">, EFP) kovinės grupės Lietuvoje karių skaičius </w:t>
            </w:r>
          </w:p>
        </w:tc>
        <w:tc>
          <w:tcPr>
            <w:tcW w:w="1080" w:type="dxa"/>
            <w:shd w:val="clear" w:color="000000" w:fill="FFFFFF"/>
            <w:vAlign w:val="center"/>
          </w:tcPr>
          <w:p w14:paraId="0039F925"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094</w:t>
            </w:r>
          </w:p>
        </w:tc>
        <w:tc>
          <w:tcPr>
            <w:tcW w:w="1080" w:type="dxa"/>
            <w:shd w:val="clear" w:color="000000" w:fill="FFFFFF"/>
            <w:vAlign w:val="center"/>
          </w:tcPr>
          <w:p w14:paraId="4B17A0CF"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143</w:t>
            </w:r>
          </w:p>
        </w:tc>
        <w:tc>
          <w:tcPr>
            <w:tcW w:w="953" w:type="dxa"/>
            <w:shd w:val="clear" w:color="auto" w:fill="auto"/>
            <w:vAlign w:val="center"/>
          </w:tcPr>
          <w:p w14:paraId="64811105" w14:textId="77777777" w:rsidR="00975F26" w:rsidRPr="00ED0D6D" w:rsidRDefault="00975F26" w:rsidP="002A479B">
            <w:pPr>
              <w:jc w:val="center"/>
              <w:rPr>
                <w:color w:val="000000"/>
                <w:sz w:val="20"/>
              </w:rPr>
            </w:pPr>
            <w:r w:rsidRPr="005F1563">
              <w:rPr>
                <w:color w:val="000000"/>
                <w:sz w:val="20"/>
              </w:rPr>
              <w:t>–</w:t>
            </w:r>
          </w:p>
        </w:tc>
        <w:tc>
          <w:tcPr>
            <w:tcW w:w="983" w:type="dxa"/>
            <w:shd w:val="clear" w:color="000000" w:fill="FFFFFF"/>
            <w:vAlign w:val="center"/>
          </w:tcPr>
          <w:p w14:paraId="4676E3A7"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200</w:t>
            </w:r>
          </w:p>
        </w:tc>
        <w:tc>
          <w:tcPr>
            <w:tcW w:w="1250" w:type="dxa"/>
            <w:shd w:val="clear" w:color="auto" w:fill="auto"/>
            <w:vAlign w:val="center"/>
          </w:tcPr>
          <w:p w14:paraId="5A085AA7" w14:textId="77777777" w:rsidR="00975F26" w:rsidRPr="00ED0D6D" w:rsidRDefault="00975F26" w:rsidP="002A479B">
            <w:pPr>
              <w:jc w:val="center"/>
              <w:rPr>
                <w:color w:val="000000"/>
                <w:sz w:val="20"/>
              </w:rPr>
            </w:pPr>
            <w:r w:rsidRPr="005F73B1">
              <w:rPr>
                <w:color w:val="000000"/>
                <w:sz w:val="20"/>
              </w:rPr>
              <w:t>–</w:t>
            </w:r>
          </w:p>
        </w:tc>
        <w:tc>
          <w:tcPr>
            <w:tcW w:w="1250" w:type="dxa"/>
            <w:shd w:val="clear" w:color="auto" w:fill="auto"/>
            <w:vAlign w:val="center"/>
          </w:tcPr>
          <w:p w14:paraId="0D8AA278" w14:textId="77777777" w:rsidR="00975F26" w:rsidRPr="00ED0D6D" w:rsidRDefault="00975F26" w:rsidP="002A479B">
            <w:pPr>
              <w:jc w:val="center"/>
              <w:rPr>
                <w:color w:val="000000"/>
                <w:sz w:val="20"/>
              </w:rPr>
            </w:pPr>
            <w:r w:rsidRPr="005F73B1">
              <w:rPr>
                <w:color w:val="000000"/>
                <w:sz w:val="20"/>
              </w:rPr>
              <w:t>–</w:t>
            </w:r>
          </w:p>
        </w:tc>
        <w:tc>
          <w:tcPr>
            <w:tcW w:w="2404" w:type="dxa"/>
            <w:shd w:val="clear" w:color="auto" w:fill="auto"/>
            <w:vAlign w:val="center"/>
          </w:tcPr>
          <w:p w14:paraId="1A879B5B"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5F5FA9A7"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22F238E" w14:textId="77777777" w:rsidTr="002A479B">
        <w:trPr>
          <w:trHeight w:val="408"/>
        </w:trPr>
        <w:tc>
          <w:tcPr>
            <w:tcW w:w="642" w:type="dxa"/>
            <w:shd w:val="clear" w:color="auto" w:fill="auto"/>
            <w:vAlign w:val="center"/>
            <w:hideMark/>
          </w:tcPr>
          <w:p w14:paraId="347B6A6E"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63" w:type="dxa"/>
            <w:shd w:val="clear" w:color="auto" w:fill="auto"/>
            <w:vAlign w:val="center"/>
          </w:tcPr>
          <w:p w14:paraId="7DAEBA6D" w14:textId="77777777" w:rsidR="00975F26" w:rsidRPr="00ED0D6D" w:rsidRDefault="00975F26" w:rsidP="002A479B">
            <w:pPr>
              <w:jc w:val="both"/>
              <w:rPr>
                <w:color w:val="000000"/>
                <w:sz w:val="20"/>
              </w:rPr>
            </w:pPr>
            <w:r w:rsidRPr="00ED0D6D">
              <w:rPr>
                <w:color w:val="000000"/>
                <w:sz w:val="20"/>
              </w:rPr>
              <w:t xml:space="preserve">Valstybių, kurios yra NATO Energetinio saugumo kompetencijos centro narės, skaičius </w:t>
            </w:r>
          </w:p>
        </w:tc>
        <w:tc>
          <w:tcPr>
            <w:tcW w:w="1080" w:type="dxa"/>
            <w:shd w:val="clear" w:color="000000" w:fill="FFFFFF"/>
            <w:vAlign w:val="center"/>
          </w:tcPr>
          <w:p w14:paraId="3332D7D7" w14:textId="77777777" w:rsidR="00975F26" w:rsidRPr="00ED0D6D" w:rsidRDefault="00975F26" w:rsidP="002A479B">
            <w:pPr>
              <w:jc w:val="center"/>
              <w:rPr>
                <w:color w:val="000000"/>
                <w:sz w:val="20"/>
              </w:rPr>
            </w:pPr>
            <w:r w:rsidRPr="00ED0D6D">
              <w:rPr>
                <w:color w:val="000000"/>
                <w:sz w:val="20"/>
              </w:rPr>
              <w:t>11</w:t>
            </w:r>
          </w:p>
        </w:tc>
        <w:tc>
          <w:tcPr>
            <w:tcW w:w="1080" w:type="dxa"/>
            <w:shd w:val="clear" w:color="000000" w:fill="FFFFFF"/>
            <w:vAlign w:val="center"/>
          </w:tcPr>
          <w:p w14:paraId="408F30D7" w14:textId="77777777" w:rsidR="00975F26" w:rsidRPr="00ED0D6D" w:rsidRDefault="00975F26" w:rsidP="002A479B">
            <w:pPr>
              <w:jc w:val="center"/>
              <w:rPr>
                <w:color w:val="000000"/>
                <w:sz w:val="20"/>
              </w:rPr>
            </w:pPr>
            <w:r w:rsidRPr="00ED0D6D">
              <w:rPr>
                <w:color w:val="000000"/>
                <w:sz w:val="20"/>
              </w:rPr>
              <w:t>11</w:t>
            </w:r>
          </w:p>
        </w:tc>
        <w:tc>
          <w:tcPr>
            <w:tcW w:w="953" w:type="dxa"/>
            <w:shd w:val="clear" w:color="auto" w:fill="auto"/>
            <w:vAlign w:val="center"/>
          </w:tcPr>
          <w:p w14:paraId="50518ADC"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63490332" w14:textId="77777777" w:rsidR="00975F26" w:rsidRPr="00ED0D6D" w:rsidRDefault="00975F26" w:rsidP="002A479B">
            <w:pPr>
              <w:jc w:val="center"/>
              <w:rPr>
                <w:color w:val="000000"/>
                <w:sz w:val="20"/>
              </w:rPr>
            </w:pPr>
            <w:r w:rsidRPr="00ED0D6D">
              <w:rPr>
                <w:color w:val="000000"/>
                <w:sz w:val="20"/>
              </w:rPr>
              <w:t>13</w:t>
            </w:r>
          </w:p>
        </w:tc>
        <w:tc>
          <w:tcPr>
            <w:tcW w:w="1250" w:type="dxa"/>
            <w:shd w:val="clear" w:color="auto" w:fill="auto"/>
            <w:vAlign w:val="center"/>
          </w:tcPr>
          <w:p w14:paraId="030C76E0" w14:textId="77777777" w:rsidR="00975F26" w:rsidRPr="00ED0D6D" w:rsidRDefault="00975F26" w:rsidP="002A479B">
            <w:pPr>
              <w:jc w:val="center"/>
              <w:rPr>
                <w:color w:val="000000"/>
                <w:sz w:val="20"/>
              </w:rPr>
            </w:pPr>
            <w:r w:rsidRPr="00D9297A">
              <w:rPr>
                <w:color w:val="000000"/>
                <w:sz w:val="20"/>
              </w:rPr>
              <w:t>–</w:t>
            </w:r>
          </w:p>
        </w:tc>
        <w:tc>
          <w:tcPr>
            <w:tcW w:w="1250" w:type="dxa"/>
            <w:shd w:val="clear" w:color="auto" w:fill="auto"/>
            <w:vAlign w:val="center"/>
          </w:tcPr>
          <w:p w14:paraId="10391D76" w14:textId="77777777" w:rsidR="00975F26" w:rsidRPr="00ED0D6D" w:rsidRDefault="00975F26" w:rsidP="002A479B">
            <w:pPr>
              <w:jc w:val="center"/>
              <w:rPr>
                <w:color w:val="000000"/>
                <w:sz w:val="20"/>
              </w:rPr>
            </w:pPr>
            <w:r w:rsidRPr="00D9297A">
              <w:rPr>
                <w:color w:val="000000"/>
                <w:sz w:val="20"/>
              </w:rPr>
              <w:t>–</w:t>
            </w:r>
          </w:p>
        </w:tc>
        <w:tc>
          <w:tcPr>
            <w:tcW w:w="2404" w:type="dxa"/>
            <w:shd w:val="clear" w:color="auto" w:fill="auto"/>
            <w:vAlign w:val="center"/>
          </w:tcPr>
          <w:p w14:paraId="7A2BE02D"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00442AE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A68A0E3" w14:textId="77777777" w:rsidTr="002A479B">
        <w:trPr>
          <w:trHeight w:val="384"/>
        </w:trPr>
        <w:tc>
          <w:tcPr>
            <w:tcW w:w="642" w:type="dxa"/>
            <w:shd w:val="clear" w:color="auto" w:fill="auto"/>
            <w:vAlign w:val="center"/>
            <w:hideMark/>
          </w:tcPr>
          <w:p w14:paraId="7573E28A"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63" w:type="dxa"/>
            <w:shd w:val="clear" w:color="auto" w:fill="auto"/>
            <w:noWrap/>
            <w:vAlign w:val="center"/>
          </w:tcPr>
          <w:p w14:paraId="79C6BC32" w14:textId="77777777" w:rsidR="00975F26" w:rsidRPr="00ED0D6D" w:rsidRDefault="00975F26" w:rsidP="002A479B">
            <w:pPr>
              <w:jc w:val="both"/>
              <w:rPr>
                <w:color w:val="000000"/>
                <w:sz w:val="20"/>
              </w:rPr>
            </w:pPr>
            <w:r w:rsidRPr="00ED0D6D">
              <w:rPr>
                <w:color w:val="000000"/>
                <w:sz w:val="20"/>
              </w:rPr>
              <w:t>L</w:t>
            </w:r>
            <w:r>
              <w:rPr>
                <w:color w:val="000000"/>
                <w:sz w:val="20"/>
              </w:rPr>
              <w:t>ietuvos kariuomenės</w:t>
            </w:r>
            <w:r w:rsidRPr="00ED0D6D">
              <w:rPr>
                <w:color w:val="000000"/>
                <w:sz w:val="20"/>
              </w:rPr>
              <w:t xml:space="preserve"> karių, dalyvaujančių tarptautinėse operacijose ir misijose, skaičius    </w:t>
            </w:r>
          </w:p>
        </w:tc>
        <w:tc>
          <w:tcPr>
            <w:tcW w:w="1080" w:type="dxa"/>
            <w:shd w:val="clear" w:color="000000" w:fill="FFFFFF"/>
            <w:vAlign w:val="center"/>
          </w:tcPr>
          <w:p w14:paraId="582EB1F0" w14:textId="77777777" w:rsidR="00975F26" w:rsidRPr="00ED0D6D" w:rsidRDefault="00975F26" w:rsidP="002A479B">
            <w:pPr>
              <w:jc w:val="center"/>
              <w:rPr>
                <w:color w:val="000000"/>
                <w:sz w:val="20"/>
              </w:rPr>
            </w:pPr>
            <w:r w:rsidRPr="00ED0D6D">
              <w:rPr>
                <w:color w:val="000000"/>
                <w:sz w:val="20"/>
              </w:rPr>
              <w:t>181</w:t>
            </w:r>
          </w:p>
        </w:tc>
        <w:tc>
          <w:tcPr>
            <w:tcW w:w="1080" w:type="dxa"/>
            <w:shd w:val="clear" w:color="000000" w:fill="FFFFFF"/>
            <w:vAlign w:val="center"/>
          </w:tcPr>
          <w:p w14:paraId="126D340F" w14:textId="77777777" w:rsidR="00975F26" w:rsidRPr="00ED0D6D" w:rsidRDefault="00975F26" w:rsidP="002A479B">
            <w:pPr>
              <w:jc w:val="center"/>
              <w:rPr>
                <w:color w:val="000000"/>
                <w:sz w:val="20"/>
              </w:rPr>
            </w:pPr>
            <w:r w:rsidRPr="00ED0D6D">
              <w:rPr>
                <w:color w:val="000000"/>
                <w:sz w:val="20"/>
              </w:rPr>
              <w:t>170</w:t>
            </w:r>
          </w:p>
        </w:tc>
        <w:tc>
          <w:tcPr>
            <w:tcW w:w="953" w:type="dxa"/>
            <w:shd w:val="clear" w:color="auto" w:fill="auto"/>
            <w:vAlign w:val="center"/>
          </w:tcPr>
          <w:p w14:paraId="0272DE32" w14:textId="77777777" w:rsidR="00975F26" w:rsidRPr="00ED0D6D" w:rsidRDefault="00975F26" w:rsidP="002A479B">
            <w:pPr>
              <w:jc w:val="center"/>
              <w:rPr>
                <w:color w:val="000000"/>
                <w:sz w:val="20"/>
              </w:rPr>
            </w:pPr>
            <w:r>
              <w:rPr>
                <w:color w:val="000000"/>
                <w:sz w:val="20"/>
              </w:rPr>
              <w:t>–</w:t>
            </w:r>
          </w:p>
        </w:tc>
        <w:tc>
          <w:tcPr>
            <w:tcW w:w="983" w:type="dxa"/>
            <w:shd w:val="clear" w:color="000000" w:fill="FFFFFF"/>
            <w:vAlign w:val="center"/>
          </w:tcPr>
          <w:p w14:paraId="0BC2E73A" w14:textId="77777777" w:rsidR="00975F26" w:rsidRPr="00ED0D6D" w:rsidRDefault="00975F26" w:rsidP="002A479B">
            <w:pPr>
              <w:jc w:val="center"/>
              <w:rPr>
                <w:color w:val="000000"/>
                <w:sz w:val="20"/>
              </w:rPr>
            </w:pPr>
            <w:r w:rsidRPr="00ED0D6D">
              <w:rPr>
                <w:color w:val="000000"/>
                <w:sz w:val="20"/>
              </w:rPr>
              <w:t>170</w:t>
            </w:r>
          </w:p>
        </w:tc>
        <w:tc>
          <w:tcPr>
            <w:tcW w:w="1250" w:type="dxa"/>
            <w:shd w:val="clear" w:color="auto" w:fill="auto"/>
            <w:vAlign w:val="center"/>
          </w:tcPr>
          <w:p w14:paraId="4F2D655A" w14:textId="77777777" w:rsidR="00975F26" w:rsidRPr="00ED0D6D" w:rsidRDefault="00975F26" w:rsidP="002A479B">
            <w:pPr>
              <w:jc w:val="center"/>
              <w:rPr>
                <w:color w:val="000000"/>
                <w:sz w:val="20"/>
              </w:rPr>
            </w:pPr>
            <w:r w:rsidRPr="00D9297A">
              <w:rPr>
                <w:color w:val="000000"/>
                <w:sz w:val="20"/>
              </w:rPr>
              <w:t>–</w:t>
            </w:r>
          </w:p>
        </w:tc>
        <w:tc>
          <w:tcPr>
            <w:tcW w:w="1250" w:type="dxa"/>
            <w:shd w:val="clear" w:color="auto" w:fill="auto"/>
            <w:vAlign w:val="center"/>
          </w:tcPr>
          <w:p w14:paraId="1B9610E5" w14:textId="77777777" w:rsidR="00975F26" w:rsidRPr="00ED0D6D" w:rsidRDefault="00975F26" w:rsidP="002A479B">
            <w:pPr>
              <w:jc w:val="center"/>
              <w:rPr>
                <w:color w:val="000000"/>
                <w:sz w:val="20"/>
              </w:rPr>
            </w:pPr>
            <w:r w:rsidRPr="00D9297A">
              <w:rPr>
                <w:color w:val="000000"/>
                <w:sz w:val="20"/>
              </w:rPr>
              <w:t>–</w:t>
            </w:r>
          </w:p>
        </w:tc>
        <w:tc>
          <w:tcPr>
            <w:tcW w:w="2404" w:type="dxa"/>
            <w:shd w:val="clear" w:color="auto" w:fill="auto"/>
            <w:vAlign w:val="center"/>
          </w:tcPr>
          <w:p w14:paraId="6712D843" w14:textId="77777777" w:rsidR="00975F26" w:rsidRPr="00ED0D6D" w:rsidRDefault="00975F26" w:rsidP="002A479B">
            <w:pPr>
              <w:jc w:val="center"/>
              <w:rPr>
                <w:color w:val="000000"/>
                <w:sz w:val="20"/>
              </w:rPr>
            </w:pPr>
            <w:r w:rsidRPr="00ED0D6D">
              <w:rPr>
                <w:color w:val="000000"/>
                <w:sz w:val="20"/>
              </w:rPr>
              <w:t xml:space="preserve">KAM </w:t>
            </w:r>
          </w:p>
        </w:tc>
        <w:tc>
          <w:tcPr>
            <w:tcW w:w="1172" w:type="dxa"/>
            <w:shd w:val="clear" w:color="auto" w:fill="auto"/>
            <w:vAlign w:val="center"/>
          </w:tcPr>
          <w:p w14:paraId="58FF6F96" w14:textId="77777777" w:rsidR="00975F26" w:rsidRPr="00ED0D6D" w:rsidRDefault="00975F26" w:rsidP="002A479B">
            <w:pPr>
              <w:jc w:val="center"/>
              <w:rPr>
                <w:color w:val="000000"/>
                <w:sz w:val="20"/>
              </w:rPr>
            </w:pPr>
            <w:r w:rsidRPr="00ED0D6D">
              <w:rPr>
                <w:color w:val="000000"/>
                <w:sz w:val="20"/>
              </w:rPr>
              <w:t>17LRVP</w:t>
            </w:r>
          </w:p>
        </w:tc>
      </w:tr>
    </w:tbl>
    <w:p w14:paraId="7AF104AB" w14:textId="77777777" w:rsidR="00975F26" w:rsidRPr="00A6089B" w:rsidRDefault="00975F26" w:rsidP="00A6089B">
      <w:pPr>
        <w:spacing w:line="380" w:lineRule="atLeast"/>
        <w:jc w:val="both"/>
        <w:rPr>
          <w:bCs/>
          <w:sz w:val="20"/>
        </w:rPr>
      </w:pPr>
    </w:p>
    <w:p w14:paraId="285EF6E6" w14:textId="3F6E0BDB" w:rsidR="00975F26" w:rsidRPr="00ED0D6D" w:rsidRDefault="00975F26" w:rsidP="00A6089B">
      <w:pPr>
        <w:spacing w:line="380" w:lineRule="atLeast"/>
        <w:ind w:left="720"/>
        <w:jc w:val="both"/>
        <w:rPr>
          <w:b/>
          <w:szCs w:val="24"/>
        </w:rPr>
      </w:pPr>
      <w:r w:rsidRPr="00ED0D6D">
        <w:rPr>
          <w:b/>
          <w:szCs w:val="24"/>
        </w:rPr>
        <w:t>2.</w:t>
      </w:r>
      <w:r w:rsidR="00A6089B">
        <w:rPr>
          <w:b/>
          <w:szCs w:val="24"/>
        </w:rPr>
        <w:t>2.</w:t>
      </w:r>
      <w:r w:rsidRPr="00ED0D6D">
        <w:rPr>
          <w:b/>
          <w:szCs w:val="24"/>
        </w:rPr>
        <w:t>7. Viešasis sauguma</w:t>
      </w:r>
      <w:r w:rsidR="00A6089B">
        <w:rPr>
          <w:b/>
          <w:szCs w:val="24"/>
        </w:rPr>
        <w:t>s</w:t>
      </w:r>
    </w:p>
    <w:tbl>
      <w:tblPr>
        <w:tblW w:w="15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554"/>
        <w:gridCol w:w="1227"/>
        <w:gridCol w:w="1227"/>
        <w:gridCol w:w="952"/>
        <w:gridCol w:w="983"/>
        <w:gridCol w:w="1250"/>
        <w:gridCol w:w="1250"/>
        <w:gridCol w:w="2228"/>
        <w:gridCol w:w="1172"/>
      </w:tblGrid>
      <w:tr w:rsidR="00975F26" w:rsidRPr="00ED0D6D" w14:paraId="576D7A92" w14:textId="77777777" w:rsidTr="002A479B">
        <w:trPr>
          <w:trHeight w:val="458"/>
        </w:trPr>
        <w:tc>
          <w:tcPr>
            <w:tcW w:w="634" w:type="dxa"/>
            <w:shd w:val="clear" w:color="000000" w:fill="DEEAF6"/>
            <w:vAlign w:val="center"/>
            <w:hideMark/>
          </w:tcPr>
          <w:p w14:paraId="5E32A43A" w14:textId="77777777" w:rsidR="00975F26" w:rsidRPr="00ED0D6D" w:rsidRDefault="00975F26" w:rsidP="002A479B">
            <w:pPr>
              <w:jc w:val="center"/>
              <w:rPr>
                <w:b/>
                <w:bCs/>
                <w:color w:val="000000"/>
                <w:sz w:val="20"/>
              </w:rPr>
            </w:pPr>
            <w:r w:rsidRPr="00ED0D6D">
              <w:rPr>
                <w:b/>
                <w:bCs/>
                <w:color w:val="000000"/>
                <w:sz w:val="20"/>
              </w:rPr>
              <w:t>Eil. Nr.</w:t>
            </w:r>
          </w:p>
        </w:tc>
        <w:tc>
          <w:tcPr>
            <w:tcW w:w="4554" w:type="dxa"/>
            <w:shd w:val="clear" w:color="000000" w:fill="DEEAF6"/>
            <w:vAlign w:val="center"/>
            <w:hideMark/>
          </w:tcPr>
          <w:p w14:paraId="57D33AA2"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227" w:type="dxa"/>
            <w:shd w:val="clear" w:color="000000" w:fill="DEEAF6"/>
            <w:vAlign w:val="center"/>
            <w:hideMark/>
          </w:tcPr>
          <w:p w14:paraId="5D7D3277"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227" w:type="dxa"/>
            <w:shd w:val="clear" w:color="000000" w:fill="DEEAF6"/>
            <w:vAlign w:val="center"/>
            <w:hideMark/>
          </w:tcPr>
          <w:p w14:paraId="2705E25D"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52" w:type="dxa"/>
            <w:shd w:val="clear" w:color="000000" w:fill="DEEAF6"/>
            <w:vAlign w:val="center"/>
            <w:hideMark/>
          </w:tcPr>
          <w:p w14:paraId="27C9C92D"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03379074"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05AD6219"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67991626"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228" w:type="dxa"/>
            <w:shd w:val="clear" w:color="000000" w:fill="DEEAF6"/>
            <w:vAlign w:val="center"/>
            <w:hideMark/>
          </w:tcPr>
          <w:p w14:paraId="76F3A20F" w14:textId="77777777" w:rsidR="00975F26" w:rsidRPr="00ED0D6D" w:rsidRDefault="00975F26" w:rsidP="002A479B">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7B9D0A70"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52A66798" w14:textId="77777777" w:rsidR="00975F26" w:rsidRPr="00ED0D6D" w:rsidRDefault="00975F26" w:rsidP="002A479B">
            <w:pPr>
              <w:jc w:val="center"/>
              <w:rPr>
                <w:b/>
                <w:bCs/>
                <w:color w:val="000000"/>
                <w:sz w:val="20"/>
              </w:rPr>
            </w:pPr>
            <w:r w:rsidRPr="00ED0D6D">
              <w:rPr>
                <w:b/>
                <w:bCs/>
                <w:color w:val="000000"/>
                <w:sz w:val="20"/>
              </w:rPr>
              <w:t>17LRVP</w:t>
            </w:r>
          </w:p>
          <w:p w14:paraId="54E10444"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0F90A8A1" w14:textId="77777777" w:rsidTr="002A479B">
        <w:trPr>
          <w:trHeight w:val="368"/>
        </w:trPr>
        <w:tc>
          <w:tcPr>
            <w:tcW w:w="634" w:type="dxa"/>
            <w:shd w:val="clear" w:color="auto" w:fill="auto"/>
            <w:vAlign w:val="center"/>
            <w:hideMark/>
          </w:tcPr>
          <w:p w14:paraId="1E041306"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554" w:type="dxa"/>
            <w:shd w:val="clear" w:color="auto" w:fill="auto"/>
            <w:vAlign w:val="center"/>
          </w:tcPr>
          <w:p w14:paraId="1D5A9ACF" w14:textId="77777777" w:rsidR="00975F26" w:rsidRPr="00ED0D6D" w:rsidRDefault="00975F26" w:rsidP="002A479B">
            <w:pPr>
              <w:jc w:val="both"/>
              <w:rPr>
                <w:color w:val="000000"/>
                <w:sz w:val="20"/>
              </w:rPr>
            </w:pPr>
            <w:r w:rsidRPr="00ED0D6D">
              <w:rPr>
                <w:color w:val="000000"/>
                <w:sz w:val="20"/>
              </w:rPr>
              <w:t>Gyventojų, manančių, kad Lietuva – saugi šalis gyventi, dalis (proc.)</w:t>
            </w:r>
          </w:p>
        </w:tc>
        <w:tc>
          <w:tcPr>
            <w:tcW w:w="1227" w:type="dxa"/>
            <w:shd w:val="clear" w:color="000000" w:fill="FFFFFF"/>
            <w:vAlign w:val="center"/>
          </w:tcPr>
          <w:p w14:paraId="37F1B192" w14:textId="77777777" w:rsidR="00975F26" w:rsidRPr="00F46DD0" w:rsidRDefault="00975F26" w:rsidP="002A479B">
            <w:pPr>
              <w:jc w:val="center"/>
              <w:rPr>
                <w:i/>
                <w:iCs/>
                <w:color w:val="000000"/>
                <w:sz w:val="20"/>
              </w:rPr>
            </w:pPr>
            <w:r w:rsidRPr="00F46DD0">
              <w:rPr>
                <w:i/>
                <w:iCs/>
                <w:color w:val="000000"/>
                <w:sz w:val="20"/>
              </w:rPr>
              <w:t> n. d.</w:t>
            </w:r>
          </w:p>
        </w:tc>
        <w:tc>
          <w:tcPr>
            <w:tcW w:w="1227" w:type="dxa"/>
            <w:shd w:val="clear" w:color="auto" w:fill="auto"/>
            <w:noWrap/>
            <w:vAlign w:val="center"/>
          </w:tcPr>
          <w:p w14:paraId="4E35F49F" w14:textId="77777777" w:rsidR="00975F26" w:rsidRPr="00ED0D6D" w:rsidRDefault="00975F26" w:rsidP="002A479B">
            <w:pPr>
              <w:jc w:val="center"/>
              <w:rPr>
                <w:color w:val="000000"/>
                <w:sz w:val="20"/>
              </w:rPr>
            </w:pPr>
            <w:r w:rsidRPr="00ED0D6D">
              <w:rPr>
                <w:color w:val="000000"/>
                <w:sz w:val="20"/>
              </w:rPr>
              <w:t>75</w:t>
            </w:r>
          </w:p>
        </w:tc>
        <w:tc>
          <w:tcPr>
            <w:tcW w:w="952" w:type="dxa"/>
            <w:shd w:val="clear" w:color="auto" w:fill="auto"/>
            <w:vAlign w:val="center"/>
          </w:tcPr>
          <w:p w14:paraId="06F655A7" w14:textId="77777777" w:rsidR="00975F26" w:rsidRPr="00ED0D6D" w:rsidRDefault="00975F26" w:rsidP="002A479B">
            <w:pPr>
              <w:jc w:val="center"/>
              <w:rPr>
                <w:color w:val="000000"/>
                <w:sz w:val="20"/>
              </w:rPr>
            </w:pPr>
            <w:r w:rsidRPr="00ED0D6D">
              <w:rPr>
                <w:color w:val="000000"/>
                <w:sz w:val="20"/>
              </w:rPr>
              <w:t>80</w:t>
            </w:r>
          </w:p>
        </w:tc>
        <w:tc>
          <w:tcPr>
            <w:tcW w:w="983" w:type="dxa"/>
            <w:shd w:val="clear" w:color="auto" w:fill="auto"/>
            <w:vAlign w:val="center"/>
          </w:tcPr>
          <w:p w14:paraId="33408BA2" w14:textId="77777777" w:rsidR="00975F26" w:rsidRPr="00ED0D6D" w:rsidRDefault="00975F26" w:rsidP="002A479B">
            <w:pPr>
              <w:jc w:val="center"/>
              <w:rPr>
                <w:color w:val="000000"/>
                <w:sz w:val="20"/>
              </w:rPr>
            </w:pPr>
            <w:r w:rsidRPr="004228EE">
              <w:rPr>
                <w:color w:val="000000"/>
                <w:sz w:val="20"/>
              </w:rPr>
              <w:t>–</w:t>
            </w:r>
          </w:p>
        </w:tc>
        <w:tc>
          <w:tcPr>
            <w:tcW w:w="1250" w:type="dxa"/>
            <w:shd w:val="clear" w:color="auto" w:fill="auto"/>
            <w:noWrap/>
            <w:vAlign w:val="center"/>
          </w:tcPr>
          <w:p w14:paraId="4E39A6E2" w14:textId="77777777" w:rsidR="00975F26" w:rsidRPr="00ED0D6D" w:rsidRDefault="00975F26" w:rsidP="002A479B">
            <w:pPr>
              <w:jc w:val="center"/>
              <w:rPr>
                <w:color w:val="000000"/>
                <w:sz w:val="20"/>
              </w:rPr>
            </w:pPr>
            <w:r w:rsidRPr="004228EE">
              <w:rPr>
                <w:color w:val="000000"/>
                <w:sz w:val="20"/>
              </w:rPr>
              <w:t>–</w:t>
            </w:r>
          </w:p>
        </w:tc>
        <w:tc>
          <w:tcPr>
            <w:tcW w:w="1250" w:type="dxa"/>
            <w:shd w:val="clear" w:color="auto" w:fill="auto"/>
            <w:vAlign w:val="center"/>
          </w:tcPr>
          <w:p w14:paraId="14C40E8F" w14:textId="77777777" w:rsidR="00975F26" w:rsidRPr="00ED0D6D" w:rsidRDefault="00975F26" w:rsidP="002A479B">
            <w:pPr>
              <w:jc w:val="center"/>
              <w:rPr>
                <w:color w:val="000000"/>
                <w:sz w:val="20"/>
              </w:rPr>
            </w:pPr>
            <w:r w:rsidRPr="004228EE">
              <w:rPr>
                <w:color w:val="000000"/>
                <w:sz w:val="20"/>
              </w:rPr>
              <w:t>–</w:t>
            </w:r>
          </w:p>
        </w:tc>
        <w:tc>
          <w:tcPr>
            <w:tcW w:w="2228" w:type="dxa"/>
            <w:shd w:val="clear" w:color="auto" w:fill="auto"/>
            <w:vAlign w:val="center"/>
          </w:tcPr>
          <w:p w14:paraId="406F515A" w14:textId="77777777" w:rsidR="00975F26" w:rsidRPr="00ED0D6D" w:rsidRDefault="00975F26" w:rsidP="002A479B">
            <w:pPr>
              <w:jc w:val="center"/>
              <w:rPr>
                <w:color w:val="000000"/>
                <w:sz w:val="20"/>
              </w:rPr>
            </w:pPr>
            <w:r w:rsidRPr="00ED0D6D">
              <w:rPr>
                <w:color w:val="000000"/>
                <w:sz w:val="20"/>
              </w:rPr>
              <w:t xml:space="preserve">VRM </w:t>
            </w:r>
          </w:p>
        </w:tc>
        <w:tc>
          <w:tcPr>
            <w:tcW w:w="1172" w:type="dxa"/>
            <w:shd w:val="clear" w:color="auto" w:fill="auto"/>
            <w:vAlign w:val="center"/>
          </w:tcPr>
          <w:p w14:paraId="0990B587"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1A4C8763" w14:textId="77777777" w:rsidTr="002A479B">
        <w:trPr>
          <w:trHeight w:val="305"/>
        </w:trPr>
        <w:tc>
          <w:tcPr>
            <w:tcW w:w="634" w:type="dxa"/>
            <w:shd w:val="clear" w:color="auto" w:fill="auto"/>
            <w:vAlign w:val="center"/>
            <w:hideMark/>
          </w:tcPr>
          <w:p w14:paraId="3BA1DEE3"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554" w:type="dxa"/>
            <w:shd w:val="clear" w:color="auto" w:fill="auto"/>
            <w:vAlign w:val="center"/>
          </w:tcPr>
          <w:p w14:paraId="4BF07F5C" w14:textId="77777777" w:rsidR="00975F26" w:rsidRPr="00ED0D6D" w:rsidRDefault="00975F26" w:rsidP="002A479B">
            <w:pPr>
              <w:jc w:val="both"/>
              <w:rPr>
                <w:color w:val="000000"/>
                <w:sz w:val="20"/>
              </w:rPr>
            </w:pPr>
            <w:r w:rsidRPr="00ED0D6D">
              <w:rPr>
                <w:color w:val="000000"/>
                <w:sz w:val="20"/>
              </w:rPr>
              <w:t>Valstybės ir savivaldybių institucijų ir įstaigų, pasirengusių reaguoti į ekstremaliąsias situacijas, dalis (proc.)</w:t>
            </w:r>
          </w:p>
        </w:tc>
        <w:tc>
          <w:tcPr>
            <w:tcW w:w="1227" w:type="dxa"/>
            <w:shd w:val="clear" w:color="000000" w:fill="FFFFFF"/>
            <w:vAlign w:val="center"/>
          </w:tcPr>
          <w:p w14:paraId="6452BE8B" w14:textId="77777777" w:rsidR="00975F26" w:rsidRPr="00ED0D6D" w:rsidRDefault="00975F26" w:rsidP="002A479B">
            <w:pPr>
              <w:jc w:val="center"/>
              <w:rPr>
                <w:color w:val="000000"/>
                <w:sz w:val="20"/>
              </w:rPr>
            </w:pPr>
            <w:r w:rsidRPr="00ED0D6D">
              <w:rPr>
                <w:color w:val="000000"/>
                <w:sz w:val="20"/>
              </w:rPr>
              <w:t>70</w:t>
            </w:r>
          </w:p>
        </w:tc>
        <w:tc>
          <w:tcPr>
            <w:tcW w:w="1227" w:type="dxa"/>
            <w:shd w:val="clear" w:color="auto" w:fill="auto"/>
            <w:noWrap/>
            <w:vAlign w:val="center"/>
          </w:tcPr>
          <w:p w14:paraId="5564B755" w14:textId="77777777" w:rsidR="00975F26" w:rsidRPr="00F46DD0" w:rsidRDefault="00975F26" w:rsidP="002A479B">
            <w:pPr>
              <w:jc w:val="center"/>
              <w:rPr>
                <w:i/>
                <w:iCs/>
                <w:color w:val="000000"/>
                <w:sz w:val="20"/>
              </w:rPr>
            </w:pPr>
            <w:r w:rsidRPr="00F46DD0">
              <w:rPr>
                <w:i/>
                <w:iCs/>
                <w:color w:val="000000"/>
                <w:sz w:val="20"/>
              </w:rPr>
              <w:t>n. d.</w:t>
            </w:r>
          </w:p>
        </w:tc>
        <w:tc>
          <w:tcPr>
            <w:tcW w:w="952" w:type="dxa"/>
            <w:shd w:val="clear" w:color="auto" w:fill="auto"/>
            <w:vAlign w:val="center"/>
          </w:tcPr>
          <w:p w14:paraId="13DA13BE" w14:textId="77777777" w:rsidR="00975F26" w:rsidRPr="00ED0D6D" w:rsidRDefault="00975F26" w:rsidP="002A479B">
            <w:pPr>
              <w:jc w:val="center"/>
              <w:rPr>
                <w:color w:val="000000"/>
                <w:sz w:val="20"/>
              </w:rPr>
            </w:pPr>
            <w:r w:rsidRPr="00ED0D6D">
              <w:rPr>
                <w:color w:val="000000"/>
                <w:sz w:val="20"/>
              </w:rPr>
              <w:t>85</w:t>
            </w:r>
          </w:p>
        </w:tc>
        <w:tc>
          <w:tcPr>
            <w:tcW w:w="983" w:type="dxa"/>
            <w:shd w:val="clear" w:color="auto" w:fill="auto"/>
            <w:vAlign w:val="center"/>
          </w:tcPr>
          <w:p w14:paraId="30342E06" w14:textId="77777777" w:rsidR="00975F26" w:rsidRPr="00ED0D6D" w:rsidRDefault="00975F26" w:rsidP="002A479B">
            <w:pPr>
              <w:jc w:val="center"/>
              <w:rPr>
                <w:color w:val="000000"/>
                <w:sz w:val="20"/>
              </w:rPr>
            </w:pPr>
            <w:r w:rsidRPr="004228EE">
              <w:rPr>
                <w:color w:val="000000"/>
                <w:sz w:val="20"/>
              </w:rPr>
              <w:t>–</w:t>
            </w:r>
          </w:p>
        </w:tc>
        <w:tc>
          <w:tcPr>
            <w:tcW w:w="1250" w:type="dxa"/>
            <w:shd w:val="clear" w:color="auto" w:fill="auto"/>
            <w:noWrap/>
            <w:vAlign w:val="center"/>
          </w:tcPr>
          <w:p w14:paraId="5CD67964" w14:textId="77777777" w:rsidR="00975F26" w:rsidRPr="00ED0D6D" w:rsidRDefault="00975F26" w:rsidP="002A479B">
            <w:pPr>
              <w:jc w:val="center"/>
              <w:rPr>
                <w:color w:val="000000"/>
                <w:sz w:val="20"/>
              </w:rPr>
            </w:pPr>
            <w:r w:rsidRPr="004228EE">
              <w:rPr>
                <w:color w:val="000000"/>
                <w:sz w:val="20"/>
              </w:rPr>
              <w:t>–</w:t>
            </w:r>
          </w:p>
        </w:tc>
        <w:tc>
          <w:tcPr>
            <w:tcW w:w="1250" w:type="dxa"/>
            <w:shd w:val="clear" w:color="auto" w:fill="auto"/>
            <w:vAlign w:val="center"/>
          </w:tcPr>
          <w:p w14:paraId="2AFBC9AC" w14:textId="77777777" w:rsidR="00975F26" w:rsidRPr="00ED0D6D" w:rsidRDefault="00975F26" w:rsidP="002A479B">
            <w:pPr>
              <w:jc w:val="center"/>
              <w:rPr>
                <w:color w:val="000000"/>
                <w:sz w:val="20"/>
              </w:rPr>
            </w:pPr>
            <w:r w:rsidRPr="004228EE">
              <w:rPr>
                <w:color w:val="000000"/>
                <w:sz w:val="20"/>
              </w:rPr>
              <w:t>–</w:t>
            </w:r>
          </w:p>
        </w:tc>
        <w:tc>
          <w:tcPr>
            <w:tcW w:w="2228" w:type="dxa"/>
            <w:shd w:val="clear" w:color="auto" w:fill="auto"/>
            <w:vAlign w:val="center"/>
          </w:tcPr>
          <w:p w14:paraId="187484E2"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491A8AD2"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22ED2EFD" w14:textId="77777777" w:rsidTr="002A479B">
        <w:trPr>
          <w:trHeight w:val="305"/>
        </w:trPr>
        <w:tc>
          <w:tcPr>
            <w:tcW w:w="634" w:type="dxa"/>
            <w:shd w:val="clear" w:color="auto" w:fill="auto"/>
            <w:vAlign w:val="center"/>
          </w:tcPr>
          <w:p w14:paraId="04F2A66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554" w:type="dxa"/>
            <w:shd w:val="clear" w:color="auto" w:fill="auto"/>
            <w:vAlign w:val="center"/>
          </w:tcPr>
          <w:p w14:paraId="6BE765AF" w14:textId="77777777" w:rsidR="00975F26" w:rsidRPr="00ED0D6D" w:rsidRDefault="00975F26" w:rsidP="002A479B">
            <w:pPr>
              <w:jc w:val="both"/>
              <w:rPr>
                <w:color w:val="000000"/>
                <w:sz w:val="20"/>
              </w:rPr>
            </w:pPr>
            <w:r>
              <w:rPr>
                <w:color w:val="000000"/>
                <w:sz w:val="20"/>
              </w:rPr>
              <w:t>ES</w:t>
            </w:r>
            <w:r w:rsidRPr="00ED0D6D">
              <w:rPr>
                <w:color w:val="000000"/>
                <w:sz w:val="20"/>
              </w:rPr>
              <w:t xml:space="preserve"> išorės sienos (Lietuvos dalies), stebimos taikant modernias sienos stebėjimo technologijas, dalis, ne mažiau kaip (proc.)   </w:t>
            </w:r>
          </w:p>
        </w:tc>
        <w:tc>
          <w:tcPr>
            <w:tcW w:w="1227" w:type="dxa"/>
            <w:shd w:val="clear" w:color="000000" w:fill="FFFFFF"/>
            <w:vAlign w:val="center"/>
          </w:tcPr>
          <w:p w14:paraId="2734CC5C" w14:textId="77777777" w:rsidR="00975F26" w:rsidRPr="00ED0D6D" w:rsidRDefault="00975F26" w:rsidP="002A479B">
            <w:pPr>
              <w:jc w:val="center"/>
              <w:rPr>
                <w:color w:val="000000"/>
                <w:sz w:val="20"/>
              </w:rPr>
            </w:pPr>
            <w:r w:rsidRPr="00ED0D6D">
              <w:rPr>
                <w:color w:val="000000"/>
                <w:sz w:val="20"/>
              </w:rPr>
              <w:t>56</w:t>
            </w:r>
          </w:p>
        </w:tc>
        <w:tc>
          <w:tcPr>
            <w:tcW w:w="1227" w:type="dxa"/>
            <w:shd w:val="clear" w:color="auto" w:fill="auto"/>
            <w:noWrap/>
            <w:vAlign w:val="center"/>
          </w:tcPr>
          <w:p w14:paraId="2F909A8C" w14:textId="77777777" w:rsidR="00975F26" w:rsidRPr="00ED0D6D" w:rsidRDefault="00975F26" w:rsidP="002A479B">
            <w:pPr>
              <w:jc w:val="center"/>
              <w:rPr>
                <w:color w:val="000000"/>
                <w:sz w:val="20"/>
              </w:rPr>
            </w:pPr>
            <w:r w:rsidRPr="00ED0D6D">
              <w:rPr>
                <w:color w:val="000000"/>
                <w:sz w:val="20"/>
              </w:rPr>
              <w:t>61,2</w:t>
            </w:r>
          </w:p>
        </w:tc>
        <w:tc>
          <w:tcPr>
            <w:tcW w:w="952" w:type="dxa"/>
            <w:shd w:val="clear" w:color="auto" w:fill="auto"/>
            <w:vAlign w:val="center"/>
          </w:tcPr>
          <w:p w14:paraId="5985BE61" w14:textId="77777777" w:rsidR="00975F26" w:rsidRPr="00ED0D6D" w:rsidRDefault="00975F26" w:rsidP="002A479B">
            <w:pPr>
              <w:jc w:val="center"/>
              <w:rPr>
                <w:color w:val="000000"/>
                <w:sz w:val="20"/>
              </w:rPr>
            </w:pPr>
            <w:r w:rsidRPr="00293C83">
              <w:rPr>
                <w:color w:val="000000"/>
                <w:sz w:val="20"/>
              </w:rPr>
              <w:t>–</w:t>
            </w:r>
          </w:p>
        </w:tc>
        <w:tc>
          <w:tcPr>
            <w:tcW w:w="983" w:type="dxa"/>
            <w:shd w:val="clear" w:color="auto" w:fill="auto"/>
            <w:vAlign w:val="center"/>
          </w:tcPr>
          <w:p w14:paraId="7AE5810D" w14:textId="77777777" w:rsidR="00975F26" w:rsidRPr="00ED0D6D" w:rsidRDefault="00975F26" w:rsidP="002A479B">
            <w:pPr>
              <w:jc w:val="center"/>
              <w:rPr>
                <w:color w:val="000000"/>
                <w:sz w:val="20"/>
              </w:rPr>
            </w:pPr>
            <w:r w:rsidRPr="00ED0D6D">
              <w:rPr>
                <w:color w:val="000000"/>
                <w:sz w:val="20"/>
              </w:rPr>
              <w:t>100</w:t>
            </w:r>
          </w:p>
        </w:tc>
        <w:tc>
          <w:tcPr>
            <w:tcW w:w="1250" w:type="dxa"/>
            <w:shd w:val="clear" w:color="auto" w:fill="auto"/>
            <w:noWrap/>
            <w:vAlign w:val="center"/>
          </w:tcPr>
          <w:p w14:paraId="5194CC8D" w14:textId="77777777" w:rsidR="00975F26" w:rsidRPr="00ED0D6D" w:rsidRDefault="00975F26" w:rsidP="002A479B">
            <w:pPr>
              <w:jc w:val="center"/>
              <w:rPr>
                <w:color w:val="000000"/>
                <w:sz w:val="20"/>
              </w:rPr>
            </w:pPr>
            <w:r w:rsidRPr="00ED0D6D">
              <w:rPr>
                <w:color w:val="000000"/>
                <w:sz w:val="20"/>
              </w:rPr>
              <w:t>100</w:t>
            </w:r>
          </w:p>
        </w:tc>
        <w:tc>
          <w:tcPr>
            <w:tcW w:w="1250" w:type="dxa"/>
            <w:shd w:val="clear" w:color="auto" w:fill="auto"/>
            <w:vAlign w:val="center"/>
          </w:tcPr>
          <w:p w14:paraId="54782EBD" w14:textId="77777777" w:rsidR="00975F26" w:rsidRPr="00ED0D6D" w:rsidRDefault="00975F26" w:rsidP="002A479B">
            <w:pPr>
              <w:jc w:val="center"/>
              <w:rPr>
                <w:color w:val="000000"/>
                <w:sz w:val="20"/>
              </w:rPr>
            </w:pPr>
            <w:r w:rsidRPr="00ED0D6D">
              <w:rPr>
                <w:color w:val="000000"/>
                <w:sz w:val="20"/>
              </w:rPr>
              <w:t>100</w:t>
            </w:r>
          </w:p>
        </w:tc>
        <w:tc>
          <w:tcPr>
            <w:tcW w:w="2228" w:type="dxa"/>
            <w:shd w:val="clear" w:color="auto" w:fill="auto"/>
            <w:vAlign w:val="center"/>
          </w:tcPr>
          <w:p w14:paraId="21A5E99F"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75002DE2" w14:textId="77777777" w:rsidR="00975F26" w:rsidRPr="00ED0D6D" w:rsidRDefault="00975F26" w:rsidP="002A479B">
            <w:pPr>
              <w:jc w:val="center"/>
              <w:rPr>
                <w:b/>
                <w:bCs/>
                <w:color w:val="000000"/>
                <w:sz w:val="20"/>
              </w:rPr>
            </w:pPr>
            <w:r w:rsidRPr="00ED0D6D">
              <w:rPr>
                <w:color w:val="000000"/>
                <w:sz w:val="20"/>
              </w:rPr>
              <w:t>17LRVP NPP2030</w:t>
            </w:r>
          </w:p>
        </w:tc>
      </w:tr>
      <w:tr w:rsidR="00975F26" w:rsidRPr="00ED0D6D" w14:paraId="63556AA4" w14:textId="77777777" w:rsidTr="002A479B">
        <w:trPr>
          <w:trHeight w:val="143"/>
        </w:trPr>
        <w:tc>
          <w:tcPr>
            <w:tcW w:w="634" w:type="dxa"/>
            <w:shd w:val="clear" w:color="auto" w:fill="auto"/>
            <w:vAlign w:val="center"/>
            <w:hideMark/>
          </w:tcPr>
          <w:p w14:paraId="00306B5E"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554" w:type="dxa"/>
            <w:shd w:val="clear" w:color="auto" w:fill="auto"/>
          </w:tcPr>
          <w:p w14:paraId="5C93A540" w14:textId="77777777" w:rsidR="00975F26" w:rsidRPr="00ED0D6D" w:rsidRDefault="00975F26" w:rsidP="002A479B">
            <w:pPr>
              <w:rPr>
                <w:color w:val="000000"/>
                <w:sz w:val="20"/>
              </w:rPr>
            </w:pPr>
            <w:r w:rsidRPr="00ED0D6D">
              <w:rPr>
                <w:color w:val="000000"/>
                <w:sz w:val="20"/>
              </w:rPr>
              <w:t>Viešojo saugumo suvokimo indeksas</w:t>
            </w:r>
            <w:r>
              <w:rPr>
                <w:color w:val="000000"/>
                <w:sz w:val="20"/>
              </w:rPr>
              <w:t xml:space="preserve"> </w:t>
            </w:r>
            <w:r w:rsidRPr="00ED0D6D">
              <w:rPr>
                <w:color w:val="000000"/>
                <w:sz w:val="20"/>
              </w:rPr>
              <w:t xml:space="preserve">(balai) </w:t>
            </w:r>
          </w:p>
        </w:tc>
        <w:tc>
          <w:tcPr>
            <w:tcW w:w="1227" w:type="dxa"/>
            <w:shd w:val="clear" w:color="000000" w:fill="FFFFFF"/>
            <w:vAlign w:val="center"/>
          </w:tcPr>
          <w:p w14:paraId="2737799F" w14:textId="77777777" w:rsidR="00975F26" w:rsidRPr="00ED0D6D" w:rsidRDefault="00975F26" w:rsidP="002A479B">
            <w:pPr>
              <w:jc w:val="center"/>
              <w:rPr>
                <w:color w:val="000000"/>
                <w:sz w:val="20"/>
              </w:rPr>
            </w:pPr>
            <w:r w:rsidRPr="00ED0D6D">
              <w:rPr>
                <w:color w:val="000000"/>
                <w:sz w:val="20"/>
              </w:rPr>
              <w:t>7,2</w:t>
            </w:r>
          </w:p>
        </w:tc>
        <w:tc>
          <w:tcPr>
            <w:tcW w:w="1227" w:type="dxa"/>
            <w:shd w:val="clear" w:color="000000" w:fill="FFFFFF"/>
            <w:vAlign w:val="center"/>
          </w:tcPr>
          <w:p w14:paraId="164183CF" w14:textId="77777777" w:rsidR="00975F26" w:rsidRPr="00ED0D6D" w:rsidRDefault="00975F26" w:rsidP="002A479B">
            <w:pPr>
              <w:jc w:val="center"/>
              <w:rPr>
                <w:color w:val="000000"/>
                <w:sz w:val="20"/>
              </w:rPr>
            </w:pPr>
            <w:r w:rsidRPr="00ED0D6D">
              <w:rPr>
                <w:color w:val="000000"/>
                <w:sz w:val="20"/>
              </w:rPr>
              <w:t>7,2</w:t>
            </w:r>
          </w:p>
        </w:tc>
        <w:tc>
          <w:tcPr>
            <w:tcW w:w="952" w:type="dxa"/>
            <w:shd w:val="clear" w:color="auto" w:fill="auto"/>
            <w:vAlign w:val="center"/>
          </w:tcPr>
          <w:p w14:paraId="6A6A54C5" w14:textId="77777777" w:rsidR="00975F26" w:rsidRPr="00ED0D6D" w:rsidRDefault="00975F26" w:rsidP="002A479B">
            <w:pPr>
              <w:jc w:val="center"/>
              <w:rPr>
                <w:color w:val="000000"/>
                <w:sz w:val="20"/>
              </w:rPr>
            </w:pPr>
            <w:r w:rsidRPr="00293C83">
              <w:rPr>
                <w:color w:val="000000"/>
                <w:sz w:val="20"/>
              </w:rPr>
              <w:t>–</w:t>
            </w:r>
          </w:p>
        </w:tc>
        <w:tc>
          <w:tcPr>
            <w:tcW w:w="983" w:type="dxa"/>
            <w:shd w:val="clear" w:color="auto" w:fill="auto"/>
            <w:vAlign w:val="center"/>
          </w:tcPr>
          <w:p w14:paraId="0C42E8BB" w14:textId="77777777" w:rsidR="00975F26" w:rsidRPr="00ED0D6D" w:rsidRDefault="00975F26" w:rsidP="002A479B">
            <w:pPr>
              <w:jc w:val="center"/>
              <w:rPr>
                <w:color w:val="000000"/>
                <w:sz w:val="20"/>
              </w:rPr>
            </w:pPr>
            <w:r w:rsidRPr="00ED0D6D">
              <w:rPr>
                <w:color w:val="000000"/>
                <w:sz w:val="20"/>
              </w:rPr>
              <w:t>7,1</w:t>
            </w:r>
          </w:p>
        </w:tc>
        <w:tc>
          <w:tcPr>
            <w:tcW w:w="1250" w:type="dxa"/>
            <w:shd w:val="clear" w:color="auto" w:fill="auto"/>
            <w:vAlign w:val="center"/>
          </w:tcPr>
          <w:p w14:paraId="7DE6F544" w14:textId="77777777" w:rsidR="00975F26" w:rsidRPr="00ED0D6D" w:rsidRDefault="00975F26" w:rsidP="002A479B">
            <w:pPr>
              <w:jc w:val="center"/>
              <w:rPr>
                <w:color w:val="000000"/>
                <w:sz w:val="20"/>
              </w:rPr>
            </w:pPr>
            <w:r w:rsidRPr="00AE2B6C">
              <w:rPr>
                <w:color w:val="000000"/>
                <w:sz w:val="20"/>
              </w:rPr>
              <w:t>–</w:t>
            </w:r>
          </w:p>
        </w:tc>
        <w:tc>
          <w:tcPr>
            <w:tcW w:w="1250" w:type="dxa"/>
            <w:shd w:val="clear" w:color="auto" w:fill="auto"/>
            <w:vAlign w:val="center"/>
          </w:tcPr>
          <w:p w14:paraId="205C3FC5" w14:textId="77777777" w:rsidR="00975F26" w:rsidRPr="00ED0D6D" w:rsidRDefault="00975F26" w:rsidP="002A479B">
            <w:pPr>
              <w:jc w:val="center"/>
              <w:rPr>
                <w:color w:val="000000"/>
                <w:sz w:val="20"/>
              </w:rPr>
            </w:pPr>
            <w:r w:rsidRPr="00AE2B6C">
              <w:rPr>
                <w:color w:val="000000"/>
                <w:sz w:val="20"/>
              </w:rPr>
              <w:t>–</w:t>
            </w:r>
          </w:p>
        </w:tc>
        <w:tc>
          <w:tcPr>
            <w:tcW w:w="2228" w:type="dxa"/>
            <w:shd w:val="clear" w:color="auto" w:fill="auto"/>
            <w:vAlign w:val="center"/>
          </w:tcPr>
          <w:p w14:paraId="0E072B08" w14:textId="77777777" w:rsidR="00975F26" w:rsidRPr="00ED0D6D" w:rsidRDefault="00975F26" w:rsidP="002A479B">
            <w:pPr>
              <w:jc w:val="center"/>
              <w:rPr>
                <w:color w:val="000000"/>
                <w:sz w:val="20"/>
              </w:rPr>
            </w:pPr>
            <w:r>
              <w:rPr>
                <w:color w:val="000000"/>
                <w:sz w:val="20"/>
              </w:rPr>
              <w:t>g</w:t>
            </w:r>
            <w:r w:rsidRPr="00ED0D6D">
              <w:rPr>
                <w:color w:val="000000"/>
                <w:sz w:val="20"/>
              </w:rPr>
              <w:t>yventojų apklausa</w:t>
            </w:r>
          </w:p>
        </w:tc>
        <w:tc>
          <w:tcPr>
            <w:tcW w:w="1172" w:type="dxa"/>
            <w:shd w:val="clear" w:color="auto" w:fill="auto"/>
            <w:vAlign w:val="center"/>
          </w:tcPr>
          <w:p w14:paraId="440A89C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43BA0DF" w14:textId="77777777" w:rsidTr="002A479B">
        <w:trPr>
          <w:trHeight w:val="323"/>
        </w:trPr>
        <w:tc>
          <w:tcPr>
            <w:tcW w:w="634" w:type="dxa"/>
            <w:shd w:val="clear" w:color="auto" w:fill="auto"/>
            <w:vAlign w:val="center"/>
            <w:hideMark/>
          </w:tcPr>
          <w:p w14:paraId="239F6277"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554" w:type="dxa"/>
            <w:shd w:val="clear" w:color="auto" w:fill="auto"/>
          </w:tcPr>
          <w:p w14:paraId="34914002" w14:textId="77777777" w:rsidR="00975F26" w:rsidRPr="00ED0D6D" w:rsidRDefault="00975F26" w:rsidP="002A479B">
            <w:pPr>
              <w:jc w:val="both"/>
              <w:rPr>
                <w:sz w:val="20"/>
              </w:rPr>
            </w:pPr>
            <w:r w:rsidRPr="00ED0D6D">
              <w:rPr>
                <w:color w:val="000000"/>
                <w:sz w:val="20"/>
              </w:rPr>
              <w:t xml:space="preserve">Pareigūnų, aprūpintų pagal nustatytus standartus, dalis (proc.)  </w:t>
            </w:r>
          </w:p>
        </w:tc>
        <w:tc>
          <w:tcPr>
            <w:tcW w:w="1227" w:type="dxa"/>
            <w:shd w:val="clear" w:color="000000" w:fill="FFFFFF"/>
            <w:vAlign w:val="center"/>
          </w:tcPr>
          <w:p w14:paraId="43514FDD" w14:textId="77777777" w:rsidR="00975F26" w:rsidRPr="00F46DD0" w:rsidRDefault="00975F26" w:rsidP="002A479B">
            <w:pPr>
              <w:jc w:val="center"/>
              <w:rPr>
                <w:color w:val="000000"/>
                <w:sz w:val="20"/>
              </w:rPr>
            </w:pPr>
            <w:r>
              <w:rPr>
                <w:color w:val="000000"/>
                <w:sz w:val="20"/>
              </w:rPr>
              <w:t>p</w:t>
            </w:r>
            <w:r w:rsidRPr="00F46DD0">
              <w:rPr>
                <w:color w:val="000000"/>
                <w:sz w:val="20"/>
              </w:rPr>
              <w:t xml:space="preserve">olicijos pareigūnų </w:t>
            </w:r>
            <w:r>
              <w:rPr>
                <w:color w:val="000000"/>
                <w:sz w:val="20"/>
              </w:rPr>
              <w:t xml:space="preserve">– </w:t>
            </w:r>
            <w:r w:rsidRPr="00F46DD0">
              <w:rPr>
                <w:color w:val="000000"/>
                <w:sz w:val="20"/>
              </w:rPr>
              <w:t xml:space="preserve">77; </w:t>
            </w:r>
            <w:r>
              <w:rPr>
                <w:color w:val="000000"/>
                <w:sz w:val="20"/>
              </w:rPr>
              <w:t>p</w:t>
            </w:r>
            <w:r w:rsidRPr="00F46DD0">
              <w:rPr>
                <w:color w:val="000000"/>
                <w:sz w:val="20"/>
              </w:rPr>
              <w:t xml:space="preserve">asieniečių </w:t>
            </w:r>
            <w:r>
              <w:rPr>
                <w:color w:val="000000"/>
                <w:sz w:val="20"/>
              </w:rPr>
              <w:t>–</w:t>
            </w:r>
            <w:r w:rsidRPr="00F46DD0">
              <w:rPr>
                <w:color w:val="000000"/>
                <w:sz w:val="20"/>
              </w:rPr>
              <w:t xml:space="preserve"> 75; ugniagesių</w:t>
            </w:r>
            <w:r>
              <w:rPr>
                <w:color w:val="000000"/>
                <w:sz w:val="20"/>
              </w:rPr>
              <w:t xml:space="preserve"> </w:t>
            </w:r>
            <w:r w:rsidRPr="00F46DD0">
              <w:rPr>
                <w:color w:val="000000"/>
                <w:sz w:val="20"/>
              </w:rPr>
              <w:t xml:space="preserve">gelbėtojų </w:t>
            </w:r>
            <w:r>
              <w:rPr>
                <w:color w:val="000000"/>
                <w:sz w:val="20"/>
              </w:rPr>
              <w:t>–</w:t>
            </w:r>
            <w:r w:rsidRPr="00F46DD0">
              <w:rPr>
                <w:color w:val="000000"/>
                <w:sz w:val="20"/>
              </w:rPr>
              <w:t xml:space="preserve"> 70 </w:t>
            </w:r>
          </w:p>
        </w:tc>
        <w:tc>
          <w:tcPr>
            <w:tcW w:w="1227" w:type="dxa"/>
            <w:shd w:val="clear" w:color="000000" w:fill="FFFFFF"/>
            <w:vAlign w:val="center"/>
          </w:tcPr>
          <w:p w14:paraId="2171A189" w14:textId="77777777" w:rsidR="00975F26" w:rsidRPr="00F46DD0" w:rsidRDefault="00975F26" w:rsidP="002A479B">
            <w:pPr>
              <w:jc w:val="center"/>
              <w:rPr>
                <w:color w:val="000000"/>
                <w:sz w:val="20"/>
              </w:rPr>
            </w:pPr>
            <w:r>
              <w:rPr>
                <w:color w:val="000000"/>
                <w:sz w:val="20"/>
              </w:rPr>
              <w:t>p</w:t>
            </w:r>
            <w:r w:rsidRPr="00F46DD0">
              <w:rPr>
                <w:color w:val="000000"/>
                <w:sz w:val="20"/>
              </w:rPr>
              <w:t xml:space="preserve">olicijos pareigūnų </w:t>
            </w:r>
            <w:r>
              <w:rPr>
                <w:color w:val="000000"/>
                <w:sz w:val="20"/>
              </w:rPr>
              <w:t xml:space="preserve">– </w:t>
            </w:r>
            <w:r w:rsidRPr="00F46DD0">
              <w:rPr>
                <w:color w:val="000000"/>
                <w:sz w:val="20"/>
              </w:rPr>
              <w:t xml:space="preserve">80; </w:t>
            </w:r>
            <w:r>
              <w:rPr>
                <w:color w:val="000000"/>
                <w:sz w:val="20"/>
              </w:rPr>
              <w:t>p</w:t>
            </w:r>
            <w:r w:rsidRPr="00F46DD0">
              <w:rPr>
                <w:color w:val="000000"/>
                <w:sz w:val="20"/>
              </w:rPr>
              <w:t xml:space="preserve">asieniečių </w:t>
            </w:r>
            <w:r>
              <w:rPr>
                <w:color w:val="000000"/>
                <w:sz w:val="20"/>
              </w:rPr>
              <w:t>–</w:t>
            </w:r>
            <w:r w:rsidRPr="00F46DD0">
              <w:rPr>
                <w:color w:val="000000"/>
                <w:sz w:val="20"/>
              </w:rPr>
              <w:t xml:space="preserve"> 79; ugniagesių</w:t>
            </w:r>
            <w:r>
              <w:rPr>
                <w:color w:val="000000"/>
                <w:sz w:val="20"/>
              </w:rPr>
              <w:t xml:space="preserve"> </w:t>
            </w:r>
            <w:r w:rsidRPr="00F46DD0">
              <w:rPr>
                <w:color w:val="000000"/>
                <w:sz w:val="20"/>
              </w:rPr>
              <w:t xml:space="preserve">gelbėtojų </w:t>
            </w:r>
            <w:r>
              <w:rPr>
                <w:color w:val="000000"/>
                <w:sz w:val="20"/>
              </w:rPr>
              <w:t>–</w:t>
            </w:r>
            <w:r w:rsidRPr="00F46DD0">
              <w:rPr>
                <w:color w:val="000000"/>
                <w:sz w:val="20"/>
              </w:rPr>
              <w:t xml:space="preserve"> 71 </w:t>
            </w:r>
          </w:p>
        </w:tc>
        <w:tc>
          <w:tcPr>
            <w:tcW w:w="952" w:type="dxa"/>
            <w:shd w:val="clear" w:color="auto" w:fill="auto"/>
            <w:vAlign w:val="center"/>
          </w:tcPr>
          <w:p w14:paraId="1F4ECCDA" w14:textId="77777777" w:rsidR="00975F26" w:rsidRPr="00ED0D6D" w:rsidRDefault="00975F26" w:rsidP="002A479B">
            <w:pPr>
              <w:jc w:val="center"/>
              <w:rPr>
                <w:color w:val="000000"/>
                <w:sz w:val="20"/>
              </w:rPr>
            </w:pPr>
            <w:r w:rsidRPr="00293C83">
              <w:rPr>
                <w:color w:val="000000"/>
                <w:sz w:val="20"/>
              </w:rPr>
              <w:t>–</w:t>
            </w:r>
          </w:p>
        </w:tc>
        <w:tc>
          <w:tcPr>
            <w:tcW w:w="983" w:type="dxa"/>
            <w:shd w:val="clear" w:color="auto" w:fill="auto"/>
            <w:vAlign w:val="center"/>
          </w:tcPr>
          <w:p w14:paraId="2D1596FF" w14:textId="77777777" w:rsidR="00975F26" w:rsidRPr="00ED0D6D" w:rsidRDefault="00975F26" w:rsidP="002A479B">
            <w:pPr>
              <w:jc w:val="center"/>
              <w:rPr>
                <w:color w:val="000000"/>
                <w:sz w:val="20"/>
              </w:rPr>
            </w:pPr>
            <w:r w:rsidRPr="00ED0D6D">
              <w:rPr>
                <w:color w:val="000000"/>
                <w:sz w:val="20"/>
              </w:rPr>
              <w:t>100</w:t>
            </w:r>
          </w:p>
        </w:tc>
        <w:tc>
          <w:tcPr>
            <w:tcW w:w="1250" w:type="dxa"/>
            <w:shd w:val="clear" w:color="auto" w:fill="auto"/>
            <w:vAlign w:val="center"/>
          </w:tcPr>
          <w:p w14:paraId="304E7946" w14:textId="77777777" w:rsidR="00975F26" w:rsidRPr="00ED0D6D" w:rsidRDefault="00975F26" w:rsidP="002A479B">
            <w:pPr>
              <w:jc w:val="center"/>
              <w:rPr>
                <w:color w:val="000000"/>
                <w:sz w:val="20"/>
              </w:rPr>
            </w:pPr>
            <w:r w:rsidRPr="00AE2B6C">
              <w:rPr>
                <w:color w:val="000000"/>
                <w:sz w:val="20"/>
              </w:rPr>
              <w:t>–</w:t>
            </w:r>
          </w:p>
        </w:tc>
        <w:tc>
          <w:tcPr>
            <w:tcW w:w="1250" w:type="dxa"/>
            <w:shd w:val="clear" w:color="auto" w:fill="auto"/>
            <w:vAlign w:val="center"/>
          </w:tcPr>
          <w:p w14:paraId="4D8F3497" w14:textId="77777777" w:rsidR="00975F26" w:rsidRPr="00ED0D6D" w:rsidRDefault="00975F26" w:rsidP="002A479B">
            <w:pPr>
              <w:jc w:val="center"/>
              <w:rPr>
                <w:color w:val="000000"/>
                <w:sz w:val="20"/>
              </w:rPr>
            </w:pPr>
            <w:r w:rsidRPr="00AE2B6C">
              <w:rPr>
                <w:color w:val="000000"/>
                <w:sz w:val="20"/>
              </w:rPr>
              <w:t>–</w:t>
            </w:r>
          </w:p>
        </w:tc>
        <w:tc>
          <w:tcPr>
            <w:tcW w:w="2228" w:type="dxa"/>
            <w:shd w:val="clear" w:color="auto" w:fill="auto"/>
            <w:vAlign w:val="center"/>
          </w:tcPr>
          <w:p w14:paraId="09E16D9C"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2836AA9A"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716E32C" w14:textId="77777777" w:rsidTr="002A479B">
        <w:trPr>
          <w:trHeight w:val="359"/>
        </w:trPr>
        <w:tc>
          <w:tcPr>
            <w:tcW w:w="634" w:type="dxa"/>
            <w:shd w:val="clear" w:color="auto" w:fill="auto"/>
            <w:vAlign w:val="center"/>
            <w:hideMark/>
          </w:tcPr>
          <w:p w14:paraId="0E977D6E"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554" w:type="dxa"/>
            <w:shd w:val="clear" w:color="auto" w:fill="auto"/>
            <w:vAlign w:val="center"/>
          </w:tcPr>
          <w:p w14:paraId="64B3A672" w14:textId="77777777" w:rsidR="00975F26" w:rsidRPr="00ED0D6D" w:rsidRDefault="00975F26" w:rsidP="002A479B">
            <w:pPr>
              <w:jc w:val="both"/>
              <w:rPr>
                <w:color w:val="000000"/>
                <w:sz w:val="20"/>
              </w:rPr>
            </w:pPr>
            <w:r w:rsidRPr="00ED0D6D">
              <w:rPr>
                <w:color w:val="000000"/>
                <w:sz w:val="20"/>
              </w:rPr>
              <w:t xml:space="preserve">Neatsakytų (prarastų) skubios pagalbos telefono numeriu 112 skambučių dalis </w:t>
            </w:r>
            <w:r>
              <w:rPr>
                <w:color w:val="000000"/>
                <w:sz w:val="20"/>
              </w:rPr>
              <w:t>nuo</w:t>
            </w:r>
            <w:r w:rsidRPr="00ED0D6D">
              <w:rPr>
                <w:color w:val="000000"/>
                <w:sz w:val="20"/>
              </w:rPr>
              <w:t xml:space="preserve"> bendro registruotų skambučių skaičiaus, kai skambinimo laikas viršija 10</w:t>
            </w:r>
            <w:r>
              <w:rPr>
                <w:color w:val="000000"/>
                <w:sz w:val="20"/>
              </w:rPr>
              <w:t> </w:t>
            </w:r>
            <w:r w:rsidRPr="00ED0D6D">
              <w:rPr>
                <w:color w:val="000000"/>
                <w:sz w:val="20"/>
              </w:rPr>
              <w:t>sekundžių (proc.)</w:t>
            </w:r>
          </w:p>
        </w:tc>
        <w:tc>
          <w:tcPr>
            <w:tcW w:w="1227" w:type="dxa"/>
            <w:shd w:val="clear" w:color="000000" w:fill="FFFFFF"/>
            <w:vAlign w:val="center"/>
          </w:tcPr>
          <w:p w14:paraId="5B055A2D" w14:textId="77777777" w:rsidR="00975F26" w:rsidRPr="00975F26" w:rsidRDefault="00975F26" w:rsidP="002A479B">
            <w:pPr>
              <w:jc w:val="center"/>
              <w:rPr>
                <w:color w:val="000000"/>
                <w:sz w:val="20"/>
              </w:rPr>
            </w:pPr>
            <w:r w:rsidRPr="00975F26">
              <w:rPr>
                <w:color w:val="000000"/>
                <w:sz w:val="20"/>
              </w:rPr>
              <w:t>0,47</w:t>
            </w:r>
          </w:p>
        </w:tc>
        <w:tc>
          <w:tcPr>
            <w:tcW w:w="1227" w:type="dxa"/>
            <w:shd w:val="clear" w:color="000000" w:fill="FFFFFF"/>
            <w:vAlign w:val="center"/>
          </w:tcPr>
          <w:p w14:paraId="7761465D" w14:textId="77777777" w:rsidR="00975F26" w:rsidRPr="00975F26" w:rsidRDefault="00975F26" w:rsidP="002A479B">
            <w:pPr>
              <w:jc w:val="center"/>
              <w:rPr>
                <w:color w:val="000000"/>
                <w:sz w:val="20"/>
              </w:rPr>
            </w:pPr>
            <w:r w:rsidRPr="00975F26">
              <w:rPr>
                <w:color w:val="000000"/>
                <w:sz w:val="20"/>
              </w:rPr>
              <w:t>0,52</w:t>
            </w:r>
          </w:p>
        </w:tc>
        <w:tc>
          <w:tcPr>
            <w:tcW w:w="952" w:type="dxa"/>
            <w:shd w:val="clear" w:color="auto" w:fill="auto"/>
            <w:vAlign w:val="center"/>
          </w:tcPr>
          <w:p w14:paraId="69D54BB4" w14:textId="77777777" w:rsidR="00975F26" w:rsidRPr="00975F26" w:rsidRDefault="00975F26" w:rsidP="002A479B">
            <w:pPr>
              <w:jc w:val="center"/>
              <w:rPr>
                <w:color w:val="000000"/>
                <w:sz w:val="20"/>
              </w:rPr>
            </w:pPr>
            <w:r w:rsidRPr="00975F26">
              <w:rPr>
                <w:color w:val="000000"/>
                <w:sz w:val="20"/>
              </w:rPr>
              <w:t>–</w:t>
            </w:r>
          </w:p>
        </w:tc>
        <w:tc>
          <w:tcPr>
            <w:tcW w:w="983" w:type="dxa"/>
            <w:shd w:val="clear" w:color="auto" w:fill="auto"/>
            <w:vAlign w:val="center"/>
          </w:tcPr>
          <w:p w14:paraId="36C62437" w14:textId="77777777" w:rsidR="00975F26" w:rsidRPr="00975F26" w:rsidRDefault="00975F26" w:rsidP="002A479B">
            <w:pPr>
              <w:jc w:val="center"/>
              <w:rPr>
                <w:color w:val="000000"/>
                <w:sz w:val="20"/>
              </w:rPr>
            </w:pPr>
            <w:r w:rsidRPr="00975F26">
              <w:rPr>
                <w:color w:val="000000"/>
                <w:sz w:val="20"/>
              </w:rPr>
              <w:t>1,6</w:t>
            </w:r>
          </w:p>
        </w:tc>
        <w:tc>
          <w:tcPr>
            <w:tcW w:w="1250" w:type="dxa"/>
            <w:shd w:val="clear" w:color="auto" w:fill="auto"/>
            <w:vAlign w:val="center"/>
          </w:tcPr>
          <w:p w14:paraId="6A681411" w14:textId="77777777" w:rsidR="00975F26" w:rsidRPr="00ED0D6D" w:rsidRDefault="00975F26" w:rsidP="002A479B">
            <w:pPr>
              <w:jc w:val="center"/>
              <w:rPr>
                <w:color w:val="000000"/>
                <w:sz w:val="20"/>
              </w:rPr>
            </w:pPr>
            <w:r w:rsidRPr="00AE2B6C">
              <w:rPr>
                <w:color w:val="000000"/>
                <w:sz w:val="20"/>
              </w:rPr>
              <w:t>–</w:t>
            </w:r>
          </w:p>
        </w:tc>
        <w:tc>
          <w:tcPr>
            <w:tcW w:w="1250" w:type="dxa"/>
            <w:shd w:val="clear" w:color="auto" w:fill="auto"/>
            <w:vAlign w:val="center"/>
          </w:tcPr>
          <w:p w14:paraId="35D6B1F5" w14:textId="77777777" w:rsidR="00975F26" w:rsidRPr="00ED0D6D" w:rsidRDefault="00975F26" w:rsidP="002A479B">
            <w:pPr>
              <w:jc w:val="center"/>
              <w:rPr>
                <w:color w:val="000000"/>
                <w:sz w:val="20"/>
              </w:rPr>
            </w:pPr>
            <w:r w:rsidRPr="00AE2B6C">
              <w:rPr>
                <w:color w:val="000000"/>
                <w:sz w:val="20"/>
              </w:rPr>
              <w:t>–</w:t>
            </w:r>
          </w:p>
        </w:tc>
        <w:tc>
          <w:tcPr>
            <w:tcW w:w="2228" w:type="dxa"/>
            <w:shd w:val="clear" w:color="auto" w:fill="auto"/>
            <w:vAlign w:val="center"/>
          </w:tcPr>
          <w:p w14:paraId="0875DF6C"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2D08D66D"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32D0047" w14:textId="77777777" w:rsidTr="002A479B">
        <w:trPr>
          <w:trHeight w:val="440"/>
        </w:trPr>
        <w:tc>
          <w:tcPr>
            <w:tcW w:w="634" w:type="dxa"/>
            <w:shd w:val="clear" w:color="000000" w:fill="FFFFFF"/>
            <w:vAlign w:val="center"/>
            <w:hideMark/>
          </w:tcPr>
          <w:p w14:paraId="5415E513"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554" w:type="dxa"/>
            <w:shd w:val="clear" w:color="000000" w:fill="FFFFFF"/>
            <w:vAlign w:val="center"/>
          </w:tcPr>
          <w:p w14:paraId="6701FECA" w14:textId="77777777" w:rsidR="00975F26" w:rsidRPr="00ED0D6D" w:rsidRDefault="00975F26" w:rsidP="002A479B">
            <w:pPr>
              <w:jc w:val="both"/>
              <w:rPr>
                <w:color w:val="000000"/>
                <w:sz w:val="20"/>
              </w:rPr>
            </w:pPr>
            <w:r w:rsidRPr="00ED0D6D">
              <w:rPr>
                <w:color w:val="000000"/>
                <w:sz w:val="20"/>
              </w:rPr>
              <w:t>Skubios pagalbos skambučių, į kuriuos Bendrajame pagalbos centre atsiliepta ne ilgiau kaip per 8</w:t>
            </w:r>
            <w:r>
              <w:rPr>
                <w:color w:val="000000"/>
                <w:sz w:val="20"/>
              </w:rPr>
              <w:t> </w:t>
            </w:r>
            <w:r w:rsidRPr="00ED0D6D">
              <w:rPr>
                <w:color w:val="000000"/>
                <w:sz w:val="20"/>
              </w:rPr>
              <w:t>sekundes, dalis (proc.)</w:t>
            </w:r>
          </w:p>
        </w:tc>
        <w:tc>
          <w:tcPr>
            <w:tcW w:w="1227" w:type="dxa"/>
            <w:shd w:val="clear" w:color="000000" w:fill="FFFFFF"/>
            <w:vAlign w:val="center"/>
          </w:tcPr>
          <w:p w14:paraId="52987302" w14:textId="77777777" w:rsidR="00975F26" w:rsidRPr="00975F26" w:rsidRDefault="00975F26" w:rsidP="002A479B">
            <w:pPr>
              <w:jc w:val="center"/>
              <w:rPr>
                <w:color w:val="000000"/>
                <w:sz w:val="20"/>
              </w:rPr>
            </w:pPr>
            <w:r w:rsidRPr="00975F26">
              <w:rPr>
                <w:color w:val="000000"/>
                <w:sz w:val="20"/>
              </w:rPr>
              <w:t>90,2</w:t>
            </w:r>
          </w:p>
        </w:tc>
        <w:tc>
          <w:tcPr>
            <w:tcW w:w="1227" w:type="dxa"/>
            <w:shd w:val="clear" w:color="000000" w:fill="FFFFFF"/>
            <w:vAlign w:val="center"/>
          </w:tcPr>
          <w:p w14:paraId="3D80F595" w14:textId="77777777" w:rsidR="00975F26" w:rsidRPr="00975F26" w:rsidRDefault="00975F26" w:rsidP="002A479B">
            <w:pPr>
              <w:jc w:val="center"/>
              <w:rPr>
                <w:color w:val="000000"/>
                <w:sz w:val="20"/>
              </w:rPr>
            </w:pPr>
            <w:r w:rsidRPr="00975F26">
              <w:rPr>
                <w:color w:val="000000"/>
                <w:sz w:val="20"/>
              </w:rPr>
              <w:t>88</w:t>
            </w:r>
          </w:p>
        </w:tc>
        <w:tc>
          <w:tcPr>
            <w:tcW w:w="952" w:type="dxa"/>
            <w:shd w:val="clear" w:color="auto" w:fill="auto"/>
            <w:vAlign w:val="center"/>
          </w:tcPr>
          <w:p w14:paraId="175A3783" w14:textId="77777777" w:rsidR="00975F26" w:rsidRPr="00975F26" w:rsidRDefault="00975F26" w:rsidP="002A479B">
            <w:pPr>
              <w:jc w:val="center"/>
              <w:rPr>
                <w:color w:val="000000"/>
                <w:sz w:val="20"/>
              </w:rPr>
            </w:pPr>
            <w:r w:rsidRPr="00975F26">
              <w:rPr>
                <w:color w:val="000000"/>
                <w:sz w:val="20"/>
              </w:rPr>
              <w:t>–</w:t>
            </w:r>
          </w:p>
        </w:tc>
        <w:tc>
          <w:tcPr>
            <w:tcW w:w="983" w:type="dxa"/>
            <w:shd w:val="clear" w:color="000000" w:fill="FFFFFF"/>
            <w:vAlign w:val="center"/>
          </w:tcPr>
          <w:p w14:paraId="7B106305" w14:textId="77777777" w:rsidR="00975F26" w:rsidRPr="00975F26" w:rsidRDefault="00975F26" w:rsidP="002A479B">
            <w:pPr>
              <w:jc w:val="center"/>
              <w:rPr>
                <w:color w:val="000000"/>
                <w:sz w:val="20"/>
              </w:rPr>
            </w:pPr>
            <w:r w:rsidRPr="00975F26">
              <w:rPr>
                <w:color w:val="000000"/>
                <w:sz w:val="20"/>
              </w:rPr>
              <w:t>84</w:t>
            </w:r>
          </w:p>
        </w:tc>
        <w:tc>
          <w:tcPr>
            <w:tcW w:w="1250" w:type="dxa"/>
            <w:shd w:val="clear" w:color="000000" w:fill="FFFFFF"/>
            <w:vAlign w:val="center"/>
          </w:tcPr>
          <w:p w14:paraId="3EB3AD21" w14:textId="77777777" w:rsidR="00975F26" w:rsidRPr="00ED0D6D" w:rsidRDefault="00975F26" w:rsidP="002A479B">
            <w:pPr>
              <w:jc w:val="center"/>
              <w:rPr>
                <w:color w:val="000000"/>
                <w:sz w:val="20"/>
              </w:rPr>
            </w:pPr>
            <w:r w:rsidRPr="00324506">
              <w:rPr>
                <w:color w:val="000000"/>
                <w:sz w:val="20"/>
              </w:rPr>
              <w:t>–</w:t>
            </w:r>
          </w:p>
        </w:tc>
        <w:tc>
          <w:tcPr>
            <w:tcW w:w="1250" w:type="dxa"/>
            <w:shd w:val="clear" w:color="000000" w:fill="FFFFFF"/>
            <w:vAlign w:val="center"/>
          </w:tcPr>
          <w:p w14:paraId="0E059DA3" w14:textId="77777777" w:rsidR="00975F26" w:rsidRPr="00ED0D6D" w:rsidRDefault="00975F26" w:rsidP="002A479B">
            <w:pPr>
              <w:jc w:val="center"/>
              <w:rPr>
                <w:color w:val="000000"/>
                <w:sz w:val="20"/>
              </w:rPr>
            </w:pPr>
            <w:r w:rsidRPr="00324506">
              <w:rPr>
                <w:color w:val="000000"/>
                <w:sz w:val="20"/>
              </w:rPr>
              <w:t>–</w:t>
            </w:r>
          </w:p>
        </w:tc>
        <w:tc>
          <w:tcPr>
            <w:tcW w:w="2228" w:type="dxa"/>
            <w:shd w:val="clear" w:color="000000" w:fill="FFFFFF"/>
            <w:vAlign w:val="center"/>
          </w:tcPr>
          <w:p w14:paraId="087D371B"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46B7C5D3"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3A71D72" w14:textId="77777777" w:rsidTr="002A479B">
        <w:trPr>
          <w:trHeight w:val="408"/>
        </w:trPr>
        <w:tc>
          <w:tcPr>
            <w:tcW w:w="634" w:type="dxa"/>
            <w:shd w:val="clear" w:color="000000" w:fill="FFFFFF"/>
            <w:vAlign w:val="center"/>
            <w:hideMark/>
          </w:tcPr>
          <w:p w14:paraId="4070685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554" w:type="dxa"/>
            <w:shd w:val="clear" w:color="000000" w:fill="FFFFFF"/>
            <w:vAlign w:val="center"/>
          </w:tcPr>
          <w:p w14:paraId="33602641" w14:textId="77777777" w:rsidR="00975F26" w:rsidRPr="00ED0D6D" w:rsidRDefault="00975F26" w:rsidP="002A479B">
            <w:pPr>
              <w:jc w:val="both"/>
              <w:rPr>
                <w:color w:val="000000"/>
                <w:sz w:val="20"/>
              </w:rPr>
            </w:pPr>
            <w:r w:rsidRPr="00ED0D6D">
              <w:rPr>
                <w:color w:val="000000"/>
                <w:sz w:val="20"/>
              </w:rPr>
              <w:t xml:space="preserve">Įdiegtų gyventojų perspėjimo sirenų, reikalingų Astravo atominės elektrinės poveikio zonoje, dalis (proc.) </w:t>
            </w:r>
          </w:p>
        </w:tc>
        <w:tc>
          <w:tcPr>
            <w:tcW w:w="1227" w:type="dxa"/>
            <w:shd w:val="clear" w:color="000000" w:fill="FFFFFF"/>
            <w:vAlign w:val="center"/>
          </w:tcPr>
          <w:p w14:paraId="0AA85220" w14:textId="77777777" w:rsidR="00975F26" w:rsidRPr="00ED0D6D" w:rsidRDefault="00975F26" w:rsidP="002A479B">
            <w:pPr>
              <w:jc w:val="center"/>
              <w:rPr>
                <w:color w:val="000000"/>
                <w:sz w:val="20"/>
              </w:rPr>
            </w:pPr>
            <w:r w:rsidRPr="00ED0D6D">
              <w:rPr>
                <w:color w:val="000000"/>
                <w:sz w:val="20"/>
              </w:rPr>
              <w:t>18</w:t>
            </w:r>
          </w:p>
        </w:tc>
        <w:tc>
          <w:tcPr>
            <w:tcW w:w="1227" w:type="dxa"/>
            <w:shd w:val="clear" w:color="000000" w:fill="FFFFFF"/>
            <w:vAlign w:val="center"/>
          </w:tcPr>
          <w:p w14:paraId="7663462D" w14:textId="77777777" w:rsidR="00975F26" w:rsidRPr="00ED0D6D" w:rsidRDefault="00975F26" w:rsidP="002A479B">
            <w:pPr>
              <w:jc w:val="center"/>
              <w:rPr>
                <w:color w:val="000000"/>
                <w:sz w:val="20"/>
              </w:rPr>
            </w:pPr>
            <w:r w:rsidRPr="00ED0D6D">
              <w:rPr>
                <w:color w:val="000000"/>
                <w:sz w:val="20"/>
              </w:rPr>
              <w:t>31</w:t>
            </w:r>
          </w:p>
        </w:tc>
        <w:tc>
          <w:tcPr>
            <w:tcW w:w="952" w:type="dxa"/>
            <w:shd w:val="clear" w:color="auto" w:fill="auto"/>
            <w:vAlign w:val="center"/>
          </w:tcPr>
          <w:p w14:paraId="59882129" w14:textId="77777777" w:rsidR="00975F26" w:rsidRPr="00ED0D6D" w:rsidRDefault="00975F26" w:rsidP="002A479B">
            <w:pPr>
              <w:jc w:val="center"/>
              <w:rPr>
                <w:color w:val="000000"/>
                <w:sz w:val="20"/>
              </w:rPr>
            </w:pPr>
            <w:r w:rsidRPr="007B3978">
              <w:rPr>
                <w:color w:val="000000"/>
                <w:sz w:val="20"/>
              </w:rPr>
              <w:t>–</w:t>
            </w:r>
          </w:p>
        </w:tc>
        <w:tc>
          <w:tcPr>
            <w:tcW w:w="983" w:type="dxa"/>
            <w:shd w:val="clear" w:color="000000" w:fill="FFFFFF"/>
            <w:vAlign w:val="center"/>
          </w:tcPr>
          <w:p w14:paraId="566D02A0" w14:textId="77777777" w:rsidR="00975F26" w:rsidRPr="00ED0D6D" w:rsidRDefault="00975F26" w:rsidP="002A479B">
            <w:pPr>
              <w:jc w:val="center"/>
              <w:rPr>
                <w:color w:val="000000"/>
                <w:sz w:val="20"/>
              </w:rPr>
            </w:pPr>
            <w:r w:rsidRPr="00ED0D6D">
              <w:rPr>
                <w:color w:val="000000"/>
                <w:sz w:val="20"/>
              </w:rPr>
              <w:t>100</w:t>
            </w:r>
          </w:p>
        </w:tc>
        <w:tc>
          <w:tcPr>
            <w:tcW w:w="1250" w:type="dxa"/>
            <w:shd w:val="clear" w:color="000000" w:fill="FFFFFF"/>
            <w:vAlign w:val="center"/>
          </w:tcPr>
          <w:p w14:paraId="2F0AA112" w14:textId="77777777" w:rsidR="00975F26" w:rsidRPr="00ED0D6D" w:rsidRDefault="00975F26" w:rsidP="002A479B">
            <w:pPr>
              <w:jc w:val="center"/>
              <w:rPr>
                <w:color w:val="000000"/>
                <w:sz w:val="20"/>
              </w:rPr>
            </w:pPr>
            <w:r w:rsidRPr="00324506">
              <w:rPr>
                <w:color w:val="000000"/>
                <w:sz w:val="20"/>
              </w:rPr>
              <w:t>–</w:t>
            </w:r>
          </w:p>
        </w:tc>
        <w:tc>
          <w:tcPr>
            <w:tcW w:w="1250" w:type="dxa"/>
            <w:shd w:val="clear" w:color="000000" w:fill="FFFFFF"/>
            <w:vAlign w:val="center"/>
          </w:tcPr>
          <w:p w14:paraId="45D20D6D" w14:textId="77777777" w:rsidR="00975F26" w:rsidRPr="00ED0D6D" w:rsidRDefault="00975F26" w:rsidP="002A479B">
            <w:pPr>
              <w:jc w:val="center"/>
              <w:rPr>
                <w:color w:val="000000"/>
                <w:sz w:val="20"/>
              </w:rPr>
            </w:pPr>
            <w:r w:rsidRPr="00324506">
              <w:rPr>
                <w:color w:val="000000"/>
                <w:sz w:val="20"/>
              </w:rPr>
              <w:t>–</w:t>
            </w:r>
          </w:p>
        </w:tc>
        <w:tc>
          <w:tcPr>
            <w:tcW w:w="2228" w:type="dxa"/>
            <w:shd w:val="clear" w:color="000000" w:fill="FFFFFF"/>
            <w:vAlign w:val="center"/>
          </w:tcPr>
          <w:p w14:paraId="2659D8EE" w14:textId="77777777" w:rsidR="00975F26" w:rsidRPr="00ED0D6D" w:rsidRDefault="00975F26" w:rsidP="002A479B">
            <w:pPr>
              <w:jc w:val="center"/>
              <w:rPr>
                <w:color w:val="000000"/>
                <w:sz w:val="20"/>
              </w:rPr>
            </w:pPr>
            <w:r w:rsidRPr="00ED0D6D">
              <w:rPr>
                <w:color w:val="000000"/>
                <w:sz w:val="20"/>
              </w:rPr>
              <w:t>VRM</w:t>
            </w:r>
          </w:p>
        </w:tc>
        <w:tc>
          <w:tcPr>
            <w:tcW w:w="1172" w:type="dxa"/>
            <w:shd w:val="clear" w:color="auto" w:fill="auto"/>
            <w:vAlign w:val="center"/>
          </w:tcPr>
          <w:p w14:paraId="5FE3DD2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F35DC63" w14:textId="77777777" w:rsidTr="002A479B">
        <w:trPr>
          <w:trHeight w:val="372"/>
        </w:trPr>
        <w:tc>
          <w:tcPr>
            <w:tcW w:w="634" w:type="dxa"/>
            <w:shd w:val="clear" w:color="000000" w:fill="FFFFFF"/>
            <w:vAlign w:val="center"/>
            <w:hideMark/>
          </w:tcPr>
          <w:p w14:paraId="7D216BD0"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554" w:type="dxa"/>
            <w:shd w:val="clear" w:color="000000" w:fill="FFFFFF"/>
            <w:vAlign w:val="center"/>
          </w:tcPr>
          <w:p w14:paraId="0631FCC2" w14:textId="77777777" w:rsidR="00975F26" w:rsidRPr="00ED0D6D" w:rsidRDefault="00975F26" w:rsidP="002A479B">
            <w:pPr>
              <w:jc w:val="both"/>
              <w:rPr>
                <w:color w:val="000000"/>
                <w:sz w:val="20"/>
              </w:rPr>
            </w:pPr>
            <w:r w:rsidRPr="00ED0D6D">
              <w:rPr>
                <w:color w:val="000000"/>
                <w:sz w:val="20"/>
              </w:rPr>
              <w:t xml:space="preserve">Ikiteisminių tyrimų, susijusių su smurtu artimoje aplinkoje, atliktų ir per 48 val. perduotų prokuratūrai procesiniam sprendimui priimti, ar kurių metu kreiptasi dėl kardomosios priemonės įtariamajam paskyrimo, dalis (proc.) </w:t>
            </w:r>
          </w:p>
        </w:tc>
        <w:tc>
          <w:tcPr>
            <w:tcW w:w="1227" w:type="dxa"/>
            <w:shd w:val="clear" w:color="000000" w:fill="FFFFFF"/>
            <w:vAlign w:val="center"/>
          </w:tcPr>
          <w:p w14:paraId="46BA4B0F" w14:textId="77777777" w:rsidR="00975F26" w:rsidRPr="00ED0D6D" w:rsidRDefault="00975F26" w:rsidP="002A479B">
            <w:pPr>
              <w:jc w:val="center"/>
              <w:rPr>
                <w:color w:val="000000"/>
                <w:sz w:val="20"/>
              </w:rPr>
            </w:pPr>
            <w:r w:rsidRPr="00ED0D6D">
              <w:rPr>
                <w:color w:val="000000"/>
                <w:sz w:val="20"/>
              </w:rPr>
              <w:t>80</w:t>
            </w:r>
          </w:p>
        </w:tc>
        <w:tc>
          <w:tcPr>
            <w:tcW w:w="1227" w:type="dxa"/>
            <w:shd w:val="clear" w:color="000000" w:fill="FFFFFF"/>
            <w:vAlign w:val="center"/>
          </w:tcPr>
          <w:p w14:paraId="73DE5B35" w14:textId="77777777" w:rsidR="00975F26" w:rsidRPr="00ED0D6D" w:rsidRDefault="00975F26" w:rsidP="002A479B">
            <w:pPr>
              <w:jc w:val="center"/>
              <w:rPr>
                <w:color w:val="000000"/>
                <w:sz w:val="20"/>
              </w:rPr>
            </w:pPr>
            <w:r w:rsidRPr="00ED0D6D">
              <w:rPr>
                <w:color w:val="000000"/>
                <w:sz w:val="20"/>
              </w:rPr>
              <w:t>82,4</w:t>
            </w:r>
          </w:p>
        </w:tc>
        <w:tc>
          <w:tcPr>
            <w:tcW w:w="952" w:type="dxa"/>
            <w:shd w:val="clear" w:color="auto" w:fill="auto"/>
            <w:vAlign w:val="center"/>
          </w:tcPr>
          <w:p w14:paraId="345DFB83" w14:textId="77777777" w:rsidR="00975F26" w:rsidRPr="00ED0D6D" w:rsidRDefault="00975F26" w:rsidP="002A479B">
            <w:pPr>
              <w:jc w:val="center"/>
              <w:rPr>
                <w:color w:val="000000"/>
                <w:sz w:val="20"/>
              </w:rPr>
            </w:pPr>
            <w:r w:rsidRPr="007B3978">
              <w:rPr>
                <w:color w:val="000000"/>
                <w:sz w:val="20"/>
              </w:rPr>
              <w:t>–</w:t>
            </w:r>
          </w:p>
        </w:tc>
        <w:tc>
          <w:tcPr>
            <w:tcW w:w="983" w:type="dxa"/>
            <w:shd w:val="clear" w:color="000000" w:fill="FFFFFF"/>
            <w:vAlign w:val="center"/>
          </w:tcPr>
          <w:p w14:paraId="1486A2CA" w14:textId="77777777" w:rsidR="00975F26" w:rsidRPr="00ED0D6D" w:rsidRDefault="00975F26" w:rsidP="002A479B">
            <w:pPr>
              <w:jc w:val="center"/>
              <w:rPr>
                <w:color w:val="000000"/>
                <w:sz w:val="20"/>
              </w:rPr>
            </w:pPr>
            <w:r w:rsidRPr="00ED0D6D">
              <w:rPr>
                <w:color w:val="000000"/>
                <w:sz w:val="20"/>
              </w:rPr>
              <w:t>70</w:t>
            </w:r>
          </w:p>
        </w:tc>
        <w:tc>
          <w:tcPr>
            <w:tcW w:w="1250" w:type="dxa"/>
            <w:shd w:val="clear" w:color="000000" w:fill="FFFFFF"/>
            <w:vAlign w:val="center"/>
          </w:tcPr>
          <w:p w14:paraId="0C1FDCD4" w14:textId="77777777" w:rsidR="00975F26" w:rsidRPr="00ED0D6D" w:rsidRDefault="00975F26" w:rsidP="002A479B">
            <w:pPr>
              <w:jc w:val="center"/>
              <w:rPr>
                <w:color w:val="000000"/>
                <w:sz w:val="20"/>
              </w:rPr>
            </w:pPr>
            <w:r w:rsidRPr="00324506">
              <w:rPr>
                <w:color w:val="000000"/>
                <w:sz w:val="20"/>
              </w:rPr>
              <w:t>–</w:t>
            </w:r>
          </w:p>
        </w:tc>
        <w:tc>
          <w:tcPr>
            <w:tcW w:w="1250" w:type="dxa"/>
            <w:shd w:val="clear" w:color="000000" w:fill="FFFFFF"/>
            <w:vAlign w:val="center"/>
          </w:tcPr>
          <w:p w14:paraId="3D676265" w14:textId="77777777" w:rsidR="00975F26" w:rsidRPr="00ED0D6D" w:rsidRDefault="00975F26" w:rsidP="002A479B">
            <w:pPr>
              <w:jc w:val="center"/>
              <w:rPr>
                <w:color w:val="000000"/>
                <w:sz w:val="20"/>
              </w:rPr>
            </w:pPr>
            <w:r w:rsidRPr="00324506">
              <w:rPr>
                <w:color w:val="000000"/>
                <w:sz w:val="20"/>
              </w:rPr>
              <w:t>–</w:t>
            </w:r>
          </w:p>
        </w:tc>
        <w:tc>
          <w:tcPr>
            <w:tcW w:w="2228" w:type="dxa"/>
            <w:shd w:val="clear" w:color="000000" w:fill="FFFFFF"/>
            <w:vAlign w:val="center"/>
          </w:tcPr>
          <w:p w14:paraId="42368B11" w14:textId="77777777" w:rsidR="00975F26" w:rsidRPr="00ED0D6D" w:rsidRDefault="00975F26" w:rsidP="002A479B">
            <w:pPr>
              <w:jc w:val="center"/>
              <w:rPr>
                <w:color w:val="000000"/>
                <w:sz w:val="20"/>
              </w:rPr>
            </w:pPr>
            <w:r w:rsidRPr="00ED0D6D">
              <w:rPr>
                <w:color w:val="000000"/>
                <w:sz w:val="20"/>
              </w:rPr>
              <w:t>Policijos baudžiamojo proceso informacinė sistema</w:t>
            </w:r>
          </w:p>
        </w:tc>
        <w:tc>
          <w:tcPr>
            <w:tcW w:w="1172" w:type="dxa"/>
            <w:shd w:val="clear" w:color="auto" w:fill="auto"/>
            <w:vAlign w:val="center"/>
          </w:tcPr>
          <w:p w14:paraId="4181E4DD" w14:textId="77777777" w:rsidR="00975F26" w:rsidRPr="00ED0D6D" w:rsidRDefault="00975F26" w:rsidP="002A479B">
            <w:pPr>
              <w:jc w:val="center"/>
              <w:rPr>
                <w:color w:val="000000"/>
                <w:sz w:val="20"/>
              </w:rPr>
            </w:pPr>
            <w:r w:rsidRPr="00ED0D6D">
              <w:rPr>
                <w:color w:val="000000"/>
                <w:sz w:val="20"/>
              </w:rPr>
              <w:t>17LRVP</w:t>
            </w:r>
          </w:p>
        </w:tc>
      </w:tr>
    </w:tbl>
    <w:p w14:paraId="40547D3C" w14:textId="4398C515" w:rsidR="00975F26" w:rsidRDefault="00975F26" w:rsidP="00A6089B">
      <w:pPr>
        <w:spacing w:line="380" w:lineRule="atLeast"/>
        <w:jc w:val="both"/>
        <w:rPr>
          <w:b/>
          <w:szCs w:val="24"/>
        </w:rPr>
      </w:pPr>
    </w:p>
    <w:p w14:paraId="56CD8527" w14:textId="77777777" w:rsidR="000740EA" w:rsidRPr="00A6089B" w:rsidRDefault="000740EA" w:rsidP="00A6089B">
      <w:pPr>
        <w:spacing w:line="380" w:lineRule="atLeast"/>
        <w:jc w:val="both"/>
        <w:rPr>
          <w:b/>
          <w:szCs w:val="24"/>
        </w:rPr>
      </w:pPr>
    </w:p>
    <w:p w14:paraId="53C33439" w14:textId="29F6436A" w:rsidR="00975F26" w:rsidRPr="00ED0D6D" w:rsidRDefault="00975F26" w:rsidP="00A6089B">
      <w:pPr>
        <w:spacing w:line="380" w:lineRule="atLeast"/>
        <w:ind w:left="720"/>
        <w:jc w:val="both"/>
        <w:rPr>
          <w:b/>
          <w:szCs w:val="24"/>
        </w:rPr>
      </w:pPr>
      <w:r w:rsidRPr="00ED0D6D">
        <w:rPr>
          <w:b/>
          <w:szCs w:val="24"/>
        </w:rPr>
        <w:t>2.</w:t>
      </w:r>
      <w:r w:rsidR="00A6089B">
        <w:rPr>
          <w:b/>
          <w:szCs w:val="24"/>
        </w:rPr>
        <w:t>2.</w:t>
      </w:r>
      <w:r w:rsidRPr="00ED0D6D">
        <w:rPr>
          <w:b/>
          <w:szCs w:val="24"/>
        </w:rPr>
        <w:t>8. Kultūra</w:t>
      </w:r>
    </w:p>
    <w:tbl>
      <w:tblP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080"/>
        <w:gridCol w:w="1080"/>
        <w:gridCol w:w="956"/>
        <w:gridCol w:w="983"/>
        <w:gridCol w:w="1250"/>
        <w:gridCol w:w="1250"/>
        <w:gridCol w:w="2491"/>
        <w:gridCol w:w="1172"/>
      </w:tblGrid>
      <w:tr w:rsidR="00975F26" w:rsidRPr="00ED0D6D" w14:paraId="72A1066B" w14:textId="77777777" w:rsidTr="002A479B">
        <w:trPr>
          <w:trHeight w:val="278"/>
        </w:trPr>
        <w:tc>
          <w:tcPr>
            <w:tcW w:w="657" w:type="dxa"/>
            <w:shd w:val="clear" w:color="000000" w:fill="DEEAF6"/>
            <w:vAlign w:val="center"/>
            <w:hideMark/>
          </w:tcPr>
          <w:p w14:paraId="02B763E6" w14:textId="77777777" w:rsidR="00975F26" w:rsidRPr="00ED0D6D" w:rsidRDefault="00975F26" w:rsidP="002A479B">
            <w:pPr>
              <w:jc w:val="center"/>
              <w:rPr>
                <w:b/>
                <w:bCs/>
                <w:color w:val="000000"/>
                <w:sz w:val="20"/>
              </w:rPr>
            </w:pPr>
            <w:r w:rsidRPr="00ED0D6D">
              <w:rPr>
                <w:b/>
                <w:bCs/>
                <w:color w:val="000000"/>
                <w:sz w:val="20"/>
              </w:rPr>
              <w:t>Eil. Nr.</w:t>
            </w:r>
          </w:p>
        </w:tc>
        <w:tc>
          <w:tcPr>
            <w:tcW w:w="4648" w:type="dxa"/>
            <w:shd w:val="clear" w:color="000000" w:fill="DEEAF6"/>
            <w:vAlign w:val="center"/>
            <w:hideMark/>
          </w:tcPr>
          <w:p w14:paraId="50802554"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5F24D8E3"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23A17759"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046C66FB"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4DB74FE6"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0C81048C" w14:textId="77777777" w:rsidR="00975F26" w:rsidRPr="00ED0D6D" w:rsidRDefault="00975F26" w:rsidP="002A479B">
            <w:pPr>
              <w:jc w:val="center"/>
              <w:rPr>
                <w:b/>
                <w:bCs/>
                <w:color w:val="000000"/>
                <w:sz w:val="20"/>
              </w:rPr>
            </w:pPr>
            <w:r w:rsidRPr="00ED0D6D">
              <w:rPr>
                <w:b/>
                <w:bCs/>
                <w:color w:val="000000"/>
                <w:sz w:val="20"/>
              </w:rPr>
              <w:t>Planuojama reikšmė 2024</w:t>
            </w:r>
            <w:r>
              <w:rPr>
                <w:b/>
                <w:bCs/>
                <w:color w:val="000000"/>
                <w:sz w:val="20"/>
              </w:rPr>
              <w:t xml:space="preserve"> </w:t>
            </w:r>
            <w:r w:rsidRPr="00ED0D6D">
              <w:rPr>
                <w:b/>
                <w:bCs/>
                <w:color w:val="000000"/>
                <w:sz w:val="20"/>
              </w:rPr>
              <w:t>m. / 2025 m.</w:t>
            </w:r>
          </w:p>
        </w:tc>
        <w:tc>
          <w:tcPr>
            <w:tcW w:w="1250" w:type="dxa"/>
            <w:shd w:val="clear" w:color="FFFFFF" w:fill="DDEBF7"/>
            <w:vAlign w:val="center"/>
            <w:hideMark/>
          </w:tcPr>
          <w:p w14:paraId="4C98281B"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491" w:type="dxa"/>
            <w:shd w:val="clear" w:color="000000" w:fill="DEEAF6"/>
            <w:vAlign w:val="center"/>
            <w:hideMark/>
          </w:tcPr>
          <w:p w14:paraId="044764F6" w14:textId="77777777" w:rsidR="00975F26" w:rsidRPr="00ED0D6D" w:rsidRDefault="00975F26" w:rsidP="002A479B">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41F8D9FB"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02CF36E6" w14:textId="77777777" w:rsidR="00975F26" w:rsidRPr="00ED0D6D" w:rsidRDefault="00975F26" w:rsidP="002A479B">
            <w:pPr>
              <w:jc w:val="center"/>
              <w:rPr>
                <w:b/>
                <w:bCs/>
                <w:color w:val="000000"/>
                <w:sz w:val="20"/>
              </w:rPr>
            </w:pPr>
            <w:r w:rsidRPr="00ED0D6D">
              <w:rPr>
                <w:b/>
                <w:bCs/>
                <w:color w:val="000000"/>
                <w:sz w:val="20"/>
              </w:rPr>
              <w:t>17LRVP</w:t>
            </w:r>
          </w:p>
          <w:p w14:paraId="6279B852"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1D83F482" w14:textId="77777777" w:rsidTr="002A479B">
        <w:trPr>
          <w:trHeight w:val="368"/>
        </w:trPr>
        <w:tc>
          <w:tcPr>
            <w:tcW w:w="657" w:type="dxa"/>
            <w:shd w:val="clear" w:color="auto" w:fill="auto"/>
            <w:vAlign w:val="center"/>
            <w:hideMark/>
          </w:tcPr>
          <w:p w14:paraId="2680258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D2D03EA" w14:textId="77777777" w:rsidR="00975F26" w:rsidRPr="00ED0D6D" w:rsidRDefault="00975F26" w:rsidP="002A479B">
            <w:pPr>
              <w:jc w:val="both"/>
              <w:rPr>
                <w:color w:val="000000"/>
                <w:sz w:val="20"/>
              </w:rPr>
            </w:pPr>
            <w:r w:rsidRPr="00ED0D6D">
              <w:rPr>
                <w:color w:val="000000"/>
                <w:sz w:val="20"/>
              </w:rPr>
              <w:t>Gyventojų, kurie patys aktyviai dalyvauja kultūrinėse veiklose, dalis (proc.)</w:t>
            </w:r>
          </w:p>
        </w:tc>
        <w:tc>
          <w:tcPr>
            <w:tcW w:w="1080" w:type="dxa"/>
            <w:shd w:val="clear" w:color="000000" w:fill="FFFFFF"/>
            <w:vAlign w:val="center"/>
          </w:tcPr>
          <w:p w14:paraId="62FBE73F" w14:textId="77777777" w:rsidR="00975F26" w:rsidRPr="00ED0D6D" w:rsidRDefault="00975F26" w:rsidP="002A479B">
            <w:pPr>
              <w:jc w:val="center"/>
              <w:rPr>
                <w:color w:val="000000"/>
                <w:sz w:val="20"/>
              </w:rPr>
            </w:pPr>
            <w:r w:rsidRPr="00ED0D6D">
              <w:rPr>
                <w:color w:val="000000"/>
                <w:sz w:val="20"/>
              </w:rPr>
              <w:t xml:space="preserve">41 </w:t>
            </w:r>
          </w:p>
          <w:p w14:paraId="74E34169" w14:textId="77777777" w:rsidR="00975F26" w:rsidRPr="00ED0D6D" w:rsidRDefault="00975F26" w:rsidP="002A479B">
            <w:pPr>
              <w:jc w:val="center"/>
              <w:rPr>
                <w:color w:val="000000"/>
                <w:sz w:val="20"/>
              </w:rPr>
            </w:pPr>
            <w:r w:rsidRPr="00ED0D6D">
              <w:rPr>
                <w:color w:val="000000"/>
                <w:sz w:val="20"/>
              </w:rPr>
              <w:t>(2017)</w:t>
            </w:r>
          </w:p>
        </w:tc>
        <w:tc>
          <w:tcPr>
            <w:tcW w:w="1080" w:type="dxa"/>
            <w:shd w:val="clear" w:color="auto" w:fill="auto"/>
            <w:noWrap/>
            <w:vAlign w:val="center"/>
          </w:tcPr>
          <w:p w14:paraId="4D515E11" w14:textId="77777777" w:rsidR="00975F26" w:rsidRPr="00ED0D6D" w:rsidRDefault="00975F26" w:rsidP="002A479B">
            <w:pPr>
              <w:jc w:val="center"/>
              <w:rPr>
                <w:color w:val="000000"/>
                <w:sz w:val="20"/>
              </w:rPr>
            </w:pPr>
            <w:r w:rsidRPr="00ED0D6D">
              <w:rPr>
                <w:color w:val="000000"/>
                <w:sz w:val="20"/>
              </w:rPr>
              <w:t>45,5</w:t>
            </w:r>
          </w:p>
        </w:tc>
        <w:tc>
          <w:tcPr>
            <w:tcW w:w="956" w:type="dxa"/>
            <w:shd w:val="clear" w:color="auto" w:fill="auto"/>
            <w:vAlign w:val="center"/>
          </w:tcPr>
          <w:p w14:paraId="45929502"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236B379C" w14:textId="77777777" w:rsidR="00975F26" w:rsidRPr="00ED0D6D" w:rsidRDefault="00975F26" w:rsidP="002A479B">
            <w:pPr>
              <w:jc w:val="center"/>
              <w:rPr>
                <w:color w:val="000000"/>
                <w:sz w:val="20"/>
              </w:rPr>
            </w:pPr>
            <w:r w:rsidRPr="002615C5">
              <w:rPr>
                <w:color w:val="000000"/>
                <w:sz w:val="20"/>
              </w:rPr>
              <w:t>–</w:t>
            </w:r>
          </w:p>
        </w:tc>
        <w:tc>
          <w:tcPr>
            <w:tcW w:w="1250" w:type="dxa"/>
            <w:shd w:val="clear" w:color="auto" w:fill="auto"/>
            <w:noWrap/>
            <w:vAlign w:val="center"/>
          </w:tcPr>
          <w:p w14:paraId="634112E4" w14:textId="77777777" w:rsidR="00975F26" w:rsidRPr="00ED0D6D" w:rsidRDefault="00975F26" w:rsidP="002A479B">
            <w:pPr>
              <w:jc w:val="center"/>
              <w:rPr>
                <w:color w:val="000000"/>
                <w:sz w:val="20"/>
              </w:rPr>
            </w:pPr>
            <w:r w:rsidRPr="00ED0D6D">
              <w:rPr>
                <w:color w:val="000000"/>
                <w:sz w:val="20"/>
              </w:rPr>
              <w:t>47,9</w:t>
            </w:r>
          </w:p>
          <w:p w14:paraId="527EB002" w14:textId="77777777" w:rsidR="00975F26" w:rsidRPr="00ED0D6D" w:rsidRDefault="00975F26" w:rsidP="002A479B">
            <w:pPr>
              <w:jc w:val="center"/>
              <w:rPr>
                <w:color w:val="000000"/>
                <w:sz w:val="20"/>
              </w:rPr>
            </w:pPr>
            <w:r w:rsidRPr="00ED0D6D">
              <w:rPr>
                <w:color w:val="000000"/>
                <w:sz w:val="20"/>
              </w:rPr>
              <w:t xml:space="preserve">(2024)       </w:t>
            </w:r>
          </w:p>
        </w:tc>
        <w:tc>
          <w:tcPr>
            <w:tcW w:w="1250" w:type="dxa"/>
            <w:shd w:val="clear" w:color="auto" w:fill="auto"/>
            <w:vAlign w:val="center"/>
          </w:tcPr>
          <w:p w14:paraId="61332E3E" w14:textId="77777777" w:rsidR="00975F26" w:rsidRPr="00ED0D6D" w:rsidRDefault="00975F26" w:rsidP="002A479B">
            <w:pPr>
              <w:jc w:val="center"/>
              <w:rPr>
                <w:color w:val="000000"/>
                <w:sz w:val="20"/>
              </w:rPr>
            </w:pPr>
            <w:r w:rsidRPr="00ED0D6D">
              <w:rPr>
                <w:color w:val="000000"/>
                <w:sz w:val="20"/>
              </w:rPr>
              <w:t>50</w:t>
            </w:r>
          </w:p>
        </w:tc>
        <w:tc>
          <w:tcPr>
            <w:tcW w:w="2491" w:type="dxa"/>
            <w:shd w:val="clear" w:color="auto" w:fill="auto"/>
            <w:vAlign w:val="center"/>
          </w:tcPr>
          <w:p w14:paraId="0381E17C" w14:textId="77777777" w:rsidR="00975F26" w:rsidRPr="00ED0D6D" w:rsidRDefault="00975F26" w:rsidP="002A479B">
            <w:pPr>
              <w:jc w:val="center"/>
              <w:rPr>
                <w:color w:val="000000"/>
                <w:sz w:val="20"/>
              </w:rPr>
            </w:pPr>
            <w:r w:rsidRPr="00ED0D6D">
              <w:rPr>
                <w:color w:val="000000"/>
                <w:sz w:val="20"/>
              </w:rPr>
              <w:t xml:space="preserve">KM </w:t>
            </w:r>
          </w:p>
        </w:tc>
        <w:tc>
          <w:tcPr>
            <w:tcW w:w="1172" w:type="dxa"/>
            <w:shd w:val="clear" w:color="auto" w:fill="auto"/>
            <w:vAlign w:val="center"/>
          </w:tcPr>
          <w:p w14:paraId="28B4072C" w14:textId="77777777" w:rsidR="00975F26" w:rsidRPr="00ED0D6D" w:rsidRDefault="00975F26" w:rsidP="002A479B">
            <w:pPr>
              <w:jc w:val="center"/>
              <w:rPr>
                <w:b/>
                <w:bCs/>
                <w:i/>
                <w:iCs/>
                <w:color w:val="000000"/>
                <w:sz w:val="20"/>
              </w:rPr>
            </w:pPr>
            <w:r w:rsidRPr="00ED0D6D">
              <w:rPr>
                <w:b/>
                <w:bCs/>
                <w:color w:val="000000"/>
                <w:sz w:val="20"/>
              </w:rPr>
              <w:t>18LRVP</w:t>
            </w:r>
            <w:r w:rsidRPr="00ED0D6D">
              <w:rPr>
                <w:color w:val="000000"/>
                <w:sz w:val="20"/>
              </w:rPr>
              <w:t xml:space="preserve"> NPP2030</w:t>
            </w:r>
          </w:p>
        </w:tc>
      </w:tr>
      <w:tr w:rsidR="00975F26" w:rsidRPr="00ED0D6D" w14:paraId="017208E5" w14:textId="77777777" w:rsidTr="002A479B">
        <w:trPr>
          <w:trHeight w:val="305"/>
        </w:trPr>
        <w:tc>
          <w:tcPr>
            <w:tcW w:w="657" w:type="dxa"/>
            <w:shd w:val="clear" w:color="auto" w:fill="auto"/>
            <w:vAlign w:val="center"/>
            <w:hideMark/>
          </w:tcPr>
          <w:p w14:paraId="6A47EAA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402EBAD" w14:textId="77777777" w:rsidR="00975F26" w:rsidRPr="00ED0D6D" w:rsidRDefault="00975F26" w:rsidP="002A479B">
            <w:pPr>
              <w:jc w:val="both"/>
              <w:rPr>
                <w:color w:val="000000"/>
                <w:sz w:val="20"/>
              </w:rPr>
            </w:pPr>
            <w:r w:rsidRPr="00ED0D6D">
              <w:rPr>
                <w:color w:val="000000"/>
                <w:sz w:val="20"/>
              </w:rPr>
              <w:t>Gyventoj</w:t>
            </w:r>
            <w:r>
              <w:rPr>
                <w:color w:val="000000"/>
                <w:sz w:val="20"/>
              </w:rPr>
              <w:t>ų,</w:t>
            </w:r>
            <w:r w:rsidRPr="00ED0D6D">
              <w:rPr>
                <w:color w:val="000000"/>
                <w:sz w:val="20"/>
              </w:rPr>
              <w:t xml:space="preserve"> </w:t>
            </w:r>
            <w:r>
              <w:rPr>
                <w:color w:val="000000"/>
                <w:sz w:val="20"/>
              </w:rPr>
              <w:t xml:space="preserve">kurie </w:t>
            </w:r>
            <w:r w:rsidRPr="00ED0D6D">
              <w:rPr>
                <w:color w:val="000000"/>
                <w:sz w:val="20"/>
              </w:rPr>
              <w:t>per pastaruosius 12 mėn. vartoj</w:t>
            </w:r>
            <w:r>
              <w:rPr>
                <w:color w:val="000000"/>
                <w:sz w:val="20"/>
              </w:rPr>
              <w:t>o</w:t>
            </w:r>
            <w:r w:rsidRPr="00ED0D6D">
              <w:rPr>
                <w:color w:val="000000"/>
                <w:sz w:val="20"/>
              </w:rPr>
              <w:t xml:space="preserve"> bent 4 kultūros produktus / naudoj</w:t>
            </w:r>
            <w:r>
              <w:rPr>
                <w:color w:val="000000"/>
                <w:sz w:val="20"/>
              </w:rPr>
              <w:t>o</w:t>
            </w:r>
            <w:r w:rsidRPr="00ED0D6D">
              <w:rPr>
                <w:color w:val="000000"/>
                <w:sz w:val="20"/>
              </w:rPr>
              <w:t>si kultūros paslaugomis gyvai</w:t>
            </w:r>
            <w:r>
              <w:rPr>
                <w:color w:val="000000"/>
                <w:sz w:val="20"/>
              </w:rPr>
              <w:t>, dalis</w:t>
            </w:r>
            <w:r w:rsidRPr="00ED0D6D">
              <w:rPr>
                <w:color w:val="000000"/>
                <w:sz w:val="20"/>
              </w:rPr>
              <w:t xml:space="preserve"> (proc.)</w:t>
            </w:r>
          </w:p>
        </w:tc>
        <w:tc>
          <w:tcPr>
            <w:tcW w:w="1080" w:type="dxa"/>
            <w:shd w:val="clear" w:color="000000" w:fill="FFFFFF"/>
            <w:vAlign w:val="center"/>
          </w:tcPr>
          <w:p w14:paraId="5F183D36" w14:textId="77777777" w:rsidR="00975F26" w:rsidRPr="00ED0D6D" w:rsidRDefault="00975F26" w:rsidP="002A479B">
            <w:pPr>
              <w:jc w:val="center"/>
              <w:rPr>
                <w:color w:val="000000"/>
                <w:sz w:val="20"/>
              </w:rPr>
            </w:pPr>
            <w:r w:rsidRPr="00ED0D6D">
              <w:rPr>
                <w:color w:val="000000"/>
                <w:sz w:val="20"/>
              </w:rPr>
              <w:t xml:space="preserve">44 </w:t>
            </w:r>
          </w:p>
          <w:p w14:paraId="3FF13A00" w14:textId="77777777" w:rsidR="00975F26" w:rsidRPr="00ED0D6D" w:rsidRDefault="00975F26" w:rsidP="002A479B">
            <w:pPr>
              <w:jc w:val="center"/>
              <w:rPr>
                <w:color w:val="000000"/>
                <w:sz w:val="20"/>
              </w:rPr>
            </w:pPr>
            <w:r w:rsidRPr="00ED0D6D">
              <w:rPr>
                <w:color w:val="000000"/>
                <w:sz w:val="20"/>
              </w:rPr>
              <w:t>(2017)</w:t>
            </w:r>
          </w:p>
        </w:tc>
        <w:tc>
          <w:tcPr>
            <w:tcW w:w="1080" w:type="dxa"/>
            <w:shd w:val="clear" w:color="auto" w:fill="auto"/>
            <w:noWrap/>
            <w:vAlign w:val="center"/>
          </w:tcPr>
          <w:p w14:paraId="244AF5BB" w14:textId="77777777" w:rsidR="00975F26" w:rsidRPr="00ED0D6D" w:rsidRDefault="00975F26" w:rsidP="002A479B">
            <w:pPr>
              <w:jc w:val="center"/>
              <w:rPr>
                <w:color w:val="000000"/>
                <w:sz w:val="20"/>
              </w:rPr>
            </w:pPr>
            <w:r w:rsidRPr="00ED0D6D">
              <w:rPr>
                <w:color w:val="000000"/>
                <w:sz w:val="20"/>
              </w:rPr>
              <w:t>52</w:t>
            </w:r>
          </w:p>
        </w:tc>
        <w:tc>
          <w:tcPr>
            <w:tcW w:w="956" w:type="dxa"/>
            <w:shd w:val="clear" w:color="auto" w:fill="auto"/>
            <w:vAlign w:val="center"/>
          </w:tcPr>
          <w:p w14:paraId="6AC1D7B4"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297D0D40" w14:textId="77777777" w:rsidR="00975F26" w:rsidRPr="00ED0D6D" w:rsidRDefault="00975F26" w:rsidP="002A479B">
            <w:pPr>
              <w:jc w:val="center"/>
              <w:rPr>
                <w:color w:val="000000"/>
                <w:sz w:val="20"/>
              </w:rPr>
            </w:pPr>
            <w:r w:rsidRPr="002615C5">
              <w:rPr>
                <w:color w:val="000000"/>
                <w:sz w:val="20"/>
              </w:rPr>
              <w:t>–</w:t>
            </w:r>
          </w:p>
        </w:tc>
        <w:tc>
          <w:tcPr>
            <w:tcW w:w="1250" w:type="dxa"/>
            <w:shd w:val="clear" w:color="auto" w:fill="auto"/>
            <w:noWrap/>
            <w:vAlign w:val="center"/>
          </w:tcPr>
          <w:p w14:paraId="3D722991" w14:textId="77777777" w:rsidR="00975F26" w:rsidRPr="00ED0D6D" w:rsidRDefault="00975F26" w:rsidP="002A479B">
            <w:pPr>
              <w:jc w:val="center"/>
              <w:rPr>
                <w:color w:val="000000"/>
                <w:sz w:val="20"/>
              </w:rPr>
            </w:pPr>
            <w:r w:rsidRPr="00ED0D6D">
              <w:rPr>
                <w:color w:val="000000"/>
                <w:sz w:val="20"/>
              </w:rPr>
              <w:t>53,6</w:t>
            </w:r>
          </w:p>
        </w:tc>
        <w:tc>
          <w:tcPr>
            <w:tcW w:w="1250" w:type="dxa"/>
            <w:shd w:val="clear" w:color="auto" w:fill="auto"/>
            <w:vAlign w:val="center"/>
          </w:tcPr>
          <w:p w14:paraId="5FB166EE" w14:textId="77777777" w:rsidR="00975F26" w:rsidRPr="00ED0D6D" w:rsidRDefault="00975F26" w:rsidP="002A479B">
            <w:pPr>
              <w:jc w:val="center"/>
              <w:rPr>
                <w:color w:val="000000"/>
                <w:sz w:val="20"/>
              </w:rPr>
            </w:pPr>
            <w:r>
              <w:rPr>
                <w:color w:val="000000"/>
                <w:sz w:val="20"/>
              </w:rPr>
              <w:t>–</w:t>
            </w:r>
          </w:p>
        </w:tc>
        <w:tc>
          <w:tcPr>
            <w:tcW w:w="2491" w:type="dxa"/>
            <w:shd w:val="clear" w:color="auto" w:fill="auto"/>
            <w:vAlign w:val="center"/>
          </w:tcPr>
          <w:p w14:paraId="33C6AEB3"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6828D4A1" w14:textId="77777777" w:rsidR="00975F26" w:rsidRPr="00ED0D6D" w:rsidRDefault="00975F26" w:rsidP="002A479B">
            <w:pPr>
              <w:jc w:val="center"/>
              <w:rPr>
                <w:b/>
                <w:bCs/>
                <w:i/>
                <w:iCs/>
                <w:color w:val="000000"/>
                <w:sz w:val="20"/>
              </w:rPr>
            </w:pPr>
            <w:r w:rsidRPr="00ED0D6D">
              <w:rPr>
                <w:b/>
                <w:bCs/>
                <w:color w:val="000000"/>
                <w:sz w:val="20"/>
              </w:rPr>
              <w:t xml:space="preserve"> 18LRVP</w:t>
            </w:r>
          </w:p>
        </w:tc>
      </w:tr>
      <w:tr w:rsidR="00975F26" w:rsidRPr="00ED0D6D" w14:paraId="009F1B87" w14:textId="77777777" w:rsidTr="002A479B">
        <w:trPr>
          <w:trHeight w:val="359"/>
        </w:trPr>
        <w:tc>
          <w:tcPr>
            <w:tcW w:w="657" w:type="dxa"/>
            <w:shd w:val="clear" w:color="auto" w:fill="auto"/>
            <w:vAlign w:val="center"/>
            <w:hideMark/>
          </w:tcPr>
          <w:p w14:paraId="0ECBFBF5"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28D9369" w14:textId="77777777" w:rsidR="00975F26" w:rsidRPr="00ED0D6D" w:rsidRDefault="00975F26" w:rsidP="002A479B">
            <w:pPr>
              <w:jc w:val="both"/>
              <w:rPr>
                <w:color w:val="000000"/>
                <w:sz w:val="20"/>
              </w:rPr>
            </w:pPr>
            <w:r w:rsidRPr="00ED0D6D">
              <w:rPr>
                <w:color w:val="000000"/>
                <w:sz w:val="20"/>
              </w:rPr>
              <w:t xml:space="preserve">Intelektine nuosavybe pagrįstų produktų dalis </w:t>
            </w:r>
            <w:r>
              <w:rPr>
                <w:color w:val="000000"/>
                <w:sz w:val="20"/>
              </w:rPr>
              <w:t>nuo</w:t>
            </w:r>
            <w:r w:rsidRPr="00ED0D6D">
              <w:rPr>
                <w:color w:val="000000"/>
                <w:sz w:val="20"/>
              </w:rPr>
              <w:t xml:space="preserve">  bendr</w:t>
            </w:r>
            <w:r>
              <w:rPr>
                <w:color w:val="000000"/>
                <w:sz w:val="20"/>
              </w:rPr>
              <w:t>o</w:t>
            </w:r>
            <w:r w:rsidRPr="00ED0D6D">
              <w:rPr>
                <w:color w:val="000000"/>
                <w:sz w:val="20"/>
              </w:rPr>
              <w:t xml:space="preserve"> Lietuvos eksport</w:t>
            </w:r>
            <w:r>
              <w:rPr>
                <w:color w:val="000000"/>
                <w:sz w:val="20"/>
              </w:rPr>
              <w:t>o</w:t>
            </w:r>
            <w:r w:rsidRPr="00ED0D6D">
              <w:rPr>
                <w:color w:val="000000"/>
                <w:sz w:val="20"/>
              </w:rPr>
              <w:t xml:space="preserve"> (proc.)</w:t>
            </w:r>
          </w:p>
        </w:tc>
        <w:tc>
          <w:tcPr>
            <w:tcW w:w="1080" w:type="dxa"/>
            <w:shd w:val="clear" w:color="000000" w:fill="FFFFFF"/>
            <w:vAlign w:val="center"/>
          </w:tcPr>
          <w:p w14:paraId="4C5D0B55"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2888987E" w14:textId="77777777" w:rsidR="00975F26" w:rsidRPr="00F46DD0" w:rsidRDefault="00975F26" w:rsidP="002A479B">
            <w:pPr>
              <w:jc w:val="center"/>
              <w:rPr>
                <w:i/>
                <w:iCs/>
                <w:color w:val="000000"/>
                <w:sz w:val="20"/>
              </w:rPr>
            </w:pPr>
            <w:r w:rsidRPr="00F46DD0">
              <w:rPr>
                <w:i/>
                <w:iCs/>
                <w:color w:val="000000"/>
                <w:sz w:val="20"/>
              </w:rPr>
              <w:t>n. d.</w:t>
            </w:r>
          </w:p>
        </w:tc>
        <w:tc>
          <w:tcPr>
            <w:tcW w:w="956" w:type="dxa"/>
            <w:shd w:val="clear" w:color="auto" w:fill="auto"/>
            <w:vAlign w:val="center"/>
          </w:tcPr>
          <w:p w14:paraId="1B4EE0BC"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3C10404C" w14:textId="77777777" w:rsidR="00975F26" w:rsidRPr="00ED0D6D" w:rsidRDefault="00975F26" w:rsidP="002A479B">
            <w:pPr>
              <w:jc w:val="center"/>
              <w:rPr>
                <w:color w:val="000000"/>
                <w:sz w:val="20"/>
              </w:rPr>
            </w:pPr>
            <w:r w:rsidRPr="002615C5">
              <w:rPr>
                <w:color w:val="000000"/>
                <w:sz w:val="20"/>
              </w:rPr>
              <w:t>–</w:t>
            </w:r>
          </w:p>
        </w:tc>
        <w:tc>
          <w:tcPr>
            <w:tcW w:w="1250" w:type="dxa"/>
            <w:shd w:val="clear" w:color="auto" w:fill="auto"/>
            <w:vAlign w:val="center"/>
          </w:tcPr>
          <w:p w14:paraId="567F7FB2" w14:textId="77777777" w:rsidR="00975F26" w:rsidRPr="00ED0D6D" w:rsidRDefault="00975F26" w:rsidP="002A479B">
            <w:pPr>
              <w:jc w:val="center"/>
              <w:rPr>
                <w:color w:val="000000"/>
                <w:sz w:val="20"/>
              </w:rPr>
            </w:pPr>
            <w:r w:rsidRPr="001C67AB">
              <w:rPr>
                <w:color w:val="000000"/>
                <w:sz w:val="20"/>
              </w:rPr>
              <w:t>–</w:t>
            </w:r>
          </w:p>
        </w:tc>
        <w:tc>
          <w:tcPr>
            <w:tcW w:w="1250" w:type="dxa"/>
            <w:shd w:val="clear" w:color="auto" w:fill="auto"/>
            <w:vAlign w:val="center"/>
          </w:tcPr>
          <w:p w14:paraId="7452B291" w14:textId="77777777" w:rsidR="00975F26" w:rsidRPr="00ED0D6D" w:rsidRDefault="00975F26" w:rsidP="002A479B">
            <w:pPr>
              <w:jc w:val="center"/>
              <w:rPr>
                <w:color w:val="000000"/>
                <w:sz w:val="20"/>
              </w:rPr>
            </w:pPr>
            <w:r w:rsidRPr="00ED0D6D">
              <w:rPr>
                <w:color w:val="000000"/>
                <w:sz w:val="20"/>
              </w:rPr>
              <w:t>8</w:t>
            </w:r>
          </w:p>
        </w:tc>
        <w:tc>
          <w:tcPr>
            <w:tcW w:w="2491" w:type="dxa"/>
            <w:shd w:val="clear" w:color="auto" w:fill="auto"/>
            <w:vAlign w:val="center"/>
          </w:tcPr>
          <w:p w14:paraId="23995BE4" w14:textId="77777777" w:rsidR="00975F26" w:rsidRPr="00ED0D6D" w:rsidRDefault="00975F26" w:rsidP="002A479B">
            <w:pPr>
              <w:jc w:val="center"/>
              <w:rPr>
                <w:color w:val="000000"/>
                <w:sz w:val="20"/>
              </w:rPr>
            </w:pPr>
            <w:r w:rsidRPr="00ED0D6D">
              <w:rPr>
                <w:color w:val="000000"/>
                <w:sz w:val="20"/>
              </w:rPr>
              <w:t>KM </w:t>
            </w:r>
          </w:p>
        </w:tc>
        <w:tc>
          <w:tcPr>
            <w:tcW w:w="1172" w:type="dxa"/>
            <w:shd w:val="clear" w:color="auto" w:fill="auto"/>
            <w:vAlign w:val="center"/>
          </w:tcPr>
          <w:p w14:paraId="4D66ED01"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63B3967D" w14:textId="77777777" w:rsidTr="002A479B">
        <w:trPr>
          <w:trHeight w:val="242"/>
        </w:trPr>
        <w:tc>
          <w:tcPr>
            <w:tcW w:w="657" w:type="dxa"/>
            <w:shd w:val="clear" w:color="auto" w:fill="auto"/>
            <w:vAlign w:val="center"/>
            <w:hideMark/>
          </w:tcPr>
          <w:p w14:paraId="72EFCD8D"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648" w:type="dxa"/>
            <w:shd w:val="clear" w:color="auto" w:fill="auto"/>
            <w:vAlign w:val="center"/>
          </w:tcPr>
          <w:p w14:paraId="74AD8D50" w14:textId="77777777" w:rsidR="00975F26" w:rsidRPr="00ED0D6D" w:rsidRDefault="00975F26" w:rsidP="002A479B">
            <w:pPr>
              <w:jc w:val="both"/>
              <w:rPr>
                <w:color w:val="000000"/>
                <w:sz w:val="20"/>
              </w:rPr>
            </w:pPr>
            <w:r w:rsidRPr="00ED0D6D">
              <w:rPr>
                <w:color w:val="000000"/>
                <w:sz w:val="20"/>
              </w:rPr>
              <w:t>Pasaulinis spaudos laisvės indeksas (vieta)</w:t>
            </w:r>
          </w:p>
        </w:tc>
        <w:tc>
          <w:tcPr>
            <w:tcW w:w="1080" w:type="dxa"/>
            <w:shd w:val="clear" w:color="000000" w:fill="FFFFFF"/>
            <w:vAlign w:val="center"/>
          </w:tcPr>
          <w:p w14:paraId="41131B71" w14:textId="77777777" w:rsidR="00975F26" w:rsidRPr="00ED0D6D" w:rsidRDefault="00975F26" w:rsidP="002A479B">
            <w:pPr>
              <w:jc w:val="center"/>
              <w:rPr>
                <w:color w:val="000000"/>
                <w:sz w:val="20"/>
              </w:rPr>
            </w:pPr>
            <w:r w:rsidRPr="00ED0D6D">
              <w:rPr>
                <w:color w:val="000000"/>
                <w:sz w:val="20"/>
              </w:rPr>
              <w:t>28</w:t>
            </w:r>
          </w:p>
        </w:tc>
        <w:tc>
          <w:tcPr>
            <w:tcW w:w="1080" w:type="dxa"/>
            <w:shd w:val="clear" w:color="000000" w:fill="FFFFFF"/>
            <w:vAlign w:val="center"/>
          </w:tcPr>
          <w:p w14:paraId="15108EC0" w14:textId="77777777" w:rsidR="00975F26" w:rsidRPr="00ED0D6D" w:rsidRDefault="00975F26" w:rsidP="002A479B">
            <w:pPr>
              <w:jc w:val="center"/>
              <w:rPr>
                <w:color w:val="000000"/>
                <w:sz w:val="20"/>
              </w:rPr>
            </w:pPr>
            <w:r w:rsidRPr="00ED0D6D">
              <w:rPr>
                <w:color w:val="000000"/>
                <w:sz w:val="20"/>
              </w:rPr>
              <w:t>28</w:t>
            </w:r>
          </w:p>
        </w:tc>
        <w:tc>
          <w:tcPr>
            <w:tcW w:w="956" w:type="dxa"/>
            <w:shd w:val="clear" w:color="auto" w:fill="auto"/>
            <w:vAlign w:val="center"/>
          </w:tcPr>
          <w:p w14:paraId="37412747"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598CAC3A" w14:textId="77777777" w:rsidR="00975F26" w:rsidRPr="00ED0D6D" w:rsidRDefault="00975F26" w:rsidP="002A479B">
            <w:pPr>
              <w:jc w:val="center"/>
              <w:rPr>
                <w:color w:val="000000"/>
                <w:sz w:val="20"/>
              </w:rPr>
            </w:pPr>
            <w:r>
              <w:rPr>
                <w:color w:val="000000"/>
                <w:sz w:val="20"/>
              </w:rPr>
              <w:t>24</w:t>
            </w:r>
          </w:p>
        </w:tc>
        <w:tc>
          <w:tcPr>
            <w:tcW w:w="1250" w:type="dxa"/>
            <w:shd w:val="clear" w:color="auto" w:fill="auto"/>
            <w:vAlign w:val="center"/>
          </w:tcPr>
          <w:p w14:paraId="04B81A52" w14:textId="77777777" w:rsidR="00975F26" w:rsidRPr="00ED0D6D" w:rsidRDefault="00975F26" w:rsidP="002A479B">
            <w:pPr>
              <w:jc w:val="center"/>
              <w:rPr>
                <w:color w:val="000000"/>
                <w:sz w:val="20"/>
              </w:rPr>
            </w:pPr>
            <w:r w:rsidRPr="001C67AB">
              <w:rPr>
                <w:color w:val="000000"/>
                <w:sz w:val="20"/>
              </w:rPr>
              <w:t>–</w:t>
            </w:r>
          </w:p>
        </w:tc>
        <w:tc>
          <w:tcPr>
            <w:tcW w:w="1250" w:type="dxa"/>
            <w:shd w:val="clear" w:color="auto" w:fill="auto"/>
            <w:vAlign w:val="center"/>
          </w:tcPr>
          <w:p w14:paraId="25D668D3" w14:textId="77777777" w:rsidR="00975F26" w:rsidRPr="00ED0D6D" w:rsidRDefault="00975F26" w:rsidP="002A479B">
            <w:pPr>
              <w:jc w:val="center"/>
              <w:rPr>
                <w:color w:val="000000"/>
                <w:sz w:val="20"/>
              </w:rPr>
            </w:pPr>
            <w:r w:rsidRPr="00ED0D6D">
              <w:rPr>
                <w:color w:val="000000"/>
                <w:sz w:val="20"/>
              </w:rPr>
              <w:t>20</w:t>
            </w:r>
          </w:p>
        </w:tc>
        <w:tc>
          <w:tcPr>
            <w:tcW w:w="2491" w:type="dxa"/>
            <w:shd w:val="clear" w:color="auto" w:fill="auto"/>
            <w:vAlign w:val="center"/>
          </w:tcPr>
          <w:p w14:paraId="2D802080" w14:textId="77777777" w:rsidR="00975F26" w:rsidRPr="00ED0D6D" w:rsidRDefault="00975F26" w:rsidP="002A479B">
            <w:pPr>
              <w:jc w:val="center"/>
              <w:rPr>
                <w:color w:val="000000"/>
                <w:sz w:val="20"/>
              </w:rPr>
            </w:pPr>
            <w:r>
              <w:rPr>
                <w:color w:val="000000"/>
                <w:sz w:val="20"/>
              </w:rPr>
              <w:t>„</w:t>
            </w:r>
            <w:r w:rsidRPr="00ED0D6D">
              <w:rPr>
                <w:color w:val="000000"/>
                <w:sz w:val="20"/>
              </w:rPr>
              <w:t>Reporteriai be sienų</w:t>
            </w:r>
            <w:r>
              <w:rPr>
                <w:color w:val="000000"/>
                <w:sz w:val="20"/>
              </w:rPr>
              <w:t>“</w:t>
            </w:r>
            <w:r w:rsidRPr="00ED0D6D">
              <w:rPr>
                <w:color w:val="000000"/>
                <w:sz w:val="20"/>
              </w:rPr>
              <w:t xml:space="preserve"> </w:t>
            </w:r>
          </w:p>
        </w:tc>
        <w:tc>
          <w:tcPr>
            <w:tcW w:w="1172" w:type="dxa"/>
            <w:shd w:val="clear" w:color="auto" w:fill="auto"/>
            <w:vAlign w:val="center"/>
          </w:tcPr>
          <w:p w14:paraId="276B8AAB"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26FE5593" w14:textId="77777777" w:rsidTr="002A479B">
        <w:trPr>
          <w:trHeight w:val="444"/>
        </w:trPr>
        <w:tc>
          <w:tcPr>
            <w:tcW w:w="657" w:type="dxa"/>
            <w:shd w:val="clear" w:color="auto" w:fill="auto"/>
            <w:vAlign w:val="center"/>
          </w:tcPr>
          <w:p w14:paraId="7BA1277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70746D00" w14:textId="77777777" w:rsidR="00975F26" w:rsidRPr="00ED0D6D" w:rsidRDefault="00975F26" w:rsidP="002A479B">
            <w:pPr>
              <w:jc w:val="both"/>
              <w:rPr>
                <w:color w:val="000000"/>
                <w:sz w:val="20"/>
              </w:rPr>
            </w:pPr>
            <w:r w:rsidRPr="00ED0D6D">
              <w:rPr>
                <w:sz w:val="20"/>
              </w:rPr>
              <w:t xml:space="preserve">Visuomenės informavimo priemonių naudojimo raštingumo lygis (proc.) </w:t>
            </w:r>
          </w:p>
        </w:tc>
        <w:tc>
          <w:tcPr>
            <w:tcW w:w="1080" w:type="dxa"/>
            <w:shd w:val="clear" w:color="000000" w:fill="FFFFFF"/>
            <w:vAlign w:val="center"/>
          </w:tcPr>
          <w:p w14:paraId="3D86989A" w14:textId="77777777" w:rsidR="00975F26" w:rsidRPr="00ED0D6D" w:rsidRDefault="00975F26" w:rsidP="002A479B">
            <w:pPr>
              <w:jc w:val="center"/>
              <w:rPr>
                <w:color w:val="000000"/>
                <w:sz w:val="20"/>
              </w:rPr>
            </w:pPr>
            <w:r w:rsidRPr="00ED0D6D">
              <w:rPr>
                <w:sz w:val="20"/>
              </w:rPr>
              <w:t>37,8 (2017)</w:t>
            </w:r>
          </w:p>
        </w:tc>
        <w:tc>
          <w:tcPr>
            <w:tcW w:w="1080" w:type="dxa"/>
            <w:shd w:val="clear" w:color="000000" w:fill="FFFFFF"/>
            <w:vAlign w:val="center"/>
          </w:tcPr>
          <w:p w14:paraId="6F9932AB" w14:textId="77777777" w:rsidR="00975F26" w:rsidRPr="00F46DD0" w:rsidRDefault="00975F26" w:rsidP="002A479B">
            <w:pPr>
              <w:jc w:val="center"/>
              <w:rPr>
                <w:i/>
                <w:iCs/>
                <w:color w:val="000000"/>
                <w:sz w:val="20"/>
              </w:rPr>
            </w:pPr>
            <w:r w:rsidRPr="00F46DD0">
              <w:rPr>
                <w:i/>
                <w:iCs/>
                <w:sz w:val="20"/>
              </w:rPr>
              <w:t>n. d.</w:t>
            </w:r>
          </w:p>
        </w:tc>
        <w:tc>
          <w:tcPr>
            <w:tcW w:w="956" w:type="dxa"/>
            <w:shd w:val="clear" w:color="auto" w:fill="auto"/>
            <w:vAlign w:val="center"/>
          </w:tcPr>
          <w:p w14:paraId="6339CB72"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3B3EC209" w14:textId="77777777" w:rsidR="00975F26" w:rsidRPr="00ED0D6D" w:rsidRDefault="00975F26" w:rsidP="002A479B">
            <w:pPr>
              <w:jc w:val="center"/>
              <w:rPr>
                <w:color w:val="000000"/>
                <w:sz w:val="20"/>
              </w:rPr>
            </w:pPr>
            <w:r w:rsidRPr="00ED0D6D">
              <w:rPr>
                <w:sz w:val="20"/>
              </w:rPr>
              <w:t>39</w:t>
            </w:r>
          </w:p>
        </w:tc>
        <w:tc>
          <w:tcPr>
            <w:tcW w:w="1250" w:type="dxa"/>
            <w:shd w:val="clear" w:color="auto" w:fill="auto"/>
            <w:vAlign w:val="center"/>
          </w:tcPr>
          <w:p w14:paraId="71A6A324" w14:textId="77777777" w:rsidR="00975F26" w:rsidRPr="00ED0D6D" w:rsidRDefault="00975F26" w:rsidP="002A479B">
            <w:pPr>
              <w:jc w:val="center"/>
              <w:rPr>
                <w:color w:val="000000"/>
                <w:sz w:val="20"/>
              </w:rPr>
            </w:pPr>
            <w:r w:rsidRPr="00ED0D6D">
              <w:rPr>
                <w:sz w:val="20"/>
              </w:rPr>
              <w:t>41</w:t>
            </w:r>
          </w:p>
        </w:tc>
        <w:tc>
          <w:tcPr>
            <w:tcW w:w="1250" w:type="dxa"/>
            <w:shd w:val="clear" w:color="auto" w:fill="auto"/>
            <w:vAlign w:val="center"/>
          </w:tcPr>
          <w:p w14:paraId="20CD8E0C" w14:textId="77777777" w:rsidR="00975F26" w:rsidRPr="00ED0D6D" w:rsidRDefault="00975F26" w:rsidP="002A479B">
            <w:pPr>
              <w:jc w:val="center"/>
              <w:rPr>
                <w:color w:val="000000"/>
                <w:sz w:val="20"/>
              </w:rPr>
            </w:pPr>
            <w:r w:rsidRPr="00ED0D6D">
              <w:rPr>
                <w:sz w:val="20"/>
              </w:rPr>
              <w:t>47</w:t>
            </w:r>
          </w:p>
        </w:tc>
        <w:tc>
          <w:tcPr>
            <w:tcW w:w="2491" w:type="dxa"/>
            <w:shd w:val="clear" w:color="auto" w:fill="auto"/>
            <w:vAlign w:val="center"/>
          </w:tcPr>
          <w:p w14:paraId="08CF207B" w14:textId="77777777" w:rsidR="00975F26" w:rsidRPr="00ED0D6D" w:rsidRDefault="00975F26" w:rsidP="002A479B">
            <w:pPr>
              <w:jc w:val="center"/>
              <w:rPr>
                <w:color w:val="000000"/>
                <w:sz w:val="20"/>
              </w:rPr>
            </w:pPr>
            <w:r w:rsidRPr="00ED0D6D">
              <w:rPr>
                <w:sz w:val="20"/>
              </w:rPr>
              <w:t xml:space="preserve">KM </w:t>
            </w:r>
          </w:p>
        </w:tc>
        <w:tc>
          <w:tcPr>
            <w:tcW w:w="1172" w:type="dxa"/>
            <w:shd w:val="clear" w:color="auto" w:fill="auto"/>
            <w:vAlign w:val="center"/>
          </w:tcPr>
          <w:p w14:paraId="0D1DB20E" w14:textId="77777777" w:rsidR="00975F26" w:rsidRPr="00ED0D6D" w:rsidRDefault="00975F26" w:rsidP="002A479B">
            <w:pPr>
              <w:jc w:val="center"/>
              <w:rPr>
                <w:sz w:val="20"/>
              </w:rPr>
            </w:pPr>
            <w:r w:rsidRPr="00ED0D6D">
              <w:rPr>
                <w:sz w:val="20"/>
              </w:rPr>
              <w:t>NPP20</w:t>
            </w:r>
            <w:r w:rsidRPr="00ED0D6D">
              <w:rPr>
                <w:sz w:val="20"/>
                <w:lang w:val="en-GB"/>
              </w:rPr>
              <w:t>3</w:t>
            </w:r>
            <w:r w:rsidRPr="00ED0D6D">
              <w:rPr>
                <w:sz w:val="20"/>
              </w:rPr>
              <w:t>0 NPP2020</w:t>
            </w:r>
          </w:p>
          <w:p w14:paraId="47446C5F" w14:textId="77777777" w:rsidR="00975F26" w:rsidRPr="00ED0D6D" w:rsidRDefault="00975F26" w:rsidP="002A479B">
            <w:pPr>
              <w:jc w:val="center"/>
              <w:rPr>
                <w:b/>
                <w:bCs/>
                <w:color w:val="000000"/>
                <w:sz w:val="20"/>
              </w:rPr>
            </w:pPr>
            <w:r w:rsidRPr="00ED0D6D">
              <w:rPr>
                <w:sz w:val="20"/>
              </w:rPr>
              <w:t>17LRVP</w:t>
            </w:r>
          </w:p>
        </w:tc>
      </w:tr>
      <w:tr w:rsidR="00975F26" w:rsidRPr="00ED0D6D" w14:paraId="1B239E15" w14:textId="77777777" w:rsidTr="002A479B">
        <w:trPr>
          <w:trHeight w:val="444"/>
        </w:trPr>
        <w:tc>
          <w:tcPr>
            <w:tcW w:w="657" w:type="dxa"/>
            <w:shd w:val="clear" w:color="auto" w:fill="auto"/>
            <w:vAlign w:val="center"/>
          </w:tcPr>
          <w:p w14:paraId="0625B2CF"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F4970D5" w14:textId="77777777" w:rsidR="00975F26" w:rsidRPr="00ED0D6D" w:rsidRDefault="00975F26" w:rsidP="002A479B">
            <w:pPr>
              <w:jc w:val="both"/>
              <w:rPr>
                <w:color w:val="000000"/>
                <w:sz w:val="20"/>
              </w:rPr>
            </w:pPr>
            <w:r w:rsidRPr="00ED0D6D">
              <w:rPr>
                <w:color w:val="000000"/>
                <w:sz w:val="20"/>
              </w:rPr>
              <w:t>Visuomenės, dalyvaujančios istorinės atminties įprasminimo renginiuose ir kaip vertybę puoselėjančios pilietinį ir tautinį tapatumą, dalis (proc.)</w:t>
            </w:r>
          </w:p>
        </w:tc>
        <w:tc>
          <w:tcPr>
            <w:tcW w:w="1080" w:type="dxa"/>
            <w:shd w:val="clear" w:color="000000" w:fill="FFFFFF"/>
            <w:vAlign w:val="center"/>
          </w:tcPr>
          <w:p w14:paraId="6F7AA013"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4E5BED1E" w14:textId="77777777" w:rsidR="00975F26" w:rsidRPr="00ED0D6D" w:rsidRDefault="00975F26" w:rsidP="002A479B">
            <w:pPr>
              <w:jc w:val="center"/>
              <w:rPr>
                <w:color w:val="000000"/>
                <w:sz w:val="20"/>
              </w:rPr>
            </w:pPr>
            <w:r w:rsidRPr="00ED0D6D">
              <w:rPr>
                <w:color w:val="000000"/>
                <w:sz w:val="20"/>
              </w:rPr>
              <w:t>37,6</w:t>
            </w:r>
          </w:p>
        </w:tc>
        <w:tc>
          <w:tcPr>
            <w:tcW w:w="956" w:type="dxa"/>
            <w:shd w:val="clear" w:color="auto" w:fill="auto"/>
            <w:vAlign w:val="center"/>
          </w:tcPr>
          <w:p w14:paraId="37A46740"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3919C370" w14:textId="77777777" w:rsidR="00975F26" w:rsidRPr="00F46DD0" w:rsidRDefault="00975F26" w:rsidP="002A479B">
            <w:pPr>
              <w:jc w:val="center"/>
              <w:rPr>
                <w:i/>
                <w:iCs/>
                <w:color w:val="000000"/>
                <w:sz w:val="20"/>
              </w:rPr>
            </w:pPr>
            <w:r w:rsidRPr="00F46DD0">
              <w:rPr>
                <w:i/>
                <w:iCs/>
                <w:color w:val="000000"/>
                <w:sz w:val="20"/>
              </w:rPr>
              <w:t>n. d.</w:t>
            </w:r>
          </w:p>
        </w:tc>
        <w:tc>
          <w:tcPr>
            <w:tcW w:w="1250" w:type="dxa"/>
            <w:shd w:val="clear" w:color="auto" w:fill="auto"/>
            <w:vAlign w:val="center"/>
          </w:tcPr>
          <w:p w14:paraId="2C6B7A94" w14:textId="77777777" w:rsidR="00975F26" w:rsidRPr="00ED0D6D" w:rsidRDefault="00975F26" w:rsidP="002A479B">
            <w:pPr>
              <w:jc w:val="center"/>
              <w:rPr>
                <w:color w:val="000000"/>
                <w:sz w:val="20"/>
              </w:rPr>
            </w:pPr>
            <w:r w:rsidRPr="00ED0D6D">
              <w:rPr>
                <w:color w:val="000000"/>
                <w:sz w:val="20"/>
              </w:rPr>
              <w:t>+5 (proc.</w:t>
            </w:r>
            <w:r>
              <w:rPr>
                <w:color w:val="000000"/>
                <w:sz w:val="20"/>
              </w:rPr>
              <w:t xml:space="preserve"> </w:t>
            </w:r>
            <w:r w:rsidRPr="00ED0D6D">
              <w:rPr>
                <w:color w:val="000000"/>
                <w:sz w:val="20"/>
              </w:rPr>
              <w:t>p</w:t>
            </w:r>
            <w:r>
              <w:rPr>
                <w:color w:val="000000"/>
                <w:sz w:val="20"/>
              </w:rPr>
              <w:t>.</w:t>
            </w:r>
            <w:r w:rsidRPr="00ED0D6D">
              <w:rPr>
                <w:color w:val="000000"/>
                <w:sz w:val="20"/>
              </w:rPr>
              <w:t>)</w:t>
            </w:r>
          </w:p>
        </w:tc>
        <w:tc>
          <w:tcPr>
            <w:tcW w:w="1250" w:type="dxa"/>
            <w:shd w:val="clear" w:color="auto" w:fill="auto"/>
            <w:vAlign w:val="center"/>
          </w:tcPr>
          <w:p w14:paraId="324A3FE8" w14:textId="77777777" w:rsidR="00975F26" w:rsidRPr="00ED0D6D" w:rsidRDefault="00975F26" w:rsidP="002A479B">
            <w:pPr>
              <w:jc w:val="center"/>
              <w:rPr>
                <w:color w:val="000000"/>
                <w:sz w:val="20"/>
              </w:rPr>
            </w:pPr>
            <w:r w:rsidRPr="00ED0D6D">
              <w:rPr>
                <w:color w:val="000000"/>
                <w:sz w:val="20"/>
              </w:rPr>
              <w:t>+10 (proc.</w:t>
            </w:r>
            <w:r>
              <w:rPr>
                <w:color w:val="000000"/>
                <w:sz w:val="20"/>
              </w:rPr>
              <w:t xml:space="preserve"> </w:t>
            </w:r>
            <w:r w:rsidRPr="00ED0D6D">
              <w:rPr>
                <w:color w:val="000000"/>
                <w:sz w:val="20"/>
              </w:rPr>
              <w:t>p</w:t>
            </w:r>
            <w:r>
              <w:rPr>
                <w:color w:val="000000"/>
                <w:sz w:val="20"/>
              </w:rPr>
              <w:t>.</w:t>
            </w:r>
            <w:r w:rsidRPr="00ED0D6D">
              <w:rPr>
                <w:color w:val="000000"/>
                <w:sz w:val="20"/>
              </w:rPr>
              <w:t>)</w:t>
            </w:r>
          </w:p>
        </w:tc>
        <w:tc>
          <w:tcPr>
            <w:tcW w:w="2491" w:type="dxa"/>
            <w:shd w:val="clear" w:color="auto" w:fill="auto"/>
            <w:vAlign w:val="center"/>
          </w:tcPr>
          <w:p w14:paraId="65826D56"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57A97613" w14:textId="77777777" w:rsidR="00975F26" w:rsidRPr="00ED0D6D" w:rsidRDefault="00975F26" w:rsidP="002A479B">
            <w:pPr>
              <w:jc w:val="center"/>
              <w:rPr>
                <w:b/>
                <w:bCs/>
                <w:color w:val="000000"/>
                <w:sz w:val="20"/>
              </w:rPr>
            </w:pPr>
            <w:r w:rsidRPr="00ED0D6D">
              <w:rPr>
                <w:color w:val="000000"/>
                <w:sz w:val="20"/>
              </w:rPr>
              <w:t>NPP2030</w:t>
            </w:r>
          </w:p>
        </w:tc>
      </w:tr>
      <w:tr w:rsidR="00975F26" w:rsidRPr="00ED0D6D" w14:paraId="407C0349" w14:textId="77777777" w:rsidTr="002A479B">
        <w:trPr>
          <w:trHeight w:val="444"/>
        </w:trPr>
        <w:tc>
          <w:tcPr>
            <w:tcW w:w="657" w:type="dxa"/>
            <w:shd w:val="clear" w:color="auto" w:fill="auto"/>
            <w:vAlign w:val="center"/>
          </w:tcPr>
          <w:p w14:paraId="407443A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7551897" w14:textId="77777777" w:rsidR="00975F26" w:rsidRPr="00ED0D6D" w:rsidRDefault="00975F26" w:rsidP="002A479B">
            <w:pPr>
              <w:jc w:val="both"/>
              <w:rPr>
                <w:color w:val="000000"/>
                <w:sz w:val="20"/>
              </w:rPr>
            </w:pPr>
            <w:r w:rsidRPr="00ED0D6D">
              <w:rPr>
                <w:color w:val="000000"/>
                <w:sz w:val="20"/>
              </w:rPr>
              <w:t xml:space="preserve">Kultūrinėse veiklose mažuose miesteliuose ir kaimuose dalyvaujančių gyventojų dalis (proc.)   </w:t>
            </w:r>
          </w:p>
        </w:tc>
        <w:tc>
          <w:tcPr>
            <w:tcW w:w="1080" w:type="dxa"/>
            <w:shd w:val="clear" w:color="000000" w:fill="FFFFFF"/>
            <w:vAlign w:val="center"/>
          </w:tcPr>
          <w:p w14:paraId="269D4368" w14:textId="77777777" w:rsidR="00975F26" w:rsidRPr="00F46DD0" w:rsidRDefault="00975F26" w:rsidP="002A479B">
            <w:pPr>
              <w:jc w:val="center"/>
              <w:rPr>
                <w:i/>
                <w:iCs/>
                <w:color w:val="000000"/>
                <w:sz w:val="20"/>
              </w:rPr>
            </w:pPr>
            <w:r w:rsidRPr="00F46DD0">
              <w:rPr>
                <w:i/>
                <w:iCs/>
                <w:color w:val="000000"/>
                <w:sz w:val="20"/>
              </w:rPr>
              <w:t xml:space="preserve">n. d. </w:t>
            </w:r>
          </w:p>
        </w:tc>
        <w:tc>
          <w:tcPr>
            <w:tcW w:w="1080" w:type="dxa"/>
            <w:shd w:val="clear" w:color="000000" w:fill="FFFFFF"/>
            <w:vAlign w:val="center"/>
          </w:tcPr>
          <w:p w14:paraId="7A2FAB7E" w14:textId="77777777" w:rsidR="00975F26" w:rsidRPr="00ED0D6D" w:rsidRDefault="00975F26" w:rsidP="002A479B">
            <w:pPr>
              <w:jc w:val="center"/>
              <w:rPr>
                <w:color w:val="000000"/>
                <w:sz w:val="20"/>
              </w:rPr>
            </w:pPr>
            <w:r w:rsidRPr="00ED0D6D">
              <w:rPr>
                <w:color w:val="000000"/>
                <w:sz w:val="20"/>
              </w:rPr>
              <w:t>41,8</w:t>
            </w:r>
          </w:p>
        </w:tc>
        <w:tc>
          <w:tcPr>
            <w:tcW w:w="956" w:type="dxa"/>
            <w:shd w:val="clear" w:color="auto" w:fill="auto"/>
            <w:vAlign w:val="center"/>
          </w:tcPr>
          <w:p w14:paraId="11D30241"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670A264B" w14:textId="77777777" w:rsidR="00975F26" w:rsidRPr="00ED0D6D" w:rsidRDefault="00975F26" w:rsidP="002A479B">
            <w:pPr>
              <w:jc w:val="center"/>
              <w:rPr>
                <w:color w:val="000000"/>
                <w:sz w:val="20"/>
              </w:rPr>
            </w:pPr>
            <w:r w:rsidRPr="00ED0D6D">
              <w:rPr>
                <w:color w:val="000000"/>
                <w:sz w:val="20"/>
              </w:rPr>
              <w:t>42,1</w:t>
            </w:r>
          </w:p>
        </w:tc>
        <w:tc>
          <w:tcPr>
            <w:tcW w:w="1250" w:type="dxa"/>
            <w:shd w:val="clear" w:color="auto" w:fill="auto"/>
            <w:vAlign w:val="center"/>
          </w:tcPr>
          <w:p w14:paraId="0B6BEB4F" w14:textId="77777777" w:rsidR="00975F26" w:rsidRPr="00ED0D6D" w:rsidRDefault="00975F26" w:rsidP="002A479B">
            <w:pPr>
              <w:jc w:val="center"/>
              <w:rPr>
                <w:color w:val="000000"/>
                <w:sz w:val="20"/>
              </w:rPr>
            </w:pPr>
            <w:r w:rsidRPr="00205EF5">
              <w:rPr>
                <w:color w:val="000000"/>
                <w:sz w:val="20"/>
              </w:rPr>
              <w:t>–</w:t>
            </w:r>
          </w:p>
        </w:tc>
        <w:tc>
          <w:tcPr>
            <w:tcW w:w="1250" w:type="dxa"/>
            <w:shd w:val="clear" w:color="auto" w:fill="auto"/>
            <w:vAlign w:val="center"/>
          </w:tcPr>
          <w:p w14:paraId="462EE3EE" w14:textId="77777777" w:rsidR="00975F26" w:rsidRPr="00ED0D6D" w:rsidRDefault="00975F26" w:rsidP="002A479B">
            <w:pPr>
              <w:jc w:val="center"/>
              <w:rPr>
                <w:color w:val="000000"/>
                <w:sz w:val="20"/>
              </w:rPr>
            </w:pPr>
            <w:r w:rsidRPr="00205EF5">
              <w:rPr>
                <w:color w:val="000000"/>
                <w:sz w:val="20"/>
              </w:rPr>
              <w:t>–</w:t>
            </w:r>
          </w:p>
        </w:tc>
        <w:tc>
          <w:tcPr>
            <w:tcW w:w="2491" w:type="dxa"/>
            <w:shd w:val="clear" w:color="auto" w:fill="auto"/>
            <w:vAlign w:val="center"/>
          </w:tcPr>
          <w:p w14:paraId="0FEAFE13" w14:textId="77777777" w:rsidR="00975F26" w:rsidRPr="00ED0D6D" w:rsidRDefault="00975F26" w:rsidP="002A479B">
            <w:pPr>
              <w:jc w:val="center"/>
              <w:rPr>
                <w:color w:val="000000"/>
                <w:sz w:val="20"/>
              </w:rPr>
            </w:pPr>
            <w:r w:rsidRPr="00ED0D6D">
              <w:rPr>
                <w:color w:val="000000"/>
                <w:sz w:val="20"/>
              </w:rPr>
              <w:t xml:space="preserve">KM </w:t>
            </w:r>
          </w:p>
        </w:tc>
        <w:tc>
          <w:tcPr>
            <w:tcW w:w="1172" w:type="dxa"/>
            <w:shd w:val="clear" w:color="auto" w:fill="auto"/>
            <w:vAlign w:val="center"/>
          </w:tcPr>
          <w:p w14:paraId="4521E5DC" w14:textId="77777777" w:rsidR="00975F26" w:rsidRPr="00ED0D6D" w:rsidRDefault="00975F26" w:rsidP="002A479B">
            <w:pPr>
              <w:jc w:val="center"/>
              <w:rPr>
                <w:color w:val="000000"/>
                <w:sz w:val="20"/>
              </w:rPr>
            </w:pPr>
            <w:r w:rsidRPr="00ED0D6D">
              <w:rPr>
                <w:color w:val="000000"/>
                <w:sz w:val="20"/>
              </w:rPr>
              <w:t>17LRVP NPP2020</w:t>
            </w:r>
          </w:p>
        </w:tc>
      </w:tr>
      <w:tr w:rsidR="00975F26" w:rsidRPr="00ED0D6D" w14:paraId="50B8F588" w14:textId="77777777" w:rsidTr="002A479B">
        <w:trPr>
          <w:trHeight w:val="323"/>
        </w:trPr>
        <w:tc>
          <w:tcPr>
            <w:tcW w:w="657" w:type="dxa"/>
            <w:shd w:val="clear" w:color="auto" w:fill="auto"/>
            <w:vAlign w:val="center"/>
            <w:hideMark/>
          </w:tcPr>
          <w:p w14:paraId="7096E39B"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67A69436" w14:textId="77777777" w:rsidR="00975F26" w:rsidRPr="00ED0D6D" w:rsidRDefault="00975F26" w:rsidP="002A479B">
            <w:pPr>
              <w:jc w:val="both"/>
              <w:rPr>
                <w:sz w:val="20"/>
              </w:rPr>
            </w:pPr>
            <w:r w:rsidRPr="00ED0D6D">
              <w:rPr>
                <w:color w:val="000000"/>
                <w:sz w:val="20"/>
              </w:rPr>
              <w:t xml:space="preserve">Mokinių, kuriems sudaryta galimybė pasinaudoti kultūros pasu, dalis (proc.)   </w:t>
            </w:r>
          </w:p>
        </w:tc>
        <w:tc>
          <w:tcPr>
            <w:tcW w:w="1080" w:type="dxa"/>
            <w:shd w:val="clear" w:color="000000" w:fill="FFFFFF"/>
            <w:vAlign w:val="center"/>
          </w:tcPr>
          <w:p w14:paraId="7C90D2D3" w14:textId="77777777" w:rsidR="00975F26" w:rsidRPr="00ED0D6D" w:rsidRDefault="00975F26" w:rsidP="002A479B">
            <w:pPr>
              <w:jc w:val="center"/>
              <w:rPr>
                <w:color w:val="000000"/>
                <w:sz w:val="20"/>
              </w:rPr>
            </w:pPr>
            <w:r w:rsidRPr="00ED0D6D">
              <w:rPr>
                <w:color w:val="000000"/>
                <w:sz w:val="20"/>
              </w:rPr>
              <w:t>100</w:t>
            </w:r>
          </w:p>
        </w:tc>
        <w:tc>
          <w:tcPr>
            <w:tcW w:w="1080" w:type="dxa"/>
            <w:shd w:val="clear" w:color="000000" w:fill="FFFFFF"/>
            <w:vAlign w:val="center"/>
          </w:tcPr>
          <w:p w14:paraId="5AF4E87B" w14:textId="77777777" w:rsidR="00975F26" w:rsidRPr="00ED0D6D" w:rsidRDefault="00975F26" w:rsidP="002A479B">
            <w:pPr>
              <w:jc w:val="center"/>
              <w:rPr>
                <w:color w:val="000000"/>
                <w:sz w:val="20"/>
              </w:rPr>
            </w:pPr>
            <w:r w:rsidRPr="00ED0D6D">
              <w:rPr>
                <w:color w:val="000000"/>
                <w:sz w:val="20"/>
              </w:rPr>
              <w:t>100</w:t>
            </w:r>
          </w:p>
        </w:tc>
        <w:tc>
          <w:tcPr>
            <w:tcW w:w="956" w:type="dxa"/>
            <w:shd w:val="clear" w:color="auto" w:fill="auto"/>
            <w:vAlign w:val="center"/>
          </w:tcPr>
          <w:p w14:paraId="00878C08" w14:textId="77777777" w:rsidR="00975F26" w:rsidRPr="00ED0D6D" w:rsidRDefault="00975F26" w:rsidP="002A479B">
            <w:pPr>
              <w:jc w:val="center"/>
              <w:rPr>
                <w:color w:val="000000"/>
                <w:sz w:val="20"/>
              </w:rPr>
            </w:pPr>
            <w:r w:rsidRPr="007749C2">
              <w:rPr>
                <w:color w:val="000000"/>
                <w:sz w:val="20"/>
              </w:rPr>
              <w:t>–</w:t>
            </w:r>
          </w:p>
        </w:tc>
        <w:tc>
          <w:tcPr>
            <w:tcW w:w="983" w:type="dxa"/>
            <w:shd w:val="clear" w:color="auto" w:fill="auto"/>
            <w:vAlign w:val="center"/>
          </w:tcPr>
          <w:p w14:paraId="6B13BE1C" w14:textId="77777777" w:rsidR="00975F26" w:rsidRPr="00ED0D6D" w:rsidRDefault="00975F26" w:rsidP="002A479B">
            <w:pPr>
              <w:jc w:val="center"/>
              <w:rPr>
                <w:color w:val="000000"/>
                <w:sz w:val="20"/>
              </w:rPr>
            </w:pPr>
            <w:r w:rsidRPr="00ED0D6D">
              <w:rPr>
                <w:color w:val="000000"/>
                <w:sz w:val="20"/>
              </w:rPr>
              <w:t>100</w:t>
            </w:r>
          </w:p>
        </w:tc>
        <w:tc>
          <w:tcPr>
            <w:tcW w:w="1250" w:type="dxa"/>
            <w:shd w:val="clear" w:color="auto" w:fill="auto"/>
            <w:vAlign w:val="center"/>
          </w:tcPr>
          <w:p w14:paraId="6F7122A5" w14:textId="77777777" w:rsidR="00975F26" w:rsidRPr="00ED0D6D" w:rsidRDefault="00975F26" w:rsidP="002A479B">
            <w:pPr>
              <w:jc w:val="center"/>
              <w:rPr>
                <w:color w:val="000000"/>
                <w:sz w:val="20"/>
              </w:rPr>
            </w:pPr>
            <w:r w:rsidRPr="00205EF5">
              <w:rPr>
                <w:color w:val="000000"/>
                <w:sz w:val="20"/>
              </w:rPr>
              <w:t>–</w:t>
            </w:r>
          </w:p>
        </w:tc>
        <w:tc>
          <w:tcPr>
            <w:tcW w:w="1250" w:type="dxa"/>
            <w:shd w:val="clear" w:color="auto" w:fill="auto"/>
            <w:vAlign w:val="center"/>
          </w:tcPr>
          <w:p w14:paraId="624AFDAA" w14:textId="77777777" w:rsidR="00975F26" w:rsidRPr="00ED0D6D" w:rsidRDefault="00975F26" w:rsidP="002A479B">
            <w:pPr>
              <w:jc w:val="center"/>
              <w:rPr>
                <w:color w:val="000000"/>
                <w:sz w:val="20"/>
              </w:rPr>
            </w:pPr>
            <w:r w:rsidRPr="00205EF5">
              <w:rPr>
                <w:color w:val="000000"/>
                <w:sz w:val="20"/>
              </w:rPr>
              <w:t>–</w:t>
            </w:r>
          </w:p>
        </w:tc>
        <w:tc>
          <w:tcPr>
            <w:tcW w:w="2491" w:type="dxa"/>
            <w:shd w:val="clear" w:color="auto" w:fill="auto"/>
            <w:vAlign w:val="center"/>
          </w:tcPr>
          <w:p w14:paraId="71F247FC"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76C07798"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EAD2765" w14:textId="77777777" w:rsidTr="002A479B">
        <w:trPr>
          <w:trHeight w:val="359"/>
        </w:trPr>
        <w:tc>
          <w:tcPr>
            <w:tcW w:w="657" w:type="dxa"/>
            <w:shd w:val="clear" w:color="auto" w:fill="auto"/>
            <w:vAlign w:val="center"/>
            <w:hideMark/>
          </w:tcPr>
          <w:p w14:paraId="62B05139"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2128EA59" w14:textId="77777777" w:rsidR="00975F26" w:rsidRPr="00ED0D6D" w:rsidRDefault="00975F26" w:rsidP="002A479B">
            <w:pPr>
              <w:jc w:val="both"/>
              <w:rPr>
                <w:color w:val="000000"/>
                <w:sz w:val="20"/>
              </w:rPr>
            </w:pPr>
            <w:r w:rsidRPr="00ED0D6D">
              <w:rPr>
                <w:color w:val="000000"/>
                <w:sz w:val="20"/>
              </w:rPr>
              <w:t xml:space="preserve">Sukurtų naujų edukacinių užsiėmimų temų valstybinėse kultūros įstaigose skaičius (kaupiamieji vienetai)   </w:t>
            </w:r>
          </w:p>
        </w:tc>
        <w:tc>
          <w:tcPr>
            <w:tcW w:w="1080" w:type="dxa"/>
            <w:shd w:val="clear" w:color="000000" w:fill="FFFFFF"/>
            <w:vAlign w:val="center"/>
          </w:tcPr>
          <w:p w14:paraId="39B32EBA" w14:textId="77777777" w:rsidR="00975F26" w:rsidRPr="00ED0D6D" w:rsidRDefault="00975F26" w:rsidP="002A479B">
            <w:pPr>
              <w:jc w:val="center"/>
              <w:rPr>
                <w:color w:val="000000"/>
                <w:sz w:val="20"/>
              </w:rPr>
            </w:pPr>
            <w:r w:rsidRPr="00ED0D6D">
              <w:rPr>
                <w:color w:val="000000"/>
                <w:sz w:val="20"/>
              </w:rPr>
              <w:t>325</w:t>
            </w:r>
          </w:p>
        </w:tc>
        <w:tc>
          <w:tcPr>
            <w:tcW w:w="1080" w:type="dxa"/>
            <w:shd w:val="clear" w:color="000000" w:fill="FFFFFF"/>
            <w:vAlign w:val="center"/>
          </w:tcPr>
          <w:p w14:paraId="2A14599B" w14:textId="77777777" w:rsidR="00975F26" w:rsidRPr="00ED0D6D" w:rsidRDefault="00975F26" w:rsidP="002A479B">
            <w:pPr>
              <w:jc w:val="center"/>
              <w:rPr>
                <w:color w:val="000000"/>
                <w:sz w:val="20"/>
              </w:rPr>
            </w:pPr>
            <w:r w:rsidRPr="00ED0D6D">
              <w:rPr>
                <w:color w:val="000000"/>
                <w:sz w:val="20"/>
              </w:rPr>
              <w:t>897</w:t>
            </w:r>
          </w:p>
        </w:tc>
        <w:tc>
          <w:tcPr>
            <w:tcW w:w="956" w:type="dxa"/>
            <w:shd w:val="clear" w:color="auto" w:fill="auto"/>
            <w:vAlign w:val="center"/>
          </w:tcPr>
          <w:p w14:paraId="69BE6673" w14:textId="77777777" w:rsidR="00975F26" w:rsidRPr="00ED0D6D" w:rsidRDefault="00975F26" w:rsidP="002A479B">
            <w:pPr>
              <w:jc w:val="center"/>
              <w:rPr>
                <w:color w:val="000000"/>
                <w:sz w:val="20"/>
              </w:rPr>
            </w:pPr>
            <w:r>
              <w:rPr>
                <w:color w:val="000000"/>
                <w:sz w:val="20"/>
              </w:rPr>
              <w:t>–</w:t>
            </w:r>
          </w:p>
        </w:tc>
        <w:tc>
          <w:tcPr>
            <w:tcW w:w="983" w:type="dxa"/>
            <w:shd w:val="clear" w:color="auto" w:fill="auto"/>
            <w:vAlign w:val="center"/>
          </w:tcPr>
          <w:p w14:paraId="486D2D22" w14:textId="77777777" w:rsidR="00975F26" w:rsidRPr="00ED0D6D" w:rsidRDefault="00975F26" w:rsidP="002A479B">
            <w:pPr>
              <w:jc w:val="center"/>
              <w:rPr>
                <w:color w:val="000000"/>
                <w:sz w:val="20"/>
              </w:rPr>
            </w:pPr>
            <w:r w:rsidRPr="00ED0D6D">
              <w:rPr>
                <w:color w:val="000000"/>
                <w:sz w:val="20"/>
              </w:rPr>
              <w:t>156</w:t>
            </w:r>
          </w:p>
        </w:tc>
        <w:tc>
          <w:tcPr>
            <w:tcW w:w="1250" w:type="dxa"/>
            <w:shd w:val="clear" w:color="auto" w:fill="auto"/>
            <w:vAlign w:val="center"/>
          </w:tcPr>
          <w:p w14:paraId="1F6945A6" w14:textId="77777777" w:rsidR="00975F26" w:rsidRPr="00ED0D6D" w:rsidRDefault="00975F26" w:rsidP="002A479B">
            <w:pPr>
              <w:jc w:val="center"/>
              <w:rPr>
                <w:color w:val="000000"/>
                <w:sz w:val="20"/>
              </w:rPr>
            </w:pPr>
            <w:r>
              <w:rPr>
                <w:color w:val="000000"/>
                <w:sz w:val="20"/>
              </w:rPr>
              <w:t>–</w:t>
            </w:r>
          </w:p>
        </w:tc>
        <w:tc>
          <w:tcPr>
            <w:tcW w:w="1250" w:type="dxa"/>
            <w:shd w:val="clear" w:color="auto" w:fill="auto"/>
            <w:vAlign w:val="center"/>
          </w:tcPr>
          <w:p w14:paraId="24A1B20B" w14:textId="77777777" w:rsidR="00975F26" w:rsidRPr="00ED0D6D" w:rsidRDefault="00975F26" w:rsidP="002A479B">
            <w:pPr>
              <w:jc w:val="center"/>
              <w:rPr>
                <w:color w:val="000000"/>
                <w:sz w:val="20"/>
              </w:rPr>
            </w:pPr>
            <w:r>
              <w:rPr>
                <w:color w:val="000000"/>
                <w:sz w:val="20"/>
              </w:rPr>
              <w:t>–</w:t>
            </w:r>
          </w:p>
        </w:tc>
        <w:tc>
          <w:tcPr>
            <w:tcW w:w="2491" w:type="dxa"/>
            <w:shd w:val="clear" w:color="auto" w:fill="auto"/>
            <w:vAlign w:val="center"/>
          </w:tcPr>
          <w:p w14:paraId="6A38276F"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074DCC8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39217D3" w14:textId="77777777" w:rsidTr="002A479B">
        <w:trPr>
          <w:trHeight w:val="440"/>
        </w:trPr>
        <w:tc>
          <w:tcPr>
            <w:tcW w:w="657" w:type="dxa"/>
            <w:shd w:val="clear" w:color="000000" w:fill="FFFFFF"/>
            <w:vAlign w:val="center"/>
            <w:hideMark/>
          </w:tcPr>
          <w:p w14:paraId="63CD364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52A8A49A" w14:textId="77777777" w:rsidR="00975F26" w:rsidRPr="00ED0D6D" w:rsidRDefault="00975F26" w:rsidP="002A479B">
            <w:pPr>
              <w:jc w:val="both"/>
              <w:rPr>
                <w:color w:val="000000"/>
                <w:sz w:val="20"/>
              </w:rPr>
            </w:pPr>
            <w:r w:rsidRPr="00ED0D6D">
              <w:rPr>
                <w:color w:val="000000"/>
                <w:sz w:val="20"/>
              </w:rPr>
              <w:t xml:space="preserve">Gyventojų pasitenkinimas kultūros paslaugų kokybe (proc.) </w:t>
            </w:r>
          </w:p>
        </w:tc>
        <w:tc>
          <w:tcPr>
            <w:tcW w:w="1080" w:type="dxa"/>
            <w:shd w:val="clear" w:color="000000" w:fill="FFFFFF"/>
            <w:vAlign w:val="center"/>
          </w:tcPr>
          <w:p w14:paraId="2ABF7B1E" w14:textId="77777777" w:rsidR="00975F26" w:rsidRPr="00ED0D6D" w:rsidRDefault="00975F26" w:rsidP="002A479B">
            <w:pPr>
              <w:jc w:val="center"/>
              <w:rPr>
                <w:color w:val="000000"/>
                <w:sz w:val="20"/>
              </w:rPr>
            </w:pPr>
            <w:r w:rsidRPr="00ED0D6D">
              <w:rPr>
                <w:color w:val="000000"/>
                <w:sz w:val="20"/>
              </w:rPr>
              <w:t>92,5 (2017)</w:t>
            </w:r>
          </w:p>
        </w:tc>
        <w:tc>
          <w:tcPr>
            <w:tcW w:w="1080" w:type="dxa"/>
            <w:shd w:val="clear" w:color="000000" w:fill="FFFFFF"/>
            <w:vAlign w:val="center"/>
          </w:tcPr>
          <w:p w14:paraId="0EE2F934" w14:textId="77777777" w:rsidR="00975F26" w:rsidRPr="00ED0D6D" w:rsidRDefault="00975F26" w:rsidP="002A479B">
            <w:pPr>
              <w:jc w:val="center"/>
              <w:rPr>
                <w:color w:val="000000"/>
                <w:sz w:val="20"/>
              </w:rPr>
            </w:pPr>
            <w:r w:rsidRPr="00ED0D6D">
              <w:rPr>
                <w:color w:val="000000"/>
                <w:sz w:val="20"/>
              </w:rPr>
              <w:t>70,6</w:t>
            </w:r>
          </w:p>
        </w:tc>
        <w:tc>
          <w:tcPr>
            <w:tcW w:w="956" w:type="dxa"/>
            <w:shd w:val="clear" w:color="auto" w:fill="auto"/>
            <w:vAlign w:val="center"/>
          </w:tcPr>
          <w:p w14:paraId="347F086C" w14:textId="77777777" w:rsidR="00975F26" w:rsidRPr="00ED0D6D" w:rsidRDefault="00975F26" w:rsidP="002A479B">
            <w:pPr>
              <w:jc w:val="center"/>
              <w:rPr>
                <w:color w:val="000000"/>
                <w:sz w:val="20"/>
              </w:rPr>
            </w:pPr>
            <w:r w:rsidRPr="00221D7B">
              <w:rPr>
                <w:color w:val="000000"/>
                <w:sz w:val="20"/>
              </w:rPr>
              <w:t>–</w:t>
            </w:r>
          </w:p>
        </w:tc>
        <w:tc>
          <w:tcPr>
            <w:tcW w:w="983" w:type="dxa"/>
            <w:shd w:val="clear" w:color="000000" w:fill="FFFFFF"/>
            <w:vAlign w:val="center"/>
          </w:tcPr>
          <w:p w14:paraId="0872EA7C" w14:textId="77777777" w:rsidR="00975F26" w:rsidRPr="00ED0D6D" w:rsidRDefault="00975F26" w:rsidP="002A479B">
            <w:pPr>
              <w:jc w:val="center"/>
              <w:rPr>
                <w:color w:val="000000"/>
                <w:sz w:val="20"/>
              </w:rPr>
            </w:pPr>
            <w:r w:rsidRPr="00ED0D6D">
              <w:rPr>
                <w:color w:val="000000"/>
                <w:sz w:val="20"/>
              </w:rPr>
              <w:t>92,8</w:t>
            </w:r>
          </w:p>
        </w:tc>
        <w:tc>
          <w:tcPr>
            <w:tcW w:w="1250" w:type="dxa"/>
            <w:shd w:val="clear" w:color="000000" w:fill="FFFFFF"/>
            <w:vAlign w:val="center"/>
          </w:tcPr>
          <w:p w14:paraId="3B9A42F5" w14:textId="77777777" w:rsidR="00975F26" w:rsidRPr="00ED0D6D" w:rsidRDefault="00975F26" w:rsidP="002A479B">
            <w:pPr>
              <w:jc w:val="center"/>
              <w:rPr>
                <w:color w:val="000000"/>
                <w:sz w:val="20"/>
              </w:rPr>
            </w:pPr>
            <w:r w:rsidRPr="00285E0F">
              <w:rPr>
                <w:color w:val="000000"/>
                <w:sz w:val="20"/>
              </w:rPr>
              <w:t>–</w:t>
            </w:r>
          </w:p>
        </w:tc>
        <w:tc>
          <w:tcPr>
            <w:tcW w:w="1250" w:type="dxa"/>
            <w:shd w:val="clear" w:color="000000" w:fill="FFFFFF"/>
            <w:vAlign w:val="center"/>
          </w:tcPr>
          <w:p w14:paraId="2807756A" w14:textId="77777777" w:rsidR="00975F26" w:rsidRPr="00ED0D6D" w:rsidRDefault="00975F26" w:rsidP="002A479B">
            <w:pPr>
              <w:jc w:val="center"/>
              <w:rPr>
                <w:color w:val="000000"/>
                <w:sz w:val="20"/>
              </w:rPr>
            </w:pPr>
            <w:r w:rsidRPr="00285E0F">
              <w:rPr>
                <w:color w:val="000000"/>
                <w:sz w:val="20"/>
              </w:rPr>
              <w:t>–</w:t>
            </w:r>
          </w:p>
        </w:tc>
        <w:tc>
          <w:tcPr>
            <w:tcW w:w="2491" w:type="dxa"/>
            <w:shd w:val="clear" w:color="000000" w:fill="FFFFFF"/>
            <w:vAlign w:val="center"/>
          </w:tcPr>
          <w:p w14:paraId="41303721"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71BFBBB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6A71653" w14:textId="77777777" w:rsidTr="002A479B">
        <w:trPr>
          <w:trHeight w:val="431"/>
        </w:trPr>
        <w:tc>
          <w:tcPr>
            <w:tcW w:w="657" w:type="dxa"/>
            <w:shd w:val="clear" w:color="000000" w:fill="FFFFFF"/>
            <w:vAlign w:val="center"/>
            <w:hideMark/>
          </w:tcPr>
          <w:p w14:paraId="76A8F5A8"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4AE51F79" w14:textId="77777777" w:rsidR="00975F26" w:rsidRPr="00ED0D6D" w:rsidRDefault="00975F26" w:rsidP="002A479B">
            <w:pPr>
              <w:jc w:val="both"/>
              <w:rPr>
                <w:color w:val="000000"/>
                <w:sz w:val="20"/>
              </w:rPr>
            </w:pPr>
            <w:r w:rsidRPr="00ED0D6D">
              <w:rPr>
                <w:color w:val="000000"/>
                <w:sz w:val="20"/>
              </w:rPr>
              <w:t>Gyventojų pasitenkinimas kultūros paslaugų prieinamumu (proc.)</w:t>
            </w:r>
          </w:p>
        </w:tc>
        <w:tc>
          <w:tcPr>
            <w:tcW w:w="1080" w:type="dxa"/>
            <w:shd w:val="clear" w:color="000000" w:fill="FFFFFF"/>
            <w:vAlign w:val="center"/>
          </w:tcPr>
          <w:p w14:paraId="52F53F18" w14:textId="77777777" w:rsidR="00975F26" w:rsidRPr="00F46DD0" w:rsidRDefault="00975F26" w:rsidP="002A479B">
            <w:pPr>
              <w:jc w:val="center"/>
              <w:rPr>
                <w:i/>
                <w:iCs/>
                <w:color w:val="000000"/>
                <w:sz w:val="20"/>
              </w:rPr>
            </w:pPr>
            <w:r w:rsidRPr="00F46DD0">
              <w:rPr>
                <w:i/>
                <w:iCs/>
                <w:color w:val="000000"/>
                <w:sz w:val="20"/>
              </w:rPr>
              <w:t>n. d.</w:t>
            </w:r>
          </w:p>
        </w:tc>
        <w:tc>
          <w:tcPr>
            <w:tcW w:w="1080" w:type="dxa"/>
            <w:shd w:val="clear" w:color="000000" w:fill="FFFFFF"/>
            <w:vAlign w:val="center"/>
          </w:tcPr>
          <w:p w14:paraId="25826944" w14:textId="77777777" w:rsidR="00975F26" w:rsidRPr="00ED0D6D" w:rsidRDefault="00975F26" w:rsidP="002A479B">
            <w:pPr>
              <w:jc w:val="center"/>
              <w:rPr>
                <w:color w:val="000000"/>
                <w:sz w:val="20"/>
              </w:rPr>
            </w:pPr>
            <w:r w:rsidRPr="00ED0D6D">
              <w:rPr>
                <w:color w:val="000000"/>
                <w:sz w:val="20"/>
              </w:rPr>
              <w:t>69,4</w:t>
            </w:r>
          </w:p>
        </w:tc>
        <w:tc>
          <w:tcPr>
            <w:tcW w:w="956" w:type="dxa"/>
            <w:shd w:val="clear" w:color="auto" w:fill="auto"/>
            <w:vAlign w:val="center"/>
          </w:tcPr>
          <w:p w14:paraId="170D1E9C" w14:textId="77777777" w:rsidR="00975F26" w:rsidRPr="00ED0D6D" w:rsidRDefault="00975F26" w:rsidP="002A479B">
            <w:pPr>
              <w:jc w:val="center"/>
              <w:rPr>
                <w:color w:val="000000"/>
                <w:sz w:val="20"/>
              </w:rPr>
            </w:pPr>
            <w:r w:rsidRPr="00221D7B">
              <w:rPr>
                <w:color w:val="000000"/>
                <w:sz w:val="20"/>
              </w:rPr>
              <w:t>–</w:t>
            </w:r>
          </w:p>
        </w:tc>
        <w:tc>
          <w:tcPr>
            <w:tcW w:w="983" w:type="dxa"/>
            <w:shd w:val="clear" w:color="000000" w:fill="FFFFFF"/>
            <w:vAlign w:val="center"/>
          </w:tcPr>
          <w:p w14:paraId="6D5C1665" w14:textId="77777777" w:rsidR="00975F26" w:rsidRPr="00ED0D6D" w:rsidRDefault="00975F26" w:rsidP="002A479B">
            <w:pPr>
              <w:jc w:val="center"/>
              <w:rPr>
                <w:color w:val="000000"/>
                <w:sz w:val="20"/>
              </w:rPr>
            </w:pPr>
            <w:r w:rsidRPr="00ED0D6D">
              <w:rPr>
                <w:color w:val="000000"/>
                <w:sz w:val="20"/>
              </w:rPr>
              <w:t>71,7</w:t>
            </w:r>
          </w:p>
        </w:tc>
        <w:tc>
          <w:tcPr>
            <w:tcW w:w="1250" w:type="dxa"/>
            <w:shd w:val="clear" w:color="000000" w:fill="FFFFFF"/>
            <w:vAlign w:val="center"/>
          </w:tcPr>
          <w:p w14:paraId="00D404BA" w14:textId="77777777" w:rsidR="00975F26" w:rsidRPr="00ED0D6D" w:rsidRDefault="00975F26" w:rsidP="002A479B">
            <w:pPr>
              <w:jc w:val="center"/>
              <w:rPr>
                <w:color w:val="000000"/>
                <w:sz w:val="20"/>
              </w:rPr>
            </w:pPr>
            <w:r w:rsidRPr="00285E0F">
              <w:rPr>
                <w:color w:val="000000"/>
                <w:sz w:val="20"/>
              </w:rPr>
              <w:t>–</w:t>
            </w:r>
          </w:p>
        </w:tc>
        <w:tc>
          <w:tcPr>
            <w:tcW w:w="1250" w:type="dxa"/>
            <w:shd w:val="clear" w:color="000000" w:fill="FFFFFF"/>
            <w:vAlign w:val="center"/>
          </w:tcPr>
          <w:p w14:paraId="60C5F390" w14:textId="77777777" w:rsidR="00975F26" w:rsidRPr="00ED0D6D" w:rsidRDefault="00975F26" w:rsidP="002A479B">
            <w:pPr>
              <w:jc w:val="center"/>
              <w:rPr>
                <w:color w:val="000000"/>
                <w:sz w:val="20"/>
              </w:rPr>
            </w:pPr>
            <w:r w:rsidRPr="00285E0F">
              <w:rPr>
                <w:color w:val="000000"/>
                <w:sz w:val="20"/>
              </w:rPr>
              <w:t>–</w:t>
            </w:r>
          </w:p>
        </w:tc>
        <w:tc>
          <w:tcPr>
            <w:tcW w:w="2491" w:type="dxa"/>
            <w:shd w:val="clear" w:color="000000" w:fill="FFFFFF"/>
            <w:vAlign w:val="center"/>
          </w:tcPr>
          <w:p w14:paraId="251DCAA9" w14:textId="77777777" w:rsidR="00975F26" w:rsidRPr="00ED0D6D" w:rsidRDefault="00975F26" w:rsidP="002A479B">
            <w:pPr>
              <w:jc w:val="center"/>
              <w:rPr>
                <w:color w:val="000000"/>
                <w:sz w:val="20"/>
              </w:rPr>
            </w:pPr>
            <w:r w:rsidRPr="00ED0D6D">
              <w:rPr>
                <w:color w:val="000000"/>
                <w:sz w:val="20"/>
              </w:rPr>
              <w:t xml:space="preserve">KM </w:t>
            </w:r>
          </w:p>
        </w:tc>
        <w:tc>
          <w:tcPr>
            <w:tcW w:w="1172" w:type="dxa"/>
            <w:shd w:val="clear" w:color="auto" w:fill="auto"/>
            <w:vAlign w:val="center"/>
          </w:tcPr>
          <w:p w14:paraId="02F4713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03521A64" w14:textId="77777777" w:rsidTr="002A479B">
        <w:trPr>
          <w:trHeight w:val="408"/>
        </w:trPr>
        <w:tc>
          <w:tcPr>
            <w:tcW w:w="657" w:type="dxa"/>
            <w:shd w:val="clear" w:color="000000" w:fill="FFFFFF"/>
            <w:vAlign w:val="center"/>
            <w:hideMark/>
          </w:tcPr>
          <w:p w14:paraId="031070D5"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28C55D8B" w14:textId="77777777" w:rsidR="00975F26" w:rsidRPr="00ED0D6D" w:rsidRDefault="00975F26" w:rsidP="002A479B">
            <w:pPr>
              <w:jc w:val="both"/>
              <w:rPr>
                <w:color w:val="000000"/>
                <w:sz w:val="20"/>
              </w:rPr>
            </w:pPr>
            <w:r w:rsidRPr="00ED0D6D">
              <w:rPr>
                <w:color w:val="000000"/>
                <w:sz w:val="20"/>
              </w:rPr>
              <w:t xml:space="preserve">Gyventojų pasitenkinimas kultūros paveldo apsaugos paslaugų kokybe (proc.)   </w:t>
            </w:r>
          </w:p>
        </w:tc>
        <w:tc>
          <w:tcPr>
            <w:tcW w:w="1080" w:type="dxa"/>
            <w:shd w:val="clear" w:color="000000" w:fill="FFFFFF"/>
            <w:vAlign w:val="center"/>
          </w:tcPr>
          <w:p w14:paraId="36A25FE3" w14:textId="77777777" w:rsidR="00975F26" w:rsidRPr="00F46DD0" w:rsidRDefault="00975F26" w:rsidP="002A479B">
            <w:pPr>
              <w:jc w:val="center"/>
              <w:rPr>
                <w:i/>
                <w:iCs/>
                <w:color w:val="000000"/>
                <w:sz w:val="20"/>
              </w:rPr>
            </w:pPr>
            <w:r w:rsidRPr="00F46DD0">
              <w:rPr>
                <w:i/>
                <w:iCs/>
                <w:color w:val="000000"/>
                <w:sz w:val="20"/>
              </w:rPr>
              <w:t xml:space="preserve">n. d. </w:t>
            </w:r>
          </w:p>
        </w:tc>
        <w:tc>
          <w:tcPr>
            <w:tcW w:w="1080" w:type="dxa"/>
            <w:shd w:val="clear" w:color="000000" w:fill="FFFFFF"/>
            <w:vAlign w:val="center"/>
          </w:tcPr>
          <w:p w14:paraId="0E454F66" w14:textId="77777777" w:rsidR="00975F26" w:rsidRPr="00ED0D6D" w:rsidRDefault="00975F26" w:rsidP="002A479B">
            <w:pPr>
              <w:jc w:val="center"/>
              <w:rPr>
                <w:color w:val="000000"/>
                <w:sz w:val="20"/>
              </w:rPr>
            </w:pPr>
            <w:r w:rsidRPr="00ED0D6D">
              <w:rPr>
                <w:color w:val="000000"/>
                <w:sz w:val="20"/>
              </w:rPr>
              <w:t>65,9</w:t>
            </w:r>
          </w:p>
        </w:tc>
        <w:tc>
          <w:tcPr>
            <w:tcW w:w="956" w:type="dxa"/>
            <w:shd w:val="clear" w:color="auto" w:fill="auto"/>
            <w:vAlign w:val="center"/>
          </w:tcPr>
          <w:p w14:paraId="1403BDEB" w14:textId="77777777" w:rsidR="00975F26" w:rsidRPr="00ED0D6D" w:rsidRDefault="00975F26" w:rsidP="002A479B">
            <w:pPr>
              <w:jc w:val="center"/>
              <w:rPr>
                <w:color w:val="000000"/>
                <w:sz w:val="20"/>
              </w:rPr>
            </w:pPr>
            <w:r w:rsidRPr="00221D7B">
              <w:rPr>
                <w:color w:val="000000"/>
                <w:sz w:val="20"/>
              </w:rPr>
              <w:t>–</w:t>
            </w:r>
          </w:p>
        </w:tc>
        <w:tc>
          <w:tcPr>
            <w:tcW w:w="983" w:type="dxa"/>
            <w:shd w:val="clear" w:color="000000" w:fill="FFFFFF"/>
            <w:vAlign w:val="center"/>
          </w:tcPr>
          <w:p w14:paraId="6E99AD3F" w14:textId="77777777" w:rsidR="00975F26" w:rsidRPr="00ED0D6D" w:rsidRDefault="00975F26" w:rsidP="002A479B">
            <w:pPr>
              <w:jc w:val="center"/>
              <w:rPr>
                <w:color w:val="000000"/>
                <w:sz w:val="20"/>
              </w:rPr>
            </w:pPr>
            <w:r w:rsidRPr="00ED0D6D">
              <w:rPr>
                <w:color w:val="000000"/>
                <w:sz w:val="20"/>
              </w:rPr>
              <w:t>82,2</w:t>
            </w:r>
          </w:p>
        </w:tc>
        <w:tc>
          <w:tcPr>
            <w:tcW w:w="1250" w:type="dxa"/>
            <w:shd w:val="clear" w:color="000000" w:fill="FFFFFF"/>
            <w:vAlign w:val="center"/>
          </w:tcPr>
          <w:p w14:paraId="189831AA" w14:textId="77777777" w:rsidR="00975F26" w:rsidRPr="00ED0D6D" w:rsidRDefault="00975F26" w:rsidP="002A479B">
            <w:pPr>
              <w:jc w:val="center"/>
              <w:rPr>
                <w:color w:val="000000"/>
                <w:sz w:val="20"/>
              </w:rPr>
            </w:pPr>
            <w:r w:rsidRPr="00285E0F">
              <w:rPr>
                <w:color w:val="000000"/>
                <w:sz w:val="20"/>
              </w:rPr>
              <w:t>–</w:t>
            </w:r>
          </w:p>
        </w:tc>
        <w:tc>
          <w:tcPr>
            <w:tcW w:w="1250" w:type="dxa"/>
            <w:shd w:val="clear" w:color="000000" w:fill="FFFFFF"/>
            <w:vAlign w:val="center"/>
          </w:tcPr>
          <w:p w14:paraId="21B61044" w14:textId="77777777" w:rsidR="00975F26" w:rsidRPr="00ED0D6D" w:rsidRDefault="00975F26" w:rsidP="002A479B">
            <w:pPr>
              <w:jc w:val="center"/>
              <w:rPr>
                <w:color w:val="000000"/>
                <w:sz w:val="20"/>
              </w:rPr>
            </w:pPr>
            <w:r w:rsidRPr="00285E0F">
              <w:rPr>
                <w:color w:val="000000"/>
                <w:sz w:val="20"/>
              </w:rPr>
              <w:t>–</w:t>
            </w:r>
          </w:p>
        </w:tc>
        <w:tc>
          <w:tcPr>
            <w:tcW w:w="2491" w:type="dxa"/>
            <w:shd w:val="clear" w:color="000000" w:fill="FFFFFF"/>
            <w:vAlign w:val="center"/>
          </w:tcPr>
          <w:p w14:paraId="609ABB72" w14:textId="77777777" w:rsidR="00975F26" w:rsidRPr="00ED0D6D" w:rsidRDefault="00975F26" w:rsidP="002A479B">
            <w:pPr>
              <w:jc w:val="center"/>
              <w:rPr>
                <w:color w:val="000000"/>
                <w:sz w:val="20"/>
              </w:rPr>
            </w:pPr>
            <w:r w:rsidRPr="00ED0D6D">
              <w:rPr>
                <w:color w:val="000000"/>
                <w:sz w:val="20"/>
              </w:rPr>
              <w:t xml:space="preserve">KM </w:t>
            </w:r>
          </w:p>
        </w:tc>
        <w:tc>
          <w:tcPr>
            <w:tcW w:w="1172" w:type="dxa"/>
            <w:shd w:val="clear" w:color="auto" w:fill="auto"/>
            <w:vAlign w:val="center"/>
          </w:tcPr>
          <w:p w14:paraId="2B15EDD7"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3C76540" w14:textId="77777777" w:rsidTr="002A479B">
        <w:trPr>
          <w:trHeight w:val="372"/>
        </w:trPr>
        <w:tc>
          <w:tcPr>
            <w:tcW w:w="657" w:type="dxa"/>
            <w:shd w:val="clear" w:color="000000" w:fill="FFFFFF"/>
            <w:vAlign w:val="center"/>
            <w:hideMark/>
          </w:tcPr>
          <w:p w14:paraId="7FCB142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2CD1850D" w14:textId="77777777" w:rsidR="00975F26" w:rsidRPr="00ED0D6D" w:rsidRDefault="00975F26" w:rsidP="002A479B">
            <w:pPr>
              <w:jc w:val="both"/>
              <w:rPr>
                <w:color w:val="000000"/>
                <w:sz w:val="20"/>
              </w:rPr>
            </w:pPr>
            <w:r w:rsidRPr="00ED0D6D">
              <w:rPr>
                <w:color w:val="000000"/>
                <w:sz w:val="20"/>
              </w:rPr>
              <w:t xml:space="preserve">Kultūros projektų mecenatų skaičius (kaupiamieji vienetai)   </w:t>
            </w:r>
          </w:p>
        </w:tc>
        <w:tc>
          <w:tcPr>
            <w:tcW w:w="1080" w:type="dxa"/>
            <w:shd w:val="clear" w:color="000000" w:fill="FFFFFF"/>
            <w:vAlign w:val="center"/>
          </w:tcPr>
          <w:p w14:paraId="7CE9FC97" w14:textId="77777777" w:rsidR="00975F26" w:rsidRPr="00ED0D6D" w:rsidRDefault="00975F26" w:rsidP="002A479B">
            <w:pPr>
              <w:jc w:val="center"/>
              <w:rPr>
                <w:color w:val="000000"/>
                <w:sz w:val="20"/>
              </w:rPr>
            </w:pPr>
            <w:r w:rsidRPr="00ED0D6D">
              <w:rPr>
                <w:color w:val="000000"/>
                <w:sz w:val="20"/>
              </w:rPr>
              <w:t>6</w:t>
            </w:r>
          </w:p>
        </w:tc>
        <w:tc>
          <w:tcPr>
            <w:tcW w:w="1080" w:type="dxa"/>
            <w:shd w:val="clear" w:color="000000" w:fill="FFFFFF"/>
            <w:vAlign w:val="center"/>
          </w:tcPr>
          <w:p w14:paraId="378C27E3" w14:textId="77777777" w:rsidR="00975F26" w:rsidRPr="00ED0D6D" w:rsidRDefault="00975F26" w:rsidP="002A479B">
            <w:pPr>
              <w:jc w:val="center"/>
              <w:rPr>
                <w:color w:val="000000"/>
                <w:sz w:val="20"/>
              </w:rPr>
            </w:pPr>
            <w:r w:rsidRPr="00ED0D6D">
              <w:rPr>
                <w:color w:val="000000"/>
                <w:sz w:val="20"/>
              </w:rPr>
              <w:t>7</w:t>
            </w:r>
          </w:p>
        </w:tc>
        <w:tc>
          <w:tcPr>
            <w:tcW w:w="956" w:type="dxa"/>
            <w:shd w:val="clear" w:color="auto" w:fill="auto"/>
            <w:vAlign w:val="center"/>
          </w:tcPr>
          <w:p w14:paraId="16E31332" w14:textId="77777777" w:rsidR="00975F26" w:rsidRPr="00ED0D6D" w:rsidRDefault="00975F26" w:rsidP="002A479B">
            <w:pPr>
              <w:jc w:val="center"/>
              <w:rPr>
                <w:color w:val="000000"/>
                <w:sz w:val="20"/>
              </w:rPr>
            </w:pPr>
            <w:r w:rsidRPr="00221D7B">
              <w:rPr>
                <w:color w:val="000000"/>
                <w:sz w:val="20"/>
              </w:rPr>
              <w:t>–</w:t>
            </w:r>
          </w:p>
        </w:tc>
        <w:tc>
          <w:tcPr>
            <w:tcW w:w="983" w:type="dxa"/>
            <w:shd w:val="clear" w:color="000000" w:fill="FFFFFF"/>
            <w:vAlign w:val="center"/>
          </w:tcPr>
          <w:p w14:paraId="206435F0" w14:textId="77777777" w:rsidR="00975F26" w:rsidRPr="00ED0D6D" w:rsidRDefault="00975F26" w:rsidP="002A479B">
            <w:pPr>
              <w:jc w:val="center"/>
              <w:rPr>
                <w:color w:val="000000"/>
                <w:sz w:val="20"/>
              </w:rPr>
            </w:pPr>
            <w:r w:rsidRPr="00ED0D6D">
              <w:rPr>
                <w:color w:val="000000"/>
                <w:sz w:val="20"/>
              </w:rPr>
              <w:t>5</w:t>
            </w:r>
          </w:p>
        </w:tc>
        <w:tc>
          <w:tcPr>
            <w:tcW w:w="1250" w:type="dxa"/>
            <w:shd w:val="clear" w:color="000000" w:fill="FFFFFF"/>
            <w:vAlign w:val="center"/>
          </w:tcPr>
          <w:p w14:paraId="3F760AAF" w14:textId="77777777" w:rsidR="00975F26" w:rsidRPr="00ED0D6D" w:rsidRDefault="00975F26" w:rsidP="002A479B">
            <w:pPr>
              <w:jc w:val="center"/>
              <w:rPr>
                <w:color w:val="000000"/>
                <w:sz w:val="20"/>
              </w:rPr>
            </w:pPr>
            <w:r w:rsidRPr="00285E0F">
              <w:rPr>
                <w:color w:val="000000"/>
                <w:sz w:val="20"/>
              </w:rPr>
              <w:t>–</w:t>
            </w:r>
          </w:p>
        </w:tc>
        <w:tc>
          <w:tcPr>
            <w:tcW w:w="1250" w:type="dxa"/>
            <w:shd w:val="clear" w:color="000000" w:fill="FFFFFF"/>
            <w:vAlign w:val="center"/>
          </w:tcPr>
          <w:p w14:paraId="2E84B4E4" w14:textId="77777777" w:rsidR="00975F26" w:rsidRPr="00ED0D6D" w:rsidRDefault="00975F26" w:rsidP="002A479B">
            <w:pPr>
              <w:jc w:val="center"/>
              <w:rPr>
                <w:color w:val="000000"/>
                <w:sz w:val="20"/>
              </w:rPr>
            </w:pPr>
            <w:r w:rsidRPr="00285E0F">
              <w:rPr>
                <w:color w:val="000000"/>
                <w:sz w:val="20"/>
              </w:rPr>
              <w:t>–</w:t>
            </w:r>
          </w:p>
        </w:tc>
        <w:tc>
          <w:tcPr>
            <w:tcW w:w="2491" w:type="dxa"/>
            <w:shd w:val="clear" w:color="000000" w:fill="FFFFFF"/>
            <w:vAlign w:val="center"/>
          </w:tcPr>
          <w:p w14:paraId="341C5616"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3E1F59D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0212123" w14:textId="77777777" w:rsidTr="002A479B">
        <w:trPr>
          <w:trHeight w:val="359"/>
        </w:trPr>
        <w:tc>
          <w:tcPr>
            <w:tcW w:w="657" w:type="dxa"/>
            <w:shd w:val="clear" w:color="000000" w:fill="FFFFFF"/>
            <w:vAlign w:val="center"/>
            <w:hideMark/>
          </w:tcPr>
          <w:p w14:paraId="23842CA8" w14:textId="77777777" w:rsidR="00975F26" w:rsidRPr="00ED0D6D" w:rsidRDefault="00975F26" w:rsidP="002A479B">
            <w:pPr>
              <w:pStyle w:val="Sraopastraipa"/>
              <w:numPr>
                <w:ilvl w:val="0"/>
                <w:numId w:val="11"/>
              </w:numPr>
              <w:spacing w:after="0"/>
              <w:ind w:left="0" w:firstLine="0"/>
              <w:jc w:val="both"/>
              <w:rPr>
                <w:rFonts w:ascii="Times New Roman" w:hAnsi="Times New Roman"/>
                <w:color w:val="000000"/>
                <w:sz w:val="20"/>
                <w:szCs w:val="20"/>
              </w:rPr>
            </w:pPr>
          </w:p>
        </w:tc>
        <w:tc>
          <w:tcPr>
            <w:tcW w:w="4648" w:type="dxa"/>
            <w:shd w:val="clear" w:color="000000" w:fill="FFFFFF"/>
          </w:tcPr>
          <w:p w14:paraId="20B1EBCB" w14:textId="77777777" w:rsidR="00975F26" w:rsidRPr="00ED0D6D" w:rsidRDefault="00975F26" w:rsidP="002A479B">
            <w:pPr>
              <w:rPr>
                <w:color w:val="000000"/>
                <w:sz w:val="20"/>
              </w:rPr>
            </w:pPr>
            <w:r w:rsidRPr="00ED0D6D">
              <w:rPr>
                <w:color w:val="000000"/>
                <w:sz w:val="20"/>
              </w:rPr>
              <w:t xml:space="preserve">BVP lėšos, skiriamos kultūrai (proc.)   </w:t>
            </w:r>
          </w:p>
        </w:tc>
        <w:tc>
          <w:tcPr>
            <w:tcW w:w="1080" w:type="dxa"/>
            <w:shd w:val="clear" w:color="000000" w:fill="FFFFFF"/>
            <w:vAlign w:val="center"/>
          </w:tcPr>
          <w:p w14:paraId="64AF9E84" w14:textId="77777777" w:rsidR="00975F26" w:rsidRPr="00ED0D6D" w:rsidRDefault="00975F26" w:rsidP="002A479B">
            <w:pPr>
              <w:jc w:val="center"/>
              <w:rPr>
                <w:color w:val="000000"/>
                <w:sz w:val="20"/>
              </w:rPr>
            </w:pPr>
            <w:r w:rsidRPr="00ED0D6D">
              <w:rPr>
                <w:color w:val="000000"/>
                <w:sz w:val="20"/>
              </w:rPr>
              <w:t>0,7</w:t>
            </w:r>
          </w:p>
        </w:tc>
        <w:tc>
          <w:tcPr>
            <w:tcW w:w="1080" w:type="dxa"/>
            <w:shd w:val="clear" w:color="000000" w:fill="FFFFFF"/>
            <w:vAlign w:val="center"/>
          </w:tcPr>
          <w:p w14:paraId="40610AA4" w14:textId="77777777" w:rsidR="00975F26" w:rsidRPr="00F46DD0" w:rsidRDefault="00975F26" w:rsidP="002A479B">
            <w:pPr>
              <w:jc w:val="center"/>
              <w:rPr>
                <w:i/>
                <w:iCs/>
                <w:color w:val="000000"/>
                <w:sz w:val="20"/>
              </w:rPr>
            </w:pPr>
            <w:r w:rsidRPr="00F46DD0">
              <w:rPr>
                <w:i/>
                <w:iCs/>
                <w:color w:val="000000"/>
                <w:sz w:val="20"/>
              </w:rPr>
              <w:t>n. d.</w:t>
            </w:r>
          </w:p>
        </w:tc>
        <w:tc>
          <w:tcPr>
            <w:tcW w:w="956" w:type="dxa"/>
            <w:shd w:val="clear" w:color="auto" w:fill="auto"/>
            <w:vAlign w:val="center"/>
          </w:tcPr>
          <w:p w14:paraId="65E20380" w14:textId="77777777" w:rsidR="00975F26" w:rsidRPr="00ED0D6D" w:rsidRDefault="00975F26" w:rsidP="002A479B">
            <w:pPr>
              <w:jc w:val="center"/>
              <w:rPr>
                <w:color w:val="000000"/>
                <w:sz w:val="20"/>
              </w:rPr>
            </w:pPr>
            <w:r>
              <w:rPr>
                <w:color w:val="000000"/>
                <w:sz w:val="20"/>
              </w:rPr>
              <w:t>0,5</w:t>
            </w:r>
            <w:r w:rsidRPr="00ED0D6D">
              <w:rPr>
                <w:color w:val="000000"/>
                <w:sz w:val="20"/>
              </w:rPr>
              <w:t xml:space="preserve"> (2019)</w:t>
            </w:r>
          </w:p>
        </w:tc>
        <w:tc>
          <w:tcPr>
            <w:tcW w:w="983" w:type="dxa"/>
            <w:shd w:val="clear" w:color="000000" w:fill="FFFFFF"/>
            <w:vAlign w:val="center"/>
          </w:tcPr>
          <w:p w14:paraId="2AAD421B" w14:textId="77777777" w:rsidR="00975F26" w:rsidRPr="00ED0D6D" w:rsidRDefault="00975F26" w:rsidP="002A479B">
            <w:pPr>
              <w:jc w:val="center"/>
              <w:rPr>
                <w:color w:val="000000"/>
                <w:sz w:val="20"/>
              </w:rPr>
            </w:pPr>
            <w:r w:rsidRPr="00ED0D6D">
              <w:rPr>
                <w:color w:val="000000"/>
                <w:sz w:val="20"/>
              </w:rPr>
              <w:t>1,2</w:t>
            </w:r>
          </w:p>
        </w:tc>
        <w:tc>
          <w:tcPr>
            <w:tcW w:w="1250" w:type="dxa"/>
            <w:shd w:val="clear" w:color="000000" w:fill="FFFFFF"/>
            <w:vAlign w:val="center"/>
          </w:tcPr>
          <w:p w14:paraId="53CDE245" w14:textId="77777777" w:rsidR="00975F26" w:rsidRPr="00ED0D6D" w:rsidRDefault="00975F26" w:rsidP="002A479B">
            <w:pPr>
              <w:jc w:val="center"/>
              <w:rPr>
                <w:color w:val="000000"/>
                <w:sz w:val="20"/>
              </w:rPr>
            </w:pPr>
            <w:r w:rsidRPr="00285E0F">
              <w:rPr>
                <w:color w:val="000000"/>
                <w:sz w:val="20"/>
              </w:rPr>
              <w:t>–</w:t>
            </w:r>
          </w:p>
        </w:tc>
        <w:tc>
          <w:tcPr>
            <w:tcW w:w="1250" w:type="dxa"/>
            <w:shd w:val="clear" w:color="000000" w:fill="FFFFFF"/>
            <w:vAlign w:val="center"/>
          </w:tcPr>
          <w:p w14:paraId="1C6E5074" w14:textId="77777777" w:rsidR="00975F26" w:rsidRPr="00ED0D6D" w:rsidRDefault="00975F26" w:rsidP="002A479B">
            <w:pPr>
              <w:jc w:val="center"/>
              <w:rPr>
                <w:color w:val="000000"/>
                <w:sz w:val="20"/>
              </w:rPr>
            </w:pPr>
            <w:r w:rsidRPr="00285E0F">
              <w:rPr>
                <w:color w:val="000000"/>
                <w:sz w:val="20"/>
              </w:rPr>
              <w:t>–</w:t>
            </w:r>
          </w:p>
        </w:tc>
        <w:tc>
          <w:tcPr>
            <w:tcW w:w="2491" w:type="dxa"/>
            <w:shd w:val="clear" w:color="000000" w:fill="FFFFFF"/>
            <w:vAlign w:val="center"/>
          </w:tcPr>
          <w:p w14:paraId="4F112E62" w14:textId="77777777" w:rsidR="00975F26" w:rsidRPr="00ED0D6D" w:rsidRDefault="00975F26" w:rsidP="002A479B">
            <w:pPr>
              <w:jc w:val="center"/>
              <w:rPr>
                <w:color w:val="000000"/>
                <w:sz w:val="20"/>
              </w:rPr>
            </w:pPr>
            <w:r w:rsidRPr="00ED0D6D">
              <w:rPr>
                <w:color w:val="000000"/>
                <w:sz w:val="20"/>
              </w:rPr>
              <w:t>Eurostatas</w:t>
            </w:r>
          </w:p>
        </w:tc>
        <w:tc>
          <w:tcPr>
            <w:tcW w:w="1172" w:type="dxa"/>
            <w:shd w:val="clear" w:color="auto" w:fill="auto"/>
            <w:vAlign w:val="center"/>
          </w:tcPr>
          <w:p w14:paraId="612D40F0"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C8CD6CD" w14:textId="77777777" w:rsidTr="002A479B">
        <w:trPr>
          <w:trHeight w:val="422"/>
        </w:trPr>
        <w:tc>
          <w:tcPr>
            <w:tcW w:w="657" w:type="dxa"/>
            <w:shd w:val="clear" w:color="000000" w:fill="FFFFFF"/>
            <w:vAlign w:val="center"/>
            <w:hideMark/>
          </w:tcPr>
          <w:p w14:paraId="32010F69"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tcPr>
          <w:p w14:paraId="6DB904DC" w14:textId="77777777" w:rsidR="00975F26" w:rsidRPr="00ED0D6D" w:rsidRDefault="00975F26" w:rsidP="002A479B">
            <w:pPr>
              <w:jc w:val="both"/>
              <w:rPr>
                <w:color w:val="000000"/>
                <w:sz w:val="20"/>
              </w:rPr>
            </w:pPr>
            <w:r w:rsidRPr="00ED0D6D">
              <w:rPr>
                <w:color w:val="000000"/>
                <w:sz w:val="20"/>
              </w:rPr>
              <w:t>Gyventojų, apsilankiusių profesiona</w:t>
            </w:r>
            <w:r>
              <w:rPr>
                <w:color w:val="000000"/>
                <w:sz w:val="20"/>
              </w:rPr>
              <w:t>liojo</w:t>
            </w:r>
            <w:r w:rsidRPr="00ED0D6D">
              <w:rPr>
                <w:color w:val="000000"/>
                <w:sz w:val="20"/>
              </w:rPr>
              <w:t xml:space="preserve"> meno renginiuose regionuose, skaičius (tūkst. </w:t>
            </w:r>
            <w:proofErr w:type="spellStart"/>
            <w:r w:rsidRPr="00ED0D6D">
              <w:rPr>
                <w:color w:val="000000"/>
                <w:sz w:val="20"/>
              </w:rPr>
              <w:t>žm</w:t>
            </w:r>
            <w:proofErr w:type="spellEnd"/>
            <w:r w:rsidRPr="00ED0D6D">
              <w:rPr>
                <w:color w:val="000000"/>
                <w:sz w:val="20"/>
              </w:rPr>
              <w:t xml:space="preserve">.)   </w:t>
            </w:r>
          </w:p>
        </w:tc>
        <w:tc>
          <w:tcPr>
            <w:tcW w:w="1080" w:type="dxa"/>
            <w:shd w:val="clear" w:color="000000" w:fill="FFFFFF"/>
            <w:vAlign w:val="center"/>
          </w:tcPr>
          <w:p w14:paraId="6DFC6454"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357</w:t>
            </w:r>
          </w:p>
        </w:tc>
        <w:tc>
          <w:tcPr>
            <w:tcW w:w="1080" w:type="dxa"/>
            <w:shd w:val="clear" w:color="000000" w:fill="FFFFFF"/>
            <w:vAlign w:val="center"/>
          </w:tcPr>
          <w:p w14:paraId="06A1E6D3"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031</w:t>
            </w:r>
          </w:p>
        </w:tc>
        <w:tc>
          <w:tcPr>
            <w:tcW w:w="956" w:type="dxa"/>
            <w:shd w:val="clear" w:color="auto" w:fill="auto"/>
            <w:vAlign w:val="center"/>
          </w:tcPr>
          <w:p w14:paraId="0C20ED52" w14:textId="77777777" w:rsidR="00975F26" w:rsidRPr="00ED0D6D" w:rsidRDefault="00975F26" w:rsidP="002A479B">
            <w:pPr>
              <w:jc w:val="center"/>
              <w:rPr>
                <w:color w:val="000000"/>
                <w:sz w:val="20"/>
              </w:rPr>
            </w:pPr>
            <w:r w:rsidRPr="00B96494">
              <w:rPr>
                <w:color w:val="000000"/>
                <w:sz w:val="20"/>
              </w:rPr>
              <w:t>–</w:t>
            </w:r>
          </w:p>
        </w:tc>
        <w:tc>
          <w:tcPr>
            <w:tcW w:w="983" w:type="dxa"/>
            <w:shd w:val="clear" w:color="000000" w:fill="FFFFFF"/>
            <w:vAlign w:val="center"/>
          </w:tcPr>
          <w:p w14:paraId="663D0CE6" w14:textId="77777777" w:rsidR="00975F26" w:rsidRPr="00ED0D6D" w:rsidRDefault="00975F26" w:rsidP="002A479B">
            <w:pPr>
              <w:jc w:val="center"/>
              <w:rPr>
                <w:color w:val="000000"/>
                <w:sz w:val="20"/>
              </w:rPr>
            </w:pPr>
            <w:r w:rsidRPr="00ED0D6D">
              <w:rPr>
                <w:color w:val="000000"/>
                <w:sz w:val="20"/>
              </w:rPr>
              <w:t>1</w:t>
            </w:r>
            <w:r>
              <w:rPr>
                <w:color w:val="000000"/>
                <w:sz w:val="20"/>
              </w:rPr>
              <w:t xml:space="preserve"> </w:t>
            </w:r>
            <w:r w:rsidRPr="00ED0D6D">
              <w:rPr>
                <w:color w:val="000000"/>
                <w:sz w:val="20"/>
              </w:rPr>
              <w:t>700</w:t>
            </w:r>
          </w:p>
        </w:tc>
        <w:tc>
          <w:tcPr>
            <w:tcW w:w="1250" w:type="dxa"/>
            <w:shd w:val="clear" w:color="auto" w:fill="auto"/>
            <w:vAlign w:val="center"/>
          </w:tcPr>
          <w:p w14:paraId="4F24B08A" w14:textId="77777777" w:rsidR="00975F26" w:rsidRPr="00ED0D6D" w:rsidRDefault="00975F26" w:rsidP="002A479B">
            <w:pPr>
              <w:jc w:val="center"/>
              <w:rPr>
                <w:color w:val="000000"/>
                <w:sz w:val="20"/>
              </w:rPr>
            </w:pPr>
            <w:r w:rsidRPr="00285E0F">
              <w:rPr>
                <w:color w:val="000000"/>
                <w:sz w:val="20"/>
              </w:rPr>
              <w:t>–</w:t>
            </w:r>
          </w:p>
        </w:tc>
        <w:tc>
          <w:tcPr>
            <w:tcW w:w="1250" w:type="dxa"/>
            <w:shd w:val="clear" w:color="auto" w:fill="auto"/>
            <w:vAlign w:val="center"/>
          </w:tcPr>
          <w:p w14:paraId="4D9587EE" w14:textId="77777777" w:rsidR="00975F26" w:rsidRPr="00ED0D6D" w:rsidRDefault="00975F26" w:rsidP="002A479B">
            <w:pPr>
              <w:jc w:val="center"/>
              <w:rPr>
                <w:color w:val="000000"/>
                <w:sz w:val="20"/>
              </w:rPr>
            </w:pPr>
            <w:r w:rsidRPr="00285E0F">
              <w:rPr>
                <w:color w:val="000000"/>
                <w:sz w:val="20"/>
              </w:rPr>
              <w:t>–</w:t>
            </w:r>
          </w:p>
        </w:tc>
        <w:tc>
          <w:tcPr>
            <w:tcW w:w="2491" w:type="dxa"/>
            <w:shd w:val="clear" w:color="auto" w:fill="auto"/>
            <w:vAlign w:val="center"/>
          </w:tcPr>
          <w:p w14:paraId="7C8CA194"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3A1FAF17"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25D96CB" w14:textId="77777777" w:rsidTr="002A479B">
        <w:trPr>
          <w:trHeight w:val="404"/>
        </w:trPr>
        <w:tc>
          <w:tcPr>
            <w:tcW w:w="657" w:type="dxa"/>
            <w:shd w:val="clear" w:color="auto" w:fill="auto"/>
            <w:vAlign w:val="center"/>
            <w:hideMark/>
          </w:tcPr>
          <w:p w14:paraId="72196151"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tcPr>
          <w:p w14:paraId="52B76187" w14:textId="77777777" w:rsidR="00975F26" w:rsidRPr="00ED0D6D" w:rsidRDefault="00975F26" w:rsidP="002A479B">
            <w:pPr>
              <w:jc w:val="both"/>
              <w:rPr>
                <w:color w:val="000000"/>
                <w:sz w:val="20"/>
              </w:rPr>
            </w:pPr>
            <w:r w:rsidRPr="00ED0D6D">
              <w:rPr>
                <w:color w:val="000000"/>
                <w:sz w:val="20"/>
              </w:rPr>
              <w:t xml:space="preserve">Istorinės kultūrinės atminties išsaugojimo iniciatyvose dalyvavusių žmonių skaičius (tūkst. </w:t>
            </w:r>
            <w:proofErr w:type="spellStart"/>
            <w:r w:rsidRPr="00ED0D6D">
              <w:rPr>
                <w:color w:val="000000"/>
                <w:sz w:val="20"/>
              </w:rPr>
              <w:t>žm</w:t>
            </w:r>
            <w:proofErr w:type="spellEnd"/>
            <w:r w:rsidRPr="00ED0D6D">
              <w:rPr>
                <w:color w:val="000000"/>
                <w:sz w:val="20"/>
              </w:rPr>
              <w:t xml:space="preserve">.)   </w:t>
            </w:r>
          </w:p>
        </w:tc>
        <w:tc>
          <w:tcPr>
            <w:tcW w:w="1080" w:type="dxa"/>
            <w:shd w:val="clear" w:color="000000" w:fill="FFFFFF"/>
            <w:vAlign w:val="center"/>
          </w:tcPr>
          <w:p w14:paraId="602550AE" w14:textId="77777777" w:rsidR="00975F26" w:rsidRPr="00ED0D6D" w:rsidRDefault="00975F26" w:rsidP="002A479B">
            <w:pPr>
              <w:jc w:val="center"/>
              <w:rPr>
                <w:color w:val="000000"/>
                <w:sz w:val="20"/>
              </w:rPr>
            </w:pPr>
            <w:r w:rsidRPr="00ED0D6D">
              <w:rPr>
                <w:color w:val="000000"/>
                <w:sz w:val="20"/>
              </w:rPr>
              <w:t>197</w:t>
            </w:r>
          </w:p>
        </w:tc>
        <w:tc>
          <w:tcPr>
            <w:tcW w:w="1080" w:type="dxa"/>
            <w:shd w:val="clear" w:color="000000" w:fill="FFFFFF"/>
            <w:vAlign w:val="center"/>
          </w:tcPr>
          <w:p w14:paraId="12951ED9" w14:textId="77777777" w:rsidR="00975F26" w:rsidRPr="00ED0D6D" w:rsidRDefault="00975F26" w:rsidP="002A479B">
            <w:pPr>
              <w:jc w:val="center"/>
              <w:rPr>
                <w:color w:val="000000"/>
                <w:sz w:val="20"/>
              </w:rPr>
            </w:pPr>
            <w:r w:rsidRPr="00ED0D6D">
              <w:rPr>
                <w:color w:val="000000"/>
                <w:sz w:val="20"/>
              </w:rPr>
              <w:t>20</w:t>
            </w:r>
          </w:p>
        </w:tc>
        <w:tc>
          <w:tcPr>
            <w:tcW w:w="956" w:type="dxa"/>
            <w:shd w:val="clear" w:color="auto" w:fill="auto"/>
            <w:vAlign w:val="center"/>
          </w:tcPr>
          <w:p w14:paraId="7DCD1311" w14:textId="77777777" w:rsidR="00975F26" w:rsidRPr="00ED0D6D" w:rsidRDefault="00975F26" w:rsidP="002A479B">
            <w:pPr>
              <w:jc w:val="center"/>
              <w:rPr>
                <w:color w:val="000000"/>
                <w:sz w:val="20"/>
              </w:rPr>
            </w:pPr>
            <w:r w:rsidRPr="00B96494">
              <w:rPr>
                <w:color w:val="000000"/>
                <w:sz w:val="20"/>
              </w:rPr>
              <w:t>–</w:t>
            </w:r>
          </w:p>
        </w:tc>
        <w:tc>
          <w:tcPr>
            <w:tcW w:w="983" w:type="dxa"/>
            <w:shd w:val="clear" w:color="000000" w:fill="FFFFFF"/>
            <w:vAlign w:val="center"/>
          </w:tcPr>
          <w:p w14:paraId="3F6161C5" w14:textId="77777777" w:rsidR="00975F26" w:rsidRPr="00ED0D6D" w:rsidRDefault="00975F26" w:rsidP="002A479B">
            <w:pPr>
              <w:jc w:val="center"/>
              <w:rPr>
                <w:color w:val="000000"/>
                <w:sz w:val="20"/>
              </w:rPr>
            </w:pPr>
            <w:r w:rsidRPr="00ED0D6D">
              <w:rPr>
                <w:color w:val="000000"/>
                <w:sz w:val="20"/>
              </w:rPr>
              <w:t>400</w:t>
            </w:r>
          </w:p>
        </w:tc>
        <w:tc>
          <w:tcPr>
            <w:tcW w:w="1250" w:type="dxa"/>
            <w:shd w:val="clear" w:color="auto" w:fill="auto"/>
            <w:vAlign w:val="center"/>
          </w:tcPr>
          <w:p w14:paraId="15F0A04E" w14:textId="77777777" w:rsidR="00975F26" w:rsidRPr="00ED0D6D" w:rsidRDefault="00975F26" w:rsidP="002A479B">
            <w:pPr>
              <w:jc w:val="center"/>
              <w:rPr>
                <w:color w:val="000000"/>
                <w:sz w:val="20"/>
              </w:rPr>
            </w:pPr>
            <w:r w:rsidRPr="00285E0F">
              <w:rPr>
                <w:color w:val="000000"/>
                <w:sz w:val="20"/>
              </w:rPr>
              <w:t>–</w:t>
            </w:r>
          </w:p>
        </w:tc>
        <w:tc>
          <w:tcPr>
            <w:tcW w:w="1250" w:type="dxa"/>
            <w:shd w:val="clear" w:color="auto" w:fill="auto"/>
            <w:vAlign w:val="center"/>
          </w:tcPr>
          <w:p w14:paraId="4B428CBA" w14:textId="77777777" w:rsidR="00975F26" w:rsidRPr="00ED0D6D" w:rsidRDefault="00975F26" w:rsidP="002A479B">
            <w:pPr>
              <w:jc w:val="center"/>
              <w:rPr>
                <w:color w:val="000000"/>
                <w:sz w:val="20"/>
              </w:rPr>
            </w:pPr>
            <w:r w:rsidRPr="00285E0F">
              <w:rPr>
                <w:color w:val="000000"/>
                <w:sz w:val="20"/>
              </w:rPr>
              <w:t>–</w:t>
            </w:r>
          </w:p>
        </w:tc>
        <w:tc>
          <w:tcPr>
            <w:tcW w:w="2491" w:type="dxa"/>
            <w:shd w:val="clear" w:color="auto" w:fill="auto"/>
            <w:vAlign w:val="center"/>
          </w:tcPr>
          <w:p w14:paraId="531DA4D8" w14:textId="77777777" w:rsidR="00975F26" w:rsidRPr="00ED0D6D" w:rsidRDefault="00975F26" w:rsidP="002A479B">
            <w:pPr>
              <w:jc w:val="center"/>
              <w:rPr>
                <w:color w:val="000000"/>
                <w:sz w:val="20"/>
              </w:rPr>
            </w:pPr>
            <w:r w:rsidRPr="00ED0D6D">
              <w:rPr>
                <w:color w:val="000000"/>
                <w:sz w:val="20"/>
              </w:rPr>
              <w:t>KM</w:t>
            </w:r>
          </w:p>
        </w:tc>
        <w:tc>
          <w:tcPr>
            <w:tcW w:w="1172" w:type="dxa"/>
            <w:shd w:val="clear" w:color="auto" w:fill="auto"/>
            <w:vAlign w:val="center"/>
          </w:tcPr>
          <w:p w14:paraId="3349D42D" w14:textId="77777777" w:rsidR="00975F26" w:rsidRPr="00ED0D6D" w:rsidRDefault="00975F26" w:rsidP="002A479B">
            <w:pPr>
              <w:jc w:val="center"/>
              <w:rPr>
                <w:color w:val="000000"/>
                <w:sz w:val="20"/>
              </w:rPr>
            </w:pPr>
            <w:r w:rsidRPr="00ED0D6D">
              <w:rPr>
                <w:color w:val="000000"/>
                <w:sz w:val="20"/>
              </w:rPr>
              <w:t>17LRVP</w:t>
            </w:r>
          </w:p>
        </w:tc>
      </w:tr>
    </w:tbl>
    <w:p w14:paraId="4B6EB86C" w14:textId="77777777" w:rsidR="00975F26" w:rsidRPr="00A6089B" w:rsidRDefault="00975F26" w:rsidP="00A6089B">
      <w:pPr>
        <w:spacing w:line="380" w:lineRule="atLeast"/>
        <w:jc w:val="both"/>
        <w:rPr>
          <w:bCs/>
          <w:sz w:val="20"/>
        </w:rPr>
      </w:pPr>
    </w:p>
    <w:p w14:paraId="022039F1" w14:textId="60E16793" w:rsidR="00975F26" w:rsidRPr="00ED0D6D" w:rsidRDefault="00975F26" w:rsidP="00A6089B">
      <w:pPr>
        <w:tabs>
          <w:tab w:val="left" w:pos="360"/>
        </w:tabs>
        <w:spacing w:line="380" w:lineRule="atLeast"/>
        <w:ind w:left="720"/>
        <w:jc w:val="both"/>
        <w:rPr>
          <w:b/>
          <w:szCs w:val="24"/>
        </w:rPr>
      </w:pPr>
      <w:r w:rsidRPr="00ED0D6D">
        <w:rPr>
          <w:b/>
          <w:szCs w:val="24"/>
        </w:rPr>
        <w:t>2.</w:t>
      </w:r>
      <w:r w:rsidR="00A6089B">
        <w:rPr>
          <w:b/>
          <w:szCs w:val="24"/>
        </w:rPr>
        <w:t>2.</w:t>
      </w:r>
      <w:r w:rsidRPr="00ED0D6D">
        <w:rPr>
          <w:b/>
          <w:szCs w:val="24"/>
        </w:rPr>
        <w:t>9. Socialinė apsauga ir užimtumas</w:t>
      </w:r>
    </w:p>
    <w:tbl>
      <w:tblP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678"/>
        <w:gridCol w:w="1080"/>
        <w:gridCol w:w="1272"/>
        <w:gridCol w:w="948"/>
        <w:gridCol w:w="983"/>
        <w:gridCol w:w="1250"/>
        <w:gridCol w:w="1250"/>
        <w:gridCol w:w="2316"/>
        <w:gridCol w:w="1172"/>
      </w:tblGrid>
      <w:tr w:rsidR="00975F26" w:rsidRPr="00ED0D6D" w14:paraId="5ECD3D4E" w14:textId="77777777" w:rsidTr="002A479B">
        <w:trPr>
          <w:trHeight w:val="458"/>
        </w:trPr>
        <w:tc>
          <w:tcPr>
            <w:tcW w:w="618" w:type="dxa"/>
            <w:shd w:val="clear" w:color="000000" w:fill="DEEAF6"/>
            <w:vAlign w:val="center"/>
            <w:hideMark/>
          </w:tcPr>
          <w:p w14:paraId="295B8F52" w14:textId="77777777" w:rsidR="00975F26" w:rsidRPr="00ED0D6D" w:rsidRDefault="00975F26" w:rsidP="002A479B">
            <w:pPr>
              <w:jc w:val="center"/>
              <w:rPr>
                <w:b/>
                <w:bCs/>
                <w:color w:val="000000"/>
                <w:sz w:val="20"/>
              </w:rPr>
            </w:pPr>
            <w:r w:rsidRPr="00ED0D6D">
              <w:rPr>
                <w:b/>
                <w:bCs/>
                <w:color w:val="000000"/>
                <w:sz w:val="20"/>
              </w:rPr>
              <w:t>Eil. Nr.</w:t>
            </w:r>
          </w:p>
        </w:tc>
        <w:tc>
          <w:tcPr>
            <w:tcW w:w="4678" w:type="dxa"/>
            <w:shd w:val="clear" w:color="000000" w:fill="DEEAF6"/>
            <w:vAlign w:val="center"/>
            <w:hideMark/>
          </w:tcPr>
          <w:p w14:paraId="3895FC2E" w14:textId="77777777" w:rsidR="00975F26" w:rsidRPr="00ED0D6D" w:rsidRDefault="00975F26" w:rsidP="002A479B">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6CF854D0" w14:textId="77777777" w:rsidR="00975F26" w:rsidRPr="00ED0D6D" w:rsidRDefault="00975F26" w:rsidP="002A479B">
            <w:pPr>
              <w:jc w:val="center"/>
              <w:rPr>
                <w:b/>
                <w:bCs/>
                <w:color w:val="000000"/>
                <w:sz w:val="20"/>
              </w:rPr>
            </w:pPr>
            <w:r w:rsidRPr="00ED0D6D">
              <w:rPr>
                <w:b/>
                <w:bCs/>
                <w:color w:val="000000"/>
                <w:sz w:val="20"/>
              </w:rPr>
              <w:t>Pasiekta 2019 m. reikšmė</w:t>
            </w:r>
          </w:p>
        </w:tc>
        <w:tc>
          <w:tcPr>
            <w:tcW w:w="1272" w:type="dxa"/>
            <w:shd w:val="clear" w:color="000000" w:fill="DEEAF6"/>
            <w:vAlign w:val="center"/>
            <w:hideMark/>
          </w:tcPr>
          <w:p w14:paraId="0DDAA32E" w14:textId="77777777" w:rsidR="00975F26" w:rsidRPr="00ED0D6D" w:rsidRDefault="00975F26" w:rsidP="002A479B">
            <w:pPr>
              <w:jc w:val="center"/>
              <w:rPr>
                <w:b/>
                <w:bCs/>
                <w:color w:val="000000"/>
                <w:sz w:val="20"/>
              </w:rPr>
            </w:pPr>
            <w:r w:rsidRPr="00ED0D6D">
              <w:rPr>
                <w:b/>
                <w:bCs/>
                <w:color w:val="000000"/>
                <w:sz w:val="20"/>
              </w:rPr>
              <w:t>Pasiekta 2020 m. reikšmė</w:t>
            </w:r>
          </w:p>
        </w:tc>
        <w:tc>
          <w:tcPr>
            <w:tcW w:w="948" w:type="dxa"/>
            <w:shd w:val="clear" w:color="000000" w:fill="DEEAF6"/>
            <w:vAlign w:val="center"/>
            <w:hideMark/>
          </w:tcPr>
          <w:p w14:paraId="17B2D9AE" w14:textId="77777777" w:rsidR="00975F26" w:rsidRPr="00ED0D6D" w:rsidRDefault="00975F26" w:rsidP="002A479B">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4355A401" w14:textId="77777777" w:rsidR="00975F26" w:rsidRPr="00ED0D6D" w:rsidRDefault="00975F26" w:rsidP="002A479B">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47819241" w14:textId="77777777" w:rsidR="00975F26" w:rsidRPr="00ED0D6D" w:rsidRDefault="00975F26" w:rsidP="002A479B">
            <w:pPr>
              <w:jc w:val="center"/>
              <w:rPr>
                <w:b/>
                <w:bCs/>
                <w:color w:val="000000"/>
                <w:sz w:val="20"/>
              </w:rPr>
            </w:pPr>
            <w:r w:rsidRPr="00ED0D6D">
              <w:rPr>
                <w:b/>
                <w:bCs/>
                <w:color w:val="000000"/>
                <w:sz w:val="20"/>
              </w:rPr>
              <w:t>Planuojama reikšmė 2024m. / 2025 m.</w:t>
            </w:r>
          </w:p>
        </w:tc>
        <w:tc>
          <w:tcPr>
            <w:tcW w:w="1250" w:type="dxa"/>
            <w:shd w:val="clear" w:color="FFFFFF" w:fill="DDEBF7"/>
            <w:vAlign w:val="center"/>
            <w:hideMark/>
          </w:tcPr>
          <w:p w14:paraId="50D4A3ED" w14:textId="77777777" w:rsidR="00975F26" w:rsidRPr="00ED0D6D" w:rsidRDefault="00975F26" w:rsidP="002A479B">
            <w:pPr>
              <w:jc w:val="center"/>
              <w:rPr>
                <w:b/>
                <w:bCs/>
                <w:color w:val="000000"/>
                <w:sz w:val="20"/>
              </w:rPr>
            </w:pPr>
            <w:r w:rsidRPr="00ED0D6D">
              <w:rPr>
                <w:b/>
                <w:bCs/>
                <w:color w:val="000000"/>
                <w:sz w:val="20"/>
              </w:rPr>
              <w:t>Planuojama reikšmė 2030 m.</w:t>
            </w:r>
          </w:p>
        </w:tc>
        <w:tc>
          <w:tcPr>
            <w:tcW w:w="2316" w:type="dxa"/>
            <w:shd w:val="clear" w:color="000000" w:fill="DEEAF6"/>
            <w:vAlign w:val="center"/>
            <w:hideMark/>
          </w:tcPr>
          <w:p w14:paraId="08A18C8C" w14:textId="77777777" w:rsidR="00975F26" w:rsidRPr="00ED0D6D" w:rsidRDefault="00975F26" w:rsidP="002A479B">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38999B58" w14:textId="77777777" w:rsidR="00975F26" w:rsidRPr="00ED0D6D" w:rsidRDefault="00975F26" w:rsidP="002A479B">
            <w:pPr>
              <w:jc w:val="center"/>
              <w:rPr>
                <w:b/>
                <w:bCs/>
                <w:color w:val="000000"/>
                <w:sz w:val="20"/>
              </w:rPr>
            </w:pPr>
            <w:r w:rsidRPr="00ED0D6D">
              <w:rPr>
                <w:b/>
                <w:bCs/>
                <w:color w:val="000000"/>
                <w:sz w:val="20"/>
              </w:rPr>
              <w:t>Kriterijaus požymis: VPS2030 NPP2020 NPP2030</w:t>
            </w:r>
          </w:p>
          <w:p w14:paraId="77E9598E" w14:textId="77777777" w:rsidR="00975F26" w:rsidRPr="00ED0D6D" w:rsidRDefault="00975F26" w:rsidP="002A479B">
            <w:pPr>
              <w:jc w:val="center"/>
              <w:rPr>
                <w:b/>
                <w:bCs/>
                <w:color w:val="000000"/>
                <w:sz w:val="20"/>
              </w:rPr>
            </w:pPr>
            <w:r w:rsidRPr="00ED0D6D">
              <w:rPr>
                <w:b/>
                <w:bCs/>
                <w:color w:val="000000"/>
                <w:sz w:val="20"/>
              </w:rPr>
              <w:t>17LRVP</w:t>
            </w:r>
          </w:p>
          <w:p w14:paraId="4E1D8D94"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500058CB" w14:textId="77777777" w:rsidTr="002A479B">
        <w:trPr>
          <w:trHeight w:val="440"/>
        </w:trPr>
        <w:tc>
          <w:tcPr>
            <w:tcW w:w="618" w:type="dxa"/>
            <w:shd w:val="clear" w:color="auto" w:fill="auto"/>
            <w:vAlign w:val="center"/>
            <w:hideMark/>
          </w:tcPr>
          <w:p w14:paraId="02B5D1A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14398263" w14:textId="77777777" w:rsidR="00975F26" w:rsidRPr="00ED0D6D" w:rsidRDefault="00975F26" w:rsidP="002A479B">
            <w:pPr>
              <w:jc w:val="both"/>
              <w:rPr>
                <w:color w:val="000000"/>
                <w:sz w:val="20"/>
              </w:rPr>
            </w:pPr>
            <w:r w:rsidRPr="00ED0D6D">
              <w:rPr>
                <w:color w:val="000000"/>
                <w:sz w:val="20"/>
              </w:rPr>
              <w:t>Skurdo rizikos lygis (proc.)</w:t>
            </w:r>
          </w:p>
        </w:tc>
        <w:tc>
          <w:tcPr>
            <w:tcW w:w="1080" w:type="dxa"/>
            <w:shd w:val="clear" w:color="auto" w:fill="auto"/>
            <w:noWrap/>
            <w:vAlign w:val="center"/>
          </w:tcPr>
          <w:p w14:paraId="7D4BCDB4" w14:textId="77777777" w:rsidR="00975F26" w:rsidRPr="00ED0D6D" w:rsidRDefault="00975F26" w:rsidP="002A479B">
            <w:pPr>
              <w:jc w:val="center"/>
              <w:rPr>
                <w:color w:val="000000"/>
                <w:sz w:val="20"/>
              </w:rPr>
            </w:pPr>
            <w:r w:rsidRPr="00ED0D6D">
              <w:rPr>
                <w:color w:val="000000"/>
                <w:sz w:val="20"/>
              </w:rPr>
              <w:t>20,6</w:t>
            </w:r>
          </w:p>
        </w:tc>
        <w:tc>
          <w:tcPr>
            <w:tcW w:w="1272" w:type="dxa"/>
            <w:shd w:val="clear" w:color="000000" w:fill="FFFFFF"/>
            <w:vAlign w:val="center"/>
          </w:tcPr>
          <w:p w14:paraId="601F7D02" w14:textId="77777777" w:rsidR="00975F26" w:rsidRPr="00ED0D6D" w:rsidRDefault="00975F26" w:rsidP="002A479B">
            <w:pPr>
              <w:jc w:val="center"/>
              <w:rPr>
                <w:color w:val="000000"/>
                <w:sz w:val="20"/>
              </w:rPr>
            </w:pPr>
            <w:r w:rsidRPr="00ED0D6D">
              <w:rPr>
                <w:color w:val="000000"/>
                <w:sz w:val="20"/>
              </w:rPr>
              <w:t>N.D.</w:t>
            </w:r>
          </w:p>
        </w:tc>
        <w:tc>
          <w:tcPr>
            <w:tcW w:w="948" w:type="dxa"/>
            <w:shd w:val="clear" w:color="auto" w:fill="auto"/>
            <w:vAlign w:val="center"/>
          </w:tcPr>
          <w:p w14:paraId="330B9111" w14:textId="77777777" w:rsidR="00975F26" w:rsidRPr="00ED0D6D" w:rsidRDefault="00975F26" w:rsidP="002A479B">
            <w:pPr>
              <w:jc w:val="center"/>
              <w:rPr>
                <w:color w:val="000000"/>
                <w:sz w:val="20"/>
              </w:rPr>
            </w:pPr>
            <w:r w:rsidRPr="00ED0D6D">
              <w:rPr>
                <w:color w:val="000000"/>
                <w:sz w:val="20"/>
              </w:rPr>
              <w:t>16,5 (2019)</w:t>
            </w:r>
          </w:p>
        </w:tc>
        <w:tc>
          <w:tcPr>
            <w:tcW w:w="983" w:type="dxa"/>
            <w:shd w:val="clear" w:color="auto" w:fill="auto"/>
            <w:vAlign w:val="center"/>
          </w:tcPr>
          <w:p w14:paraId="5DC8FCC2"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noWrap/>
            <w:vAlign w:val="center"/>
          </w:tcPr>
          <w:p w14:paraId="0295988A" w14:textId="77777777" w:rsidR="00975F26" w:rsidRPr="00ED0D6D" w:rsidRDefault="00975F26" w:rsidP="002A479B">
            <w:pPr>
              <w:jc w:val="center"/>
              <w:rPr>
                <w:color w:val="000000"/>
                <w:sz w:val="20"/>
              </w:rPr>
            </w:pPr>
            <w:r w:rsidRPr="00ED0D6D">
              <w:rPr>
                <w:color w:val="000000"/>
                <w:sz w:val="20"/>
              </w:rPr>
              <w:t>17</w:t>
            </w:r>
          </w:p>
        </w:tc>
        <w:tc>
          <w:tcPr>
            <w:tcW w:w="1250" w:type="dxa"/>
            <w:shd w:val="clear" w:color="auto" w:fill="auto"/>
            <w:vAlign w:val="center"/>
          </w:tcPr>
          <w:p w14:paraId="4009957D" w14:textId="77777777" w:rsidR="00975F26" w:rsidRPr="00ED0D6D" w:rsidRDefault="00975F26" w:rsidP="002A479B">
            <w:pPr>
              <w:jc w:val="center"/>
              <w:rPr>
                <w:color w:val="000000"/>
                <w:sz w:val="20"/>
              </w:rPr>
            </w:pPr>
            <w:r w:rsidRPr="00ED0D6D">
              <w:rPr>
                <w:color w:val="000000"/>
                <w:sz w:val="20"/>
              </w:rPr>
              <w:t>14</w:t>
            </w:r>
          </w:p>
        </w:tc>
        <w:tc>
          <w:tcPr>
            <w:tcW w:w="2316" w:type="dxa"/>
            <w:shd w:val="clear" w:color="auto" w:fill="auto"/>
          </w:tcPr>
          <w:p w14:paraId="4AB8AE75"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2A09AB60"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5C29302C" w14:textId="77777777" w:rsidTr="002A479B">
        <w:trPr>
          <w:trHeight w:val="440"/>
        </w:trPr>
        <w:tc>
          <w:tcPr>
            <w:tcW w:w="618" w:type="dxa"/>
            <w:shd w:val="clear" w:color="auto" w:fill="auto"/>
            <w:vAlign w:val="center"/>
          </w:tcPr>
          <w:p w14:paraId="385B3232"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bottom"/>
          </w:tcPr>
          <w:p w14:paraId="1DA188D3" w14:textId="77777777" w:rsidR="00975F26" w:rsidRPr="00ED0D6D" w:rsidRDefault="00975F26" w:rsidP="002A479B">
            <w:pPr>
              <w:jc w:val="both"/>
              <w:rPr>
                <w:color w:val="000000"/>
                <w:sz w:val="20"/>
              </w:rPr>
            </w:pPr>
            <w:r w:rsidRPr="00ED0D6D">
              <w:rPr>
                <w:color w:val="000000"/>
                <w:sz w:val="20"/>
              </w:rPr>
              <w:t>Moterų ir vyrų darbo užmokesčio atotrūkis (proc.)</w:t>
            </w:r>
          </w:p>
        </w:tc>
        <w:tc>
          <w:tcPr>
            <w:tcW w:w="1080" w:type="dxa"/>
            <w:shd w:val="clear" w:color="auto" w:fill="auto"/>
            <w:noWrap/>
            <w:vAlign w:val="center"/>
          </w:tcPr>
          <w:p w14:paraId="590AC644" w14:textId="77777777" w:rsidR="00975F26" w:rsidRPr="00ED0D6D" w:rsidRDefault="00975F26" w:rsidP="002A479B">
            <w:pPr>
              <w:jc w:val="center"/>
              <w:rPr>
                <w:color w:val="000000"/>
                <w:sz w:val="20"/>
              </w:rPr>
            </w:pPr>
            <w:r w:rsidRPr="00ED0D6D">
              <w:rPr>
                <w:color w:val="000000"/>
                <w:sz w:val="20"/>
              </w:rPr>
              <w:t>13,3</w:t>
            </w:r>
          </w:p>
        </w:tc>
        <w:tc>
          <w:tcPr>
            <w:tcW w:w="1272" w:type="dxa"/>
            <w:shd w:val="clear" w:color="000000" w:fill="FFFFFF"/>
            <w:vAlign w:val="center"/>
          </w:tcPr>
          <w:p w14:paraId="0D6500B6" w14:textId="77777777" w:rsidR="00975F26" w:rsidRPr="00ED0D6D" w:rsidRDefault="00975F26" w:rsidP="002A479B">
            <w:pPr>
              <w:jc w:val="center"/>
              <w:rPr>
                <w:color w:val="000000"/>
                <w:sz w:val="20"/>
              </w:rPr>
            </w:pPr>
            <w:r w:rsidRPr="00ED0D6D">
              <w:rPr>
                <w:color w:val="000000"/>
                <w:sz w:val="20"/>
              </w:rPr>
              <w:t>N.D.</w:t>
            </w:r>
          </w:p>
        </w:tc>
        <w:tc>
          <w:tcPr>
            <w:tcW w:w="948" w:type="dxa"/>
            <w:shd w:val="clear" w:color="auto" w:fill="auto"/>
            <w:vAlign w:val="center"/>
          </w:tcPr>
          <w:p w14:paraId="76D91012" w14:textId="77777777" w:rsidR="00975F26" w:rsidRPr="00ED0D6D" w:rsidRDefault="00975F26" w:rsidP="002A479B">
            <w:pPr>
              <w:jc w:val="center"/>
              <w:rPr>
                <w:color w:val="000000"/>
                <w:sz w:val="20"/>
              </w:rPr>
            </w:pPr>
            <w:r w:rsidRPr="00ED0D6D">
              <w:rPr>
                <w:color w:val="000000"/>
                <w:sz w:val="20"/>
              </w:rPr>
              <w:t>14,1 (2019)</w:t>
            </w:r>
          </w:p>
        </w:tc>
        <w:tc>
          <w:tcPr>
            <w:tcW w:w="983" w:type="dxa"/>
            <w:shd w:val="clear" w:color="auto" w:fill="auto"/>
            <w:vAlign w:val="center"/>
          </w:tcPr>
          <w:p w14:paraId="004A6719"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noWrap/>
            <w:vAlign w:val="center"/>
          </w:tcPr>
          <w:p w14:paraId="4161D491" w14:textId="77777777" w:rsidR="00975F26" w:rsidRPr="00ED0D6D" w:rsidRDefault="00975F26" w:rsidP="002A479B">
            <w:pPr>
              <w:jc w:val="center"/>
              <w:rPr>
                <w:color w:val="000000"/>
                <w:sz w:val="20"/>
              </w:rPr>
            </w:pPr>
            <w:r w:rsidRPr="00ED0D6D">
              <w:rPr>
                <w:color w:val="000000"/>
                <w:sz w:val="20"/>
              </w:rPr>
              <w:t>10</w:t>
            </w:r>
          </w:p>
        </w:tc>
        <w:tc>
          <w:tcPr>
            <w:tcW w:w="1250" w:type="dxa"/>
            <w:shd w:val="clear" w:color="auto" w:fill="auto"/>
            <w:vAlign w:val="center"/>
          </w:tcPr>
          <w:p w14:paraId="61249824" w14:textId="77777777" w:rsidR="00975F26" w:rsidRPr="00ED0D6D" w:rsidRDefault="00975F26" w:rsidP="002A479B">
            <w:pPr>
              <w:jc w:val="center"/>
              <w:rPr>
                <w:color w:val="000000"/>
                <w:sz w:val="20"/>
              </w:rPr>
            </w:pPr>
            <w:r w:rsidRPr="00ED0D6D">
              <w:rPr>
                <w:color w:val="000000"/>
                <w:sz w:val="20"/>
              </w:rPr>
              <w:t>7</w:t>
            </w:r>
          </w:p>
        </w:tc>
        <w:tc>
          <w:tcPr>
            <w:tcW w:w="2316" w:type="dxa"/>
            <w:shd w:val="clear" w:color="auto" w:fill="auto"/>
          </w:tcPr>
          <w:p w14:paraId="53ED80A8"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596D963B" w14:textId="77777777" w:rsidR="00975F26" w:rsidRPr="00ED0D6D" w:rsidRDefault="00975F26" w:rsidP="002A479B">
            <w:pPr>
              <w:jc w:val="center"/>
              <w:rPr>
                <w:b/>
                <w:bCs/>
                <w:i/>
                <w:iCs/>
                <w:color w:val="000000"/>
                <w:sz w:val="20"/>
              </w:rPr>
            </w:pPr>
            <w:r w:rsidRPr="00ED0D6D">
              <w:rPr>
                <w:b/>
                <w:bCs/>
                <w:color w:val="000000"/>
                <w:sz w:val="20"/>
              </w:rPr>
              <w:t>18LRVP</w:t>
            </w:r>
          </w:p>
        </w:tc>
      </w:tr>
      <w:tr w:rsidR="00975F26" w:rsidRPr="00ED0D6D" w14:paraId="5851B42A" w14:textId="77777777" w:rsidTr="002A479B">
        <w:trPr>
          <w:trHeight w:val="440"/>
        </w:trPr>
        <w:tc>
          <w:tcPr>
            <w:tcW w:w="618" w:type="dxa"/>
            <w:shd w:val="clear" w:color="auto" w:fill="auto"/>
            <w:vAlign w:val="center"/>
          </w:tcPr>
          <w:p w14:paraId="3329E08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68984F85" w14:textId="77777777" w:rsidR="00975F26" w:rsidRPr="00ED0D6D" w:rsidRDefault="00975F26" w:rsidP="002A479B">
            <w:pPr>
              <w:jc w:val="both"/>
              <w:rPr>
                <w:color w:val="000000"/>
                <w:sz w:val="20"/>
              </w:rPr>
            </w:pPr>
            <w:r w:rsidRPr="00ED0D6D">
              <w:rPr>
                <w:color w:val="000000"/>
                <w:sz w:val="20"/>
              </w:rPr>
              <w:t xml:space="preserve">Gyventojų (15–64 metų) užimtumo lygis (Gyventojų užimtumo tyrimo duomenimis) (proc.) </w:t>
            </w:r>
          </w:p>
        </w:tc>
        <w:tc>
          <w:tcPr>
            <w:tcW w:w="1080" w:type="dxa"/>
            <w:shd w:val="clear" w:color="auto" w:fill="auto"/>
            <w:noWrap/>
            <w:vAlign w:val="center"/>
          </w:tcPr>
          <w:p w14:paraId="362F9A67" w14:textId="77777777" w:rsidR="00975F26" w:rsidRPr="00ED0D6D" w:rsidRDefault="00975F26" w:rsidP="002A479B">
            <w:pPr>
              <w:jc w:val="center"/>
              <w:rPr>
                <w:color w:val="000000"/>
                <w:sz w:val="20"/>
              </w:rPr>
            </w:pPr>
            <w:r w:rsidRPr="00ED0D6D">
              <w:rPr>
                <w:color w:val="000000"/>
                <w:sz w:val="20"/>
              </w:rPr>
              <w:t>73</w:t>
            </w:r>
          </w:p>
        </w:tc>
        <w:tc>
          <w:tcPr>
            <w:tcW w:w="1272" w:type="dxa"/>
            <w:shd w:val="clear" w:color="000000" w:fill="FFFFFF"/>
            <w:vAlign w:val="center"/>
          </w:tcPr>
          <w:p w14:paraId="5B432946" w14:textId="77777777" w:rsidR="00975F26" w:rsidRPr="00ED0D6D" w:rsidRDefault="00975F26" w:rsidP="002A479B">
            <w:pPr>
              <w:jc w:val="center"/>
              <w:rPr>
                <w:color w:val="000000"/>
                <w:sz w:val="20"/>
              </w:rPr>
            </w:pPr>
            <w:r w:rsidRPr="00ED0D6D">
              <w:rPr>
                <w:color w:val="000000"/>
                <w:sz w:val="20"/>
              </w:rPr>
              <w:t>71,6</w:t>
            </w:r>
          </w:p>
        </w:tc>
        <w:tc>
          <w:tcPr>
            <w:tcW w:w="948" w:type="dxa"/>
            <w:shd w:val="clear" w:color="auto" w:fill="auto"/>
            <w:vAlign w:val="center"/>
          </w:tcPr>
          <w:p w14:paraId="3A9343B0" w14:textId="77777777" w:rsidR="00975F26" w:rsidRPr="00ED0D6D" w:rsidRDefault="00975F26" w:rsidP="002A479B">
            <w:pPr>
              <w:jc w:val="center"/>
              <w:rPr>
                <w:color w:val="000000"/>
                <w:sz w:val="20"/>
              </w:rPr>
            </w:pPr>
            <w:r w:rsidRPr="00ED0D6D">
              <w:rPr>
                <w:color w:val="000000"/>
                <w:sz w:val="20"/>
              </w:rPr>
              <w:t>68,5 (2019)</w:t>
            </w:r>
          </w:p>
        </w:tc>
        <w:tc>
          <w:tcPr>
            <w:tcW w:w="983" w:type="dxa"/>
            <w:shd w:val="clear" w:color="auto" w:fill="auto"/>
            <w:vAlign w:val="center"/>
          </w:tcPr>
          <w:p w14:paraId="3E9887EF" w14:textId="77777777" w:rsidR="00975F26" w:rsidRPr="00ED0D6D" w:rsidRDefault="00975F26" w:rsidP="002A479B">
            <w:pPr>
              <w:jc w:val="center"/>
              <w:rPr>
                <w:color w:val="000000"/>
                <w:sz w:val="20"/>
              </w:rPr>
            </w:pPr>
            <w:r w:rsidRPr="00ED0D6D">
              <w:rPr>
                <w:color w:val="000000"/>
                <w:sz w:val="20"/>
              </w:rPr>
              <w:t>72</w:t>
            </w:r>
          </w:p>
        </w:tc>
        <w:tc>
          <w:tcPr>
            <w:tcW w:w="1250" w:type="dxa"/>
            <w:shd w:val="clear" w:color="auto" w:fill="auto"/>
            <w:noWrap/>
            <w:vAlign w:val="center"/>
          </w:tcPr>
          <w:p w14:paraId="7CA3C339" w14:textId="77777777" w:rsidR="00975F26" w:rsidRPr="00ED0D6D" w:rsidRDefault="00975F26" w:rsidP="002A479B">
            <w:pPr>
              <w:jc w:val="center"/>
              <w:rPr>
                <w:color w:val="000000"/>
                <w:sz w:val="20"/>
              </w:rPr>
            </w:pPr>
            <w:r w:rsidRPr="00ED0D6D">
              <w:rPr>
                <w:color w:val="000000"/>
                <w:sz w:val="20"/>
              </w:rPr>
              <w:t>72,5</w:t>
            </w:r>
          </w:p>
        </w:tc>
        <w:tc>
          <w:tcPr>
            <w:tcW w:w="1250" w:type="dxa"/>
            <w:shd w:val="clear" w:color="auto" w:fill="auto"/>
            <w:vAlign w:val="center"/>
          </w:tcPr>
          <w:p w14:paraId="31855506" w14:textId="77777777" w:rsidR="00975F26" w:rsidRPr="00ED0D6D" w:rsidRDefault="00975F26" w:rsidP="002A479B">
            <w:pPr>
              <w:jc w:val="center"/>
              <w:rPr>
                <w:color w:val="000000"/>
                <w:sz w:val="20"/>
              </w:rPr>
            </w:pPr>
            <w:r w:rsidRPr="00ED0D6D">
              <w:rPr>
                <w:color w:val="000000"/>
                <w:sz w:val="20"/>
              </w:rPr>
              <w:t>75</w:t>
            </w:r>
          </w:p>
        </w:tc>
        <w:tc>
          <w:tcPr>
            <w:tcW w:w="2316" w:type="dxa"/>
            <w:shd w:val="clear" w:color="auto" w:fill="auto"/>
          </w:tcPr>
          <w:p w14:paraId="631B8FA2"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33622C7E" w14:textId="77777777" w:rsidR="00975F26" w:rsidRPr="00ED0D6D" w:rsidRDefault="00975F26" w:rsidP="002A479B">
            <w:pPr>
              <w:jc w:val="center"/>
              <w:rPr>
                <w:color w:val="000000"/>
                <w:sz w:val="20"/>
              </w:rPr>
            </w:pPr>
            <w:r w:rsidRPr="00ED0D6D">
              <w:rPr>
                <w:b/>
                <w:bCs/>
                <w:color w:val="000000"/>
                <w:sz w:val="20"/>
              </w:rPr>
              <w:t>18 LRVP</w:t>
            </w:r>
            <w:r w:rsidRPr="00ED0D6D">
              <w:rPr>
                <w:color w:val="000000"/>
                <w:sz w:val="20"/>
              </w:rPr>
              <w:t xml:space="preserve"> 17LRVP NPP2020 </w:t>
            </w:r>
          </w:p>
        </w:tc>
      </w:tr>
      <w:tr w:rsidR="00975F26" w:rsidRPr="00ED0D6D" w14:paraId="146D53BA" w14:textId="77777777" w:rsidTr="002A479B">
        <w:trPr>
          <w:trHeight w:val="440"/>
        </w:trPr>
        <w:tc>
          <w:tcPr>
            <w:tcW w:w="618" w:type="dxa"/>
            <w:shd w:val="clear" w:color="auto" w:fill="auto"/>
            <w:vAlign w:val="center"/>
          </w:tcPr>
          <w:p w14:paraId="517999A8"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4108992C" w14:textId="77777777" w:rsidR="00975F26" w:rsidRPr="00ED0D6D" w:rsidRDefault="00975F26" w:rsidP="002A479B">
            <w:pPr>
              <w:jc w:val="both"/>
              <w:rPr>
                <w:color w:val="000000"/>
                <w:sz w:val="20"/>
              </w:rPr>
            </w:pPr>
            <w:r w:rsidRPr="00ED0D6D">
              <w:rPr>
                <w:color w:val="000000"/>
                <w:sz w:val="20"/>
              </w:rPr>
              <w:t>Vienišų pensinio amžiaus asmenų papildomos pensijos dalis, palyginti su vidutine senatvės pensija (proc.)</w:t>
            </w:r>
          </w:p>
        </w:tc>
        <w:tc>
          <w:tcPr>
            <w:tcW w:w="1080" w:type="dxa"/>
            <w:shd w:val="clear" w:color="auto" w:fill="auto"/>
            <w:noWrap/>
            <w:vAlign w:val="center"/>
          </w:tcPr>
          <w:p w14:paraId="01E91058" w14:textId="77777777" w:rsidR="00975F26" w:rsidRPr="00ED0D6D" w:rsidRDefault="00975F26" w:rsidP="002A479B">
            <w:pPr>
              <w:jc w:val="center"/>
              <w:rPr>
                <w:color w:val="000000"/>
                <w:sz w:val="20"/>
              </w:rPr>
            </w:pPr>
            <w:r w:rsidRPr="00ED0D6D">
              <w:rPr>
                <w:color w:val="000000"/>
                <w:sz w:val="20"/>
              </w:rPr>
              <w:t>-</w:t>
            </w:r>
          </w:p>
        </w:tc>
        <w:tc>
          <w:tcPr>
            <w:tcW w:w="1272" w:type="dxa"/>
            <w:shd w:val="clear" w:color="000000" w:fill="FFFFFF"/>
            <w:vAlign w:val="center"/>
          </w:tcPr>
          <w:p w14:paraId="6524ADE6" w14:textId="77777777" w:rsidR="00975F26" w:rsidRPr="00ED0D6D" w:rsidRDefault="00975F26" w:rsidP="002A479B">
            <w:pPr>
              <w:jc w:val="center"/>
              <w:rPr>
                <w:color w:val="000000"/>
                <w:sz w:val="20"/>
              </w:rPr>
            </w:pPr>
            <w:r w:rsidRPr="00ED0D6D">
              <w:rPr>
                <w:color w:val="000000"/>
                <w:sz w:val="20"/>
              </w:rPr>
              <w:t>-</w:t>
            </w:r>
          </w:p>
        </w:tc>
        <w:tc>
          <w:tcPr>
            <w:tcW w:w="948" w:type="dxa"/>
            <w:shd w:val="clear" w:color="auto" w:fill="auto"/>
            <w:vAlign w:val="center"/>
          </w:tcPr>
          <w:p w14:paraId="4B3037A8" w14:textId="77777777" w:rsidR="00975F26" w:rsidRPr="00ED0D6D" w:rsidRDefault="00975F26" w:rsidP="002A479B">
            <w:pPr>
              <w:jc w:val="center"/>
              <w:rPr>
                <w:color w:val="000000"/>
                <w:sz w:val="20"/>
              </w:rPr>
            </w:pPr>
            <w:r w:rsidRPr="00ED0D6D">
              <w:rPr>
                <w:color w:val="000000"/>
                <w:sz w:val="20"/>
              </w:rPr>
              <w:t>-</w:t>
            </w:r>
          </w:p>
        </w:tc>
        <w:tc>
          <w:tcPr>
            <w:tcW w:w="983" w:type="dxa"/>
            <w:shd w:val="clear" w:color="auto" w:fill="auto"/>
            <w:vAlign w:val="center"/>
          </w:tcPr>
          <w:p w14:paraId="13D4167B"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noWrap/>
            <w:vAlign w:val="center"/>
          </w:tcPr>
          <w:p w14:paraId="4A6F161E" w14:textId="77777777" w:rsidR="00975F26" w:rsidRPr="00ED0D6D" w:rsidRDefault="00975F26" w:rsidP="002A479B">
            <w:pPr>
              <w:jc w:val="center"/>
              <w:rPr>
                <w:color w:val="000000"/>
                <w:sz w:val="20"/>
              </w:rPr>
            </w:pPr>
            <w:r w:rsidRPr="00ED0D6D">
              <w:rPr>
                <w:color w:val="000000"/>
                <w:sz w:val="20"/>
              </w:rPr>
              <w:t>11</w:t>
            </w:r>
          </w:p>
        </w:tc>
        <w:tc>
          <w:tcPr>
            <w:tcW w:w="1250" w:type="dxa"/>
            <w:shd w:val="clear" w:color="auto" w:fill="auto"/>
            <w:vAlign w:val="center"/>
          </w:tcPr>
          <w:p w14:paraId="22B067E6"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648EA4B7" w14:textId="77777777" w:rsidR="00975F26" w:rsidRPr="00ED0D6D" w:rsidRDefault="00975F26" w:rsidP="002A479B">
            <w:pPr>
              <w:jc w:val="center"/>
              <w:rPr>
                <w:color w:val="000000"/>
                <w:sz w:val="20"/>
              </w:rPr>
            </w:pPr>
            <w:r w:rsidRPr="00ED0D6D">
              <w:rPr>
                <w:color w:val="000000"/>
                <w:sz w:val="20"/>
              </w:rPr>
              <w:t>Socialinės apsaugos ir darbo ministerija (SADM)</w:t>
            </w:r>
          </w:p>
        </w:tc>
        <w:tc>
          <w:tcPr>
            <w:tcW w:w="1172" w:type="dxa"/>
            <w:shd w:val="clear" w:color="auto" w:fill="auto"/>
            <w:vAlign w:val="center"/>
          </w:tcPr>
          <w:p w14:paraId="4F51E93B" w14:textId="77777777" w:rsidR="00975F26" w:rsidRPr="00ED0D6D" w:rsidRDefault="00975F26" w:rsidP="002A479B">
            <w:pPr>
              <w:jc w:val="center"/>
              <w:rPr>
                <w:b/>
                <w:bCs/>
                <w:color w:val="000000"/>
                <w:sz w:val="20"/>
              </w:rPr>
            </w:pPr>
            <w:r w:rsidRPr="00ED0D6D">
              <w:rPr>
                <w:b/>
                <w:bCs/>
                <w:color w:val="000000"/>
                <w:sz w:val="20"/>
              </w:rPr>
              <w:t>18LRVP</w:t>
            </w:r>
          </w:p>
        </w:tc>
      </w:tr>
      <w:tr w:rsidR="00975F26" w:rsidRPr="00ED0D6D" w14:paraId="4689D0AE" w14:textId="77777777" w:rsidTr="002A479B">
        <w:trPr>
          <w:trHeight w:val="440"/>
        </w:trPr>
        <w:tc>
          <w:tcPr>
            <w:tcW w:w="618" w:type="dxa"/>
            <w:shd w:val="clear" w:color="auto" w:fill="auto"/>
            <w:vAlign w:val="center"/>
          </w:tcPr>
          <w:p w14:paraId="4131D180"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2F3EE78E" w14:textId="77777777" w:rsidR="00975F26" w:rsidRPr="00ED0D6D" w:rsidRDefault="00975F26" w:rsidP="002A479B">
            <w:pPr>
              <w:jc w:val="both"/>
              <w:rPr>
                <w:color w:val="000000"/>
                <w:sz w:val="20"/>
              </w:rPr>
            </w:pPr>
            <w:r w:rsidRPr="00ED0D6D">
              <w:rPr>
                <w:color w:val="000000"/>
                <w:sz w:val="20"/>
              </w:rPr>
              <w:t>Neįgaliųjų, pasinaudojusių socialinės integracijos priemonėmis, skirtomis jų socialinei atskirčiai mažinti, dalis iš visų neįgaliųjų (proc.)</w:t>
            </w:r>
          </w:p>
        </w:tc>
        <w:tc>
          <w:tcPr>
            <w:tcW w:w="1080" w:type="dxa"/>
            <w:shd w:val="clear" w:color="auto" w:fill="auto"/>
            <w:noWrap/>
            <w:vAlign w:val="center"/>
          </w:tcPr>
          <w:p w14:paraId="1B45F413" w14:textId="77777777" w:rsidR="00975F26" w:rsidRPr="00ED0D6D" w:rsidRDefault="00975F26" w:rsidP="002A479B">
            <w:pPr>
              <w:jc w:val="center"/>
              <w:rPr>
                <w:color w:val="000000"/>
                <w:sz w:val="20"/>
              </w:rPr>
            </w:pPr>
            <w:r w:rsidRPr="00ED0D6D">
              <w:rPr>
                <w:color w:val="000000"/>
                <w:sz w:val="20"/>
              </w:rPr>
              <w:t>34</w:t>
            </w:r>
          </w:p>
        </w:tc>
        <w:tc>
          <w:tcPr>
            <w:tcW w:w="1272" w:type="dxa"/>
            <w:shd w:val="clear" w:color="000000" w:fill="FFFFFF"/>
            <w:vAlign w:val="center"/>
          </w:tcPr>
          <w:p w14:paraId="65B14D4C" w14:textId="77777777" w:rsidR="00975F26" w:rsidRPr="00ED0D6D" w:rsidRDefault="00975F26" w:rsidP="002A479B">
            <w:pPr>
              <w:jc w:val="center"/>
              <w:rPr>
                <w:color w:val="000000"/>
                <w:sz w:val="20"/>
              </w:rPr>
            </w:pPr>
            <w:r w:rsidRPr="00ED0D6D">
              <w:rPr>
                <w:color w:val="000000"/>
                <w:sz w:val="20"/>
              </w:rPr>
              <w:t>33</w:t>
            </w:r>
          </w:p>
        </w:tc>
        <w:tc>
          <w:tcPr>
            <w:tcW w:w="948" w:type="dxa"/>
            <w:shd w:val="clear" w:color="auto" w:fill="auto"/>
            <w:vAlign w:val="center"/>
          </w:tcPr>
          <w:p w14:paraId="5DEF58FD" w14:textId="77777777" w:rsidR="00975F26" w:rsidRPr="00ED0D6D" w:rsidRDefault="00975F26" w:rsidP="002A479B">
            <w:pPr>
              <w:jc w:val="center"/>
              <w:rPr>
                <w:color w:val="000000"/>
                <w:sz w:val="20"/>
              </w:rPr>
            </w:pPr>
            <w:r w:rsidRPr="00ED0D6D">
              <w:rPr>
                <w:color w:val="000000"/>
                <w:sz w:val="20"/>
              </w:rPr>
              <w:t>-</w:t>
            </w:r>
          </w:p>
        </w:tc>
        <w:tc>
          <w:tcPr>
            <w:tcW w:w="983" w:type="dxa"/>
            <w:shd w:val="clear" w:color="auto" w:fill="auto"/>
            <w:vAlign w:val="center"/>
          </w:tcPr>
          <w:p w14:paraId="4235CFD5" w14:textId="77777777" w:rsidR="00975F26" w:rsidRPr="00ED0D6D" w:rsidRDefault="00975F26" w:rsidP="002A479B">
            <w:pPr>
              <w:jc w:val="center"/>
              <w:rPr>
                <w:color w:val="000000"/>
                <w:sz w:val="20"/>
              </w:rPr>
            </w:pPr>
            <w:r w:rsidRPr="00ED0D6D">
              <w:rPr>
                <w:color w:val="000000"/>
                <w:sz w:val="20"/>
              </w:rPr>
              <w:t>33</w:t>
            </w:r>
          </w:p>
        </w:tc>
        <w:tc>
          <w:tcPr>
            <w:tcW w:w="1250" w:type="dxa"/>
            <w:shd w:val="clear" w:color="auto" w:fill="auto"/>
            <w:noWrap/>
            <w:vAlign w:val="center"/>
          </w:tcPr>
          <w:p w14:paraId="2572E3C4" w14:textId="77777777" w:rsidR="00975F26" w:rsidRPr="00ED0D6D" w:rsidRDefault="00975F26" w:rsidP="002A479B">
            <w:pPr>
              <w:jc w:val="center"/>
              <w:rPr>
                <w:color w:val="000000"/>
                <w:sz w:val="20"/>
              </w:rPr>
            </w:pPr>
            <w:r w:rsidRPr="00ED0D6D">
              <w:rPr>
                <w:color w:val="000000"/>
                <w:sz w:val="20"/>
              </w:rPr>
              <w:t>37 (2024 m.)</w:t>
            </w:r>
          </w:p>
        </w:tc>
        <w:tc>
          <w:tcPr>
            <w:tcW w:w="1250" w:type="dxa"/>
            <w:shd w:val="clear" w:color="auto" w:fill="auto"/>
            <w:vAlign w:val="center"/>
          </w:tcPr>
          <w:p w14:paraId="43989152" w14:textId="77777777" w:rsidR="00975F26" w:rsidRPr="00ED0D6D" w:rsidRDefault="00975F26" w:rsidP="002A479B">
            <w:pPr>
              <w:jc w:val="center"/>
              <w:rPr>
                <w:color w:val="000000"/>
                <w:sz w:val="20"/>
              </w:rPr>
            </w:pPr>
            <w:r w:rsidRPr="00ED0D6D">
              <w:rPr>
                <w:color w:val="000000"/>
                <w:sz w:val="20"/>
              </w:rPr>
              <w:t>42</w:t>
            </w:r>
          </w:p>
        </w:tc>
        <w:tc>
          <w:tcPr>
            <w:tcW w:w="2316" w:type="dxa"/>
            <w:shd w:val="clear" w:color="auto" w:fill="auto"/>
          </w:tcPr>
          <w:p w14:paraId="4F0BDCB1" w14:textId="77777777" w:rsidR="00975F26" w:rsidRPr="00ED0D6D" w:rsidRDefault="00975F26" w:rsidP="002A479B">
            <w:pPr>
              <w:jc w:val="center"/>
              <w:rPr>
                <w:color w:val="000000"/>
                <w:sz w:val="20"/>
              </w:rPr>
            </w:pPr>
            <w:r w:rsidRPr="00ED0D6D">
              <w:rPr>
                <w:color w:val="000000"/>
                <w:sz w:val="20"/>
              </w:rPr>
              <w:t>Neįgaliųjų reikalų departamentas prie SADM ar SADM</w:t>
            </w:r>
          </w:p>
        </w:tc>
        <w:tc>
          <w:tcPr>
            <w:tcW w:w="1172" w:type="dxa"/>
            <w:shd w:val="clear" w:color="auto" w:fill="auto"/>
            <w:vAlign w:val="center"/>
          </w:tcPr>
          <w:p w14:paraId="151E4D57" w14:textId="77777777" w:rsidR="00975F26" w:rsidRPr="00ED0D6D" w:rsidRDefault="00975F26" w:rsidP="002A479B">
            <w:pPr>
              <w:jc w:val="center"/>
              <w:rPr>
                <w:color w:val="000000"/>
                <w:sz w:val="20"/>
              </w:rPr>
            </w:pPr>
            <w:r w:rsidRPr="00ED0D6D">
              <w:rPr>
                <w:b/>
                <w:bCs/>
                <w:color w:val="000000"/>
                <w:sz w:val="20"/>
              </w:rPr>
              <w:t>18LRVP</w:t>
            </w:r>
          </w:p>
        </w:tc>
      </w:tr>
      <w:tr w:rsidR="00975F26" w:rsidRPr="00ED0D6D" w14:paraId="761B216A" w14:textId="77777777" w:rsidTr="002A479B">
        <w:trPr>
          <w:trHeight w:val="440"/>
        </w:trPr>
        <w:tc>
          <w:tcPr>
            <w:tcW w:w="618" w:type="dxa"/>
            <w:shd w:val="clear" w:color="auto" w:fill="auto"/>
            <w:vAlign w:val="center"/>
          </w:tcPr>
          <w:p w14:paraId="3017876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11B1DB8D" w14:textId="77777777" w:rsidR="00975F26" w:rsidRPr="00ED0D6D" w:rsidRDefault="00975F26" w:rsidP="002A479B">
            <w:pPr>
              <w:jc w:val="both"/>
              <w:rPr>
                <w:color w:val="000000"/>
                <w:sz w:val="20"/>
              </w:rPr>
            </w:pPr>
            <w:r w:rsidRPr="00ED0D6D">
              <w:rPr>
                <w:color w:val="000000"/>
                <w:sz w:val="20"/>
              </w:rPr>
              <w:t>Absoliutaus skurdo lygis (proc.)</w:t>
            </w:r>
          </w:p>
        </w:tc>
        <w:tc>
          <w:tcPr>
            <w:tcW w:w="1080" w:type="dxa"/>
            <w:shd w:val="clear" w:color="auto" w:fill="auto"/>
            <w:noWrap/>
            <w:vAlign w:val="center"/>
          </w:tcPr>
          <w:p w14:paraId="6F4069FD" w14:textId="77777777" w:rsidR="00975F26" w:rsidRPr="00ED0D6D" w:rsidRDefault="00975F26" w:rsidP="002A479B">
            <w:pPr>
              <w:jc w:val="center"/>
              <w:rPr>
                <w:color w:val="000000"/>
                <w:sz w:val="20"/>
              </w:rPr>
            </w:pPr>
            <w:r w:rsidRPr="00ED0D6D">
              <w:rPr>
                <w:color w:val="000000"/>
                <w:sz w:val="20"/>
              </w:rPr>
              <w:t>7,7</w:t>
            </w:r>
          </w:p>
        </w:tc>
        <w:tc>
          <w:tcPr>
            <w:tcW w:w="1272" w:type="dxa"/>
            <w:shd w:val="clear" w:color="000000" w:fill="FFFFFF"/>
            <w:vAlign w:val="center"/>
          </w:tcPr>
          <w:p w14:paraId="152F10D7" w14:textId="77777777" w:rsidR="00975F26" w:rsidRPr="00ED0D6D" w:rsidRDefault="00975F26" w:rsidP="002A479B">
            <w:pPr>
              <w:jc w:val="center"/>
              <w:rPr>
                <w:b/>
                <w:bCs/>
                <w:color w:val="000000"/>
                <w:sz w:val="20"/>
              </w:rPr>
            </w:pPr>
            <w:r w:rsidRPr="00ED0D6D">
              <w:rPr>
                <w:color w:val="000000"/>
                <w:sz w:val="20"/>
              </w:rPr>
              <w:t>N.D.</w:t>
            </w:r>
          </w:p>
        </w:tc>
        <w:tc>
          <w:tcPr>
            <w:tcW w:w="948" w:type="dxa"/>
            <w:shd w:val="clear" w:color="auto" w:fill="auto"/>
            <w:vAlign w:val="center"/>
          </w:tcPr>
          <w:p w14:paraId="49A5BA62" w14:textId="77777777" w:rsidR="00975F26" w:rsidRPr="00ED0D6D" w:rsidRDefault="00975F26" w:rsidP="002A479B">
            <w:pPr>
              <w:jc w:val="center"/>
              <w:rPr>
                <w:b/>
                <w:bCs/>
                <w:color w:val="000000"/>
                <w:sz w:val="20"/>
              </w:rPr>
            </w:pPr>
            <w:r w:rsidRPr="00ED0D6D">
              <w:rPr>
                <w:color w:val="000000"/>
                <w:sz w:val="20"/>
              </w:rPr>
              <w:t>-</w:t>
            </w:r>
          </w:p>
        </w:tc>
        <w:tc>
          <w:tcPr>
            <w:tcW w:w="983" w:type="dxa"/>
            <w:shd w:val="clear" w:color="auto" w:fill="auto"/>
            <w:vAlign w:val="center"/>
          </w:tcPr>
          <w:p w14:paraId="75EC16DE" w14:textId="77777777" w:rsidR="00975F26" w:rsidRPr="00ED0D6D" w:rsidRDefault="00975F26" w:rsidP="002A479B">
            <w:pPr>
              <w:jc w:val="center"/>
              <w:rPr>
                <w:b/>
                <w:bCs/>
                <w:color w:val="000000"/>
                <w:sz w:val="20"/>
              </w:rPr>
            </w:pPr>
            <w:r w:rsidRPr="00ED0D6D">
              <w:rPr>
                <w:b/>
                <w:bCs/>
                <w:color w:val="000000"/>
                <w:sz w:val="20"/>
              </w:rPr>
              <w:t>-</w:t>
            </w:r>
          </w:p>
        </w:tc>
        <w:tc>
          <w:tcPr>
            <w:tcW w:w="1250" w:type="dxa"/>
            <w:shd w:val="clear" w:color="auto" w:fill="auto"/>
            <w:noWrap/>
            <w:vAlign w:val="center"/>
          </w:tcPr>
          <w:p w14:paraId="7D36379C" w14:textId="77777777" w:rsidR="00975F26" w:rsidRPr="00ED0D6D" w:rsidRDefault="00975F26" w:rsidP="002A479B">
            <w:pPr>
              <w:jc w:val="center"/>
              <w:rPr>
                <w:color w:val="000000"/>
                <w:sz w:val="20"/>
              </w:rPr>
            </w:pPr>
            <w:r w:rsidRPr="00ED0D6D">
              <w:rPr>
                <w:color w:val="000000"/>
                <w:sz w:val="20"/>
              </w:rPr>
              <w:t>6</w:t>
            </w:r>
          </w:p>
        </w:tc>
        <w:tc>
          <w:tcPr>
            <w:tcW w:w="1250" w:type="dxa"/>
            <w:shd w:val="clear" w:color="auto" w:fill="auto"/>
            <w:vAlign w:val="center"/>
          </w:tcPr>
          <w:p w14:paraId="24004A58" w14:textId="77777777" w:rsidR="00975F26" w:rsidRPr="00ED0D6D" w:rsidRDefault="00975F26" w:rsidP="002A479B">
            <w:pPr>
              <w:jc w:val="center"/>
              <w:rPr>
                <w:color w:val="000000"/>
                <w:sz w:val="20"/>
              </w:rPr>
            </w:pPr>
            <w:r w:rsidRPr="00ED0D6D">
              <w:rPr>
                <w:color w:val="000000"/>
                <w:sz w:val="20"/>
              </w:rPr>
              <w:t>4</w:t>
            </w:r>
          </w:p>
        </w:tc>
        <w:tc>
          <w:tcPr>
            <w:tcW w:w="2316" w:type="dxa"/>
            <w:shd w:val="clear" w:color="auto" w:fill="auto"/>
          </w:tcPr>
          <w:p w14:paraId="3A30D062"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7DB72533" w14:textId="77777777" w:rsidR="00975F26" w:rsidRPr="00ED0D6D" w:rsidRDefault="00975F26" w:rsidP="002A479B">
            <w:pPr>
              <w:jc w:val="center"/>
              <w:rPr>
                <w:color w:val="000000"/>
                <w:sz w:val="20"/>
              </w:rPr>
            </w:pPr>
            <w:r w:rsidRPr="00ED0D6D">
              <w:rPr>
                <w:color w:val="000000"/>
                <w:sz w:val="20"/>
              </w:rPr>
              <w:t>NPP2030</w:t>
            </w:r>
          </w:p>
        </w:tc>
      </w:tr>
      <w:tr w:rsidR="00975F26" w:rsidRPr="00ED0D6D" w14:paraId="4F068D1C" w14:textId="77777777" w:rsidTr="002A479B">
        <w:trPr>
          <w:trHeight w:val="440"/>
        </w:trPr>
        <w:tc>
          <w:tcPr>
            <w:tcW w:w="618" w:type="dxa"/>
            <w:shd w:val="clear" w:color="auto" w:fill="auto"/>
            <w:vAlign w:val="center"/>
          </w:tcPr>
          <w:p w14:paraId="09DDE482"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20941297" w14:textId="77777777" w:rsidR="00975F26" w:rsidRPr="00ED0D6D" w:rsidRDefault="00975F26" w:rsidP="002A479B">
            <w:pPr>
              <w:jc w:val="both"/>
              <w:rPr>
                <w:color w:val="000000"/>
                <w:sz w:val="20"/>
              </w:rPr>
            </w:pPr>
            <w:r w:rsidRPr="00ED0D6D">
              <w:rPr>
                <w:color w:val="000000"/>
                <w:sz w:val="20"/>
              </w:rPr>
              <w:t xml:space="preserve">Asmenų, patiriančių skurdo riziką ar socialinę atskirtį, dalis (proc.) </w:t>
            </w:r>
          </w:p>
        </w:tc>
        <w:tc>
          <w:tcPr>
            <w:tcW w:w="1080" w:type="dxa"/>
            <w:shd w:val="clear" w:color="auto" w:fill="auto"/>
            <w:noWrap/>
            <w:vAlign w:val="center"/>
          </w:tcPr>
          <w:p w14:paraId="6B99E9A5" w14:textId="77777777" w:rsidR="00975F26" w:rsidRPr="00ED0D6D" w:rsidRDefault="00975F26" w:rsidP="002A479B">
            <w:pPr>
              <w:jc w:val="center"/>
              <w:rPr>
                <w:color w:val="000000"/>
                <w:sz w:val="20"/>
              </w:rPr>
            </w:pPr>
            <w:r w:rsidRPr="00ED0D6D">
              <w:rPr>
                <w:color w:val="000000"/>
                <w:sz w:val="20"/>
              </w:rPr>
              <w:t>26,3</w:t>
            </w:r>
          </w:p>
        </w:tc>
        <w:tc>
          <w:tcPr>
            <w:tcW w:w="1272" w:type="dxa"/>
            <w:shd w:val="clear" w:color="000000" w:fill="FFFFFF"/>
            <w:vAlign w:val="center"/>
          </w:tcPr>
          <w:p w14:paraId="0AA54107" w14:textId="77777777" w:rsidR="00975F26" w:rsidRPr="00ED0D6D" w:rsidRDefault="00975F26" w:rsidP="002A479B">
            <w:pPr>
              <w:jc w:val="center"/>
              <w:rPr>
                <w:color w:val="000000"/>
                <w:sz w:val="20"/>
              </w:rPr>
            </w:pPr>
            <w:r w:rsidRPr="00ED0D6D">
              <w:rPr>
                <w:color w:val="000000"/>
                <w:sz w:val="20"/>
              </w:rPr>
              <w:t>N.D.</w:t>
            </w:r>
          </w:p>
        </w:tc>
        <w:tc>
          <w:tcPr>
            <w:tcW w:w="948" w:type="dxa"/>
            <w:shd w:val="clear" w:color="auto" w:fill="auto"/>
            <w:vAlign w:val="center"/>
          </w:tcPr>
          <w:p w14:paraId="00BC542E" w14:textId="77777777" w:rsidR="00975F26" w:rsidRPr="00ED0D6D" w:rsidRDefault="00975F26" w:rsidP="002A479B">
            <w:pPr>
              <w:jc w:val="center"/>
              <w:rPr>
                <w:color w:val="000000"/>
                <w:sz w:val="20"/>
              </w:rPr>
            </w:pPr>
            <w:r w:rsidRPr="00ED0D6D">
              <w:rPr>
                <w:color w:val="000000"/>
                <w:sz w:val="20"/>
              </w:rPr>
              <w:t>20,9 (2019)</w:t>
            </w:r>
          </w:p>
        </w:tc>
        <w:tc>
          <w:tcPr>
            <w:tcW w:w="983" w:type="dxa"/>
            <w:shd w:val="clear" w:color="auto" w:fill="auto"/>
            <w:vAlign w:val="center"/>
          </w:tcPr>
          <w:p w14:paraId="53F629BF" w14:textId="77777777" w:rsidR="00975F26" w:rsidRPr="00ED0D6D" w:rsidRDefault="00975F26" w:rsidP="002A479B">
            <w:pPr>
              <w:jc w:val="center"/>
              <w:rPr>
                <w:color w:val="000000"/>
                <w:sz w:val="20"/>
              </w:rPr>
            </w:pPr>
            <w:r w:rsidRPr="00ED0D6D">
              <w:rPr>
                <w:color w:val="000000"/>
                <w:sz w:val="20"/>
              </w:rPr>
              <w:t>24</w:t>
            </w:r>
          </w:p>
        </w:tc>
        <w:tc>
          <w:tcPr>
            <w:tcW w:w="1250" w:type="dxa"/>
            <w:shd w:val="clear" w:color="auto" w:fill="auto"/>
            <w:noWrap/>
            <w:vAlign w:val="center"/>
          </w:tcPr>
          <w:p w14:paraId="25AC77B4" w14:textId="77777777" w:rsidR="00975F26" w:rsidRPr="00ED0D6D" w:rsidRDefault="00975F26" w:rsidP="002A479B">
            <w:pPr>
              <w:jc w:val="center"/>
              <w:rPr>
                <w:color w:val="000000"/>
                <w:sz w:val="20"/>
              </w:rPr>
            </w:pPr>
            <w:r w:rsidRPr="00ED0D6D">
              <w:rPr>
                <w:color w:val="000000"/>
                <w:sz w:val="20"/>
              </w:rPr>
              <w:t>23</w:t>
            </w:r>
          </w:p>
        </w:tc>
        <w:tc>
          <w:tcPr>
            <w:tcW w:w="1250" w:type="dxa"/>
            <w:shd w:val="clear" w:color="auto" w:fill="auto"/>
            <w:vAlign w:val="center"/>
          </w:tcPr>
          <w:p w14:paraId="6479083C" w14:textId="77777777" w:rsidR="00975F26" w:rsidRPr="00ED0D6D" w:rsidRDefault="00975F26" w:rsidP="002A479B">
            <w:pPr>
              <w:jc w:val="center"/>
              <w:rPr>
                <w:color w:val="000000"/>
                <w:sz w:val="20"/>
              </w:rPr>
            </w:pPr>
            <w:r w:rsidRPr="00ED0D6D">
              <w:rPr>
                <w:color w:val="000000"/>
                <w:sz w:val="20"/>
              </w:rPr>
              <w:t>19</w:t>
            </w:r>
          </w:p>
        </w:tc>
        <w:tc>
          <w:tcPr>
            <w:tcW w:w="2316" w:type="dxa"/>
            <w:shd w:val="clear" w:color="auto" w:fill="auto"/>
          </w:tcPr>
          <w:p w14:paraId="123DC974"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676630F1" w14:textId="77777777" w:rsidR="00975F26" w:rsidRPr="00ED0D6D" w:rsidRDefault="00975F26" w:rsidP="002A479B">
            <w:pPr>
              <w:jc w:val="center"/>
              <w:rPr>
                <w:color w:val="000000"/>
                <w:sz w:val="20"/>
              </w:rPr>
            </w:pPr>
            <w:r w:rsidRPr="00ED0D6D">
              <w:rPr>
                <w:color w:val="000000"/>
                <w:sz w:val="20"/>
              </w:rPr>
              <w:t>NPP2030</w:t>
            </w:r>
          </w:p>
          <w:p w14:paraId="56708A88" w14:textId="77777777" w:rsidR="00975F26" w:rsidRPr="00ED0D6D" w:rsidRDefault="00975F26" w:rsidP="002A479B">
            <w:pPr>
              <w:jc w:val="center"/>
              <w:rPr>
                <w:color w:val="000000"/>
                <w:sz w:val="20"/>
              </w:rPr>
            </w:pPr>
            <w:r w:rsidRPr="00ED0D6D">
              <w:rPr>
                <w:color w:val="000000"/>
                <w:sz w:val="20"/>
              </w:rPr>
              <w:t xml:space="preserve">NPP2020 </w:t>
            </w:r>
          </w:p>
          <w:p w14:paraId="367F5C59" w14:textId="77777777" w:rsidR="00975F26" w:rsidRPr="00ED0D6D" w:rsidRDefault="00975F26" w:rsidP="002A479B">
            <w:pPr>
              <w:jc w:val="center"/>
              <w:rPr>
                <w:b/>
                <w:bCs/>
                <w:color w:val="000000"/>
                <w:sz w:val="20"/>
              </w:rPr>
            </w:pPr>
            <w:r w:rsidRPr="00ED0D6D">
              <w:rPr>
                <w:color w:val="000000"/>
                <w:sz w:val="20"/>
              </w:rPr>
              <w:t>17LRVP</w:t>
            </w:r>
          </w:p>
        </w:tc>
      </w:tr>
      <w:tr w:rsidR="00975F26" w:rsidRPr="00ED0D6D" w14:paraId="19687FCD" w14:textId="77777777" w:rsidTr="002A479B">
        <w:trPr>
          <w:trHeight w:val="305"/>
        </w:trPr>
        <w:tc>
          <w:tcPr>
            <w:tcW w:w="618" w:type="dxa"/>
            <w:shd w:val="clear" w:color="auto" w:fill="auto"/>
            <w:vAlign w:val="center"/>
            <w:hideMark/>
          </w:tcPr>
          <w:p w14:paraId="49604FA7"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0EDC8367" w14:textId="77777777" w:rsidR="00975F26" w:rsidRPr="00ED0D6D" w:rsidRDefault="00975F26" w:rsidP="002A479B">
            <w:pPr>
              <w:jc w:val="both"/>
              <w:rPr>
                <w:color w:val="000000"/>
                <w:sz w:val="20"/>
              </w:rPr>
            </w:pPr>
            <w:r w:rsidRPr="00ED0D6D">
              <w:rPr>
                <w:color w:val="000000"/>
                <w:sz w:val="20"/>
              </w:rPr>
              <w:t xml:space="preserve">Pajamų pasiskirstymo koeficientas (koeficientas)   </w:t>
            </w:r>
          </w:p>
        </w:tc>
        <w:tc>
          <w:tcPr>
            <w:tcW w:w="1080" w:type="dxa"/>
            <w:shd w:val="clear" w:color="000000" w:fill="FFFFFF"/>
            <w:vAlign w:val="center"/>
          </w:tcPr>
          <w:p w14:paraId="3CA9AFB4" w14:textId="77777777" w:rsidR="00975F26" w:rsidRPr="00ED0D6D" w:rsidRDefault="00975F26" w:rsidP="002A479B">
            <w:pPr>
              <w:jc w:val="center"/>
              <w:rPr>
                <w:color w:val="000000"/>
                <w:sz w:val="20"/>
              </w:rPr>
            </w:pPr>
            <w:r w:rsidRPr="00ED0D6D">
              <w:rPr>
                <w:color w:val="000000"/>
                <w:sz w:val="20"/>
              </w:rPr>
              <w:t>6,4</w:t>
            </w:r>
          </w:p>
        </w:tc>
        <w:tc>
          <w:tcPr>
            <w:tcW w:w="1272" w:type="dxa"/>
            <w:shd w:val="clear" w:color="auto" w:fill="auto"/>
            <w:noWrap/>
            <w:vAlign w:val="center"/>
          </w:tcPr>
          <w:p w14:paraId="54C66973" w14:textId="77777777" w:rsidR="00975F26" w:rsidRPr="00ED0D6D" w:rsidRDefault="00975F26" w:rsidP="002A479B">
            <w:pPr>
              <w:jc w:val="center"/>
              <w:rPr>
                <w:color w:val="000000"/>
                <w:sz w:val="20"/>
              </w:rPr>
            </w:pPr>
            <w:r w:rsidRPr="00ED0D6D">
              <w:rPr>
                <w:color w:val="000000"/>
                <w:sz w:val="20"/>
              </w:rPr>
              <w:t>N.D.</w:t>
            </w:r>
          </w:p>
        </w:tc>
        <w:tc>
          <w:tcPr>
            <w:tcW w:w="948" w:type="dxa"/>
            <w:shd w:val="clear" w:color="auto" w:fill="auto"/>
            <w:vAlign w:val="center"/>
          </w:tcPr>
          <w:p w14:paraId="5AC8518B" w14:textId="77777777" w:rsidR="00975F26" w:rsidRPr="00ED0D6D" w:rsidRDefault="00975F26" w:rsidP="002A479B">
            <w:pPr>
              <w:jc w:val="center"/>
              <w:rPr>
                <w:color w:val="000000"/>
                <w:sz w:val="20"/>
              </w:rPr>
            </w:pPr>
            <w:r w:rsidRPr="00ED0D6D">
              <w:rPr>
                <w:color w:val="000000"/>
                <w:sz w:val="20"/>
              </w:rPr>
              <w:t>4,9 (2019)</w:t>
            </w:r>
          </w:p>
        </w:tc>
        <w:tc>
          <w:tcPr>
            <w:tcW w:w="983" w:type="dxa"/>
            <w:shd w:val="clear" w:color="auto" w:fill="auto"/>
            <w:vAlign w:val="center"/>
          </w:tcPr>
          <w:p w14:paraId="51ED297F" w14:textId="77777777" w:rsidR="00975F26" w:rsidRPr="00ED0D6D" w:rsidRDefault="00975F26" w:rsidP="002A479B">
            <w:pPr>
              <w:jc w:val="center"/>
              <w:rPr>
                <w:color w:val="000000"/>
                <w:sz w:val="20"/>
              </w:rPr>
            </w:pPr>
            <w:r w:rsidRPr="00ED0D6D">
              <w:rPr>
                <w:color w:val="000000"/>
                <w:sz w:val="20"/>
              </w:rPr>
              <w:t>6,3</w:t>
            </w:r>
          </w:p>
        </w:tc>
        <w:tc>
          <w:tcPr>
            <w:tcW w:w="1250" w:type="dxa"/>
            <w:shd w:val="clear" w:color="auto" w:fill="auto"/>
            <w:noWrap/>
            <w:vAlign w:val="center"/>
          </w:tcPr>
          <w:p w14:paraId="125DCB79" w14:textId="77777777" w:rsidR="00975F26" w:rsidRPr="00ED0D6D" w:rsidRDefault="00975F26" w:rsidP="002A479B">
            <w:pPr>
              <w:jc w:val="center"/>
              <w:rPr>
                <w:color w:val="000000"/>
                <w:sz w:val="20"/>
              </w:rPr>
            </w:pPr>
            <w:r w:rsidRPr="00ED0D6D">
              <w:rPr>
                <w:color w:val="000000"/>
                <w:sz w:val="20"/>
              </w:rPr>
              <w:t>5,7</w:t>
            </w:r>
          </w:p>
        </w:tc>
        <w:tc>
          <w:tcPr>
            <w:tcW w:w="1250" w:type="dxa"/>
            <w:shd w:val="clear" w:color="auto" w:fill="auto"/>
            <w:vAlign w:val="center"/>
          </w:tcPr>
          <w:p w14:paraId="3353AEBC" w14:textId="77777777" w:rsidR="00975F26" w:rsidRPr="00ED0D6D" w:rsidRDefault="00975F26" w:rsidP="002A479B">
            <w:pPr>
              <w:jc w:val="center"/>
              <w:rPr>
                <w:color w:val="000000"/>
                <w:sz w:val="20"/>
              </w:rPr>
            </w:pPr>
            <w:r w:rsidRPr="00ED0D6D">
              <w:rPr>
                <w:color w:val="000000"/>
                <w:sz w:val="20"/>
              </w:rPr>
              <w:t>5</w:t>
            </w:r>
          </w:p>
        </w:tc>
        <w:tc>
          <w:tcPr>
            <w:tcW w:w="2316" w:type="dxa"/>
            <w:shd w:val="clear" w:color="auto" w:fill="auto"/>
          </w:tcPr>
          <w:p w14:paraId="2C632A9B"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73663AA5" w14:textId="77777777" w:rsidR="00975F26" w:rsidRDefault="00975F26" w:rsidP="002A479B">
            <w:pPr>
              <w:jc w:val="center"/>
              <w:rPr>
                <w:color w:val="000000"/>
                <w:sz w:val="20"/>
              </w:rPr>
            </w:pPr>
            <w:r>
              <w:rPr>
                <w:color w:val="000000"/>
                <w:sz w:val="20"/>
              </w:rPr>
              <w:t>VPS2030,</w:t>
            </w:r>
          </w:p>
          <w:p w14:paraId="33E4D0F1" w14:textId="77777777" w:rsidR="00975F26" w:rsidRPr="00ED0D6D" w:rsidRDefault="00975F26" w:rsidP="002A479B">
            <w:pPr>
              <w:jc w:val="center"/>
              <w:rPr>
                <w:color w:val="000000"/>
                <w:sz w:val="20"/>
              </w:rPr>
            </w:pPr>
            <w:r w:rsidRPr="00ED0D6D">
              <w:rPr>
                <w:color w:val="000000"/>
                <w:sz w:val="20"/>
              </w:rPr>
              <w:lastRenderedPageBreak/>
              <w:t>NPP2030 NPP2020</w:t>
            </w:r>
          </w:p>
          <w:p w14:paraId="6C3070E9"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7004EC1F" w14:textId="77777777" w:rsidTr="002A479B">
        <w:trPr>
          <w:trHeight w:val="431"/>
        </w:trPr>
        <w:tc>
          <w:tcPr>
            <w:tcW w:w="618" w:type="dxa"/>
            <w:shd w:val="clear" w:color="000000" w:fill="FFFFFF"/>
            <w:vAlign w:val="center"/>
            <w:hideMark/>
          </w:tcPr>
          <w:p w14:paraId="58FB9757"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000000" w:fill="FFFFFF"/>
            <w:vAlign w:val="center"/>
          </w:tcPr>
          <w:p w14:paraId="46E9C377" w14:textId="77777777" w:rsidR="00975F26" w:rsidRPr="00ED0D6D" w:rsidRDefault="00975F26" w:rsidP="002A479B">
            <w:pPr>
              <w:jc w:val="both"/>
              <w:rPr>
                <w:color w:val="000000"/>
                <w:sz w:val="20"/>
              </w:rPr>
            </w:pPr>
            <w:r w:rsidRPr="00ED0D6D">
              <w:rPr>
                <w:color w:val="000000"/>
                <w:sz w:val="20"/>
              </w:rPr>
              <w:t xml:space="preserve">Ilgalaikio nedarbo lygis, procentais (2015 m. - 3,9) (Gyventojų užimtumo tyrimo duomenimis) (proc.)   </w:t>
            </w:r>
          </w:p>
        </w:tc>
        <w:tc>
          <w:tcPr>
            <w:tcW w:w="1080" w:type="dxa"/>
            <w:shd w:val="clear" w:color="000000" w:fill="FFFFFF"/>
            <w:vAlign w:val="center"/>
          </w:tcPr>
          <w:p w14:paraId="10FC846D" w14:textId="77777777" w:rsidR="00975F26" w:rsidRPr="00ED0D6D" w:rsidRDefault="00975F26" w:rsidP="002A479B">
            <w:pPr>
              <w:jc w:val="center"/>
              <w:rPr>
                <w:color w:val="000000"/>
                <w:sz w:val="20"/>
              </w:rPr>
            </w:pPr>
            <w:r w:rsidRPr="00ED0D6D">
              <w:rPr>
                <w:color w:val="000000"/>
                <w:sz w:val="20"/>
              </w:rPr>
              <w:t>1,9</w:t>
            </w:r>
          </w:p>
        </w:tc>
        <w:tc>
          <w:tcPr>
            <w:tcW w:w="1272" w:type="dxa"/>
            <w:shd w:val="clear" w:color="000000" w:fill="FFFFFF"/>
            <w:vAlign w:val="center"/>
          </w:tcPr>
          <w:p w14:paraId="4270F50E" w14:textId="77777777" w:rsidR="00975F26" w:rsidRPr="00ED0D6D" w:rsidRDefault="00975F26" w:rsidP="002A479B">
            <w:pPr>
              <w:jc w:val="center"/>
              <w:rPr>
                <w:color w:val="000000"/>
                <w:sz w:val="20"/>
              </w:rPr>
            </w:pPr>
            <w:r w:rsidRPr="00ED0D6D">
              <w:rPr>
                <w:color w:val="000000"/>
                <w:sz w:val="20"/>
              </w:rPr>
              <w:t>2,5</w:t>
            </w:r>
          </w:p>
        </w:tc>
        <w:tc>
          <w:tcPr>
            <w:tcW w:w="948" w:type="dxa"/>
            <w:shd w:val="clear" w:color="auto" w:fill="auto"/>
            <w:vAlign w:val="center"/>
          </w:tcPr>
          <w:p w14:paraId="0276016B" w14:textId="77777777" w:rsidR="00975F26" w:rsidRPr="00ED0D6D" w:rsidRDefault="00975F26" w:rsidP="002A479B">
            <w:pPr>
              <w:jc w:val="center"/>
              <w:rPr>
                <w:color w:val="000000"/>
                <w:sz w:val="20"/>
              </w:rPr>
            </w:pPr>
            <w:r w:rsidRPr="00ED0D6D">
              <w:rPr>
                <w:color w:val="000000"/>
                <w:sz w:val="20"/>
              </w:rPr>
              <w:t>2,8</w:t>
            </w:r>
          </w:p>
        </w:tc>
        <w:tc>
          <w:tcPr>
            <w:tcW w:w="983" w:type="dxa"/>
            <w:shd w:val="clear" w:color="000000" w:fill="FFFFFF"/>
            <w:vAlign w:val="center"/>
          </w:tcPr>
          <w:p w14:paraId="0421057F" w14:textId="77777777" w:rsidR="00975F26" w:rsidRPr="00ED0D6D" w:rsidRDefault="00975F26" w:rsidP="002A479B">
            <w:pPr>
              <w:jc w:val="center"/>
              <w:rPr>
                <w:color w:val="000000"/>
                <w:sz w:val="20"/>
              </w:rPr>
            </w:pPr>
            <w:r w:rsidRPr="00ED0D6D">
              <w:rPr>
                <w:color w:val="000000"/>
                <w:sz w:val="20"/>
              </w:rPr>
              <w:t>3,2</w:t>
            </w:r>
          </w:p>
        </w:tc>
        <w:tc>
          <w:tcPr>
            <w:tcW w:w="1250" w:type="dxa"/>
            <w:shd w:val="clear" w:color="000000" w:fill="FFFFFF"/>
            <w:vAlign w:val="center"/>
          </w:tcPr>
          <w:p w14:paraId="01DC7F48" w14:textId="77777777" w:rsidR="00975F26" w:rsidRPr="00ED0D6D" w:rsidRDefault="00975F26" w:rsidP="002A479B">
            <w:pPr>
              <w:jc w:val="center"/>
              <w:rPr>
                <w:color w:val="000000"/>
                <w:sz w:val="20"/>
              </w:rPr>
            </w:pPr>
            <w:r w:rsidRPr="00ED0D6D">
              <w:rPr>
                <w:color w:val="000000"/>
                <w:sz w:val="20"/>
              </w:rPr>
              <w:t>1,7</w:t>
            </w:r>
          </w:p>
        </w:tc>
        <w:tc>
          <w:tcPr>
            <w:tcW w:w="1250" w:type="dxa"/>
            <w:shd w:val="clear" w:color="000000" w:fill="FFFFFF"/>
            <w:vAlign w:val="center"/>
          </w:tcPr>
          <w:p w14:paraId="030BA2BA" w14:textId="77777777" w:rsidR="00975F26" w:rsidRPr="00ED0D6D" w:rsidRDefault="00975F26" w:rsidP="002A479B">
            <w:pPr>
              <w:jc w:val="center"/>
              <w:rPr>
                <w:color w:val="000000"/>
                <w:sz w:val="20"/>
              </w:rPr>
            </w:pPr>
            <w:r w:rsidRPr="00ED0D6D">
              <w:rPr>
                <w:color w:val="000000"/>
                <w:sz w:val="20"/>
              </w:rPr>
              <w:t>1,5</w:t>
            </w:r>
          </w:p>
        </w:tc>
        <w:tc>
          <w:tcPr>
            <w:tcW w:w="2316" w:type="dxa"/>
            <w:shd w:val="clear" w:color="000000" w:fill="FFFFFF"/>
          </w:tcPr>
          <w:p w14:paraId="706E58EB"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545624C5" w14:textId="77777777" w:rsidR="00975F26" w:rsidRPr="00ED0D6D" w:rsidRDefault="00975F26" w:rsidP="002A479B">
            <w:pPr>
              <w:jc w:val="center"/>
              <w:rPr>
                <w:color w:val="000000"/>
                <w:sz w:val="20"/>
              </w:rPr>
            </w:pPr>
            <w:r w:rsidRPr="00ED0D6D">
              <w:rPr>
                <w:color w:val="000000"/>
                <w:sz w:val="20"/>
              </w:rPr>
              <w:t>NPP2030 NPP2020</w:t>
            </w:r>
          </w:p>
          <w:p w14:paraId="07CD74C2"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5B106412" w14:textId="77777777" w:rsidTr="002A479B">
        <w:trPr>
          <w:trHeight w:val="408"/>
        </w:trPr>
        <w:tc>
          <w:tcPr>
            <w:tcW w:w="618" w:type="dxa"/>
            <w:shd w:val="clear" w:color="000000" w:fill="FFFFFF"/>
            <w:vAlign w:val="center"/>
            <w:hideMark/>
          </w:tcPr>
          <w:p w14:paraId="07E36391"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000000" w:fill="FFFFFF"/>
            <w:vAlign w:val="center"/>
          </w:tcPr>
          <w:p w14:paraId="396F605B" w14:textId="77777777" w:rsidR="00975F26" w:rsidRPr="00ED0D6D" w:rsidRDefault="00975F26" w:rsidP="002A479B">
            <w:pPr>
              <w:jc w:val="both"/>
              <w:rPr>
                <w:color w:val="000000"/>
                <w:sz w:val="20"/>
              </w:rPr>
            </w:pPr>
            <w:r w:rsidRPr="00ED0D6D">
              <w:rPr>
                <w:color w:val="000000"/>
                <w:sz w:val="20"/>
              </w:rPr>
              <w:t xml:space="preserve">Nedarbo lygis (Gyventojų užimtumo tyrimo duomenis) (proc.)   </w:t>
            </w:r>
          </w:p>
        </w:tc>
        <w:tc>
          <w:tcPr>
            <w:tcW w:w="1080" w:type="dxa"/>
            <w:shd w:val="clear" w:color="000000" w:fill="FFFFFF"/>
            <w:vAlign w:val="center"/>
          </w:tcPr>
          <w:p w14:paraId="00D0631F" w14:textId="77777777" w:rsidR="00975F26" w:rsidRPr="00ED0D6D" w:rsidRDefault="00975F26" w:rsidP="002A479B">
            <w:pPr>
              <w:jc w:val="center"/>
              <w:rPr>
                <w:color w:val="000000"/>
                <w:sz w:val="20"/>
              </w:rPr>
            </w:pPr>
            <w:r w:rsidRPr="00ED0D6D">
              <w:rPr>
                <w:color w:val="000000"/>
                <w:sz w:val="20"/>
              </w:rPr>
              <w:t>6,3</w:t>
            </w:r>
          </w:p>
        </w:tc>
        <w:tc>
          <w:tcPr>
            <w:tcW w:w="1272" w:type="dxa"/>
            <w:shd w:val="clear" w:color="000000" w:fill="FFFFFF"/>
            <w:vAlign w:val="center"/>
          </w:tcPr>
          <w:p w14:paraId="55774A7E" w14:textId="77777777" w:rsidR="00975F26" w:rsidRPr="00ED0D6D" w:rsidRDefault="00975F26" w:rsidP="002A479B">
            <w:pPr>
              <w:jc w:val="center"/>
              <w:rPr>
                <w:color w:val="000000"/>
                <w:sz w:val="20"/>
              </w:rPr>
            </w:pPr>
            <w:r w:rsidRPr="00ED0D6D">
              <w:rPr>
                <w:color w:val="000000"/>
                <w:sz w:val="20"/>
              </w:rPr>
              <w:t>8,5</w:t>
            </w:r>
          </w:p>
        </w:tc>
        <w:tc>
          <w:tcPr>
            <w:tcW w:w="948" w:type="dxa"/>
            <w:shd w:val="clear" w:color="auto" w:fill="auto"/>
            <w:vAlign w:val="center"/>
          </w:tcPr>
          <w:p w14:paraId="5C71A062" w14:textId="77777777" w:rsidR="00975F26" w:rsidRPr="00ED0D6D" w:rsidRDefault="00975F26" w:rsidP="002A479B">
            <w:pPr>
              <w:jc w:val="center"/>
              <w:rPr>
                <w:color w:val="000000"/>
                <w:sz w:val="20"/>
              </w:rPr>
            </w:pPr>
            <w:r w:rsidRPr="00ED0D6D">
              <w:rPr>
                <w:color w:val="000000"/>
                <w:sz w:val="20"/>
              </w:rPr>
              <w:t>6,7 (2019)</w:t>
            </w:r>
          </w:p>
        </w:tc>
        <w:tc>
          <w:tcPr>
            <w:tcW w:w="983" w:type="dxa"/>
            <w:shd w:val="clear" w:color="000000" w:fill="FFFFFF"/>
            <w:vAlign w:val="center"/>
          </w:tcPr>
          <w:p w14:paraId="0E22C864" w14:textId="77777777" w:rsidR="00975F26" w:rsidRPr="00ED0D6D" w:rsidRDefault="00975F26" w:rsidP="002A479B">
            <w:pPr>
              <w:jc w:val="center"/>
              <w:rPr>
                <w:color w:val="000000"/>
                <w:sz w:val="20"/>
              </w:rPr>
            </w:pPr>
            <w:r w:rsidRPr="00ED0D6D">
              <w:rPr>
                <w:color w:val="000000"/>
                <w:sz w:val="20"/>
              </w:rPr>
              <w:t>5,4</w:t>
            </w:r>
          </w:p>
        </w:tc>
        <w:tc>
          <w:tcPr>
            <w:tcW w:w="1250" w:type="dxa"/>
            <w:shd w:val="clear" w:color="000000" w:fill="FFFFFF"/>
            <w:vAlign w:val="center"/>
          </w:tcPr>
          <w:p w14:paraId="676E504F" w14:textId="77777777" w:rsidR="00975F26" w:rsidRPr="00ED0D6D" w:rsidRDefault="00975F26" w:rsidP="002A479B">
            <w:pPr>
              <w:jc w:val="center"/>
              <w:rPr>
                <w:color w:val="000000"/>
                <w:sz w:val="20"/>
              </w:rPr>
            </w:pPr>
            <w:r w:rsidRPr="00ED0D6D">
              <w:rPr>
                <w:color w:val="000000"/>
                <w:sz w:val="20"/>
              </w:rPr>
              <w:t>-</w:t>
            </w:r>
          </w:p>
        </w:tc>
        <w:tc>
          <w:tcPr>
            <w:tcW w:w="1250" w:type="dxa"/>
            <w:shd w:val="clear" w:color="000000" w:fill="FFFFFF"/>
            <w:vAlign w:val="center"/>
          </w:tcPr>
          <w:p w14:paraId="0E0BD872" w14:textId="77777777" w:rsidR="00975F26" w:rsidRPr="00ED0D6D" w:rsidRDefault="00975F26" w:rsidP="002A479B">
            <w:pPr>
              <w:jc w:val="center"/>
              <w:rPr>
                <w:color w:val="000000"/>
                <w:sz w:val="20"/>
              </w:rPr>
            </w:pPr>
            <w:r w:rsidRPr="00ED0D6D">
              <w:rPr>
                <w:color w:val="000000"/>
                <w:sz w:val="20"/>
              </w:rPr>
              <w:t>-</w:t>
            </w:r>
          </w:p>
        </w:tc>
        <w:tc>
          <w:tcPr>
            <w:tcW w:w="2316" w:type="dxa"/>
            <w:shd w:val="clear" w:color="000000" w:fill="FFFFFF"/>
          </w:tcPr>
          <w:p w14:paraId="777B368C"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4CE88E59" w14:textId="77777777" w:rsidR="00975F26" w:rsidRPr="00ED0D6D" w:rsidRDefault="00975F26" w:rsidP="002A479B">
            <w:pPr>
              <w:jc w:val="center"/>
              <w:rPr>
                <w:color w:val="000000"/>
                <w:sz w:val="20"/>
              </w:rPr>
            </w:pPr>
            <w:r w:rsidRPr="00ED0D6D">
              <w:rPr>
                <w:color w:val="000000"/>
                <w:sz w:val="20"/>
              </w:rPr>
              <w:t>NPP2020</w:t>
            </w:r>
          </w:p>
          <w:p w14:paraId="10A9BEFB"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7FBB507" w14:textId="77777777" w:rsidTr="002A479B">
        <w:trPr>
          <w:trHeight w:val="372"/>
        </w:trPr>
        <w:tc>
          <w:tcPr>
            <w:tcW w:w="618" w:type="dxa"/>
            <w:shd w:val="clear" w:color="000000" w:fill="FFFFFF"/>
            <w:vAlign w:val="center"/>
            <w:hideMark/>
          </w:tcPr>
          <w:p w14:paraId="1EDBEBEB"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000000" w:fill="FFFFFF"/>
            <w:vAlign w:val="center"/>
          </w:tcPr>
          <w:p w14:paraId="75F666FE" w14:textId="77777777" w:rsidR="00975F26" w:rsidRPr="00ED0D6D" w:rsidRDefault="00975F26" w:rsidP="002A479B">
            <w:pPr>
              <w:jc w:val="both"/>
              <w:rPr>
                <w:color w:val="000000"/>
                <w:sz w:val="20"/>
              </w:rPr>
            </w:pPr>
            <w:r w:rsidRPr="00ED0D6D">
              <w:rPr>
                <w:color w:val="000000"/>
                <w:sz w:val="20"/>
              </w:rPr>
              <w:t xml:space="preserve">Suminis gimstamumo rodiklis (vaikų skaičius, tenkantis 1 moteriai) (asmenys) </w:t>
            </w:r>
          </w:p>
        </w:tc>
        <w:tc>
          <w:tcPr>
            <w:tcW w:w="1080" w:type="dxa"/>
            <w:shd w:val="clear" w:color="000000" w:fill="FFFFFF"/>
            <w:vAlign w:val="center"/>
          </w:tcPr>
          <w:p w14:paraId="08DA0933" w14:textId="77777777" w:rsidR="00975F26" w:rsidRPr="00ED0D6D" w:rsidRDefault="00975F26" w:rsidP="002A479B">
            <w:pPr>
              <w:jc w:val="center"/>
              <w:rPr>
                <w:color w:val="000000"/>
                <w:sz w:val="20"/>
              </w:rPr>
            </w:pPr>
            <w:r w:rsidRPr="00ED0D6D">
              <w:rPr>
                <w:color w:val="000000"/>
                <w:sz w:val="20"/>
              </w:rPr>
              <w:t>1,61</w:t>
            </w:r>
          </w:p>
        </w:tc>
        <w:tc>
          <w:tcPr>
            <w:tcW w:w="1272" w:type="dxa"/>
            <w:shd w:val="clear" w:color="000000" w:fill="FFFFFF"/>
            <w:vAlign w:val="center"/>
          </w:tcPr>
          <w:p w14:paraId="2F9FA4CC" w14:textId="77777777" w:rsidR="00975F26" w:rsidRPr="00ED0D6D" w:rsidRDefault="00975F26" w:rsidP="002A479B">
            <w:pPr>
              <w:jc w:val="center"/>
              <w:rPr>
                <w:color w:val="000000"/>
                <w:sz w:val="20"/>
              </w:rPr>
            </w:pPr>
            <w:r w:rsidRPr="00ED0D6D">
              <w:rPr>
                <w:color w:val="000000"/>
                <w:sz w:val="20"/>
              </w:rPr>
              <w:t xml:space="preserve">N.D. </w:t>
            </w:r>
          </w:p>
        </w:tc>
        <w:tc>
          <w:tcPr>
            <w:tcW w:w="948" w:type="dxa"/>
            <w:shd w:val="clear" w:color="auto" w:fill="auto"/>
            <w:vAlign w:val="center"/>
          </w:tcPr>
          <w:p w14:paraId="1A81F396" w14:textId="77777777" w:rsidR="00975F26" w:rsidRPr="00ED0D6D" w:rsidRDefault="00975F26" w:rsidP="002A479B">
            <w:pPr>
              <w:jc w:val="center"/>
              <w:rPr>
                <w:color w:val="000000"/>
                <w:sz w:val="20"/>
              </w:rPr>
            </w:pPr>
            <w:r w:rsidRPr="00ED0D6D">
              <w:rPr>
                <w:color w:val="000000"/>
                <w:sz w:val="20"/>
              </w:rPr>
              <w:t>1,53 (2019)</w:t>
            </w:r>
          </w:p>
        </w:tc>
        <w:tc>
          <w:tcPr>
            <w:tcW w:w="983" w:type="dxa"/>
            <w:shd w:val="clear" w:color="000000" w:fill="FFFFFF"/>
            <w:vAlign w:val="center"/>
          </w:tcPr>
          <w:p w14:paraId="066A944B" w14:textId="77777777" w:rsidR="00975F26" w:rsidRPr="00ED0D6D" w:rsidRDefault="00975F26" w:rsidP="002A479B">
            <w:pPr>
              <w:jc w:val="center"/>
              <w:rPr>
                <w:color w:val="000000"/>
                <w:sz w:val="20"/>
              </w:rPr>
            </w:pPr>
            <w:r w:rsidRPr="00ED0D6D">
              <w:rPr>
                <w:color w:val="000000"/>
                <w:sz w:val="20"/>
              </w:rPr>
              <w:t>1,9</w:t>
            </w:r>
          </w:p>
        </w:tc>
        <w:tc>
          <w:tcPr>
            <w:tcW w:w="1250" w:type="dxa"/>
            <w:shd w:val="clear" w:color="000000" w:fill="FFFFFF"/>
            <w:vAlign w:val="center"/>
          </w:tcPr>
          <w:p w14:paraId="41C7A9B5" w14:textId="77777777" w:rsidR="00975F26" w:rsidRPr="00ED0D6D" w:rsidRDefault="00975F26" w:rsidP="002A479B">
            <w:pPr>
              <w:jc w:val="center"/>
              <w:rPr>
                <w:color w:val="000000"/>
                <w:sz w:val="20"/>
              </w:rPr>
            </w:pPr>
            <w:r w:rsidRPr="00ED0D6D">
              <w:rPr>
                <w:color w:val="000000"/>
                <w:sz w:val="20"/>
              </w:rPr>
              <w:t>1,79</w:t>
            </w:r>
          </w:p>
        </w:tc>
        <w:tc>
          <w:tcPr>
            <w:tcW w:w="1250" w:type="dxa"/>
            <w:shd w:val="clear" w:color="000000" w:fill="FFFFFF"/>
            <w:vAlign w:val="center"/>
          </w:tcPr>
          <w:p w14:paraId="23C661E4" w14:textId="77777777" w:rsidR="00975F26" w:rsidRPr="00ED0D6D" w:rsidRDefault="00975F26" w:rsidP="002A479B">
            <w:pPr>
              <w:jc w:val="center"/>
              <w:rPr>
                <w:color w:val="000000"/>
                <w:sz w:val="20"/>
              </w:rPr>
            </w:pPr>
            <w:r w:rsidRPr="00ED0D6D">
              <w:rPr>
                <w:color w:val="000000"/>
                <w:sz w:val="20"/>
              </w:rPr>
              <w:t>1,9</w:t>
            </w:r>
          </w:p>
        </w:tc>
        <w:tc>
          <w:tcPr>
            <w:tcW w:w="2316" w:type="dxa"/>
            <w:shd w:val="clear" w:color="000000" w:fill="FFFFFF"/>
          </w:tcPr>
          <w:p w14:paraId="0CA63934"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5FED3D68" w14:textId="77777777" w:rsidR="00975F26" w:rsidRPr="00ED0D6D" w:rsidRDefault="00975F26" w:rsidP="002A479B">
            <w:pPr>
              <w:jc w:val="center"/>
              <w:rPr>
                <w:color w:val="000000"/>
                <w:sz w:val="20"/>
              </w:rPr>
            </w:pPr>
            <w:r w:rsidRPr="00ED0D6D">
              <w:rPr>
                <w:color w:val="000000"/>
                <w:sz w:val="20"/>
              </w:rPr>
              <w:t>NPP2030 NPP2020</w:t>
            </w:r>
          </w:p>
          <w:p w14:paraId="2B599D7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1ACE8DA" w14:textId="77777777" w:rsidTr="002A479B">
        <w:trPr>
          <w:trHeight w:val="372"/>
        </w:trPr>
        <w:tc>
          <w:tcPr>
            <w:tcW w:w="618" w:type="dxa"/>
            <w:shd w:val="clear" w:color="000000" w:fill="FFFFFF"/>
            <w:vAlign w:val="center"/>
          </w:tcPr>
          <w:p w14:paraId="7E5CA79A"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000000" w:fill="FFFFFF"/>
            <w:vAlign w:val="center"/>
          </w:tcPr>
          <w:p w14:paraId="4396CBE3" w14:textId="77777777" w:rsidR="00975F26" w:rsidRPr="00ED0D6D" w:rsidRDefault="00975F26" w:rsidP="002A479B">
            <w:pPr>
              <w:jc w:val="both"/>
              <w:rPr>
                <w:color w:val="000000"/>
                <w:sz w:val="20"/>
              </w:rPr>
            </w:pPr>
            <w:r w:rsidRPr="00ED0D6D">
              <w:rPr>
                <w:color w:val="000000"/>
                <w:sz w:val="20"/>
              </w:rPr>
              <w:t xml:space="preserve">Pilietinės visuomenės organizacijų tvarumo indeksas (indeksas)   </w:t>
            </w:r>
          </w:p>
        </w:tc>
        <w:tc>
          <w:tcPr>
            <w:tcW w:w="1080" w:type="dxa"/>
            <w:shd w:val="clear" w:color="000000" w:fill="FFFFFF"/>
            <w:vAlign w:val="center"/>
          </w:tcPr>
          <w:p w14:paraId="0B189092" w14:textId="77777777" w:rsidR="00975F26" w:rsidRPr="00ED0D6D" w:rsidRDefault="00975F26" w:rsidP="002A479B">
            <w:pPr>
              <w:jc w:val="center"/>
              <w:rPr>
                <w:color w:val="000000"/>
                <w:sz w:val="20"/>
              </w:rPr>
            </w:pPr>
            <w:r w:rsidRPr="00ED0D6D">
              <w:rPr>
                <w:color w:val="000000"/>
                <w:sz w:val="20"/>
              </w:rPr>
              <w:t>2,5</w:t>
            </w:r>
          </w:p>
        </w:tc>
        <w:tc>
          <w:tcPr>
            <w:tcW w:w="1272" w:type="dxa"/>
            <w:shd w:val="clear" w:color="000000" w:fill="FFFFFF"/>
            <w:vAlign w:val="center"/>
          </w:tcPr>
          <w:p w14:paraId="486EE0FE" w14:textId="77777777" w:rsidR="00975F26" w:rsidRPr="00ED0D6D" w:rsidRDefault="00975F26" w:rsidP="002A479B">
            <w:pPr>
              <w:jc w:val="center"/>
              <w:rPr>
                <w:color w:val="000000"/>
                <w:sz w:val="20"/>
              </w:rPr>
            </w:pPr>
            <w:r w:rsidRPr="00ED0D6D">
              <w:rPr>
                <w:color w:val="000000"/>
                <w:sz w:val="20"/>
              </w:rPr>
              <w:t xml:space="preserve">N.D. </w:t>
            </w:r>
          </w:p>
        </w:tc>
        <w:tc>
          <w:tcPr>
            <w:tcW w:w="948" w:type="dxa"/>
            <w:shd w:val="clear" w:color="auto" w:fill="auto"/>
            <w:vAlign w:val="center"/>
          </w:tcPr>
          <w:p w14:paraId="60BA53B4"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6729FBA7" w14:textId="77777777" w:rsidR="00975F26" w:rsidRPr="00ED0D6D" w:rsidRDefault="00975F26" w:rsidP="002A479B">
            <w:pPr>
              <w:jc w:val="center"/>
              <w:rPr>
                <w:color w:val="000000"/>
                <w:sz w:val="20"/>
              </w:rPr>
            </w:pPr>
            <w:r w:rsidRPr="00ED0D6D">
              <w:rPr>
                <w:color w:val="000000"/>
                <w:sz w:val="20"/>
              </w:rPr>
              <w:t>-</w:t>
            </w:r>
          </w:p>
        </w:tc>
        <w:tc>
          <w:tcPr>
            <w:tcW w:w="1250" w:type="dxa"/>
            <w:shd w:val="clear" w:color="000000" w:fill="FFFFFF"/>
            <w:vAlign w:val="center"/>
          </w:tcPr>
          <w:p w14:paraId="50A818A6" w14:textId="77777777" w:rsidR="00975F26" w:rsidRPr="00ED0D6D" w:rsidRDefault="00975F26" w:rsidP="002A479B">
            <w:pPr>
              <w:jc w:val="center"/>
              <w:rPr>
                <w:color w:val="000000"/>
                <w:sz w:val="20"/>
              </w:rPr>
            </w:pPr>
            <w:r w:rsidRPr="00ED0D6D">
              <w:rPr>
                <w:color w:val="000000"/>
                <w:sz w:val="20"/>
              </w:rPr>
              <w:t>2,1</w:t>
            </w:r>
          </w:p>
        </w:tc>
        <w:tc>
          <w:tcPr>
            <w:tcW w:w="1250" w:type="dxa"/>
            <w:shd w:val="clear" w:color="000000" w:fill="FFFFFF"/>
            <w:vAlign w:val="center"/>
          </w:tcPr>
          <w:p w14:paraId="5BC6701F" w14:textId="77777777" w:rsidR="00975F26" w:rsidRPr="00ED0D6D" w:rsidRDefault="00975F26" w:rsidP="002A479B">
            <w:pPr>
              <w:jc w:val="center"/>
              <w:rPr>
                <w:color w:val="000000"/>
                <w:sz w:val="20"/>
              </w:rPr>
            </w:pPr>
            <w:r w:rsidRPr="00ED0D6D">
              <w:rPr>
                <w:color w:val="000000"/>
                <w:sz w:val="20"/>
              </w:rPr>
              <w:t>1,9</w:t>
            </w:r>
          </w:p>
        </w:tc>
        <w:tc>
          <w:tcPr>
            <w:tcW w:w="2316" w:type="dxa"/>
            <w:shd w:val="clear" w:color="000000" w:fill="FFFFFF"/>
          </w:tcPr>
          <w:p w14:paraId="66C82A9A" w14:textId="77777777" w:rsidR="00975F26" w:rsidRPr="00ED0D6D" w:rsidRDefault="00975F26" w:rsidP="002A479B">
            <w:pPr>
              <w:jc w:val="center"/>
              <w:rPr>
                <w:color w:val="000000"/>
                <w:sz w:val="20"/>
              </w:rPr>
            </w:pPr>
            <w:r w:rsidRPr="00ED0D6D">
              <w:rPr>
                <w:color w:val="000000"/>
                <w:sz w:val="20"/>
              </w:rPr>
              <w:t>SADM</w:t>
            </w:r>
          </w:p>
        </w:tc>
        <w:tc>
          <w:tcPr>
            <w:tcW w:w="1172" w:type="dxa"/>
            <w:shd w:val="clear" w:color="auto" w:fill="auto"/>
            <w:vAlign w:val="center"/>
          </w:tcPr>
          <w:p w14:paraId="281751E1" w14:textId="77777777" w:rsidR="00975F26" w:rsidRPr="00ED0D6D" w:rsidRDefault="00975F26" w:rsidP="002A479B">
            <w:pPr>
              <w:jc w:val="center"/>
              <w:rPr>
                <w:color w:val="000000"/>
                <w:sz w:val="20"/>
              </w:rPr>
            </w:pPr>
            <w:r w:rsidRPr="00ED0D6D">
              <w:rPr>
                <w:color w:val="000000"/>
                <w:sz w:val="20"/>
              </w:rPr>
              <w:t>NPP2030 17LRVP</w:t>
            </w:r>
          </w:p>
        </w:tc>
      </w:tr>
      <w:tr w:rsidR="00975F26" w:rsidRPr="00ED0D6D" w14:paraId="2C5340D8" w14:textId="77777777" w:rsidTr="002A479B">
        <w:trPr>
          <w:trHeight w:val="612"/>
        </w:trPr>
        <w:tc>
          <w:tcPr>
            <w:tcW w:w="618" w:type="dxa"/>
            <w:shd w:val="clear" w:color="000000" w:fill="FFFFFF"/>
            <w:vAlign w:val="center"/>
            <w:hideMark/>
          </w:tcPr>
          <w:p w14:paraId="016DAAF2"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000000" w:fill="FFFFFF"/>
            <w:vAlign w:val="center"/>
          </w:tcPr>
          <w:p w14:paraId="6743BEC8" w14:textId="77777777" w:rsidR="00975F26" w:rsidRPr="00ED0D6D" w:rsidRDefault="00975F26" w:rsidP="002A479B">
            <w:pPr>
              <w:jc w:val="both"/>
              <w:rPr>
                <w:color w:val="000000"/>
                <w:sz w:val="20"/>
              </w:rPr>
            </w:pPr>
            <w:r w:rsidRPr="00ED0D6D">
              <w:rPr>
                <w:color w:val="000000"/>
                <w:sz w:val="20"/>
              </w:rPr>
              <w:t xml:space="preserve">Šeimų, auginančių neįgalius vaikus, ir jaunų neįgaliųjų būsto pritaikymo poreikio patenkinimo (proc.)   </w:t>
            </w:r>
          </w:p>
        </w:tc>
        <w:tc>
          <w:tcPr>
            <w:tcW w:w="1080" w:type="dxa"/>
            <w:shd w:val="clear" w:color="000000" w:fill="FFFFFF"/>
            <w:vAlign w:val="center"/>
          </w:tcPr>
          <w:p w14:paraId="2CFAF9B1" w14:textId="77777777" w:rsidR="00975F26" w:rsidRPr="00ED0D6D" w:rsidRDefault="00975F26" w:rsidP="002A479B">
            <w:pPr>
              <w:jc w:val="center"/>
              <w:rPr>
                <w:color w:val="000000"/>
                <w:sz w:val="20"/>
              </w:rPr>
            </w:pPr>
            <w:r w:rsidRPr="00ED0D6D">
              <w:rPr>
                <w:color w:val="000000"/>
                <w:sz w:val="20"/>
              </w:rPr>
              <w:t>84,7</w:t>
            </w:r>
          </w:p>
        </w:tc>
        <w:tc>
          <w:tcPr>
            <w:tcW w:w="1272" w:type="dxa"/>
            <w:shd w:val="clear" w:color="000000" w:fill="FFFFFF"/>
            <w:vAlign w:val="center"/>
          </w:tcPr>
          <w:p w14:paraId="3349C3FB" w14:textId="77777777" w:rsidR="00975F26" w:rsidRPr="00ED0D6D" w:rsidRDefault="00975F26" w:rsidP="002A479B">
            <w:pPr>
              <w:jc w:val="center"/>
              <w:rPr>
                <w:color w:val="000000"/>
                <w:sz w:val="20"/>
              </w:rPr>
            </w:pPr>
            <w:r w:rsidRPr="00ED0D6D">
              <w:rPr>
                <w:color w:val="000000"/>
                <w:sz w:val="20"/>
              </w:rPr>
              <w:t>58,4</w:t>
            </w:r>
          </w:p>
        </w:tc>
        <w:tc>
          <w:tcPr>
            <w:tcW w:w="948" w:type="dxa"/>
            <w:shd w:val="clear" w:color="auto" w:fill="auto"/>
            <w:vAlign w:val="center"/>
          </w:tcPr>
          <w:p w14:paraId="2FF0555E"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3207C12E" w14:textId="77777777" w:rsidR="00975F26" w:rsidRPr="00ED0D6D" w:rsidRDefault="00975F26" w:rsidP="002A479B">
            <w:pPr>
              <w:jc w:val="center"/>
              <w:rPr>
                <w:color w:val="000000"/>
                <w:sz w:val="20"/>
              </w:rPr>
            </w:pPr>
            <w:r w:rsidRPr="00ED0D6D">
              <w:rPr>
                <w:color w:val="000000"/>
                <w:sz w:val="20"/>
              </w:rPr>
              <w:t>90</w:t>
            </w:r>
          </w:p>
        </w:tc>
        <w:tc>
          <w:tcPr>
            <w:tcW w:w="1250" w:type="dxa"/>
            <w:shd w:val="clear" w:color="000000" w:fill="FFFFFF"/>
            <w:vAlign w:val="center"/>
          </w:tcPr>
          <w:p w14:paraId="6E8AC6DE" w14:textId="77777777" w:rsidR="00975F26" w:rsidRPr="00ED0D6D" w:rsidRDefault="00975F26" w:rsidP="002A479B">
            <w:pPr>
              <w:jc w:val="center"/>
              <w:rPr>
                <w:color w:val="000000"/>
                <w:sz w:val="20"/>
              </w:rPr>
            </w:pPr>
            <w:r w:rsidRPr="00ED0D6D">
              <w:rPr>
                <w:color w:val="000000"/>
                <w:sz w:val="20"/>
              </w:rPr>
              <w:t>-</w:t>
            </w:r>
          </w:p>
        </w:tc>
        <w:tc>
          <w:tcPr>
            <w:tcW w:w="1250" w:type="dxa"/>
            <w:shd w:val="clear" w:color="000000" w:fill="FFFFFF"/>
            <w:vAlign w:val="center"/>
          </w:tcPr>
          <w:p w14:paraId="5CFC2596" w14:textId="77777777" w:rsidR="00975F26" w:rsidRPr="00ED0D6D" w:rsidRDefault="00975F26" w:rsidP="002A479B">
            <w:pPr>
              <w:jc w:val="center"/>
              <w:rPr>
                <w:color w:val="000000"/>
                <w:sz w:val="20"/>
              </w:rPr>
            </w:pPr>
            <w:r w:rsidRPr="00ED0D6D">
              <w:rPr>
                <w:color w:val="000000"/>
                <w:sz w:val="20"/>
              </w:rPr>
              <w:t>-</w:t>
            </w:r>
          </w:p>
        </w:tc>
        <w:tc>
          <w:tcPr>
            <w:tcW w:w="2316" w:type="dxa"/>
            <w:shd w:val="clear" w:color="000000" w:fill="FFFFFF"/>
          </w:tcPr>
          <w:p w14:paraId="503ADDE8" w14:textId="77777777" w:rsidR="00975F26" w:rsidRPr="00ED0D6D" w:rsidRDefault="00975F26" w:rsidP="002A479B">
            <w:pPr>
              <w:jc w:val="center"/>
              <w:rPr>
                <w:color w:val="000000"/>
                <w:sz w:val="20"/>
              </w:rPr>
            </w:pPr>
            <w:r w:rsidRPr="00ED0D6D">
              <w:rPr>
                <w:color w:val="000000"/>
                <w:sz w:val="20"/>
              </w:rPr>
              <w:t>Neįgaliųjų reikalų departamentas prie SADM</w:t>
            </w:r>
          </w:p>
        </w:tc>
        <w:tc>
          <w:tcPr>
            <w:tcW w:w="1172" w:type="dxa"/>
            <w:shd w:val="clear" w:color="auto" w:fill="auto"/>
            <w:vAlign w:val="center"/>
          </w:tcPr>
          <w:p w14:paraId="7D5FF521" w14:textId="77777777" w:rsidR="00975F26" w:rsidRPr="00ED0D6D" w:rsidRDefault="00975F26" w:rsidP="002A479B">
            <w:pPr>
              <w:jc w:val="center"/>
              <w:rPr>
                <w:color w:val="000000"/>
                <w:sz w:val="20"/>
              </w:rPr>
            </w:pPr>
            <w:r w:rsidRPr="00ED0D6D">
              <w:rPr>
                <w:color w:val="000000"/>
                <w:sz w:val="20"/>
              </w:rPr>
              <w:t>NPP2020</w:t>
            </w:r>
          </w:p>
          <w:p w14:paraId="654BE9BF"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42F8D7DE" w14:textId="77777777" w:rsidTr="002A479B">
        <w:trPr>
          <w:trHeight w:val="372"/>
        </w:trPr>
        <w:tc>
          <w:tcPr>
            <w:tcW w:w="618" w:type="dxa"/>
            <w:shd w:val="clear" w:color="000000" w:fill="FFFFFF"/>
            <w:vAlign w:val="center"/>
            <w:hideMark/>
          </w:tcPr>
          <w:p w14:paraId="10EB6CFF" w14:textId="77777777" w:rsidR="00975F26" w:rsidRPr="00ED0D6D" w:rsidRDefault="00975F26" w:rsidP="002A479B">
            <w:pPr>
              <w:pStyle w:val="Sraopastraipa"/>
              <w:numPr>
                <w:ilvl w:val="0"/>
                <w:numId w:val="11"/>
              </w:numPr>
              <w:ind w:left="0" w:firstLine="0"/>
              <w:rPr>
                <w:rFonts w:ascii="Times New Roman" w:hAnsi="Times New Roman"/>
                <w:color w:val="000000"/>
                <w:sz w:val="20"/>
                <w:szCs w:val="20"/>
              </w:rPr>
            </w:pPr>
          </w:p>
        </w:tc>
        <w:tc>
          <w:tcPr>
            <w:tcW w:w="4678" w:type="dxa"/>
            <w:shd w:val="clear" w:color="000000" w:fill="FFFFFF"/>
            <w:vAlign w:val="center"/>
          </w:tcPr>
          <w:p w14:paraId="32C133E7" w14:textId="77777777" w:rsidR="00975F26" w:rsidRPr="00ED0D6D" w:rsidRDefault="00975F26" w:rsidP="002A479B">
            <w:pPr>
              <w:jc w:val="both"/>
              <w:rPr>
                <w:color w:val="000000"/>
                <w:sz w:val="20"/>
              </w:rPr>
            </w:pPr>
            <w:r w:rsidRPr="00ED0D6D">
              <w:rPr>
                <w:color w:val="000000"/>
                <w:sz w:val="20"/>
              </w:rPr>
              <w:t xml:space="preserve">Smurtą patyrusių asmenų dalis (proc.) </w:t>
            </w:r>
          </w:p>
        </w:tc>
        <w:tc>
          <w:tcPr>
            <w:tcW w:w="1080" w:type="dxa"/>
            <w:shd w:val="clear" w:color="000000" w:fill="FFFFFF"/>
            <w:vAlign w:val="center"/>
          </w:tcPr>
          <w:p w14:paraId="38F0E069" w14:textId="77777777" w:rsidR="00975F26" w:rsidRPr="00ED0D6D" w:rsidRDefault="00975F26" w:rsidP="002A479B">
            <w:pPr>
              <w:jc w:val="center"/>
              <w:rPr>
                <w:color w:val="000000"/>
                <w:sz w:val="20"/>
              </w:rPr>
            </w:pPr>
            <w:r w:rsidRPr="00ED0D6D">
              <w:rPr>
                <w:color w:val="000000"/>
                <w:sz w:val="20"/>
              </w:rPr>
              <w:t>19</w:t>
            </w:r>
          </w:p>
        </w:tc>
        <w:tc>
          <w:tcPr>
            <w:tcW w:w="1272" w:type="dxa"/>
            <w:shd w:val="clear" w:color="000000" w:fill="FFFFFF"/>
            <w:vAlign w:val="center"/>
          </w:tcPr>
          <w:p w14:paraId="0BDDFE87" w14:textId="77777777" w:rsidR="00975F26" w:rsidRPr="00ED0D6D" w:rsidRDefault="00975F26" w:rsidP="002A479B">
            <w:pPr>
              <w:jc w:val="center"/>
              <w:rPr>
                <w:color w:val="000000"/>
                <w:sz w:val="20"/>
              </w:rPr>
            </w:pPr>
            <w:r w:rsidRPr="00ED0D6D">
              <w:rPr>
                <w:color w:val="000000"/>
                <w:sz w:val="20"/>
              </w:rPr>
              <w:t>18</w:t>
            </w:r>
          </w:p>
        </w:tc>
        <w:tc>
          <w:tcPr>
            <w:tcW w:w="948" w:type="dxa"/>
            <w:shd w:val="clear" w:color="auto" w:fill="auto"/>
            <w:vAlign w:val="center"/>
          </w:tcPr>
          <w:p w14:paraId="5E7A4779"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1414E346" w14:textId="77777777" w:rsidR="00975F26" w:rsidRPr="00ED0D6D" w:rsidRDefault="00975F26" w:rsidP="002A479B">
            <w:pPr>
              <w:jc w:val="center"/>
              <w:rPr>
                <w:color w:val="000000"/>
                <w:sz w:val="20"/>
              </w:rPr>
            </w:pPr>
            <w:r w:rsidRPr="00ED0D6D">
              <w:rPr>
                <w:color w:val="000000"/>
                <w:sz w:val="20"/>
              </w:rPr>
              <w:t>26</w:t>
            </w:r>
          </w:p>
        </w:tc>
        <w:tc>
          <w:tcPr>
            <w:tcW w:w="1250" w:type="dxa"/>
            <w:shd w:val="clear" w:color="000000" w:fill="FFFFFF"/>
            <w:vAlign w:val="center"/>
          </w:tcPr>
          <w:p w14:paraId="005FA0A4" w14:textId="77777777" w:rsidR="00975F26" w:rsidRPr="00ED0D6D" w:rsidRDefault="00975F26" w:rsidP="002A479B">
            <w:pPr>
              <w:jc w:val="center"/>
              <w:rPr>
                <w:color w:val="000000"/>
                <w:sz w:val="20"/>
              </w:rPr>
            </w:pPr>
            <w:r w:rsidRPr="00ED0D6D">
              <w:rPr>
                <w:color w:val="000000"/>
                <w:sz w:val="20"/>
              </w:rPr>
              <w:t>-</w:t>
            </w:r>
          </w:p>
        </w:tc>
        <w:tc>
          <w:tcPr>
            <w:tcW w:w="1250" w:type="dxa"/>
            <w:shd w:val="clear" w:color="000000" w:fill="FFFFFF"/>
            <w:vAlign w:val="center"/>
          </w:tcPr>
          <w:p w14:paraId="6FA26D7F" w14:textId="77777777" w:rsidR="00975F26" w:rsidRPr="00ED0D6D" w:rsidRDefault="00975F26" w:rsidP="002A479B">
            <w:pPr>
              <w:jc w:val="center"/>
              <w:rPr>
                <w:color w:val="000000"/>
                <w:sz w:val="20"/>
              </w:rPr>
            </w:pPr>
            <w:r w:rsidRPr="00ED0D6D">
              <w:rPr>
                <w:color w:val="000000"/>
                <w:sz w:val="20"/>
              </w:rPr>
              <w:t>-</w:t>
            </w:r>
          </w:p>
        </w:tc>
        <w:tc>
          <w:tcPr>
            <w:tcW w:w="2316" w:type="dxa"/>
            <w:shd w:val="clear" w:color="000000" w:fill="FFFFFF"/>
          </w:tcPr>
          <w:p w14:paraId="454F8AA3" w14:textId="77777777" w:rsidR="00975F26" w:rsidRPr="00ED0D6D" w:rsidRDefault="00975F26" w:rsidP="002A479B">
            <w:pPr>
              <w:jc w:val="center"/>
              <w:rPr>
                <w:color w:val="000000"/>
                <w:sz w:val="20"/>
              </w:rPr>
            </w:pPr>
            <w:r w:rsidRPr="00ED0D6D">
              <w:rPr>
                <w:color w:val="000000"/>
                <w:sz w:val="20"/>
              </w:rPr>
              <w:t>SADM</w:t>
            </w:r>
          </w:p>
        </w:tc>
        <w:tc>
          <w:tcPr>
            <w:tcW w:w="1172" w:type="dxa"/>
            <w:shd w:val="clear" w:color="000000" w:fill="FFFFFF"/>
            <w:vAlign w:val="center"/>
          </w:tcPr>
          <w:p w14:paraId="17866DDA" w14:textId="77777777" w:rsidR="00975F26" w:rsidRPr="00ED0D6D" w:rsidRDefault="00975F26" w:rsidP="002A479B">
            <w:pPr>
              <w:jc w:val="center"/>
              <w:rPr>
                <w:color w:val="000000"/>
                <w:sz w:val="20"/>
              </w:rPr>
            </w:pPr>
            <w:r w:rsidRPr="00ED0D6D">
              <w:rPr>
                <w:color w:val="000000"/>
                <w:sz w:val="20"/>
              </w:rPr>
              <w:t>NPP2020</w:t>
            </w:r>
          </w:p>
          <w:p w14:paraId="1B31077C" w14:textId="77777777" w:rsidR="00975F26" w:rsidRPr="00ED0D6D" w:rsidRDefault="00975F26" w:rsidP="002A479B">
            <w:pPr>
              <w:jc w:val="center"/>
              <w:rPr>
                <w:b/>
                <w:bCs/>
                <w:i/>
                <w:iCs/>
                <w:color w:val="000000"/>
                <w:sz w:val="20"/>
              </w:rPr>
            </w:pPr>
            <w:r w:rsidRPr="00ED0D6D">
              <w:rPr>
                <w:color w:val="000000"/>
                <w:sz w:val="20"/>
              </w:rPr>
              <w:t>17LRVP</w:t>
            </w:r>
          </w:p>
        </w:tc>
      </w:tr>
      <w:tr w:rsidR="00975F26" w:rsidRPr="00ED0D6D" w14:paraId="765FF180" w14:textId="77777777" w:rsidTr="002A479B">
        <w:trPr>
          <w:trHeight w:val="540"/>
        </w:trPr>
        <w:tc>
          <w:tcPr>
            <w:tcW w:w="618" w:type="dxa"/>
            <w:shd w:val="clear" w:color="auto" w:fill="auto"/>
            <w:vAlign w:val="center"/>
            <w:hideMark/>
          </w:tcPr>
          <w:p w14:paraId="5F7E45D9"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0A4A8CBF" w14:textId="77777777" w:rsidR="00975F26" w:rsidRPr="00ED0D6D" w:rsidRDefault="00975F26" w:rsidP="002A479B">
            <w:pPr>
              <w:jc w:val="both"/>
              <w:rPr>
                <w:color w:val="000000"/>
                <w:sz w:val="20"/>
              </w:rPr>
            </w:pPr>
            <w:r w:rsidRPr="00ED0D6D">
              <w:rPr>
                <w:color w:val="000000"/>
                <w:sz w:val="20"/>
              </w:rPr>
              <w:t xml:space="preserve">Į bendruomenių veiklą įsitraukusių gyventojų dalis nuo visų gyventojų (proc.) </w:t>
            </w:r>
          </w:p>
        </w:tc>
        <w:tc>
          <w:tcPr>
            <w:tcW w:w="1080" w:type="dxa"/>
            <w:shd w:val="clear" w:color="000000" w:fill="FFFFFF"/>
            <w:vAlign w:val="center"/>
          </w:tcPr>
          <w:p w14:paraId="690638FA" w14:textId="77777777" w:rsidR="00975F26" w:rsidRPr="00ED0D6D" w:rsidRDefault="00975F26" w:rsidP="002A479B">
            <w:pPr>
              <w:jc w:val="center"/>
              <w:rPr>
                <w:color w:val="000000"/>
                <w:sz w:val="20"/>
              </w:rPr>
            </w:pPr>
            <w:r w:rsidRPr="00ED0D6D">
              <w:rPr>
                <w:color w:val="000000"/>
                <w:sz w:val="20"/>
              </w:rPr>
              <w:t>20,8</w:t>
            </w:r>
          </w:p>
        </w:tc>
        <w:tc>
          <w:tcPr>
            <w:tcW w:w="1272" w:type="dxa"/>
            <w:shd w:val="clear" w:color="000000" w:fill="FFFFFF"/>
            <w:vAlign w:val="center"/>
          </w:tcPr>
          <w:p w14:paraId="2EC4B480" w14:textId="77777777" w:rsidR="00975F26" w:rsidRPr="00ED0D6D" w:rsidRDefault="00975F26" w:rsidP="002A479B">
            <w:pPr>
              <w:jc w:val="center"/>
              <w:rPr>
                <w:color w:val="000000"/>
                <w:sz w:val="20"/>
              </w:rPr>
            </w:pPr>
            <w:r w:rsidRPr="00ED0D6D">
              <w:rPr>
                <w:color w:val="000000"/>
                <w:sz w:val="20"/>
              </w:rPr>
              <w:t xml:space="preserve">N.D. </w:t>
            </w:r>
          </w:p>
        </w:tc>
        <w:tc>
          <w:tcPr>
            <w:tcW w:w="948" w:type="dxa"/>
            <w:shd w:val="clear" w:color="auto" w:fill="auto"/>
            <w:vAlign w:val="center"/>
          </w:tcPr>
          <w:p w14:paraId="4B4D58A2"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714E194A" w14:textId="77777777" w:rsidR="00975F26" w:rsidRPr="00ED0D6D" w:rsidRDefault="00975F26" w:rsidP="002A479B">
            <w:pPr>
              <w:jc w:val="center"/>
              <w:rPr>
                <w:color w:val="000000"/>
                <w:sz w:val="20"/>
              </w:rPr>
            </w:pPr>
            <w:r w:rsidRPr="00ED0D6D">
              <w:rPr>
                <w:color w:val="000000"/>
                <w:sz w:val="20"/>
              </w:rPr>
              <w:t>45</w:t>
            </w:r>
          </w:p>
        </w:tc>
        <w:tc>
          <w:tcPr>
            <w:tcW w:w="1250" w:type="dxa"/>
            <w:shd w:val="clear" w:color="auto" w:fill="auto"/>
            <w:vAlign w:val="center"/>
          </w:tcPr>
          <w:p w14:paraId="5C2D0EF0"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47A2EC1F"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5049406C" w14:textId="77777777" w:rsidR="00975F26" w:rsidRPr="00ED0D6D" w:rsidRDefault="00975F26" w:rsidP="002A479B">
            <w:pPr>
              <w:jc w:val="center"/>
              <w:rPr>
                <w:color w:val="000000"/>
                <w:sz w:val="20"/>
              </w:rPr>
            </w:pPr>
            <w:r w:rsidRPr="00ED0D6D">
              <w:rPr>
                <w:color w:val="000000"/>
                <w:sz w:val="20"/>
              </w:rPr>
              <w:t>SADM</w:t>
            </w:r>
          </w:p>
        </w:tc>
        <w:tc>
          <w:tcPr>
            <w:tcW w:w="1172" w:type="dxa"/>
            <w:shd w:val="clear" w:color="auto" w:fill="auto"/>
            <w:vAlign w:val="center"/>
          </w:tcPr>
          <w:p w14:paraId="25393CF0" w14:textId="77777777" w:rsidR="00975F26" w:rsidRPr="00ED0D6D" w:rsidRDefault="00975F26" w:rsidP="002A479B">
            <w:pPr>
              <w:jc w:val="center"/>
              <w:rPr>
                <w:color w:val="000000"/>
                <w:sz w:val="20"/>
              </w:rPr>
            </w:pPr>
            <w:r w:rsidRPr="00ED0D6D">
              <w:rPr>
                <w:color w:val="000000"/>
                <w:sz w:val="20"/>
              </w:rPr>
              <w:t>NPP2020</w:t>
            </w:r>
          </w:p>
          <w:p w14:paraId="1FE38487"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7C8FA9DD" w14:textId="77777777" w:rsidTr="002A479B">
        <w:trPr>
          <w:trHeight w:val="540"/>
        </w:trPr>
        <w:tc>
          <w:tcPr>
            <w:tcW w:w="618" w:type="dxa"/>
            <w:shd w:val="clear" w:color="auto" w:fill="auto"/>
            <w:vAlign w:val="center"/>
          </w:tcPr>
          <w:p w14:paraId="59C0C01F"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52975295" w14:textId="77777777" w:rsidR="00975F26" w:rsidRPr="00ED0D6D" w:rsidRDefault="00975F26" w:rsidP="002A479B">
            <w:pPr>
              <w:jc w:val="both"/>
              <w:rPr>
                <w:color w:val="000000"/>
                <w:sz w:val="20"/>
              </w:rPr>
            </w:pPr>
            <w:r w:rsidRPr="00ED0D6D">
              <w:rPr>
                <w:color w:val="000000"/>
                <w:sz w:val="20"/>
              </w:rPr>
              <w:t xml:space="preserve">Savivaldybių, kuriose išplėtotos gatvės darbo, mobilaus darbo su jaunimu formos, skaičius (vienetai)   </w:t>
            </w:r>
          </w:p>
        </w:tc>
        <w:tc>
          <w:tcPr>
            <w:tcW w:w="1080" w:type="dxa"/>
            <w:shd w:val="clear" w:color="000000" w:fill="FFFFFF"/>
            <w:vAlign w:val="center"/>
          </w:tcPr>
          <w:p w14:paraId="1247F87F" w14:textId="77777777" w:rsidR="00975F26" w:rsidRPr="00ED0D6D" w:rsidRDefault="00975F26" w:rsidP="002A479B">
            <w:pPr>
              <w:jc w:val="center"/>
              <w:rPr>
                <w:color w:val="000000"/>
                <w:sz w:val="20"/>
              </w:rPr>
            </w:pPr>
            <w:r w:rsidRPr="00ED0D6D">
              <w:rPr>
                <w:color w:val="000000"/>
                <w:sz w:val="20"/>
              </w:rPr>
              <w:t>15</w:t>
            </w:r>
          </w:p>
        </w:tc>
        <w:tc>
          <w:tcPr>
            <w:tcW w:w="1272" w:type="dxa"/>
            <w:shd w:val="clear" w:color="000000" w:fill="FFFFFF"/>
            <w:vAlign w:val="center"/>
          </w:tcPr>
          <w:p w14:paraId="6E14D5DC" w14:textId="77777777" w:rsidR="00975F26" w:rsidRPr="00ED0D6D" w:rsidRDefault="00975F26" w:rsidP="002A479B">
            <w:pPr>
              <w:jc w:val="center"/>
              <w:rPr>
                <w:color w:val="000000"/>
                <w:sz w:val="20"/>
              </w:rPr>
            </w:pPr>
            <w:r w:rsidRPr="00ED0D6D">
              <w:rPr>
                <w:color w:val="000000"/>
                <w:sz w:val="20"/>
              </w:rPr>
              <w:t>19</w:t>
            </w:r>
          </w:p>
        </w:tc>
        <w:tc>
          <w:tcPr>
            <w:tcW w:w="948" w:type="dxa"/>
            <w:shd w:val="clear" w:color="auto" w:fill="auto"/>
            <w:vAlign w:val="center"/>
          </w:tcPr>
          <w:p w14:paraId="305D3BD4"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03CD04DE" w14:textId="77777777" w:rsidR="00975F26" w:rsidRPr="00ED0D6D" w:rsidRDefault="00975F26" w:rsidP="002A479B">
            <w:pPr>
              <w:jc w:val="center"/>
              <w:rPr>
                <w:color w:val="000000"/>
                <w:sz w:val="20"/>
              </w:rPr>
            </w:pPr>
            <w:r w:rsidRPr="00ED0D6D">
              <w:rPr>
                <w:color w:val="000000"/>
                <w:sz w:val="20"/>
              </w:rPr>
              <w:t>25</w:t>
            </w:r>
          </w:p>
        </w:tc>
        <w:tc>
          <w:tcPr>
            <w:tcW w:w="1250" w:type="dxa"/>
            <w:shd w:val="clear" w:color="auto" w:fill="auto"/>
            <w:vAlign w:val="center"/>
          </w:tcPr>
          <w:p w14:paraId="6B406BBF"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217279F2"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3FBD009F" w14:textId="77777777" w:rsidR="00975F26" w:rsidRPr="00ED0D6D" w:rsidRDefault="00975F26" w:rsidP="002A479B">
            <w:pPr>
              <w:jc w:val="center"/>
              <w:rPr>
                <w:color w:val="000000"/>
                <w:sz w:val="20"/>
              </w:rPr>
            </w:pPr>
            <w:r w:rsidRPr="00ED0D6D">
              <w:rPr>
                <w:color w:val="000000"/>
                <w:sz w:val="20"/>
              </w:rPr>
              <w:t>SADM</w:t>
            </w:r>
          </w:p>
        </w:tc>
        <w:tc>
          <w:tcPr>
            <w:tcW w:w="1172" w:type="dxa"/>
            <w:shd w:val="clear" w:color="auto" w:fill="auto"/>
            <w:vAlign w:val="center"/>
          </w:tcPr>
          <w:p w14:paraId="50CDA715" w14:textId="77777777" w:rsidR="00975F26" w:rsidRPr="00ED0D6D" w:rsidRDefault="00975F26" w:rsidP="002A479B">
            <w:pPr>
              <w:jc w:val="center"/>
              <w:rPr>
                <w:color w:val="000000"/>
                <w:sz w:val="20"/>
              </w:rPr>
            </w:pPr>
            <w:r w:rsidRPr="00ED0D6D">
              <w:rPr>
                <w:color w:val="000000"/>
                <w:sz w:val="20"/>
              </w:rPr>
              <w:t xml:space="preserve">17LRVP </w:t>
            </w:r>
          </w:p>
        </w:tc>
      </w:tr>
      <w:tr w:rsidR="00975F26" w:rsidRPr="00ED0D6D" w14:paraId="6E174D40" w14:textId="77777777" w:rsidTr="002A479B">
        <w:trPr>
          <w:trHeight w:val="540"/>
        </w:trPr>
        <w:tc>
          <w:tcPr>
            <w:tcW w:w="618" w:type="dxa"/>
            <w:shd w:val="clear" w:color="auto" w:fill="auto"/>
            <w:vAlign w:val="center"/>
          </w:tcPr>
          <w:p w14:paraId="2E74904D"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48D0AE1E" w14:textId="77777777" w:rsidR="00975F26" w:rsidRPr="00ED0D6D" w:rsidRDefault="00975F26" w:rsidP="002A479B">
            <w:pPr>
              <w:jc w:val="both"/>
              <w:rPr>
                <w:color w:val="000000"/>
                <w:sz w:val="20"/>
              </w:rPr>
            </w:pPr>
            <w:r w:rsidRPr="00ED0D6D">
              <w:rPr>
                <w:color w:val="000000"/>
                <w:sz w:val="20"/>
              </w:rPr>
              <w:t xml:space="preserve">Šalies vidutinio mėnesinio bruto darbo užmokesčio pokytis, palyginti su praėjusiais metais (proc.)   </w:t>
            </w:r>
          </w:p>
        </w:tc>
        <w:tc>
          <w:tcPr>
            <w:tcW w:w="1080" w:type="dxa"/>
            <w:shd w:val="clear" w:color="000000" w:fill="FFFFFF"/>
            <w:vAlign w:val="center"/>
          </w:tcPr>
          <w:p w14:paraId="08B48E11" w14:textId="77777777" w:rsidR="00975F26" w:rsidRPr="00ED0D6D" w:rsidRDefault="00975F26" w:rsidP="002A479B">
            <w:pPr>
              <w:jc w:val="center"/>
              <w:rPr>
                <w:color w:val="000000"/>
                <w:sz w:val="20"/>
              </w:rPr>
            </w:pPr>
            <w:r w:rsidRPr="00ED0D6D">
              <w:rPr>
                <w:color w:val="000000"/>
                <w:sz w:val="20"/>
              </w:rPr>
              <w:t>8,8</w:t>
            </w:r>
          </w:p>
        </w:tc>
        <w:tc>
          <w:tcPr>
            <w:tcW w:w="1272" w:type="dxa"/>
            <w:shd w:val="clear" w:color="000000" w:fill="FFFFFF"/>
            <w:vAlign w:val="center"/>
          </w:tcPr>
          <w:p w14:paraId="11BADB80" w14:textId="77777777" w:rsidR="00975F26" w:rsidRPr="00ED0D6D" w:rsidRDefault="00975F26" w:rsidP="002A479B">
            <w:pPr>
              <w:jc w:val="center"/>
              <w:rPr>
                <w:color w:val="000000"/>
                <w:sz w:val="20"/>
              </w:rPr>
            </w:pPr>
            <w:r w:rsidRPr="00ED0D6D">
              <w:rPr>
                <w:color w:val="000000"/>
                <w:sz w:val="20"/>
              </w:rPr>
              <w:t>9,6</w:t>
            </w:r>
          </w:p>
        </w:tc>
        <w:tc>
          <w:tcPr>
            <w:tcW w:w="948" w:type="dxa"/>
            <w:shd w:val="clear" w:color="auto" w:fill="auto"/>
            <w:vAlign w:val="center"/>
          </w:tcPr>
          <w:p w14:paraId="48836F41"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754FDB77" w14:textId="77777777" w:rsidR="00975F26" w:rsidRPr="00ED0D6D" w:rsidRDefault="00975F26" w:rsidP="002A479B">
            <w:pPr>
              <w:jc w:val="center"/>
              <w:rPr>
                <w:color w:val="000000"/>
                <w:sz w:val="20"/>
              </w:rPr>
            </w:pPr>
            <w:r w:rsidRPr="00ED0D6D">
              <w:rPr>
                <w:color w:val="000000"/>
                <w:sz w:val="20"/>
              </w:rPr>
              <w:t>6,5</w:t>
            </w:r>
          </w:p>
        </w:tc>
        <w:tc>
          <w:tcPr>
            <w:tcW w:w="1250" w:type="dxa"/>
            <w:shd w:val="clear" w:color="auto" w:fill="auto"/>
            <w:vAlign w:val="center"/>
          </w:tcPr>
          <w:p w14:paraId="13A34FAE"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7B348BF7"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29EA870E"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254BF589" w14:textId="77777777" w:rsidR="00975F26" w:rsidRPr="00ED0D6D" w:rsidRDefault="00975F26" w:rsidP="002A479B">
            <w:pPr>
              <w:jc w:val="center"/>
              <w:rPr>
                <w:color w:val="000000"/>
                <w:sz w:val="20"/>
              </w:rPr>
            </w:pPr>
            <w:r w:rsidRPr="00ED0D6D">
              <w:rPr>
                <w:color w:val="000000"/>
                <w:sz w:val="20"/>
              </w:rPr>
              <w:t xml:space="preserve">17LRVP </w:t>
            </w:r>
          </w:p>
        </w:tc>
      </w:tr>
      <w:tr w:rsidR="00975F26" w:rsidRPr="00ED0D6D" w14:paraId="24952C2E" w14:textId="77777777" w:rsidTr="002A479B">
        <w:trPr>
          <w:trHeight w:val="485"/>
        </w:trPr>
        <w:tc>
          <w:tcPr>
            <w:tcW w:w="618" w:type="dxa"/>
            <w:shd w:val="clear" w:color="auto" w:fill="auto"/>
            <w:vAlign w:val="center"/>
            <w:hideMark/>
          </w:tcPr>
          <w:p w14:paraId="0EFB9134"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63FE4298" w14:textId="77777777" w:rsidR="00975F26" w:rsidRPr="00ED0D6D" w:rsidRDefault="00975F26" w:rsidP="002A479B">
            <w:pPr>
              <w:jc w:val="both"/>
              <w:rPr>
                <w:sz w:val="20"/>
              </w:rPr>
            </w:pPr>
            <w:r w:rsidRPr="00ED0D6D">
              <w:rPr>
                <w:color w:val="000000"/>
                <w:sz w:val="20"/>
              </w:rPr>
              <w:t>Bendrasis gimstamumo rodiklis (gimusių vaikų skaičius 1000 gyventojų) (asmenys)</w:t>
            </w:r>
          </w:p>
        </w:tc>
        <w:tc>
          <w:tcPr>
            <w:tcW w:w="1080" w:type="dxa"/>
            <w:shd w:val="clear" w:color="000000" w:fill="FFFFFF"/>
            <w:vAlign w:val="center"/>
          </w:tcPr>
          <w:p w14:paraId="2C4D9EBB" w14:textId="77777777" w:rsidR="00975F26" w:rsidRPr="00ED0D6D" w:rsidRDefault="00975F26" w:rsidP="002A479B">
            <w:pPr>
              <w:jc w:val="center"/>
              <w:rPr>
                <w:color w:val="000000"/>
                <w:sz w:val="20"/>
              </w:rPr>
            </w:pPr>
            <w:r w:rsidRPr="00ED0D6D">
              <w:rPr>
                <w:color w:val="000000"/>
                <w:sz w:val="20"/>
              </w:rPr>
              <w:t>9,8</w:t>
            </w:r>
          </w:p>
        </w:tc>
        <w:tc>
          <w:tcPr>
            <w:tcW w:w="1272" w:type="dxa"/>
            <w:shd w:val="clear" w:color="000000" w:fill="FFFFFF"/>
            <w:vAlign w:val="center"/>
          </w:tcPr>
          <w:p w14:paraId="38CF39C9" w14:textId="77777777" w:rsidR="00975F26" w:rsidRPr="00ED0D6D" w:rsidRDefault="00975F26" w:rsidP="002A479B">
            <w:pPr>
              <w:jc w:val="center"/>
              <w:rPr>
                <w:color w:val="000000"/>
                <w:sz w:val="20"/>
              </w:rPr>
            </w:pPr>
            <w:r w:rsidRPr="00ED0D6D">
              <w:rPr>
                <w:color w:val="000000"/>
                <w:sz w:val="20"/>
              </w:rPr>
              <w:t>8,8</w:t>
            </w:r>
          </w:p>
        </w:tc>
        <w:tc>
          <w:tcPr>
            <w:tcW w:w="948" w:type="dxa"/>
            <w:shd w:val="clear" w:color="auto" w:fill="auto"/>
            <w:vAlign w:val="center"/>
          </w:tcPr>
          <w:p w14:paraId="00E8A34C"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77CD54D3"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1B3C2807"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6DD85FD8"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20E1D05D"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12035309" w14:textId="77777777" w:rsidR="00975F26" w:rsidRPr="00ED0D6D" w:rsidRDefault="00975F26" w:rsidP="002A479B">
            <w:pPr>
              <w:jc w:val="center"/>
              <w:rPr>
                <w:color w:val="000000"/>
                <w:sz w:val="20"/>
              </w:rPr>
            </w:pPr>
            <w:r w:rsidRPr="00ED0D6D">
              <w:rPr>
                <w:color w:val="000000"/>
                <w:sz w:val="20"/>
              </w:rPr>
              <w:t>17LRVP </w:t>
            </w:r>
          </w:p>
        </w:tc>
      </w:tr>
      <w:tr w:rsidR="00975F26" w:rsidRPr="00ED0D6D" w14:paraId="7380066C" w14:textId="77777777" w:rsidTr="002A479B">
        <w:trPr>
          <w:trHeight w:val="408"/>
        </w:trPr>
        <w:tc>
          <w:tcPr>
            <w:tcW w:w="618" w:type="dxa"/>
            <w:shd w:val="clear" w:color="auto" w:fill="auto"/>
            <w:vAlign w:val="center"/>
            <w:hideMark/>
          </w:tcPr>
          <w:p w14:paraId="09CCA520" w14:textId="77777777" w:rsidR="00975F26" w:rsidRPr="00ED0D6D" w:rsidRDefault="00975F26" w:rsidP="002A479B">
            <w:pPr>
              <w:pStyle w:val="Sraopastraipa"/>
              <w:numPr>
                <w:ilvl w:val="0"/>
                <w:numId w:val="11"/>
              </w:numPr>
              <w:ind w:left="0" w:firstLine="0"/>
              <w:jc w:val="both"/>
              <w:rPr>
                <w:rFonts w:ascii="Times New Roman" w:hAnsi="Times New Roman"/>
                <w:color w:val="000000"/>
                <w:sz w:val="20"/>
                <w:szCs w:val="20"/>
              </w:rPr>
            </w:pPr>
          </w:p>
        </w:tc>
        <w:tc>
          <w:tcPr>
            <w:tcW w:w="4678" w:type="dxa"/>
            <w:shd w:val="clear" w:color="auto" w:fill="auto"/>
            <w:vAlign w:val="center"/>
          </w:tcPr>
          <w:p w14:paraId="0AE769E3" w14:textId="77777777" w:rsidR="00975F26" w:rsidRPr="00ED0D6D" w:rsidRDefault="00975F26" w:rsidP="002A479B">
            <w:pPr>
              <w:jc w:val="both"/>
              <w:rPr>
                <w:color w:val="000000"/>
                <w:sz w:val="20"/>
              </w:rPr>
            </w:pPr>
            <w:r w:rsidRPr="00ED0D6D">
              <w:rPr>
                <w:color w:val="000000"/>
                <w:sz w:val="20"/>
              </w:rPr>
              <w:t xml:space="preserve">Asmenų, gavusių kompleksines paslaugas, skaičiaus didėjimas, palyginti su ankstesniais metais (proc.)   </w:t>
            </w:r>
          </w:p>
        </w:tc>
        <w:tc>
          <w:tcPr>
            <w:tcW w:w="1080" w:type="dxa"/>
            <w:shd w:val="clear" w:color="000000" w:fill="FFFFFF"/>
            <w:vAlign w:val="center"/>
          </w:tcPr>
          <w:p w14:paraId="6AD5D1D9" w14:textId="77777777" w:rsidR="00975F26" w:rsidRPr="00ED0D6D" w:rsidRDefault="00975F26" w:rsidP="002A479B">
            <w:pPr>
              <w:jc w:val="center"/>
              <w:rPr>
                <w:color w:val="000000"/>
                <w:sz w:val="20"/>
              </w:rPr>
            </w:pPr>
            <w:r w:rsidRPr="00ED0D6D">
              <w:rPr>
                <w:color w:val="000000"/>
                <w:sz w:val="20"/>
              </w:rPr>
              <w:t>-0,9</w:t>
            </w:r>
          </w:p>
        </w:tc>
        <w:tc>
          <w:tcPr>
            <w:tcW w:w="1272" w:type="dxa"/>
            <w:shd w:val="clear" w:color="000000" w:fill="FFFFFF"/>
            <w:vAlign w:val="center"/>
          </w:tcPr>
          <w:p w14:paraId="27E06E5D" w14:textId="77777777" w:rsidR="00975F26" w:rsidRPr="00ED0D6D" w:rsidRDefault="00975F26" w:rsidP="002A479B">
            <w:pPr>
              <w:jc w:val="center"/>
              <w:rPr>
                <w:color w:val="000000"/>
                <w:sz w:val="20"/>
              </w:rPr>
            </w:pPr>
            <w:r w:rsidRPr="00ED0D6D">
              <w:rPr>
                <w:color w:val="000000"/>
                <w:sz w:val="20"/>
              </w:rPr>
              <w:t xml:space="preserve">-29,96 </w:t>
            </w:r>
          </w:p>
        </w:tc>
        <w:tc>
          <w:tcPr>
            <w:tcW w:w="948" w:type="dxa"/>
            <w:shd w:val="clear" w:color="auto" w:fill="auto"/>
            <w:vAlign w:val="center"/>
          </w:tcPr>
          <w:p w14:paraId="67F6BB6D" w14:textId="77777777" w:rsidR="00975F26" w:rsidRPr="00ED0D6D" w:rsidRDefault="00975F26" w:rsidP="002A479B">
            <w:pPr>
              <w:jc w:val="center"/>
              <w:rPr>
                <w:color w:val="000000"/>
                <w:sz w:val="20"/>
              </w:rPr>
            </w:pPr>
            <w:r w:rsidRPr="00ED0D6D">
              <w:rPr>
                <w:color w:val="000000"/>
                <w:sz w:val="20"/>
              </w:rPr>
              <w:t> </w:t>
            </w:r>
          </w:p>
        </w:tc>
        <w:tc>
          <w:tcPr>
            <w:tcW w:w="983" w:type="dxa"/>
            <w:shd w:val="clear" w:color="000000" w:fill="FFFFFF"/>
            <w:vAlign w:val="center"/>
          </w:tcPr>
          <w:p w14:paraId="7F813609" w14:textId="77777777" w:rsidR="00975F26" w:rsidRPr="00ED0D6D" w:rsidRDefault="00975F26" w:rsidP="002A479B">
            <w:pPr>
              <w:jc w:val="center"/>
              <w:rPr>
                <w:color w:val="000000"/>
                <w:sz w:val="20"/>
              </w:rPr>
            </w:pPr>
            <w:r w:rsidRPr="00ED0D6D">
              <w:rPr>
                <w:color w:val="000000"/>
                <w:sz w:val="20"/>
              </w:rPr>
              <w:t>5</w:t>
            </w:r>
          </w:p>
        </w:tc>
        <w:tc>
          <w:tcPr>
            <w:tcW w:w="1250" w:type="dxa"/>
            <w:shd w:val="clear" w:color="auto" w:fill="auto"/>
            <w:vAlign w:val="center"/>
          </w:tcPr>
          <w:p w14:paraId="1B02F7A0"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5BE26E72"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18B3E388" w14:textId="77777777" w:rsidR="00975F26" w:rsidRPr="00ED0D6D" w:rsidRDefault="00975F26" w:rsidP="002A479B">
            <w:pPr>
              <w:jc w:val="center"/>
              <w:rPr>
                <w:color w:val="000000"/>
                <w:sz w:val="20"/>
                <w:highlight w:val="yellow"/>
              </w:rPr>
            </w:pPr>
            <w:r w:rsidRPr="00ED0D6D">
              <w:rPr>
                <w:color w:val="000000"/>
                <w:sz w:val="20"/>
              </w:rPr>
              <w:t>SADM </w:t>
            </w:r>
          </w:p>
        </w:tc>
        <w:tc>
          <w:tcPr>
            <w:tcW w:w="1172" w:type="dxa"/>
            <w:shd w:val="clear" w:color="auto" w:fill="auto"/>
            <w:vAlign w:val="center"/>
          </w:tcPr>
          <w:p w14:paraId="482CA342"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1369DAAB" w14:textId="77777777" w:rsidTr="002A479B">
        <w:trPr>
          <w:trHeight w:val="384"/>
        </w:trPr>
        <w:tc>
          <w:tcPr>
            <w:tcW w:w="618" w:type="dxa"/>
            <w:shd w:val="clear" w:color="auto" w:fill="auto"/>
            <w:vAlign w:val="center"/>
            <w:hideMark/>
          </w:tcPr>
          <w:p w14:paraId="11834936"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749C4659" w14:textId="77777777" w:rsidR="00975F26" w:rsidRPr="00ED0D6D" w:rsidRDefault="00975F26" w:rsidP="002A479B">
            <w:pPr>
              <w:jc w:val="both"/>
              <w:rPr>
                <w:color w:val="000000"/>
                <w:sz w:val="20"/>
              </w:rPr>
            </w:pPr>
            <w:r w:rsidRPr="00ED0D6D">
              <w:rPr>
                <w:color w:val="000000"/>
                <w:sz w:val="20"/>
              </w:rPr>
              <w:t xml:space="preserve">Jaunų šeimų, auginančių vieną ir daugiau vaikų, skaičius, palyginti su bendru gavusių finansinę paskatą būstui įsigyti asmenų skaičiumi (proc.)   </w:t>
            </w:r>
          </w:p>
        </w:tc>
        <w:tc>
          <w:tcPr>
            <w:tcW w:w="1080" w:type="dxa"/>
            <w:shd w:val="clear" w:color="000000" w:fill="FFFFFF"/>
            <w:vAlign w:val="center"/>
          </w:tcPr>
          <w:p w14:paraId="2A43CB34" w14:textId="77777777" w:rsidR="00975F26" w:rsidRPr="00ED0D6D" w:rsidRDefault="00975F26" w:rsidP="002A479B">
            <w:pPr>
              <w:jc w:val="center"/>
              <w:rPr>
                <w:color w:val="000000"/>
                <w:sz w:val="20"/>
              </w:rPr>
            </w:pPr>
            <w:r w:rsidRPr="00ED0D6D">
              <w:rPr>
                <w:color w:val="000000"/>
                <w:sz w:val="20"/>
              </w:rPr>
              <w:t>77</w:t>
            </w:r>
          </w:p>
        </w:tc>
        <w:tc>
          <w:tcPr>
            <w:tcW w:w="1272" w:type="dxa"/>
            <w:shd w:val="clear" w:color="000000" w:fill="FFFFFF"/>
            <w:vAlign w:val="center"/>
          </w:tcPr>
          <w:p w14:paraId="05D761EF" w14:textId="77777777" w:rsidR="00975F26" w:rsidRPr="00ED0D6D" w:rsidRDefault="00975F26" w:rsidP="002A479B">
            <w:pPr>
              <w:jc w:val="center"/>
              <w:rPr>
                <w:color w:val="000000"/>
                <w:sz w:val="20"/>
              </w:rPr>
            </w:pPr>
            <w:r w:rsidRPr="00ED0D6D">
              <w:rPr>
                <w:color w:val="000000"/>
                <w:sz w:val="20"/>
              </w:rPr>
              <w:t>70</w:t>
            </w:r>
          </w:p>
        </w:tc>
        <w:tc>
          <w:tcPr>
            <w:tcW w:w="948" w:type="dxa"/>
            <w:shd w:val="clear" w:color="auto" w:fill="auto"/>
            <w:vAlign w:val="center"/>
          </w:tcPr>
          <w:p w14:paraId="32D4D1B6"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297DFC53" w14:textId="77777777" w:rsidR="00975F26" w:rsidRPr="00ED0D6D" w:rsidRDefault="00975F26" w:rsidP="002A479B">
            <w:pPr>
              <w:jc w:val="center"/>
              <w:rPr>
                <w:color w:val="000000"/>
                <w:sz w:val="20"/>
              </w:rPr>
            </w:pPr>
            <w:r w:rsidRPr="00ED0D6D">
              <w:rPr>
                <w:color w:val="000000"/>
                <w:sz w:val="20"/>
              </w:rPr>
              <w:t>70</w:t>
            </w:r>
          </w:p>
        </w:tc>
        <w:tc>
          <w:tcPr>
            <w:tcW w:w="1250" w:type="dxa"/>
            <w:shd w:val="clear" w:color="auto" w:fill="auto"/>
            <w:vAlign w:val="center"/>
          </w:tcPr>
          <w:p w14:paraId="6145C162"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4C18C682"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6D84575E" w14:textId="77777777" w:rsidR="00975F26" w:rsidRPr="00ED0D6D" w:rsidRDefault="00975F26" w:rsidP="002A479B">
            <w:pPr>
              <w:jc w:val="center"/>
              <w:rPr>
                <w:color w:val="000000"/>
                <w:sz w:val="20"/>
              </w:rPr>
            </w:pPr>
            <w:r w:rsidRPr="00ED0D6D">
              <w:rPr>
                <w:color w:val="000000"/>
                <w:sz w:val="20"/>
              </w:rPr>
              <w:t>SADM</w:t>
            </w:r>
          </w:p>
        </w:tc>
        <w:tc>
          <w:tcPr>
            <w:tcW w:w="1172" w:type="dxa"/>
            <w:shd w:val="clear" w:color="auto" w:fill="auto"/>
            <w:vAlign w:val="center"/>
          </w:tcPr>
          <w:p w14:paraId="0918B1C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E719866" w14:textId="77777777" w:rsidTr="002A479B">
        <w:trPr>
          <w:trHeight w:val="384"/>
        </w:trPr>
        <w:tc>
          <w:tcPr>
            <w:tcW w:w="618" w:type="dxa"/>
            <w:shd w:val="clear" w:color="auto" w:fill="auto"/>
            <w:vAlign w:val="center"/>
          </w:tcPr>
          <w:p w14:paraId="5EF699C0"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35754D77" w14:textId="77777777" w:rsidR="00975F26" w:rsidRPr="00ED0D6D" w:rsidRDefault="00975F26" w:rsidP="002A479B">
            <w:pPr>
              <w:jc w:val="both"/>
              <w:rPr>
                <w:color w:val="000000"/>
                <w:sz w:val="20"/>
              </w:rPr>
            </w:pPr>
            <w:r w:rsidRPr="00ED0D6D">
              <w:rPr>
                <w:color w:val="000000"/>
                <w:sz w:val="20"/>
              </w:rPr>
              <w:t xml:space="preserve">Lietuvos Respublikos piliečių įvaikintų vaikų skaičiaus didėjimas, palyginti su ankstesniais metais (proc.)   </w:t>
            </w:r>
          </w:p>
        </w:tc>
        <w:tc>
          <w:tcPr>
            <w:tcW w:w="1080" w:type="dxa"/>
            <w:shd w:val="clear" w:color="000000" w:fill="FFFFFF"/>
            <w:vAlign w:val="center"/>
          </w:tcPr>
          <w:p w14:paraId="7029AB97" w14:textId="77777777" w:rsidR="00975F26" w:rsidRPr="00ED0D6D" w:rsidRDefault="00975F26" w:rsidP="002A479B">
            <w:pPr>
              <w:jc w:val="center"/>
              <w:rPr>
                <w:color w:val="000000"/>
                <w:sz w:val="20"/>
              </w:rPr>
            </w:pPr>
            <w:r w:rsidRPr="00ED0D6D">
              <w:rPr>
                <w:color w:val="000000"/>
                <w:sz w:val="20"/>
              </w:rPr>
              <w:t>-28</w:t>
            </w:r>
          </w:p>
        </w:tc>
        <w:tc>
          <w:tcPr>
            <w:tcW w:w="1272" w:type="dxa"/>
            <w:shd w:val="clear" w:color="000000" w:fill="FFFFFF"/>
            <w:vAlign w:val="center"/>
          </w:tcPr>
          <w:p w14:paraId="09A8A623" w14:textId="77777777" w:rsidR="00975F26" w:rsidRPr="00ED0D6D" w:rsidRDefault="00975F26" w:rsidP="002A479B">
            <w:pPr>
              <w:jc w:val="center"/>
              <w:rPr>
                <w:color w:val="000000"/>
                <w:sz w:val="20"/>
              </w:rPr>
            </w:pPr>
            <w:r w:rsidRPr="00ED0D6D">
              <w:rPr>
                <w:color w:val="000000"/>
                <w:sz w:val="20"/>
              </w:rPr>
              <w:t xml:space="preserve">-38 </w:t>
            </w:r>
          </w:p>
        </w:tc>
        <w:tc>
          <w:tcPr>
            <w:tcW w:w="948" w:type="dxa"/>
            <w:shd w:val="clear" w:color="auto" w:fill="auto"/>
            <w:vAlign w:val="center"/>
          </w:tcPr>
          <w:p w14:paraId="25FA3DF2"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0C272D5B" w14:textId="77777777" w:rsidR="00975F26" w:rsidRPr="00ED0D6D" w:rsidRDefault="00975F26" w:rsidP="002A479B">
            <w:pPr>
              <w:jc w:val="center"/>
              <w:rPr>
                <w:color w:val="000000"/>
                <w:sz w:val="20"/>
              </w:rPr>
            </w:pPr>
            <w:r w:rsidRPr="00ED0D6D">
              <w:rPr>
                <w:color w:val="000000"/>
                <w:sz w:val="20"/>
              </w:rPr>
              <w:t>10</w:t>
            </w:r>
          </w:p>
        </w:tc>
        <w:tc>
          <w:tcPr>
            <w:tcW w:w="1250" w:type="dxa"/>
            <w:shd w:val="clear" w:color="auto" w:fill="auto"/>
            <w:vAlign w:val="center"/>
          </w:tcPr>
          <w:p w14:paraId="5603B7A0"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67A85E79"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413D30A2" w14:textId="77777777" w:rsidR="00975F26" w:rsidRPr="00ED0D6D" w:rsidRDefault="00975F26" w:rsidP="002A479B">
            <w:pPr>
              <w:jc w:val="center"/>
              <w:rPr>
                <w:color w:val="000000"/>
                <w:sz w:val="20"/>
                <w:highlight w:val="yellow"/>
              </w:rPr>
            </w:pPr>
            <w:r w:rsidRPr="00ED0D6D">
              <w:rPr>
                <w:color w:val="000000"/>
                <w:sz w:val="20"/>
              </w:rPr>
              <w:t>Valstybės vaiko teisių apsaugos ir įvaikinimo tarnyba prie SADM</w:t>
            </w:r>
          </w:p>
        </w:tc>
        <w:tc>
          <w:tcPr>
            <w:tcW w:w="1172" w:type="dxa"/>
            <w:shd w:val="clear" w:color="auto" w:fill="auto"/>
            <w:vAlign w:val="center"/>
          </w:tcPr>
          <w:p w14:paraId="637F872C"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0DFE0969" w14:textId="77777777" w:rsidTr="002A479B">
        <w:trPr>
          <w:trHeight w:val="384"/>
        </w:trPr>
        <w:tc>
          <w:tcPr>
            <w:tcW w:w="618" w:type="dxa"/>
            <w:shd w:val="clear" w:color="auto" w:fill="auto"/>
            <w:vAlign w:val="center"/>
          </w:tcPr>
          <w:p w14:paraId="56F04CBB"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5BBC8D4E" w14:textId="77777777" w:rsidR="00975F26" w:rsidRPr="00ED0D6D" w:rsidRDefault="00975F26" w:rsidP="002A479B">
            <w:pPr>
              <w:jc w:val="both"/>
              <w:rPr>
                <w:color w:val="000000"/>
                <w:sz w:val="20"/>
              </w:rPr>
            </w:pPr>
            <w:r w:rsidRPr="00ED0D6D">
              <w:rPr>
                <w:color w:val="000000"/>
                <w:sz w:val="20"/>
              </w:rPr>
              <w:t xml:space="preserve">Globojamų (rūpinamų) vaikų institucijose skaičius nuo bendro globojamų vaikų skaičiaus (proc.)   </w:t>
            </w:r>
          </w:p>
        </w:tc>
        <w:tc>
          <w:tcPr>
            <w:tcW w:w="1080" w:type="dxa"/>
            <w:shd w:val="clear" w:color="000000" w:fill="FFFFFF"/>
            <w:vAlign w:val="center"/>
          </w:tcPr>
          <w:p w14:paraId="6B85CE56" w14:textId="77777777" w:rsidR="00975F26" w:rsidRPr="00ED0D6D" w:rsidRDefault="00975F26" w:rsidP="002A479B">
            <w:pPr>
              <w:jc w:val="center"/>
              <w:rPr>
                <w:color w:val="000000"/>
                <w:sz w:val="20"/>
              </w:rPr>
            </w:pPr>
            <w:r w:rsidRPr="00ED0D6D">
              <w:rPr>
                <w:color w:val="000000"/>
                <w:sz w:val="20"/>
              </w:rPr>
              <w:t>26</w:t>
            </w:r>
          </w:p>
        </w:tc>
        <w:tc>
          <w:tcPr>
            <w:tcW w:w="1272" w:type="dxa"/>
            <w:shd w:val="clear" w:color="000000" w:fill="FFFFFF"/>
            <w:vAlign w:val="center"/>
          </w:tcPr>
          <w:p w14:paraId="0749B3C1" w14:textId="77777777" w:rsidR="00975F26" w:rsidRPr="00ED0D6D" w:rsidRDefault="00975F26" w:rsidP="002A479B">
            <w:pPr>
              <w:jc w:val="center"/>
              <w:rPr>
                <w:color w:val="000000"/>
                <w:sz w:val="20"/>
              </w:rPr>
            </w:pPr>
            <w:r w:rsidRPr="00ED0D6D">
              <w:rPr>
                <w:color w:val="000000"/>
                <w:sz w:val="20"/>
              </w:rPr>
              <w:t xml:space="preserve">14,3 </w:t>
            </w:r>
          </w:p>
        </w:tc>
        <w:tc>
          <w:tcPr>
            <w:tcW w:w="948" w:type="dxa"/>
            <w:shd w:val="clear" w:color="auto" w:fill="auto"/>
            <w:vAlign w:val="center"/>
          </w:tcPr>
          <w:p w14:paraId="3181A5FE"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55C9C190" w14:textId="77777777" w:rsidR="00975F26" w:rsidRPr="00ED0D6D" w:rsidRDefault="00975F26" w:rsidP="002A479B">
            <w:pPr>
              <w:jc w:val="center"/>
              <w:rPr>
                <w:color w:val="000000"/>
                <w:sz w:val="20"/>
              </w:rPr>
            </w:pPr>
            <w:r w:rsidRPr="00ED0D6D">
              <w:rPr>
                <w:color w:val="000000"/>
                <w:sz w:val="20"/>
              </w:rPr>
              <w:t>20</w:t>
            </w:r>
          </w:p>
        </w:tc>
        <w:tc>
          <w:tcPr>
            <w:tcW w:w="1250" w:type="dxa"/>
            <w:shd w:val="clear" w:color="auto" w:fill="auto"/>
            <w:vAlign w:val="center"/>
          </w:tcPr>
          <w:p w14:paraId="3813854F"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5FEDF2ED"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468D5606" w14:textId="77777777" w:rsidR="00975F26" w:rsidRPr="00ED0D6D" w:rsidRDefault="00975F26" w:rsidP="002A479B">
            <w:pPr>
              <w:jc w:val="center"/>
              <w:rPr>
                <w:color w:val="000000"/>
                <w:sz w:val="20"/>
                <w:highlight w:val="yellow"/>
              </w:rPr>
            </w:pPr>
            <w:r w:rsidRPr="00ED0D6D">
              <w:rPr>
                <w:color w:val="000000"/>
                <w:sz w:val="20"/>
              </w:rPr>
              <w:t>Valstybės vaiko teisių apsaugos ir įvaikinimo tarnyba prie SADM</w:t>
            </w:r>
          </w:p>
        </w:tc>
        <w:tc>
          <w:tcPr>
            <w:tcW w:w="1172" w:type="dxa"/>
            <w:shd w:val="clear" w:color="auto" w:fill="auto"/>
            <w:vAlign w:val="center"/>
          </w:tcPr>
          <w:p w14:paraId="3729FB8C" w14:textId="77777777" w:rsidR="00975F26" w:rsidRPr="00ED0D6D" w:rsidRDefault="00975F26" w:rsidP="002A479B">
            <w:pPr>
              <w:jc w:val="center"/>
              <w:rPr>
                <w:color w:val="000000"/>
                <w:sz w:val="20"/>
              </w:rPr>
            </w:pPr>
            <w:r w:rsidRPr="00ED0D6D">
              <w:rPr>
                <w:color w:val="000000"/>
                <w:sz w:val="20"/>
              </w:rPr>
              <w:t>NPP2020</w:t>
            </w:r>
          </w:p>
          <w:p w14:paraId="60A3FBC1"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3F3B664E" w14:textId="77777777" w:rsidTr="002A479B">
        <w:trPr>
          <w:trHeight w:val="384"/>
        </w:trPr>
        <w:tc>
          <w:tcPr>
            <w:tcW w:w="618" w:type="dxa"/>
            <w:shd w:val="clear" w:color="auto" w:fill="auto"/>
            <w:vAlign w:val="center"/>
          </w:tcPr>
          <w:p w14:paraId="65BBC301"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6F34F09A" w14:textId="77777777" w:rsidR="00975F26" w:rsidRPr="00ED0D6D" w:rsidRDefault="00975F26" w:rsidP="002A479B">
            <w:pPr>
              <w:jc w:val="both"/>
              <w:rPr>
                <w:color w:val="000000"/>
                <w:sz w:val="20"/>
              </w:rPr>
            </w:pPr>
            <w:r w:rsidRPr="00ED0D6D">
              <w:rPr>
                <w:color w:val="000000"/>
                <w:sz w:val="20"/>
              </w:rPr>
              <w:t xml:space="preserve">Bendruomeninių paslaugų neįgaliesiems prieinamumo (plėtros) rodiklis (bendruomeninių paslaugų gavėjų ir institucinės globos gavėjų santykis) (proc.)   </w:t>
            </w:r>
          </w:p>
        </w:tc>
        <w:tc>
          <w:tcPr>
            <w:tcW w:w="1080" w:type="dxa"/>
            <w:shd w:val="clear" w:color="000000" w:fill="FFFFFF"/>
            <w:vAlign w:val="center"/>
          </w:tcPr>
          <w:p w14:paraId="5CFF2BB8" w14:textId="77777777" w:rsidR="00975F26" w:rsidRPr="00ED0D6D" w:rsidRDefault="00975F26" w:rsidP="002A479B">
            <w:pPr>
              <w:jc w:val="center"/>
              <w:rPr>
                <w:color w:val="000000"/>
                <w:sz w:val="20"/>
              </w:rPr>
            </w:pPr>
            <w:r w:rsidRPr="00ED0D6D">
              <w:rPr>
                <w:color w:val="000000"/>
                <w:sz w:val="20"/>
              </w:rPr>
              <w:t>4,63</w:t>
            </w:r>
          </w:p>
        </w:tc>
        <w:tc>
          <w:tcPr>
            <w:tcW w:w="1272" w:type="dxa"/>
            <w:shd w:val="clear" w:color="000000" w:fill="FFFFFF"/>
            <w:vAlign w:val="center"/>
          </w:tcPr>
          <w:p w14:paraId="443D21B6" w14:textId="77777777" w:rsidR="00975F26" w:rsidRPr="00ED0D6D" w:rsidRDefault="00975F26" w:rsidP="002A479B">
            <w:pPr>
              <w:jc w:val="center"/>
              <w:rPr>
                <w:color w:val="000000"/>
                <w:sz w:val="20"/>
              </w:rPr>
            </w:pPr>
            <w:r w:rsidRPr="00ED0D6D">
              <w:rPr>
                <w:color w:val="000000"/>
                <w:sz w:val="20"/>
              </w:rPr>
              <w:t xml:space="preserve">N.D. </w:t>
            </w:r>
          </w:p>
        </w:tc>
        <w:tc>
          <w:tcPr>
            <w:tcW w:w="948" w:type="dxa"/>
            <w:shd w:val="clear" w:color="auto" w:fill="auto"/>
            <w:vAlign w:val="center"/>
          </w:tcPr>
          <w:p w14:paraId="78432439"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42D18822" w14:textId="77777777" w:rsidR="00975F26" w:rsidRPr="00ED0D6D" w:rsidRDefault="00975F26" w:rsidP="002A479B">
            <w:pPr>
              <w:jc w:val="center"/>
              <w:rPr>
                <w:color w:val="000000"/>
                <w:sz w:val="20"/>
              </w:rPr>
            </w:pPr>
            <w:r w:rsidRPr="00ED0D6D">
              <w:rPr>
                <w:color w:val="000000"/>
                <w:sz w:val="20"/>
              </w:rPr>
              <w:t>4,3</w:t>
            </w:r>
          </w:p>
        </w:tc>
        <w:tc>
          <w:tcPr>
            <w:tcW w:w="1250" w:type="dxa"/>
            <w:shd w:val="clear" w:color="auto" w:fill="auto"/>
            <w:vAlign w:val="center"/>
          </w:tcPr>
          <w:p w14:paraId="7B6049B4"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37F877ED"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521D8A8D" w14:textId="77777777" w:rsidR="00975F26" w:rsidRPr="00ED0D6D" w:rsidRDefault="00975F26" w:rsidP="002A479B">
            <w:pPr>
              <w:jc w:val="center"/>
              <w:rPr>
                <w:color w:val="000000"/>
                <w:sz w:val="20"/>
              </w:rPr>
            </w:pPr>
            <w:r w:rsidRPr="00ED0D6D">
              <w:rPr>
                <w:color w:val="000000"/>
                <w:sz w:val="20"/>
              </w:rPr>
              <w:t>Lietuvos statistikos departamentas</w:t>
            </w:r>
          </w:p>
        </w:tc>
        <w:tc>
          <w:tcPr>
            <w:tcW w:w="1172" w:type="dxa"/>
            <w:shd w:val="clear" w:color="auto" w:fill="auto"/>
            <w:vAlign w:val="center"/>
          </w:tcPr>
          <w:p w14:paraId="525919B0"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C5446F3" w14:textId="77777777" w:rsidTr="002A479B">
        <w:trPr>
          <w:trHeight w:val="384"/>
        </w:trPr>
        <w:tc>
          <w:tcPr>
            <w:tcW w:w="618" w:type="dxa"/>
            <w:shd w:val="clear" w:color="auto" w:fill="auto"/>
            <w:vAlign w:val="center"/>
          </w:tcPr>
          <w:p w14:paraId="64D0915B"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306533CA" w14:textId="77777777" w:rsidR="00975F26" w:rsidRPr="00ED0D6D" w:rsidRDefault="00975F26" w:rsidP="002A479B">
            <w:pPr>
              <w:jc w:val="both"/>
              <w:rPr>
                <w:color w:val="000000"/>
                <w:sz w:val="20"/>
              </w:rPr>
            </w:pPr>
            <w:r w:rsidRPr="00ED0D6D">
              <w:rPr>
                <w:color w:val="000000"/>
                <w:sz w:val="20"/>
              </w:rPr>
              <w:t xml:space="preserve">Gyventojų, manančių, kad smurtas artimoje aplinkoje yra nepateisinamas reiškinys, dalis (proc.)   </w:t>
            </w:r>
          </w:p>
        </w:tc>
        <w:tc>
          <w:tcPr>
            <w:tcW w:w="1080" w:type="dxa"/>
            <w:shd w:val="clear" w:color="000000" w:fill="FFFFFF"/>
            <w:vAlign w:val="center"/>
          </w:tcPr>
          <w:p w14:paraId="35809D28" w14:textId="77777777" w:rsidR="00975F26" w:rsidRPr="00ED0D6D" w:rsidRDefault="00975F26" w:rsidP="002A479B">
            <w:pPr>
              <w:jc w:val="center"/>
              <w:rPr>
                <w:color w:val="000000"/>
                <w:sz w:val="20"/>
              </w:rPr>
            </w:pPr>
            <w:r w:rsidRPr="00ED0D6D">
              <w:rPr>
                <w:color w:val="000000"/>
                <w:sz w:val="20"/>
              </w:rPr>
              <w:t>79</w:t>
            </w:r>
          </w:p>
        </w:tc>
        <w:tc>
          <w:tcPr>
            <w:tcW w:w="1272" w:type="dxa"/>
            <w:shd w:val="clear" w:color="000000" w:fill="FFFFFF"/>
            <w:vAlign w:val="center"/>
          </w:tcPr>
          <w:p w14:paraId="2219DA08" w14:textId="77777777" w:rsidR="00975F26" w:rsidRPr="00ED0D6D" w:rsidRDefault="00975F26" w:rsidP="002A479B">
            <w:pPr>
              <w:jc w:val="center"/>
              <w:rPr>
                <w:color w:val="000000"/>
                <w:sz w:val="20"/>
              </w:rPr>
            </w:pPr>
            <w:r w:rsidRPr="00ED0D6D">
              <w:rPr>
                <w:color w:val="000000"/>
                <w:sz w:val="20"/>
              </w:rPr>
              <w:t>89</w:t>
            </w:r>
          </w:p>
        </w:tc>
        <w:tc>
          <w:tcPr>
            <w:tcW w:w="948" w:type="dxa"/>
            <w:shd w:val="clear" w:color="auto" w:fill="auto"/>
            <w:vAlign w:val="center"/>
          </w:tcPr>
          <w:p w14:paraId="54CE17DB"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01761A2F" w14:textId="77777777" w:rsidR="00975F26" w:rsidRPr="00ED0D6D" w:rsidRDefault="00975F26" w:rsidP="002A479B">
            <w:pPr>
              <w:jc w:val="center"/>
              <w:rPr>
                <w:color w:val="000000"/>
                <w:sz w:val="20"/>
              </w:rPr>
            </w:pPr>
            <w:r w:rsidRPr="00ED0D6D">
              <w:rPr>
                <w:color w:val="000000"/>
                <w:sz w:val="20"/>
              </w:rPr>
              <w:t>95</w:t>
            </w:r>
          </w:p>
        </w:tc>
        <w:tc>
          <w:tcPr>
            <w:tcW w:w="1250" w:type="dxa"/>
            <w:shd w:val="clear" w:color="auto" w:fill="auto"/>
            <w:vAlign w:val="center"/>
          </w:tcPr>
          <w:p w14:paraId="2AD72696"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1AF01419"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073FCCA1" w14:textId="77777777" w:rsidR="00975F26" w:rsidRPr="00ED0D6D" w:rsidRDefault="00975F26" w:rsidP="002A479B">
            <w:pPr>
              <w:jc w:val="center"/>
              <w:rPr>
                <w:color w:val="000000"/>
                <w:sz w:val="20"/>
              </w:rPr>
            </w:pPr>
            <w:r w:rsidRPr="00ED0D6D">
              <w:rPr>
                <w:color w:val="000000"/>
                <w:sz w:val="20"/>
              </w:rPr>
              <w:t>SADM</w:t>
            </w:r>
          </w:p>
        </w:tc>
        <w:tc>
          <w:tcPr>
            <w:tcW w:w="1172" w:type="dxa"/>
            <w:shd w:val="clear" w:color="auto" w:fill="auto"/>
            <w:vAlign w:val="center"/>
          </w:tcPr>
          <w:p w14:paraId="3599E789"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40551D5" w14:textId="77777777" w:rsidTr="002A479B">
        <w:trPr>
          <w:trHeight w:val="384"/>
        </w:trPr>
        <w:tc>
          <w:tcPr>
            <w:tcW w:w="618" w:type="dxa"/>
            <w:shd w:val="clear" w:color="auto" w:fill="auto"/>
            <w:vAlign w:val="center"/>
          </w:tcPr>
          <w:p w14:paraId="7832C811"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4F3234AD" w14:textId="77777777" w:rsidR="00975F26" w:rsidRPr="00ED0D6D" w:rsidRDefault="00975F26" w:rsidP="002A479B">
            <w:pPr>
              <w:jc w:val="both"/>
              <w:rPr>
                <w:color w:val="000000"/>
                <w:sz w:val="20"/>
              </w:rPr>
            </w:pPr>
            <w:r w:rsidRPr="00ED0D6D">
              <w:rPr>
                <w:color w:val="000000"/>
                <w:sz w:val="20"/>
              </w:rPr>
              <w:t xml:space="preserve">Vaikų, gavusių kompleksinę pagalbą (socialines, psichologines, teisines, laikino apgyvendinimo ir kitas paslaugas), dalis nuo visų vaikų, nukentėjusių nuo smurto (proc.)   </w:t>
            </w:r>
          </w:p>
        </w:tc>
        <w:tc>
          <w:tcPr>
            <w:tcW w:w="1080" w:type="dxa"/>
            <w:shd w:val="clear" w:color="000000" w:fill="FFFFFF"/>
            <w:vAlign w:val="center"/>
          </w:tcPr>
          <w:p w14:paraId="541BBE78" w14:textId="77777777" w:rsidR="00975F26" w:rsidRPr="00ED0D6D" w:rsidRDefault="00975F26" w:rsidP="002A479B">
            <w:pPr>
              <w:jc w:val="center"/>
              <w:rPr>
                <w:color w:val="000000"/>
                <w:sz w:val="20"/>
              </w:rPr>
            </w:pPr>
            <w:r w:rsidRPr="00ED0D6D">
              <w:rPr>
                <w:color w:val="000000"/>
                <w:sz w:val="20"/>
              </w:rPr>
              <w:t>98</w:t>
            </w:r>
          </w:p>
        </w:tc>
        <w:tc>
          <w:tcPr>
            <w:tcW w:w="1272" w:type="dxa"/>
            <w:shd w:val="clear" w:color="000000" w:fill="FFFFFF"/>
            <w:vAlign w:val="center"/>
          </w:tcPr>
          <w:p w14:paraId="4766D178" w14:textId="77777777" w:rsidR="00975F26" w:rsidRPr="00ED0D6D" w:rsidRDefault="00975F26" w:rsidP="002A479B">
            <w:pPr>
              <w:jc w:val="center"/>
              <w:rPr>
                <w:color w:val="000000"/>
                <w:sz w:val="20"/>
              </w:rPr>
            </w:pPr>
            <w:r w:rsidRPr="00ED0D6D">
              <w:rPr>
                <w:color w:val="000000"/>
                <w:sz w:val="20"/>
              </w:rPr>
              <w:t xml:space="preserve">N.D. </w:t>
            </w:r>
          </w:p>
        </w:tc>
        <w:tc>
          <w:tcPr>
            <w:tcW w:w="948" w:type="dxa"/>
            <w:shd w:val="clear" w:color="auto" w:fill="auto"/>
            <w:vAlign w:val="center"/>
          </w:tcPr>
          <w:p w14:paraId="4E7EB432"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6DD3C691" w14:textId="77777777" w:rsidR="00975F26" w:rsidRPr="00ED0D6D" w:rsidRDefault="00975F26" w:rsidP="002A479B">
            <w:pPr>
              <w:jc w:val="center"/>
              <w:rPr>
                <w:color w:val="000000"/>
                <w:sz w:val="20"/>
              </w:rPr>
            </w:pPr>
            <w:r w:rsidRPr="00ED0D6D">
              <w:rPr>
                <w:color w:val="000000"/>
                <w:sz w:val="20"/>
              </w:rPr>
              <w:t>100</w:t>
            </w:r>
          </w:p>
        </w:tc>
        <w:tc>
          <w:tcPr>
            <w:tcW w:w="1250" w:type="dxa"/>
            <w:shd w:val="clear" w:color="auto" w:fill="auto"/>
            <w:vAlign w:val="center"/>
          </w:tcPr>
          <w:p w14:paraId="707591CC"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69673951"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380EBC28" w14:textId="77777777" w:rsidR="00975F26" w:rsidRPr="00ED0D6D" w:rsidRDefault="00975F26" w:rsidP="002A479B">
            <w:pPr>
              <w:jc w:val="center"/>
              <w:rPr>
                <w:color w:val="000000"/>
                <w:sz w:val="20"/>
                <w:highlight w:val="yellow"/>
              </w:rPr>
            </w:pPr>
            <w:r w:rsidRPr="00ED0D6D">
              <w:rPr>
                <w:color w:val="000000"/>
                <w:sz w:val="20"/>
              </w:rPr>
              <w:t>SADM</w:t>
            </w:r>
          </w:p>
        </w:tc>
        <w:tc>
          <w:tcPr>
            <w:tcW w:w="1172" w:type="dxa"/>
            <w:shd w:val="clear" w:color="auto" w:fill="auto"/>
            <w:vAlign w:val="center"/>
          </w:tcPr>
          <w:p w14:paraId="28551B4E"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66C49CC3" w14:textId="77777777" w:rsidTr="002A479B">
        <w:trPr>
          <w:trHeight w:val="1216"/>
        </w:trPr>
        <w:tc>
          <w:tcPr>
            <w:tcW w:w="618" w:type="dxa"/>
            <w:shd w:val="clear" w:color="auto" w:fill="auto"/>
            <w:vAlign w:val="center"/>
          </w:tcPr>
          <w:p w14:paraId="3B2131B2"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037C40ED" w14:textId="77777777" w:rsidR="00975F26" w:rsidRPr="00ED0D6D" w:rsidRDefault="00975F26" w:rsidP="002A479B">
            <w:pPr>
              <w:jc w:val="both"/>
              <w:rPr>
                <w:color w:val="000000"/>
                <w:sz w:val="20"/>
              </w:rPr>
            </w:pPr>
            <w:r w:rsidRPr="00ED0D6D">
              <w:rPr>
                <w:color w:val="000000"/>
                <w:sz w:val="20"/>
              </w:rPr>
              <w:t xml:space="preserve">Atsižvelgiant į augančią ekonomiką ir didėjantį darbo užmokesčio fondą, indeksuotos vidutinės senatvės pensijos augimas (proc.)   </w:t>
            </w:r>
          </w:p>
        </w:tc>
        <w:tc>
          <w:tcPr>
            <w:tcW w:w="1080" w:type="dxa"/>
            <w:shd w:val="clear" w:color="000000" w:fill="FFFFFF"/>
            <w:vAlign w:val="center"/>
          </w:tcPr>
          <w:p w14:paraId="50D36D9B" w14:textId="77777777" w:rsidR="00975F26" w:rsidRPr="00ED0D6D" w:rsidRDefault="00975F26" w:rsidP="002A479B">
            <w:pPr>
              <w:jc w:val="center"/>
              <w:rPr>
                <w:color w:val="000000"/>
                <w:sz w:val="20"/>
              </w:rPr>
            </w:pPr>
            <w:r w:rsidRPr="00ED0D6D">
              <w:rPr>
                <w:color w:val="000000"/>
                <w:sz w:val="20"/>
              </w:rPr>
              <w:t>34</w:t>
            </w:r>
          </w:p>
        </w:tc>
        <w:tc>
          <w:tcPr>
            <w:tcW w:w="1272" w:type="dxa"/>
            <w:shd w:val="clear" w:color="000000" w:fill="FFFFFF"/>
            <w:vAlign w:val="center"/>
          </w:tcPr>
          <w:p w14:paraId="5A20C546" w14:textId="77777777" w:rsidR="00975F26" w:rsidRPr="00ED0D6D" w:rsidRDefault="00975F26" w:rsidP="002A479B">
            <w:pPr>
              <w:jc w:val="center"/>
              <w:rPr>
                <w:color w:val="000000"/>
                <w:sz w:val="20"/>
              </w:rPr>
            </w:pPr>
            <w:r w:rsidRPr="00ED0D6D">
              <w:rPr>
                <w:color w:val="000000"/>
                <w:sz w:val="20"/>
              </w:rPr>
              <w:t xml:space="preserve">47,3 </w:t>
            </w:r>
            <w:r w:rsidRPr="00ED0D6D">
              <w:rPr>
                <w:color w:val="000000"/>
                <w:sz w:val="20"/>
              </w:rPr>
              <w:br/>
            </w:r>
            <w:r w:rsidRPr="00ED0D6D">
              <w:rPr>
                <w:i/>
                <w:iCs/>
                <w:color w:val="000000"/>
                <w:sz w:val="20"/>
              </w:rPr>
              <w:t>negalutiniais (2020 m. rugpjūčio duomenimis)</w:t>
            </w:r>
          </w:p>
        </w:tc>
        <w:tc>
          <w:tcPr>
            <w:tcW w:w="948" w:type="dxa"/>
            <w:shd w:val="clear" w:color="auto" w:fill="auto"/>
            <w:vAlign w:val="center"/>
          </w:tcPr>
          <w:p w14:paraId="363CF2D6"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5B3CBE81" w14:textId="77777777" w:rsidR="00975F26" w:rsidRPr="00ED0D6D" w:rsidRDefault="00975F26" w:rsidP="002A479B">
            <w:pPr>
              <w:jc w:val="center"/>
              <w:rPr>
                <w:color w:val="000000"/>
                <w:sz w:val="20"/>
              </w:rPr>
            </w:pPr>
            <w:r w:rsidRPr="00ED0D6D">
              <w:rPr>
                <w:color w:val="000000"/>
                <w:sz w:val="20"/>
              </w:rPr>
              <w:t>27,5</w:t>
            </w:r>
          </w:p>
        </w:tc>
        <w:tc>
          <w:tcPr>
            <w:tcW w:w="1250" w:type="dxa"/>
            <w:shd w:val="clear" w:color="auto" w:fill="auto"/>
            <w:vAlign w:val="center"/>
          </w:tcPr>
          <w:p w14:paraId="44652EA2"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78BAD989"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3338510F" w14:textId="77777777" w:rsidR="00975F26" w:rsidRPr="00ED0D6D" w:rsidRDefault="00975F26" w:rsidP="002A479B">
            <w:pPr>
              <w:jc w:val="center"/>
              <w:rPr>
                <w:color w:val="000000"/>
                <w:sz w:val="20"/>
                <w:highlight w:val="yellow"/>
              </w:rPr>
            </w:pPr>
            <w:r w:rsidRPr="00ED0D6D">
              <w:rPr>
                <w:color w:val="000000"/>
                <w:sz w:val="20"/>
              </w:rPr>
              <w:t>SADM</w:t>
            </w:r>
          </w:p>
        </w:tc>
        <w:tc>
          <w:tcPr>
            <w:tcW w:w="1172" w:type="dxa"/>
            <w:shd w:val="clear" w:color="auto" w:fill="auto"/>
            <w:vAlign w:val="center"/>
          </w:tcPr>
          <w:p w14:paraId="128A82B2" w14:textId="77777777" w:rsidR="00975F26" w:rsidRPr="00ED0D6D" w:rsidRDefault="00975F26" w:rsidP="002A479B">
            <w:pPr>
              <w:jc w:val="center"/>
              <w:rPr>
                <w:color w:val="000000"/>
                <w:sz w:val="20"/>
              </w:rPr>
            </w:pPr>
            <w:r w:rsidRPr="00ED0D6D">
              <w:rPr>
                <w:color w:val="000000"/>
                <w:sz w:val="20"/>
              </w:rPr>
              <w:t>17LRVP</w:t>
            </w:r>
          </w:p>
        </w:tc>
      </w:tr>
      <w:tr w:rsidR="00975F26" w:rsidRPr="00ED0D6D" w14:paraId="2A161195" w14:textId="77777777" w:rsidTr="002A479B">
        <w:trPr>
          <w:trHeight w:val="384"/>
        </w:trPr>
        <w:tc>
          <w:tcPr>
            <w:tcW w:w="618" w:type="dxa"/>
            <w:shd w:val="clear" w:color="auto" w:fill="auto"/>
            <w:vAlign w:val="center"/>
          </w:tcPr>
          <w:p w14:paraId="1FBEC43A" w14:textId="77777777" w:rsidR="00975F26" w:rsidRPr="00ED0D6D" w:rsidRDefault="00975F26" w:rsidP="002A479B">
            <w:pPr>
              <w:pStyle w:val="Sraopastraipa"/>
              <w:numPr>
                <w:ilvl w:val="0"/>
                <w:numId w:val="11"/>
              </w:numPr>
              <w:ind w:left="0" w:firstLine="0"/>
              <w:jc w:val="center"/>
              <w:rPr>
                <w:rFonts w:ascii="Times New Roman" w:hAnsi="Times New Roman"/>
                <w:color w:val="000000"/>
                <w:sz w:val="20"/>
                <w:szCs w:val="20"/>
              </w:rPr>
            </w:pPr>
          </w:p>
        </w:tc>
        <w:tc>
          <w:tcPr>
            <w:tcW w:w="4678" w:type="dxa"/>
            <w:shd w:val="clear" w:color="auto" w:fill="auto"/>
            <w:noWrap/>
            <w:vAlign w:val="center"/>
          </w:tcPr>
          <w:p w14:paraId="747AA14F" w14:textId="77777777" w:rsidR="00975F26" w:rsidRPr="00ED0D6D" w:rsidRDefault="00975F26" w:rsidP="002A479B">
            <w:pPr>
              <w:jc w:val="both"/>
              <w:rPr>
                <w:color w:val="000000"/>
                <w:sz w:val="20"/>
              </w:rPr>
            </w:pPr>
            <w:r w:rsidRPr="00ED0D6D">
              <w:rPr>
                <w:color w:val="000000"/>
                <w:sz w:val="20"/>
              </w:rPr>
              <w:t xml:space="preserve">2020 m. sukaupta valstybinio socialinio draudimo rezervinio fondo dalis, ne mažesnė kaip 300 mln. Eur. (mln. EUR)   </w:t>
            </w:r>
          </w:p>
        </w:tc>
        <w:tc>
          <w:tcPr>
            <w:tcW w:w="1080" w:type="dxa"/>
            <w:shd w:val="clear" w:color="000000" w:fill="FFFFFF"/>
            <w:vAlign w:val="center"/>
          </w:tcPr>
          <w:p w14:paraId="1F8B5567" w14:textId="77777777" w:rsidR="00975F26" w:rsidRPr="00ED0D6D" w:rsidRDefault="00975F26" w:rsidP="002A479B">
            <w:pPr>
              <w:jc w:val="center"/>
              <w:rPr>
                <w:color w:val="000000"/>
                <w:sz w:val="20"/>
              </w:rPr>
            </w:pPr>
            <w:r w:rsidRPr="00ED0D6D">
              <w:rPr>
                <w:color w:val="000000"/>
                <w:sz w:val="20"/>
              </w:rPr>
              <w:t>195</w:t>
            </w:r>
          </w:p>
        </w:tc>
        <w:tc>
          <w:tcPr>
            <w:tcW w:w="1272" w:type="dxa"/>
            <w:shd w:val="clear" w:color="000000" w:fill="FFFFFF"/>
            <w:vAlign w:val="center"/>
          </w:tcPr>
          <w:p w14:paraId="3F581414" w14:textId="77777777" w:rsidR="00975F26" w:rsidRPr="00ED0D6D" w:rsidRDefault="00975F26" w:rsidP="002A479B">
            <w:pPr>
              <w:jc w:val="center"/>
              <w:rPr>
                <w:color w:val="000000"/>
                <w:sz w:val="20"/>
              </w:rPr>
            </w:pPr>
            <w:r w:rsidRPr="00ED0D6D">
              <w:rPr>
                <w:color w:val="000000"/>
                <w:sz w:val="20"/>
              </w:rPr>
              <w:t xml:space="preserve">0 </w:t>
            </w:r>
          </w:p>
        </w:tc>
        <w:tc>
          <w:tcPr>
            <w:tcW w:w="948" w:type="dxa"/>
            <w:shd w:val="clear" w:color="auto" w:fill="auto"/>
            <w:vAlign w:val="center"/>
          </w:tcPr>
          <w:p w14:paraId="31071DEE" w14:textId="77777777" w:rsidR="00975F26" w:rsidRPr="00ED0D6D" w:rsidRDefault="00975F26" w:rsidP="002A479B">
            <w:pPr>
              <w:jc w:val="center"/>
              <w:rPr>
                <w:color w:val="000000"/>
                <w:sz w:val="20"/>
              </w:rPr>
            </w:pPr>
            <w:r w:rsidRPr="00ED0D6D">
              <w:rPr>
                <w:color w:val="000000"/>
                <w:sz w:val="20"/>
              </w:rPr>
              <w:t>-</w:t>
            </w:r>
          </w:p>
        </w:tc>
        <w:tc>
          <w:tcPr>
            <w:tcW w:w="983" w:type="dxa"/>
            <w:shd w:val="clear" w:color="000000" w:fill="FFFFFF"/>
            <w:vAlign w:val="center"/>
          </w:tcPr>
          <w:p w14:paraId="7914050E" w14:textId="77777777" w:rsidR="00975F26" w:rsidRPr="00ED0D6D" w:rsidRDefault="00975F26" w:rsidP="002A479B">
            <w:pPr>
              <w:jc w:val="center"/>
              <w:rPr>
                <w:color w:val="000000"/>
                <w:sz w:val="20"/>
              </w:rPr>
            </w:pPr>
            <w:r w:rsidRPr="00ED0D6D">
              <w:rPr>
                <w:color w:val="000000"/>
                <w:sz w:val="20"/>
              </w:rPr>
              <w:t>300</w:t>
            </w:r>
          </w:p>
        </w:tc>
        <w:tc>
          <w:tcPr>
            <w:tcW w:w="1250" w:type="dxa"/>
            <w:shd w:val="clear" w:color="auto" w:fill="auto"/>
            <w:vAlign w:val="center"/>
          </w:tcPr>
          <w:p w14:paraId="1012E2E0" w14:textId="77777777" w:rsidR="00975F26" w:rsidRPr="00ED0D6D" w:rsidRDefault="00975F26" w:rsidP="002A479B">
            <w:pPr>
              <w:jc w:val="center"/>
              <w:rPr>
                <w:color w:val="000000"/>
                <w:sz w:val="20"/>
              </w:rPr>
            </w:pPr>
            <w:r w:rsidRPr="00ED0D6D">
              <w:rPr>
                <w:color w:val="000000"/>
                <w:sz w:val="20"/>
              </w:rPr>
              <w:t>-</w:t>
            </w:r>
          </w:p>
        </w:tc>
        <w:tc>
          <w:tcPr>
            <w:tcW w:w="1250" w:type="dxa"/>
            <w:shd w:val="clear" w:color="auto" w:fill="auto"/>
            <w:vAlign w:val="center"/>
          </w:tcPr>
          <w:p w14:paraId="3F96575C" w14:textId="77777777" w:rsidR="00975F26" w:rsidRPr="00ED0D6D" w:rsidRDefault="00975F26" w:rsidP="002A479B">
            <w:pPr>
              <w:jc w:val="center"/>
              <w:rPr>
                <w:color w:val="000000"/>
                <w:sz w:val="20"/>
              </w:rPr>
            </w:pPr>
            <w:r w:rsidRPr="00ED0D6D">
              <w:rPr>
                <w:color w:val="000000"/>
                <w:sz w:val="20"/>
              </w:rPr>
              <w:t>-</w:t>
            </w:r>
          </w:p>
        </w:tc>
        <w:tc>
          <w:tcPr>
            <w:tcW w:w="2316" w:type="dxa"/>
            <w:shd w:val="clear" w:color="auto" w:fill="auto"/>
          </w:tcPr>
          <w:p w14:paraId="05A22FCE" w14:textId="77777777" w:rsidR="00975F26" w:rsidRPr="00ED0D6D" w:rsidRDefault="00975F26" w:rsidP="002A479B">
            <w:pPr>
              <w:jc w:val="center"/>
              <w:rPr>
                <w:color w:val="000000"/>
                <w:sz w:val="20"/>
              </w:rPr>
            </w:pPr>
            <w:r w:rsidRPr="00ED0D6D">
              <w:rPr>
                <w:color w:val="000000"/>
                <w:sz w:val="20"/>
              </w:rPr>
              <w:t>SODRA</w:t>
            </w:r>
          </w:p>
        </w:tc>
        <w:tc>
          <w:tcPr>
            <w:tcW w:w="1172" w:type="dxa"/>
            <w:shd w:val="clear" w:color="auto" w:fill="auto"/>
            <w:vAlign w:val="center"/>
          </w:tcPr>
          <w:p w14:paraId="3A109AF9" w14:textId="77777777" w:rsidR="00975F26" w:rsidRPr="00ED0D6D" w:rsidRDefault="00975F26" w:rsidP="002A479B">
            <w:pPr>
              <w:jc w:val="center"/>
              <w:rPr>
                <w:color w:val="000000"/>
                <w:sz w:val="20"/>
              </w:rPr>
            </w:pPr>
            <w:r w:rsidRPr="00ED0D6D">
              <w:rPr>
                <w:color w:val="000000"/>
                <w:sz w:val="20"/>
              </w:rPr>
              <w:t>17LRVP</w:t>
            </w:r>
          </w:p>
        </w:tc>
      </w:tr>
    </w:tbl>
    <w:p w14:paraId="2BAD53C7" w14:textId="77777777" w:rsidR="00975F26" w:rsidRPr="00A6089B" w:rsidRDefault="00975F26" w:rsidP="00A6089B">
      <w:pPr>
        <w:spacing w:line="380" w:lineRule="atLeast"/>
        <w:jc w:val="both"/>
        <w:rPr>
          <w:bCs/>
          <w:sz w:val="20"/>
        </w:rPr>
      </w:pPr>
    </w:p>
    <w:p w14:paraId="16720A12" w14:textId="35416B25" w:rsidR="00925C7D" w:rsidRPr="00ED0D6D" w:rsidRDefault="00925C7D" w:rsidP="00A6089B">
      <w:pPr>
        <w:spacing w:line="380" w:lineRule="atLeast"/>
        <w:ind w:left="720"/>
        <w:jc w:val="both"/>
        <w:rPr>
          <w:b/>
          <w:szCs w:val="24"/>
        </w:rPr>
      </w:pPr>
      <w:r w:rsidRPr="00ED0D6D">
        <w:rPr>
          <w:b/>
          <w:szCs w:val="24"/>
        </w:rPr>
        <w:t>2.</w:t>
      </w:r>
      <w:r w:rsidR="00A6089B">
        <w:rPr>
          <w:b/>
          <w:szCs w:val="24"/>
        </w:rPr>
        <w:t>2.</w:t>
      </w:r>
      <w:r w:rsidRPr="00ED0D6D">
        <w:rPr>
          <w:b/>
          <w:szCs w:val="24"/>
        </w:rPr>
        <w:t>10. Transportas ir ryšiai</w:t>
      </w:r>
    </w:p>
    <w:tbl>
      <w:tblP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080"/>
        <w:gridCol w:w="1080"/>
        <w:gridCol w:w="956"/>
        <w:gridCol w:w="983"/>
        <w:gridCol w:w="1250"/>
        <w:gridCol w:w="1250"/>
        <w:gridCol w:w="2491"/>
        <w:gridCol w:w="1172"/>
      </w:tblGrid>
      <w:tr w:rsidR="00925C7D" w:rsidRPr="00ED0D6D" w14:paraId="06383676" w14:textId="77777777" w:rsidTr="00CA2F95">
        <w:trPr>
          <w:trHeight w:val="908"/>
        </w:trPr>
        <w:tc>
          <w:tcPr>
            <w:tcW w:w="657" w:type="dxa"/>
            <w:shd w:val="clear" w:color="000000" w:fill="DEEAF6"/>
            <w:vAlign w:val="center"/>
            <w:hideMark/>
          </w:tcPr>
          <w:p w14:paraId="2FF902EC" w14:textId="77777777" w:rsidR="00925C7D" w:rsidRPr="00ED0D6D" w:rsidRDefault="00925C7D" w:rsidP="00CA2F95">
            <w:pPr>
              <w:jc w:val="center"/>
              <w:rPr>
                <w:b/>
                <w:bCs/>
                <w:color w:val="000000"/>
                <w:sz w:val="20"/>
              </w:rPr>
            </w:pPr>
            <w:r w:rsidRPr="00ED0D6D">
              <w:rPr>
                <w:b/>
                <w:bCs/>
                <w:color w:val="000000"/>
                <w:sz w:val="20"/>
              </w:rPr>
              <w:t>Eil. Nr.</w:t>
            </w:r>
          </w:p>
        </w:tc>
        <w:tc>
          <w:tcPr>
            <w:tcW w:w="4648" w:type="dxa"/>
            <w:shd w:val="clear" w:color="000000" w:fill="DEEAF6"/>
            <w:vAlign w:val="center"/>
            <w:hideMark/>
          </w:tcPr>
          <w:p w14:paraId="7EF1DBEA" w14:textId="77777777" w:rsidR="00925C7D" w:rsidRPr="00ED0D6D" w:rsidRDefault="00925C7D" w:rsidP="00CA2F95">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1F8EAB74" w14:textId="77777777" w:rsidR="00925C7D" w:rsidRPr="00ED0D6D" w:rsidRDefault="00925C7D" w:rsidP="00CA2F95">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3F5435F7" w14:textId="77777777" w:rsidR="00925C7D" w:rsidRPr="00ED0D6D" w:rsidRDefault="00925C7D" w:rsidP="00CA2F95">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1CA720BF" w14:textId="77777777" w:rsidR="00925C7D" w:rsidRPr="00ED0D6D" w:rsidRDefault="00925C7D" w:rsidP="00CA2F95">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529FF4F6" w14:textId="77777777" w:rsidR="00925C7D" w:rsidRPr="00ED0D6D" w:rsidRDefault="00925C7D" w:rsidP="00CA2F95">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5D855656" w14:textId="77777777" w:rsidR="00925C7D" w:rsidRPr="00ED0D6D" w:rsidRDefault="00925C7D" w:rsidP="00CA2F95">
            <w:pPr>
              <w:jc w:val="center"/>
              <w:rPr>
                <w:b/>
                <w:bCs/>
                <w:color w:val="000000"/>
                <w:sz w:val="20"/>
              </w:rPr>
            </w:pPr>
            <w:r w:rsidRPr="00ED0D6D">
              <w:rPr>
                <w:b/>
                <w:bCs/>
                <w:color w:val="000000"/>
                <w:sz w:val="20"/>
              </w:rPr>
              <w:t>Planuojama reikšmė 2024m. / 2025 m.</w:t>
            </w:r>
          </w:p>
        </w:tc>
        <w:tc>
          <w:tcPr>
            <w:tcW w:w="1250" w:type="dxa"/>
            <w:shd w:val="clear" w:color="FFFFFF" w:fill="DDEBF7"/>
            <w:vAlign w:val="center"/>
            <w:hideMark/>
          </w:tcPr>
          <w:p w14:paraId="5F4DFA55" w14:textId="77777777" w:rsidR="00925C7D" w:rsidRPr="00ED0D6D" w:rsidRDefault="00925C7D" w:rsidP="00CA2F95">
            <w:pPr>
              <w:jc w:val="center"/>
              <w:rPr>
                <w:b/>
                <w:bCs/>
                <w:color w:val="000000"/>
                <w:sz w:val="20"/>
              </w:rPr>
            </w:pPr>
            <w:r w:rsidRPr="00ED0D6D">
              <w:rPr>
                <w:b/>
                <w:bCs/>
                <w:color w:val="000000"/>
                <w:sz w:val="20"/>
              </w:rPr>
              <w:t>Planuojama reikšmė 2030 m.</w:t>
            </w:r>
          </w:p>
        </w:tc>
        <w:tc>
          <w:tcPr>
            <w:tcW w:w="2491" w:type="dxa"/>
            <w:shd w:val="clear" w:color="000000" w:fill="DEEAF6"/>
            <w:vAlign w:val="center"/>
            <w:hideMark/>
          </w:tcPr>
          <w:p w14:paraId="4D896798" w14:textId="77777777" w:rsidR="00925C7D" w:rsidRPr="00ED0D6D" w:rsidRDefault="00925C7D" w:rsidP="00CA2F95">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2B580E75" w14:textId="77777777" w:rsidR="00925C7D" w:rsidRPr="00ED0D6D" w:rsidRDefault="00925C7D" w:rsidP="00CA2F95">
            <w:pPr>
              <w:jc w:val="center"/>
              <w:rPr>
                <w:b/>
                <w:bCs/>
                <w:color w:val="000000"/>
                <w:sz w:val="20"/>
              </w:rPr>
            </w:pPr>
            <w:r w:rsidRPr="00ED0D6D">
              <w:rPr>
                <w:b/>
                <w:bCs/>
                <w:color w:val="000000"/>
                <w:sz w:val="20"/>
              </w:rPr>
              <w:t>Kriterijaus požymis: VPS2030 NPP2020 NPP2030</w:t>
            </w:r>
          </w:p>
          <w:p w14:paraId="6C2F68FB" w14:textId="77777777" w:rsidR="00925C7D" w:rsidRPr="00ED0D6D" w:rsidRDefault="00925C7D" w:rsidP="00CA2F95">
            <w:pPr>
              <w:jc w:val="center"/>
              <w:rPr>
                <w:b/>
                <w:bCs/>
                <w:color w:val="000000"/>
                <w:sz w:val="20"/>
              </w:rPr>
            </w:pPr>
            <w:r w:rsidRPr="00ED0D6D">
              <w:rPr>
                <w:b/>
                <w:bCs/>
                <w:color w:val="000000"/>
                <w:sz w:val="20"/>
              </w:rPr>
              <w:t>17LRVP</w:t>
            </w:r>
          </w:p>
          <w:p w14:paraId="71DB5426" w14:textId="77777777" w:rsidR="00925C7D" w:rsidRPr="00ED0D6D" w:rsidRDefault="00925C7D" w:rsidP="00CA2F95">
            <w:pPr>
              <w:jc w:val="center"/>
              <w:rPr>
                <w:b/>
                <w:bCs/>
                <w:color w:val="000000"/>
                <w:sz w:val="20"/>
              </w:rPr>
            </w:pPr>
            <w:r w:rsidRPr="00ED0D6D">
              <w:rPr>
                <w:b/>
                <w:bCs/>
                <w:color w:val="000000"/>
                <w:sz w:val="20"/>
              </w:rPr>
              <w:t>18LRVP</w:t>
            </w:r>
          </w:p>
        </w:tc>
      </w:tr>
      <w:tr w:rsidR="00925C7D" w:rsidRPr="00ED0D6D" w14:paraId="47BCD066" w14:textId="77777777" w:rsidTr="00CA2F95">
        <w:trPr>
          <w:trHeight w:val="504"/>
        </w:trPr>
        <w:tc>
          <w:tcPr>
            <w:tcW w:w="657" w:type="dxa"/>
            <w:shd w:val="clear" w:color="auto" w:fill="auto"/>
            <w:vAlign w:val="center"/>
            <w:hideMark/>
          </w:tcPr>
          <w:p w14:paraId="358DFBB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22FDC9A9" w14:textId="77777777" w:rsidR="00925C7D" w:rsidRPr="00ED0D6D" w:rsidRDefault="00925C7D" w:rsidP="00CA2F95">
            <w:pPr>
              <w:jc w:val="both"/>
              <w:rPr>
                <w:color w:val="000000"/>
                <w:sz w:val="20"/>
              </w:rPr>
            </w:pPr>
            <w:r w:rsidRPr="00ED0D6D">
              <w:rPr>
                <w:sz w:val="20"/>
              </w:rPr>
              <w:t xml:space="preserve">Elektrifikuotų geležinkelio linijų dalis nuo visų geležinkelio linijų ilgio (proc.)   </w:t>
            </w:r>
          </w:p>
        </w:tc>
        <w:tc>
          <w:tcPr>
            <w:tcW w:w="1080" w:type="dxa"/>
            <w:shd w:val="clear" w:color="auto" w:fill="auto"/>
            <w:noWrap/>
            <w:vAlign w:val="center"/>
          </w:tcPr>
          <w:p w14:paraId="7D2E24BE" w14:textId="77777777" w:rsidR="00925C7D" w:rsidRPr="00ED0D6D" w:rsidRDefault="00925C7D" w:rsidP="00CA2F95">
            <w:pPr>
              <w:jc w:val="center"/>
              <w:rPr>
                <w:color w:val="000000"/>
                <w:sz w:val="20"/>
              </w:rPr>
            </w:pPr>
            <w:r w:rsidRPr="00ED0D6D">
              <w:rPr>
                <w:sz w:val="20"/>
              </w:rPr>
              <w:t>8</w:t>
            </w:r>
          </w:p>
        </w:tc>
        <w:tc>
          <w:tcPr>
            <w:tcW w:w="1080" w:type="dxa"/>
            <w:shd w:val="clear" w:color="000000" w:fill="FFFFFF"/>
            <w:vAlign w:val="center"/>
          </w:tcPr>
          <w:p w14:paraId="6E4490BF" w14:textId="77777777" w:rsidR="00925C7D" w:rsidRPr="00ED0D6D" w:rsidRDefault="00925C7D" w:rsidP="00CA2F95">
            <w:pPr>
              <w:jc w:val="center"/>
              <w:rPr>
                <w:color w:val="000000"/>
                <w:sz w:val="20"/>
              </w:rPr>
            </w:pPr>
            <w:r w:rsidRPr="00ED0D6D">
              <w:rPr>
                <w:sz w:val="20"/>
              </w:rPr>
              <w:t> 8</w:t>
            </w:r>
          </w:p>
        </w:tc>
        <w:tc>
          <w:tcPr>
            <w:tcW w:w="956" w:type="dxa"/>
            <w:shd w:val="clear" w:color="auto" w:fill="auto"/>
            <w:vAlign w:val="center"/>
          </w:tcPr>
          <w:p w14:paraId="5771D5D0" w14:textId="77777777" w:rsidR="00925C7D" w:rsidRPr="00ED0D6D" w:rsidRDefault="00925C7D" w:rsidP="00CA2F95">
            <w:pPr>
              <w:jc w:val="center"/>
              <w:rPr>
                <w:color w:val="000000"/>
                <w:sz w:val="20"/>
              </w:rPr>
            </w:pPr>
            <w:r w:rsidRPr="00ED0D6D">
              <w:rPr>
                <w:sz w:val="20"/>
              </w:rPr>
              <w:t>49</w:t>
            </w:r>
          </w:p>
        </w:tc>
        <w:tc>
          <w:tcPr>
            <w:tcW w:w="983" w:type="dxa"/>
            <w:shd w:val="clear" w:color="auto" w:fill="auto"/>
            <w:vAlign w:val="center"/>
          </w:tcPr>
          <w:p w14:paraId="45247217" w14:textId="77777777" w:rsidR="00925C7D" w:rsidRPr="00ED0D6D" w:rsidRDefault="00925C7D" w:rsidP="00CA2F95">
            <w:pPr>
              <w:jc w:val="center"/>
              <w:rPr>
                <w:color w:val="000000"/>
                <w:sz w:val="20"/>
              </w:rPr>
            </w:pPr>
            <w:r w:rsidRPr="00ED0D6D">
              <w:rPr>
                <w:sz w:val="20"/>
              </w:rPr>
              <w:t>14</w:t>
            </w:r>
          </w:p>
        </w:tc>
        <w:tc>
          <w:tcPr>
            <w:tcW w:w="1250" w:type="dxa"/>
            <w:shd w:val="clear" w:color="auto" w:fill="auto"/>
            <w:noWrap/>
            <w:vAlign w:val="center"/>
          </w:tcPr>
          <w:p w14:paraId="2239BAEB" w14:textId="77777777" w:rsidR="00925C7D" w:rsidRPr="00ED0D6D" w:rsidRDefault="00925C7D" w:rsidP="00CA2F95">
            <w:pPr>
              <w:jc w:val="center"/>
              <w:rPr>
                <w:color w:val="000000"/>
                <w:sz w:val="20"/>
              </w:rPr>
            </w:pPr>
            <w:r w:rsidRPr="00ED0D6D">
              <w:rPr>
                <w:sz w:val="20"/>
              </w:rPr>
              <w:t>22 </w:t>
            </w:r>
          </w:p>
        </w:tc>
        <w:tc>
          <w:tcPr>
            <w:tcW w:w="1250" w:type="dxa"/>
            <w:shd w:val="clear" w:color="auto" w:fill="auto"/>
            <w:vAlign w:val="center"/>
          </w:tcPr>
          <w:p w14:paraId="1BC485B1" w14:textId="77777777" w:rsidR="00925C7D" w:rsidRPr="00ED0D6D" w:rsidRDefault="00925C7D" w:rsidP="00CA2F95">
            <w:pPr>
              <w:jc w:val="center"/>
              <w:rPr>
                <w:color w:val="000000"/>
                <w:sz w:val="20"/>
              </w:rPr>
            </w:pPr>
            <w:r w:rsidRPr="00ED0D6D">
              <w:rPr>
                <w:sz w:val="20"/>
              </w:rPr>
              <w:t>35 </w:t>
            </w:r>
          </w:p>
        </w:tc>
        <w:tc>
          <w:tcPr>
            <w:tcW w:w="2491" w:type="dxa"/>
            <w:shd w:val="clear" w:color="auto" w:fill="auto"/>
            <w:vAlign w:val="center"/>
          </w:tcPr>
          <w:p w14:paraId="5D49933E" w14:textId="77777777" w:rsidR="00925C7D" w:rsidRPr="00ED0D6D" w:rsidRDefault="00925C7D" w:rsidP="00CA2F95">
            <w:pPr>
              <w:jc w:val="center"/>
              <w:rPr>
                <w:color w:val="000000"/>
                <w:sz w:val="20"/>
              </w:rPr>
            </w:pPr>
            <w:r w:rsidRPr="00ED0D6D">
              <w:rPr>
                <w:sz w:val="20"/>
              </w:rPr>
              <w:t> Lietuvos statistikos departamentas </w:t>
            </w:r>
          </w:p>
        </w:tc>
        <w:tc>
          <w:tcPr>
            <w:tcW w:w="1172" w:type="dxa"/>
            <w:shd w:val="clear" w:color="auto" w:fill="auto"/>
            <w:vAlign w:val="center"/>
          </w:tcPr>
          <w:p w14:paraId="6AA29759" w14:textId="77777777" w:rsidR="00925C7D" w:rsidRPr="00ED0D6D" w:rsidRDefault="00925C7D" w:rsidP="00CA2F95">
            <w:pPr>
              <w:jc w:val="center"/>
              <w:rPr>
                <w:sz w:val="20"/>
              </w:rPr>
            </w:pPr>
            <w:r w:rsidRPr="00ED0D6D">
              <w:rPr>
                <w:sz w:val="20"/>
              </w:rPr>
              <w:t>NPP2030</w:t>
            </w:r>
          </w:p>
          <w:p w14:paraId="7A952BC3" w14:textId="77777777" w:rsidR="00925C7D" w:rsidRPr="00ED0D6D" w:rsidRDefault="00925C7D" w:rsidP="00CA2F95">
            <w:pPr>
              <w:jc w:val="center"/>
              <w:rPr>
                <w:b/>
                <w:bCs/>
                <w:i/>
                <w:iCs/>
                <w:color w:val="000000"/>
                <w:sz w:val="20"/>
              </w:rPr>
            </w:pPr>
            <w:r w:rsidRPr="00ED0D6D">
              <w:rPr>
                <w:sz w:val="20"/>
              </w:rPr>
              <w:t xml:space="preserve">17LRVP </w:t>
            </w:r>
          </w:p>
        </w:tc>
      </w:tr>
      <w:tr w:rsidR="00925C7D" w:rsidRPr="00ED0D6D" w14:paraId="26891192" w14:textId="77777777" w:rsidTr="00CA2F95">
        <w:trPr>
          <w:trHeight w:val="504"/>
        </w:trPr>
        <w:tc>
          <w:tcPr>
            <w:tcW w:w="657" w:type="dxa"/>
            <w:shd w:val="clear" w:color="auto" w:fill="auto"/>
            <w:vAlign w:val="center"/>
          </w:tcPr>
          <w:p w14:paraId="3193BCEF"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0BC3FB89" w14:textId="77777777" w:rsidR="00925C7D" w:rsidRPr="00ED0D6D" w:rsidRDefault="00925C7D" w:rsidP="00CA2F95">
            <w:pPr>
              <w:jc w:val="both"/>
              <w:rPr>
                <w:sz w:val="20"/>
              </w:rPr>
            </w:pPr>
            <w:r w:rsidRPr="00ED0D6D">
              <w:rPr>
                <w:sz w:val="20"/>
              </w:rPr>
              <w:t xml:space="preserve">Kasmetinis keleivių vežimas visų rūšių transportu, mln. keleivių (mln. žmonių) </w:t>
            </w:r>
          </w:p>
        </w:tc>
        <w:tc>
          <w:tcPr>
            <w:tcW w:w="1080" w:type="dxa"/>
            <w:shd w:val="clear" w:color="auto" w:fill="auto"/>
            <w:noWrap/>
            <w:vAlign w:val="center"/>
          </w:tcPr>
          <w:p w14:paraId="78958105" w14:textId="77777777" w:rsidR="00925C7D" w:rsidRPr="00ED0D6D" w:rsidRDefault="00925C7D" w:rsidP="00CA2F95">
            <w:pPr>
              <w:jc w:val="center"/>
              <w:rPr>
                <w:sz w:val="20"/>
              </w:rPr>
            </w:pPr>
            <w:r w:rsidRPr="00ED0D6D">
              <w:rPr>
                <w:sz w:val="20"/>
              </w:rPr>
              <w:t>381</w:t>
            </w:r>
          </w:p>
        </w:tc>
        <w:tc>
          <w:tcPr>
            <w:tcW w:w="1080" w:type="dxa"/>
            <w:shd w:val="clear" w:color="000000" w:fill="FFFFFF"/>
            <w:vAlign w:val="center"/>
          </w:tcPr>
          <w:p w14:paraId="1A839D3F" w14:textId="77777777" w:rsidR="00925C7D" w:rsidRPr="00ED0D6D" w:rsidRDefault="00925C7D" w:rsidP="00CA2F95">
            <w:pPr>
              <w:jc w:val="center"/>
              <w:rPr>
                <w:sz w:val="20"/>
              </w:rPr>
            </w:pPr>
            <w:r w:rsidRPr="00ED0D6D">
              <w:rPr>
                <w:sz w:val="20"/>
              </w:rPr>
              <w:t>241,6</w:t>
            </w:r>
          </w:p>
        </w:tc>
        <w:tc>
          <w:tcPr>
            <w:tcW w:w="956" w:type="dxa"/>
            <w:shd w:val="clear" w:color="auto" w:fill="auto"/>
            <w:vAlign w:val="center"/>
          </w:tcPr>
          <w:p w14:paraId="46343A40" w14:textId="77777777" w:rsidR="00925C7D" w:rsidRPr="00ED0D6D" w:rsidRDefault="00925C7D" w:rsidP="00CA2F95">
            <w:pPr>
              <w:jc w:val="center"/>
              <w:rPr>
                <w:sz w:val="20"/>
              </w:rPr>
            </w:pPr>
            <w:r w:rsidRPr="00ED0D6D">
              <w:rPr>
                <w:color w:val="000000"/>
                <w:sz w:val="20"/>
              </w:rPr>
              <w:t>-</w:t>
            </w:r>
          </w:p>
        </w:tc>
        <w:tc>
          <w:tcPr>
            <w:tcW w:w="983" w:type="dxa"/>
            <w:shd w:val="clear" w:color="auto" w:fill="auto"/>
            <w:vAlign w:val="center"/>
          </w:tcPr>
          <w:p w14:paraId="5CAB8436" w14:textId="77777777" w:rsidR="00925C7D" w:rsidRPr="00ED0D6D" w:rsidRDefault="00925C7D" w:rsidP="00CA2F95">
            <w:pPr>
              <w:jc w:val="center"/>
              <w:rPr>
                <w:sz w:val="20"/>
              </w:rPr>
            </w:pPr>
            <w:r w:rsidRPr="00ED0D6D">
              <w:rPr>
                <w:sz w:val="20"/>
              </w:rPr>
              <w:t>402,5</w:t>
            </w:r>
          </w:p>
        </w:tc>
        <w:tc>
          <w:tcPr>
            <w:tcW w:w="1250" w:type="dxa"/>
            <w:shd w:val="clear" w:color="auto" w:fill="auto"/>
            <w:noWrap/>
            <w:vAlign w:val="center"/>
          </w:tcPr>
          <w:p w14:paraId="3AFBF917" w14:textId="77777777" w:rsidR="00925C7D" w:rsidRPr="00ED0D6D" w:rsidRDefault="00925C7D" w:rsidP="00CA2F95">
            <w:pPr>
              <w:jc w:val="center"/>
              <w:rPr>
                <w:sz w:val="20"/>
              </w:rPr>
            </w:pPr>
            <w:r w:rsidRPr="00ED0D6D">
              <w:rPr>
                <w:sz w:val="20"/>
              </w:rPr>
              <w:t> 405</w:t>
            </w:r>
          </w:p>
        </w:tc>
        <w:tc>
          <w:tcPr>
            <w:tcW w:w="1250" w:type="dxa"/>
            <w:shd w:val="clear" w:color="auto" w:fill="auto"/>
            <w:vAlign w:val="center"/>
          </w:tcPr>
          <w:p w14:paraId="6F8FA94A" w14:textId="77777777" w:rsidR="00925C7D" w:rsidRPr="00ED0D6D" w:rsidRDefault="00925C7D" w:rsidP="00CA2F95">
            <w:pPr>
              <w:jc w:val="center"/>
              <w:rPr>
                <w:sz w:val="20"/>
              </w:rPr>
            </w:pPr>
            <w:r w:rsidRPr="00ED0D6D">
              <w:rPr>
                <w:sz w:val="20"/>
              </w:rPr>
              <w:t>420 </w:t>
            </w:r>
          </w:p>
        </w:tc>
        <w:tc>
          <w:tcPr>
            <w:tcW w:w="2491" w:type="dxa"/>
            <w:shd w:val="clear" w:color="auto" w:fill="auto"/>
            <w:vAlign w:val="center"/>
          </w:tcPr>
          <w:p w14:paraId="755E7617" w14:textId="77777777" w:rsidR="00925C7D" w:rsidRPr="00ED0D6D" w:rsidRDefault="00925C7D" w:rsidP="00CA2F95">
            <w:pPr>
              <w:jc w:val="center"/>
              <w:rPr>
                <w:sz w:val="20"/>
              </w:rPr>
            </w:pPr>
            <w:r w:rsidRPr="00ED0D6D">
              <w:rPr>
                <w:sz w:val="20"/>
              </w:rPr>
              <w:t> Lietuvos statistikos departamentas </w:t>
            </w:r>
          </w:p>
        </w:tc>
        <w:tc>
          <w:tcPr>
            <w:tcW w:w="1172" w:type="dxa"/>
            <w:shd w:val="clear" w:color="auto" w:fill="auto"/>
            <w:vAlign w:val="center"/>
          </w:tcPr>
          <w:p w14:paraId="43E53416" w14:textId="77777777" w:rsidR="00925C7D" w:rsidRPr="00ED0D6D" w:rsidRDefault="00925C7D" w:rsidP="00CA2F95">
            <w:pPr>
              <w:jc w:val="center"/>
              <w:rPr>
                <w:sz w:val="20"/>
              </w:rPr>
            </w:pPr>
            <w:r w:rsidRPr="00ED0D6D">
              <w:rPr>
                <w:sz w:val="20"/>
              </w:rPr>
              <w:t>NPP2030</w:t>
            </w:r>
          </w:p>
          <w:p w14:paraId="4B0C00D7" w14:textId="77777777" w:rsidR="00925C7D" w:rsidRPr="00ED0D6D" w:rsidRDefault="00925C7D" w:rsidP="00CA2F95">
            <w:pPr>
              <w:jc w:val="center"/>
              <w:rPr>
                <w:sz w:val="20"/>
              </w:rPr>
            </w:pPr>
            <w:r w:rsidRPr="00ED0D6D">
              <w:rPr>
                <w:sz w:val="20"/>
              </w:rPr>
              <w:t xml:space="preserve">17LRVP </w:t>
            </w:r>
          </w:p>
        </w:tc>
      </w:tr>
      <w:tr w:rsidR="00925C7D" w:rsidRPr="00ED0D6D" w14:paraId="08C44763" w14:textId="77777777" w:rsidTr="00CA2F95">
        <w:trPr>
          <w:trHeight w:val="504"/>
        </w:trPr>
        <w:tc>
          <w:tcPr>
            <w:tcW w:w="657" w:type="dxa"/>
            <w:shd w:val="clear" w:color="auto" w:fill="auto"/>
            <w:vAlign w:val="center"/>
          </w:tcPr>
          <w:p w14:paraId="7373E33B"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FE13C6E" w14:textId="77777777" w:rsidR="00925C7D" w:rsidRPr="00ED0D6D" w:rsidRDefault="00925C7D" w:rsidP="00CA2F95">
            <w:pPr>
              <w:jc w:val="both"/>
              <w:rPr>
                <w:sz w:val="20"/>
              </w:rPr>
            </w:pPr>
            <w:r w:rsidRPr="00ED0D6D">
              <w:rPr>
                <w:sz w:val="20"/>
              </w:rPr>
              <w:t xml:space="preserve">Kasmetinis krovinių vežimas visų rūšių transportu (mln. tonų) </w:t>
            </w:r>
          </w:p>
        </w:tc>
        <w:tc>
          <w:tcPr>
            <w:tcW w:w="1080" w:type="dxa"/>
            <w:shd w:val="clear" w:color="auto" w:fill="auto"/>
            <w:noWrap/>
            <w:vAlign w:val="center"/>
          </w:tcPr>
          <w:p w14:paraId="3ED81450" w14:textId="77777777" w:rsidR="00925C7D" w:rsidRPr="00ED0D6D" w:rsidRDefault="00925C7D" w:rsidP="00CA2F95">
            <w:pPr>
              <w:jc w:val="center"/>
              <w:rPr>
                <w:sz w:val="20"/>
              </w:rPr>
            </w:pPr>
            <w:r w:rsidRPr="00ED0D6D">
              <w:rPr>
                <w:sz w:val="20"/>
              </w:rPr>
              <w:t>163,8</w:t>
            </w:r>
          </w:p>
        </w:tc>
        <w:tc>
          <w:tcPr>
            <w:tcW w:w="1080" w:type="dxa"/>
            <w:shd w:val="clear" w:color="000000" w:fill="FFFFFF"/>
            <w:vAlign w:val="center"/>
          </w:tcPr>
          <w:p w14:paraId="02901E6D" w14:textId="77777777" w:rsidR="00925C7D" w:rsidRPr="00ED0D6D" w:rsidRDefault="00925C7D" w:rsidP="00CA2F95">
            <w:pPr>
              <w:jc w:val="center"/>
              <w:rPr>
                <w:sz w:val="20"/>
              </w:rPr>
            </w:pPr>
            <w:r w:rsidRPr="00ED0D6D">
              <w:rPr>
                <w:sz w:val="20"/>
              </w:rPr>
              <w:t>158,3</w:t>
            </w:r>
          </w:p>
        </w:tc>
        <w:tc>
          <w:tcPr>
            <w:tcW w:w="956" w:type="dxa"/>
            <w:shd w:val="clear" w:color="auto" w:fill="auto"/>
            <w:vAlign w:val="center"/>
          </w:tcPr>
          <w:p w14:paraId="6DEBFB82" w14:textId="77777777" w:rsidR="00925C7D" w:rsidRPr="00ED0D6D" w:rsidRDefault="00925C7D" w:rsidP="00CA2F95">
            <w:pPr>
              <w:jc w:val="center"/>
              <w:rPr>
                <w:sz w:val="20"/>
              </w:rPr>
            </w:pPr>
            <w:r w:rsidRPr="00ED0D6D">
              <w:rPr>
                <w:color w:val="000000"/>
                <w:sz w:val="20"/>
              </w:rPr>
              <w:t>-</w:t>
            </w:r>
          </w:p>
        </w:tc>
        <w:tc>
          <w:tcPr>
            <w:tcW w:w="983" w:type="dxa"/>
            <w:shd w:val="clear" w:color="auto" w:fill="auto"/>
            <w:vAlign w:val="center"/>
          </w:tcPr>
          <w:p w14:paraId="111CA81D" w14:textId="77777777" w:rsidR="00925C7D" w:rsidRPr="00ED0D6D" w:rsidRDefault="00925C7D" w:rsidP="00CA2F95">
            <w:pPr>
              <w:jc w:val="center"/>
              <w:rPr>
                <w:sz w:val="20"/>
              </w:rPr>
            </w:pPr>
            <w:r w:rsidRPr="00ED0D6D">
              <w:rPr>
                <w:sz w:val="20"/>
              </w:rPr>
              <w:t>125,5</w:t>
            </w:r>
          </w:p>
        </w:tc>
        <w:tc>
          <w:tcPr>
            <w:tcW w:w="1250" w:type="dxa"/>
            <w:shd w:val="clear" w:color="auto" w:fill="auto"/>
            <w:noWrap/>
            <w:vAlign w:val="center"/>
          </w:tcPr>
          <w:p w14:paraId="136A0AB9" w14:textId="77777777" w:rsidR="00925C7D" w:rsidRPr="00ED0D6D" w:rsidRDefault="00925C7D" w:rsidP="00CA2F95">
            <w:pPr>
              <w:jc w:val="center"/>
              <w:rPr>
                <w:sz w:val="20"/>
              </w:rPr>
            </w:pPr>
            <w:r w:rsidRPr="00ED0D6D">
              <w:rPr>
                <w:sz w:val="20"/>
              </w:rPr>
              <w:t> 165</w:t>
            </w:r>
          </w:p>
        </w:tc>
        <w:tc>
          <w:tcPr>
            <w:tcW w:w="1250" w:type="dxa"/>
            <w:shd w:val="clear" w:color="auto" w:fill="auto"/>
            <w:vAlign w:val="center"/>
          </w:tcPr>
          <w:p w14:paraId="662A18CC" w14:textId="77777777" w:rsidR="00925C7D" w:rsidRPr="00ED0D6D" w:rsidRDefault="00925C7D" w:rsidP="00CA2F95">
            <w:pPr>
              <w:jc w:val="center"/>
              <w:rPr>
                <w:sz w:val="20"/>
              </w:rPr>
            </w:pPr>
            <w:r w:rsidRPr="00ED0D6D">
              <w:rPr>
                <w:sz w:val="20"/>
              </w:rPr>
              <w:t>170 </w:t>
            </w:r>
          </w:p>
        </w:tc>
        <w:tc>
          <w:tcPr>
            <w:tcW w:w="2491" w:type="dxa"/>
            <w:shd w:val="clear" w:color="auto" w:fill="auto"/>
            <w:vAlign w:val="center"/>
          </w:tcPr>
          <w:p w14:paraId="78062FC9" w14:textId="77777777" w:rsidR="00925C7D" w:rsidRPr="00ED0D6D" w:rsidRDefault="00925C7D" w:rsidP="00CA2F95">
            <w:pPr>
              <w:jc w:val="center"/>
              <w:rPr>
                <w:sz w:val="20"/>
              </w:rPr>
            </w:pPr>
            <w:r w:rsidRPr="00ED0D6D">
              <w:rPr>
                <w:sz w:val="20"/>
              </w:rPr>
              <w:t>  Lietuvos statistikos departamentas</w:t>
            </w:r>
          </w:p>
        </w:tc>
        <w:tc>
          <w:tcPr>
            <w:tcW w:w="1172" w:type="dxa"/>
            <w:shd w:val="clear" w:color="auto" w:fill="auto"/>
            <w:vAlign w:val="center"/>
          </w:tcPr>
          <w:p w14:paraId="20641E85" w14:textId="77777777" w:rsidR="00925C7D" w:rsidRPr="00ED0D6D" w:rsidRDefault="00925C7D" w:rsidP="00CA2F95">
            <w:pPr>
              <w:jc w:val="center"/>
              <w:rPr>
                <w:sz w:val="20"/>
              </w:rPr>
            </w:pPr>
            <w:r w:rsidRPr="00ED0D6D">
              <w:rPr>
                <w:sz w:val="20"/>
              </w:rPr>
              <w:t>NPP2030</w:t>
            </w:r>
          </w:p>
          <w:p w14:paraId="3BF38864" w14:textId="77777777" w:rsidR="00925C7D" w:rsidRPr="00ED0D6D" w:rsidRDefault="00925C7D" w:rsidP="00CA2F95">
            <w:pPr>
              <w:jc w:val="center"/>
              <w:rPr>
                <w:sz w:val="20"/>
              </w:rPr>
            </w:pPr>
            <w:r w:rsidRPr="00ED0D6D">
              <w:rPr>
                <w:sz w:val="20"/>
              </w:rPr>
              <w:t xml:space="preserve">17LRVP </w:t>
            </w:r>
          </w:p>
        </w:tc>
      </w:tr>
      <w:tr w:rsidR="00925C7D" w:rsidRPr="00ED0D6D" w14:paraId="4654D19F" w14:textId="77777777" w:rsidTr="00CA2F95">
        <w:trPr>
          <w:trHeight w:val="504"/>
        </w:trPr>
        <w:tc>
          <w:tcPr>
            <w:tcW w:w="657" w:type="dxa"/>
            <w:shd w:val="clear" w:color="auto" w:fill="auto"/>
            <w:vAlign w:val="center"/>
          </w:tcPr>
          <w:p w14:paraId="6CF35962"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EB8FC30" w14:textId="77777777" w:rsidR="00925C7D" w:rsidRPr="00ED0D6D" w:rsidRDefault="00925C7D" w:rsidP="00CA2F95">
            <w:pPr>
              <w:jc w:val="both"/>
              <w:rPr>
                <w:sz w:val="20"/>
              </w:rPr>
            </w:pPr>
            <w:r w:rsidRPr="00ED0D6D">
              <w:rPr>
                <w:sz w:val="20"/>
              </w:rPr>
              <w:t xml:space="preserve">Žuvusiųjų Lietuvos keliuose skaičius 1 mln. gyventojų per metus (žmonės) </w:t>
            </w:r>
          </w:p>
        </w:tc>
        <w:tc>
          <w:tcPr>
            <w:tcW w:w="1080" w:type="dxa"/>
            <w:shd w:val="clear" w:color="auto" w:fill="auto"/>
            <w:noWrap/>
            <w:vAlign w:val="center"/>
          </w:tcPr>
          <w:p w14:paraId="29AF9362" w14:textId="77777777" w:rsidR="00925C7D" w:rsidRPr="00ED0D6D" w:rsidRDefault="00925C7D" w:rsidP="00CA2F95">
            <w:pPr>
              <w:jc w:val="center"/>
              <w:rPr>
                <w:sz w:val="20"/>
              </w:rPr>
            </w:pPr>
            <w:r w:rsidRPr="00ED0D6D">
              <w:rPr>
                <w:sz w:val="20"/>
              </w:rPr>
              <w:t>66</w:t>
            </w:r>
          </w:p>
        </w:tc>
        <w:tc>
          <w:tcPr>
            <w:tcW w:w="1080" w:type="dxa"/>
            <w:shd w:val="clear" w:color="000000" w:fill="FFFFFF"/>
            <w:vAlign w:val="center"/>
          </w:tcPr>
          <w:p w14:paraId="4FB5D730" w14:textId="77777777" w:rsidR="00925C7D" w:rsidRPr="00ED0D6D" w:rsidRDefault="00925C7D" w:rsidP="00CA2F95">
            <w:pPr>
              <w:jc w:val="center"/>
              <w:rPr>
                <w:sz w:val="20"/>
              </w:rPr>
            </w:pPr>
            <w:r w:rsidRPr="00ED0D6D">
              <w:rPr>
                <w:sz w:val="20"/>
              </w:rPr>
              <w:t> 63</w:t>
            </w:r>
          </w:p>
        </w:tc>
        <w:tc>
          <w:tcPr>
            <w:tcW w:w="956" w:type="dxa"/>
            <w:shd w:val="clear" w:color="auto" w:fill="auto"/>
            <w:vAlign w:val="center"/>
          </w:tcPr>
          <w:p w14:paraId="0E0D3C4F" w14:textId="77777777" w:rsidR="00925C7D" w:rsidRPr="00ED0D6D" w:rsidRDefault="00925C7D" w:rsidP="00CA2F95">
            <w:pPr>
              <w:jc w:val="center"/>
              <w:rPr>
                <w:sz w:val="20"/>
              </w:rPr>
            </w:pPr>
            <w:r w:rsidRPr="00ED0D6D">
              <w:rPr>
                <w:sz w:val="20"/>
              </w:rPr>
              <w:t>51</w:t>
            </w:r>
          </w:p>
        </w:tc>
        <w:tc>
          <w:tcPr>
            <w:tcW w:w="983" w:type="dxa"/>
            <w:shd w:val="clear" w:color="auto" w:fill="auto"/>
            <w:vAlign w:val="center"/>
          </w:tcPr>
          <w:p w14:paraId="2CCF5D72" w14:textId="77777777" w:rsidR="00925C7D" w:rsidRPr="00ED0D6D" w:rsidRDefault="00925C7D" w:rsidP="00CA2F95">
            <w:pPr>
              <w:jc w:val="center"/>
              <w:rPr>
                <w:sz w:val="20"/>
              </w:rPr>
            </w:pPr>
            <w:r w:rsidRPr="00ED0D6D">
              <w:rPr>
                <w:sz w:val="20"/>
              </w:rPr>
              <w:t>50</w:t>
            </w:r>
          </w:p>
        </w:tc>
        <w:tc>
          <w:tcPr>
            <w:tcW w:w="1250" w:type="dxa"/>
            <w:shd w:val="clear" w:color="auto" w:fill="auto"/>
            <w:noWrap/>
            <w:vAlign w:val="center"/>
          </w:tcPr>
          <w:p w14:paraId="2A40A17A" w14:textId="77777777" w:rsidR="00925C7D" w:rsidRPr="00ED0D6D" w:rsidRDefault="00925C7D" w:rsidP="00CA2F95">
            <w:pPr>
              <w:jc w:val="center"/>
              <w:rPr>
                <w:sz w:val="20"/>
              </w:rPr>
            </w:pPr>
            <w:r w:rsidRPr="00ED0D6D">
              <w:rPr>
                <w:sz w:val="20"/>
              </w:rPr>
              <w:t>40 </w:t>
            </w:r>
          </w:p>
        </w:tc>
        <w:tc>
          <w:tcPr>
            <w:tcW w:w="1250" w:type="dxa"/>
            <w:shd w:val="clear" w:color="auto" w:fill="auto"/>
            <w:vAlign w:val="center"/>
          </w:tcPr>
          <w:p w14:paraId="0C7F8E9B" w14:textId="77777777" w:rsidR="00925C7D" w:rsidRPr="00ED0D6D" w:rsidRDefault="00925C7D" w:rsidP="00CA2F95">
            <w:pPr>
              <w:jc w:val="center"/>
              <w:rPr>
                <w:sz w:val="20"/>
              </w:rPr>
            </w:pPr>
            <w:r w:rsidRPr="00ED0D6D">
              <w:rPr>
                <w:sz w:val="20"/>
              </w:rPr>
              <w:t>30 </w:t>
            </w:r>
          </w:p>
        </w:tc>
        <w:tc>
          <w:tcPr>
            <w:tcW w:w="2491" w:type="dxa"/>
            <w:shd w:val="clear" w:color="auto" w:fill="auto"/>
            <w:vAlign w:val="center"/>
          </w:tcPr>
          <w:p w14:paraId="148E7626" w14:textId="77777777" w:rsidR="00925C7D" w:rsidRPr="00ED0D6D" w:rsidRDefault="00925C7D" w:rsidP="00CA2F95">
            <w:pPr>
              <w:jc w:val="center"/>
              <w:rPr>
                <w:sz w:val="20"/>
              </w:rPr>
            </w:pPr>
            <w:r w:rsidRPr="00ED0D6D">
              <w:rPr>
                <w:sz w:val="20"/>
              </w:rPr>
              <w:t>VRM, Lietuvos statistikos departamentas</w:t>
            </w:r>
          </w:p>
        </w:tc>
        <w:tc>
          <w:tcPr>
            <w:tcW w:w="1172" w:type="dxa"/>
            <w:shd w:val="clear" w:color="auto" w:fill="auto"/>
            <w:vAlign w:val="center"/>
          </w:tcPr>
          <w:p w14:paraId="38575F3B" w14:textId="77777777" w:rsidR="00925C7D" w:rsidRPr="00ED0D6D" w:rsidRDefault="00925C7D" w:rsidP="00CA2F95">
            <w:pPr>
              <w:jc w:val="center"/>
              <w:rPr>
                <w:sz w:val="20"/>
              </w:rPr>
            </w:pPr>
            <w:r w:rsidRPr="00ED0D6D">
              <w:rPr>
                <w:sz w:val="20"/>
              </w:rPr>
              <w:t>NPP2030</w:t>
            </w:r>
          </w:p>
          <w:p w14:paraId="0AED2298" w14:textId="77777777" w:rsidR="00925C7D" w:rsidRPr="00ED0D6D" w:rsidRDefault="00925C7D" w:rsidP="00CA2F95">
            <w:pPr>
              <w:jc w:val="center"/>
              <w:rPr>
                <w:sz w:val="20"/>
              </w:rPr>
            </w:pPr>
            <w:r w:rsidRPr="00ED0D6D">
              <w:rPr>
                <w:sz w:val="20"/>
              </w:rPr>
              <w:t xml:space="preserve">17LRVP </w:t>
            </w:r>
          </w:p>
        </w:tc>
      </w:tr>
      <w:tr w:rsidR="00925C7D" w:rsidRPr="00ED0D6D" w14:paraId="18836112" w14:textId="77777777" w:rsidTr="00CA2F95">
        <w:trPr>
          <w:trHeight w:val="504"/>
        </w:trPr>
        <w:tc>
          <w:tcPr>
            <w:tcW w:w="657" w:type="dxa"/>
            <w:shd w:val="clear" w:color="auto" w:fill="auto"/>
            <w:vAlign w:val="center"/>
          </w:tcPr>
          <w:p w14:paraId="3EFAA7A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0FE011E" w14:textId="77777777" w:rsidR="00925C7D" w:rsidRPr="00ED0D6D" w:rsidRDefault="00925C7D" w:rsidP="00CA2F95">
            <w:pPr>
              <w:jc w:val="both"/>
              <w:rPr>
                <w:sz w:val="20"/>
              </w:rPr>
            </w:pPr>
            <w:r w:rsidRPr="00ED0D6D">
              <w:rPr>
                <w:sz w:val="20"/>
              </w:rPr>
              <w:t xml:space="preserve">Namų ūkių, kurie yra spartaus plačiajuosčio ryšio (30Mbps ir daugiau) dengiamoje teritorijoje, dalis (proc.)   </w:t>
            </w:r>
          </w:p>
        </w:tc>
        <w:tc>
          <w:tcPr>
            <w:tcW w:w="1080" w:type="dxa"/>
            <w:shd w:val="clear" w:color="auto" w:fill="auto"/>
            <w:noWrap/>
            <w:vAlign w:val="center"/>
          </w:tcPr>
          <w:p w14:paraId="1B7D9AC4" w14:textId="77777777" w:rsidR="00925C7D" w:rsidRPr="00ED0D6D" w:rsidRDefault="00925C7D" w:rsidP="00CA2F95">
            <w:pPr>
              <w:jc w:val="center"/>
              <w:rPr>
                <w:sz w:val="20"/>
              </w:rPr>
            </w:pPr>
            <w:r w:rsidRPr="00ED0D6D">
              <w:rPr>
                <w:sz w:val="20"/>
              </w:rPr>
              <w:t>91</w:t>
            </w:r>
          </w:p>
        </w:tc>
        <w:tc>
          <w:tcPr>
            <w:tcW w:w="1080" w:type="dxa"/>
            <w:shd w:val="clear" w:color="000000" w:fill="FFFFFF"/>
            <w:vAlign w:val="center"/>
          </w:tcPr>
          <w:p w14:paraId="3CA713E4" w14:textId="77777777" w:rsidR="00925C7D" w:rsidRPr="00ED0D6D" w:rsidRDefault="00925C7D" w:rsidP="00CA2F95">
            <w:pPr>
              <w:jc w:val="center"/>
              <w:rPr>
                <w:sz w:val="20"/>
              </w:rPr>
            </w:pPr>
            <w:r w:rsidRPr="00ED0D6D">
              <w:rPr>
                <w:sz w:val="20"/>
              </w:rPr>
              <w:t> 91</w:t>
            </w:r>
          </w:p>
        </w:tc>
        <w:tc>
          <w:tcPr>
            <w:tcW w:w="956" w:type="dxa"/>
            <w:shd w:val="clear" w:color="auto" w:fill="auto"/>
            <w:vAlign w:val="center"/>
          </w:tcPr>
          <w:p w14:paraId="70B2DEA1" w14:textId="77777777" w:rsidR="00925C7D" w:rsidRPr="00ED0D6D" w:rsidRDefault="00925C7D" w:rsidP="00CA2F95">
            <w:pPr>
              <w:jc w:val="center"/>
              <w:rPr>
                <w:sz w:val="20"/>
              </w:rPr>
            </w:pPr>
            <w:r w:rsidRPr="00ED0D6D">
              <w:rPr>
                <w:color w:val="000000"/>
                <w:sz w:val="20"/>
              </w:rPr>
              <w:t>-</w:t>
            </w:r>
          </w:p>
        </w:tc>
        <w:tc>
          <w:tcPr>
            <w:tcW w:w="983" w:type="dxa"/>
            <w:shd w:val="clear" w:color="auto" w:fill="auto"/>
            <w:vAlign w:val="center"/>
          </w:tcPr>
          <w:p w14:paraId="1913A74C" w14:textId="77777777" w:rsidR="00925C7D" w:rsidRPr="00ED0D6D" w:rsidRDefault="00925C7D" w:rsidP="00CA2F95">
            <w:pPr>
              <w:jc w:val="center"/>
              <w:rPr>
                <w:sz w:val="20"/>
              </w:rPr>
            </w:pPr>
            <w:r w:rsidRPr="00ED0D6D">
              <w:rPr>
                <w:sz w:val="20"/>
              </w:rPr>
              <w:t>100</w:t>
            </w:r>
          </w:p>
        </w:tc>
        <w:tc>
          <w:tcPr>
            <w:tcW w:w="1250" w:type="dxa"/>
            <w:shd w:val="clear" w:color="auto" w:fill="auto"/>
            <w:noWrap/>
            <w:vAlign w:val="center"/>
          </w:tcPr>
          <w:p w14:paraId="2205DC2A" w14:textId="77777777" w:rsidR="00925C7D" w:rsidRPr="00ED0D6D" w:rsidRDefault="00925C7D" w:rsidP="00CA2F95">
            <w:pPr>
              <w:jc w:val="center"/>
              <w:rPr>
                <w:sz w:val="20"/>
              </w:rPr>
            </w:pPr>
            <w:r w:rsidRPr="00ED0D6D">
              <w:rPr>
                <w:color w:val="000000"/>
                <w:sz w:val="20"/>
              </w:rPr>
              <w:t>-</w:t>
            </w:r>
          </w:p>
        </w:tc>
        <w:tc>
          <w:tcPr>
            <w:tcW w:w="1250" w:type="dxa"/>
            <w:shd w:val="clear" w:color="auto" w:fill="auto"/>
            <w:vAlign w:val="center"/>
          </w:tcPr>
          <w:p w14:paraId="55DBEAA8" w14:textId="77777777" w:rsidR="00925C7D" w:rsidRPr="00ED0D6D" w:rsidRDefault="00925C7D" w:rsidP="00CA2F95">
            <w:pPr>
              <w:jc w:val="center"/>
              <w:rPr>
                <w:sz w:val="20"/>
              </w:rPr>
            </w:pPr>
            <w:r w:rsidRPr="00ED0D6D">
              <w:rPr>
                <w:color w:val="000000"/>
                <w:sz w:val="20"/>
              </w:rPr>
              <w:t>-</w:t>
            </w:r>
          </w:p>
        </w:tc>
        <w:tc>
          <w:tcPr>
            <w:tcW w:w="2491" w:type="dxa"/>
            <w:shd w:val="clear" w:color="auto" w:fill="auto"/>
            <w:vAlign w:val="center"/>
          </w:tcPr>
          <w:p w14:paraId="70C62018" w14:textId="77777777" w:rsidR="00925C7D" w:rsidRPr="00ED0D6D" w:rsidRDefault="00925C7D" w:rsidP="00CA2F95">
            <w:pPr>
              <w:jc w:val="center"/>
              <w:rPr>
                <w:sz w:val="20"/>
              </w:rPr>
            </w:pPr>
            <w:r w:rsidRPr="00ED0D6D">
              <w:rPr>
                <w:sz w:val="20"/>
              </w:rPr>
              <w:t> Lietuvos statistikos departamentas </w:t>
            </w:r>
          </w:p>
        </w:tc>
        <w:tc>
          <w:tcPr>
            <w:tcW w:w="1172" w:type="dxa"/>
            <w:shd w:val="clear" w:color="auto" w:fill="auto"/>
            <w:vAlign w:val="center"/>
          </w:tcPr>
          <w:p w14:paraId="7BCA3C97" w14:textId="77777777" w:rsidR="00925C7D" w:rsidRPr="00ED0D6D" w:rsidRDefault="00925C7D" w:rsidP="00CA2F95">
            <w:pPr>
              <w:jc w:val="center"/>
              <w:rPr>
                <w:sz w:val="20"/>
              </w:rPr>
            </w:pPr>
            <w:r w:rsidRPr="00ED0D6D">
              <w:rPr>
                <w:sz w:val="20"/>
              </w:rPr>
              <w:t>17LRVP</w:t>
            </w:r>
          </w:p>
        </w:tc>
      </w:tr>
      <w:tr w:rsidR="00925C7D" w:rsidRPr="00ED0D6D" w14:paraId="472EAC37" w14:textId="77777777" w:rsidTr="00CA2F95">
        <w:trPr>
          <w:trHeight w:val="504"/>
        </w:trPr>
        <w:tc>
          <w:tcPr>
            <w:tcW w:w="657" w:type="dxa"/>
            <w:shd w:val="clear" w:color="auto" w:fill="auto"/>
            <w:vAlign w:val="center"/>
          </w:tcPr>
          <w:p w14:paraId="032FBEE4"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9BAF204" w14:textId="77777777" w:rsidR="00925C7D" w:rsidRPr="00ED0D6D" w:rsidRDefault="00925C7D" w:rsidP="00CA2F95">
            <w:pPr>
              <w:jc w:val="both"/>
              <w:rPr>
                <w:sz w:val="20"/>
              </w:rPr>
            </w:pPr>
            <w:r w:rsidRPr="00ED0D6D">
              <w:rPr>
                <w:sz w:val="20"/>
              </w:rPr>
              <w:t xml:space="preserve">Vidutiniškai vienam gyventojui tenkantis kelionių autobusais skaičius (vienetai)   </w:t>
            </w:r>
          </w:p>
        </w:tc>
        <w:tc>
          <w:tcPr>
            <w:tcW w:w="1080" w:type="dxa"/>
            <w:shd w:val="clear" w:color="auto" w:fill="auto"/>
            <w:noWrap/>
            <w:vAlign w:val="center"/>
          </w:tcPr>
          <w:p w14:paraId="73E35E57" w14:textId="77777777" w:rsidR="00925C7D" w:rsidRPr="00ED0D6D" w:rsidRDefault="00925C7D" w:rsidP="00CA2F95">
            <w:pPr>
              <w:jc w:val="center"/>
              <w:rPr>
                <w:sz w:val="20"/>
              </w:rPr>
            </w:pPr>
            <w:r w:rsidRPr="00ED0D6D">
              <w:rPr>
                <w:sz w:val="20"/>
              </w:rPr>
              <w:t>104</w:t>
            </w:r>
          </w:p>
        </w:tc>
        <w:tc>
          <w:tcPr>
            <w:tcW w:w="1080" w:type="dxa"/>
            <w:shd w:val="clear" w:color="000000" w:fill="FFFFFF"/>
            <w:vAlign w:val="center"/>
          </w:tcPr>
          <w:p w14:paraId="74A72D1C" w14:textId="77777777" w:rsidR="00925C7D" w:rsidRPr="00ED0D6D" w:rsidRDefault="00925C7D" w:rsidP="00CA2F95">
            <w:pPr>
              <w:jc w:val="center"/>
              <w:rPr>
                <w:sz w:val="20"/>
              </w:rPr>
            </w:pPr>
            <w:r w:rsidRPr="00ED0D6D">
              <w:rPr>
                <w:sz w:val="20"/>
              </w:rPr>
              <w:t>N.D.</w:t>
            </w:r>
          </w:p>
        </w:tc>
        <w:tc>
          <w:tcPr>
            <w:tcW w:w="956" w:type="dxa"/>
            <w:shd w:val="clear" w:color="auto" w:fill="auto"/>
            <w:vAlign w:val="center"/>
          </w:tcPr>
          <w:p w14:paraId="4C7A6E9A" w14:textId="77777777" w:rsidR="00925C7D" w:rsidRPr="00ED0D6D" w:rsidRDefault="00925C7D" w:rsidP="00CA2F95">
            <w:pPr>
              <w:jc w:val="center"/>
              <w:rPr>
                <w:sz w:val="20"/>
              </w:rPr>
            </w:pPr>
            <w:r w:rsidRPr="00ED0D6D">
              <w:rPr>
                <w:color w:val="000000"/>
                <w:sz w:val="20"/>
              </w:rPr>
              <w:t>-</w:t>
            </w:r>
          </w:p>
        </w:tc>
        <w:tc>
          <w:tcPr>
            <w:tcW w:w="983" w:type="dxa"/>
            <w:shd w:val="clear" w:color="auto" w:fill="auto"/>
            <w:vAlign w:val="center"/>
          </w:tcPr>
          <w:p w14:paraId="0FF1E549" w14:textId="77777777" w:rsidR="00925C7D" w:rsidRPr="00ED0D6D" w:rsidRDefault="00925C7D" w:rsidP="00CA2F95">
            <w:pPr>
              <w:jc w:val="center"/>
              <w:rPr>
                <w:sz w:val="20"/>
              </w:rPr>
            </w:pPr>
            <w:r w:rsidRPr="00ED0D6D">
              <w:rPr>
                <w:sz w:val="20"/>
              </w:rPr>
              <w:t>105</w:t>
            </w:r>
          </w:p>
        </w:tc>
        <w:tc>
          <w:tcPr>
            <w:tcW w:w="1250" w:type="dxa"/>
            <w:shd w:val="clear" w:color="auto" w:fill="auto"/>
            <w:noWrap/>
            <w:vAlign w:val="center"/>
          </w:tcPr>
          <w:p w14:paraId="4DF5E51B" w14:textId="77777777" w:rsidR="00925C7D" w:rsidRPr="00ED0D6D" w:rsidRDefault="00925C7D" w:rsidP="00CA2F95">
            <w:pPr>
              <w:jc w:val="center"/>
              <w:rPr>
                <w:sz w:val="20"/>
              </w:rPr>
            </w:pPr>
            <w:r w:rsidRPr="00ED0D6D">
              <w:rPr>
                <w:color w:val="000000"/>
                <w:sz w:val="20"/>
              </w:rPr>
              <w:t>-</w:t>
            </w:r>
          </w:p>
        </w:tc>
        <w:tc>
          <w:tcPr>
            <w:tcW w:w="1250" w:type="dxa"/>
            <w:shd w:val="clear" w:color="auto" w:fill="auto"/>
            <w:vAlign w:val="center"/>
          </w:tcPr>
          <w:p w14:paraId="6D631080" w14:textId="77777777" w:rsidR="00925C7D" w:rsidRPr="00ED0D6D" w:rsidRDefault="00925C7D" w:rsidP="00CA2F95">
            <w:pPr>
              <w:jc w:val="center"/>
              <w:rPr>
                <w:sz w:val="20"/>
              </w:rPr>
            </w:pPr>
            <w:r w:rsidRPr="00ED0D6D">
              <w:rPr>
                <w:color w:val="000000"/>
                <w:sz w:val="20"/>
              </w:rPr>
              <w:t>-</w:t>
            </w:r>
          </w:p>
        </w:tc>
        <w:tc>
          <w:tcPr>
            <w:tcW w:w="2491" w:type="dxa"/>
            <w:shd w:val="clear" w:color="auto" w:fill="auto"/>
            <w:vAlign w:val="center"/>
          </w:tcPr>
          <w:p w14:paraId="0C7CFA96" w14:textId="77777777" w:rsidR="00925C7D" w:rsidRPr="00ED0D6D" w:rsidRDefault="00925C7D" w:rsidP="00CA2F95">
            <w:pPr>
              <w:jc w:val="center"/>
              <w:rPr>
                <w:sz w:val="20"/>
              </w:rPr>
            </w:pPr>
            <w:r w:rsidRPr="00ED0D6D">
              <w:rPr>
                <w:sz w:val="20"/>
              </w:rPr>
              <w:t>Susisiekimo ministerija (SM) </w:t>
            </w:r>
          </w:p>
        </w:tc>
        <w:tc>
          <w:tcPr>
            <w:tcW w:w="1172" w:type="dxa"/>
            <w:shd w:val="clear" w:color="auto" w:fill="auto"/>
            <w:vAlign w:val="center"/>
          </w:tcPr>
          <w:p w14:paraId="31A5F82D" w14:textId="77777777" w:rsidR="00925C7D" w:rsidRPr="00ED0D6D" w:rsidRDefault="00925C7D" w:rsidP="00CA2F95">
            <w:pPr>
              <w:jc w:val="center"/>
              <w:rPr>
                <w:sz w:val="20"/>
              </w:rPr>
            </w:pPr>
            <w:r w:rsidRPr="00ED0D6D">
              <w:rPr>
                <w:sz w:val="20"/>
              </w:rPr>
              <w:t>17LRVP</w:t>
            </w:r>
          </w:p>
        </w:tc>
      </w:tr>
      <w:tr w:rsidR="00925C7D" w:rsidRPr="00ED0D6D" w14:paraId="2B9133CF" w14:textId="77777777" w:rsidTr="00CA2F95">
        <w:trPr>
          <w:trHeight w:val="368"/>
        </w:trPr>
        <w:tc>
          <w:tcPr>
            <w:tcW w:w="657" w:type="dxa"/>
            <w:shd w:val="clear" w:color="auto" w:fill="auto"/>
            <w:vAlign w:val="center"/>
            <w:hideMark/>
          </w:tcPr>
          <w:p w14:paraId="649199F6"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0CC665B" w14:textId="77777777" w:rsidR="00925C7D" w:rsidRPr="00ED0D6D" w:rsidRDefault="00925C7D" w:rsidP="00CA2F95">
            <w:pPr>
              <w:jc w:val="both"/>
              <w:rPr>
                <w:color w:val="000000"/>
                <w:sz w:val="20"/>
              </w:rPr>
            </w:pPr>
            <w:r w:rsidRPr="00ED0D6D">
              <w:rPr>
                <w:sz w:val="20"/>
              </w:rPr>
              <w:t xml:space="preserve">Įrengta greito krovimo stotelių magistraliniuose keliuose (vienetai)   </w:t>
            </w:r>
          </w:p>
        </w:tc>
        <w:tc>
          <w:tcPr>
            <w:tcW w:w="1080" w:type="dxa"/>
            <w:shd w:val="clear" w:color="000000" w:fill="FFFFFF"/>
            <w:vAlign w:val="center"/>
          </w:tcPr>
          <w:p w14:paraId="7C7F91CA" w14:textId="77777777" w:rsidR="00925C7D" w:rsidRPr="00ED0D6D" w:rsidRDefault="00925C7D" w:rsidP="00CA2F95">
            <w:pPr>
              <w:jc w:val="center"/>
              <w:rPr>
                <w:color w:val="000000"/>
                <w:sz w:val="20"/>
              </w:rPr>
            </w:pPr>
            <w:r w:rsidRPr="00ED0D6D">
              <w:rPr>
                <w:sz w:val="20"/>
              </w:rPr>
              <w:t>0</w:t>
            </w:r>
          </w:p>
        </w:tc>
        <w:tc>
          <w:tcPr>
            <w:tcW w:w="1080" w:type="dxa"/>
            <w:shd w:val="clear" w:color="auto" w:fill="auto"/>
            <w:noWrap/>
            <w:vAlign w:val="center"/>
          </w:tcPr>
          <w:p w14:paraId="4508DF54" w14:textId="77777777" w:rsidR="00925C7D" w:rsidRPr="00ED0D6D" w:rsidRDefault="00925C7D" w:rsidP="00CA2F95">
            <w:pPr>
              <w:jc w:val="center"/>
              <w:rPr>
                <w:color w:val="000000"/>
                <w:sz w:val="20"/>
              </w:rPr>
            </w:pPr>
            <w:r w:rsidRPr="00ED0D6D">
              <w:rPr>
                <w:sz w:val="20"/>
              </w:rPr>
              <w:t> 26</w:t>
            </w:r>
          </w:p>
        </w:tc>
        <w:tc>
          <w:tcPr>
            <w:tcW w:w="956" w:type="dxa"/>
            <w:shd w:val="clear" w:color="auto" w:fill="auto"/>
            <w:vAlign w:val="center"/>
          </w:tcPr>
          <w:p w14:paraId="006C778E"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5C33347D" w14:textId="77777777" w:rsidR="00925C7D" w:rsidRPr="00ED0D6D" w:rsidRDefault="00925C7D" w:rsidP="00CA2F95">
            <w:pPr>
              <w:jc w:val="center"/>
              <w:rPr>
                <w:color w:val="000000"/>
                <w:sz w:val="20"/>
              </w:rPr>
            </w:pPr>
            <w:r w:rsidRPr="00ED0D6D">
              <w:rPr>
                <w:sz w:val="20"/>
              </w:rPr>
              <w:t>0</w:t>
            </w:r>
          </w:p>
        </w:tc>
        <w:tc>
          <w:tcPr>
            <w:tcW w:w="1250" w:type="dxa"/>
            <w:shd w:val="clear" w:color="auto" w:fill="auto"/>
            <w:noWrap/>
            <w:vAlign w:val="center"/>
          </w:tcPr>
          <w:p w14:paraId="33717834"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231D2B33"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310F01DE"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27C78049" w14:textId="77777777" w:rsidR="00925C7D" w:rsidRPr="00ED0D6D" w:rsidRDefault="00925C7D" w:rsidP="00CA2F95">
            <w:pPr>
              <w:jc w:val="center"/>
              <w:rPr>
                <w:b/>
                <w:bCs/>
                <w:i/>
                <w:iCs/>
                <w:color w:val="000000"/>
                <w:sz w:val="20"/>
              </w:rPr>
            </w:pPr>
            <w:r w:rsidRPr="00ED0D6D">
              <w:rPr>
                <w:sz w:val="20"/>
              </w:rPr>
              <w:t>17LRVP</w:t>
            </w:r>
          </w:p>
        </w:tc>
      </w:tr>
      <w:tr w:rsidR="00925C7D" w:rsidRPr="00ED0D6D" w14:paraId="39587A22" w14:textId="77777777" w:rsidTr="00CA2F95">
        <w:trPr>
          <w:trHeight w:val="305"/>
        </w:trPr>
        <w:tc>
          <w:tcPr>
            <w:tcW w:w="657" w:type="dxa"/>
            <w:shd w:val="clear" w:color="auto" w:fill="auto"/>
            <w:vAlign w:val="center"/>
            <w:hideMark/>
          </w:tcPr>
          <w:p w14:paraId="7C7D4404"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CA75A04" w14:textId="77777777" w:rsidR="00925C7D" w:rsidRPr="00ED0D6D" w:rsidRDefault="00925C7D" w:rsidP="00CA2F95">
            <w:pPr>
              <w:jc w:val="both"/>
              <w:rPr>
                <w:color w:val="000000"/>
                <w:sz w:val="20"/>
              </w:rPr>
            </w:pPr>
            <w:r w:rsidRPr="00ED0D6D">
              <w:rPr>
                <w:sz w:val="20"/>
              </w:rPr>
              <w:t xml:space="preserve">Nupirkta autobusų (vienetai)   </w:t>
            </w:r>
          </w:p>
        </w:tc>
        <w:tc>
          <w:tcPr>
            <w:tcW w:w="1080" w:type="dxa"/>
            <w:shd w:val="clear" w:color="000000" w:fill="FFFFFF"/>
            <w:vAlign w:val="center"/>
          </w:tcPr>
          <w:p w14:paraId="6B35425D" w14:textId="77777777" w:rsidR="00925C7D" w:rsidRPr="00ED0D6D" w:rsidRDefault="00925C7D" w:rsidP="00CA2F95">
            <w:pPr>
              <w:jc w:val="center"/>
              <w:rPr>
                <w:color w:val="000000"/>
                <w:sz w:val="20"/>
              </w:rPr>
            </w:pPr>
            <w:r w:rsidRPr="00ED0D6D">
              <w:rPr>
                <w:sz w:val="20"/>
              </w:rPr>
              <w:t>108</w:t>
            </w:r>
          </w:p>
        </w:tc>
        <w:tc>
          <w:tcPr>
            <w:tcW w:w="1080" w:type="dxa"/>
            <w:shd w:val="clear" w:color="auto" w:fill="auto"/>
            <w:noWrap/>
            <w:vAlign w:val="center"/>
          </w:tcPr>
          <w:p w14:paraId="753FCDD0" w14:textId="77777777" w:rsidR="00925C7D" w:rsidRPr="00ED0D6D" w:rsidRDefault="00925C7D" w:rsidP="00CA2F95">
            <w:pPr>
              <w:jc w:val="center"/>
              <w:rPr>
                <w:color w:val="000000"/>
                <w:sz w:val="20"/>
              </w:rPr>
            </w:pPr>
            <w:r w:rsidRPr="00ED0D6D">
              <w:rPr>
                <w:sz w:val="20"/>
              </w:rPr>
              <w:t> 141</w:t>
            </w:r>
          </w:p>
        </w:tc>
        <w:tc>
          <w:tcPr>
            <w:tcW w:w="956" w:type="dxa"/>
            <w:shd w:val="clear" w:color="auto" w:fill="auto"/>
            <w:vAlign w:val="center"/>
          </w:tcPr>
          <w:p w14:paraId="2BC79149"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221D6694" w14:textId="77777777" w:rsidR="00925C7D" w:rsidRPr="00ED0D6D" w:rsidRDefault="00925C7D" w:rsidP="00CA2F95">
            <w:pPr>
              <w:jc w:val="center"/>
              <w:rPr>
                <w:color w:val="000000"/>
                <w:sz w:val="20"/>
              </w:rPr>
            </w:pPr>
            <w:r w:rsidRPr="00ED0D6D">
              <w:rPr>
                <w:sz w:val="20"/>
              </w:rPr>
              <w:t>120</w:t>
            </w:r>
          </w:p>
        </w:tc>
        <w:tc>
          <w:tcPr>
            <w:tcW w:w="1250" w:type="dxa"/>
            <w:shd w:val="clear" w:color="auto" w:fill="auto"/>
            <w:noWrap/>
            <w:vAlign w:val="center"/>
          </w:tcPr>
          <w:p w14:paraId="5CF4F310"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3C1D889A"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540E42FA" w14:textId="77777777" w:rsidR="00925C7D" w:rsidRPr="00ED0D6D" w:rsidRDefault="00925C7D" w:rsidP="00CA2F95">
            <w:pPr>
              <w:jc w:val="center"/>
              <w:rPr>
                <w:color w:val="000000"/>
                <w:sz w:val="20"/>
              </w:rPr>
            </w:pPr>
            <w:r w:rsidRPr="00ED0D6D">
              <w:rPr>
                <w:sz w:val="20"/>
              </w:rPr>
              <w:t>SM </w:t>
            </w:r>
          </w:p>
        </w:tc>
        <w:tc>
          <w:tcPr>
            <w:tcW w:w="1172" w:type="dxa"/>
            <w:shd w:val="clear" w:color="auto" w:fill="auto"/>
            <w:vAlign w:val="center"/>
          </w:tcPr>
          <w:p w14:paraId="422C5227" w14:textId="77777777" w:rsidR="00925C7D" w:rsidRPr="00ED0D6D" w:rsidRDefault="00925C7D" w:rsidP="00CA2F95">
            <w:pPr>
              <w:jc w:val="center"/>
              <w:rPr>
                <w:b/>
                <w:bCs/>
                <w:i/>
                <w:iCs/>
                <w:color w:val="000000"/>
                <w:sz w:val="20"/>
              </w:rPr>
            </w:pPr>
            <w:r w:rsidRPr="00ED0D6D">
              <w:rPr>
                <w:sz w:val="20"/>
              </w:rPr>
              <w:t>17LRVP</w:t>
            </w:r>
          </w:p>
        </w:tc>
      </w:tr>
      <w:tr w:rsidR="00925C7D" w:rsidRPr="00ED0D6D" w14:paraId="118941A2" w14:textId="77777777" w:rsidTr="00CA2F95">
        <w:trPr>
          <w:trHeight w:val="540"/>
        </w:trPr>
        <w:tc>
          <w:tcPr>
            <w:tcW w:w="657" w:type="dxa"/>
            <w:shd w:val="clear" w:color="auto" w:fill="auto"/>
            <w:vAlign w:val="center"/>
          </w:tcPr>
          <w:p w14:paraId="12524DA2"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A790D2D" w14:textId="77777777" w:rsidR="00925C7D" w:rsidRPr="00ED0D6D" w:rsidRDefault="00925C7D" w:rsidP="00CA2F95">
            <w:pPr>
              <w:jc w:val="both"/>
              <w:rPr>
                <w:color w:val="000000"/>
                <w:sz w:val="20"/>
              </w:rPr>
            </w:pPr>
            <w:r w:rsidRPr="00ED0D6D">
              <w:rPr>
                <w:sz w:val="20"/>
              </w:rPr>
              <w:t xml:space="preserve">Sukurtų pažangių viešųjų ir administracinių elektroninių paslaugų skaičius (skaičius)   </w:t>
            </w:r>
          </w:p>
        </w:tc>
        <w:tc>
          <w:tcPr>
            <w:tcW w:w="1080" w:type="dxa"/>
            <w:shd w:val="clear" w:color="000000" w:fill="FFFFFF"/>
            <w:vAlign w:val="center"/>
          </w:tcPr>
          <w:p w14:paraId="10FB6293" w14:textId="77777777" w:rsidR="00925C7D" w:rsidRPr="00ED0D6D" w:rsidRDefault="00925C7D" w:rsidP="00CA2F95">
            <w:pPr>
              <w:jc w:val="center"/>
              <w:rPr>
                <w:color w:val="000000"/>
                <w:sz w:val="20"/>
              </w:rPr>
            </w:pPr>
            <w:r w:rsidRPr="00ED0D6D">
              <w:rPr>
                <w:sz w:val="20"/>
              </w:rPr>
              <w:t>8</w:t>
            </w:r>
          </w:p>
        </w:tc>
        <w:tc>
          <w:tcPr>
            <w:tcW w:w="1080" w:type="dxa"/>
            <w:shd w:val="clear" w:color="000000" w:fill="FFFFFF"/>
            <w:vAlign w:val="center"/>
          </w:tcPr>
          <w:p w14:paraId="1701522F" w14:textId="77777777" w:rsidR="00925C7D" w:rsidRPr="00ED0D6D" w:rsidRDefault="00925C7D" w:rsidP="00CA2F95">
            <w:pPr>
              <w:jc w:val="center"/>
              <w:rPr>
                <w:color w:val="000000"/>
                <w:sz w:val="20"/>
              </w:rPr>
            </w:pPr>
            <w:r w:rsidRPr="00ED0D6D">
              <w:rPr>
                <w:sz w:val="20"/>
              </w:rPr>
              <w:t> 8</w:t>
            </w:r>
          </w:p>
        </w:tc>
        <w:tc>
          <w:tcPr>
            <w:tcW w:w="956" w:type="dxa"/>
            <w:shd w:val="clear" w:color="auto" w:fill="auto"/>
            <w:vAlign w:val="center"/>
          </w:tcPr>
          <w:p w14:paraId="28BA9211"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18826A79" w14:textId="77777777" w:rsidR="00925C7D" w:rsidRPr="00ED0D6D" w:rsidRDefault="00925C7D" w:rsidP="00CA2F95">
            <w:pPr>
              <w:jc w:val="center"/>
              <w:rPr>
                <w:color w:val="000000"/>
                <w:sz w:val="20"/>
              </w:rPr>
            </w:pPr>
            <w:r w:rsidRPr="00ED0D6D">
              <w:rPr>
                <w:sz w:val="20"/>
              </w:rPr>
              <w:t>200</w:t>
            </w:r>
          </w:p>
        </w:tc>
        <w:tc>
          <w:tcPr>
            <w:tcW w:w="1250" w:type="dxa"/>
            <w:shd w:val="clear" w:color="auto" w:fill="auto"/>
            <w:vAlign w:val="center"/>
          </w:tcPr>
          <w:p w14:paraId="5E3B64B2"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2792D81B"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47795CAC" w14:textId="77777777" w:rsidR="00925C7D" w:rsidRPr="00ED0D6D" w:rsidRDefault="00925C7D" w:rsidP="00CA2F95">
            <w:pPr>
              <w:jc w:val="center"/>
              <w:rPr>
                <w:color w:val="000000"/>
                <w:sz w:val="20"/>
              </w:rPr>
            </w:pPr>
            <w:r w:rsidRPr="00ED0D6D">
              <w:rPr>
                <w:sz w:val="20"/>
              </w:rPr>
              <w:t> SM</w:t>
            </w:r>
          </w:p>
        </w:tc>
        <w:tc>
          <w:tcPr>
            <w:tcW w:w="1172" w:type="dxa"/>
            <w:shd w:val="clear" w:color="auto" w:fill="auto"/>
            <w:vAlign w:val="center"/>
          </w:tcPr>
          <w:p w14:paraId="15E51CA9" w14:textId="77777777" w:rsidR="00925C7D" w:rsidRPr="00ED0D6D" w:rsidRDefault="00925C7D" w:rsidP="00CA2F95">
            <w:pPr>
              <w:jc w:val="center"/>
              <w:rPr>
                <w:color w:val="000000"/>
                <w:sz w:val="20"/>
              </w:rPr>
            </w:pPr>
            <w:r w:rsidRPr="00ED0D6D">
              <w:rPr>
                <w:sz w:val="20"/>
              </w:rPr>
              <w:t>17LRVP</w:t>
            </w:r>
          </w:p>
        </w:tc>
      </w:tr>
      <w:tr w:rsidR="00925C7D" w:rsidRPr="00ED0D6D" w14:paraId="1BDCE0FE" w14:textId="77777777" w:rsidTr="00CA2F95">
        <w:trPr>
          <w:trHeight w:val="540"/>
        </w:trPr>
        <w:tc>
          <w:tcPr>
            <w:tcW w:w="657" w:type="dxa"/>
            <w:shd w:val="clear" w:color="auto" w:fill="auto"/>
            <w:vAlign w:val="center"/>
          </w:tcPr>
          <w:p w14:paraId="59A7AD35"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0AC9D6D" w14:textId="77777777" w:rsidR="00925C7D" w:rsidRPr="00ED0D6D" w:rsidRDefault="00925C7D" w:rsidP="00CA2F95">
            <w:pPr>
              <w:jc w:val="both"/>
              <w:rPr>
                <w:color w:val="000000"/>
                <w:sz w:val="20"/>
              </w:rPr>
            </w:pPr>
            <w:r w:rsidRPr="00ED0D6D">
              <w:rPr>
                <w:sz w:val="20"/>
              </w:rPr>
              <w:t xml:space="preserve">Krovinių krova uostuose (mln. tonų)   </w:t>
            </w:r>
          </w:p>
        </w:tc>
        <w:tc>
          <w:tcPr>
            <w:tcW w:w="1080" w:type="dxa"/>
            <w:shd w:val="clear" w:color="000000" w:fill="FFFFFF"/>
            <w:vAlign w:val="center"/>
          </w:tcPr>
          <w:p w14:paraId="492029E6" w14:textId="77777777" w:rsidR="00925C7D" w:rsidRPr="00ED0D6D" w:rsidRDefault="00925C7D" w:rsidP="00CA2F95">
            <w:pPr>
              <w:jc w:val="center"/>
              <w:rPr>
                <w:color w:val="000000"/>
                <w:sz w:val="20"/>
              </w:rPr>
            </w:pPr>
            <w:r w:rsidRPr="00ED0D6D">
              <w:rPr>
                <w:sz w:val="20"/>
              </w:rPr>
              <w:t>46,22</w:t>
            </w:r>
          </w:p>
        </w:tc>
        <w:tc>
          <w:tcPr>
            <w:tcW w:w="1080" w:type="dxa"/>
            <w:shd w:val="clear" w:color="000000" w:fill="FFFFFF"/>
            <w:vAlign w:val="center"/>
          </w:tcPr>
          <w:p w14:paraId="71F44B72" w14:textId="77777777" w:rsidR="00925C7D" w:rsidRPr="00ED0D6D" w:rsidRDefault="00925C7D" w:rsidP="00CA2F95">
            <w:pPr>
              <w:jc w:val="center"/>
              <w:rPr>
                <w:color w:val="000000"/>
                <w:sz w:val="20"/>
              </w:rPr>
            </w:pPr>
            <w:r w:rsidRPr="00ED0D6D">
              <w:rPr>
                <w:sz w:val="20"/>
              </w:rPr>
              <w:t>47,74</w:t>
            </w:r>
          </w:p>
        </w:tc>
        <w:tc>
          <w:tcPr>
            <w:tcW w:w="956" w:type="dxa"/>
            <w:shd w:val="clear" w:color="auto" w:fill="auto"/>
            <w:vAlign w:val="center"/>
          </w:tcPr>
          <w:p w14:paraId="43FF4E06"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34610E87" w14:textId="77777777" w:rsidR="00925C7D" w:rsidRPr="00ED0D6D" w:rsidRDefault="00925C7D" w:rsidP="00CA2F95">
            <w:pPr>
              <w:jc w:val="center"/>
              <w:rPr>
                <w:color w:val="000000"/>
                <w:sz w:val="20"/>
              </w:rPr>
            </w:pPr>
            <w:r w:rsidRPr="00ED0D6D">
              <w:rPr>
                <w:sz w:val="20"/>
              </w:rPr>
              <w:t>48</w:t>
            </w:r>
          </w:p>
        </w:tc>
        <w:tc>
          <w:tcPr>
            <w:tcW w:w="1250" w:type="dxa"/>
            <w:shd w:val="clear" w:color="auto" w:fill="auto"/>
            <w:vAlign w:val="center"/>
          </w:tcPr>
          <w:p w14:paraId="0A771C6D"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168A2ABC"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4D963D6C" w14:textId="77777777" w:rsidR="00925C7D" w:rsidRPr="00ED0D6D" w:rsidRDefault="00925C7D" w:rsidP="00CA2F95">
            <w:pPr>
              <w:jc w:val="center"/>
              <w:rPr>
                <w:color w:val="000000"/>
                <w:sz w:val="20"/>
              </w:rPr>
            </w:pPr>
            <w:r w:rsidRPr="00ED0D6D">
              <w:rPr>
                <w:sz w:val="20"/>
              </w:rPr>
              <w:t>SM </w:t>
            </w:r>
          </w:p>
        </w:tc>
        <w:tc>
          <w:tcPr>
            <w:tcW w:w="1172" w:type="dxa"/>
            <w:shd w:val="clear" w:color="auto" w:fill="auto"/>
            <w:vAlign w:val="center"/>
          </w:tcPr>
          <w:p w14:paraId="17BF2AE2" w14:textId="77777777" w:rsidR="00925C7D" w:rsidRPr="00ED0D6D" w:rsidRDefault="00925C7D" w:rsidP="00CA2F95">
            <w:pPr>
              <w:jc w:val="center"/>
              <w:rPr>
                <w:color w:val="000000"/>
                <w:sz w:val="20"/>
              </w:rPr>
            </w:pPr>
            <w:r w:rsidRPr="00ED0D6D">
              <w:rPr>
                <w:sz w:val="20"/>
              </w:rPr>
              <w:t>17LRVP</w:t>
            </w:r>
          </w:p>
        </w:tc>
      </w:tr>
      <w:tr w:rsidR="00925C7D" w:rsidRPr="00ED0D6D" w14:paraId="691B0270" w14:textId="77777777" w:rsidTr="00CA2F95">
        <w:trPr>
          <w:trHeight w:val="540"/>
        </w:trPr>
        <w:tc>
          <w:tcPr>
            <w:tcW w:w="657" w:type="dxa"/>
            <w:shd w:val="clear" w:color="auto" w:fill="auto"/>
            <w:vAlign w:val="center"/>
          </w:tcPr>
          <w:p w14:paraId="03B02F4B"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912FA82" w14:textId="77777777" w:rsidR="00925C7D" w:rsidRPr="00ED0D6D" w:rsidRDefault="00925C7D" w:rsidP="00CA2F95">
            <w:pPr>
              <w:jc w:val="both"/>
              <w:rPr>
                <w:color w:val="000000"/>
                <w:sz w:val="20"/>
              </w:rPr>
            </w:pPr>
            <w:r w:rsidRPr="00ED0D6D">
              <w:rPr>
                <w:sz w:val="20"/>
              </w:rPr>
              <w:t xml:space="preserve">Padidintas Lietuvos oro uostų keleivių aptarnavimo pralaidumo pajėgumas (mln. žmonių)   </w:t>
            </w:r>
          </w:p>
        </w:tc>
        <w:tc>
          <w:tcPr>
            <w:tcW w:w="1080" w:type="dxa"/>
            <w:shd w:val="clear" w:color="000000" w:fill="FFFFFF"/>
            <w:vAlign w:val="center"/>
          </w:tcPr>
          <w:p w14:paraId="082111CA" w14:textId="77777777" w:rsidR="00925C7D" w:rsidRPr="00ED0D6D" w:rsidRDefault="00925C7D" w:rsidP="00CA2F95">
            <w:pPr>
              <w:jc w:val="center"/>
              <w:rPr>
                <w:color w:val="000000"/>
                <w:sz w:val="20"/>
              </w:rPr>
            </w:pPr>
            <w:r w:rsidRPr="00ED0D6D">
              <w:rPr>
                <w:sz w:val="20"/>
              </w:rPr>
              <w:t>6,5</w:t>
            </w:r>
          </w:p>
        </w:tc>
        <w:tc>
          <w:tcPr>
            <w:tcW w:w="1080" w:type="dxa"/>
            <w:shd w:val="clear" w:color="000000" w:fill="FFFFFF"/>
            <w:vAlign w:val="center"/>
          </w:tcPr>
          <w:p w14:paraId="77B42D93" w14:textId="77777777" w:rsidR="00925C7D" w:rsidRPr="00ED0D6D" w:rsidRDefault="00925C7D" w:rsidP="00CA2F95">
            <w:pPr>
              <w:jc w:val="center"/>
              <w:rPr>
                <w:color w:val="000000"/>
                <w:sz w:val="20"/>
              </w:rPr>
            </w:pPr>
            <w:r w:rsidRPr="00ED0D6D">
              <w:rPr>
                <w:sz w:val="20"/>
              </w:rPr>
              <w:t>1,805</w:t>
            </w:r>
          </w:p>
        </w:tc>
        <w:tc>
          <w:tcPr>
            <w:tcW w:w="956" w:type="dxa"/>
            <w:shd w:val="clear" w:color="auto" w:fill="auto"/>
            <w:vAlign w:val="center"/>
          </w:tcPr>
          <w:p w14:paraId="56454D46"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3BB24D6C" w14:textId="77777777" w:rsidR="00925C7D" w:rsidRPr="00ED0D6D" w:rsidRDefault="00925C7D" w:rsidP="00CA2F95">
            <w:pPr>
              <w:jc w:val="center"/>
              <w:rPr>
                <w:color w:val="000000"/>
                <w:sz w:val="20"/>
              </w:rPr>
            </w:pPr>
            <w:r w:rsidRPr="00ED0D6D">
              <w:rPr>
                <w:sz w:val="20"/>
              </w:rPr>
              <w:t>5,15</w:t>
            </w:r>
          </w:p>
        </w:tc>
        <w:tc>
          <w:tcPr>
            <w:tcW w:w="1250" w:type="dxa"/>
            <w:shd w:val="clear" w:color="auto" w:fill="auto"/>
            <w:vAlign w:val="center"/>
          </w:tcPr>
          <w:p w14:paraId="4250FDA7"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381FCC35"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36E9CD3E"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4273A202" w14:textId="77777777" w:rsidR="00925C7D" w:rsidRPr="00ED0D6D" w:rsidRDefault="00925C7D" w:rsidP="00CA2F95">
            <w:pPr>
              <w:jc w:val="center"/>
              <w:rPr>
                <w:color w:val="000000"/>
                <w:sz w:val="20"/>
              </w:rPr>
            </w:pPr>
            <w:r w:rsidRPr="00ED0D6D">
              <w:rPr>
                <w:sz w:val="20"/>
              </w:rPr>
              <w:t>17LRVP</w:t>
            </w:r>
          </w:p>
        </w:tc>
      </w:tr>
      <w:tr w:rsidR="00925C7D" w:rsidRPr="00ED0D6D" w14:paraId="3DDBAC1C" w14:textId="77777777" w:rsidTr="00CA2F95">
        <w:trPr>
          <w:trHeight w:val="540"/>
        </w:trPr>
        <w:tc>
          <w:tcPr>
            <w:tcW w:w="657" w:type="dxa"/>
            <w:shd w:val="clear" w:color="auto" w:fill="auto"/>
            <w:vAlign w:val="center"/>
          </w:tcPr>
          <w:p w14:paraId="4C39691D"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18262FD" w14:textId="77777777" w:rsidR="00925C7D" w:rsidRPr="00ED0D6D" w:rsidRDefault="00925C7D" w:rsidP="00CA2F95">
            <w:pPr>
              <w:jc w:val="both"/>
              <w:rPr>
                <w:color w:val="000000"/>
                <w:sz w:val="20"/>
              </w:rPr>
            </w:pPr>
            <w:r w:rsidRPr="00ED0D6D">
              <w:rPr>
                <w:sz w:val="20"/>
              </w:rPr>
              <w:t xml:space="preserve">Rekonstruota „Via </w:t>
            </w:r>
            <w:proofErr w:type="spellStart"/>
            <w:r w:rsidRPr="00ED0D6D">
              <w:rPr>
                <w:sz w:val="20"/>
              </w:rPr>
              <w:t>Baltica</w:t>
            </w:r>
            <w:proofErr w:type="spellEnd"/>
            <w:r w:rsidRPr="00ED0D6D">
              <w:rPr>
                <w:sz w:val="20"/>
              </w:rPr>
              <w:t xml:space="preserve">“ kelio (kilometrai)   </w:t>
            </w:r>
          </w:p>
        </w:tc>
        <w:tc>
          <w:tcPr>
            <w:tcW w:w="1080" w:type="dxa"/>
            <w:shd w:val="clear" w:color="000000" w:fill="FFFFFF"/>
            <w:vAlign w:val="center"/>
          </w:tcPr>
          <w:p w14:paraId="121C5B81" w14:textId="77777777" w:rsidR="00925C7D" w:rsidRPr="00ED0D6D" w:rsidRDefault="00925C7D" w:rsidP="00CA2F95">
            <w:pPr>
              <w:jc w:val="center"/>
              <w:rPr>
                <w:color w:val="000000"/>
                <w:sz w:val="20"/>
              </w:rPr>
            </w:pPr>
            <w:r w:rsidRPr="00ED0D6D">
              <w:rPr>
                <w:sz w:val="20"/>
              </w:rPr>
              <w:t>77,54</w:t>
            </w:r>
          </w:p>
        </w:tc>
        <w:tc>
          <w:tcPr>
            <w:tcW w:w="1080" w:type="dxa"/>
            <w:shd w:val="clear" w:color="000000" w:fill="FFFFFF"/>
            <w:vAlign w:val="center"/>
          </w:tcPr>
          <w:p w14:paraId="64EF244D" w14:textId="77777777" w:rsidR="00925C7D" w:rsidRPr="00ED0D6D" w:rsidRDefault="00925C7D" w:rsidP="00CA2F95">
            <w:pPr>
              <w:jc w:val="center"/>
              <w:rPr>
                <w:color w:val="000000"/>
                <w:sz w:val="20"/>
              </w:rPr>
            </w:pPr>
            <w:r w:rsidRPr="00ED0D6D">
              <w:rPr>
                <w:sz w:val="20"/>
              </w:rPr>
              <w:t>77,54</w:t>
            </w:r>
          </w:p>
        </w:tc>
        <w:tc>
          <w:tcPr>
            <w:tcW w:w="956" w:type="dxa"/>
            <w:shd w:val="clear" w:color="auto" w:fill="auto"/>
            <w:vAlign w:val="center"/>
          </w:tcPr>
          <w:p w14:paraId="45507FE7"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3C47AA45" w14:textId="77777777" w:rsidR="00925C7D" w:rsidRPr="00ED0D6D" w:rsidRDefault="00925C7D" w:rsidP="00CA2F95">
            <w:pPr>
              <w:jc w:val="center"/>
              <w:rPr>
                <w:color w:val="000000"/>
                <w:sz w:val="20"/>
              </w:rPr>
            </w:pPr>
            <w:r w:rsidRPr="00ED0D6D">
              <w:rPr>
                <w:sz w:val="20"/>
              </w:rPr>
              <w:t>98,27</w:t>
            </w:r>
          </w:p>
        </w:tc>
        <w:tc>
          <w:tcPr>
            <w:tcW w:w="1250" w:type="dxa"/>
            <w:shd w:val="clear" w:color="auto" w:fill="auto"/>
            <w:vAlign w:val="center"/>
          </w:tcPr>
          <w:p w14:paraId="245BDB61"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72FBE88F"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4515AB5D" w14:textId="77777777" w:rsidR="00925C7D" w:rsidRPr="00ED0D6D" w:rsidRDefault="00925C7D" w:rsidP="00CA2F95">
            <w:pPr>
              <w:jc w:val="center"/>
              <w:rPr>
                <w:color w:val="000000"/>
                <w:sz w:val="20"/>
              </w:rPr>
            </w:pPr>
            <w:r w:rsidRPr="00ED0D6D">
              <w:rPr>
                <w:sz w:val="20"/>
              </w:rPr>
              <w:t>SM </w:t>
            </w:r>
          </w:p>
        </w:tc>
        <w:tc>
          <w:tcPr>
            <w:tcW w:w="1172" w:type="dxa"/>
            <w:shd w:val="clear" w:color="auto" w:fill="auto"/>
            <w:vAlign w:val="center"/>
          </w:tcPr>
          <w:p w14:paraId="6B5BDA89" w14:textId="77777777" w:rsidR="00925C7D" w:rsidRPr="00ED0D6D" w:rsidRDefault="00925C7D" w:rsidP="00CA2F95">
            <w:pPr>
              <w:jc w:val="center"/>
              <w:rPr>
                <w:color w:val="000000"/>
                <w:sz w:val="20"/>
              </w:rPr>
            </w:pPr>
            <w:r w:rsidRPr="00ED0D6D">
              <w:rPr>
                <w:sz w:val="20"/>
              </w:rPr>
              <w:t>17LRVP</w:t>
            </w:r>
          </w:p>
        </w:tc>
      </w:tr>
      <w:tr w:rsidR="00925C7D" w:rsidRPr="00ED0D6D" w14:paraId="3AD54DA8" w14:textId="77777777" w:rsidTr="00CA2F95">
        <w:trPr>
          <w:trHeight w:val="540"/>
        </w:trPr>
        <w:tc>
          <w:tcPr>
            <w:tcW w:w="657" w:type="dxa"/>
            <w:shd w:val="clear" w:color="auto" w:fill="auto"/>
            <w:vAlign w:val="center"/>
          </w:tcPr>
          <w:p w14:paraId="2F668F35"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0C90A05A" w14:textId="77777777" w:rsidR="00925C7D" w:rsidRPr="00ED0D6D" w:rsidRDefault="00925C7D" w:rsidP="00CA2F95">
            <w:pPr>
              <w:jc w:val="both"/>
              <w:rPr>
                <w:color w:val="000000"/>
                <w:sz w:val="20"/>
              </w:rPr>
            </w:pPr>
            <w:r w:rsidRPr="00ED0D6D">
              <w:rPr>
                <w:sz w:val="20"/>
              </w:rPr>
              <w:t>Gyventojų pasitenkinimas judumu (proc.)</w:t>
            </w:r>
          </w:p>
        </w:tc>
        <w:tc>
          <w:tcPr>
            <w:tcW w:w="1080" w:type="dxa"/>
            <w:shd w:val="clear" w:color="000000" w:fill="FFFFFF"/>
            <w:vAlign w:val="center"/>
          </w:tcPr>
          <w:p w14:paraId="236443BC" w14:textId="77777777" w:rsidR="00925C7D" w:rsidRPr="00ED0D6D" w:rsidRDefault="00925C7D" w:rsidP="00CA2F95">
            <w:pPr>
              <w:jc w:val="center"/>
              <w:rPr>
                <w:color w:val="000000"/>
                <w:sz w:val="20"/>
              </w:rPr>
            </w:pPr>
            <w:r w:rsidRPr="00ED0D6D">
              <w:rPr>
                <w:sz w:val="20"/>
              </w:rPr>
              <w:t>52</w:t>
            </w:r>
          </w:p>
        </w:tc>
        <w:tc>
          <w:tcPr>
            <w:tcW w:w="1080" w:type="dxa"/>
            <w:shd w:val="clear" w:color="000000" w:fill="FFFFFF"/>
            <w:vAlign w:val="center"/>
          </w:tcPr>
          <w:p w14:paraId="58874F20" w14:textId="77777777" w:rsidR="00925C7D" w:rsidRPr="00ED0D6D" w:rsidRDefault="00925C7D" w:rsidP="00CA2F95">
            <w:pPr>
              <w:jc w:val="center"/>
              <w:rPr>
                <w:color w:val="000000"/>
                <w:sz w:val="20"/>
              </w:rPr>
            </w:pPr>
            <w:r w:rsidRPr="00ED0D6D">
              <w:rPr>
                <w:sz w:val="20"/>
              </w:rPr>
              <w:t>50,3</w:t>
            </w:r>
          </w:p>
        </w:tc>
        <w:tc>
          <w:tcPr>
            <w:tcW w:w="956" w:type="dxa"/>
            <w:shd w:val="clear" w:color="auto" w:fill="auto"/>
            <w:vAlign w:val="center"/>
          </w:tcPr>
          <w:p w14:paraId="59F35192"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668D2ACC" w14:textId="77777777" w:rsidR="00925C7D" w:rsidRPr="00ED0D6D" w:rsidRDefault="00925C7D" w:rsidP="00CA2F95">
            <w:pPr>
              <w:jc w:val="center"/>
              <w:rPr>
                <w:color w:val="000000"/>
                <w:sz w:val="20"/>
              </w:rPr>
            </w:pPr>
            <w:r w:rsidRPr="00ED0D6D">
              <w:rPr>
                <w:sz w:val="20"/>
              </w:rPr>
              <w:t>55</w:t>
            </w:r>
          </w:p>
        </w:tc>
        <w:tc>
          <w:tcPr>
            <w:tcW w:w="1250" w:type="dxa"/>
            <w:shd w:val="clear" w:color="auto" w:fill="auto"/>
            <w:vAlign w:val="center"/>
          </w:tcPr>
          <w:p w14:paraId="50AFCF5E"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03B31B46"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092A02E8" w14:textId="77777777" w:rsidR="00925C7D" w:rsidRPr="00ED0D6D" w:rsidRDefault="00925C7D" w:rsidP="00CA2F95">
            <w:pPr>
              <w:jc w:val="center"/>
              <w:rPr>
                <w:color w:val="000000"/>
                <w:sz w:val="20"/>
              </w:rPr>
            </w:pPr>
            <w:r w:rsidRPr="00ED0D6D">
              <w:rPr>
                <w:sz w:val="20"/>
              </w:rPr>
              <w:t>SM </w:t>
            </w:r>
          </w:p>
        </w:tc>
        <w:tc>
          <w:tcPr>
            <w:tcW w:w="1172" w:type="dxa"/>
            <w:shd w:val="clear" w:color="auto" w:fill="auto"/>
            <w:vAlign w:val="center"/>
          </w:tcPr>
          <w:p w14:paraId="2BBE33C8" w14:textId="77777777" w:rsidR="00925C7D" w:rsidRPr="00ED0D6D" w:rsidRDefault="00925C7D" w:rsidP="00CA2F95">
            <w:pPr>
              <w:jc w:val="center"/>
              <w:rPr>
                <w:color w:val="000000"/>
                <w:sz w:val="20"/>
              </w:rPr>
            </w:pPr>
            <w:r w:rsidRPr="00ED0D6D">
              <w:rPr>
                <w:sz w:val="20"/>
              </w:rPr>
              <w:t>17LRVP</w:t>
            </w:r>
          </w:p>
        </w:tc>
      </w:tr>
      <w:tr w:rsidR="00925C7D" w:rsidRPr="00ED0D6D" w14:paraId="0A842FFD" w14:textId="77777777" w:rsidTr="00CA2F95">
        <w:trPr>
          <w:trHeight w:val="540"/>
        </w:trPr>
        <w:tc>
          <w:tcPr>
            <w:tcW w:w="657" w:type="dxa"/>
            <w:shd w:val="clear" w:color="auto" w:fill="auto"/>
            <w:vAlign w:val="center"/>
          </w:tcPr>
          <w:p w14:paraId="2411033E"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BB639DD" w14:textId="77777777" w:rsidR="00925C7D" w:rsidRPr="00ED0D6D" w:rsidRDefault="00925C7D" w:rsidP="00CA2F95">
            <w:pPr>
              <w:jc w:val="both"/>
              <w:rPr>
                <w:color w:val="000000"/>
                <w:sz w:val="20"/>
              </w:rPr>
            </w:pPr>
            <w:r w:rsidRPr="00ED0D6D">
              <w:rPr>
                <w:sz w:val="20"/>
              </w:rPr>
              <w:t xml:space="preserve">Išasfaltuota žvyrkelių (kilometrai)   </w:t>
            </w:r>
          </w:p>
        </w:tc>
        <w:tc>
          <w:tcPr>
            <w:tcW w:w="1080" w:type="dxa"/>
            <w:shd w:val="clear" w:color="000000" w:fill="FFFFFF"/>
            <w:vAlign w:val="center"/>
          </w:tcPr>
          <w:p w14:paraId="58D6B30B" w14:textId="77777777" w:rsidR="00925C7D" w:rsidRPr="00ED0D6D" w:rsidRDefault="00925C7D" w:rsidP="00CA2F95">
            <w:pPr>
              <w:jc w:val="center"/>
              <w:rPr>
                <w:color w:val="000000"/>
                <w:sz w:val="20"/>
              </w:rPr>
            </w:pPr>
            <w:r w:rsidRPr="00ED0D6D">
              <w:rPr>
                <w:sz w:val="20"/>
              </w:rPr>
              <w:t>1057</w:t>
            </w:r>
          </w:p>
        </w:tc>
        <w:tc>
          <w:tcPr>
            <w:tcW w:w="1080" w:type="dxa"/>
            <w:shd w:val="clear" w:color="000000" w:fill="FFFFFF"/>
            <w:vAlign w:val="center"/>
          </w:tcPr>
          <w:p w14:paraId="3F9F8C15" w14:textId="77777777" w:rsidR="00925C7D" w:rsidRPr="00ED0D6D" w:rsidRDefault="00925C7D" w:rsidP="00CA2F95">
            <w:pPr>
              <w:jc w:val="center"/>
              <w:rPr>
                <w:color w:val="000000"/>
                <w:sz w:val="20"/>
              </w:rPr>
            </w:pPr>
            <w:r w:rsidRPr="00ED0D6D">
              <w:rPr>
                <w:sz w:val="20"/>
              </w:rPr>
              <w:t> 1544,3</w:t>
            </w:r>
          </w:p>
        </w:tc>
        <w:tc>
          <w:tcPr>
            <w:tcW w:w="956" w:type="dxa"/>
            <w:shd w:val="clear" w:color="auto" w:fill="auto"/>
            <w:vAlign w:val="center"/>
          </w:tcPr>
          <w:p w14:paraId="66CDC85C"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7F8C5D3D" w14:textId="77777777" w:rsidR="00925C7D" w:rsidRPr="00ED0D6D" w:rsidRDefault="00925C7D" w:rsidP="00CA2F95">
            <w:pPr>
              <w:jc w:val="center"/>
              <w:rPr>
                <w:color w:val="000000"/>
                <w:sz w:val="20"/>
              </w:rPr>
            </w:pPr>
            <w:r w:rsidRPr="00ED0D6D">
              <w:rPr>
                <w:sz w:val="20"/>
              </w:rPr>
              <w:t>1654</w:t>
            </w:r>
          </w:p>
        </w:tc>
        <w:tc>
          <w:tcPr>
            <w:tcW w:w="1250" w:type="dxa"/>
            <w:shd w:val="clear" w:color="auto" w:fill="auto"/>
            <w:vAlign w:val="center"/>
          </w:tcPr>
          <w:p w14:paraId="46E1FBF9"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668C6163"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3280FC51" w14:textId="77777777" w:rsidR="00925C7D" w:rsidRPr="00ED0D6D" w:rsidRDefault="00925C7D" w:rsidP="00CA2F95">
            <w:pPr>
              <w:jc w:val="center"/>
              <w:rPr>
                <w:color w:val="000000"/>
                <w:sz w:val="20"/>
              </w:rPr>
            </w:pPr>
            <w:r w:rsidRPr="00ED0D6D">
              <w:rPr>
                <w:sz w:val="20"/>
              </w:rPr>
              <w:t>SM </w:t>
            </w:r>
          </w:p>
        </w:tc>
        <w:tc>
          <w:tcPr>
            <w:tcW w:w="1172" w:type="dxa"/>
            <w:shd w:val="clear" w:color="auto" w:fill="auto"/>
            <w:vAlign w:val="center"/>
          </w:tcPr>
          <w:p w14:paraId="195C71BD" w14:textId="77777777" w:rsidR="00925C7D" w:rsidRPr="00ED0D6D" w:rsidRDefault="00925C7D" w:rsidP="00CA2F95">
            <w:pPr>
              <w:jc w:val="center"/>
              <w:rPr>
                <w:color w:val="000000"/>
                <w:sz w:val="20"/>
              </w:rPr>
            </w:pPr>
            <w:r w:rsidRPr="00ED0D6D">
              <w:rPr>
                <w:sz w:val="20"/>
              </w:rPr>
              <w:t>17LRVP</w:t>
            </w:r>
          </w:p>
        </w:tc>
      </w:tr>
      <w:tr w:rsidR="00925C7D" w:rsidRPr="00ED0D6D" w14:paraId="7DA4F2C3" w14:textId="77777777" w:rsidTr="00CA2F95">
        <w:trPr>
          <w:trHeight w:val="540"/>
        </w:trPr>
        <w:tc>
          <w:tcPr>
            <w:tcW w:w="657" w:type="dxa"/>
            <w:shd w:val="clear" w:color="auto" w:fill="auto"/>
            <w:vAlign w:val="center"/>
          </w:tcPr>
          <w:p w14:paraId="0C31A59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7AAAA42" w14:textId="77777777" w:rsidR="00925C7D" w:rsidRPr="00ED0D6D" w:rsidRDefault="00925C7D" w:rsidP="00CA2F95">
            <w:pPr>
              <w:jc w:val="both"/>
              <w:rPr>
                <w:color w:val="000000"/>
                <w:sz w:val="20"/>
              </w:rPr>
            </w:pPr>
            <w:r w:rsidRPr="00ED0D6D">
              <w:rPr>
                <w:sz w:val="20"/>
              </w:rPr>
              <w:t xml:space="preserve">Įrengta gyvūnų apsaugos sistema (kilometrai)   </w:t>
            </w:r>
          </w:p>
        </w:tc>
        <w:tc>
          <w:tcPr>
            <w:tcW w:w="1080" w:type="dxa"/>
            <w:shd w:val="clear" w:color="000000" w:fill="FFFFFF"/>
            <w:vAlign w:val="center"/>
          </w:tcPr>
          <w:p w14:paraId="1952915A" w14:textId="77777777" w:rsidR="00925C7D" w:rsidRPr="00ED0D6D" w:rsidRDefault="00925C7D" w:rsidP="00CA2F95">
            <w:pPr>
              <w:jc w:val="center"/>
              <w:rPr>
                <w:color w:val="000000"/>
                <w:sz w:val="20"/>
              </w:rPr>
            </w:pPr>
            <w:r w:rsidRPr="00ED0D6D">
              <w:rPr>
                <w:sz w:val="20"/>
              </w:rPr>
              <w:t>123</w:t>
            </w:r>
          </w:p>
        </w:tc>
        <w:tc>
          <w:tcPr>
            <w:tcW w:w="1080" w:type="dxa"/>
            <w:shd w:val="clear" w:color="000000" w:fill="FFFFFF"/>
            <w:vAlign w:val="center"/>
          </w:tcPr>
          <w:p w14:paraId="0F9EE857" w14:textId="77777777" w:rsidR="00925C7D" w:rsidRPr="00ED0D6D" w:rsidRDefault="00925C7D" w:rsidP="00CA2F95">
            <w:pPr>
              <w:jc w:val="center"/>
              <w:rPr>
                <w:color w:val="000000"/>
                <w:sz w:val="20"/>
              </w:rPr>
            </w:pPr>
            <w:r w:rsidRPr="00ED0D6D">
              <w:rPr>
                <w:sz w:val="20"/>
              </w:rPr>
              <w:t> 203</w:t>
            </w:r>
          </w:p>
        </w:tc>
        <w:tc>
          <w:tcPr>
            <w:tcW w:w="956" w:type="dxa"/>
            <w:shd w:val="clear" w:color="auto" w:fill="auto"/>
            <w:vAlign w:val="center"/>
          </w:tcPr>
          <w:p w14:paraId="5E43FF63"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71A95220" w14:textId="77777777" w:rsidR="00925C7D" w:rsidRPr="00ED0D6D" w:rsidRDefault="00925C7D" w:rsidP="00CA2F95">
            <w:pPr>
              <w:jc w:val="center"/>
              <w:rPr>
                <w:color w:val="000000"/>
                <w:sz w:val="20"/>
              </w:rPr>
            </w:pPr>
            <w:r w:rsidRPr="00ED0D6D">
              <w:rPr>
                <w:sz w:val="20"/>
              </w:rPr>
              <w:t>230</w:t>
            </w:r>
          </w:p>
        </w:tc>
        <w:tc>
          <w:tcPr>
            <w:tcW w:w="1250" w:type="dxa"/>
            <w:shd w:val="clear" w:color="auto" w:fill="auto"/>
            <w:vAlign w:val="center"/>
          </w:tcPr>
          <w:p w14:paraId="07C09BAD"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0320EDAE"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214AD7AC"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4F40A273" w14:textId="77777777" w:rsidR="00925C7D" w:rsidRPr="00ED0D6D" w:rsidRDefault="00925C7D" w:rsidP="00CA2F95">
            <w:pPr>
              <w:jc w:val="center"/>
              <w:rPr>
                <w:color w:val="000000"/>
                <w:sz w:val="20"/>
              </w:rPr>
            </w:pPr>
            <w:r w:rsidRPr="00ED0D6D">
              <w:rPr>
                <w:sz w:val="20"/>
              </w:rPr>
              <w:t>17LRVP</w:t>
            </w:r>
          </w:p>
        </w:tc>
      </w:tr>
      <w:tr w:rsidR="00925C7D" w:rsidRPr="00ED0D6D" w14:paraId="519C9067" w14:textId="77777777" w:rsidTr="00CA2F95">
        <w:trPr>
          <w:trHeight w:val="540"/>
        </w:trPr>
        <w:tc>
          <w:tcPr>
            <w:tcW w:w="657" w:type="dxa"/>
            <w:shd w:val="clear" w:color="auto" w:fill="auto"/>
            <w:vAlign w:val="center"/>
          </w:tcPr>
          <w:p w14:paraId="3C020CA4"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5ABB556" w14:textId="77777777" w:rsidR="00925C7D" w:rsidRPr="00ED0D6D" w:rsidRDefault="00925C7D" w:rsidP="00CA2F95">
            <w:pPr>
              <w:jc w:val="both"/>
              <w:rPr>
                <w:color w:val="000000"/>
                <w:sz w:val="20"/>
              </w:rPr>
            </w:pPr>
            <w:r w:rsidRPr="00ED0D6D">
              <w:rPr>
                <w:sz w:val="20"/>
              </w:rPr>
              <w:t xml:space="preserve">Įrengta dviračių takų (kilometrai)   </w:t>
            </w:r>
          </w:p>
        </w:tc>
        <w:tc>
          <w:tcPr>
            <w:tcW w:w="1080" w:type="dxa"/>
            <w:shd w:val="clear" w:color="000000" w:fill="FFFFFF"/>
            <w:vAlign w:val="center"/>
          </w:tcPr>
          <w:p w14:paraId="17588234" w14:textId="77777777" w:rsidR="00925C7D" w:rsidRPr="00ED0D6D" w:rsidRDefault="00925C7D" w:rsidP="00CA2F95">
            <w:pPr>
              <w:jc w:val="center"/>
              <w:rPr>
                <w:color w:val="000000"/>
                <w:sz w:val="20"/>
              </w:rPr>
            </w:pPr>
            <w:r w:rsidRPr="00ED0D6D">
              <w:rPr>
                <w:sz w:val="20"/>
              </w:rPr>
              <w:t>94</w:t>
            </w:r>
          </w:p>
        </w:tc>
        <w:tc>
          <w:tcPr>
            <w:tcW w:w="1080" w:type="dxa"/>
            <w:shd w:val="clear" w:color="000000" w:fill="FFFFFF"/>
            <w:vAlign w:val="center"/>
          </w:tcPr>
          <w:p w14:paraId="3987D630" w14:textId="77777777" w:rsidR="00925C7D" w:rsidRPr="00ED0D6D" w:rsidRDefault="00925C7D" w:rsidP="00CA2F95">
            <w:pPr>
              <w:jc w:val="center"/>
              <w:rPr>
                <w:color w:val="000000"/>
                <w:sz w:val="20"/>
              </w:rPr>
            </w:pPr>
            <w:r w:rsidRPr="00ED0D6D">
              <w:rPr>
                <w:sz w:val="20"/>
              </w:rPr>
              <w:t> 118,6</w:t>
            </w:r>
          </w:p>
        </w:tc>
        <w:tc>
          <w:tcPr>
            <w:tcW w:w="956" w:type="dxa"/>
            <w:shd w:val="clear" w:color="auto" w:fill="auto"/>
            <w:vAlign w:val="center"/>
          </w:tcPr>
          <w:p w14:paraId="2B30CC5A"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0A1C552B" w14:textId="77777777" w:rsidR="00925C7D" w:rsidRPr="00ED0D6D" w:rsidRDefault="00925C7D" w:rsidP="00CA2F95">
            <w:pPr>
              <w:jc w:val="center"/>
              <w:rPr>
                <w:color w:val="000000"/>
                <w:sz w:val="20"/>
              </w:rPr>
            </w:pPr>
            <w:r w:rsidRPr="00ED0D6D">
              <w:rPr>
                <w:sz w:val="20"/>
              </w:rPr>
              <w:t>117,6</w:t>
            </w:r>
          </w:p>
        </w:tc>
        <w:tc>
          <w:tcPr>
            <w:tcW w:w="1250" w:type="dxa"/>
            <w:shd w:val="clear" w:color="auto" w:fill="auto"/>
            <w:vAlign w:val="center"/>
          </w:tcPr>
          <w:p w14:paraId="7BFBF622"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0C1E7A4E"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0846B0DF"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1AFC06C6" w14:textId="77777777" w:rsidR="00925C7D" w:rsidRPr="00ED0D6D" w:rsidRDefault="00925C7D" w:rsidP="00CA2F95">
            <w:pPr>
              <w:jc w:val="center"/>
              <w:rPr>
                <w:color w:val="000000"/>
                <w:sz w:val="20"/>
              </w:rPr>
            </w:pPr>
            <w:r w:rsidRPr="00ED0D6D">
              <w:rPr>
                <w:sz w:val="20"/>
              </w:rPr>
              <w:t>17LRVP</w:t>
            </w:r>
          </w:p>
        </w:tc>
      </w:tr>
      <w:tr w:rsidR="00925C7D" w:rsidRPr="00ED0D6D" w14:paraId="6FA1CFF6" w14:textId="77777777" w:rsidTr="00CA2F95">
        <w:trPr>
          <w:trHeight w:val="444"/>
        </w:trPr>
        <w:tc>
          <w:tcPr>
            <w:tcW w:w="657" w:type="dxa"/>
            <w:shd w:val="clear" w:color="auto" w:fill="auto"/>
            <w:vAlign w:val="center"/>
            <w:hideMark/>
          </w:tcPr>
          <w:p w14:paraId="7E5C9B47"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1BDE728" w14:textId="77777777" w:rsidR="00925C7D" w:rsidRPr="00ED0D6D" w:rsidRDefault="00925C7D" w:rsidP="00CA2F95">
            <w:pPr>
              <w:jc w:val="both"/>
              <w:rPr>
                <w:color w:val="000000"/>
                <w:sz w:val="20"/>
              </w:rPr>
            </w:pPr>
            <w:r w:rsidRPr="00ED0D6D">
              <w:rPr>
                <w:sz w:val="20"/>
              </w:rPr>
              <w:t xml:space="preserve">Sukurta pažangių viešųjų ir administracinių elektroninių paslaugų kelių transporte, vnt. (vienetai)   </w:t>
            </w:r>
          </w:p>
        </w:tc>
        <w:tc>
          <w:tcPr>
            <w:tcW w:w="1080" w:type="dxa"/>
            <w:shd w:val="clear" w:color="000000" w:fill="FFFFFF"/>
            <w:vAlign w:val="center"/>
          </w:tcPr>
          <w:p w14:paraId="2D59C6D2" w14:textId="77777777" w:rsidR="00925C7D" w:rsidRPr="00ED0D6D" w:rsidRDefault="00925C7D" w:rsidP="00CA2F95">
            <w:pPr>
              <w:jc w:val="center"/>
              <w:rPr>
                <w:color w:val="000000"/>
                <w:sz w:val="20"/>
              </w:rPr>
            </w:pPr>
            <w:r w:rsidRPr="00ED0D6D">
              <w:rPr>
                <w:sz w:val="20"/>
              </w:rPr>
              <w:t>2</w:t>
            </w:r>
          </w:p>
        </w:tc>
        <w:tc>
          <w:tcPr>
            <w:tcW w:w="1080" w:type="dxa"/>
            <w:shd w:val="clear" w:color="000000" w:fill="FFFFFF"/>
            <w:vAlign w:val="center"/>
          </w:tcPr>
          <w:p w14:paraId="682D1F3C" w14:textId="77777777" w:rsidR="00925C7D" w:rsidRPr="00ED0D6D" w:rsidRDefault="00925C7D" w:rsidP="00CA2F95">
            <w:pPr>
              <w:jc w:val="center"/>
              <w:rPr>
                <w:color w:val="000000"/>
                <w:sz w:val="20"/>
              </w:rPr>
            </w:pPr>
            <w:r w:rsidRPr="00ED0D6D">
              <w:rPr>
                <w:sz w:val="20"/>
              </w:rPr>
              <w:t> 3</w:t>
            </w:r>
          </w:p>
        </w:tc>
        <w:tc>
          <w:tcPr>
            <w:tcW w:w="956" w:type="dxa"/>
            <w:shd w:val="clear" w:color="auto" w:fill="auto"/>
            <w:vAlign w:val="center"/>
          </w:tcPr>
          <w:p w14:paraId="26141C70" w14:textId="77777777" w:rsidR="00925C7D" w:rsidRPr="00ED0D6D" w:rsidRDefault="00925C7D" w:rsidP="00CA2F95">
            <w:pPr>
              <w:jc w:val="center"/>
              <w:rPr>
                <w:color w:val="000000"/>
                <w:sz w:val="20"/>
              </w:rPr>
            </w:pPr>
            <w:r w:rsidRPr="00ED0D6D">
              <w:rPr>
                <w:color w:val="000000"/>
                <w:sz w:val="20"/>
              </w:rPr>
              <w:t>-</w:t>
            </w:r>
          </w:p>
        </w:tc>
        <w:tc>
          <w:tcPr>
            <w:tcW w:w="983" w:type="dxa"/>
            <w:shd w:val="clear" w:color="auto" w:fill="auto"/>
            <w:vAlign w:val="center"/>
          </w:tcPr>
          <w:p w14:paraId="6C93ADC8" w14:textId="77777777" w:rsidR="00925C7D" w:rsidRPr="00ED0D6D" w:rsidRDefault="00925C7D" w:rsidP="00CA2F95">
            <w:pPr>
              <w:jc w:val="center"/>
              <w:rPr>
                <w:color w:val="000000"/>
                <w:sz w:val="20"/>
              </w:rPr>
            </w:pPr>
            <w:r w:rsidRPr="00ED0D6D">
              <w:rPr>
                <w:sz w:val="20"/>
              </w:rPr>
              <w:t>3</w:t>
            </w:r>
          </w:p>
        </w:tc>
        <w:tc>
          <w:tcPr>
            <w:tcW w:w="1250" w:type="dxa"/>
            <w:shd w:val="clear" w:color="auto" w:fill="auto"/>
            <w:vAlign w:val="center"/>
          </w:tcPr>
          <w:p w14:paraId="787EBB3A"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30E19DBA"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5A6CB392" w14:textId="77777777" w:rsidR="00925C7D" w:rsidRPr="00ED0D6D" w:rsidRDefault="00925C7D" w:rsidP="00CA2F95">
            <w:pPr>
              <w:jc w:val="center"/>
              <w:rPr>
                <w:color w:val="000000"/>
                <w:sz w:val="20"/>
              </w:rPr>
            </w:pPr>
            <w:r w:rsidRPr="00ED0D6D">
              <w:rPr>
                <w:sz w:val="20"/>
              </w:rPr>
              <w:t> SM</w:t>
            </w:r>
          </w:p>
        </w:tc>
        <w:tc>
          <w:tcPr>
            <w:tcW w:w="1172" w:type="dxa"/>
            <w:shd w:val="clear" w:color="auto" w:fill="auto"/>
            <w:vAlign w:val="center"/>
          </w:tcPr>
          <w:p w14:paraId="1731E16D" w14:textId="77777777" w:rsidR="00925C7D" w:rsidRPr="00ED0D6D" w:rsidRDefault="00925C7D" w:rsidP="00CA2F95">
            <w:pPr>
              <w:jc w:val="center"/>
              <w:rPr>
                <w:color w:val="000000"/>
                <w:sz w:val="20"/>
              </w:rPr>
            </w:pPr>
            <w:r w:rsidRPr="00ED0D6D">
              <w:rPr>
                <w:sz w:val="20"/>
              </w:rPr>
              <w:t>17LRVP</w:t>
            </w:r>
          </w:p>
        </w:tc>
      </w:tr>
      <w:tr w:rsidR="00925C7D" w:rsidRPr="00ED0D6D" w14:paraId="127A8DC7" w14:textId="77777777" w:rsidTr="00CA2F95">
        <w:trPr>
          <w:trHeight w:val="408"/>
        </w:trPr>
        <w:tc>
          <w:tcPr>
            <w:tcW w:w="657" w:type="dxa"/>
            <w:shd w:val="clear" w:color="auto" w:fill="auto"/>
            <w:vAlign w:val="center"/>
          </w:tcPr>
          <w:p w14:paraId="2DB40781"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E90B282" w14:textId="77777777" w:rsidR="00925C7D" w:rsidRPr="00ED0D6D" w:rsidRDefault="00925C7D" w:rsidP="00CA2F95">
            <w:pPr>
              <w:jc w:val="both"/>
              <w:rPr>
                <w:color w:val="000000"/>
                <w:sz w:val="20"/>
              </w:rPr>
            </w:pPr>
            <w:r w:rsidRPr="00ED0D6D">
              <w:rPr>
                <w:sz w:val="20"/>
              </w:rPr>
              <w:t xml:space="preserve">Įrengta viršsvorio ir kitų pažeidimų kontrolės sistemų vietų (vienetai)   </w:t>
            </w:r>
          </w:p>
        </w:tc>
        <w:tc>
          <w:tcPr>
            <w:tcW w:w="1080" w:type="dxa"/>
            <w:shd w:val="clear" w:color="000000" w:fill="FFFFFF"/>
            <w:vAlign w:val="center"/>
          </w:tcPr>
          <w:p w14:paraId="401D0C7A" w14:textId="77777777" w:rsidR="00925C7D" w:rsidRPr="00ED0D6D" w:rsidRDefault="00925C7D" w:rsidP="00CA2F95">
            <w:pPr>
              <w:jc w:val="center"/>
              <w:rPr>
                <w:color w:val="000000"/>
                <w:sz w:val="20"/>
              </w:rPr>
            </w:pPr>
            <w:r w:rsidRPr="00ED0D6D">
              <w:rPr>
                <w:sz w:val="20"/>
              </w:rPr>
              <w:t>6</w:t>
            </w:r>
          </w:p>
        </w:tc>
        <w:tc>
          <w:tcPr>
            <w:tcW w:w="1080" w:type="dxa"/>
            <w:shd w:val="clear" w:color="000000" w:fill="FFFFFF"/>
            <w:vAlign w:val="center"/>
          </w:tcPr>
          <w:p w14:paraId="357489D9" w14:textId="77777777" w:rsidR="00925C7D" w:rsidRPr="00ED0D6D" w:rsidRDefault="00925C7D" w:rsidP="00CA2F95">
            <w:pPr>
              <w:jc w:val="center"/>
              <w:rPr>
                <w:color w:val="000000"/>
                <w:sz w:val="20"/>
              </w:rPr>
            </w:pPr>
            <w:r w:rsidRPr="00ED0D6D">
              <w:rPr>
                <w:sz w:val="20"/>
              </w:rPr>
              <w:t> 6</w:t>
            </w:r>
          </w:p>
        </w:tc>
        <w:tc>
          <w:tcPr>
            <w:tcW w:w="956" w:type="dxa"/>
            <w:shd w:val="clear" w:color="auto" w:fill="auto"/>
            <w:vAlign w:val="center"/>
          </w:tcPr>
          <w:p w14:paraId="52D92864" w14:textId="77777777" w:rsidR="00925C7D" w:rsidRPr="00ED0D6D" w:rsidRDefault="00925C7D" w:rsidP="00CA2F95">
            <w:pPr>
              <w:jc w:val="center"/>
              <w:rPr>
                <w:color w:val="000000"/>
                <w:sz w:val="20"/>
              </w:rPr>
            </w:pPr>
            <w:r w:rsidRPr="00ED0D6D">
              <w:rPr>
                <w:color w:val="000000"/>
                <w:sz w:val="20"/>
              </w:rPr>
              <w:t>-</w:t>
            </w:r>
          </w:p>
        </w:tc>
        <w:tc>
          <w:tcPr>
            <w:tcW w:w="983" w:type="dxa"/>
            <w:shd w:val="clear" w:color="000000" w:fill="FFFFFF"/>
            <w:vAlign w:val="center"/>
          </w:tcPr>
          <w:p w14:paraId="6FEF6702" w14:textId="77777777" w:rsidR="00925C7D" w:rsidRPr="00ED0D6D" w:rsidRDefault="00925C7D" w:rsidP="00CA2F95">
            <w:pPr>
              <w:jc w:val="center"/>
              <w:rPr>
                <w:color w:val="000000"/>
                <w:sz w:val="20"/>
              </w:rPr>
            </w:pPr>
            <w:r w:rsidRPr="00ED0D6D">
              <w:rPr>
                <w:sz w:val="20"/>
              </w:rPr>
              <w:t>37</w:t>
            </w:r>
          </w:p>
        </w:tc>
        <w:tc>
          <w:tcPr>
            <w:tcW w:w="1250" w:type="dxa"/>
            <w:shd w:val="clear" w:color="auto" w:fill="auto"/>
            <w:vAlign w:val="center"/>
          </w:tcPr>
          <w:p w14:paraId="4E4F9A08"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5ED50ABB"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2E09A25E" w14:textId="77777777" w:rsidR="00925C7D" w:rsidRPr="00ED0D6D" w:rsidRDefault="00925C7D" w:rsidP="00CA2F95">
            <w:pPr>
              <w:jc w:val="center"/>
              <w:rPr>
                <w:color w:val="000000"/>
                <w:sz w:val="20"/>
              </w:rPr>
            </w:pPr>
            <w:r w:rsidRPr="00ED0D6D">
              <w:rPr>
                <w:sz w:val="20"/>
              </w:rPr>
              <w:t>SM </w:t>
            </w:r>
          </w:p>
        </w:tc>
        <w:tc>
          <w:tcPr>
            <w:tcW w:w="1172" w:type="dxa"/>
            <w:shd w:val="clear" w:color="auto" w:fill="auto"/>
            <w:vAlign w:val="center"/>
          </w:tcPr>
          <w:p w14:paraId="42A6C258" w14:textId="77777777" w:rsidR="00925C7D" w:rsidRPr="00ED0D6D" w:rsidRDefault="00925C7D" w:rsidP="00CA2F95">
            <w:pPr>
              <w:jc w:val="center"/>
              <w:rPr>
                <w:color w:val="000000"/>
                <w:sz w:val="20"/>
              </w:rPr>
            </w:pPr>
            <w:r w:rsidRPr="00ED0D6D">
              <w:rPr>
                <w:sz w:val="20"/>
              </w:rPr>
              <w:t>17LRVP</w:t>
            </w:r>
          </w:p>
        </w:tc>
      </w:tr>
      <w:tr w:rsidR="00925C7D" w:rsidRPr="00ED0D6D" w14:paraId="78A9CBE1" w14:textId="77777777" w:rsidTr="00CA2F95">
        <w:trPr>
          <w:trHeight w:val="408"/>
        </w:trPr>
        <w:tc>
          <w:tcPr>
            <w:tcW w:w="657" w:type="dxa"/>
            <w:shd w:val="clear" w:color="auto" w:fill="auto"/>
            <w:vAlign w:val="center"/>
          </w:tcPr>
          <w:p w14:paraId="029DBCAD"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85BE0DB" w14:textId="77777777" w:rsidR="00925C7D" w:rsidRPr="00ED0D6D" w:rsidRDefault="00925C7D" w:rsidP="00CA2F95">
            <w:pPr>
              <w:jc w:val="both"/>
              <w:rPr>
                <w:color w:val="000000"/>
                <w:sz w:val="20"/>
              </w:rPr>
            </w:pPr>
            <w:r w:rsidRPr="00ED0D6D">
              <w:rPr>
                <w:sz w:val="20"/>
              </w:rPr>
              <w:t xml:space="preserve">Įrengta atitvarų, km (kilometrai)   </w:t>
            </w:r>
          </w:p>
        </w:tc>
        <w:tc>
          <w:tcPr>
            <w:tcW w:w="1080" w:type="dxa"/>
            <w:shd w:val="clear" w:color="000000" w:fill="FFFFFF"/>
            <w:vAlign w:val="center"/>
          </w:tcPr>
          <w:p w14:paraId="77CE319C" w14:textId="77777777" w:rsidR="00925C7D" w:rsidRPr="00ED0D6D" w:rsidRDefault="00925C7D" w:rsidP="00CA2F95">
            <w:pPr>
              <w:jc w:val="center"/>
              <w:rPr>
                <w:color w:val="000000"/>
                <w:sz w:val="20"/>
              </w:rPr>
            </w:pPr>
            <w:r w:rsidRPr="00ED0D6D">
              <w:rPr>
                <w:sz w:val="20"/>
              </w:rPr>
              <w:t>197</w:t>
            </w:r>
          </w:p>
        </w:tc>
        <w:tc>
          <w:tcPr>
            <w:tcW w:w="1080" w:type="dxa"/>
            <w:shd w:val="clear" w:color="000000" w:fill="FFFFFF"/>
            <w:vAlign w:val="center"/>
          </w:tcPr>
          <w:p w14:paraId="3C522EC6" w14:textId="77777777" w:rsidR="00925C7D" w:rsidRPr="00ED0D6D" w:rsidRDefault="00925C7D" w:rsidP="00CA2F95">
            <w:pPr>
              <w:jc w:val="center"/>
              <w:rPr>
                <w:color w:val="000000"/>
                <w:sz w:val="20"/>
              </w:rPr>
            </w:pPr>
            <w:r w:rsidRPr="00ED0D6D">
              <w:rPr>
                <w:sz w:val="20"/>
              </w:rPr>
              <w:t> 318</w:t>
            </w:r>
          </w:p>
        </w:tc>
        <w:tc>
          <w:tcPr>
            <w:tcW w:w="956" w:type="dxa"/>
            <w:shd w:val="clear" w:color="auto" w:fill="auto"/>
            <w:vAlign w:val="center"/>
          </w:tcPr>
          <w:p w14:paraId="37D93A92" w14:textId="77777777" w:rsidR="00925C7D" w:rsidRPr="00ED0D6D" w:rsidRDefault="00925C7D" w:rsidP="00CA2F95">
            <w:pPr>
              <w:jc w:val="center"/>
              <w:rPr>
                <w:color w:val="000000"/>
                <w:sz w:val="20"/>
              </w:rPr>
            </w:pPr>
            <w:r w:rsidRPr="00ED0D6D">
              <w:rPr>
                <w:color w:val="000000"/>
                <w:sz w:val="20"/>
              </w:rPr>
              <w:t>-</w:t>
            </w:r>
          </w:p>
        </w:tc>
        <w:tc>
          <w:tcPr>
            <w:tcW w:w="983" w:type="dxa"/>
            <w:shd w:val="clear" w:color="000000" w:fill="FFFFFF"/>
            <w:vAlign w:val="center"/>
          </w:tcPr>
          <w:p w14:paraId="23A8C84F" w14:textId="77777777" w:rsidR="00925C7D" w:rsidRPr="00ED0D6D" w:rsidRDefault="00925C7D" w:rsidP="00CA2F95">
            <w:pPr>
              <w:jc w:val="center"/>
              <w:rPr>
                <w:color w:val="000000"/>
                <w:sz w:val="20"/>
              </w:rPr>
            </w:pPr>
            <w:r w:rsidRPr="00ED0D6D">
              <w:rPr>
                <w:sz w:val="20"/>
              </w:rPr>
              <w:t>197</w:t>
            </w:r>
          </w:p>
        </w:tc>
        <w:tc>
          <w:tcPr>
            <w:tcW w:w="1250" w:type="dxa"/>
            <w:shd w:val="clear" w:color="auto" w:fill="auto"/>
            <w:vAlign w:val="center"/>
          </w:tcPr>
          <w:p w14:paraId="1D194D4D"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6EB74B33"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08CCE7A1"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37DEC7F5" w14:textId="77777777" w:rsidR="00925C7D" w:rsidRPr="00ED0D6D" w:rsidRDefault="00925C7D" w:rsidP="00CA2F95">
            <w:pPr>
              <w:jc w:val="center"/>
              <w:rPr>
                <w:color w:val="000000"/>
                <w:sz w:val="20"/>
              </w:rPr>
            </w:pPr>
            <w:r w:rsidRPr="00ED0D6D">
              <w:rPr>
                <w:sz w:val="20"/>
              </w:rPr>
              <w:t>17LRVP</w:t>
            </w:r>
          </w:p>
        </w:tc>
      </w:tr>
      <w:tr w:rsidR="00925C7D" w:rsidRPr="00ED0D6D" w14:paraId="25F75F96" w14:textId="77777777" w:rsidTr="00CA2F95">
        <w:trPr>
          <w:trHeight w:val="384"/>
        </w:trPr>
        <w:tc>
          <w:tcPr>
            <w:tcW w:w="657" w:type="dxa"/>
            <w:shd w:val="clear" w:color="auto" w:fill="auto"/>
            <w:vAlign w:val="center"/>
            <w:hideMark/>
          </w:tcPr>
          <w:p w14:paraId="24FF7AB0"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781286D4" w14:textId="77777777" w:rsidR="00925C7D" w:rsidRPr="00ED0D6D" w:rsidRDefault="00925C7D" w:rsidP="00CA2F95">
            <w:pPr>
              <w:rPr>
                <w:color w:val="000000"/>
                <w:sz w:val="20"/>
              </w:rPr>
            </w:pPr>
            <w:r w:rsidRPr="00ED0D6D">
              <w:rPr>
                <w:sz w:val="20"/>
              </w:rPr>
              <w:t xml:space="preserve">Įrengta žiedinių sankryžų (vienetai)   </w:t>
            </w:r>
          </w:p>
        </w:tc>
        <w:tc>
          <w:tcPr>
            <w:tcW w:w="1080" w:type="dxa"/>
            <w:shd w:val="clear" w:color="000000" w:fill="FFFFFF"/>
            <w:vAlign w:val="center"/>
          </w:tcPr>
          <w:p w14:paraId="79CB6B7F" w14:textId="77777777" w:rsidR="00925C7D" w:rsidRPr="00ED0D6D" w:rsidRDefault="00925C7D" w:rsidP="00CA2F95">
            <w:pPr>
              <w:jc w:val="center"/>
              <w:rPr>
                <w:color w:val="000000"/>
                <w:sz w:val="20"/>
              </w:rPr>
            </w:pPr>
            <w:r w:rsidRPr="00ED0D6D">
              <w:rPr>
                <w:sz w:val="20"/>
              </w:rPr>
              <w:t>46</w:t>
            </w:r>
          </w:p>
        </w:tc>
        <w:tc>
          <w:tcPr>
            <w:tcW w:w="1080" w:type="dxa"/>
            <w:shd w:val="clear" w:color="000000" w:fill="FFFFFF"/>
            <w:vAlign w:val="center"/>
          </w:tcPr>
          <w:p w14:paraId="0BE7EA57" w14:textId="77777777" w:rsidR="00925C7D" w:rsidRPr="00ED0D6D" w:rsidRDefault="00925C7D" w:rsidP="00CA2F95">
            <w:pPr>
              <w:jc w:val="center"/>
              <w:rPr>
                <w:color w:val="000000"/>
                <w:sz w:val="20"/>
              </w:rPr>
            </w:pPr>
            <w:r w:rsidRPr="00ED0D6D">
              <w:rPr>
                <w:sz w:val="20"/>
              </w:rPr>
              <w:t> 52</w:t>
            </w:r>
          </w:p>
        </w:tc>
        <w:tc>
          <w:tcPr>
            <w:tcW w:w="956" w:type="dxa"/>
            <w:shd w:val="clear" w:color="auto" w:fill="auto"/>
            <w:vAlign w:val="center"/>
          </w:tcPr>
          <w:p w14:paraId="5B15C12E" w14:textId="77777777" w:rsidR="00925C7D" w:rsidRPr="00ED0D6D" w:rsidRDefault="00925C7D" w:rsidP="00CA2F95">
            <w:pPr>
              <w:jc w:val="center"/>
              <w:rPr>
                <w:color w:val="000000"/>
                <w:sz w:val="20"/>
              </w:rPr>
            </w:pPr>
            <w:r w:rsidRPr="00ED0D6D">
              <w:rPr>
                <w:color w:val="000000"/>
                <w:sz w:val="20"/>
              </w:rPr>
              <w:t>-</w:t>
            </w:r>
          </w:p>
        </w:tc>
        <w:tc>
          <w:tcPr>
            <w:tcW w:w="983" w:type="dxa"/>
            <w:shd w:val="clear" w:color="000000" w:fill="FFFFFF"/>
            <w:vAlign w:val="center"/>
          </w:tcPr>
          <w:p w14:paraId="6CA0D6AD" w14:textId="77777777" w:rsidR="00925C7D" w:rsidRPr="00ED0D6D" w:rsidRDefault="00925C7D" w:rsidP="00CA2F95">
            <w:pPr>
              <w:jc w:val="center"/>
              <w:rPr>
                <w:color w:val="000000"/>
                <w:sz w:val="20"/>
              </w:rPr>
            </w:pPr>
            <w:r w:rsidRPr="00ED0D6D">
              <w:rPr>
                <w:sz w:val="20"/>
              </w:rPr>
              <w:t>42</w:t>
            </w:r>
          </w:p>
        </w:tc>
        <w:tc>
          <w:tcPr>
            <w:tcW w:w="1250" w:type="dxa"/>
            <w:shd w:val="clear" w:color="auto" w:fill="auto"/>
            <w:vAlign w:val="center"/>
          </w:tcPr>
          <w:p w14:paraId="7158AA4C"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718A24C3"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5BB1301E"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378FE2AA" w14:textId="77777777" w:rsidR="00925C7D" w:rsidRPr="00ED0D6D" w:rsidRDefault="00925C7D" w:rsidP="00CA2F95">
            <w:pPr>
              <w:jc w:val="center"/>
              <w:rPr>
                <w:color w:val="000000"/>
                <w:sz w:val="20"/>
              </w:rPr>
            </w:pPr>
            <w:r w:rsidRPr="00ED0D6D">
              <w:rPr>
                <w:sz w:val="20"/>
              </w:rPr>
              <w:t>17LRVP</w:t>
            </w:r>
          </w:p>
        </w:tc>
      </w:tr>
      <w:tr w:rsidR="00925C7D" w:rsidRPr="00ED0D6D" w14:paraId="370F4F23" w14:textId="77777777" w:rsidTr="00CA2F95">
        <w:trPr>
          <w:trHeight w:val="384"/>
        </w:trPr>
        <w:tc>
          <w:tcPr>
            <w:tcW w:w="657" w:type="dxa"/>
            <w:shd w:val="clear" w:color="auto" w:fill="auto"/>
            <w:vAlign w:val="center"/>
          </w:tcPr>
          <w:p w14:paraId="1E1AD071"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05BB3574" w14:textId="77777777" w:rsidR="00925C7D" w:rsidRPr="00ED0D6D" w:rsidRDefault="00925C7D" w:rsidP="00CA2F95">
            <w:pPr>
              <w:rPr>
                <w:color w:val="000000"/>
                <w:sz w:val="20"/>
              </w:rPr>
            </w:pPr>
            <w:r w:rsidRPr="00ED0D6D">
              <w:rPr>
                <w:sz w:val="20"/>
              </w:rPr>
              <w:t xml:space="preserve">Įrengta greičio kontrolės priemonių (vienetai)   </w:t>
            </w:r>
          </w:p>
        </w:tc>
        <w:tc>
          <w:tcPr>
            <w:tcW w:w="1080" w:type="dxa"/>
            <w:shd w:val="clear" w:color="000000" w:fill="FFFFFF"/>
            <w:vAlign w:val="center"/>
          </w:tcPr>
          <w:p w14:paraId="79FE51AB" w14:textId="77777777" w:rsidR="00925C7D" w:rsidRPr="00ED0D6D" w:rsidRDefault="00925C7D" w:rsidP="00CA2F95">
            <w:pPr>
              <w:jc w:val="center"/>
              <w:rPr>
                <w:color w:val="000000"/>
                <w:sz w:val="20"/>
              </w:rPr>
            </w:pPr>
            <w:r w:rsidRPr="00ED0D6D">
              <w:rPr>
                <w:sz w:val="20"/>
              </w:rPr>
              <w:t>50</w:t>
            </w:r>
          </w:p>
        </w:tc>
        <w:tc>
          <w:tcPr>
            <w:tcW w:w="1080" w:type="dxa"/>
            <w:shd w:val="clear" w:color="000000" w:fill="FFFFFF"/>
            <w:vAlign w:val="center"/>
          </w:tcPr>
          <w:p w14:paraId="2C90059B" w14:textId="77777777" w:rsidR="00925C7D" w:rsidRPr="00ED0D6D" w:rsidRDefault="00925C7D" w:rsidP="00CA2F95">
            <w:pPr>
              <w:jc w:val="center"/>
              <w:rPr>
                <w:color w:val="000000"/>
                <w:sz w:val="20"/>
              </w:rPr>
            </w:pPr>
            <w:r w:rsidRPr="00ED0D6D">
              <w:rPr>
                <w:sz w:val="20"/>
              </w:rPr>
              <w:t> 138</w:t>
            </w:r>
          </w:p>
        </w:tc>
        <w:tc>
          <w:tcPr>
            <w:tcW w:w="956" w:type="dxa"/>
            <w:shd w:val="clear" w:color="auto" w:fill="auto"/>
            <w:vAlign w:val="center"/>
          </w:tcPr>
          <w:p w14:paraId="2C33E825" w14:textId="77777777" w:rsidR="00925C7D" w:rsidRPr="00ED0D6D" w:rsidRDefault="00925C7D" w:rsidP="00CA2F95">
            <w:pPr>
              <w:jc w:val="center"/>
              <w:rPr>
                <w:color w:val="000000"/>
                <w:sz w:val="20"/>
              </w:rPr>
            </w:pPr>
            <w:r w:rsidRPr="00ED0D6D">
              <w:rPr>
                <w:color w:val="000000"/>
                <w:sz w:val="20"/>
              </w:rPr>
              <w:t>-</w:t>
            </w:r>
          </w:p>
        </w:tc>
        <w:tc>
          <w:tcPr>
            <w:tcW w:w="983" w:type="dxa"/>
            <w:shd w:val="clear" w:color="000000" w:fill="FFFFFF"/>
            <w:vAlign w:val="center"/>
          </w:tcPr>
          <w:p w14:paraId="5E5DAF4D" w14:textId="77777777" w:rsidR="00925C7D" w:rsidRPr="00ED0D6D" w:rsidRDefault="00925C7D" w:rsidP="00CA2F95">
            <w:pPr>
              <w:jc w:val="center"/>
              <w:rPr>
                <w:color w:val="000000"/>
                <w:sz w:val="20"/>
              </w:rPr>
            </w:pPr>
            <w:r w:rsidRPr="00ED0D6D">
              <w:rPr>
                <w:sz w:val="20"/>
              </w:rPr>
              <w:t>501</w:t>
            </w:r>
          </w:p>
        </w:tc>
        <w:tc>
          <w:tcPr>
            <w:tcW w:w="1250" w:type="dxa"/>
            <w:shd w:val="clear" w:color="auto" w:fill="auto"/>
            <w:vAlign w:val="center"/>
          </w:tcPr>
          <w:p w14:paraId="4B1B1156"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6874ED73"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68C6537B"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1B7D7572" w14:textId="77777777" w:rsidR="00925C7D" w:rsidRPr="00ED0D6D" w:rsidRDefault="00925C7D" w:rsidP="00CA2F95">
            <w:pPr>
              <w:jc w:val="center"/>
              <w:rPr>
                <w:color w:val="000000"/>
                <w:sz w:val="20"/>
              </w:rPr>
            </w:pPr>
            <w:r w:rsidRPr="00ED0D6D">
              <w:rPr>
                <w:sz w:val="20"/>
              </w:rPr>
              <w:t>17LRVP</w:t>
            </w:r>
          </w:p>
        </w:tc>
      </w:tr>
      <w:tr w:rsidR="00925C7D" w:rsidRPr="00ED0D6D" w14:paraId="464CC0E2" w14:textId="77777777" w:rsidTr="00CA2F95">
        <w:trPr>
          <w:trHeight w:val="384"/>
        </w:trPr>
        <w:tc>
          <w:tcPr>
            <w:tcW w:w="657" w:type="dxa"/>
            <w:shd w:val="clear" w:color="auto" w:fill="auto"/>
            <w:vAlign w:val="center"/>
          </w:tcPr>
          <w:p w14:paraId="615BB872"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16BFD93D" w14:textId="77777777" w:rsidR="00925C7D" w:rsidRPr="00ED0D6D" w:rsidRDefault="00925C7D" w:rsidP="00CA2F95">
            <w:pPr>
              <w:rPr>
                <w:color w:val="000000"/>
                <w:sz w:val="20"/>
              </w:rPr>
            </w:pPr>
            <w:r w:rsidRPr="00ED0D6D">
              <w:rPr>
                <w:sz w:val="20"/>
              </w:rPr>
              <w:t xml:space="preserve">Įrengtos dinaminių eismo valdymo sistemų vietos (vienetai)   </w:t>
            </w:r>
          </w:p>
        </w:tc>
        <w:tc>
          <w:tcPr>
            <w:tcW w:w="1080" w:type="dxa"/>
            <w:shd w:val="clear" w:color="000000" w:fill="FFFFFF"/>
            <w:vAlign w:val="center"/>
          </w:tcPr>
          <w:p w14:paraId="58FDBB3F" w14:textId="77777777" w:rsidR="00925C7D" w:rsidRPr="00ED0D6D" w:rsidRDefault="00925C7D" w:rsidP="00CA2F95">
            <w:pPr>
              <w:jc w:val="center"/>
              <w:rPr>
                <w:color w:val="000000"/>
                <w:sz w:val="20"/>
              </w:rPr>
            </w:pPr>
            <w:r w:rsidRPr="00ED0D6D">
              <w:rPr>
                <w:sz w:val="20"/>
              </w:rPr>
              <w:t>30</w:t>
            </w:r>
          </w:p>
        </w:tc>
        <w:tc>
          <w:tcPr>
            <w:tcW w:w="1080" w:type="dxa"/>
            <w:shd w:val="clear" w:color="000000" w:fill="FFFFFF"/>
            <w:vAlign w:val="center"/>
          </w:tcPr>
          <w:p w14:paraId="190541AC" w14:textId="77777777" w:rsidR="00925C7D" w:rsidRPr="00ED0D6D" w:rsidRDefault="00925C7D" w:rsidP="00CA2F95">
            <w:pPr>
              <w:jc w:val="center"/>
              <w:rPr>
                <w:color w:val="000000"/>
                <w:sz w:val="20"/>
              </w:rPr>
            </w:pPr>
            <w:r w:rsidRPr="00ED0D6D">
              <w:rPr>
                <w:sz w:val="20"/>
              </w:rPr>
              <w:t> 31</w:t>
            </w:r>
          </w:p>
        </w:tc>
        <w:tc>
          <w:tcPr>
            <w:tcW w:w="956" w:type="dxa"/>
            <w:shd w:val="clear" w:color="auto" w:fill="auto"/>
            <w:vAlign w:val="center"/>
          </w:tcPr>
          <w:p w14:paraId="79B51888" w14:textId="77777777" w:rsidR="00925C7D" w:rsidRPr="00ED0D6D" w:rsidRDefault="00925C7D" w:rsidP="00CA2F95">
            <w:pPr>
              <w:jc w:val="center"/>
              <w:rPr>
                <w:color w:val="000000"/>
                <w:sz w:val="20"/>
              </w:rPr>
            </w:pPr>
            <w:r w:rsidRPr="00ED0D6D">
              <w:rPr>
                <w:color w:val="000000"/>
                <w:sz w:val="20"/>
              </w:rPr>
              <w:t>-</w:t>
            </w:r>
          </w:p>
        </w:tc>
        <w:tc>
          <w:tcPr>
            <w:tcW w:w="983" w:type="dxa"/>
            <w:shd w:val="clear" w:color="000000" w:fill="FFFFFF"/>
            <w:vAlign w:val="center"/>
          </w:tcPr>
          <w:p w14:paraId="337B0A53" w14:textId="77777777" w:rsidR="00925C7D" w:rsidRPr="00ED0D6D" w:rsidRDefault="00925C7D" w:rsidP="00CA2F95">
            <w:pPr>
              <w:jc w:val="center"/>
              <w:rPr>
                <w:color w:val="000000"/>
                <w:sz w:val="20"/>
              </w:rPr>
            </w:pPr>
            <w:r w:rsidRPr="00ED0D6D">
              <w:rPr>
                <w:sz w:val="20"/>
              </w:rPr>
              <w:t>79</w:t>
            </w:r>
          </w:p>
        </w:tc>
        <w:tc>
          <w:tcPr>
            <w:tcW w:w="1250" w:type="dxa"/>
            <w:shd w:val="clear" w:color="auto" w:fill="auto"/>
            <w:vAlign w:val="center"/>
          </w:tcPr>
          <w:p w14:paraId="1247E1CE"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6AAE5288"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3CA11C2D" w14:textId="77777777" w:rsidR="00925C7D" w:rsidRPr="00ED0D6D" w:rsidRDefault="00925C7D" w:rsidP="00CA2F95">
            <w:pPr>
              <w:jc w:val="center"/>
              <w:rPr>
                <w:color w:val="000000"/>
                <w:sz w:val="20"/>
              </w:rPr>
            </w:pPr>
            <w:r w:rsidRPr="00ED0D6D">
              <w:rPr>
                <w:sz w:val="20"/>
              </w:rPr>
              <w:t>SM</w:t>
            </w:r>
          </w:p>
        </w:tc>
        <w:tc>
          <w:tcPr>
            <w:tcW w:w="1172" w:type="dxa"/>
            <w:shd w:val="clear" w:color="auto" w:fill="auto"/>
            <w:vAlign w:val="center"/>
          </w:tcPr>
          <w:p w14:paraId="0BC2ABFD" w14:textId="77777777" w:rsidR="00925C7D" w:rsidRPr="00ED0D6D" w:rsidRDefault="00925C7D" w:rsidP="00CA2F95">
            <w:pPr>
              <w:jc w:val="center"/>
              <w:rPr>
                <w:color w:val="000000"/>
                <w:sz w:val="20"/>
              </w:rPr>
            </w:pPr>
            <w:r w:rsidRPr="00ED0D6D">
              <w:rPr>
                <w:sz w:val="20"/>
              </w:rPr>
              <w:t>17LRVP</w:t>
            </w:r>
          </w:p>
        </w:tc>
      </w:tr>
      <w:tr w:rsidR="00925C7D" w:rsidRPr="00ED0D6D" w14:paraId="4A8E3CD7" w14:textId="77777777" w:rsidTr="00CA2F95">
        <w:trPr>
          <w:trHeight w:val="384"/>
        </w:trPr>
        <w:tc>
          <w:tcPr>
            <w:tcW w:w="657" w:type="dxa"/>
            <w:shd w:val="clear" w:color="auto" w:fill="auto"/>
            <w:vAlign w:val="center"/>
          </w:tcPr>
          <w:p w14:paraId="09906BE1"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04875F0C" w14:textId="77777777" w:rsidR="00925C7D" w:rsidRPr="00ED0D6D" w:rsidRDefault="00925C7D" w:rsidP="00CA2F95">
            <w:pPr>
              <w:rPr>
                <w:color w:val="000000"/>
                <w:sz w:val="20"/>
              </w:rPr>
            </w:pPr>
            <w:r w:rsidRPr="00ED0D6D">
              <w:rPr>
                <w:sz w:val="20"/>
              </w:rPr>
              <w:t xml:space="preserve">Geležinkelio pervažų, kuriose įrengta pažeidimų fiksavimo įranga (skaičius)   </w:t>
            </w:r>
          </w:p>
        </w:tc>
        <w:tc>
          <w:tcPr>
            <w:tcW w:w="1080" w:type="dxa"/>
            <w:shd w:val="clear" w:color="000000" w:fill="FFFFFF"/>
            <w:vAlign w:val="center"/>
          </w:tcPr>
          <w:p w14:paraId="58560DB3" w14:textId="77777777" w:rsidR="00925C7D" w:rsidRPr="00ED0D6D" w:rsidRDefault="00925C7D" w:rsidP="00CA2F95">
            <w:pPr>
              <w:jc w:val="center"/>
              <w:rPr>
                <w:color w:val="000000"/>
                <w:sz w:val="20"/>
              </w:rPr>
            </w:pPr>
            <w:r w:rsidRPr="00ED0D6D">
              <w:rPr>
                <w:sz w:val="20"/>
              </w:rPr>
              <w:t>1</w:t>
            </w:r>
          </w:p>
        </w:tc>
        <w:tc>
          <w:tcPr>
            <w:tcW w:w="1080" w:type="dxa"/>
            <w:shd w:val="clear" w:color="000000" w:fill="FFFFFF"/>
            <w:vAlign w:val="center"/>
          </w:tcPr>
          <w:p w14:paraId="78586AA9" w14:textId="77777777" w:rsidR="00925C7D" w:rsidRPr="00ED0D6D" w:rsidRDefault="00925C7D" w:rsidP="00CA2F95">
            <w:pPr>
              <w:jc w:val="center"/>
              <w:rPr>
                <w:color w:val="000000"/>
                <w:sz w:val="20"/>
              </w:rPr>
            </w:pPr>
            <w:r w:rsidRPr="00ED0D6D">
              <w:rPr>
                <w:sz w:val="20"/>
              </w:rPr>
              <w:t> 1</w:t>
            </w:r>
          </w:p>
        </w:tc>
        <w:tc>
          <w:tcPr>
            <w:tcW w:w="956" w:type="dxa"/>
            <w:shd w:val="clear" w:color="auto" w:fill="auto"/>
            <w:vAlign w:val="center"/>
          </w:tcPr>
          <w:p w14:paraId="7300BF0A" w14:textId="77777777" w:rsidR="00925C7D" w:rsidRPr="00ED0D6D" w:rsidRDefault="00925C7D" w:rsidP="00CA2F95">
            <w:pPr>
              <w:jc w:val="center"/>
              <w:rPr>
                <w:color w:val="000000"/>
                <w:sz w:val="20"/>
              </w:rPr>
            </w:pPr>
            <w:r w:rsidRPr="00ED0D6D">
              <w:rPr>
                <w:color w:val="000000"/>
                <w:sz w:val="20"/>
              </w:rPr>
              <w:t>-</w:t>
            </w:r>
          </w:p>
        </w:tc>
        <w:tc>
          <w:tcPr>
            <w:tcW w:w="983" w:type="dxa"/>
            <w:shd w:val="clear" w:color="000000" w:fill="FFFFFF"/>
            <w:vAlign w:val="center"/>
          </w:tcPr>
          <w:p w14:paraId="7EADE754" w14:textId="77777777" w:rsidR="00925C7D" w:rsidRPr="00ED0D6D" w:rsidRDefault="00925C7D" w:rsidP="00CA2F95">
            <w:pPr>
              <w:jc w:val="center"/>
              <w:rPr>
                <w:color w:val="000000"/>
                <w:sz w:val="20"/>
              </w:rPr>
            </w:pPr>
            <w:r w:rsidRPr="00ED0D6D">
              <w:rPr>
                <w:sz w:val="20"/>
              </w:rPr>
              <w:t>19</w:t>
            </w:r>
          </w:p>
        </w:tc>
        <w:tc>
          <w:tcPr>
            <w:tcW w:w="1250" w:type="dxa"/>
            <w:shd w:val="clear" w:color="auto" w:fill="auto"/>
            <w:vAlign w:val="center"/>
          </w:tcPr>
          <w:p w14:paraId="709075BA" w14:textId="77777777" w:rsidR="00925C7D" w:rsidRPr="00ED0D6D" w:rsidRDefault="00925C7D" w:rsidP="00CA2F95">
            <w:pPr>
              <w:jc w:val="center"/>
              <w:rPr>
                <w:color w:val="000000"/>
                <w:sz w:val="20"/>
              </w:rPr>
            </w:pPr>
            <w:r w:rsidRPr="00ED0D6D">
              <w:rPr>
                <w:color w:val="000000"/>
                <w:sz w:val="20"/>
              </w:rPr>
              <w:t>-</w:t>
            </w:r>
          </w:p>
        </w:tc>
        <w:tc>
          <w:tcPr>
            <w:tcW w:w="1250" w:type="dxa"/>
            <w:shd w:val="clear" w:color="auto" w:fill="auto"/>
            <w:vAlign w:val="center"/>
          </w:tcPr>
          <w:p w14:paraId="71015648" w14:textId="77777777" w:rsidR="00925C7D" w:rsidRPr="00ED0D6D" w:rsidRDefault="00925C7D" w:rsidP="00CA2F95">
            <w:pPr>
              <w:jc w:val="center"/>
              <w:rPr>
                <w:color w:val="000000"/>
                <w:sz w:val="20"/>
              </w:rPr>
            </w:pPr>
            <w:r w:rsidRPr="00ED0D6D">
              <w:rPr>
                <w:color w:val="000000"/>
                <w:sz w:val="20"/>
              </w:rPr>
              <w:t>-</w:t>
            </w:r>
          </w:p>
        </w:tc>
        <w:tc>
          <w:tcPr>
            <w:tcW w:w="2491" w:type="dxa"/>
            <w:shd w:val="clear" w:color="auto" w:fill="auto"/>
            <w:vAlign w:val="center"/>
          </w:tcPr>
          <w:p w14:paraId="5B57EFC8" w14:textId="77777777" w:rsidR="00925C7D" w:rsidRPr="00ED0D6D" w:rsidRDefault="00925C7D" w:rsidP="00CA2F95">
            <w:pPr>
              <w:jc w:val="center"/>
              <w:rPr>
                <w:color w:val="000000"/>
                <w:sz w:val="20"/>
              </w:rPr>
            </w:pPr>
            <w:r w:rsidRPr="00ED0D6D">
              <w:rPr>
                <w:sz w:val="20"/>
              </w:rPr>
              <w:t>SM </w:t>
            </w:r>
          </w:p>
        </w:tc>
        <w:tc>
          <w:tcPr>
            <w:tcW w:w="1172" w:type="dxa"/>
            <w:shd w:val="clear" w:color="auto" w:fill="auto"/>
            <w:vAlign w:val="center"/>
          </w:tcPr>
          <w:p w14:paraId="5796AD96" w14:textId="77777777" w:rsidR="00925C7D" w:rsidRPr="00ED0D6D" w:rsidRDefault="00925C7D" w:rsidP="00CA2F95">
            <w:pPr>
              <w:jc w:val="center"/>
              <w:rPr>
                <w:color w:val="000000"/>
                <w:sz w:val="20"/>
              </w:rPr>
            </w:pPr>
            <w:r w:rsidRPr="00ED0D6D">
              <w:rPr>
                <w:sz w:val="20"/>
              </w:rPr>
              <w:t>17LRVP</w:t>
            </w:r>
          </w:p>
        </w:tc>
      </w:tr>
    </w:tbl>
    <w:p w14:paraId="4DC0ECC8" w14:textId="77777777" w:rsidR="00925C7D" w:rsidRPr="00A6089B" w:rsidRDefault="00925C7D" w:rsidP="00A6089B">
      <w:pPr>
        <w:spacing w:line="380" w:lineRule="atLeast"/>
        <w:jc w:val="both"/>
        <w:rPr>
          <w:bCs/>
          <w:sz w:val="20"/>
        </w:rPr>
      </w:pPr>
    </w:p>
    <w:p w14:paraId="6222603B" w14:textId="130B3A65" w:rsidR="00925C7D" w:rsidRPr="00ED0D6D" w:rsidRDefault="00925C7D" w:rsidP="00A6089B">
      <w:pPr>
        <w:tabs>
          <w:tab w:val="left" w:pos="450"/>
        </w:tabs>
        <w:spacing w:line="380" w:lineRule="atLeast"/>
        <w:ind w:left="720"/>
        <w:jc w:val="both"/>
        <w:rPr>
          <w:b/>
          <w:szCs w:val="24"/>
        </w:rPr>
      </w:pPr>
      <w:r w:rsidRPr="00ED0D6D">
        <w:rPr>
          <w:b/>
          <w:szCs w:val="24"/>
        </w:rPr>
        <w:t>2.</w:t>
      </w:r>
      <w:r w:rsidR="00A6089B">
        <w:rPr>
          <w:b/>
          <w:szCs w:val="24"/>
        </w:rPr>
        <w:t>2.</w:t>
      </w:r>
      <w:r w:rsidRPr="00ED0D6D">
        <w:rPr>
          <w:b/>
          <w:szCs w:val="24"/>
        </w:rPr>
        <w:t>11.  Sveikata</w:t>
      </w:r>
    </w:p>
    <w:tbl>
      <w:tblP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080"/>
        <w:gridCol w:w="1080"/>
        <w:gridCol w:w="1150"/>
        <w:gridCol w:w="983"/>
        <w:gridCol w:w="1250"/>
        <w:gridCol w:w="1250"/>
        <w:gridCol w:w="2297"/>
        <w:gridCol w:w="1172"/>
      </w:tblGrid>
      <w:tr w:rsidR="005D157B" w:rsidRPr="00ED0D6D" w14:paraId="6F45E1F7" w14:textId="77777777" w:rsidTr="00CA2F95">
        <w:trPr>
          <w:trHeight w:val="999"/>
        </w:trPr>
        <w:tc>
          <w:tcPr>
            <w:tcW w:w="623" w:type="dxa"/>
            <w:shd w:val="clear" w:color="000000" w:fill="DEEAF6"/>
            <w:vAlign w:val="center"/>
            <w:hideMark/>
          </w:tcPr>
          <w:p w14:paraId="5BD2A98C" w14:textId="77777777" w:rsidR="00925C7D" w:rsidRPr="00ED0D6D" w:rsidRDefault="00925C7D" w:rsidP="00CA2F95">
            <w:pPr>
              <w:jc w:val="center"/>
              <w:rPr>
                <w:b/>
                <w:bCs/>
                <w:sz w:val="20"/>
              </w:rPr>
            </w:pPr>
            <w:r w:rsidRPr="00ED0D6D">
              <w:rPr>
                <w:b/>
                <w:bCs/>
                <w:sz w:val="20"/>
              </w:rPr>
              <w:t>Eil. Nr.</w:t>
            </w:r>
          </w:p>
        </w:tc>
        <w:tc>
          <w:tcPr>
            <w:tcW w:w="4682" w:type="dxa"/>
            <w:shd w:val="clear" w:color="000000" w:fill="DEEAF6"/>
            <w:vAlign w:val="center"/>
            <w:hideMark/>
          </w:tcPr>
          <w:p w14:paraId="3BBF5233" w14:textId="77777777" w:rsidR="00925C7D" w:rsidRPr="00ED0D6D" w:rsidRDefault="00925C7D" w:rsidP="00CA2F95">
            <w:pPr>
              <w:jc w:val="center"/>
              <w:rPr>
                <w:b/>
                <w:bCs/>
                <w:sz w:val="20"/>
              </w:rPr>
            </w:pPr>
            <w:r w:rsidRPr="00ED0D6D">
              <w:rPr>
                <w:b/>
                <w:bCs/>
                <w:sz w:val="20"/>
              </w:rPr>
              <w:t>Vertinimo kriterijaus pavadinimas</w:t>
            </w:r>
          </w:p>
        </w:tc>
        <w:tc>
          <w:tcPr>
            <w:tcW w:w="1080" w:type="dxa"/>
            <w:shd w:val="clear" w:color="000000" w:fill="DEEAF6"/>
            <w:vAlign w:val="center"/>
            <w:hideMark/>
          </w:tcPr>
          <w:p w14:paraId="35C14F69" w14:textId="77777777" w:rsidR="00925C7D" w:rsidRPr="00ED0D6D" w:rsidRDefault="00925C7D" w:rsidP="00CA2F95">
            <w:pPr>
              <w:jc w:val="center"/>
              <w:rPr>
                <w:b/>
                <w:bCs/>
                <w:sz w:val="20"/>
              </w:rPr>
            </w:pPr>
            <w:r w:rsidRPr="00ED0D6D">
              <w:rPr>
                <w:b/>
                <w:bCs/>
                <w:sz w:val="20"/>
              </w:rPr>
              <w:t>Pasiekta 2019 m. reikšmė</w:t>
            </w:r>
          </w:p>
        </w:tc>
        <w:tc>
          <w:tcPr>
            <w:tcW w:w="1080" w:type="dxa"/>
            <w:shd w:val="clear" w:color="000000" w:fill="DEEAF6"/>
            <w:vAlign w:val="center"/>
            <w:hideMark/>
          </w:tcPr>
          <w:p w14:paraId="541043AA" w14:textId="77777777" w:rsidR="00925C7D" w:rsidRPr="00ED0D6D" w:rsidRDefault="00925C7D" w:rsidP="00CA2F95">
            <w:pPr>
              <w:jc w:val="center"/>
              <w:rPr>
                <w:b/>
                <w:bCs/>
                <w:sz w:val="20"/>
              </w:rPr>
            </w:pPr>
            <w:r w:rsidRPr="00ED0D6D">
              <w:rPr>
                <w:b/>
                <w:bCs/>
                <w:sz w:val="20"/>
              </w:rPr>
              <w:t>Pasiekta 2020 m. reikšmė</w:t>
            </w:r>
          </w:p>
        </w:tc>
        <w:tc>
          <w:tcPr>
            <w:tcW w:w="1150" w:type="dxa"/>
            <w:shd w:val="clear" w:color="000000" w:fill="DEEAF6"/>
            <w:vAlign w:val="center"/>
            <w:hideMark/>
          </w:tcPr>
          <w:p w14:paraId="0F00A667" w14:textId="77777777" w:rsidR="00925C7D" w:rsidRPr="00ED0D6D" w:rsidRDefault="00925C7D" w:rsidP="00CA2F95">
            <w:pPr>
              <w:jc w:val="center"/>
              <w:rPr>
                <w:b/>
                <w:bCs/>
                <w:sz w:val="20"/>
              </w:rPr>
            </w:pPr>
            <w:r w:rsidRPr="00ED0D6D">
              <w:rPr>
                <w:b/>
                <w:bCs/>
                <w:sz w:val="20"/>
              </w:rPr>
              <w:t>ES vidurkis (metai)</w:t>
            </w:r>
          </w:p>
        </w:tc>
        <w:tc>
          <w:tcPr>
            <w:tcW w:w="983" w:type="dxa"/>
            <w:shd w:val="clear" w:color="000000" w:fill="DEEAF6"/>
            <w:vAlign w:val="center"/>
            <w:hideMark/>
          </w:tcPr>
          <w:p w14:paraId="26FC887F" w14:textId="77777777" w:rsidR="00925C7D" w:rsidRPr="00ED0D6D" w:rsidRDefault="00925C7D" w:rsidP="00CA2F95">
            <w:pPr>
              <w:jc w:val="center"/>
              <w:rPr>
                <w:b/>
                <w:bCs/>
                <w:sz w:val="20"/>
              </w:rPr>
            </w:pPr>
            <w:r w:rsidRPr="00ED0D6D">
              <w:rPr>
                <w:b/>
                <w:bCs/>
                <w:sz w:val="20"/>
              </w:rPr>
              <w:t>Planuota 2020 m.  reikšmė</w:t>
            </w:r>
          </w:p>
        </w:tc>
        <w:tc>
          <w:tcPr>
            <w:tcW w:w="1250" w:type="dxa"/>
            <w:shd w:val="clear" w:color="FFFFFF" w:fill="DDEBF7"/>
            <w:vAlign w:val="center"/>
            <w:hideMark/>
          </w:tcPr>
          <w:p w14:paraId="410D4A20" w14:textId="77777777" w:rsidR="00925C7D" w:rsidRPr="00ED0D6D" w:rsidRDefault="00925C7D" w:rsidP="00CA2F95">
            <w:pPr>
              <w:jc w:val="center"/>
              <w:rPr>
                <w:b/>
                <w:bCs/>
                <w:sz w:val="20"/>
              </w:rPr>
            </w:pPr>
            <w:r w:rsidRPr="00ED0D6D">
              <w:rPr>
                <w:b/>
                <w:bCs/>
                <w:sz w:val="20"/>
              </w:rPr>
              <w:t>Planuojama reikšmė 2024m. / 2025 m.</w:t>
            </w:r>
          </w:p>
        </w:tc>
        <w:tc>
          <w:tcPr>
            <w:tcW w:w="1250" w:type="dxa"/>
            <w:shd w:val="clear" w:color="FFFFFF" w:fill="DDEBF7"/>
            <w:vAlign w:val="center"/>
            <w:hideMark/>
          </w:tcPr>
          <w:p w14:paraId="35E18D3C" w14:textId="77777777" w:rsidR="00925C7D" w:rsidRPr="00ED0D6D" w:rsidRDefault="00925C7D" w:rsidP="00CA2F95">
            <w:pPr>
              <w:jc w:val="center"/>
              <w:rPr>
                <w:b/>
                <w:bCs/>
                <w:sz w:val="20"/>
              </w:rPr>
            </w:pPr>
            <w:r w:rsidRPr="00ED0D6D">
              <w:rPr>
                <w:b/>
                <w:bCs/>
                <w:sz w:val="20"/>
              </w:rPr>
              <w:t>Planuojama reikšmė 2030 m.</w:t>
            </w:r>
          </w:p>
        </w:tc>
        <w:tc>
          <w:tcPr>
            <w:tcW w:w="2297" w:type="dxa"/>
            <w:shd w:val="clear" w:color="000000" w:fill="DEEAF6"/>
            <w:vAlign w:val="center"/>
            <w:hideMark/>
          </w:tcPr>
          <w:p w14:paraId="28F407F2" w14:textId="77777777" w:rsidR="00925C7D" w:rsidRPr="00ED0D6D" w:rsidRDefault="00925C7D" w:rsidP="00CA2F95">
            <w:pPr>
              <w:jc w:val="center"/>
              <w:rPr>
                <w:b/>
                <w:bCs/>
                <w:sz w:val="20"/>
              </w:rPr>
            </w:pPr>
            <w:r w:rsidRPr="00ED0D6D">
              <w:rPr>
                <w:b/>
                <w:bCs/>
                <w:sz w:val="20"/>
              </w:rPr>
              <w:t>Duomenų šaltinis</w:t>
            </w:r>
          </w:p>
        </w:tc>
        <w:tc>
          <w:tcPr>
            <w:tcW w:w="1172" w:type="dxa"/>
            <w:shd w:val="clear" w:color="FFFFFF" w:fill="DDEBF7"/>
            <w:vAlign w:val="center"/>
            <w:hideMark/>
          </w:tcPr>
          <w:p w14:paraId="34E19DE4" w14:textId="77777777" w:rsidR="00925C7D" w:rsidRPr="00ED0D6D" w:rsidRDefault="00925C7D" w:rsidP="00CA2F95">
            <w:pPr>
              <w:jc w:val="center"/>
              <w:rPr>
                <w:b/>
                <w:bCs/>
                <w:color w:val="000000"/>
                <w:sz w:val="20"/>
              </w:rPr>
            </w:pPr>
            <w:r w:rsidRPr="00ED0D6D">
              <w:rPr>
                <w:b/>
                <w:bCs/>
                <w:color w:val="000000"/>
                <w:sz w:val="20"/>
              </w:rPr>
              <w:t>Kriterijaus požymis: VPS2030 NPP2020 NPP2030</w:t>
            </w:r>
          </w:p>
          <w:p w14:paraId="4E72F889" w14:textId="77777777" w:rsidR="00925C7D" w:rsidRPr="00ED0D6D" w:rsidRDefault="00925C7D" w:rsidP="00CA2F95">
            <w:pPr>
              <w:jc w:val="center"/>
              <w:rPr>
                <w:b/>
                <w:bCs/>
                <w:color w:val="000000"/>
                <w:sz w:val="20"/>
              </w:rPr>
            </w:pPr>
            <w:r w:rsidRPr="00ED0D6D">
              <w:rPr>
                <w:b/>
                <w:bCs/>
                <w:color w:val="000000"/>
                <w:sz w:val="20"/>
              </w:rPr>
              <w:t>17LRVP</w:t>
            </w:r>
          </w:p>
          <w:p w14:paraId="2BB58F44" w14:textId="77777777" w:rsidR="00925C7D" w:rsidRPr="00ED0D6D" w:rsidRDefault="00925C7D" w:rsidP="00CA2F95">
            <w:pPr>
              <w:jc w:val="center"/>
              <w:rPr>
                <w:b/>
                <w:bCs/>
                <w:sz w:val="20"/>
              </w:rPr>
            </w:pPr>
            <w:r w:rsidRPr="00ED0D6D">
              <w:rPr>
                <w:b/>
                <w:bCs/>
                <w:color w:val="000000"/>
                <w:sz w:val="20"/>
              </w:rPr>
              <w:t>18LRVP</w:t>
            </w:r>
          </w:p>
        </w:tc>
      </w:tr>
      <w:tr w:rsidR="005D157B" w:rsidRPr="00ED0D6D" w14:paraId="419B2BC8" w14:textId="77777777" w:rsidTr="00CA2F95">
        <w:trPr>
          <w:trHeight w:val="504"/>
        </w:trPr>
        <w:tc>
          <w:tcPr>
            <w:tcW w:w="623" w:type="dxa"/>
            <w:shd w:val="clear" w:color="auto" w:fill="auto"/>
            <w:vAlign w:val="center"/>
            <w:hideMark/>
          </w:tcPr>
          <w:p w14:paraId="66FABEC2"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3C750666" w14:textId="77777777" w:rsidR="00925C7D" w:rsidRPr="00ED0D6D" w:rsidRDefault="00925C7D" w:rsidP="00CA2F95">
            <w:pPr>
              <w:jc w:val="both"/>
              <w:rPr>
                <w:sz w:val="20"/>
              </w:rPr>
            </w:pPr>
            <w:r w:rsidRPr="00ED0D6D">
              <w:rPr>
                <w:sz w:val="20"/>
              </w:rPr>
              <w:t>Skirtumas tarp vyrų ir moterų gyvenimo trukmės (metai)</w:t>
            </w:r>
          </w:p>
        </w:tc>
        <w:tc>
          <w:tcPr>
            <w:tcW w:w="1080" w:type="dxa"/>
            <w:shd w:val="clear" w:color="auto" w:fill="auto"/>
            <w:noWrap/>
            <w:vAlign w:val="center"/>
          </w:tcPr>
          <w:p w14:paraId="70833C70" w14:textId="77777777" w:rsidR="00925C7D" w:rsidRPr="00ED0D6D" w:rsidRDefault="00925C7D" w:rsidP="00CA2F95">
            <w:pPr>
              <w:jc w:val="center"/>
              <w:rPr>
                <w:sz w:val="20"/>
              </w:rPr>
            </w:pPr>
            <w:r w:rsidRPr="00ED0D6D">
              <w:rPr>
                <w:sz w:val="20"/>
              </w:rPr>
              <w:t>9,5</w:t>
            </w:r>
          </w:p>
        </w:tc>
        <w:tc>
          <w:tcPr>
            <w:tcW w:w="1080" w:type="dxa"/>
            <w:shd w:val="clear" w:color="000000" w:fill="FFFFFF"/>
            <w:vAlign w:val="center"/>
          </w:tcPr>
          <w:p w14:paraId="75B2762B" w14:textId="77777777" w:rsidR="00925C7D" w:rsidRPr="00ED0D6D" w:rsidRDefault="00925C7D" w:rsidP="00CA2F95">
            <w:pPr>
              <w:jc w:val="center"/>
              <w:rPr>
                <w:sz w:val="20"/>
              </w:rPr>
            </w:pPr>
            <w:r w:rsidRPr="00ED0D6D">
              <w:rPr>
                <w:sz w:val="20"/>
              </w:rPr>
              <w:t>9,8</w:t>
            </w:r>
          </w:p>
        </w:tc>
        <w:tc>
          <w:tcPr>
            <w:tcW w:w="1150" w:type="dxa"/>
            <w:shd w:val="clear" w:color="auto" w:fill="auto"/>
            <w:vAlign w:val="center"/>
          </w:tcPr>
          <w:p w14:paraId="5A6C3599" w14:textId="77777777" w:rsidR="00925C7D" w:rsidRPr="00ED0D6D" w:rsidRDefault="00925C7D" w:rsidP="00CA2F95">
            <w:pPr>
              <w:jc w:val="center"/>
              <w:rPr>
                <w:sz w:val="20"/>
              </w:rPr>
            </w:pPr>
            <w:r w:rsidRPr="00ED0D6D">
              <w:rPr>
                <w:sz w:val="20"/>
              </w:rPr>
              <w:t>5,5</w:t>
            </w:r>
          </w:p>
          <w:p w14:paraId="045110AB" w14:textId="77777777" w:rsidR="00925C7D" w:rsidRPr="00ED0D6D" w:rsidRDefault="00925C7D" w:rsidP="00CA2F95">
            <w:pPr>
              <w:jc w:val="center"/>
              <w:rPr>
                <w:sz w:val="20"/>
              </w:rPr>
            </w:pPr>
            <w:r w:rsidRPr="00ED0D6D">
              <w:rPr>
                <w:sz w:val="20"/>
              </w:rPr>
              <w:t>(2018)</w:t>
            </w:r>
          </w:p>
        </w:tc>
        <w:tc>
          <w:tcPr>
            <w:tcW w:w="983" w:type="dxa"/>
            <w:shd w:val="clear" w:color="auto" w:fill="auto"/>
            <w:vAlign w:val="center"/>
          </w:tcPr>
          <w:p w14:paraId="34F91AAE" w14:textId="77777777" w:rsidR="00925C7D" w:rsidRPr="00ED0D6D" w:rsidRDefault="00925C7D" w:rsidP="00CA2F95">
            <w:pPr>
              <w:jc w:val="center"/>
              <w:rPr>
                <w:sz w:val="20"/>
              </w:rPr>
            </w:pPr>
            <w:r w:rsidRPr="00ED0D6D">
              <w:rPr>
                <w:sz w:val="20"/>
              </w:rPr>
              <w:t>- </w:t>
            </w:r>
          </w:p>
        </w:tc>
        <w:tc>
          <w:tcPr>
            <w:tcW w:w="1250" w:type="dxa"/>
            <w:shd w:val="clear" w:color="auto" w:fill="auto"/>
            <w:noWrap/>
            <w:vAlign w:val="center"/>
          </w:tcPr>
          <w:p w14:paraId="538165A5" w14:textId="77777777" w:rsidR="00925C7D" w:rsidRPr="00ED0D6D" w:rsidRDefault="00925C7D" w:rsidP="00CA2F95">
            <w:pPr>
              <w:jc w:val="center"/>
              <w:rPr>
                <w:sz w:val="20"/>
              </w:rPr>
            </w:pPr>
            <w:r w:rsidRPr="00ED0D6D">
              <w:rPr>
                <w:sz w:val="20"/>
              </w:rPr>
              <w:t>8</w:t>
            </w:r>
          </w:p>
        </w:tc>
        <w:tc>
          <w:tcPr>
            <w:tcW w:w="1250" w:type="dxa"/>
            <w:shd w:val="clear" w:color="auto" w:fill="auto"/>
            <w:vAlign w:val="center"/>
          </w:tcPr>
          <w:p w14:paraId="26253C04"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7D7C2D75" w14:textId="77777777" w:rsidR="00925C7D" w:rsidRPr="00ED0D6D" w:rsidRDefault="00925C7D" w:rsidP="00CA2F95">
            <w:pPr>
              <w:jc w:val="center"/>
              <w:rPr>
                <w:sz w:val="20"/>
              </w:rPr>
            </w:pPr>
            <w:r w:rsidRPr="00ED0D6D">
              <w:rPr>
                <w:sz w:val="20"/>
              </w:rPr>
              <w:t>Lietuvos statistikos departamentas</w:t>
            </w:r>
          </w:p>
        </w:tc>
        <w:tc>
          <w:tcPr>
            <w:tcW w:w="1172" w:type="dxa"/>
            <w:shd w:val="clear" w:color="auto" w:fill="auto"/>
            <w:vAlign w:val="center"/>
          </w:tcPr>
          <w:p w14:paraId="1FE8D0B3" w14:textId="77777777" w:rsidR="00925C7D" w:rsidRPr="00ED0D6D" w:rsidRDefault="00925C7D" w:rsidP="00CA2F95">
            <w:pPr>
              <w:jc w:val="center"/>
              <w:rPr>
                <w:i/>
                <w:iCs/>
                <w:sz w:val="20"/>
              </w:rPr>
            </w:pPr>
            <w:r w:rsidRPr="00ED0D6D">
              <w:rPr>
                <w:b/>
                <w:bCs/>
                <w:sz w:val="20"/>
              </w:rPr>
              <w:t>18LRVP</w:t>
            </w:r>
          </w:p>
        </w:tc>
      </w:tr>
      <w:tr w:rsidR="005D157B" w:rsidRPr="00ED0D6D" w14:paraId="45ACD594" w14:textId="77777777" w:rsidTr="00CA2F95">
        <w:trPr>
          <w:trHeight w:val="504"/>
        </w:trPr>
        <w:tc>
          <w:tcPr>
            <w:tcW w:w="623" w:type="dxa"/>
            <w:shd w:val="clear" w:color="auto" w:fill="auto"/>
            <w:vAlign w:val="center"/>
          </w:tcPr>
          <w:p w14:paraId="78EB7FCE"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7D92EE1B" w14:textId="77777777" w:rsidR="00925C7D" w:rsidRPr="00ED0D6D" w:rsidRDefault="00925C7D" w:rsidP="00CA2F95">
            <w:pPr>
              <w:jc w:val="both"/>
              <w:rPr>
                <w:sz w:val="20"/>
              </w:rPr>
            </w:pPr>
            <w:r w:rsidRPr="00ED0D6D">
              <w:rPr>
                <w:sz w:val="20"/>
              </w:rPr>
              <w:t>Vidutinė tikėtina būsimo gyvenimo trukmė (metai)</w:t>
            </w:r>
          </w:p>
        </w:tc>
        <w:tc>
          <w:tcPr>
            <w:tcW w:w="1080" w:type="dxa"/>
            <w:shd w:val="clear" w:color="auto" w:fill="auto"/>
            <w:noWrap/>
            <w:vAlign w:val="center"/>
          </w:tcPr>
          <w:p w14:paraId="08C56DC9" w14:textId="77777777" w:rsidR="00925C7D" w:rsidRPr="00ED0D6D" w:rsidRDefault="00925C7D" w:rsidP="00CA2F95">
            <w:pPr>
              <w:jc w:val="center"/>
              <w:rPr>
                <w:sz w:val="20"/>
              </w:rPr>
            </w:pPr>
            <w:r w:rsidRPr="00ED0D6D">
              <w:rPr>
                <w:sz w:val="20"/>
              </w:rPr>
              <w:t>76,4</w:t>
            </w:r>
          </w:p>
        </w:tc>
        <w:tc>
          <w:tcPr>
            <w:tcW w:w="1080" w:type="dxa"/>
            <w:shd w:val="clear" w:color="000000" w:fill="FFFFFF"/>
            <w:vAlign w:val="center"/>
          </w:tcPr>
          <w:p w14:paraId="191161C2"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4AE0099F" w14:textId="77777777" w:rsidR="00925C7D" w:rsidRPr="00ED0D6D" w:rsidRDefault="00925C7D" w:rsidP="00CA2F95">
            <w:pPr>
              <w:jc w:val="center"/>
              <w:rPr>
                <w:sz w:val="20"/>
              </w:rPr>
            </w:pPr>
            <w:r w:rsidRPr="00ED0D6D">
              <w:rPr>
                <w:sz w:val="20"/>
              </w:rPr>
              <w:t>81</w:t>
            </w:r>
          </w:p>
          <w:p w14:paraId="0FDDF0CE" w14:textId="77777777" w:rsidR="00925C7D" w:rsidRPr="00ED0D6D" w:rsidRDefault="00925C7D" w:rsidP="00CA2F95">
            <w:pPr>
              <w:jc w:val="center"/>
              <w:rPr>
                <w:sz w:val="20"/>
              </w:rPr>
            </w:pPr>
            <w:r w:rsidRPr="00ED0D6D">
              <w:rPr>
                <w:sz w:val="20"/>
              </w:rPr>
              <w:t>(2018)</w:t>
            </w:r>
          </w:p>
        </w:tc>
        <w:tc>
          <w:tcPr>
            <w:tcW w:w="983" w:type="dxa"/>
            <w:shd w:val="clear" w:color="auto" w:fill="auto"/>
            <w:vAlign w:val="center"/>
          </w:tcPr>
          <w:p w14:paraId="506BD2B8" w14:textId="77777777" w:rsidR="00925C7D" w:rsidRPr="00ED0D6D" w:rsidRDefault="00925C7D" w:rsidP="00CA2F95">
            <w:pPr>
              <w:jc w:val="center"/>
              <w:rPr>
                <w:sz w:val="20"/>
              </w:rPr>
            </w:pPr>
            <w:r w:rsidRPr="00ED0D6D">
              <w:rPr>
                <w:sz w:val="20"/>
              </w:rPr>
              <w:t>- </w:t>
            </w:r>
          </w:p>
        </w:tc>
        <w:tc>
          <w:tcPr>
            <w:tcW w:w="1250" w:type="dxa"/>
            <w:shd w:val="clear" w:color="auto" w:fill="auto"/>
            <w:noWrap/>
            <w:vAlign w:val="center"/>
          </w:tcPr>
          <w:p w14:paraId="537FCC69" w14:textId="77777777" w:rsidR="00925C7D" w:rsidRPr="00ED0D6D" w:rsidRDefault="00925C7D" w:rsidP="00CA2F95">
            <w:pPr>
              <w:jc w:val="center"/>
              <w:rPr>
                <w:sz w:val="20"/>
              </w:rPr>
            </w:pPr>
            <w:r w:rsidRPr="00ED0D6D">
              <w:rPr>
                <w:sz w:val="20"/>
              </w:rPr>
              <w:t>77</w:t>
            </w:r>
          </w:p>
        </w:tc>
        <w:tc>
          <w:tcPr>
            <w:tcW w:w="1250" w:type="dxa"/>
            <w:shd w:val="clear" w:color="auto" w:fill="auto"/>
            <w:vAlign w:val="center"/>
          </w:tcPr>
          <w:p w14:paraId="68D1C3BD"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524F2391" w14:textId="77777777" w:rsidR="00925C7D" w:rsidRPr="00ED0D6D" w:rsidRDefault="00925C7D" w:rsidP="00CA2F95">
            <w:pPr>
              <w:jc w:val="center"/>
              <w:rPr>
                <w:sz w:val="20"/>
              </w:rPr>
            </w:pPr>
            <w:r w:rsidRPr="00ED0D6D">
              <w:rPr>
                <w:sz w:val="20"/>
              </w:rPr>
              <w:t>Lietuvos statistikos departamentas</w:t>
            </w:r>
          </w:p>
        </w:tc>
        <w:tc>
          <w:tcPr>
            <w:tcW w:w="1172" w:type="dxa"/>
            <w:shd w:val="clear" w:color="auto" w:fill="auto"/>
            <w:vAlign w:val="center"/>
          </w:tcPr>
          <w:p w14:paraId="41145FD2" w14:textId="77777777" w:rsidR="00925C7D" w:rsidRPr="00ED0D6D" w:rsidRDefault="00925C7D" w:rsidP="00CA2F95">
            <w:pPr>
              <w:jc w:val="center"/>
              <w:rPr>
                <w:sz w:val="20"/>
              </w:rPr>
            </w:pPr>
            <w:r w:rsidRPr="00ED0D6D">
              <w:rPr>
                <w:b/>
                <w:bCs/>
                <w:sz w:val="20"/>
              </w:rPr>
              <w:t>18LRVP</w:t>
            </w:r>
          </w:p>
        </w:tc>
      </w:tr>
      <w:tr w:rsidR="005D157B" w:rsidRPr="00ED0D6D" w14:paraId="12D56449" w14:textId="77777777" w:rsidTr="00CA2F95">
        <w:trPr>
          <w:trHeight w:val="504"/>
        </w:trPr>
        <w:tc>
          <w:tcPr>
            <w:tcW w:w="623" w:type="dxa"/>
            <w:shd w:val="clear" w:color="auto" w:fill="auto"/>
            <w:vAlign w:val="center"/>
          </w:tcPr>
          <w:p w14:paraId="128A63E3"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6226BC20" w14:textId="77777777" w:rsidR="00925C7D" w:rsidRPr="00ED0D6D" w:rsidRDefault="00925C7D" w:rsidP="00CA2F95">
            <w:pPr>
              <w:jc w:val="both"/>
              <w:rPr>
                <w:sz w:val="20"/>
              </w:rPr>
            </w:pPr>
            <w:r w:rsidRPr="00ED0D6D">
              <w:rPr>
                <w:sz w:val="20"/>
              </w:rPr>
              <w:t xml:space="preserve">Tikėtina vyrų sveiko gyvenimo trukmė (metai) </w:t>
            </w:r>
          </w:p>
        </w:tc>
        <w:tc>
          <w:tcPr>
            <w:tcW w:w="1080" w:type="dxa"/>
            <w:shd w:val="clear" w:color="auto" w:fill="auto"/>
            <w:noWrap/>
            <w:vAlign w:val="center"/>
          </w:tcPr>
          <w:p w14:paraId="030C0E77" w14:textId="77777777" w:rsidR="00925C7D" w:rsidRPr="00ED0D6D" w:rsidRDefault="00925C7D" w:rsidP="00CA2F95">
            <w:pPr>
              <w:jc w:val="center"/>
              <w:rPr>
                <w:sz w:val="20"/>
              </w:rPr>
            </w:pPr>
            <w:r w:rsidRPr="00ED0D6D">
              <w:rPr>
                <w:sz w:val="20"/>
              </w:rPr>
              <w:t>56,3 (2018)</w:t>
            </w:r>
          </w:p>
        </w:tc>
        <w:tc>
          <w:tcPr>
            <w:tcW w:w="1080" w:type="dxa"/>
            <w:shd w:val="clear" w:color="000000" w:fill="FFFFFF"/>
            <w:vAlign w:val="center"/>
          </w:tcPr>
          <w:p w14:paraId="0093A1DB"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3AB511FF" w14:textId="77777777" w:rsidR="00925C7D" w:rsidRPr="00ED0D6D" w:rsidRDefault="00925C7D" w:rsidP="00CA2F95">
            <w:pPr>
              <w:jc w:val="center"/>
              <w:rPr>
                <w:sz w:val="20"/>
              </w:rPr>
            </w:pPr>
            <w:r w:rsidRPr="00ED0D6D">
              <w:rPr>
                <w:sz w:val="20"/>
              </w:rPr>
              <w:t> 63,5 (2016)</w:t>
            </w:r>
          </w:p>
        </w:tc>
        <w:tc>
          <w:tcPr>
            <w:tcW w:w="983" w:type="dxa"/>
            <w:shd w:val="clear" w:color="auto" w:fill="auto"/>
            <w:vAlign w:val="center"/>
          </w:tcPr>
          <w:p w14:paraId="4F804064" w14:textId="77777777" w:rsidR="00925C7D" w:rsidRPr="00ED0D6D" w:rsidRDefault="00925C7D" w:rsidP="00CA2F95">
            <w:pPr>
              <w:jc w:val="center"/>
              <w:rPr>
                <w:sz w:val="20"/>
              </w:rPr>
            </w:pPr>
            <w:r w:rsidRPr="00ED0D6D">
              <w:rPr>
                <w:sz w:val="20"/>
              </w:rPr>
              <w:t>58,8</w:t>
            </w:r>
          </w:p>
        </w:tc>
        <w:tc>
          <w:tcPr>
            <w:tcW w:w="1250" w:type="dxa"/>
            <w:shd w:val="clear" w:color="auto" w:fill="auto"/>
            <w:noWrap/>
            <w:vAlign w:val="center"/>
          </w:tcPr>
          <w:p w14:paraId="0633247B" w14:textId="77777777" w:rsidR="00925C7D" w:rsidRPr="00ED0D6D" w:rsidRDefault="00925C7D" w:rsidP="00CA2F95">
            <w:pPr>
              <w:jc w:val="center"/>
              <w:rPr>
                <w:sz w:val="20"/>
              </w:rPr>
            </w:pPr>
            <w:r w:rsidRPr="00ED0D6D">
              <w:rPr>
                <w:sz w:val="20"/>
              </w:rPr>
              <w:t>61</w:t>
            </w:r>
          </w:p>
        </w:tc>
        <w:tc>
          <w:tcPr>
            <w:tcW w:w="1250" w:type="dxa"/>
            <w:shd w:val="clear" w:color="auto" w:fill="auto"/>
            <w:vAlign w:val="center"/>
          </w:tcPr>
          <w:p w14:paraId="730B4897" w14:textId="77777777" w:rsidR="00925C7D" w:rsidRPr="00ED0D6D" w:rsidRDefault="00925C7D" w:rsidP="00CA2F95">
            <w:pPr>
              <w:jc w:val="center"/>
              <w:rPr>
                <w:sz w:val="20"/>
              </w:rPr>
            </w:pPr>
            <w:r w:rsidRPr="00ED0D6D">
              <w:rPr>
                <w:sz w:val="20"/>
              </w:rPr>
              <w:t>62,6</w:t>
            </w:r>
          </w:p>
        </w:tc>
        <w:tc>
          <w:tcPr>
            <w:tcW w:w="2297" w:type="dxa"/>
            <w:shd w:val="clear" w:color="auto" w:fill="auto"/>
            <w:vAlign w:val="center"/>
          </w:tcPr>
          <w:p w14:paraId="12ECB4C1" w14:textId="77777777" w:rsidR="00925C7D" w:rsidRPr="00ED0D6D" w:rsidRDefault="00925C7D" w:rsidP="00CA2F95">
            <w:pPr>
              <w:jc w:val="center"/>
              <w:rPr>
                <w:sz w:val="20"/>
              </w:rPr>
            </w:pPr>
            <w:r w:rsidRPr="00ED0D6D">
              <w:rPr>
                <w:sz w:val="20"/>
              </w:rPr>
              <w:t>Lietuvos statistikos departamentas, Eurostatas</w:t>
            </w:r>
          </w:p>
        </w:tc>
        <w:tc>
          <w:tcPr>
            <w:tcW w:w="1172" w:type="dxa"/>
            <w:shd w:val="clear" w:color="auto" w:fill="auto"/>
            <w:vAlign w:val="center"/>
          </w:tcPr>
          <w:p w14:paraId="1DDF192C" w14:textId="3844CF5F" w:rsidR="00925C7D" w:rsidRPr="00ED0D6D" w:rsidRDefault="005D157B" w:rsidP="00CA2F95">
            <w:pPr>
              <w:jc w:val="center"/>
              <w:rPr>
                <w:b/>
                <w:bCs/>
                <w:sz w:val="20"/>
              </w:rPr>
            </w:pPr>
            <w:r>
              <w:rPr>
                <w:b/>
                <w:bCs/>
                <w:sz w:val="20"/>
              </w:rPr>
              <w:t xml:space="preserve">VPS2030, </w:t>
            </w:r>
            <w:r w:rsidR="00925C7D" w:rsidRPr="00ED0D6D">
              <w:rPr>
                <w:b/>
                <w:bCs/>
                <w:sz w:val="20"/>
              </w:rPr>
              <w:t xml:space="preserve">18LRVP </w:t>
            </w:r>
            <w:r w:rsidR="00925C7D" w:rsidRPr="00ED0D6D">
              <w:rPr>
                <w:sz w:val="20"/>
              </w:rPr>
              <w:t>NPP2030</w:t>
            </w:r>
          </w:p>
        </w:tc>
      </w:tr>
      <w:tr w:rsidR="005D157B" w:rsidRPr="00ED0D6D" w14:paraId="4EA5F988" w14:textId="77777777" w:rsidTr="00CA2F95">
        <w:trPr>
          <w:trHeight w:val="504"/>
        </w:trPr>
        <w:tc>
          <w:tcPr>
            <w:tcW w:w="623" w:type="dxa"/>
            <w:shd w:val="clear" w:color="auto" w:fill="auto"/>
            <w:vAlign w:val="center"/>
          </w:tcPr>
          <w:p w14:paraId="1F74F9F2"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65A57FF2" w14:textId="77777777" w:rsidR="00925C7D" w:rsidRPr="00ED0D6D" w:rsidRDefault="00925C7D" w:rsidP="00CA2F95">
            <w:pPr>
              <w:jc w:val="both"/>
              <w:rPr>
                <w:sz w:val="20"/>
              </w:rPr>
            </w:pPr>
            <w:r w:rsidRPr="00ED0D6D">
              <w:rPr>
                <w:sz w:val="20"/>
              </w:rPr>
              <w:t xml:space="preserve">Tikėtina moterų sveiko gyvenimo trukmė (metai) </w:t>
            </w:r>
          </w:p>
        </w:tc>
        <w:tc>
          <w:tcPr>
            <w:tcW w:w="1080" w:type="dxa"/>
            <w:shd w:val="clear" w:color="auto" w:fill="auto"/>
            <w:noWrap/>
            <w:vAlign w:val="center"/>
          </w:tcPr>
          <w:p w14:paraId="192A4840" w14:textId="77777777" w:rsidR="00925C7D" w:rsidRPr="00ED0D6D" w:rsidRDefault="00925C7D" w:rsidP="00CA2F95">
            <w:pPr>
              <w:jc w:val="center"/>
              <w:rPr>
                <w:sz w:val="20"/>
              </w:rPr>
            </w:pPr>
            <w:r w:rsidRPr="00ED0D6D">
              <w:rPr>
                <w:sz w:val="20"/>
              </w:rPr>
              <w:t>59,1 (2018)</w:t>
            </w:r>
          </w:p>
        </w:tc>
        <w:tc>
          <w:tcPr>
            <w:tcW w:w="1080" w:type="dxa"/>
            <w:shd w:val="clear" w:color="000000" w:fill="FFFFFF"/>
            <w:vAlign w:val="center"/>
          </w:tcPr>
          <w:p w14:paraId="062270DB"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72503E79" w14:textId="77777777" w:rsidR="00925C7D" w:rsidRPr="00ED0D6D" w:rsidRDefault="00925C7D" w:rsidP="00CA2F95">
            <w:pPr>
              <w:jc w:val="center"/>
              <w:rPr>
                <w:sz w:val="20"/>
              </w:rPr>
            </w:pPr>
            <w:r w:rsidRPr="00ED0D6D">
              <w:rPr>
                <w:sz w:val="20"/>
              </w:rPr>
              <w:t>64,2  (2016) </w:t>
            </w:r>
          </w:p>
        </w:tc>
        <w:tc>
          <w:tcPr>
            <w:tcW w:w="983" w:type="dxa"/>
            <w:shd w:val="clear" w:color="auto" w:fill="auto"/>
            <w:vAlign w:val="center"/>
          </w:tcPr>
          <w:p w14:paraId="0B799BA6" w14:textId="77777777" w:rsidR="00925C7D" w:rsidRPr="00ED0D6D" w:rsidRDefault="00925C7D" w:rsidP="00CA2F95">
            <w:pPr>
              <w:jc w:val="center"/>
              <w:rPr>
                <w:sz w:val="20"/>
              </w:rPr>
            </w:pPr>
            <w:r w:rsidRPr="00ED0D6D">
              <w:rPr>
                <w:sz w:val="20"/>
              </w:rPr>
              <w:t>62,8</w:t>
            </w:r>
          </w:p>
        </w:tc>
        <w:tc>
          <w:tcPr>
            <w:tcW w:w="1250" w:type="dxa"/>
            <w:shd w:val="clear" w:color="auto" w:fill="auto"/>
            <w:noWrap/>
            <w:vAlign w:val="center"/>
          </w:tcPr>
          <w:p w14:paraId="5354F42A" w14:textId="77777777" w:rsidR="00925C7D" w:rsidRPr="00ED0D6D" w:rsidRDefault="00925C7D" w:rsidP="00CA2F95">
            <w:pPr>
              <w:jc w:val="center"/>
              <w:rPr>
                <w:sz w:val="20"/>
              </w:rPr>
            </w:pPr>
            <w:r w:rsidRPr="00ED0D6D">
              <w:rPr>
                <w:sz w:val="20"/>
              </w:rPr>
              <w:t>64,3</w:t>
            </w:r>
          </w:p>
        </w:tc>
        <w:tc>
          <w:tcPr>
            <w:tcW w:w="1250" w:type="dxa"/>
            <w:shd w:val="clear" w:color="auto" w:fill="auto"/>
            <w:vAlign w:val="center"/>
          </w:tcPr>
          <w:p w14:paraId="7D27C652" w14:textId="77777777" w:rsidR="00925C7D" w:rsidRPr="00ED0D6D" w:rsidRDefault="00925C7D" w:rsidP="00CA2F95">
            <w:pPr>
              <w:jc w:val="center"/>
              <w:rPr>
                <w:sz w:val="20"/>
              </w:rPr>
            </w:pPr>
            <w:r w:rsidRPr="00ED0D6D">
              <w:rPr>
                <w:sz w:val="20"/>
              </w:rPr>
              <w:t>65</w:t>
            </w:r>
          </w:p>
        </w:tc>
        <w:tc>
          <w:tcPr>
            <w:tcW w:w="2297" w:type="dxa"/>
            <w:shd w:val="clear" w:color="auto" w:fill="auto"/>
            <w:vAlign w:val="center"/>
          </w:tcPr>
          <w:p w14:paraId="79F03A89" w14:textId="77777777" w:rsidR="00925C7D" w:rsidRPr="00ED0D6D" w:rsidRDefault="00925C7D" w:rsidP="00CA2F95">
            <w:pPr>
              <w:jc w:val="center"/>
              <w:rPr>
                <w:sz w:val="20"/>
              </w:rPr>
            </w:pPr>
            <w:r w:rsidRPr="00ED0D6D">
              <w:rPr>
                <w:sz w:val="20"/>
              </w:rPr>
              <w:t>Lietuvos statistikos departamentas, Eurostatas</w:t>
            </w:r>
          </w:p>
        </w:tc>
        <w:tc>
          <w:tcPr>
            <w:tcW w:w="1172" w:type="dxa"/>
            <w:shd w:val="clear" w:color="auto" w:fill="auto"/>
            <w:vAlign w:val="center"/>
          </w:tcPr>
          <w:p w14:paraId="49B69E38" w14:textId="77777777" w:rsidR="005D157B" w:rsidRDefault="005D157B" w:rsidP="00CA2F95">
            <w:pPr>
              <w:jc w:val="center"/>
              <w:rPr>
                <w:b/>
                <w:bCs/>
                <w:sz w:val="20"/>
              </w:rPr>
            </w:pPr>
            <w:r>
              <w:rPr>
                <w:b/>
                <w:bCs/>
                <w:sz w:val="20"/>
              </w:rPr>
              <w:t>VPS2030,</w:t>
            </w:r>
          </w:p>
          <w:p w14:paraId="100298A0" w14:textId="76F5AB39" w:rsidR="00925C7D" w:rsidRPr="00ED0D6D" w:rsidRDefault="00925C7D" w:rsidP="00CA2F95">
            <w:pPr>
              <w:jc w:val="center"/>
              <w:rPr>
                <w:b/>
                <w:bCs/>
                <w:sz w:val="20"/>
              </w:rPr>
            </w:pPr>
            <w:r w:rsidRPr="00ED0D6D">
              <w:rPr>
                <w:b/>
                <w:bCs/>
                <w:sz w:val="20"/>
              </w:rPr>
              <w:t xml:space="preserve">18LRVP </w:t>
            </w:r>
            <w:r w:rsidRPr="00ED0D6D">
              <w:rPr>
                <w:sz w:val="20"/>
              </w:rPr>
              <w:t>NPP2030</w:t>
            </w:r>
          </w:p>
        </w:tc>
      </w:tr>
      <w:tr w:rsidR="005D157B" w:rsidRPr="00ED0D6D" w14:paraId="59823B12" w14:textId="77777777" w:rsidTr="00CA2F95">
        <w:trPr>
          <w:trHeight w:val="504"/>
        </w:trPr>
        <w:tc>
          <w:tcPr>
            <w:tcW w:w="623" w:type="dxa"/>
            <w:shd w:val="clear" w:color="auto" w:fill="auto"/>
            <w:vAlign w:val="center"/>
          </w:tcPr>
          <w:p w14:paraId="5062B437"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75A88BB4" w14:textId="77777777" w:rsidR="00925C7D" w:rsidRPr="00ED0D6D" w:rsidRDefault="00925C7D" w:rsidP="00CA2F95">
            <w:pPr>
              <w:jc w:val="both"/>
              <w:rPr>
                <w:sz w:val="20"/>
              </w:rPr>
            </w:pPr>
            <w:r w:rsidRPr="00ED0D6D">
              <w:rPr>
                <w:sz w:val="20"/>
              </w:rPr>
              <w:t>Suaugusiųjų, kurie vertina savo sveikatą kaip gerą ir labai gerą, dalis (proc.)</w:t>
            </w:r>
          </w:p>
        </w:tc>
        <w:tc>
          <w:tcPr>
            <w:tcW w:w="1080" w:type="dxa"/>
            <w:shd w:val="clear" w:color="auto" w:fill="auto"/>
            <w:noWrap/>
            <w:vAlign w:val="center"/>
          </w:tcPr>
          <w:p w14:paraId="5E045D8B" w14:textId="77777777" w:rsidR="00925C7D" w:rsidRPr="00ED0D6D" w:rsidRDefault="00925C7D" w:rsidP="00CA2F95">
            <w:pPr>
              <w:jc w:val="center"/>
              <w:rPr>
                <w:sz w:val="20"/>
              </w:rPr>
            </w:pPr>
            <w:r w:rsidRPr="00ED0D6D">
              <w:rPr>
                <w:sz w:val="20"/>
              </w:rPr>
              <w:t>58</w:t>
            </w:r>
          </w:p>
          <w:p w14:paraId="68857FBA" w14:textId="77777777" w:rsidR="00925C7D" w:rsidRPr="00ED0D6D" w:rsidRDefault="00925C7D" w:rsidP="00CA2F95">
            <w:pPr>
              <w:jc w:val="center"/>
              <w:rPr>
                <w:sz w:val="20"/>
              </w:rPr>
            </w:pPr>
            <w:r w:rsidRPr="00ED0D6D">
              <w:rPr>
                <w:sz w:val="20"/>
              </w:rPr>
              <w:t>(2018)</w:t>
            </w:r>
          </w:p>
        </w:tc>
        <w:tc>
          <w:tcPr>
            <w:tcW w:w="1080" w:type="dxa"/>
            <w:shd w:val="clear" w:color="000000" w:fill="FFFFFF"/>
            <w:vAlign w:val="center"/>
          </w:tcPr>
          <w:p w14:paraId="6481E16D"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65B21126" w14:textId="77777777" w:rsidR="00925C7D" w:rsidRPr="00ED0D6D" w:rsidRDefault="00925C7D" w:rsidP="00CA2F95">
            <w:pPr>
              <w:jc w:val="center"/>
              <w:rPr>
                <w:sz w:val="20"/>
              </w:rPr>
            </w:pPr>
            <w:r w:rsidRPr="00ED0D6D">
              <w:rPr>
                <w:sz w:val="20"/>
              </w:rPr>
              <w:t>68,5 (2019)</w:t>
            </w:r>
          </w:p>
        </w:tc>
        <w:tc>
          <w:tcPr>
            <w:tcW w:w="983" w:type="dxa"/>
            <w:shd w:val="clear" w:color="auto" w:fill="auto"/>
            <w:vAlign w:val="center"/>
          </w:tcPr>
          <w:p w14:paraId="7B48D6FD" w14:textId="77777777" w:rsidR="00925C7D" w:rsidRPr="00ED0D6D" w:rsidRDefault="00925C7D" w:rsidP="00CA2F95">
            <w:pPr>
              <w:jc w:val="center"/>
              <w:rPr>
                <w:sz w:val="20"/>
              </w:rPr>
            </w:pPr>
            <w:r w:rsidRPr="00ED0D6D">
              <w:rPr>
                <w:sz w:val="20"/>
              </w:rPr>
              <w:t>- </w:t>
            </w:r>
          </w:p>
        </w:tc>
        <w:tc>
          <w:tcPr>
            <w:tcW w:w="1250" w:type="dxa"/>
            <w:shd w:val="clear" w:color="auto" w:fill="auto"/>
            <w:noWrap/>
            <w:vAlign w:val="center"/>
          </w:tcPr>
          <w:p w14:paraId="346C8F3D" w14:textId="77777777" w:rsidR="00925C7D" w:rsidRPr="00ED0D6D" w:rsidRDefault="00925C7D" w:rsidP="00CA2F95">
            <w:pPr>
              <w:jc w:val="center"/>
              <w:rPr>
                <w:sz w:val="20"/>
              </w:rPr>
            </w:pPr>
            <w:r w:rsidRPr="00ED0D6D">
              <w:rPr>
                <w:sz w:val="20"/>
              </w:rPr>
              <w:t>64</w:t>
            </w:r>
          </w:p>
        </w:tc>
        <w:tc>
          <w:tcPr>
            <w:tcW w:w="1250" w:type="dxa"/>
            <w:shd w:val="clear" w:color="auto" w:fill="auto"/>
            <w:vAlign w:val="center"/>
          </w:tcPr>
          <w:p w14:paraId="43BFDD38" w14:textId="77777777" w:rsidR="00925C7D" w:rsidRPr="00ED0D6D" w:rsidRDefault="00925C7D" w:rsidP="00CA2F95">
            <w:pPr>
              <w:jc w:val="center"/>
              <w:rPr>
                <w:sz w:val="20"/>
              </w:rPr>
            </w:pPr>
            <w:r w:rsidRPr="00ED0D6D">
              <w:rPr>
                <w:sz w:val="20"/>
              </w:rPr>
              <w:t>68</w:t>
            </w:r>
          </w:p>
        </w:tc>
        <w:tc>
          <w:tcPr>
            <w:tcW w:w="2297" w:type="dxa"/>
            <w:shd w:val="clear" w:color="auto" w:fill="auto"/>
            <w:vAlign w:val="center"/>
          </w:tcPr>
          <w:p w14:paraId="329680D1" w14:textId="77777777" w:rsidR="00925C7D" w:rsidRPr="00ED0D6D" w:rsidRDefault="00925C7D" w:rsidP="00CA2F95">
            <w:pPr>
              <w:jc w:val="center"/>
              <w:rPr>
                <w:sz w:val="20"/>
              </w:rPr>
            </w:pPr>
            <w:r w:rsidRPr="00ED0D6D">
              <w:rPr>
                <w:sz w:val="20"/>
              </w:rPr>
              <w:t>Higienos institutas</w:t>
            </w:r>
          </w:p>
        </w:tc>
        <w:tc>
          <w:tcPr>
            <w:tcW w:w="1172" w:type="dxa"/>
            <w:shd w:val="clear" w:color="auto" w:fill="auto"/>
            <w:vAlign w:val="center"/>
          </w:tcPr>
          <w:p w14:paraId="52D892BD" w14:textId="77777777" w:rsidR="00925C7D" w:rsidRPr="00ED0D6D" w:rsidRDefault="00925C7D" w:rsidP="00CA2F95">
            <w:pPr>
              <w:jc w:val="center"/>
              <w:rPr>
                <w:sz w:val="20"/>
              </w:rPr>
            </w:pPr>
            <w:r w:rsidRPr="00ED0D6D">
              <w:rPr>
                <w:b/>
                <w:bCs/>
                <w:sz w:val="20"/>
              </w:rPr>
              <w:t xml:space="preserve">18LRVP </w:t>
            </w:r>
            <w:r w:rsidRPr="00ED0D6D">
              <w:rPr>
                <w:sz w:val="20"/>
              </w:rPr>
              <w:t>NPP2030</w:t>
            </w:r>
          </w:p>
        </w:tc>
      </w:tr>
      <w:tr w:rsidR="005D157B" w:rsidRPr="00ED0D6D" w14:paraId="10A90824" w14:textId="77777777" w:rsidTr="00CA2F95">
        <w:trPr>
          <w:trHeight w:val="504"/>
        </w:trPr>
        <w:tc>
          <w:tcPr>
            <w:tcW w:w="623" w:type="dxa"/>
            <w:shd w:val="clear" w:color="auto" w:fill="auto"/>
            <w:vAlign w:val="center"/>
          </w:tcPr>
          <w:p w14:paraId="7420F648"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2F9512B5" w14:textId="77777777" w:rsidR="00925C7D" w:rsidRPr="00ED0D6D" w:rsidRDefault="00925C7D" w:rsidP="00CA2F95">
            <w:pPr>
              <w:jc w:val="both"/>
              <w:rPr>
                <w:sz w:val="20"/>
              </w:rPr>
            </w:pPr>
            <w:r w:rsidRPr="00ED0D6D">
              <w:rPr>
                <w:sz w:val="20"/>
              </w:rPr>
              <w:t xml:space="preserve">Mirtingumas dėl savižudybių (mirtingumo rodiklis 100 tūkst. gyventojų) (skaičius)   </w:t>
            </w:r>
          </w:p>
        </w:tc>
        <w:tc>
          <w:tcPr>
            <w:tcW w:w="1080" w:type="dxa"/>
            <w:shd w:val="clear" w:color="auto" w:fill="auto"/>
            <w:noWrap/>
            <w:vAlign w:val="center"/>
          </w:tcPr>
          <w:p w14:paraId="04FB689F" w14:textId="77777777" w:rsidR="00925C7D" w:rsidRPr="00ED0D6D" w:rsidRDefault="00925C7D" w:rsidP="00CA2F95">
            <w:pPr>
              <w:jc w:val="center"/>
              <w:rPr>
                <w:sz w:val="20"/>
              </w:rPr>
            </w:pPr>
            <w:r w:rsidRPr="00ED0D6D">
              <w:rPr>
                <w:sz w:val="20"/>
              </w:rPr>
              <w:t>23,04</w:t>
            </w:r>
          </w:p>
        </w:tc>
        <w:tc>
          <w:tcPr>
            <w:tcW w:w="1080" w:type="dxa"/>
            <w:shd w:val="clear" w:color="000000" w:fill="FFFFFF"/>
            <w:vAlign w:val="center"/>
          </w:tcPr>
          <w:p w14:paraId="3BE95E73"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02D92E95" w14:textId="77777777" w:rsidR="00925C7D" w:rsidRPr="00ED0D6D" w:rsidRDefault="00925C7D" w:rsidP="00CA2F95">
            <w:pPr>
              <w:jc w:val="center"/>
              <w:rPr>
                <w:sz w:val="20"/>
              </w:rPr>
            </w:pPr>
            <w:r w:rsidRPr="00ED0D6D">
              <w:rPr>
                <w:sz w:val="20"/>
              </w:rPr>
              <w:t> 10</w:t>
            </w:r>
          </w:p>
          <w:p w14:paraId="60DCC492" w14:textId="77777777" w:rsidR="00925C7D" w:rsidRPr="00ED0D6D" w:rsidRDefault="00925C7D" w:rsidP="00CA2F95">
            <w:pPr>
              <w:jc w:val="center"/>
              <w:rPr>
                <w:sz w:val="20"/>
              </w:rPr>
            </w:pPr>
            <w:r w:rsidRPr="00ED0D6D">
              <w:rPr>
                <w:sz w:val="20"/>
              </w:rPr>
              <w:t xml:space="preserve"> (2016)</w:t>
            </w:r>
          </w:p>
        </w:tc>
        <w:tc>
          <w:tcPr>
            <w:tcW w:w="983" w:type="dxa"/>
            <w:shd w:val="clear" w:color="auto" w:fill="auto"/>
            <w:vAlign w:val="center"/>
          </w:tcPr>
          <w:p w14:paraId="106E08F5" w14:textId="77777777" w:rsidR="00925C7D" w:rsidRPr="00ED0D6D" w:rsidRDefault="00925C7D" w:rsidP="00CA2F95">
            <w:pPr>
              <w:jc w:val="center"/>
              <w:rPr>
                <w:sz w:val="20"/>
              </w:rPr>
            </w:pPr>
            <w:r w:rsidRPr="00ED0D6D">
              <w:rPr>
                <w:sz w:val="20"/>
              </w:rPr>
              <w:t>19,5</w:t>
            </w:r>
          </w:p>
        </w:tc>
        <w:tc>
          <w:tcPr>
            <w:tcW w:w="1250" w:type="dxa"/>
            <w:shd w:val="clear" w:color="auto" w:fill="auto"/>
            <w:noWrap/>
            <w:vAlign w:val="center"/>
          </w:tcPr>
          <w:p w14:paraId="685A6968" w14:textId="77777777" w:rsidR="00925C7D" w:rsidRPr="00ED0D6D" w:rsidRDefault="00925C7D" w:rsidP="00CA2F95">
            <w:pPr>
              <w:jc w:val="center"/>
              <w:rPr>
                <w:sz w:val="20"/>
              </w:rPr>
            </w:pPr>
            <w:r w:rsidRPr="00ED0D6D">
              <w:rPr>
                <w:sz w:val="20"/>
              </w:rPr>
              <w:t>17,5</w:t>
            </w:r>
          </w:p>
        </w:tc>
        <w:tc>
          <w:tcPr>
            <w:tcW w:w="1250" w:type="dxa"/>
            <w:shd w:val="clear" w:color="auto" w:fill="auto"/>
            <w:vAlign w:val="center"/>
          </w:tcPr>
          <w:p w14:paraId="6F8AA2C7" w14:textId="77777777" w:rsidR="00925C7D" w:rsidRPr="00ED0D6D" w:rsidRDefault="00925C7D" w:rsidP="00CA2F95">
            <w:pPr>
              <w:jc w:val="center"/>
              <w:rPr>
                <w:sz w:val="20"/>
              </w:rPr>
            </w:pPr>
            <w:r w:rsidRPr="00ED0D6D">
              <w:rPr>
                <w:sz w:val="20"/>
              </w:rPr>
              <w:t>13</w:t>
            </w:r>
          </w:p>
        </w:tc>
        <w:tc>
          <w:tcPr>
            <w:tcW w:w="2297" w:type="dxa"/>
            <w:shd w:val="clear" w:color="auto" w:fill="auto"/>
            <w:vAlign w:val="center"/>
          </w:tcPr>
          <w:p w14:paraId="3493B0FE" w14:textId="77777777" w:rsidR="00925C7D" w:rsidRPr="00ED0D6D" w:rsidRDefault="00925C7D" w:rsidP="00CA2F95">
            <w:pPr>
              <w:jc w:val="center"/>
              <w:rPr>
                <w:sz w:val="20"/>
              </w:rPr>
            </w:pPr>
            <w:r w:rsidRPr="00ED0D6D">
              <w:rPr>
                <w:sz w:val="20"/>
              </w:rPr>
              <w:t>Higienos institutas </w:t>
            </w:r>
          </w:p>
        </w:tc>
        <w:tc>
          <w:tcPr>
            <w:tcW w:w="1172" w:type="dxa"/>
            <w:shd w:val="clear" w:color="auto" w:fill="auto"/>
            <w:vAlign w:val="center"/>
          </w:tcPr>
          <w:p w14:paraId="20F9CE20" w14:textId="77777777" w:rsidR="00925C7D" w:rsidRPr="00ED0D6D" w:rsidRDefault="00925C7D" w:rsidP="00CA2F95">
            <w:pPr>
              <w:jc w:val="center"/>
              <w:rPr>
                <w:sz w:val="20"/>
              </w:rPr>
            </w:pPr>
            <w:r w:rsidRPr="00ED0D6D">
              <w:rPr>
                <w:sz w:val="20"/>
              </w:rPr>
              <w:t>NPP2030</w:t>
            </w:r>
          </w:p>
          <w:p w14:paraId="2A6570E7" w14:textId="77777777" w:rsidR="00925C7D" w:rsidRPr="00ED0D6D" w:rsidRDefault="00925C7D" w:rsidP="00CA2F95">
            <w:pPr>
              <w:jc w:val="center"/>
              <w:rPr>
                <w:b/>
                <w:bCs/>
                <w:sz w:val="20"/>
              </w:rPr>
            </w:pPr>
            <w:r w:rsidRPr="00ED0D6D">
              <w:rPr>
                <w:sz w:val="20"/>
              </w:rPr>
              <w:t>17LRVP</w:t>
            </w:r>
          </w:p>
        </w:tc>
      </w:tr>
      <w:tr w:rsidR="005D157B" w:rsidRPr="00ED0D6D" w14:paraId="50C32121" w14:textId="77777777" w:rsidTr="00CA2F95">
        <w:trPr>
          <w:trHeight w:val="504"/>
        </w:trPr>
        <w:tc>
          <w:tcPr>
            <w:tcW w:w="623" w:type="dxa"/>
            <w:shd w:val="clear" w:color="auto" w:fill="auto"/>
            <w:vAlign w:val="center"/>
          </w:tcPr>
          <w:p w14:paraId="3FAA05B9"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78AA7055" w14:textId="77777777" w:rsidR="00925C7D" w:rsidRPr="00ED0D6D" w:rsidRDefault="00925C7D" w:rsidP="00CA2F95">
            <w:pPr>
              <w:jc w:val="both"/>
              <w:rPr>
                <w:sz w:val="20"/>
              </w:rPr>
            </w:pPr>
            <w:r w:rsidRPr="00ED0D6D">
              <w:rPr>
                <w:sz w:val="20"/>
              </w:rPr>
              <w:t xml:space="preserve">Alkoholio suvartojimas vienam šalies gyventojui, vyresniam nei 15 metų, litrais absoliutaus alkoholio (litrai)   </w:t>
            </w:r>
          </w:p>
        </w:tc>
        <w:tc>
          <w:tcPr>
            <w:tcW w:w="1080" w:type="dxa"/>
            <w:shd w:val="clear" w:color="auto" w:fill="auto"/>
            <w:noWrap/>
            <w:vAlign w:val="center"/>
          </w:tcPr>
          <w:p w14:paraId="3DA45CD2" w14:textId="77777777" w:rsidR="00925C7D" w:rsidRPr="00ED0D6D" w:rsidRDefault="00925C7D" w:rsidP="00CA2F95">
            <w:pPr>
              <w:jc w:val="center"/>
              <w:rPr>
                <w:sz w:val="20"/>
              </w:rPr>
            </w:pPr>
            <w:r w:rsidRPr="00ED0D6D">
              <w:rPr>
                <w:sz w:val="20"/>
              </w:rPr>
              <w:t>11,1</w:t>
            </w:r>
          </w:p>
        </w:tc>
        <w:tc>
          <w:tcPr>
            <w:tcW w:w="1080" w:type="dxa"/>
            <w:shd w:val="clear" w:color="000000" w:fill="FFFFFF"/>
            <w:vAlign w:val="center"/>
          </w:tcPr>
          <w:p w14:paraId="6589CC83"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7277B0D4" w14:textId="77777777" w:rsidR="00925C7D" w:rsidRPr="00ED0D6D" w:rsidRDefault="00925C7D" w:rsidP="00CA2F95">
            <w:pPr>
              <w:jc w:val="center"/>
              <w:rPr>
                <w:sz w:val="20"/>
              </w:rPr>
            </w:pPr>
            <w:r w:rsidRPr="00ED0D6D">
              <w:rPr>
                <w:sz w:val="20"/>
              </w:rPr>
              <w:t>10</w:t>
            </w:r>
          </w:p>
          <w:p w14:paraId="74C79CCA" w14:textId="77777777" w:rsidR="00925C7D" w:rsidRPr="00ED0D6D" w:rsidRDefault="00925C7D" w:rsidP="00CA2F95">
            <w:pPr>
              <w:jc w:val="center"/>
              <w:rPr>
                <w:sz w:val="20"/>
              </w:rPr>
            </w:pPr>
            <w:r w:rsidRPr="00ED0D6D">
              <w:rPr>
                <w:sz w:val="20"/>
              </w:rPr>
              <w:t xml:space="preserve"> (2018)</w:t>
            </w:r>
          </w:p>
        </w:tc>
        <w:tc>
          <w:tcPr>
            <w:tcW w:w="983" w:type="dxa"/>
            <w:shd w:val="clear" w:color="auto" w:fill="auto"/>
            <w:vAlign w:val="center"/>
          </w:tcPr>
          <w:p w14:paraId="28D6E141" w14:textId="77777777" w:rsidR="00925C7D" w:rsidRPr="00ED0D6D" w:rsidRDefault="00925C7D" w:rsidP="00CA2F95">
            <w:pPr>
              <w:jc w:val="center"/>
              <w:rPr>
                <w:sz w:val="20"/>
              </w:rPr>
            </w:pPr>
            <w:r w:rsidRPr="00ED0D6D">
              <w:rPr>
                <w:sz w:val="20"/>
              </w:rPr>
              <w:t>12,4</w:t>
            </w:r>
          </w:p>
        </w:tc>
        <w:tc>
          <w:tcPr>
            <w:tcW w:w="1250" w:type="dxa"/>
            <w:shd w:val="clear" w:color="auto" w:fill="auto"/>
            <w:noWrap/>
            <w:vAlign w:val="center"/>
          </w:tcPr>
          <w:p w14:paraId="568C356E" w14:textId="77777777" w:rsidR="00925C7D" w:rsidRPr="00ED0D6D" w:rsidRDefault="00925C7D" w:rsidP="00CA2F95">
            <w:pPr>
              <w:jc w:val="center"/>
              <w:rPr>
                <w:sz w:val="20"/>
              </w:rPr>
            </w:pPr>
            <w:r w:rsidRPr="00ED0D6D">
              <w:rPr>
                <w:sz w:val="20"/>
              </w:rPr>
              <w:t>8,6</w:t>
            </w:r>
          </w:p>
        </w:tc>
        <w:tc>
          <w:tcPr>
            <w:tcW w:w="1250" w:type="dxa"/>
            <w:shd w:val="clear" w:color="auto" w:fill="auto"/>
            <w:vAlign w:val="center"/>
          </w:tcPr>
          <w:p w14:paraId="5BEAAD5A" w14:textId="77777777" w:rsidR="00925C7D" w:rsidRPr="00ED0D6D" w:rsidRDefault="00925C7D" w:rsidP="00CA2F95">
            <w:pPr>
              <w:jc w:val="center"/>
              <w:rPr>
                <w:sz w:val="20"/>
              </w:rPr>
            </w:pPr>
            <w:r w:rsidRPr="00ED0D6D">
              <w:rPr>
                <w:sz w:val="20"/>
              </w:rPr>
              <w:t>7</w:t>
            </w:r>
          </w:p>
        </w:tc>
        <w:tc>
          <w:tcPr>
            <w:tcW w:w="2297" w:type="dxa"/>
            <w:shd w:val="clear" w:color="auto" w:fill="auto"/>
            <w:vAlign w:val="center"/>
          </w:tcPr>
          <w:p w14:paraId="55094137" w14:textId="77777777" w:rsidR="00925C7D" w:rsidRPr="00ED0D6D" w:rsidRDefault="00925C7D" w:rsidP="00CA2F95">
            <w:pPr>
              <w:jc w:val="center"/>
              <w:rPr>
                <w:sz w:val="20"/>
              </w:rPr>
            </w:pPr>
            <w:r w:rsidRPr="00ED0D6D">
              <w:rPr>
                <w:sz w:val="20"/>
              </w:rPr>
              <w:t>Lietuvos statistikos departamentas</w:t>
            </w:r>
          </w:p>
        </w:tc>
        <w:tc>
          <w:tcPr>
            <w:tcW w:w="1172" w:type="dxa"/>
            <w:shd w:val="clear" w:color="auto" w:fill="auto"/>
            <w:vAlign w:val="center"/>
          </w:tcPr>
          <w:p w14:paraId="5F17CDEB" w14:textId="77777777" w:rsidR="00925C7D" w:rsidRPr="00ED0D6D" w:rsidRDefault="00925C7D" w:rsidP="00CA2F95">
            <w:pPr>
              <w:jc w:val="center"/>
              <w:rPr>
                <w:sz w:val="20"/>
              </w:rPr>
            </w:pPr>
            <w:r w:rsidRPr="00ED0D6D">
              <w:rPr>
                <w:sz w:val="20"/>
              </w:rPr>
              <w:t>NPP2030</w:t>
            </w:r>
          </w:p>
          <w:p w14:paraId="2F43A2A3" w14:textId="77777777" w:rsidR="00925C7D" w:rsidRPr="00ED0D6D" w:rsidRDefault="00925C7D" w:rsidP="00CA2F95">
            <w:pPr>
              <w:jc w:val="center"/>
              <w:rPr>
                <w:sz w:val="20"/>
              </w:rPr>
            </w:pPr>
            <w:r w:rsidRPr="00ED0D6D">
              <w:rPr>
                <w:sz w:val="20"/>
              </w:rPr>
              <w:t>17LRVP</w:t>
            </w:r>
          </w:p>
        </w:tc>
      </w:tr>
      <w:tr w:rsidR="005D157B" w:rsidRPr="00ED0D6D" w14:paraId="050900BC" w14:textId="77777777" w:rsidTr="00CA2F95">
        <w:trPr>
          <w:trHeight w:val="504"/>
        </w:trPr>
        <w:tc>
          <w:tcPr>
            <w:tcW w:w="623" w:type="dxa"/>
            <w:shd w:val="clear" w:color="auto" w:fill="auto"/>
            <w:vAlign w:val="center"/>
          </w:tcPr>
          <w:p w14:paraId="68DAC7A0"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2C2940C2" w14:textId="77777777" w:rsidR="00925C7D" w:rsidRPr="00ED0D6D" w:rsidRDefault="00925C7D" w:rsidP="00CA2F95">
            <w:pPr>
              <w:jc w:val="both"/>
              <w:rPr>
                <w:sz w:val="20"/>
              </w:rPr>
            </w:pPr>
            <w:r w:rsidRPr="00ED0D6D">
              <w:rPr>
                <w:sz w:val="20"/>
              </w:rPr>
              <w:t xml:space="preserve">Slaugytojų (įskaitant akušerius), tenkančių vienam gydytojui, skaičiaus didėjimas (vienetai)   </w:t>
            </w:r>
          </w:p>
        </w:tc>
        <w:tc>
          <w:tcPr>
            <w:tcW w:w="1080" w:type="dxa"/>
            <w:shd w:val="clear" w:color="auto" w:fill="auto"/>
            <w:noWrap/>
            <w:vAlign w:val="center"/>
          </w:tcPr>
          <w:p w14:paraId="45A62114" w14:textId="77777777" w:rsidR="00925C7D" w:rsidRPr="00ED0D6D" w:rsidRDefault="00925C7D" w:rsidP="00CA2F95">
            <w:pPr>
              <w:jc w:val="center"/>
              <w:rPr>
                <w:sz w:val="20"/>
              </w:rPr>
            </w:pPr>
            <w:r w:rsidRPr="00ED0D6D">
              <w:rPr>
                <w:sz w:val="20"/>
              </w:rPr>
              <w:t>1,8</w:t>
            </w:r>
          </w:p>
        </w:tc>
        <w:tc>
          <w:tcPr>
            <w:tcW w:w="1080" w:type="dxa"/>
            <w:shd w:val="clear" w:color="000000" w:fill="FFFFFF"/>
            <w:vAlign w:val="center"/>
          </w:tcPr>
          <w:p w14:paraId="114FC480"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3C3219DF" w14:textId="77777777" w:rsidR="00925C7D" w:rsidRPr="00ED0D6D" w:rsidRDefault="00925C7D" w:rsidP="00CA2F95">
            <w:pPr>
              <w:jc w:val="center"/>
              <w:rPr>
                <w:sz w:val="20"/>
              </w:rPr>
            </w:pPr>
            <w:r w:rsidRPr="00ED0D6D">
              <w:rPr>
                <w:sz w:val="20"/>
              </w:rPr>
              <w:t>-</w:t>
            </w:r>
          </w:p>
        </w:tc>
        <w:tc>
          <w:tcPr>
            <w:tcW w:w="983" w:type="dxa"/>
            <w:shd w:val="clear" w:color="auto" w:fill="auto"/>
            <w:vAlign w:val="center"/>
          </w:tcPr>
          <w:p w14:paraId="691762C4" w14:textId="77777777" w:rsidR="00925C7D" w:rsidRPr="00ED0D6D" w:rsidRDefault="00925C7D" w:rsidP="00CA2F95">
            <w:pPr>
              <w:jc w:val="center"/>
              <w:rPr>
                <w:sz w:val="20"/>
              </w:rPr>
            </w:pPr>
            <w:r w:rsidRPr="00ED0D6D">
              <w:rPr>
                <w:sz w:val="20"/>
              </w:rPr>
              <w:t>2</w:t>
            </w:r>
          </w:p>
        </w:tc>
        <w:tc>
          <w:tcPr>
            <w:tcW w:w="1250" w:type="dxa"/>
            <w:shd w:val="clear" w:color="auto" w:fill="auto"/>
            <w:noWrap/>
            <w:vAlign w:val="center"/>
          </w:tcPr>
          <w:p w14:paraId="4134E27A" w14:textId="77777777" w:rsidR="00925C7D" w:rsidRPr="00ED0D6D" w:rsidRDefault="00925C7D" w:rsidP="00CA2F95">
            <w:pPr>
              <w:jc w:val="center"/>
              <w:rPr>
                <w:sz w:val="20"/>
              </w:rPr>
            </w:pPr>
            <w:r w:rsidRPr="00ED0D6D">
              <w:rPr>
                <w:sz w:val="20"/>
              </w:rPr>
              <w:t>2,1</w:t>
            </w:r>
          </w:p>
        </w:tc>
        <w:tc>
          <w:tcPr>
            <w:tcW w:w="1250" w:type="dxa"/>
            <w:shd w:val="clear" w:color="auto" w:fill="auto"/>
            <w:vAlign w:val="center"/>
          </w:tcPr>
          <w:p w14:paraId="24E14407" w14:textId="77777777" w:rsidR="00925C7D" w:rsidRPr="00ED0D6D" w:rsidRDefault="00925C7D" w:rsidP="00CA2F95">
            <w:pPr>
              <w:jc w:val="center"/>
              <w:rPr>
                <w:sz w:val="20"/>
              </w:rPr>
            </w:pPr>
            <w:r w:rsidRPr="00ED0D6D">
              <w:rPr>
                <w:sz w:val="20"/>
              </w:rPr>
              <w:t>2,5</w:t>
            </w:r>
          </w:p>
        </w:tc>
        <w:tc>
          <w:tcPr>
            <w:tcW w:w="2297" w:type="dxa"/>
            <w:shd w:val="clear" w:color="auto" w:fill="auto"/>
            <w:vAlign w:val="center"/>
          </w:tcPr>
          <w:p w14:paraId="70FB94FC" w14:textId="77777777" w:rsidR="00925C7D" w:rsidRPr="00ED0D6D" w:rsidRDefault="00925C7D" w:rsidP="00CA2F95">
            <w:pPr>
              <w:jc w:val="center"/>
              <w:rPr>
                <w:sz w:val="20"/>
              </w:rPr>
            </w:pPr>
            <w:r w:rsidRPr="00ED0D6D">
              <w:rPr>
                <w:sz w:val="20"/>
              </w:rPr>
              <w:t>Higienos institutas </w:t>
            </w:r>
          </w:p>
        </w:tc>
        <w:tc>
          <w:tcPr>
            <w:tcW w:w="1172" w:type="dxa"/>
            <w:shd w:val="clear" w:color="auto" w:fill="auto"/>
            <w:vAlign w:val="center"/>
          </w:tcPr>
          <w:p w14:paraId="7E8F7C95" w14:textId="77777777" w:rsidR="00925C7D" w:rsidRPr="00ED0D6D" w:rsidRDefault="00925C7D" w:rsidP="00CA2F95">
            <w:pPr>
              <w:jc w:val="center"/>
              <w:rPr>
                <w:sz w:val="20"/>
              </w:rPr>
            </w:pPr>
            <w:r w:rsidRPr="00ED0D6D">
              <w:rPr>
                <w:sz w:val="20"/>
              </w:rPr>
              <w:t>NPP2030</w:t>
            </w:r>
          </w:p>
          <w:p w14:paraId="61AB55D7" w14:textId="77777777" w:rsidR="00925C7D" w:rsidRPr="00ED0D6D" w:rsidRDefault="00925C7D" w:rsidP="00CA2F95">
            <w:pPr>
              <w:jc w:val="center"/>
              <w:rPr>
                <w:b/>
                <w:bCs/>
                <w:sz w:val="20"/>
              </w:rPr>
            </w:pPr>
            <w:r w:rsidRPr="00ED0D6D">
              <w:rPr>
                <w:sz w:val="20"/>
              </w:rPr>
              <w:t>17LRVP</w:t>
            </w:r>
          </w:p>
        </w:tc>
      </w:tr>
      <w:tr w:rsidR="005D157B" w:rsidRPr="00ED0D6D" w14:paraId="6C28F872" w14:textId="77777777" w:rsidTr="00CA2F95">
        <w:trPr>
          <w:trHeight w:val="504"/>
        </w:trPr>
        <w:tc>
          <w:tcPr>
            <w:tcW w:w="623" w:type="dxa"/>
            <w:shd w:val="clear" w:color="auto" w:fill="auto"/>
            <w:vAlign w:val="center"/>
          </w:tcPr>
          <w:p w14:paraId="456DE7CA"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246212C4" w14:textId="77777777" w:rsidR="00925C7D" w:rsidRPr="00ED0D6D" w:rsidRDefault="00925C7D" w:rsidP="00CA2F95">
            <w:pPr>
              <w:jc w:val="both"/>
              <w:rPr>
                <w:sz w:val="20"/>
              </w:rPr>
            </w:pPr>
            <w:r w:rsidRPr="00ED0D6D">
              <w:rPr>
                <w:sz w:val="20"/>
              </w:rPr>
              <w:t xml:space="preserve">Mirtingumas nuo kraujotakos sistemos ligų, standartizuoto mirtingumo rodiklis 100 tūkst. gyventojų (tūkst. </w:t>
            </w:r>
            <w:proofErr w:type="spellStart"/>
            <w:r w:rsidRPr="00ED0D6D">
              <w:rPr>
                <w:sz w:val="20"/>
              </w:rPr>
              <w:t>žm</w:t>
            </w:r>
            <w:proofErr w:type="spellEnd"/>
            <w:r w:rsidRPr="00ED0D6D">
              <w:rPr>
                <w:sz w:val="20"/>
              </w:rPr>
              <w:t xml:space="preserve">.) </w:t>
            </w:r>
          </w:p>
        </w:tc>
        <w:tc>
          <w:tcPr>
            <w:tcW w:w="1080" w:type="dxa"/>
            <w:shd w:val="clear" w:color="auto" w:fill="auto"/>
            <w:noWrap/>
            <w:vAlign w:val="center"/>
          </w:tcPr>
          <w:p w14:paraId="6176AFA2" w14:textId="77777777" w:rsidR="00925C7D" w:rsidRPr="00ED0D6D" w:rsidRDefault="00925C7D" w:rsidP="00CA2F95">
            <w:pPr>
              <w:jc w:val="center"/>
              <w:rPr>
                <w:sz w:val="20"/>
              </w:rPr>
            </w:pPr>
            <w:r w:rsidRPr="00ED0D6D">
              <w:rPr>
                <w:sz w:val="20"/>
              </w:rPr>
              <w:t>733</w:t>
            </w:r>
          </w:p>
        </w:tc>
        <w:tc>
          <w:tcPr>
            <w:tcW w:w="1080" w:type="dxa"/>
            <w:shd w:val="clear" w:color="000000" w:fill="FFFFFF"/>
            <w:vAlign w:val="center"/>
          </w:tcPr>
          <w:p w14:paraId="213CD02A"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350AADD4" w14:textId="77777777" w:rsidR="00925C7D" w:rsidRPr="00ED0D6D" w:rsidRDefault="00925C7D" w:rsidP="00CA2F95">
            <w:pPr>
              <w:jc w:val="center"/>
              <w:rPr>
                <w:sz w:val="20"/>
              </w:rPr>
            </w:pPr>
            <w:r w:rsidRPr="00ED0D6D">
              <w:rPr>
                <w:sz w:val="20"/>
              </w:rPr>
              <w:t>290,14 (2017) </w:t>
            </w:r>
          </w:p>
        </w:tc>
        <w:tc>
          <w:tcPr>
            <w:tcW w:w="983" w:type="dxa"/>
            <w:shd w:val="clear" w:color="auto" w:fill="auto"/>
            <w:vAlign w:val="center"/>
          </w:tcPr>
          <w:p w14:paraId="75BB7E4C" w14:textId="77777777" w:rsidR="00925C7D" w:rsidRPr="00ED0D6D" w:rsidRDefault="00925C7D" w:rsidP="00CA2F95">
            <w:pPr>
              <w:jc w:val="center"/>
              <w:rPr>
                <w:sz w:val="20"/>
              </w:rPr>
            </w:pPr>
            <w:r w:rsidRPr="00ED0D6D">
              <w:rPr>
                <w:sz w:val="20"/>
              </w:rPr>
              <w:t>800</w:t>
            </w:r>
          </w:p>
        </w:tc>
        <w:tc>
          <w:tcPr>
            <w:tcW w:w="1250" w:type="dxa"/>
            <w:shd w:val="clear" w:color="auto" w:fill="auto"/>
            <w:noWrap/>
            <w:vAlign w:val="center"/>
          </w:tcPr>
          <w:p w14:paraId="34E9131C"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6C8EE96B"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419D9C51" w14:textId="77777777" w:rsidR="00925C7D" w:rsidRPr="00ED0D6D" w:rsidRDefault="00925C7D" w:rsidP="00CA2F95">
            <w:pPr>
              <w:jc w:val="center"/>
              <w:rPr>
                <w:sz w:val="20"/>
              </w:rPr>
            </w:pPr>
            <w:r w:rsidRPr="00ED0D6D">
              <w:rPr>
                <w:sz w:val="20"/>
              </w:rPr>
              <w:t> Higienos institutas</w:t>
            </w:r>
          </w:p>
        </w:tc>
        <w:tc>
          <w:tcPr>
            <w:tcW w:w="1172" w:type="dxa"/>
            <w:shd w:val="clear" w:color="auto" w:fill="auto"/>
            <w:vAlign w:val="center"/>
          </w:tcPr>
          <w:p w14:paraId="56829F60" w14:textId="77777777" w:rsidR="00925C7D" w:rsidRPr="00ED0D6D" w:rsidRDefault="00925C7D" w:rsidP="00CA2F95">
            <w:pPr>
              <w:jc w:val="center"/>
              <w:rPr>
                <w:sz w:val="20"/>
              </w:rPr>
            </w:pPr>
            <w:r w:rsidRPr="00ED0D6D">
              <w:rPr>
                <w:sz w:val="20"/>
              </w:rPr>
              <w:t>17LRVP</w:t>
            </w:r>
          </w:p>
        </w:tc>
      </w:tr>
      <w:tr w:rsidR="005D157B" w:rsidRPr="00ED0D6D" w14:paraId="5FE9904C" w14:textId="77777777" w:rsidTr="00CA2F95">
        <w:trPr>
          <w:trHeight w:val="368"/>
        </w:trPr>
        <w:tc>
          <w:tcPr>
            <w:tcW w:w="623" w:type="dxa"/>
            <w:shd w:val="clear" w:color="auto" w:fill="auto"/>
            <w:vAlign w:val="center"/>
            <w:hideMark/>
          </w:tcPr>
          <w:p w14:paraId="7AD00DB2"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1AAA4F3E" w14:textId="77777777" w:rsidR="00925C7D" w:rsidRPr="00ED0D6D" w:rsidRDefault="00925C7D" w:rsidP="00CA2F95">
            <w:pPr>
              <w:jc w:val="both"/>
              <w:rPr>
                <w:sz w:val="20"/>
              </w:rPr>
            </w:pPr>
            <w:r w:rsidRPr="00ED0D6D">
              <w:rPr>
                <w:sz w:val="20"/>
              </w:rPr>
              <w:t xml:space="preserve">Mirtingumas nuo piktybinių navikų, standartizuoto mirtingumo rodiklis 100 tūkst. gyventojų (tūkst. </w:t>
            </w:r>
            <w:proofErr w:type="spellStart"/>
            <w:r w:rsidRPr="00ED0D6D">
              <w:rPr>
                <w:sz w:val="20"/>
              </w:rPr>
              <w:t>žm</w:t>
            </w:r>
            <w:proofErr w:type="spellEnd"/>
            <w:r w:rsidRPr="00ED0D6D">
              <w:rPr>
                <w:sz w:val="20"/>
              </w:rPr>
              <w:t xml:space="preserve">.) </w:t>
            </w:r>
          </w:p>
        </w:tc>
        <w:tc>
          <w:tcPr>
            <w:tcW w:w="1080" w:type="dxa"/>
            <w:shd w:val="clear" w:color="000000" w:fill="FFFFFF"/>
            <w:vAlign w:val="center"/>
          </w:tcPr>
          <w:p w14:paraId="12AEAE74" w14:textId="77777777" w:rsidR="00925C7D" w:rsidRPr="00ED0D6D" w:rsidRDefault="00925C7D" w:rsidP="00CA2F95">
            <w:pPr>
              <w:jc w:val="center"/>
              <w:rPr>
                <w:sz w:val="20"/>
              </w:rPr>
            </w:pPr>
            <w:r w:rsidRPr="00ED0D6D">
              <w:rPr>
                <w:sz w:val="20"/>
              </w:rPr>
              <w:t>273,53</w:t>
            </w:r>
          </w:p>
        </w:tc>
        <w:tc>
          <w:tcPr>
            <w:tcW w:w="1080" w:type="dxa"/>
            <w:shd w:val="clear" w:color="auto" w:fill="auto"/>
            <w:noWrap/>
            <w:vAlign w:val="center"/>
          </w:tcPr>
          <w:p w14:paraId="52676311"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63507597" w14:textId="77777777" w:rsidR="00925C7D" w:rsidRPr="00ED0D6D" w:rsidRDefault="00925C7D" w:rsidP="00CA2F95">
            <w:pPr>
              <w:jc w:val="center"/>
              <w:rPr>
                <w:sz w:val="20"/>
              </w:rPr>
            </w:pPr>
            <w:r w:rsidRPr="00ED0D6D">
              <w:rPr>
                <w:sz w:val="20"/>
              </w:rPr>
              <w:t> 270,93 (2017)</w:t>
            </w:r>
          </w:p>
        </w:tc>
        <w:tc>
          <w:tcPr>
            <w:tcW w:w="983" w:type="dxa"/>
            <w:shd w:val="clear" w:color="auto" w:fill="auto"/>
            <w:vAlign w:val="center"/>
          </w:tcPr>
          <w:p w14:paraId="20BC09B5" w14:textId="77777777" w:rsidR="00925C7D" w:rsidRPr="00ED0D6D" w:rsidRDefault="00925C7D" w:rsidP="00CA2F95">
            <w:pPr>
              <w:jc w:val="center"/>
              <w:rPr>
                <w:sz w:val="20"/>
              </w:rPr>
            </w:pPr>
            <w:r w:rsidRPr="00ED0D6D">
              <w:rPr>
                <w:sz w:val="20"/>
              </w:rPr>
              <w:t>278</w:t>
            </w:r>
          </w:p>
        </w:tc>
        <w:tc>
          <w:tcPr>
            <w:tcW w:w="1250" w:type="dxa"/>
            <w:shd w:val="clear" w:color="auto" w:fill="auto"/>
            <w:noWrap/>
            <w:vAlign w:val="center"/>
          </w:tcPr>
          <w:p w14:paraId="68CD3526"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237CEF30"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0AF0CBFF" w14:textId="77777777" w:rsidR="00925C7D" w:rsidRPr="00ED0D6D" w:rsidRDefault="00925C7D" w:rsidP="00CA2F95">
            <w:pPr>
              <w:jc w:val="center"/>
              <w:rPr>
                <w:sz w:val="20"/>
              </w:rPr>
            </w:pPr>
            <w:r w:rsidRPr="00ED0D6D">
              <w:rPr>
                <w:sz w:val="20"/>
              </w:rPr>
              <w:t> Higienos institutas</w:t>
            </w:r>
          </w:p>
        </w:tc>
        <w:tc>
          <w:tcPr>
            <w:tcW w:w="1172" w:type="dxa"/>
            <w:shd w:val="clear" w:color="auto" w:fill="auto"/>
            <w:vAlign w:val="center"/>
          </w:tcPr>
          <w:p w14:paraId="52CEBB05" w14:textId="77777777" w:rsidR="00925C7D" w:rsidRPr="00ED0D6D" w:rsidRDefault="00925C7D" w:rsidP="00CA2F95">
            <w:pPr>
              <w:jc w:val="center"/>
              <w:rPr>
                <w:i/>
                <w:iCs/>
                <w:sz w:val="20"/>
              </w:rPr>
            </w:pPr>
            <w:r w:rsidRPr="00ED0D6D">
              <w:rPr>
                <w:sz w:val="20"/>
              </w:rPr>
              <w:t>17LRVP</w:t>
            </w:r>
          </w:p>
        </w:tc>
      </w:tr>
      <w:tr w:rsidR="005D157B" w:rsidRPr="00ED0D6D" w14:paraId="09023227" w14:textId="77777777" w:rsidTr="00CA2F95">
        <w:trPr>
          <w:trHeight w:val="305"/>
        </w:trPr>
        <w:tc>
          <w:tcPr>
            <w:tcW w:w="623" w:type="dxa"/>
            <w:shd w:val="clear" w:color="auto" w:fill="auto"/>
            <w:vAlign w:val="center"/>
            <w:hideMark/>
          </w:tcPr>
          <w:p w14:paraId="1E519984"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3B7B11A1" w14:textId="77777777" w:rsidR="00925C7D" w:rsidRPr="00ED0D6D" w:rsidRDefault="00925C7D" w:rsidP="00CA2F95">
            <w:pPr>
              <w:jc w:val="both"/>
              <w:rPr>
                <w:sz w:val="20"/>
              </w:rPr>
            </w:pPr>
            <w:r w:rsidRPr="00ED0D6D">
              <w:rPr>
                <w:sz w:val="20"/>
              </w:rPr>
              <w:t xml:space="preserve">Šeimos gydytojų skaičius 10 tūkst. gyventojų (vienetai) </w:t>
            </w:r>
          </w:p>
        </w:tc>
        <w:tc>
          <w:tcPr>
            <w:tcW w:w="1080" w:type="dxa"/>
            <w:shd w:val="clear" w:color="000000" w:fill="FFFFFF"/>
            <w:vAlign w:val="center"/>
          </w:tcPr>
          <w:p w14:paraId="7B601B8F" w14:textId="77777777" w:rsidR="00925C7D" w:rsidRPr="00ED0D6D" w:rsidRDefault="00925C7D" w:rsidP="00CA2F95">
            <w:pPr>
              <w:jc w:val="center"/>
              <w:rPr>
                <w:sz w:val="20"/>
              </w:rPr>
            </w:pPr>
            <w:r w:rsidRPr="00ED0D6D">
              <w:rPr>
                <w:sz w:val="20"/>
              </w:rPr>
              <w:t>7,5</w:t>
            </w:r>
          </w:p>
        </w:tc>
        <w:tc>
          <w:tcPr>
            <w:tcW w:w="1080" w:type="dxa"/>
            <w:shd w:val="clear" w:color="auto" w:fill="auto"/>
            <w:noWrap/>
            <w:vAlign w:val="center"/>
          </w:tcPr>
          <w:p w14:paraId="310E477E"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0BD98112" w14:textId="77777777" w:rsidR="00925C7D" w:rsidRPr="00ED0D6D" w:rsidRDefault="00925C7D" w:rsidP="00CA2F95">
            <w:pPr>
              <w:jc w:val="center"/>
              <w:rPr>
                <w:sz w:val="20"/>
              </w:rPr>
            </w:pPr>
            <w:r w:rsidRPr="00ED0D6D">
              <w:rPr>
                <w:sz w:val="20"/>
              </w:rPr>
              <w:t>-</w:t>
            </w:r>
          </w:p>
        </w:tc>
        <w:tc>
          <w:tcPr>
            <w:tcW w:w="983" w:type="dxa"/>
            <w:shd w:val="clear" w:color="auto" w:fill="auto"/>
            <w:vAlign w:val="center"/>
          </w:tcPr>
          <w:p w14:paraId="32395047" w14:textId="77777777" w:rsidR="00925C7D" w:rsidRPr="00ED0D6D" w:rsidRDefault="00925C7D" w:rsidP="00CA2F95">
            <w:pPr>
              <w:jc w:val="center"/>
              <w:rPr>
                <w:sz w:val="20"/>
              </w:rPr>
            </w:pPr>
            <w:r w:rsidRPr="00ED0D6D">
              <w:rPr>
                <w:sz w:val="20"/>
              </w:rPr>
              <w:t>8</w:t>
            </w:r>
          </w:p>
        </w:tc>
        <w:tc>
          <w:tcPr>
            <w:tcW w:w="1250" w:type="dxa"/>
            <w:shd w:val="clear" w:color="auto" w:fill="auto"/>
            <w:noWrap/>
            <w:vAlign w:val="center"/>
          </w:tcPr>
          <w:p w14:paraId="5BC98B3C"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5DEF55A9"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41B61E91" w14:textId="77777777" w:rsidR="00925C7D" w:rsidRPr="00ED0D6D" w:rsidRDefault="00925C7D" w:rsidP="00CA2F95">
            <w:pPr>
              <w:jc w:val="center"/>
              <w:rPr>
                <w:sz w:val="20"/>
              </w:rPr>
            </w:pPr>
            <w:r w:rsidRPr="00ED0D6D">
              <w:rPr>
                <w:sz w:val="20"/>
              </w:rPr>
              <w:t>Higienos institutas </w:t>
            </w:r>
          </w:p>
        </w:tc>
        <w:tc>
          <w:tcPr>
            <w:tcW w:w="1172" w:type="dxa"/>
            <w:shd w:val="clear" w:color="auto" w:fill="auto"/>
            <w:vAlign w:val="center"/>
          </w:tcPr>
          <w:p w14:paraId="02BF8948" w14:textId="77777777" w:rsidR="00925C7D" w:rsidRPr="00ED0D6D" w:rsidRDefault="00925C7D" w:rsidP="00CA2F95">
            <w:pPr>
              <w:jc w:val="center"/>
              <w:rPr>
                <w:i/>
                <w:iCs/>
                <w:sz w:val="20"/>
              </w:rPr>
            </w:pPr>
            <w:r w:rsidRPr="00ED0D6D">
              <w:rPr>
                <w:sz w:val="20"/>
              </w:rPr>
              <w:t>17LRVP</w:t>
            </w:r>
          </w:p>
        </w:tc>
      </w:tr>
      <w:tr w:rsidR="005D157B" w:rsidRPr="00ED0D6D" w14:paraId="4D96F250" w14:textId="77777777" w:rsidTr="00CA2F95">
        <w:trPr>
          <w:trHeight w:val="540"/>
        </w:trPr>
        <w:tc>
          <w:tcPr>
            <w:tcW w:w="623" w:type="dxa"/>
            <w:shd w:val="clear" w:color="auto" w:fill="auto"/>
            <w:vAlign w:val="center"/>
            <w:hideMark/>
          </w:tcPr>
          <w:p w14:paraId="344AAEFA"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30278F1E" w14:textId="77777777" w:rsidR="00925C7D" w:rsidRPr="00ED0D6D" w:rsidRDefault="00925C7D" w:rsidP="00CA2F95">
            <w:pPr>
              <w:jc w:val="both"/>
              <w:rPr>
                <w:sz w:val="20"/>
              </w:rPr>
            </w:pPr>
            <w:r w:rsidRPr="00ED0D6D">
              <w:rPr>
                <w:sz w:val="20"/>
              </w:rPr>
              <w:t xml:space="preserve">Pacientų dalis, dėl planinės pagalbos patenkanti pas šeimos gydytoją per 7 kalendorines dienas (proc.)   </w:t>
            </w:r>
          </w:p>
        </w:tc>
        <w:tc>
          <w:tcPr>
            <w:tcW w:w="1080" w:type="dxa"/>
            <w:shd w:val="clear" w:color="000000" w:fill="FFFFFF"/>
            <w:vAlign w:val="center"/>
          </w:tcPr>
          <w:p w14:paraId="78AA487A" w14:textId="77777777" w:rsidR="00925C7D" w:rsidRPr="00ED0D6D" w:rsidRDefault="00925C7D" w:rsidP="00CA2F95">
            <w:pPr>
              <w:jc w:val="center"/>
              <w:rPr>
                <w:sz w:val="20"/>
              </w:rPr>
            </w:pPr>
            <w:r w:rsidRPr="00ED0D6D">
              <w:rPr>
                <w:sz w:val="20"/>
              </w:rPr>
              <w:t>79</w:t>
            </w:r>
          </w:p>
        </w:tc>
        <w:tc>
          <w:tcPr>
            <w:tcW w:w="1080" w:type="dxa"/>
            <w:shd w:val="clear" w:color="000000" w:fill="FFFFFF"/>
            <w:vAlign w:val="center"/>
          </w:tcPr>
          <w:p w14:paraId="37AB58F5" w14:textId="77777777" w:rsidR="00925C7D" w:rsidRPr="00ED0D6D" w:rsidRDefault="00925C7D" w:rsidP="00CA2F95">
            <w:pPr>
              <w:jc w:val="center"/>
              <w:rPr>
                <w:sz w:val="20"/>
              </w:rPr>
            </w:pPr>
            <w:r w:rsidRPr="00ED0D6D">
              <w:rPr>
                <w:sz w:val="20"/>
              </w:rPr>
              <w:t xml:space="preserve">91 </w:t>
            </w:r>
          </w:p>
        </w:tc>
        <w:tc>
          <w:tcPr>
            <w:tcW w:w="1150" w:type="dxa"/>
            <w:shd w:val="clear" w:color="auto" w:fill="auto"/>
            <w:vAlign w:val="center"/>
          </w:tcPr>
          <w:p w14:paraId="43808F23" w14:textId="77777777" w:rsidR="00925C7D" w:rsidRPr="00ED0D6D" w:rsidRDefault="00925C7D" w:rsidP="00CA2F95">
            <w:pPr>
              <w:jc w:val="center"/>
              <w:rPr>
                <w:sz w:val="20"/>
              </w:rPr>
            </w:pPr>
            <w:r w:rsidRPr="00ED0D6D">
              <w:rPr>
                <w:sz w:val="20"/>
              </w:rPr>
              <w:t>- </w:t>
            </w:r>
          </w:p>
        </w:tc>
        <w:tc>
          <w:tcPr>
            <w:tcW w:w="983" w:type="dxa"/>
            <w:shd w:val="clear" w:color="auto" w:fill="auto"/>
            <w:vAlign w:val="center"/>
          </w:tcPr>
          <w:p w14:paraId="36000D47" w14:textId="77777777" w:rsidR="00925C7D" w:rsidRPr="00ED0D6D" w:rsidRDefault="00925C7D" w:rsidP="00CA2F95">
            <w:pPr>
              <w:jc w:val="center"/>
              <w:rPr>
                <w:sz w:val="20"/>
              </w:rPr>
            </w:pPr>
            <w:r w:rsidRPr="00ED0D6D">
              <w:rPr>
                <w:sz w:val="20"/>
              </w:rPr>
              <w:t>100</w:t>
            </w:r>
          </w:p>
        </w:tc>
        <w:tc>
          <w:tcPr>
            <w:tcW w:w="1250" w:type="dxa"/>
            <w:shd w:val="clear" w:color="auto" w:fill="auto"/>
            <w:vAlign w:val="center"/>
          </w:tcPr>
          <w:p w14:paraId="3B0A3549"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11AAF8DB"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67199A09" w14:textId="77777777" w:rsidR="00925C7D" w:rsidRPr="00ED0D6D" w:rsidRDefault="00925C7D" w:rsidP="00CA2F95">
            <w:pPr>
              <w:jc w:val="center"/>
              <w:rPr>
                <w:sz w:val="20"/>
              </w:rPr>
            </w:pPr>
            <w:r w:rsidRPr="00ED0D6D">
              <w:rPr>
                <w:sz w:val="20"/>
              </w:rPr>
              <w:t> Valstybinė ligonių kasa</w:t>
            </w:r>
          </w:p>
        </w:tc>
        <w:tc>
          <w:tcPr>
            <w:tcW w:w="1172" w:type="dxa"/>
            <w:shd w:val="clear" w:color="auto" w:fill="auto"/>
            <w:vAlign w:val="center"/>
          </w:tcPr>
          <w:p w14:paraId="5C37391D" w14:textId="77777777" w:rsidR="00925C7D" w:rsidRPr="00ED0D6D" w:rsidRDefault="00925C7D" w:rsidP="00CA2F95">
            <w:pPr>
              <w:jc w:val="center"/>
              <w:rPr>
                <w:sz w:val="20"/>
              </w:rPr>
            </w:pPr>
            <w:r w:rsidRPr="00ED0D6D">
              <w:rPr>
                <w:sz w:val="20"/>
              </w:rPr>
              <w:t>17LRVP</w:t>
            </w:r>
          </w:p>
        </w:tc>
      </w:tr>
      <w:tr w:rsidR="005D157B" w:rsidRPr="00ED0D6D" w14:paraId="18BE32EC" w14:textId="77777777" w:rsidTr="00CA2F95">
        <w:trPr>
          <w:trHeight w:val="323"/>
        </w:trPr>
        <w:tc>
          <w:tcPr>
            <w:tcW w:w="623" w:type="dxa"/>
            <w:shd w:val="clear" w:color="auto" w:fill="auto"/>
            <w:vAlign w:val="center"/>
            <w:hideMark/>
          </w:tcPr>
          <w:p w14:paraId="32DACCAB" w14:textId="77777777" w:rsidR="00925C7D" w:rsidRPr="00ED0D6D" w:rsidRDefault="00925C7D" w:rsidP="00816260">
            <w:pPr>
              <w:pStyle w:val="Sraopastraipa"/>
              <w:numPr>
                <w:ilvl w:val="0"/>
                <w:numId w:val="11"/>
              </w:numPr>
              <w:ind w:left="0" w:firstLine="0"/>
              <w:jc w:val="center"/>
              <w:rPr>
                <w:rFonts w:ascii="Times New Roman" w:hAnsi="Times New Roman"/>
                <w:sz w:val="20"/>
                <w:szCs w:val="20"/>
              </w:rPr>
            </w:pPr>
          </w:p>
        </w:tc>
        <w:tc>
          <w:tcPr>
            <w:tcW w:w="4682" w:type="dxa"/>
            <w:shd w:val="clear" w:color="auto" w:fill="auto"/>
            <w:vAlign w:val="center"/>
          </w:tcPr>
          <w:p w14:paraId="0EEA7B4A" w14:textId="77777777" w:rsidR="00925C7D" w:rsidRPr="00ED0D6D" w:rsidRDefault="00925C7D" w:rsidP="00CA2F95">
            <w:pPr>
              <w:jc w:val="both"/>
              <w:rPr>
                <w:sz w:val="20"/>
              </w:rPr>
            </w:pPr>
            <w:r w:rsidRPr="00ED0D6D">
              <w:rPr>
                <w:sz w:val="20"/>
              </w:rPr>
              <w:t xml:space="preserve">Pacientų, gavusių antrinės ir tretinės ambulatorinės asmens sveikatos priežiūros paslaugą ne vėliau kaip per 30 kalendorinių dienų, dalis (proc.)   </w:t>
            </w:r>
          </w:p>
        </w:tc>
        <w:tc>
          <w:tcPr>
            <w:tcW w:w="1080" w:type="dxa"/>
            <w:shd w:val="clear" w:color="000000" w:fill="FFFFFF"/>
            <w:vAlign w:val="center"/>
          </w:tcPr>
          <w:p w14:paraId="54887E14" w14:textId="77777777" w:rsidR="00925C7D" w:rsidRPr="00ED0D6D" w:rsidRDefault="00925C7D" w:rsidP="00CA2F95">
            <w:pPr>
              <w:jc w:val="center"/>
              <w:rPr>
                <w:sz w:val="20"/>
              </w:rPr>
            </w:pPr>
            <w:r w:rsidRPr="00ED0D6D">
              <w:rPr>
                <w:sz w:val="20"/>
              </w:rPr>
              <w:t>86</w:t>
            </w:r>
          </w:p>
        </w:tc>
        <w:tc>
          <w:tcPr>
            <w:tcW w:w="1080" w:type="dxa"/>
            <w:shd w:val="clear" w:color="000000" w:fill="FFFFFF"/>
            <w:vAlign w:val="center"/>
          </w:tcPr>
          <w:p w14:paraId="1359A7F3" w14:textId="77777777" w:rsidR="00925C7D" w:rsidRPr="00ED0D6D" w:rsidRDefault="00925C7D" w:rsidP="00CA2F95">
            <w:pPr>
              <w:jc w:val="center"/>
              <w:rPr>
                <w:sz w:val="20"/>
              </w:rPr>
            </w:pPr>
            <w:r w:rsidRPr="00ED0D6D">
              <w:rPr>
                <w:sz w:val="20"/>
              </w:rPr>
              <w:t xml:space="preserve">87 </w:t>
            </w:r>
          </w:p>
        </w:tc>
        <w:tc>
          <w:tcPr>
            <w:tcW w:w="1150" w:type="dxa"/>
            <w:shd w:val="clear" w:color="auto" w:fill="auto"/>
            <w:vAlign w:val="center"/>
          </w:tcPr>
          <w:p w14:paraId="718CD138" w14:textId="77777777" w:rsidR="00925C7D" w:rsidRPr="00ED0D6D" w:rsidRDefault="00925C7D" w:rsidP="00CA2F95">
            <w:pPr>
              <w:jc w:val="center"/>
              <w:rPr>
                <w:sz w:val="20"/>
              </w:rPr>
            </w:pPr>
            <w:r w:rsidRPr="00ED0D6D">
              <w:rPr>
                <w:sz w:val="20"/>
              </w:rPr>
              <w:t>- </w:t>
            </w:r>
          </w:p>
        </w:tc>
        <w:tc>
          <w:tcPr>
            <w:tcW w:w="983" w:type="dxa"/>
            <w:shd w:val="clear" w:color="auto" w:fill="auto"/>
            <w:vAlign w:val="center"/>
          </w:tcPr>
          <w:p w14:paraId="4243372C" w14:textId="77777777" w:rsidR="00925C7D" w:rsidRPr="00ED0D6D" w:rsidRDefault="00925C7D" w:rsidP="00CA2F95">
            <w:pPr>
              <w:jc w:val="center"/>
              <w:rPr>
                <w:sz w:val="20"/>
              </w:rPr>
            </w:pPr>
            <w:r w:rsidRPr="00ED0D6D">
              <w:rPr>
                <w:sz w:val="20"/>
              </w:rPr>
              <w:t>100</w:t>
            </w:r>
          </w:p>
        </w:tc>
        <w:tc>
          <w:tcPr>
            <w:tcW w:w="1250" w:type="dxa"/>
            <w:shd w:val="clear" w:color="auto" w:fill="auto"/>
            <w:vAlign w:val="center"/>
          </w:tcPr>
          <w:p w14:paraId="27A86721"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02893628"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64EF55D9" w14:textId="77777777" w:rsidR="00925C7D" w:rsidRPr="00ED0D6D" w:rsidRDefault="00925C7D" w:rsidP="00CA2F95">
            <w:pPr>
              <w:jc w:val="center"/>
              <w:rPr>
                <w:sz w:val="20"/>
              </w:rPr>
            </w:pPr>
            <w:r w:rsidRPr="00ED0D6D">
              <w:rPr>
                <w:sz w:val="20"/>
              </w:rPr>
              <w:t>Valstybinė ligonių kasa </w:t>
            </w:r>
          </w:p>
        </w:tc>
        <w:tc>
          <w:tcPr>
            <w:tcW w:w="1172" w:type="dxa"/>
            <w:shd w:val="clear" w:color="auto" w:fill="auto"/>
            <w:vAlign w:val="center"/>
          </w:tcPr>
          <w:p w14:paraId="4CBD6450" w14:textId="77777777" w:rsidR="00925C7D" w:rsidRPr="00ED0D6D" w:rsidRDefault="00925C7D" w:rsidP="00CA2F95">
            <w:pPr>
              <w:jc w:val="center"/>
              <w:rPr>
                <w:sz w:val="20"/>
              </w:rPr>
            </w:pPr>
            <w:r w:rsidRPr="00ED0D6D">
              <w:rPr>
                <w:sz w:val="20"/>
              </w:rPr>
              <w:t>17LRVP</w:t>
            </w:r>
          </w:p>
        </w:tc>
      </w:tr>
      <w:tr w:rsidR="005D157B" w:rsidRPr="00ED0D6D" w14:paraId="001CA7BC" w14:textId="77777777" w:rsidTr="00CA2F95">
        <w:trPr>
          <w:trHeight w:val="359"/>
        </w:trPr>
        <w:tc>
          <w:tcPr>
            <w:tcW w:w="623" w:type="dxa"/>
            <w:shd w:val="clear" w:color="auto" w:fill="auto"/>
            <w:vAlign w:val="center"/>
            <w:hideMark/>
          </w:tcPr>
          <w:p w14:paraId="53B443C0" w14:textId="77777777" w:rsidR="00925C7D" w:rsidRPr="00ED0D6D" w:rsidRDefault="00925C7D" w:rsidP="00816260">
            <w:pPr>
              <w:pStyle w:val="Sraopastraipa"/>
              <w:numPr>
                <w:ilvl w:val="0"/>
                <w:numId w:val="11"/>
              </w:numPr>
              <w:ind w:left="0" w:firstLine="0"/>
              <w:jc w:val="center"/>
              <w:rPr>
                <w:rFonts w:ascii="Times New Roman" w:hAnsi="Times New Roman"/>
                <w:sz w:val="20"/>
                <w:szCs w:val="20"/>
              </w:rPr>
            </w:pPr>
          </w:p>
        </w:tc>
        <w:tc>
          <w:tcPr>
            <w:tcW w:w="4682" w:type="dxa"/>
            <w:shd w:val="clear" w:color="auto" w:fill="auto"/>
            <w:vAlign w:val="center"/>
          </w:tcPr>
          <w:p w14:paraId="4598098C" w14:textId="77777777" w:rsidR="00925C7D" w:rsidRPr="00ED0D6D" w:rsidRDefault="00925C7D" w:rsidP="00CA2F95">
            <w:pPr>
              <w:jc w:val="both"/>
              <w:rPr>
                <w:sz w:val="20"/>
              </w:rPr>
            </w:pPr>
            <w:r w:rsidRPr="00ED0D6D">
              <w:rPr>
                <w:sz w:val="20"/>
              </w:rPr>
              <w:t xml:space="preserve">Aktyvaus gydymo lovų skaičius 100 tūkst. gyventojų (vienetai)   </w:t>
            </w:r>
          </w:p>
        </w:tc>
        <w:tc>
          <w:tcPr>
            <w:tcW w:w="1080" w:type="dxa"/>
            <w:shd w:val="clear" w:color="000000" w:fill="FFFFFF"/>
            <w:vAlign w:val="center"/>
          </w:tcPr>
          <w:p w14:paraId="74B30FCE" w14:textId="77777777" w:rsidR="00925C7D" w:rsidRPr="00ED0D6D" w:rsidRDefault="00925C7D" w:rsidP="00CA2F95">
            <w:pPr>
              <w:jc w:val="center"/>
              <w:rPr>
                <w:sz w:val="20"/>
              </w:rPr>
            </w:pPr>
            <w:r w:rsidRPr="00ED0D6D">
              <w:rPr>
                <w:sz w:val="20"/>
              </w:rPr>
              <w:t>453</w:t>
            </w:r>
          </w:p>
        </w:tc>
        <w:tc>
          <w:tcPr>
            <w:tcW w:w="1080" w:type="dxa"/>
            <w:shd w:val="clear" w:color="000000" w:fill="FFFFFF"/>
            <w:vAlign w:val="center"/>
          </w:tcPr>
          <w:p w14:paraId="14724AC6" w14:textId="77777777" w:rsidR="00925C7D" w:rsidRPr="00ED0D6D" w:rsidRDefault="00925C7D" w:rsidP="00CA2F95">
            <w:pPr>
              <w:jc w:val="center"/>
              <w:rPr>
                <w:sz w:val="20"/>
              </w:rPr>
            </w:pPr>
            <w:r w:rsidRPr="00ED0D6D">
              <w:rPr>
                <w:sz w:val="20"/>
              </w:rPr>
              <w:t>431,6</w:t>
            </w:r>
          </w:p>
        </w:tc>
        <w:tc>
          <w:tcPr>
            <w:tcW w:w="1150" w:type="dxa"/>
            <w:shd w:val="clear" w:color="auto" w:fill="auto"/>
            <w:vAlign w:val="center"/>
          </w:tcPr>
          <w:p w14:paraId="7FAB47FF" w14:textId="77777777" w:rsidR="00925C7D" w:rsidRPr="00ED0D6D" w:rsidRDefault="00925C7D" w:rsidP="00CA2F95">
            <w:pPr>
              <w:jc w:val="center"/>
              <w:rPr>
                <w:sz w:val="20"/>
              </w:rPr>
            </w:pPr>
            <w:r w:rsidRPr="00ED0D6D">
              <w:rPr>
                <w:sz w:val="20"/>
              </w:rPr>
              <w:t>392</w:t>
            </w:r>
          </w:p>
        </w:tc>
        <w:tc>
          <w:tcPr>
            <w:tcW w:w="983" w:type="dxa"/>
            <w:shd w:val="clear" w:color="auto" w:fill="auto"/>
            <w:vAlign w:val="center"/>
          </w:tcPr>
          <w:p w14:paraId="68F5F912" w14:textId="77777777" w:rsidR="00925C7D" w:rsidRPr="00ED0D6D" w:rsidRDefault="00925C7D" w:rsidP="00CA2F95">
            <w:pPr>
              <w:jc w:val="center"/>
              <w:rPr>
                <w:sz w:val="20"/>
              </w:rPr>
            </w:pPr>
            <w:r w:rsidRPr="00ED0D6D">
              <w:rPr>
                <w:sz w:val="20"/>
              </w:rPr>
              <w:t>460</w:t>
            </w:r>
          </w:p>
        </w:tc>
        <w:tc>
          <w:tcPr>
            <w:tcW w:w="1250" w:type="dxa"/>
            <w:shd w:val="clear" w:color="auto" w:fill="auto"/>
            <w:vAlign w:val="center"/>
          </w:tcPr>
          <w:p w14:paraId="3F61160F"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0A981438"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074C68DC" w14:textId="77777777" w:rsidR="00925C7D" w:rsidRPr="00ED0D6D" w:rsidRDefault="00925C7D" w:rsidP="00CA2F95">
            <w:pPr>
              <w:jc w:val="center"/>
              <w:rPr>
                <w:sz w:val="20"/>
              </w:rPr>
            </w:pPr>
            <w:r w:rsidRPr="00ED0D6D">
              <w:rPr>
                <w:sz w:val="20"/>
              </w:rPr>
              <w:t>Higienos institutas </w:t>
            </w:r>
          </w:p>
        </w:tc>
        <w:tc>
          <w:tcPr>
            <w:tcW w:w="1172" w:type="dxa"/>
            <w:shd w:val="clear" w:color="auto" w:fill="auto"/>
            <w:vAlign w:val="center"/>
          </w:tcPr>
          <w:p w14:paraId="195F8276" w14:textId="77777777" w:rsidR="00925C7D" w:rsidRPr="00ED0D6D" w:rsidRDefault="00925C7D" w:rsidP="00CA2F95">
            <w:pPr>
              <w:jc w:val="center"/>
              <w:rPr>
                <w:sz w:val="20"/>
              </w:rPr>
            </w:pPr>
            <w:r w:rsidRPr="00ED0D6D">
              <w:rPr>
                <w:sz w:val="20"/>
              </w:rPr>
              <w:t>17LRVP</w:t>
            </w:r>
          </w:p>
        </w:tc>
      </w:tr>
      <w:tr w:rsidR="005D157B" w:rsidRPr="00ED0D6D" w14:paraId="4ADA1ADB" w14:textId="77777777" w:rsidTr="00CA2F95">
        <w:trPr>
          <w:trHeight w:val="440"/>
        </w:trPr>
        <w:tc>
          <w:tcPr>
            <w:tcW w:w="623" w:type="dxa"/>
            <w:shd w:val="clear" w:color="000000" w:fill="FFFFFF"/>
            <w:vAlign w:val="center"/>
            <w:hideMark/>
          </w:tcPr>
          <w:p w14:paraId="665B99FB"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000000" w:fill="FFFFFF"/>
            <w:vAlign w:val="center"/>
          </w:tcPr>
          <w:p w14:paraId="632F2559" w14:textId="77777777" w:rsidR="00925C7D" w:rsidRPr="00ED0D6D" w:rsidRDefault="00925C7D" w:rsidP="00CA2F95">
            <w:pPr>
              <w:jc w:val="both"/>
              <w:rPr>
                <w:sz w:val="20"/>
              </w:rPr>
            </w:pPr>
            <w:r w:rsidRPr="00ED0D6D">
              <w:rPr>
                <w:sz w:val="20"/>
              </w:rPr>
              <w:t xml:space="preserve">Aktyvaus gydymo lovų funkcionavimas (proc.)   </w:t>
            </w:r>
          </w:p>
        </w:tc>
        <w:tc>
          <w:tcPr>
            <w:tcW w:w="1080" w:type="dxa"/>
            <w:shd w:val="clear" w:color="000000" w:fill="FFFFFF"/>
            <w:vAlign w:val="center"/>
          </w:tcPr>
          <w:p w14:paraId="22B8B687" w14:textId="77777777" w:rsidR="00925C7D" w:rsidRPr="00ED0D6D" w:rsidRDefault="00925C7D" w:rsidP="00CA2F95">
            <w:pPr>
              <w:jc w:val="center"/>
              <w:rPr>
                <w:sz w:val="20"/>
              </w:rPr>
            </w:pPr>
            <w:r w:rsidRPr="00ED0D6D">
              <w:rPr>
                <w:sz w:val="20"/>
              </w:rPr>
              <w:t>75,3</w:t>
            </w:r>
          </w:p>
        </w:tc>
        <w:tc>
          <w:tcPr>
            <w:tcW w:w="1080" w:type="dxa"/>
            <w:shd w:val="clear" w:color="000000" w:fill="FFFFFF"/>
            <w:vAlign w:val="center"/>
          </w:tcPr>
          <w:p w14:paraId="233F21CD" w14:textId="77777777" w:rsidR="00925C7D" w:rsidRPr="00ED0D6D" w:rsidRDefault="00925C7D" w:rsidP="00CA2F95">
            <w:pPr>
              <w:jc w:val="center"/>
              <w:rPr>
                <w:sz w:val="20"/>
              </w:rPr>
            </w:pPr>
            <w:r w:rsidRPr="00ED0D6D">
              <w:rPr>
                <w:sz w:val="20"/>
              </w:rPr>
              <w:t>58</w:t>
            </w:r>
          </w:p>
        </w:tc>
        <w:tc>
          <w:tcPr>
            <w:tcW w:w="1150" w:type="dxa"/>
            <w:shd w:val="clear" w:color="auto" w:fill="auto"/>
            <w:vAlign w:val="center"/>
          </w:tcPr>
          <w:p w14:paraId="48007742" w14:textId="77777777" w:rsidR="00925C7D" w:rsidRPr="00ED0D6D" w:rsidRDefault="00925C7D" w:rsidP="00CA2F95">
            <w:pPr>
              <w:jc w:val="center"/>
              <w:rPr>
                <w:sz w:val="20"/>
              </w:rPr>
            </w:pPr>
            <w:r w:rsidRPr="00ED0D6D">
              <w:rPr>
                <w:sz w:val="20"/>
              </w:rPr>
              <w:t>73,5 </w:t>
            </w:r>
          </w:p>
          <w:p w14:paraId="54EC0B3F" w14:textId="77777777" w:rsidR="00925C7D" w:rsidRPr="00ED0D6D" w:rsidRDefault="00925C7D" w:rsidP="00CA2F95">
            <w:pPr>
              <w:jc w:val="center"/>
              <w:rPr>
                <w:sz w:val="20"/>
              </w:rPr>
            </w:pPr>
            <w:r w:rsidRPr="00ED0D6D">
              <w:rPr>
                <w:sz w:val="20"/>
              </w:rPr>
              <w:t>(2018)</w:t>
            </w:r>
          </w:p>
        </w:tc>
        <w:tc>
          <w:tcPr>
            <w:tcW w:w="983" w:type="dxa"/>
            <w:shd w:val="clear" w:color="000000" w:fill="FFFFFF"/>
            <w:vAlign w:val="center"/>
          </w:tcPr>
          <w:p w14:paraId="7E785BC8" w14:textId="77777777" w:rsidR="00925C7D" w:rsidRPr="00ED0D6D" w:rsidRDefault="00925C7D" w:rsidP="00CA2F95">
            <w:pPr>
              <w:jc w:val="center"/>
              <w:rPr>
                <w:sz w:val="20"/>
              </w:rPr>
            </w:pPr>
            <w:r w:rsidRPr="00ED0D6D">
              <w:rPr>
                <w:sz w:val="20"/>
              </w:rPr>
              <w:t>80</w:t>
            </w:r>
          </w:p>
        </w:tc>
        <w:tc>
          <w:tcPr>
            <w:tcW w:w="1250" w:type="dxa"/>
            <w:shd w:val="clear" w:color="000000" w:fill="FFFFFF"/>
            <w:vAlign w:val="center"/>
          </w:tcPr>
          <w:p w14:paraId="6A65F713" w14:textId="77777777" w:rsidR="00925C7D" w:rsidRPr="00ED0D6D" w:rsidRDefault="00925C7D" w:rsidP="00CA2F95">
            <w:pPr>
              <w:jc w:val="center"/>
              <w:rPr>
                <w:sz w:val="20"/>
              </w:rPr>
            </w:pPr>
            <w:r w:rsidRPr="00ED0D6D">
              <w:rPr>
                <w:sz w:val="20"/>
              </w:rPr>
              <w:t>- </w:t>
            </w:r>
          </w:p>
        </w:tc>
        <w:tc>
          <w:tcPr>
            <w:tcW w:w="1250" w:type="dxa"/>
            <w:shd w:val="clear" w:color="000000" w:fill="FFFFFF"/>
            <w:vAlign w:val="center"/>
          </w:tcPr>
          <w:p w14:paraId="64C471A3" w14:textId="77777777" w:rsidR="00925C7D" w:rsidRPr="00ED0D6D" w:rsidRDefault="00925C7D" w:rsidP="00CA2F95">
            <w:pPr>
              <w:jc w:val="center"/>
              <w:rPr>
                <w:sz w:val="20"/>
              </w:rPr>
            </w:pPr>
            <w:r w:rsidRPr="00ED0D6D">
              <w:rPr>
                <w:sz w:val="20"/>
              </w:rPr>
              <w:t>- </w:t>
            </w:r>
          </w:p>
        </w:tc>
        <w:tc>
          <w:tcPr>
            <w:tcW w:w="2297" w:type="dxa"/>
            <w:shd w:val="clear" w:color="000000" w:fill="FFFFFF"/>
            <w:vAlign w:val="center"/>
          </w:tcPr>
          <w:p w14:paraId="5F485CF8" w14:textId="77777777" w:rsidR="00925C7D" w:rsidRPr="00ED0D6D" w:rsidRDefault="00925C7D" w:rsidP="00CA2F95">
            <w:pPr>
              <w:jc w:val="center"/>
              <w:rPr>
                <w:sz w:val="20"/>
              </w:rPr>
            </w:pPr>
            <w:r w:rsidRPr="00ED0D6D">
              <w:rPr>
                <w:sz w:val="20"/>
              </w:rPr>
              <w:t>Higienos institutas </w:t>
            </w:r>
          </w:p>
        </w:tc>
        <w:tc>
          <w:tcPr>
            <w:tcW w:w="1172" w:type="dxa"/>
            <w:shd w:val="clear" w:color="auto" w:fill="auto"/>
            <w:vAlign w:val="center"/>
          </w:tcPr>
          <w:p w14:paraId="76237F5D" w14:textId="77777777" w:rsidR="00925C7D" w:rsidRPr="00ED0D6D" w:rsidRDefault="00925C7D" w:rsidP="00CA2F95">
            <w:pPr>
              <w:jc w:val="center"/>
              <w:rPr>
                <w:sz w:val="20"/>
              </w:rPr>
            </w:pPr>
            <w:r w:rsidRPr="00ED0D6D">
              <w:rPr>
                <w:sz w:val="20"/>
              </w:rPr>
              <w:t>17LRVP</w:t>
            </w:r>
          </w:p>
        </w:tc>
      </w:tr>
      <w:tr w:rsidR="005D157B" w:rsidRPr="00ED0D6D" w14:paraId="4312D027" w14:textId="77777777" w:rsidTr="00CA2F95">
        <w:trPr>
          <w:trHeight w:val="431"/>
        </w:trPr>
        <w:tc>
          <w:tcPr>
            <w:tcW w:w="623" w:type="dxa"/>
            <w:shd w:val="clear" w:color="000000" w:fill="FFFFFF"/>
            <w:vAlign w:val="center"/>
            <w:hideMark/>
          </w:tcPr>
          <w:p w14:paraId="2C451801"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000000" w:fill="FFFFFF"/>
            <w:vAlign w:val="center"/>
          </w:tcPr>
          <w:p w14:paraId="71B6AD09" w14:textId="77777777" w:rsidR="00925C7D" w:rsidRPr="00ED0D6D" w:rsidRDefault="00925C7D" w:rsidP="00CA2F95">
            <w:pPr>
              <w:jc w:val="both"/>
              <w:rPr>
                <w:sz w:val="20"/>
              </w:rPr>
            </w:pPr>
            <w:r w:rsidRPr="00ED0D6D">
              <w:rPr>
                <w:sz w:val="20"/>
              </w:rPr>
              <w:t xml:space="preserve">Paciento išlaidų kompensuojamiesiems vaistams mažėjimas lyginant šių išlaidų procentinę dalį nuo visų išlaidų kompensuojamiesiems vaistams su valstybės išlaidų procentine dalimi (proc.)   </w:t>
            </w:r>
          </w:p>
        </w:tc>
        <w:tc>
          <w:tcPr>
            <w:tcW w:w="1080" w:type="dxa"/>
            <w:shd w:val="clear" w:color="000000" w:fill="FFFFFF"/>
            <w:vAlign w:val="center"/>
          </w:tcPr>
          <w:p w14:paraId="081927D6" w14:textId="77777777" w:rsidR="00925C7D" w:rsidRPr="00ED0D6D" w:rsidRDefault="00925C7D" w:rsidP="00CA2F95">
            <w:pPr>
              <w:jc w:val="center"/>
              <w:rPr>
                <w:sz w:val="20"/>
              </w:rPr>
            </w:pPr>
            <w:r w:rsidRPr="00ED0D6D">
              <w:rPr>
                <w:sz w:val="20"/>
              </w:rPr>
              <w:t>6,76</w:t>
            </w:r>
          </w:p>
        </w:tc>
        <w:tc>
          <w:tcPr>
            <w:tcW w:w="1080" w:type="dxa"/>
            <w:shd w:val="clear" w:color="000000" w:fill="FFFFFF"/>
            <w:vAlign w:val="center"/>
          </w:tcPr>
          <w:p w14:paraId="4819F011" w14:textId="77777777" w:rsidR="00925C7D" w:rsidRPr="00ED0D6D" w:rsidRDefault="00925C7D" w:rsidP="00CA2F95">
            <w:pPr>
              <w:jc w:val="center"/>
              <w:rPr>
                <w:sz w:val="20"/>
              </w:rPr>
            </w:pPr>
            <w:r w:rsidRPr="00ED0D6D">
              <w:rPr>
                <w:sz w:val="20"/>
              </w:rPr>
              <w:t>6,1</w:t>
            </w:r>
          </w:p>
        </w:tc>
        <w:tc>
          <w:tcPr>
            <w:tcW w:w="1150" w:type="dxa"/>
            <w:shd w:val="clear" w:color="auto" w:fill="auto"/>
            <w:vAlign w:val="center"/>
          </w:tcPr>
          <w:p w14:paraId="261BA647" w14:textId="77777777" w:rsidR="00925C7D" w:rsidRPr="00ED0D6D" w:rsidRDefault="00925C7D" w:rsidP="00CA2F95">
            <w:pPr>
              <w:jc w:val="center"/>
              <w:rPr>
                <w:sz w:val="20"/>
              </w:rPr>
            </w:pPr>
            <w:r w:rsidRPr="00ED0D6D">
              <w:rPr>
                <w:sz w:val="20"/>
              </w:rPr>
              <w:t>- </w:t>
            </w:r>
          </w:p>
        </w:tc>
        <w:tc>
          <w:tcPr>
            <w:tcW w:w="983" w:type="dxa"/>
            <w:shd w:val="clear" w:color="000000" w:fill="FFFFFF"/>
            <w:vAlign w:val="center"/>
          </w:tcPr>
          <w:p w14:paraId="0DC6AD11" w14:textId="77777777" w:rsidR="00925C7D" w:rsidRPr="00ED0D6D" w:rsidRDefault="00925C7D" w:rsidP="00CA2F95">
            <w:pPr>
              <w:jc w:val="center"/>
              <w:rPr>
                <w:sz w:val="20"/>
              </w:rPr>
            </w:pPr>
            <w:r w:rsidRPr="00ED0D6D">
              <w:rPr>
                <w:sz w:val="20"/>
              </w:rPr>
              <w:t>10</w:t>
            </w:r>
          </w:p>
        </w:tc>
        <w:tc>
          <w:tcPr>
            <w:tcW w:w="1250" w:type="dxa"/>
            <w:shd w:val="clear" w:color="000000" w:fill="FFFFFF"/>
            <w:vAlign w:val="center"/>
          </w:tcPr>
          <w:p w14:paraId="19EA0C4A" w14:textId="77777777" w:rsidR="00925C7D" w:rsidRPr="00ED0D6D" w:rsidRDefault="00925C7D" w:rsidP="00CA2F95">
            <w:pPr>
              <w:jc w:val="center"/>
              <w:rPr>
                <w:sz w:val="20"/>
              </w:rPr>
            </w:pPr>
            <w:r w:rsidRPr="00ED0D6D">
              <w:rPr>
                <w:sz w:val="20"/>
              </w:rPr>
              <w:t>- </w:t>
            </w:r>
          </w:p>
        </w:tc>
        <w:tc>
          <w:tcPr>
            <w:tcW w:w="1250" w:type="dxa"/>
            <w:shd w:val="clear" w:color="000000" w:fill="FFFFFF"/>
            <w:vAlign w:val="center"/>
          </w:tcPr>
          <w:p w14:paraId="42E645AE" w14:textId="77777777" w:rsidR="00925C7D" w:rsidRPr="00ED0D6D" w:rsidRDefault="00925C7D" w:rsidP="00CA2F95">
            <w:pPr>
              <w:jc w:val="center"/>
              <w:rPr>
                <w:sz w:val="20"/>
              </w:rPr>
            </w:pPr>
            <w:r w:rsidRPr="00ED0D6D">
              <w:rPr>
                <w:sz w:val="20"/>
              </w:rPr>
              <w:t>- </w:t>
            </w:r>
          </w:p>
        </w:tc>
        <w:tc>
          <w:tcPr>
            <w:tcW w:w="2297" w:type="dxa"/>
            <w:shd w:val="clear" w:color="000000" w:fill="FFFFFF"/>
            <w:vAlign w:val="center"/>
          </w:tcPr>
          <w:p w14:paraId="170BF30A" w14:textId="77777777" w:rsidR="00925C7D" w:rsidRPr="00ED0D6D" w:rsidRDefault="00925C7D" w:rsidP="00CA2F95">
            <w:pPr>
              <w:jc w:val="center"/>
              <w:rPr>
                <w:sz w:val="20"/>
              </w:rPr>
            </w:pPr>
            <w:r w:rsidRPr="00ED0D6D">
              <w:rPr>
                <w:sz w:val="20"/>
              </w:rPr>
              <w:t>Valstybinė ligonių kasa </w:t>
            </w:r>
          </w:p>
        </w:tc>
        <w:tc>
          <w:tcPr>
            <w:tcW w:w="1172" w:type="dxa"/>
            <w:shd w:val="clear" w:color="auto" w:fill="auto"/>
            <w:vAlign w:val="center"/>
          </w:tcPr>
          <w:p w14:paraId="40777D68" w14:textId="77777777" w:rsidR="00925C7D" w:rsidRPr="00ED0D6D" w:rsidRDefault="00925C7D" w:rsidP="00CA2F95">
            <w:pPr>
              <w:jc w:val="center"/>
              <w:rPr>
                <w:sz w:val="20"/>
              </w:rPr>
            </w:pPr>
            <w:r w:rsidRPr="00ED0D6D">
              <w:rPr>
                <w:sz w:val="20"/>
              </w:rPr>
              <w:t>17LRVP</w:t>
            </w:r>
          </w:p>
        </w:tc>
      </w:tr>
      <w:tr w:rsidR="005D157B" w:rsidRPr="00ED0D6D" w14:paraId="362F5EC6" w14:textId="77777777" w:rsidTr="00CA2F95">
        <w:trPr>
          <w:trHeight w:val="408"/>
        </w:trPr>
        <w:tc>
          <w:tcPr>
            <w:tcW w:w="623" w:type="dxa"/>
            <w:shd w:val="clear" w:color="000000" w:fill="FFFFFF"/>
            <w:vAlign w:val="center"/>
            <w:hideMark/>
          </w:tcPr>
          <w:p w14:paraId="43C84C0C"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000000" w:fill="FFFFFF"/>
            <w:vAlign w:val="center"/>
          </w:tcPr>
          <w:p w14:paraId="761A4711" w14:textId="77777777" w:rsidR="00925C7D" w:rsidRPr="00ED0D6D" w:rsidRDefault="00925C7D" w:rsidP="00CA2F95">
            <w:pPr>
              <w:jc w:val="both"/>
              <w:rPr>
                <w:sz w:val="20"/>
              </w:rPr>
            </w:pPr>
            <w:r w:rsidRPr="00ED0D6D">
              <w:rPr>
                <w:sz w:val="20"/>
              </w:rPr>
              <w:t xml:space="preserve">Slaugos ir kitas sveikatinimo paslaugas gaunančių vyresnio amžiaus asmenų (65+) savo namuose ir </w:t>
            </w:r>
            <w:r w:rsidRPr="00ED0D6D">
              <w:rPr>
                <w:sz w:val="20"/>
              </w:rPr>
              <w:lastRenderedPageBreak/>
              <w:t xml:space="preserve">stacionarinėse institucijose procentas nuo bendro vyresnio amžiaus asmenų (65+) skaičiaus (proc.)   </w:t>
            </w:r>
          </w:p>
        </w:tc>
        <w:tc>
          <w:tcPr>
            <w:tcW w:w="1080" w:type="dxa"/>
            <w:shd w:val="clear" w:color="000000" w:fill="FFFFFF"/>
            <w:vAlign w:val="center"/>
          </w:tcPr>
          <w:p w14:paraId="692547CA" w14:textId="77777777" w:rsidR="00925C7D" w:rsidRPr="00ED0D6D" w:rsidRDefault="00925C7D" w:rsidP="00CA2F95">
            <w:pPr>
              <w:jc w:val="center"/>
              <w:rPr>
                <w:sz w:val="20"/>
              </w:rPr>
            </w:pPr>
            <w:r w:rsidRPr="00ED0D6D">
              <w:rPr>
                <w:sz w:val="20"/>
              </w:rPr>
              <w:lastRenderedPageBreak/>
              <w:t>4,82</w:t>
            </w:r>
          </w:p>
        </w:tc>
        <w:tc>
          <w:tcPr>
            <w:tcW w:w="1080" w:type="dxa"/>
            <w:shd w:val="clear" w:color="000000" w:fill="FFFFFF"/>
            <w:vAlign w:val="center"/>
          </w:tcPr>
          <w:p w14:paraId="564010E2" w14:textId="77777777" w:rsidR="00925C7D" w:rsidRPr="00ED0D6D" w:rsidRDefault="00925C7D" w:rsidP="00CA2F95">
            <w:pPr>
              <w:jc w:val="center"/>
              <w:rPr>
                <w:sz w:val="20"/>
              </w:rPr>
            </w:pPr>
            <w:r w:rsidRPr="00ED0D6D">
              <w:rPr>
                <w:sz w:val="20"/>
              </w:rPr>
              <w:t>14,79</w:t>
            </w:r>
          </w:p>
        </w:tc>
        <w:tc>
          <w:tcPr>
            <w:tcW w:w="1150" w:type="dxa"/>
            <w:shd w:val="clear" w:color="auto" w:fill="auto"/>
            <w:vAlign w:val="center"/>
          </w:tcPr>
          <w:p w14:paraId="72D49BA5" w14:textId="77777777" w:rsidR="00925C7D" w:rsidRPr="00ED0D6D" w:rsidRDefault="00925C7D" w:rsidP="00CA2F95">
            <w:pPr>
              <w:jc w:val="center"/>
              <w:rPr>
                <w:sz w:val="20"/>
              </w:rPr>
            </w:pPr>
            <w:r w:rsidRPr="00ED0D6D">
              <w:rPr>
                <w:sz w:val="20"/>
              </w:rPr>
              <w:t>- </w:t>
            </w:r>
          </w:p>
        </w:tc>
        <w:tc>
          <w:tcPr>
            <w:tcW w:w="983" w:type="dxa"/>
            <w:shd w:val="clear" w:color="000000" w:fill="FFFFFF"/>
            <w:vAlign w:val="center"/>
          </w:tcPr>
          <w:p w14:paraId="6163F835" w14:textId="77777777" w:rsidR="00925C7D" w:rsidRPr="00ED0D6D" w:rsidRDefault="00925C7D" w:rsidP="00CA2F95">
            <w:pPr>
              <w:jc w:val="center"/>
              <w:rPr>
                <w:sz w:val="20"/>
              </w:rPr>
            </w:pPr>
            <w:r w:rsidRPr="00ED0D6D">
              <w:rPr>
                <w:sz w:val="20"/>
              </w:rPr>
              <w:t>4</w:t>
            </w:r>
          </w:p>
        </w:tc>
        <w:tc>
          <w:tcPr>
            <w:tcW w:w="1250" w:type="dxa"/>
            <w:shd w:val="clear" w:color="000000" w:fill="FFFFFF"/>
            <w:vAlign w:val="center"/>
          </w:tcPr>
          <w:p w14:paraId="5335FF6A" w14:textId="77777777" w:rsidR="00925C7D" w:rsidRPr="00ED0D6D" w:rsidRDefault="00925C7D" w:rsidP="00CA2F95">
            <w:pPr>
              <w:jc w:val="center"/>
              <w:rPr>
                <w:sz w:val="20"/>
              </w:rPr>
            </w:pPr>
            <w:r w:rsidRPr="00ED0D6D">
              <w:rPr>
                <w:sz w:val="20"/>
              </w:rPr>
              <w:t>- </w:t>
            </w:r>
          </w:p>
        </w:tc>
        <w:tc>
          <w:tcPr>
            <w:tcW w:w="1250" w:type="dxa"/>
            <w:shd w:val="clear" w:color="000000" w:fill="FFFFFF"/>
            <w:vAlign w:val="center"/>
          </w:tcPr>
          <w:p w14:paraId="59947081" w14:textId="77777777" w:rsidR="00925C7D" w:rsidRPr="00ED0D6D" w:rsidRDefault="00925C7D" w:rsidP="00CA2F95">
            <w:pPr>
              <w:jc w:val="center"/>
              <w:rPr>
                <w:sz w:val="20"/>
              </w:rPr>
            </w:pPr>
            <w:r w:rsidRPr="00ED0D6D">
              <w:rPr>
                <w:sz w:val="20"/>
              </w:rPr>
              <w:t>- </w:t>
            </w:r>
          </w:p>
        </w:tc>
        <w:tc>
          <w:tcPr>
            <w:tcW w:w="2297" w:type="dxa"/>
            <w:shd w:val="clear" w:color="000000" w:fill="FFFFFF"/>
            <w:vAlign w:val="center"/>
          </w:tcPr>
          <w:p w14:paraId="2EACED64" w14:textId="77777777" w:rsidR="00925C7D" w:rsidRPr="00ED0D6D" w:rsidRDefault="00925C7D" w:rsidP="00CA2F95">
            <w:pPr>
              <w:jc w:val="center"/>
              <w:rPr>
                <w:sz w:val="20"/>
              </w:rPr>
            </w:pPr>
            <w:r w:rsidRPr="00ED0D6D">
              <w:rPr>
                <w:sz w:val="20"/>
              </w:rPr>
              <w:t>Valstybinė ligonių kasa </w:t>
            </w:r>
          </w:p>
        </w:tc>
        <w:tc>
          <w:tcPr>
            <w:tcW w:w="1172" w:type="dxa"/>
            <w:shd w:val="clear" w:color="auto" w:fill="auto"/>
            <w:vAlign w:val="center"/>
          </w:tcPr>
          <w:p w14:paraId="3B1BD7B7" w14:textId="77777777" w:rsidR="00925C7D" w:rsidRPr="00ED0D6D" w:rsidRDefault="00925C7D" w:rsidP="00CA2F95">
            <w:pPr>
              <w:jc w:val="center"/>
              <w:rPr>
                <w:sz w:val="20"/>
              </w:rPr>
            </w:pPr>
            <w:r w:rsidRPr="00ED0D6D">
              <w:rPr>
                <w:sz w:val="20"/>
              </w:rPr>
              <w:t>17LRVP</w:t>
            </w:r>
          </w:p>
        </w:tc>
      </w:tr>
      <w:tr w:rsidR="005D157B" w:rsidRPr="00ED0D6D" w14:paraId="7A2DE742" w14:textId="77777777" w:rsidTr="00CA2F95">
        <w:trPr>
          <w:trHeight w:val="485"/>
        </w:trPr>
        <w:tc>
          <w:tcPr>
            <w:tcW w:w="623" w:type="dxa"/>
            <w:shd w:val="clear" w:color="auto" w:fill="auto"/>
            <w:vAlign w:val="center"/>
            <w:hideMark/>
          </w:tcPr>
          <w:p w14:paraId="52539CDB"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6CB56FF9" w14:textId="77777777" w:rsidR="00925C7D" w:rsidRPr="00ED0D6D" w:rsidRDefault="00925C7D" w:rsidP="00CA2F95">
            <w:pPr>
              <w:jc w:val="both"/>
              <w:rPr>
                <w:sz w:val="20"/>
              </w:rPr>
            </w:pPr>
            <w:r w:rsidRPr="00ED0D6D">
              <w:rPr>
                <w:sz w:val="20"/>
              </w:rPr>
              <w:t xml:space="preserve">Gyventojų, priklausančių mažo fizinio aktyvumo grupei, dalis (proc.)   </w:t>
            </w:r>
          </w:p>
        </w:tc>
        <w:tc>
          <w:tcPr>
            <w:tcW w:w="1080" w:type="dxa"/>
            <w:shd w:val="clear" w:color="000000" w:fill="FFFFFF"/>
            <w:vAlign w:val="center"/>
          </w:tcPr>
          <w:p w14:paraId="07958B50" w14:textId="77777777" w:rsidR="00925C7D" w:rsidRPr="00ED0D6D" w:rsidRDefault="00925C7D" w:rsidP="00CA2F95">
            <w:pPr>
              <w:jc w:val="center"/>
              <w:rPr>
                <w:sz w:val="20"/>
              </w:rPr>
            </w:pPr>
            <w:r w:rsidRPr="00ED0D6D">
              <w:rPr>
                <w:sz w:val="20"/>
              </w:rPr>
              <w:t>19,6 (2014)</w:t>
            </w:r>
          </w:p>
        </w:tc>
        <w:tc>
          <w:tcPr>
            <w:tcW w:w="1080" w:type="dxa"/>
            <w:shd w:val="clear" w:color="000000" w:fill="FFFFFF"/>
            <w:vAlign w:val="center"/>
          </w:tcPr>
          <w:p w14:paraId="0F0E2640" w14:textId="77777777" w:rsidR="00925C7D" w:rsidRPr="00ED0D6D" w:rsidRDefault="00925C7D" w:rsidP="00CA2F95">
            <w:pPr>
              <w:jc w:val="center"/>
              <w:rPr>
                <w:sz w:val="20"/>
              </w:rPr>
            </w:pPr>
            <w:r w:rsidRPr="00ED0D6D">
              <w:rPr>
                <w:sz w:val="20"/>
              </w:rPr>
              <w:t>28,5</w:t>
            </w:r>
          </w:p>
        </w:tc>
        <w:tc>
          <w:tcPr>
            <w:tcW w:w="1150" w:type="dxa"/>
            <w:shd w:val="clear" w:color="auto" w:fill="auto"/>
            <w:vAlign w:val="center"/>
          </w:tcPr>
          <w:p w14:paraId="2CDE22D8" w14:textId="77777777" w:rsidR="00925C7D" w:rsidRPr="00ED0D6D" w:rsidRDefault="00925C7D" w:rsidP="00CA2F95">
            <w:pPr>
              <w:jc w:val="center"/>
              <w:rPr>
                <w:sz w:val="20"/>
              </w:rPr>
            </w:pPr>
            <w:r w:rsidRPr="00ED0D6D">
              <w:rPr>
                <w:sz w:val="20"/>
              </w:rPr>
              <w:t> -</w:t>
            </w:r>
          </w:p>
        </w:tc>
        <w:tc>
          <w:tcPr>
            <w:tcW w:w="983" w:type="dxa"/>
            <w:shd w:val="clear" w:color="000000" w:fill="FFFFFF"/>
            <w:vAlign w:val="center"/>
          </w:tcPr>
          <w:p w14:paraId="60EB77C8" w14:textId="77777777" w:rsidR="00925C7D" w:rsidRPr="00ED0D6D" w:rsidRDefault="00925C7D" w:rsidP="00CA2F95">
            <w:pPr>
              <w:jc w:val="center"/>
              <w:rPr>
                <w:sz w:val="20"/>
              </w:rPr>
            </w:pPr>
            <w:r w:rsidRPr="00ED0D6D">
              <w:rPr>
                <w:sz w:val="20"/>
              </w:rPr>
              <w:t>15,2</w:t>
            </w:r>
          </w:p>
        </w:tc>
        <w:tc>
          <w:tcPr>
            <w:tcW w:w="1250" w:type="dxa"/>
            <w:shd w:val="clear" w:color="auto" w:fill="auto"/>
            <w:vAlign w:val="center"/>
          </w:tcPr>
          <w:p w14:paraId="445F2027"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1061529C"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00AAE75E" w14:textId="77777777" w:rsidR="00925C7D" w:rsidRPr="00ED0D6D" w:rsidRDefault="00925C7D" w:rsidP="00CA2F95">
            <w:pPr>
              <w:jc w:val="center"/>
              <w:rPr>
                <w:sz w:val="20"/>
              </w:rPr>
            </w:pPr>
            <w:r w:rsidRPr="00ED0D6D">
              <w:rPr>
                <w:sz w:val="20"/>
              </w:rPr>
              <w:t> Higienos institutas</w:t>
            </w:r>
          </w:p>
        </w:tc>
        <w:tc>
          <w:tcPr>
            <w:tcW w:w="1172" w:type="dxa"/>
            <w:shd w:val="clear" w:color="auto" w:fill="auto"/>
            <w:vAlign w:val="center"/>
          </w:tcPr>
          <w:p w14:paraId="377AB992" w14:textId="77777777" w:rsidR="00925C7D" w:rsidRPr="00ED0D6D" w:rsidRDefault="00925C7D" w:rsidP="00CA2F95">
            <w:pPr>
              <w:jc w:val="center"/>
              <w:rPr>
                <w:sz w:val="20"/>
              </w:rPr>
            </w:pPr>
            <w:r w:rsidRPr="00ED0D6D">
              <w:rPr>
                <w:sz w:val="20"/>
              </w:rPr>
              <w:t>17LRVP</w:t>
            </w:r>
          </w:p>
        </w:tc>
      </w:tr>
      <w:tr w:rsidR="005D157B" w:rsidRPr="00ED0D6D" w14:paraId="58880C53" w14:textId="77777777" w:rsidTr="00CA2F95">
        <w:trPr>
          <w:trHeight w:val="408"/>
        </w:trPr>
        <w:tc>
          <w:tcPr>
            <w:tcW w:w="623" w:type="dxa"/>
            <w:shd w:val="clear" w:color="auto" w:fill="auto"/>
            <w:vAlign w:val="center"/>
            <w:hideMark/>
          </w:tcPr>
          <w:p w14:paraId="4E0DD6BF" w14:textId="77777777" w:rsidR="00925C7D" w:rsidRPr="00ED0D6D" w:rsidRDefault="00925C7D" w:rsidP="00816260">
            <w:pPr>
              <w:pStyle w:val="Sraopastraipa"/>
              <w:numPr>
                <w:ilvl w:val="0"/>
                <w:numId w:val="11"/>
              </w:numPr>
              <w:ind w:left="0" w:firstLine="0"/>
              <w:jc w:val="both"/>
              <w:rPr>
                <w:rFonts w:ascii="Times New Roman" w:hAnsi="Times New Roman"/>
                <w:sz w:val="20"/>
                <w:szCs w:val="20"/>
              </w:rPr>
            </w:pPr>
          </w:p>
        </w:tc>
        <w:tc>
          <w:tcPr>
            <w:tcW w:w="4682" w:type="dxa"/>
            <w:shd w:val="clear" w:color="auto" w:fill="auto"/>
            <w:vAlign w:val="center"/>
          </w:tcPr>
          <w:p w14:paraId="03F43C53" w14:textId="77777777" w:rsidR="00925C7D" w:rsidRPr="00ED0D6D" w:rsidRDefault="00925C7D" w:rsidP="00CA2F95">
            <w:pPr>
              <w:jc w:val="both"/>
              <w:rPr>
                <w:sz w:val="20"/>
              </w:rPr>
            </w:pPr>
            <w:r w:rsidRPr="00ED0D6D">
              <w:rPr>
                <w:sz w:val="20"/>
              </w:rPr>
              <w:t xml:space="preserve">Mokyklinio amžiaus vaikų, kurie bent kartą per dieną valgo daržoves dalis (proc.)   </w:t>
            </w:r>
          </w:p>
        </w:tc>
        <w:tc>
          <w:tcPr>
            <w:tcW w:w="1080" w:type="dxa"/>
            <w:shd w:val="clear" w:color="000000" w:fill="FFFFFF"/>
            <w:vAlign w:val="center"/>
          </w:tcPr>
          <w:p w14:paraId="4BBAF4F3" w14:textId="77777777" w:rsidR="00925C7D" w:rsidRPr="00ED0D6D" w:rsidRDefault="00925C7D" w:rsidP="00CA2F95">
            <w:pPr>
              <w:jc w:val="center"/>
              <w:rPr>
                <w:sz w:val="20"/>
              </w:rPr>
            </w:pPr>
            <w:r w:rsidRPr="00ED0D6D">
              <w:rPr>
                <w:sz w:val="20"/>
              </w:rPr>
              <w:t>36,5</w:t>
            </w:r>
          </w:p>
        </w:tc>
        <w:tc>
          <w:tcPr>
            <w:tcW w:w="1080" w:type="dxa"/>
            <w:shd w:val="clear" w:color="000000" w:fill="FFFFFF"/>
            <w:vAlign w:val="center"/>
          </w:tcPr>
          <w:p w14:paraId="5E53DBFA" w14:textId="77777777" w:rsidR="00925C7D" w:rsidRPr="00ED0D6D" w:rsidRDefault="00925C7D" w:rsidP="00CA2F95">
            <w:pPr>
              <w:jc w:val="center"/>
              <w:rPr>
                <w:sz w:val="20"/>
              </w:rPr>
            </w:pPr>
            <w:r w:rsidRPr="00ED0D6D">
              <w:rPr>
                <w:sz w:val="20"/>
              </w:rPr>
              <w:t>32,3</w:t>
            </w:r>
          </w:p>
        </w:tc>
        <w:tc>
          <w:tcPr>
            <w:tcW w:w="1150" w:type="dxa"/>
            <w:shd w:val="clear" w:color="auto" w:fill="auto"/>
            <w:vAlign w:val="center"/>
          </w:tcPr>
          <w:p w14:paraId="522AED85"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53E6F024" w14:textId="77777777" w:rsidR="00925C7D" w:rsidRPr="00ED0D6D" w:rsidRDefault="00925C7D" w:rsidP="00CA2F95">
            <w:pPr>
              <w:jc w:val="center"/>
              <w:rPr>
                <w:sz w:val="20"/>
              </w:rPr>
            </w:pPr>
            <w:r w:rsidRPr="00ED0D6D">
              <w:rPr>
                <w:sz w:val="20"/>
              </w:rPr>
              <w:t>45</w:t>
            </w:r>
          </w:p>
        </w:tc>
        <w:tc>
          <w:tcPr>
            <w:tcW w:w="1250" w:type="dxa"/>
            <w:shd w:val="clear" w:color="auto" w:fill="auto"/>
            <w:vAlign w:val="center"/>
          </w:tcPr>
          <w:p w14:paraId="5D977356"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1630976A"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612D89EF" w14:textId="77777777" w:rsidR="00925C7D" w:rsidRPr="00ED0D6D" w:rsidRDefault="00925C7D" w:rsidP="00CA2F95">
            <w:pPr>
              <w:jc w:val="center"/>
              <w:rPr>
                <w:sz w:val="20"/>
              </w:rPr>
            </w:pPr>
            <w:r w:rsidRPr="00ED0D6D">
              <w:rPr>
                <w:sz w:val="20"/>
              </w:rPr>
              <w:t> Higienos institutas</w:t>
            </w:r>
          </w:p>
        </w:tc>
        <w:tc>
          <w:tcPr>
            <w:tcW w:w="1172" w:type="dxa"/>
            <w:shd w:val="clear" w:color="auto" w:fill="auto"/>
            <w:vAlign w:val="center"/>
          </w:tcPr>
          <w:p w14:paraId="2B117A28" w14:textId="77777777" w:rsidR="00925C7D" w:rsidRPr="00ED0D6D" w:rsidRDefault="00925C7D" w:rsidP="00CA2F95">
            <w:pPr>
              <w:jc w:val="center"/>
              <w:rPr>
                <w:sz w:val="20"/>
              </w:rPr>
            </w:pPr>
            <w:r w:rsidRPr="00ED0D6D">
              <w:rPr>
                <w:sz w:val="20"/>
              </w:rPr>
              <w:t>17LRVP</w:t>
            </w:r>
          </w:p>
        </w:tc>
      </w:tr>
      <w:tr w:rsidR="005D157B" w:rsidRPr="00ED0D6D" w14:paraId="193243A4" w14:textId="77777777" w:rsidTr="00CA2F95">
        <w:trPr>
          <w:trHeight w:val="384"/>
        </w:trPr>
        <w:tc>
          <w:tcPr>
            <w:tcW w:w="623" w:type="dxa"/>
            <w:shd w:val="clear" w:color="auto" w:fill="auto"/>
            <w:vAlign w:val="center"/>
          </w:tcPr>
          <w:p w14:paraId="764DA40A" w14:textId="77777777" w:rsidR="00925C7D" w:rsidRPr="00ED0D6D" w:rsidRDefault="00925C7D" w:rsidP="00816260">
            <w:pPr>
              <w:pStyle w:val="Sraopastraipa"/>
              <w:numPr>
                <w:ilvl w:val="0"/>
                <w:numId w:val="11"/>
              </w:numPr>
              <w:ind w:left="0" w:firstLine="0"/>
              <w:jc w:val="center"/>
              <w:rPr>
                <w:rFonts w:ascii="Times New Roman" w:hAnsi="Times New Roman"/>
                <w:sz w:val="20"/>
                <w:szCs w:val="20"/>
              </w:rPr>
            </w:pPr>
          </w:p>
        </w:tc>
        <w:tc>
          <w:tcPr>
            <w:tcW w:w="4682" w:type="dxa"/>
            <w:shd w:val="clear" w:color="auto" w:fill="auto"/>
            <w:noWrap/>
            <w:vAlign w:val="center"/>
          </w:tcPr>
          <w:p w14:paraId="1B9B164F" w14:textId="77777777" w:rsidR="00925C7D" w:rsidRPr="00ED0D6D" w:rsidRDefault="00925C7D" w:rsidP="00CA2F95">
            <w:pPr>
              <w:rPr>
                <w:sz w:val="20"/>
              </w:rPr>
            </w:pPr>
            <w:r w:rsidRPr="00ED0D6D">
              <w:rPr>
                <w:sz w:val="20"/>
              </w:rPr>
              <w:t xml:space="preserve">Sergamumas alkoholinėmis psichozėmis (100 tūkst. gyventojų) (skaičius)   </w:t>
            </w:r>
          </w:p>
        </w:tc>
        <w:tc>
          <w:tcPr>
            <w:tcW w:w="1080" w:type="dxa"/>
            <w:shd w:val="clear" w:color="000000" w:fill="FFFFFF"/>
            <w:vAlign w:val="center"/>
          </w:tcPr>
          <w:p w14:paraId="27B3A626" w14:textId="77777777" w:rsidR="00925C7D" w:rsidRPr="00ED0D6D" w:rsidRDefault="00925C7D" w:rsidP="00CA2F95">
            <w:pPr>
              <w:jc w:val="center"/>
              <w:rPr>
                <w:sz w:val="20"/>
              </w:rPr>
            </w:pPr>
            <w:r w:rsidRPr="00ED0D6D">
              <w:rPr>
                <w:sz w:val="20"/>
              </w:rPr>
              <w:t>10,1</w:t>
            </w:r>
          </w:p>
        </w:tc>
        <w:tc>
          <w:tcPr>
            <w:tcW w:w="1080" w:type="dxa"/>
            <w:shd w:val="clear" w:color="000000" w:fill="FFFFFF"/>
            <w:vAlign w:val="center"/>
          </w:tcPr>
          <w:p w14:paraId="31F9C44A" w14:textId="77777777" w:rsidR="00925C7D" w:rsidRPr="00ED0D6D" w:rsidRDefault="00925C7D" w:rsidP="00CA2F95">
            <w:pPr>
              <w:jc w:val="center"/>
              <w:rPr>
                <w:sz w:val="20"/>
              </w:rPr>
            </w:pPr>
            <w:r w:rsidRPr="00ED0D6D">
              <w:rPr>
                <w:sz w:val="20"/>
              </w:rPr>
              <w:t>N.D.</w:t>
            </w:r>
          </w:p>
        </w:tc>
        <w:tc>
          <w:tcPr>
            <w:tcW w:w="1150" w:type="dxa"/>
            <w:shd w:val="clear" w:color="auto" w:fill="auto"/>
            <w:vAlign w:val="center"/>
          </w:tcPr>
          <w:p w14:paraId="55EC2578"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5F665D96" w14:textId="77777777" w:rsidR="00925C7D" w:rsidRPr="00ED0D6D" w:rsidRDefault="00925C7D" w:rsidP="00CA2F95">
            <w:pPr>
              <w:jc w:val="center"/>
              <w:rPr>
                <w:sz w:val="20"/>
              </w:rPr>
            </w:pPr>
            <w:r w:rsidRPr="00ED0D6D">
              <w:rPr>
                <w:sz w:val="20"/>
              </w:rPr>
              <w:t>15</w:t>
            </w:r>
          </w:p>
        </w:tc>
        <w:tc>
          <w:tcPr>
            <w:tcW w:w="1250" w:type="dxa"/>
            <w:shd w:val="clear" w:color="auto" w:fill="auto"/>
            <w:vAlign w:val="center"/>
          </w:tcPr>
          <w:p w14:paraId="75211A08"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11F09D3F"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56CD2292" w14:textId="77777777" w:rsidR="00925C7D" w:rsidRPr="00ED0D6D" w:rsidRDefault="00925C7D" w:rsidP="00CA2F95">
            <w:pPr>
              <w:jc w:val="center"/>
              <w:rPr>
                <w:sz w:val="20"/>
              </w:rPr>
            </w:pPr>
            <w:r w:rsidRPr="00ED0D6D">
              <w:rPr>
                <w:sz w:val="20"/>
              </w:rPr>
              <w:t>Higienos institutas </w:t>
            </w:r>
          </w:p>
        </w:tc>
        <w:tc>
          <w:tcPr>
            <w:tcW w:w="1172" w:type="dxa"/>
            <w:shd w:val="clear" w:color="auto" w:fill="auto"/>
            <w:vAlign w:val="center"/>
          </w:tcPr>
          <w:p w14:paraId="16B42D15" w14:textId="77777777" w:rsidR="00925C7D" w:rsidRPr="00ED0D6D" w:rsidRDefault="00925C7D" w:rsidP="00CA2F95">
            <w:pPr>
              <w:jc w:val="center"/>
              <w:rPr>
                <w:sz w:val="20"/>
              </w:rPr>
            </w:pPr>
            <w:r w:rsidRPr="00ED0D6D">
              <w:rPr>
                <w:sz w:val="20"/>
              </w:rPr>
              <w:t>17LRVP</w:t>
            </w:r>
          </w:p>
        </w:tc>
      </w:tr>
      <w:tr w:rsidR="005D157B" w:rsidRPr="00ED0D6D" w14:paraId="3C37D6E6" w14:textId="77777777" w:rsidTr="00CA2F95">
        <w:trPr>
          <w:trHeight w:val="384"/>
        </w:trPr>
        <w:tc>
          <w:tcPr>
            <w:tcW w:w="623" w:type="dxa"/>
            <w:shd w:val="clear" w:color="auto" w:fill="auto"/>
            <w:vAlign w:val="center"/>
          </w:tcPr>
          <w:p w14:paraId="3859A938" w14:textId="77777777" w:rsidR="00925C7D" w:rsidRPr="00ED0D6D" w:rsidRDefault="00925C7D" w:rsidP="00816260">
            <w:pPr>
              <w:pStyle w:val="Sraopastraipa"/>
              <w:numPr>
                <w:ilvl w:val="0"/>
                <w:numId w:val="11"/>
              </w:numPr>
              <w:ind w:left="0" w:firstLine="0"/>
              <w:jc w:val="center"/>
              <w:rPr>
                <w:rFonts w:ascii="Times New Roman" w:hAnsi="Times New Roman"/>
                <w:sz w:val="20"/>
                <w:szCs w:val="20"/>
              </w:rPr>
            </w:pPr>
          </w:p>
        </w:tc>
        <w:tc>
          <w:tcPr>
            <w:tcW w:w="4682" w:type="dxa"/>
            <w:shd w:val="clear" w:color="auto" w:fill="auto"/>
            <w:noWrap/>
            <w:vAlign w:val="center"/>
          </w:tcPr>
          <w:p w14:paraId="62BD9D7D" w14:textId="77777777" w:rsidR="00925C7D" w:rsidRPr="00ED0D6D" w:rsidRDefault="00925C7D" w:rsidP="00CA2F95">
            <w:pPr>
              <w:rPr>
                <w:sz w:val="20"/>
              </w:rPr>
            </w:pPr>
            <w:r w:rsidRPr="00ED0D6D">
              <w:rPr>
                <w:sz w:val="20"/>
              </w:rPr>
              <w:t xml:space="preserve">Pagal Pasaulio korupcijos barometro duomenis respondentų, davusių kyšį gydymo įstaigose, dalis (proc.)  </w:t>
            </w:r>
          </w:p>
        </w:tc>
        <w:tc>
          <w:tcPr>
            <w:tcW w:w="1080" w:type="dxa"/>
            <w:shd w:val="clear" w:color="000000" w:fill="FFFFFF"/>
            <w:vAlign w:val="center"/>
          </w:tcPr>
          <w:p w14:paraId="1F4F9D94" w14:textId="77777777" w:rsidR="00925C7D" w:rsidRPr="00ED0D6D" w:rsidRDefault="00925C7D" w:rsidP="00CA2F95">
            <w:pPr>
              <w:jc w:val="center"/>
              <w:rPr>
                <w:sz w:val="20"/>
              </w:rPr>
            </w:pPr>
            <w:r w:rsidRPr="00ED0D6D">
              <w:rPr>
                <w:sz w:val="20"/>
              </w:rPr>
              <w:t>24</w:t>
            </w:r>
          </w:p>
        </w:tc>
        <w:tc>
          <w:tcPr>
            <w:tcW w:w="1080" w:type="dxa"/>
            <w:shd w:val="clear" w:color="000000" w:fill="FFFFFF"/>
            <w:vAlign w:val="center"/>
          </w:tcPr>
          <w:p w14:paraId="4C5CF016" w14:textId="77777777" w:rsidR="00925C7D" w:rsidRPr="00ED0D6D" w:rsidRDefault="00925C7D" w:rsidP="00CA2F95">
            <w:pPr>
              <w:jc w:val="center"/>
              <w:rPr>
                <w:sz w:val="20"/>
              </w:rPr>
            </w:pPr>
            <w:r w:rsidRPr="00ED0D6D">
              <w:rPr>
                <w:sz w:val="20"/>
              </w:rPr>
              <w:t>10</w:t>
            </w:r>
          </w:p>
        </w:tc>
        <w:tc>
          <w:tcPr>
            <w:tcW w:w="1150" w:type="dxa"/>
            <w:shd w:val="clear" w:color="auto" w:fill="auto"/>
            <w:vAlign w:val="center"/>
          </w:tcPr>
          <w:p w14:paraId="2473541C"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776E8106" w14:textId="77777777" w:rsidR="00925C7D" w:rsidRPr="00ED0D6D" w:rsidRDefault="00925C7D" w:rsidP="00CA2F95">
            <w:pPr>
              <w:jc w:val="center"/>
              <w:rPr>
                <w:sz w:val="20"/>
              </w:rPr>
            </w:pPr>
            <w:r w:rsidRPr="00ED0D6D">
              <w:rPr>
                <w:sz w:val="20"/>
              </w:rPr>
              <w:t>10</w:t>
            </w:r>
          </w:p>
        </w:tc>
        <w:tc>
          <w:tcPr>
            <w:tcW w:w="1250" w:type="dxa"/>
            <w:shd w:val="clear" w:color="auto" w:fill="auto"/>
            <w:vAlign w:val="center"/>
          </w:tcPr>
          <w:p w14:paraId="6558AEA0" w14:textId="77777777" w:rsidR="00925C7D" w:rsidRPr="00ED0D6D" w:rsidRDefault="00925C7D" w:rsidP="00CA2F95">
            <w:pPr>
              <w:jc w:val="center"/>
              <w:rPr>
                <w:sz w:val="20"/>
              </w:rPr>
            </w:pPr>
            <w:r w:rsidRPr="00ED0D6D">
              <w:rPr>
                <w:sz w:val="20"/>
              </w:rPr>
              <w:t>- </w:t>
            </w:r>
          </w:p>
        </w:tc>
        <w:tc>
          <w:tcPr>
            <w:tcW w:w="1250" w:type="dxa"/>
            <w:shd w:val="clear" w:color="auto" w:fill="auto"/>
            <w:vAlign w:val="center"/>
          </w:tcPr>
          <w:p w14:paraId="16301C40" w14:textId="77777777" w:rsidR="00925C7D" w:rsidRPr="00ED0D6D" w:rsidRDefault="00925C7D" w:rsidP="00CA2F95">
            <w:pPr>
              <w:jc w:val="center"/>
              <w:rPr>
                <w:sz w:val="20"/>
              </w:rPr>
            </w:pPr>
            <w:r w:rsidRPr="00ED0D6D">
              <w:rPr>
                <w:sz w:val="20"/>
              </w:rPr>
              <w:t>- </w:t>
            </w:r>
          </w:p>
        </w:tc>
        <w:tc>
          <w:tcPr>
            <w:tcW w:w="2297" w:type="dxa"/>
            <w:shd w:val="clear" w:color="auto" w:fill="auto"/>
            <w:vAlign w:val="center"/>
          </w:tcPr>
          <w:p w14:paraId="4EB87AD9" w14:textId="77777777" w:rsidR="00925C7D" w:rsidRPr="00ED0D6D" w:rsidRDefault="00925C7D" w:rsidP="00CA2F95">
            <w:pPr>
              <w:jc w:val="center"/>
              <w:rPr>
                <w:sz w:val="20"/>
              </w:rPr>
            </w:pPr>
            <w:r w:rsidRPr="00ED0D6D">
              <w:rPr>
                <w:sz w:val="20"/>
              </w:rPr>
              <w:t> </w:t>
            </w:r>
            <w:proofErr w:type="spellStart"/>
            <w:r w:rsidRPr="00ED0D6D">
              <w:rPr>
                <w:sz w:val="20"/>
              </w:rPr>
              <w:t>Transparency</w:t>
            </w:r>
            <w:proofErr w:type="spellEnd"/>
            <w:r w:rsidRPr="00ED0D6D">
              <w:rPr>
                <w:sz w:val="20"/>
              </w:rPr>
              <w:t xml:space="preserve"> International</w:t>
            </w:r>
          </w:p>
        </w:tc>
        <w:tc>
          <w:tcPr>
            <w:tcW w:w="1172" w:type="dxa"/>
            <w:shd w:val="clear" w:color="auto" w:fill="auto"/>
            <w:vAlign w:val="center"/>
          </w:tcPr>
          <w:p w14:paraId="164DA822" w14:textId="77777777" w:rsidR="00925C7D" w:rsidRPr="00ED0D6D" w:rsidRDefault="00925C7D" w:rsidP="00CA2F95">
            <w:pPr>
              <w:jc w:val="center"/>
              <w:rPr>
                <w:sz w:val="20"/>
              </w:rPr>
            </w:pPr>
            <w:r w:rsidRPr="00ED0D6D">
              <w:rPr>
                <w:sz w:val="20"/>
              </w:rPr>
              <w:t>17LRVP</w:t>
            </w:r>
          </w:p>
        </w:tc>
      </w:tr>
    </w:tbl>
    <w:p w14:paraId="453C1863" w14:textId="77777777" w:rsidR="00925C7D" w:rsidRPr="00A6089B" w:rsidRDefault="00925C7D" w:rsidP="00A6089B">
      <w:pPr>
        <w:spacing w:line="380" w:lineRule="atLeast"/>
        <w:jc w:val="both"/>
        <w:rPr>
          <w:bCs/>
          <w:sz w:val="20"/>
        </w:rPr>
      </w:pPr>
    </w:p>
    <w:p w14:paraId="2FB6D70E" w14:textId="319DE4C3" w:rsidR="00925C7D" w:rsidRPr="00ED0D6D" w:rsidRDefault="00925C7D" w:rsidP="00A6089B">
      <w:pPr>
        <w:spacing w:line="380" w:lineRule="atLeast"/>
        <w:ind w:left="720"/>
        <w:jc w:val="both"/>
        <w:rPr>
          <w:b/>
          <w:szCs w:val="24"/>
        </w:rPr>
      </w:pPr>
      <w:r w:rsidRPr="00ED0D6D">
        <w:rPr>
          <w:b/>
          <w:szCs w:val="24"/>
        </w:rPr>
        <w:t>2.</w:t>
      </w:r>
      <w:r w:rsidR="00A6089B">
        <w:rPr>
          <w:b/>
          <w:szCs w:val="24"/>
        </w:rPr>
        <w:t>2.</w:t>
      </w:r>
      <w:r w:rsidRPr="00ED0D6D">
        <w:rPr>
          <w:b/>
          <w:szCs w:val="24"/>
        </w:rPr>
        <w:t>12. Švietimas, mokslas ir sportas</w:t>
      </w:r>
    </w:p>
    <w:tbl>
      <w:tblPr>
        <w:tblpPr w:leftFromText="180" w:rightFromText="180" w:vertAnchor="text" w:tblpY="1"/>
        <w:tblOverlap w:val="neve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080"/>
        <w:gridCol w:w="1080"/>
        <w:gridCol w:w="956"/>
        <w:gridCol w:w="983"/>
        <w:gridCol w:w="1250"/>
        <w:gridCol w:w="1250"/>
        <w:gridCol w:w="2491"/>
        <w:gridCol w:w="1172"/>
      </w:tblGrid>
      <w:tr w:rsidR="00925C7D" w:rsidRPr="00ED0D6D" w14:paraId="687E34C8" w14:textId="77777777" w:rsidTr="00CA2F95">
        <w:trPr>
          <w:trHeight w:val="999"/>
        </w:trPr>
        <w:tc>
          <w:tcPr>
            <w:tcW w:w="657" w:type="dxa"/>
            <w:shd w:val="clear" w:color="000000" w:fill="DEEAF6"/>
            <w:vAlign w:val="center"/>
            <w:hideMark/>
          </w:tcPr>
          <w:p w14:paraId="146508E8" w14:textId="77777777" w:rsidR="00925C7D" w:rsidRPr="00ED0D6D" w:rsidRDefault="00925C7D" w:rsidP="00CA2F95">
            <w:pPr>
              <w:jc w:val="center"/>
              <w:rPr>
                <w:b/>
                <w:bCs/>
                <w:color w:val="000000"/>
                <w:sz w:val="20"/>
              </w:rPr>
            </w:pPr>
            <w:r w:rsidRPr="00ED0D6D">
              <w:rPr>
                <w:b/>
                <w:bCs/>
                <w:color w:val="000000"/>
                <w:sz w:val="20"/>
              </w:rPr>
              <w:t>Eil. Nr.</w:t>
            </w:r>
          </w:p>
        </w:tc>
        <w:tc>
          <w:tcPr>
            <w:tcW w:w="4648" w:type="dxa"/>
            <w:shd w:val="clear" w:color="000000" w:fill="DEEAF6"/>
            <w:vAlign w:val="center"/>
            <w:hideMark/>
          </w:tcPr>
          <w:p w14:paraId="03137770" w14:textId="77777777" w:rsidR="00925C7D" w:rsidRPr="00ED0D6D" w:rsidRDefault="00925C7D" w:rsidP="00CA2F95">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1CD9BE49" w14:textId="77777777" w:rsidR="00925C7D" w:rsidRPr="00ED0D6D" w:rsidRDefault="00925C7D" w:rsidP="00CA2F95">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6865ABA5" w14:textId="77777777" w:rsidR="00925C7D" w:rsidRPr="00ED0D6D" w:rsidRDefault="00925C7D" w:rsidP="00CA2F95">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1F76C178" w14:textId="77777777" w:rsidR="00925C7D" w:rsidRPr="00ED0D6D" w:rsidRDefault="00925C7D" w:rsidP="00CA2F95">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29E8DAFB" w14:textId="77777777" w:rsidR="00925C7D" w:rsidRPr="00ED0D6D" w:rsidRDefault="00925C7D" w:rsidP="00CA2F95">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6525A679" w14:textId="77777777" w:rsidR="00925C7D" w:rsidRPr="00ED0D6D" w:rsidRDefault="00925C7D" w:rsidP="00CA2F95">
            <w:pPr>
              <w:jc w:val="center"/>
              <w:rPr>
                <w:b/>
                <w:bCs/>
                <w:color w:val="000000"/>
                <w:sz w:val="20"/>
              </w:rPr>
            </w:pPr>
            <w:r w:rsidRPr="00ED0D6D">
              <w:rPr>
                <w:b/>
                <w:bCs/>
                <w:color w:val="000000"/>
                <w:sz w:val="20"/>
              </w:rPr>
              <w:t>Planuojama reikšmė 2024m. / 2025 m.</w:t>
            </w:r>
          </w:p>
        </w:tc>
        <w:tc>
          <w:tcPr>
            <w:tcW w:w="1250" w:type="dxa"/>
            <w:shd w:val="clear" w:color="FFFFFF" w:fill="DDEBF7"/>
            <w:vAlign w:val="center"/>
            <w:hideMark/>
          </w:tcPr>
          <w:p w14:paraId="7070613F" w14:textId="77777777" w:rsidR="00925C7D" w:rsidRPr="00ED0D6D" w:rsidRDefault="00925C7D" w:rsidP="00CA2F95">
            <w:pPr>
              <w:jc w:val="center"/>
              <w:rPr>
                <w:b/>
                <w:bCs/>
                <w:color w:val="000000"/>
                <w:sz w:val="20"/>
              </w:rPr>
            </w:pPr>
            <w:r w:rsidRPr="00ED0D6D">
              <w:rPr>
                <w:b/>
                <w:bCs/>
                <w:color w:val="000000"/>
                <w:sz w:val="20"/>
              </w:rPr>
              <w:t>Planuojama reikšmė 2030 m.</w:t>
            </w:r>
          </w:p>
        </w:tc>
        <w:tc>
          <w:tcPr>
            <w:tcW w:w="2491" w:type="dxa"/>
            <w:shd w:val="clear" w:color="000000" w:fill="DEEAF6"/>
            <w:vAlign w:val="center"/>
            <w:hideMark/>
          </w:tcPr>
          <w:p w14:paraId="224FA04E" w14:textId="77777777" w:rsidR="00925C7D" w:rsidRPr="00ED0D6D" w:rsidRDefault="00925C7D" w:rsidP="00CA2F95">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63C591E5" w14:textId="77777777" w:rsidR="00925C7D" w:rsidRPr="00ED0D6D" w:rsidRDefault="00925C7D" w:rsidP="00CA2F95">
            <w:pPr>
              <w:jc w:val="center"/>
              <w:rPr>
                <w:b/>
                <w:bCs/>
                <w:color w:val="000000"/>
                <w:sz w:val="20"/>
              </w:rPr>
            </w:pPr>
            <w:r w:rsidRPr="00ED0D6D">
              <w:rPr>
                <w:b/>
                <w:bCs/>
                <w:color w:val="000000"/>
                <w:sz w:val="20"/>
              </w:rPr>
              <w:t>Kriterijaus požymis: VPS2030 NPP2020 NPP2030</w:t>
            </w:r>
          </w:p>
          <w:p w14:paraId="2D7AFBEC" w14:textId="77777777" w:rsidR="00925C7D" w:rsidRPr="00ED0D6D" w:rsidRDefault="00925C7D" w:rsidP="00CA2F95">
            <w:pPr>
              <w:jc w:val="center"/>
              <w:rPr>
                <w:b/>
                <w:bCs/>
                <w:color w:val="000000"/>
                <w:sz w:val="20"/>
              </w:rPr>
            </w:pPr>
            <w:r w:rsidRPr="00ED0D6D">
              <w:rPr>
                <w:b/>
                <w:bCs/>
                <w:color w:val="000000"/>
                <w:sz w:val="20"/>
              </w:rPr>
              <w:t>17LRVP</w:t>
            </w:r>
          </w:p>
          <w:p w14:paraId="621F5EA1" w14:textId="77777777" w:rsidR="00925C7D" w:rsidRPr="00ED0D6D" w:rsidRDefault="00925C7D" w:rsidP="00CA2F95">
            <w:pPr>
              <w:jc w:val="center"/>
              <w:rPr>
                <w:b/>
                <w:bCs/>
                <w:color w:val="000000"/>
                <w:sz w:val="20"/>
              </w:rPr>
            </w:pPr>
            <w:r w:rsidRPr="00ED0D6D">
              <w:rPr>
                <w:b/>
                <w:bCs/>
                <w:color w:val="000000"/>
                <w:sz w:val="20"/>
              </w:rPr>
              <w:t>18LRVP</w:t>
            </w:r>
          </w:p>
        </w:tc>
      </w:tr>
      <w:tr w:rsidR="00925C7D" w:rsidRPr="00ED0D6D" w14:paraId="2CABAA0F" w14:textId="77777777" w:rsidTr="00CA2F95">
        <w:trPr>
          <w:trHeight w:val="504"/>
        </w:trPr>
        <w:tc>
          <w:tcPr>
            <w:tcW w:w="657" w:type="dxa"/>
            <w:shd w:val="clear" w:color="auto" w:fill="auto"/>
            <w:vAlign w:val="center"/>
            <w:hideMark/>
          </w:tcPr>
          <w:p w14:paraId="4CBBC4E2"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A7CDEFA" w14:textId="77777777" w:rsidR="00925C7D" w:rsidRPr="00ED0D6D" w:rsidRDefault="00925C7D" w:rsidP="00CA2F95">
            <w:pPr>
              <w:jc w:val="both"/>
              <w:rPr>
                <w:color w:val="000000"/>
                <w:sz w:val="20"/>
              </w:rPr>
            </w:pPr>
            <w:r w:rsidRPr="00ED0D6D">
              <w:rPr>
                <w:color w:val="000000"/>
                <w:sz w:val="20"/>
              </w:rPr>
              <w:t>Socialinę riziką patiriančiose šeimose gyvenančių vaikų nuo 3 metų iki privalomo ugdymo amžiaus, dalyvaujančių ikimokyklinio ugdymo programose, skaičius</w:t>
            </w:r>
          </w:p>
        </w:tc>
        <w:tc>
          <w:tcPr>
            <w:tcW w:w="1080" w:type="dxa"/>
            <w:shd w:val="clear" w:color="auto" w:fill="auto"/>
            <w:noWrap/>
            <w:vAlign w:val="center"/>
          </w:tcPr>
          <w:p w14:paraId="0383049A" w14:textId="77777777" w:rsidR="00925C7D" w:rsidRPr="00ED0D6D" w:rsidRDefault="00925C7D" w:rsidP="00CA2F95">
            <w:pPr>
              <w:jc w:val="center"/>
              <w:rPr>
                <w:color w:val="000000"/>
                <w:sz w:val="20"/>
              </w:rPr>
            </w:pPr>
            <w:r w:rsidRPr="00ED0D6D">
              <w:rPr>
                <w:color w:val="000000"/>
                <w:sz w:val="20"/>
              </w:rPr>
              <w:t xml:space="preserve">N.D. </w:t>
            </w:r>
          </w:p>
        </w:tc>
        <w:tc>
          <w:tcPr>
            <w:tcW w:w="1080" w:type="dxa"/>
            <w:shd w:val="clear" w:color="000000" w:fill="FFFFFF"/>
            <w:vAlign w:val="center"/>
          </w:tcPr>
          <w:p w14:paraId="54542B03" w14:textId="77777777" w:rsidR="00925C7D" w:rsidRPr="00ED0D6D" w:rsidRDefault="00925C7D" w:rsidP="00CA2F95">
            <w:pPr>
              <w:jc w:val="center"/>
              <w:rPr>
                <w:color w:val="000000"/>
                <w:sz w:val="20"/>
              </w:rPr>
            </w:pPr>
            <w:r w:rsidRPr="00ED0D6D">
              <w:rPr>
                <w:color w:val="000000"/>
                <w:sz w:val="20"/>
              </w:rPr>
              <w:t xml:space="preserve">75 </w:t>
            </w:r>
          </w:p>
          <w:p w14:paraId="3C02EC3B" w14:textId="77777777" w:rsidR="00925C7D" w:rsidRPr="00ED0D6D" w:rsidRDefault="00925C7D" w:rsidP="00CA2F95">
            <w:pPr>
              <w:jc w:val="center"/>
              <w:rPr>
                <w:color w:val="000000"/>
                <w:sz w:val="20"/>
              </w:rPr>
            </w:pPr>
            <w:r w:rsidRPr="00ED0D6D">
              <w:rPr>
                <w:color w:val="000000"/>
                <w:sz w:val="20"/>
              </w:rPr>
              <w:t>(2020–2021)</w:t>
            </w:r>
          </w:p>
        </w:tc>
        <w:tc>
          <w:tcPr>
            <w:tcW w:w="956" w:type="dxa"/>
            <w:shd w:val="clear" w:color="auto" w:fill="auto"/>
            <w:vAlign w:val="center"/>
          </w:tcPr>
          <w:p w14:paraId="572D5A9D"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1FA284F"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bottom"/>
          </w:tcPr>
          <w:p w14:paraId="74E9080F" w14:textId="77777777" w:rsidR="00925C7D" w:rsidRPr="00ED0D6D" w:rsidRDefault="00925C7D" w:rsidP="00CA2F95">
            <w:pPr>
              <w:jc w:val="center"/>
              <w:rPr>
                <w:color w:val="000000"/>
                <w:sz w:val="20"/>
              </w:rPr>
            </w:pPr>
            <w:r w:rsidRPr="00ED0D6D">
              <w:rPr>
                <w:color w:val="000000"/>
                <w:sz w:val="20"/>
              </w:rPr>
              <w:t>Ne mažiau kaip 1500</w:t>
            </w:r>
          </w:p>
        </w:tc>
        <w:tc>
          <w:tcPr>
            <w:tcW w:w="1250" w:type="dxa"/>
            <w:shd w:val="clear" w:color="auto" w:fill="auto"/>
            <w:vAlign w:val="center"/>
          </w:tcPr>
          <w:p w14:paraId="2AE70B7C"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CB04AF7" w14:textId="77777777" w:rsidR="00925C7D" w:rsidRPr="00ED0D6D" w:rsidRDefault="00925C7D" w:rsidP="00CA2F95">
            <w:pPr>
              <w:jc w:val="center"/>
              <w:rPr>
                <w:color w:val="000000"/>
                <w:sz w:val="20"/>
              </w:rPr>
            </w:pPr>
            <w:r w:rsidRPr="00ED0D6D">
              <w:rPr>
                <w:color w:val="000000"/>
                <w:sz w:val="20"/>
              </w:rPr>
              <w:t xml:space="preserve">Švietimo valdymo informacinė sistema (ŠVIS) </w:t>
            </w:r>
          </w:p>
        </w:tc>
        <w:tc>
          <w:tcPr>
            <w:tcW w:w="1172" w:type="dxa"/>
            <w:shd w:val="clear" w:color="auto" w:fill="auto"/>
            <w:vAlign w:val="center"/>
          </w:tcPr>
          <w:p w14:paraId="1238EB68" w14:textId="77777777" w:rsidR="00925C7D" w:rsidRPr="00ED0D6D" w:rsidRDefault="00925C7D" w:rsidP="00CA2F95">
            <w:pPr>
              <w:jc w:val="center"/>
              <w:rPr>
                <w:b/>
                <w:bCs/>
                <w:i/>
                <w:iCs/>
                <w:color w:val="000000"/>
                <w:sz w:val="20"/>
              </w:rPr>
            </w:pPr>
            <w:r w:rsidRPr="00ED0D6D">
              <w:rPr>
                <w:b/>
                <w:bCs/>
                <w:color w:val="000000"/>
                <w:sz w:val="20"/>
              </w:rPr>
              <w:t>18LRVP</w:t>
            </w:r>
          </w:p>
        </w:tc>
      </w:tr>
      <w:tr w:rsidR="00925C7D" w:rsidRPr="00ED0D6D" w14:paraId="75EC8A80" w14:textId="77777777" w:rsidTr="00CA2F95">
        <w:trPr>
          <w:trHeight w:val="504"/>
        </w:trPr>
        <w:tc>
          <w:tcPr>
            <w:tcW w:w="657" w:type="dxa"/>
            <w:shd w:val="clear" w:color="auto" w:fill="auto"/>
            <w:vAlign w:val="center"/>
          </w:tcPr>
          <w:p w14:paraId="50A7BA8B"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DAC5012" w14:textId="77777777" w:rsidR="00925C7D" w:rsidRPr="00ED0D6D" w:rsidRDefault="00925C7D" w:rsidP="00CA2F95">
            <w:pPr>
              <w:jc w:val="both"/>
              <w:rPr>
                <w:color w:val="000000"/>
                <w:sz w:val="20"/>
              </w:rPr>
            </w:pPr>
            <w:r w:rsidRPr="00ED0D6D">
              <w:rPr>
                <w:color w:val="000000"/>
                <w:sz w:val="20"/>
              </w:rPr>
              <w:t>Visos mokslinių tyrimų ir eksperimentinės plėtros (MTEP) išlaidos, palyginti su bendruoju vidaus produktu (BVP) (proc.)</w:t>
            </w:r>
          </w:p>
        </w:tc>
        <w:tc>
          <w:tcPr>
            <w:tcW w:w="1080" w:type="dxa"/>
            <w:shd w:val="clear" w:color="auto" w:fill="auto"/>
            <w:noWrap/>
            <w:vAlign w:val="center"/>
          </w:tcPr>
          <w:p w14:paraId="668899C1" w14:textId="77777777" w:rsidR="00925C7D" w:rsidRPr="00ED0D6D" w:rsidRDefault="00925C7D" w:rsidP="00CA2F95">
            <w:pPr>
              <w:jc w:val="center"/>
              <w:rPr>
                <w:color w:val="000000"/>
                <w:sz w:val="20"/>
              </w:rPr>
            </w:pPr>
            <w:r w:rsidRPr="00ED0D6D">
              <w:rPr>
                <w:color w:val="000000"/>
                <w:sz w:val="20"/>
              </w:rPr>
              <w:t>0,99 (2019)</w:t>
            </w:r>
          </w:p>
        </w:tc>
        <w:tc>
          <w:tcPr>
            <w:tcW w:w="1080" w:type="dxa"/>
            <w:shd w:val="clear" w:color="000000" w:fill="FFFFFF"/>
            <w:vAlign w:val="center"/>
          </w:tcPr>
          <w:p w14:paraId="217F6B70"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304977DD"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D881A67"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center"/>
          </w:tcPr>
          <w:p w14:paraId="39698EFA" w14:textId="77777777" w:rsidR="00925C7D" w:rsidRPr="00ED0D6D" w:rsidRDefault="00925C7D" w:rsidP="00CA2F95">
            <w:pPr>
              <w:jc w:val="center"/>
              <w:rPr>
                <w:color w:val="000000"/>
                <w:sz w:val="20"/>
              </w:rPr>
            </w:pPr>
            <w:r w:rsidRPr="00ED0D6D">
              <w:rPr>
                <w:color w:val="000000"/>
                <w:sz w:val="20"/>
              </w:rPr>
              <w:t>1,5</w:t>
            </w:r>
          </w:p>
        </w:tc>
        <w:tc>
          <w:tcPr>
            <w:tcW w:w="1250" w:type="dxa"/>
            <w:shd w:val="clear" w:color="auto" w:fill="auto"/>
            <w:vAlign w:val="center"/>
          </w:tcPr>
          <w:p w14:paraId="219ED115"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64C7D84F" w14:textId="77777777" w:rsidR="00925C7D" w:rsidRPr="00ED0D6D" w:rsidRDefault="00925C7D" w:rsidP="00CA2F95">
            <w:pPr>
              <w:jc w:val="center"/>
              <w:rPr>
                <w:color w:val="000000"/>
                <w:sz w:val="20"/>
              </w:rPr>
            </w:pPr>
            <w:r w:rsidRPr="00ED0D6D">
              <w:rPr>
                <w:color w:val="000000"/>
                <w:sz w:val="20"/>
              </w:rPr>
              <w:t>Lietuvos statistikos departamentas</w:t>
            </w:r>
          </w:p>
        </w:tc>
        <w:tc>
          <w:tcPr>
            <w:tcW w:w="1172" w:type="dxa"/>
            <w:shd w:val="clear" w:color="auto" w:fill="auto"/>
            <w:vAlign w:val="center"/>
          </w:tcPr>
          <w:p w14:paraId="61C24C0D" w14:textId="77777777" w:rsidR="00925C7D" w:rsidRPr="00ED0D6D" w:rsidRDefault="00925C7D" w:rsidP="00CA2F95">
            <w:pPr>
              <w:jc w:val="center"/>
              <w:rPr>
                <w:b/>
                <w:bCs/>
                <w:i/>
                <w:iCs/>
                <w:color w:val="000000"/>
                <w:sz w:val="20"/>
              </w:rPr>
            </w:pPr>
            <w:r w:rsidRPr="00ED0D6D">
              <w:rPr>
                <w:b/>
                <w:bCs/>
                <w:color w:val="000000"/>
                <w:sz w:val="20"/>
              </w:rPr>
              <w:t>18LRVP</w:t>
            </w:r>
          </w:p>
        </w:tc>
      </w:tr>
      <w:tr w:rsidR="00925C7D" w:rsidRPr="00ED0D6D" w14:paraId="663AE77B" w14:textId="77777777" w:rsidTr="00CA2F95">
        <w:trPr>
          <w:trHeight w:val="504"/>
        </w:trPr>
        <w:tc>
          <w:tcPr>
            <w:tcW w:w="657" w:type="dxa"/>
            <w:shd w:val="clear" w:color="auto" w:fill="auto"/>
            <w:vAlign w:val="center"/>
          </w:tcPr>
          <w:p w14:paraId="0E8A5367"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BAE567B" w14:textId="77777777" w:rsidR="00925C7D" w:rsidRPr="00ED0D6D" w:rsidRDefault="00925C7D" w:rsidP="00CA2F95">
            <w:pPr>
              <w:jc w:val="both"/>
              <w:rPr>
                <w:color w:val="000000"/>
                <w:sz w:val="20"/>
              </w:rPr>
            </w:pPr>
            <w:r w:rsidRPr="00ED0D6D">
              <w:rPr>
                <w:color w:val="000000"/>
                <w:sz w:val="20"/>
              </w:rPr>
              <w:t>Valdžios sektoriaus išlaidos MTEP, palyginti su BVP (proc.)</w:t>
            </w:r>
          </w:p>
        </w:tc>
        <w:tc>
          <w:tcPr>
            <w:tcW w:w="1080" w:type="dxa"/>
            <w:shd w:val="clear" w:color="auto" w:fill="auto"/>
            <w:noWrap/>
            <w:vAlign w:val="center"/>
          </w:tcPr>
          <w:p w14:paraId="1A389224" w14:textId="77777777" w:rsidR="00925C7D" w:rsidRPr="00ED0D6D" w:rsidRDefault="00925C7D" w:rsidP="00CA2F95">
            <w:pPr>
              <w:jc w:val="center"/>
              <w:rPr>
                <w:color w:val="000000"/>
                <w:sz w:val="20"/>
              </w:rPr>
            </w:pPr>
            <w:r w:rsidRPr="00ED0D6D">
              <w:rPr>
                <w:color w:val="000000"/>
                <w:sz w:val="20"/>
              </w:rPr>
              <w:t>0,3</w:t>
            </w:r>
          </w:p>
          <w:p w14:paraId="074B2076" w14:textId="77777777" w:rsidR="00925C7D" w:rsidRPr="00ED0D6D" w:rsidRDefault="00925C7D" w:rsidP="00CA2F95">
            <w:pPr>
              <w:jc w:val="center"/>
              <w:rPr>
                <w:color w:val="000000"/>
                <w:sz w:val="20"/>
              </w:rPr>
            </w:pPr>
            <w:r w:rsidRPr="00ED0D6D">
              <w:rPr>
                <w:color w:val="000000"/>
                <w:sz w:val="20"/>
              </w:rPr>
              <w:t xml:space="preserve"> (2018)</w:t>
            </w:r>
          </w:p>
        </w:tc>
        <w:tc>
          <w:tcPr>
            <w:tcW w:w="1080" w:type="dxa"/>
            <w:shd w:val="clear" w:color="000000" w:fill="FFFFFF"/>
            <w:vAlign w:val="center"/>
          </w:tcPr>
          <w:p w14:paraId="6828F6E0"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0693EF6E"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745512B1"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center"/>
          </w:tcPr>
          <w:p w14:paraId="7EBB184B" w14:textId="77777777" w:rsidR="00925C7D" w:rsidRPr="00ED0D6D" w:rsidRDefault="00925C7D" w:rsidP="00CA2F95">
            <w:pPr>
              <w:jc w:val="center"/>
              <w:rPr>
                <w:color w:val="000000"/>
                <w:sz w:val="20"/>
              </w:rPr>
            </w:pPr>
            <w:r w:rsidRPr="00ED0D6D">
              <w:rPr>
                <w:color w:val="000000"/>
                <w:sz w:val="20"/>
              </w:rPr>
              <w:t>0,75</w:t>
            </w:r>
          </w:p>
        </w:tc>
        <w:tc>
          <w:tcPr>
            <w:tcW w:w="1250" w:type="dxa"/>
            <w:shd w:val="clear" w:color="auto" w:fill="auto"/>
            <w:vAlign w:val="center"/>
          </w:tcPr>
          <w:p w14:paraId="6A9FE928"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13C0A3BD" w14:textId="77777777" w:rsidR="00925C7D" w:rsidRPr="00ED0D6D" w:rsidRDefault="00925C7D" w:rsidP="00CA2F95">
            <w:pPr>
              <w:jc w:val="center"/>
              <w:rPr>
                <w:color w:val="000000"/>
                <w:sz w:val="20"/>
              </w:rPr>
            </w:pPr>
            <w:r w:rsidRPr="00ED0D6D">
              <w:rPr>
                <w:color w:val="000000"/>
                <w:sz w:val="20"/>
              </w:rPr>
              <w:t>Lietuvos statistikos departamentas</w:t>
            </w:r>
          </w:p>
        </w:tc>
        <w:tc>
          <w:tcPr>
            <w:tcW w:w="1172" w:type="dxa"/>
            <w:shd w:val="clear" w:color="auto" w:fill="auto"/>
            <w:vAlign w:val="center"/>
          </w:tcPr>
          <w:p w14:paraId="605634F8" w14:textId="77777777" w:rsidR="00925C7D" w:rsidRPr="00ED0D6D" w:rsidRDefault="00925C7D" w:rsidP="00CA2F95">
            <w:pPr>
              <w:jc w:val="center"/>
              <w:rPr>
                <w:b/>
                <w:bCs/>
                <w:i/>
                <w:iCs/>
                <w:color w:val="000000"/>
                <w:sz w:val="20"/>
              </w:rPr>
            </w:pPr>
            <w:r w:rsidRPr="00ED0D6D">
              <w:rPr>
                <w:b/>
                <w:bCs/>
                <w:color w:val="000000"/>
                <w:sz w:val="20"/>
              </w:rPr>
              <w:t>18LRVP</w:t>
            </w:r>
          </w:p>
        </w:tc>
      </w:tr>
      <w:tr w:rsidR="00925C7D" w:rsidRPr="00ED0D6D" w14:paraId="16BC5096" w14:textId="77777777" w:rsidTr="00CA2F95">
        <w:trPr>
          <w:trHeight w:val="368"/>
        </w:trPr>
        <w:tc>
          <w:tcPr>
            <w:tcW w:w="657" w:type="dxa"/>
            <w:shd w:val="clear" w:color="auto" w:fill="auto"/>
            <w:vAlign w:val="center"/>
            <w:hideMark/>
          </w:tcPr>
          <w:p w14:paraId="7CCF4E45"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7FA9F2F" w14:textId="77777777" w:rsidR="00925C7D" w:rsidRPr="00ED0D6D" w:rsidRDefault="00925C7D" w:rsidP="00CA2F95">
            <w:pPr>
              <w:jc w:val="both"/>
              <w:rPr>
                <w:color w:val="000000"/>
                <w:sz w:val="20"/>
              </w:rPr>
            </w:pPr>
            <w:r w:rsidRPr="00ED0D6D">
              <w:rPr>
                <w:color w:val="000000"/>
                <w:sz w:val="20"/>
              </w:rPr>
              <w:t>Mokinių, kartu su profesija siekiančių įgyti ir vidurinį išsilavinimą (ISCED 3), dalis (proc.)</w:t>
            </w:r>
          </w:p>
        </w:tc>
        <w:tc>
          <w:tcPr>
            <w:tcW w:w="1080" w:type="dxa"/>
            <w:shd w:val="clear" w:color="000000" w:fill="FFFFFF"/>
            <w:vAlign w:val="center"/>
          </w:tcPr>
          <w:p w14:paraId="24B99A21" w14:textId="77777777" w:rsidR="00925C7D" w:rsidRPr="00ED0D6D" w:rsidRDefault="00925C7D" w:rsidP="00CA2F95">
            <w:pPr>
              <w:jc w:val="center"/>
              <w:rPr>
                <w:color w:val="000000"/>
                <w:sz w:val="20"/>
              </w:rPr>
            </w:pPr>
            <w:r w:rsidRPr="00ED0D6D">
              <w:rPr>
                <w:color w:val="000000"/>
                <w:sz w:val="20"/>
              </w:rPr>
              <w:t>26,8 (2018)</w:t>
            </w:r>
          </w:p>
        </w:tc>
        <w:tc>
          <w:tcPr>
            <w:tcW w:w="1080" w:type="dxa"/>
            <w:shd w:val="clear" w:color="auto" w:fill="auto"/>
            <w:noWrap/>
            <w:vAlign w:val="center"/>
          </w:tcPr>
          <w:p w14:paraId="7F5AA579"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538B09B8"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1800ADF0"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center"/>
          </w:tcPr>
          <w:p w14:paraId="6D1D9EB6" w14:textId="77777777" w:rsidR="00925C7D" w:rsidRPr="00ED0D6D" w:rsidRDefault="00925C7D" w:rsidP="00CA2F95">
            <w:pPr>
              <w:jc w:val="center"/>
              <w:rPr>
                <w:color w:val="000000"/>
                <w:sz w:val="20"/>
              </w:rPr>
            </w:pPr>
            <w:r w:rsidRPr="00ED0D6D">
              <w:rPr>
                <w:color w:val="000000"/>
                <w:sz w:val="20"/>
              </w:rPr>
              <w:t>35</w:t>
            </w:r>
          </w:p>
        </w:tc>
        <w:tc>
          <w:tcPr>
            <w:tcW w:w="1250" w:type="dxa"/>
            <w:shd w:val="clear" w:color="auto" w:fill="auto"/>
            <w:vAlign w:val="center"/>
          </w:tcPr>
          <w:p w14:paraId="245E93BF"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5B56C1F4" w14:textId="77777777" w:rsidR="00925C7D" w:rsidRPr="00ED0D6D" w:rsidRDefault="00925C7D" w:rsidP="00CA2F95">
            <w:pPr>
              <w:jc w:val="center"/>
              <w:rPr>
                <w:color w:val="000000"/>
                <w:sz w:val="20"/>
              </w:rPr>
            </w:pPr>
            <w:r w:rsidRPr="00ED0D6D">
              <w:rPr>
                <w:color w:val="000000"/>
                <w:sz w:val="20"/>
              </w:rPr>
              <w:t>Eurostatas</w:t>
            </w:r>
          </w:p>
        </w:tc>
        <w:tc>
          <w:tcPr>
            <w:tcW w:w="1172" w:type="dxa"/>
            <w:shd w:val="clear" w:color="auto" w:fill="auto"/>
            <w:vAlign w:val="center"/>
          </w:tcPr>
          <w:p w14:paraId="2A5B96FE" w14:textId="77777777" w:rsidR="00925C7D" w:rsidRPr="00ED0D6D" w:rsidRDefault="00925C7D" w:rsidP="00CA2F95">
            <w:pPr>
              <w:jc w:val="center"/>
              <w:rPr>
                <w:b/>
                <w:bCs/>
                <w:i/>
                <w:iCs/>
                <w:color w:val="000000"/>
                <w:sz w:val="20"/>
              </w:rPr>
            </w:pPr>
            <w:r w:rsidRPr="00ED0D6D">
              <w:rPr>
                <w:b/>
                <w:bCs/>
                <w:color w:val="000000"/>
                <w:sz w:val="20"/>
              </w:rPr>
              <w:t>18LRVP</w:t>
            </w:r>
          </w:p>
        </w:tc>
      </w:tr>
      <w:tr w:rsidR="00925C7D" w:rsidRPr="00ED0D6D" w14:paraId="769A62CF" w14:textId="77777777" w:rsidTr="00CA2F95">
        <w:trPr>
          <w:trHeight w:val="305"/>
        </w:trPr>
        <w:tc>
          <w:tcPr>
            <w:tcW w:w="657" w:type="dxa"/>
            <w:shd w:val="clear" w:color="auto" w:fill="auto"/>
            <w:vAlign w:val="center"/>
            <w:hideMark/>
          </w:tcPr>
          <w:p w14:paraId="516C5AD1"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4E4D2FA" w14:textId="77777777" w:rsidR="00925C7D" w:rsidRPr="00ED0D6D" w:rsidRDefault="00925C7D" w:rsidP="00CA2F95">
            <w:pPr>
              <w:jc w:val="both"/>
              <w:rPr>
                <w:color w:val="000000"/>
                <w:sz w:val="20"/>
              </w:rPr>
            </w:pPr>
            <w:r w:rsidRPr="00ED0D6D">
              <w:rPr>
                <w:color w:val="000000"/>
                <w:sz w:val="20"/>
              </w:rPr>
              <w:t>Aukštųjų mokyklų absolventų, įsidarbinusių eiti atitinkamos kvalifikacijos reikalingas pareigas per 12 mėnesių po studijų baigimo, dalis nuo visų dirbančių ir netęsiančių mokslų absolventų (proc.)</w:t>
            </w:r>
          </w:p>
        </w:tc>
        <w:tc>
          <w:tcPr>
            <w:tcW w:w="1080" w:type="dxa"/>
            <w:shd w:val="clear" w:color="000000" w:fill="FFFFFF"/>
            <w:vAlign w:val="center"/>
          </w:tcPr>
          <w:p w14:paraId="197E8C80" w14:textId="77777777" w:rsidR="00925C7D" w:rsidRPr="00ED0D6D" w:rsidRDefault="00925C7D" w:rsidP="00CA2F95">
            <w:pPr>
              <w:jc w:val="center"/>
              <w:rPr>
                <w:color w:val="000000"/>
                <w:sz w:val="20"/>
              </w:rPr>
            </w:pPr>
            <w:r w:rsidRPr="00ED0D6D">
              <w:rPr>
                <w:color w:val="000000"/>
                <w:sz w:val="20"/>
              </w:rPr>
              <w:t>67,3 (2019)</w:t>
            </w:r>
          </w:p>
        </w:tc>
        <w:tc>
          <w:tcPr>
            <w:tcW w:w="1080" w:type="dxa"/>
            <w:shd w:val="clear" w:color="auto" w:fill="auto"/>
            <w:noWrap/>
            <w:vAlign w:val="center"/>
          </w:tcPr>
          <w:p w14:paraId="26E0CF83"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1985933C"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346E1294"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center"/>
          </w:tcPr>
          <w:p w14:paraId="7DCB90ED" w14:textId="77777777" w:rsidR="00925C7D" w:rsidRPr="00ED0D6D" w:rsidRDefault="00925C7D" w:rsidP="00CA2F95">
            <w:pPr>
              <w:jc w:val="center"/>
              <w:rPr>
                <w:color w:val="000000"/>
                <w:sz w:val="20"/>
              </w:rPr>
            </w:pPr>
            <w:r w:rsidRPr="00ED0D6D">
              <w:rPr>
                <w:color w:val="000000"/>
                <w:sz w:val="20"/>
              </w:rPr>
              <w:t>71,3</w:t>
            </w:r>
          </w:p>
        </w:tc>
        <w:tc>
          <w:tcPr>
            <w:tcW w:w="1250" w:type="dxa"/>
            <w:shd w:val="clear" w:color="auto" w:fill="auto"/>
            <w:vAlign w:val="center"/>
          </w:tcPr>
          <w:p w14:paraId="0583DA26"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2E5495A2" w14:textId="77777777" w:rsidR="00925C7D" w:rsidRPr="00ED0D6D" w:rsidRDefault="00925C7D" w:rsidP="00CA2F95">
            <w:pPr>
              <w:jc w:val="center"/>
              <w:rPr>
                <w:color w:val="000000"/>
                <w:sz w:val="20"/>
              </w:rPr>
            </w:pPr>
            <w:r w:rsidRPr="00ED0D6D">
              <w:rPr>
                <w:color w:val="000000"/>
                <w:sz w:val="20"/>
              </w:rPr>
              <w:t>Vyriausybės strateginės analizės centras</w:t>
            </w:r>
          </w:p>
        </w:tc>
        <w:tc>
          <w:tcPr>
            <w:tcW w:w="1172" w:type="dxa"/>
            <w:shd w:val="clear" w:color="auto" w:fill="auto"/>
            <w:vAlign w:val="center"/>
          </w:tcPr>
          <w:p w14:paraId="7DFD39AB" w14:textId="77777777" w:rsidR="00925C7D" w:rsidRPr="00ED0D6D" w:rsidRDefault="00925C7D" w:rsidP="00CA2F95">
            <w:pPr>
              <w:jc w:val="center"/>
              <w:rPr>
                <w:b/>
                <w:bCs/>
                <w:i/>
                <w:iCs/>
                <w:color w:val="000000"/>
                <w:sz w:val="20"/>
              </w:rPr>
            </w:pPr>
            <w:r w:rsidRPr="00ED0D6D">
              <w:rPr>
                <w:b/>
                <w:bCs/>
                <w:color w:val="000000"/>
                <w:sz w:val="20"/>
              </w:rPr>
              <w:t>18LRVP</w:t>
            </w:r>
          </w:p>
        </w:tc>
      </w:tr>
      <w:tr w:rsidR="00925C7D" w:rsidRPr="00ED0D6D" w14:paraId="75F1146A" w14:textId="77777777" w:rsidTr="00CA2F95">
        <w:trPr>
          <w:trHeight w:val="305"/>
        </w:trPr>
        <w:tc>
          <w:tcPr>
            <w:tcW w:w="657" w:type="dxa"/>
            <w:shd w:val="clear" w:color="auto" w:fill="auto"/>
            <w:vAlign w:val="center"/>
          </w:tcPr>
          <w:p w14:paraId="1BCD8B9F"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772264F" w14:textId="77777777" w:rsidR="00925C7D" w:rsidRPr="00ED0D6D" w:rsidRDefault="00925C7D" w:rsidP="00CA2F95">
            <w:pPr>
              <w:jc w:val="both"/>
              <w:rPr>
                <w:color w:val="000000"/>
                <w:sz w:val="20"/>
              </w:rPr>
            </w:pPr>
            <w:r w:rsidRPr="00ED0D6D">
              <w:rPr>
                <w:color w:val="000000"/>
                <w:sz w:val="20"/>
              </w:rPr>
              <w:t>Įsidarbinusių 20–34 metų asmenų, prieš 1–3 metus gavusių profesinio mokymo diplomą kartu su viduriniu išsilavinimu arba po to, kai įgijo vidurinį išsilavinimą, dalis (proc.)</w:t>
            </w:r>
          </w:p>
        </w:tc>
        <w:tc>
          <w:tcPr>
            <w:tcW w:w="1080" w:type="dxa"/>
            <w:shd w:val="clear" w:color="000000" w:fill="FFFFFF"/>
            <w:vAlign w:val="center"/>
          </w:tcPr>
          <w:p w14:paraId="31346C7B" w14:textId="77777777" w:rsidR="00925C7D" w:rsidRPr="00ED0D6D" w:rsidRDefault="00925C7D" w:rsidP="00CA2F95">
            <w:pPr>
              <w:jc w:val="center"/>
              <w:rPr>
                <w:color w:val="000000"/>
                <w:sz w:val="20"/>
              </w:rPr>
            </w:pPr>
            <w:r w:rsidRPr="00ED0D6D">
              <w:rPr>
                <w:color w:val="000000"/>
                <w:sz w:val="20"/>
              </w:rPr>
              <w:t>67,3 (2019)</w:t>
            </w:r>
          </w:p>
        </w:tc>
        <w:tc>
          <w:tcPr>
            <w:tcW w:w="1080" w:type="dxa"/>
            <w:shd w:val="clear" w:color="auto" w:fill="auto"/>
            <w:noWrap/>
            <w:vAlign w:val="center"/>
          </w:tcPr>
          <w:p w14:paraId="433284F9"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04241994"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77F6036D"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center"/>
          </w:tcPr>
          <w:p w14:paraId="33EE636F" w14:textId="77777777" w:rsidR="00925C7D" w:rsidRPr="00ED0D6D" w:rsidRDefault="00925C7D" w:rsidP="00CA2F95">
            <w:pPr>
              <w:jc w:val="center"/>
              <w:rPr>
                <w:color w:val="000000"/>
                <w:sz w:val="20"/>
              </w:rPr>
            </w:pPr>
            <w:r w:rsidRPr="00ED0D6D">
              <w:rPr>
                <w:color w:val="000000"/>
                <w:sz w:val="20"/>
              </w:rPr>
              <w:t>80</w:t>
            </w:r>
          </w:p>
        </w:tc>
        <w:tc>
          <w:tcPr>
            <w:tcW w:w="1250" w:type="dxa"/>
            <w:shd w:val="clear" w:color="auto" w:fill="auto"/>
            <w:vAlign w:val="center"/>
          </w:tcPr>
          <w:p w14:paraId="5B697675"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7F25E3C" w14:textId="77777777" w:rsidR="00925C7D" w:rsidRPr="00ED0D6D" w:rsidRDefault="00925C7D" w:rsidP="00CA2F95">
            <w:pPr>
              <w:jc w:val="center"/>
              <w:rPr>
                <w:color w:val="000000"/>
                <w:sz w:val="20"/>
              </w:rPr>
            </w:pPr>
            <w:r w:rsidRPr="00ED0D6D">
              <w:rPr>
                <w:color w:val="000000"/>
                <w:sz w:val="20"/>
              </w:rPr>
              <w:t>Eurostatas</w:t>
            </w:r>
          </w:p>
        </w:tc>
        <w:tc>
          <w:tcPr>
            <w:tcW w:w="1172" w:type="dxa"/>
            <w:shd w:val="clear" w:color="auto" w:fill="auto"/>
            <w:vAlign w:val="center"/>
          </w:tcPr>
          <w:p w14:paraId="28162E0B" w14:textId="77777777" w:rsidR="00925C7D" w:rsidRPr="00ED0D6D" w:rsidRDefault="00925C7D" w:rsidP="00CA2F95">
            <w:pPr>
              <w:jc w:val="center"/>
              <w:rPr>
                <w:b/>
                <w:bCs/>
                <w:i/>
                <w:iCs/>
                <w:color w:val="000000"/>
                <w:sz w:val="20"/>
              </w:rPr>
            </w:pPr>
            <w:r w:rsidRPr="00ED0D6D">
              <w:rPr>
                <w:b/>
                <w:bCs/>
                <w:color w:val="000000"/>
                <w:sz w:val="20"/>
              </w:rPr>
              <w:t>18LRVP</w:t>
            </w:r>
          </w:p>
        </w:tc>
      </w:tr>
      <w:tr w:rsidR="00925C7D" w:rsidRPr="00ED0D6D" w14:paraId="3ECB8914" w14:textId="77777777" w:rsidTr="00CA2F95">
        <w:trPr>
          <w:trHeight w:val="305"/>
        </w:trPr>
        <w:tc>
          <w:tcPr>
            <w:tcW w:w="657" w:type="dxa"/>
            <w:shd w:val="clear" w:color="auto" w:fill="auto"/>
            <w:vAlign w:val="center"/>
          </w:tcPr>
          <w:p w14:paraId="3CA91E18"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EF454A9" w14:textId="77777777" w:rsidR="00925C7D" w:rsidRPr="00ED0D6D" w:rsidRDefault="00925C7D" w:rsidP="00CA2F95">
            <w:pPr>
              <w:jc w:val="both"/>
              <w:rPr>
                <w:color w:val="000000"/>
                <w:sz w:val="20"/>
              </w:rPr>
            </w:pPr>
            <w:r w:rsidRPr="00ED0D6D">
              <w:rPr>
                <w:color w:val="000000"/>
                <w:sz w:val="20"/>
              </w:rPr>
              <w:t xml:space="preserve">Neformaliojo vaikų švietimo prieinamumas (proc.) </w:t>
            </w:r>
          </w:p>
        </w:tc>
        <w:tc>
          <w:tcPr>
            <w:tcW w:w="1080" w:type="dxa"/>
            <w:shd w:val="clear" w:color="000000" w:fill="FFFFFF"/>
            <w:vAlign w:val="center"/>
          </w:tcPr>
          <w:p w14:paraId="3E60BE59" w14:textId="77777777" w:rsidR="00925C7D" w:rsidRPr="00ED0D6D" w:rsidRDefault="00925C7D" w:rsidP="00CA2F95">
            <w:pPr>
              <w:jc w:val="center"/>
              <w:rPr>
                <w:color w:val="000000"/>
                <w:sz w:val="20"/>
              </w:rPr>
            </w:pPr>
            <w:r w:rsidRPr="00ED0D6D">
              <w:rPr>
                <w:color w:val="000000"/>
                <w:sz w:val="20"/>
              </w:rPr>
              <w:t>62,6</w:t>
            </w:r>
          </w:p>
        </w:tc>
        <w:tc>
          <w:tcPr>
            <w:tcW w:w="1080" w:type="dxa"/>
            <w:shd w:val="clear" w:color="auto" w:fill="auto"/>
            <w:noWrap/>
            <w:vAlign w:val="center"/>
          </w:tcPr>
          <w:p w14:paraId="207325D7" w14:textId="77777777" w:rsidR="00925C7D" w:rsidRPr="00ED0D6D" w:rsidRDefault="00925C7D" w:rsidP="00CA2F95">
            <w:pPr>
              <w:jc w:val="center"/>
              <w:rPr>
                <w:color w:val="000000"/>
                <w:sz w:val="20"/>
              </w:rPr>
            </w:pPr>
            <w:r w:rsidRPr="00ED0D6D">
              <w:rPr>
                <w:color w:val="000000"/>
                <w:sz w:val="20"/>
              </w:rPr>
              <w:t>60,2</w:t>
            </w:r>
          </w:p>
        </w:tc>
        <w:tc>
          <w:tcPr>
            <w:tcW w:w="956" w:type="dxa"/>
            <w:shd w:val="clear" w:color="auto" w:fill="auto"/>
            <w:vAlign w:val="center"/>
          </w:tcPr>
          <w:p w14:paraId="7C7F63D9"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3E266542" w14:textId="77777777" w:rsidR="00925C7D" w:rsidRPr="00ED0D6D" w:rsidRDefault="00925C7D" w:rsidP="00CA2F95">
            <w:pPr>
              <w:jc w:val="center"/>
              <w:rPr>
                <w:color w:val="000000"/>
                <w:sz w:val="20"/>
              </w:rPr>
            </w:pPr>
            <w:r w:rsidRPr="00ED0D6D">
              <w:rPr>
                <w:color w:val="000000"/>
                <w:sz w:val="20"/>
              </w:rPr>
              <w:t>75</w:t>
            </w:r>
          </w:p>
        </w:tc>
        <w:tc>
          <w:tcPr>
            <w:tcW w:w="1250" w:type="dxa"/>
            <w:shd w:val="clear" w:color="auto" w:fill="auto"/>
            <w:noWrap/>
            <w:vAlign w:val="center"/>
          </w:tcPr>
          <w:p w14:paraId="62075E54" w14:textId="77777777" w:rsidR="00925C7D" w:rsidRPr="00ED0D6D" w:rsidRDefault="00925C7D" w:rsidP="00CA2F95">
            <w:pPr>
              <w:jc w:val="center"/>
              <w:rPr>
                <w:color w:val="000000"/>
                <w:sz w:val="20"/>
              </w:rPr>
            </w:pPr>
            <w:r w:rsidRPr="00ED0D6D">
              <w:rPr>
                <w:color w:val="000000"/>
                <w:sz w:val="20"/>
              </w:rPr>
              <w:t>65</w:t>
            </w:r>
          </w:p>
        </w:tc>
        <w:tc>
          <w:tcPr>
            <w:tcW w:w="1250" w:type="dxa"/>
            <w:shd w:val="clear" w:color="auto" w:fill="auto"/>
            <w:vAlign w:val="center"/>
          </w:tcPr>
          <w:p w14:paraId="4FBAB60C" w14:textId="77777777" w:rsidR="00925C7D" w:rsidRPr="00ED0D6D" w:rsidRDefault="00925C7D" w:rsidP="00CA2F95">
            <w:pPr>
              <w:jc w:val="center"/>
              <w:rPr>
                <w:color w:val="000000"/>
                <w:sz w:val="20"/>
              </w:rPr>
            </w:pPr>
            <w:r w:rsidRPr="00ED0D6D">
              <w:rPr>
                <w:color w:val="000000"/>
                <w:sz w:val="20"/>
              </w:rPr>
              <w:t>75</w:t>
            </w:r>
          </w:p>
        </w:tc>
        <w:tc>
          <w:tcPr>
            <w:tcW w:w="2491" w:type="dxa"/>
            <w:shd w:val="clear" w:color="auto" w:fill="auto"/>
            <w:vAlign w:val="center"/>
          </w:tcPr>
          <w:p w14:paraId="48E6DC06"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5B93C112" w14:textId="77777777" w:rsidR="00925C7D" w:rsidRPr="00ED0D6D" w:rsidRDefault="00925C7D" w:rsidP="00CA2F95">
            <w:pPr>
              <w:jc w:val="center"/>
              <w:rPr>
                <w:sz w:val="20"/>
              </w:rPr>
            </w:pPr>
            <w:r w:rsidRPr="00ED0D6D">
              <w:rPr>
                <w:sz w:val="20"/>
              </w:rPr>
              <w:t>NPP 2030 NPP 2020</w:t>
            </w:r>
          </w:p>
          <w:p w14:paraId="4E62C926" w14:textId="77777777" w:rsidR="00925C7D" w:rsidRPr="00ED0D6D" w:rsidRDefault="00925C7D" w:rsidP="00CA2F95">
            <w:pPr>
              <w:jc w:val="center"/>
              <w:rPr>
                <w:color w:val="000000"/>
                <w:sz w:val="20"/>
              </w:rPr>
            </w:pPr>
            <w:r w:rsidRPr="00ED0D6D">
              <w:rPr>
                <w:color w:val="000000"/>
                <w:sz w:val="20"/>
              </w:rPr>
              <w:lastRenderedPageBreak/>
              <w:t>17LRVP</w:t>
            </w:r>
          </w:p>
        </w:tc>
      </w:tr>
      <w:tr w:rsidR="00925C7D" w:rsidRPr="00ED0D6D" w14:paraId="7F752915" w14:textId="77777777" w:rsidTr="00CA2F95">
        <w:trPr>
          <w:trHeight w:val="305"/>
        </w:trPr>
        <w:tc>
          <w:tcPr>
            <w:tcW w:w="657" w:type="dxa"/>
            <w:shd w:val="clear" w:color="auto" w:fill="auto"/>
            <w:vAlign w:val="center"/>
          </w:tcPr>
          <w:p w14:paraId="215688AD"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0FC62879" w14:textId="77777777" w:rsidR="00925C7D" w:rsidRPr="00ED0D6D" w:rsidRDefault="00925C7D" w:rsidP="00CA2F95">
            <w:pPr>
              <w:jc w:val="both"/>
              <w:rPr>
                <w:color w:val="000000"/>
                <w:sz w:val="20"/>
              </w:rPr>
            </w:pPr>
            <w:r w:rsidRPr="00ED0D6D">
              <w:rPr>
                <w:color w:val="000000"/>
                <w:sz w:val="20"/>
              </w:rPr>
              <w:t xml:space="preserve">25–64 metų gyventojų, per 4 paskutines savaites dalyvavusių švietimo ir profesinio mokymo veikloje, dalis (proc.) </w:t>
            </w:r>
          </w:p>
        </w:tc>
        <w:tc>
          <w:tcPr>
            <w:tcW w:w="1080" w:type="dxa"/>
            <w:shd w:val="clear" w:color="000000" w:fill="FFFFFF"/>
            <w:vAlign w:val="center"/>
          </w:tcPr>
          <w:p w14:paraId="400B5258" w14:textId="77777777" w:rsidR="00925C7D" w:rsidRPr="00ED0D6D" w:rsidRDefault="00925C7D" w:rsidP="00CA2F95">
            <w:pPr>
              <w:jc w:val="center"/>
              <w:rPr>
                <w:color w:val="000000"/>
                <w:sz w:val="20"/>
              </w:rPr>
            </w:pPr>
            <w:r w:rsidRPr="00ED0D6D">
              <w:rPr>
                <w:color w:val="000000"/>
                <w:sz w:val="20"/>
              </w:rPr>
              <w:t>7</w:t>
            </w:r>
          </w:p>
        </w:tc>
        <w:tc>
          <w:tcPr>
            <w:tcW w:w="1080" w:type="dxa"/>
            <w:shd w:val="clear" w:color="auto" w:fill="auto"/>
            <w:noWrap/>
            <w:vAlign w:val="center"/>
          </w:tcPr>
          <w:p w14:paraId="0D62D024"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22D7A436" w14:textId="77777777" w:rsidR="00925C7D" w:rsidRPr="00ED0D6D" w:rsidRDefault="00925C7D" w:rsidP="00CA2F95">
            <w:pPr>
              <w:jc w:val="center"/>
              <w:rPr>
                <w:color w:val="000000"/>
                <w:sz w:val="20"/>
              </w:rPr>
            </w:pPr>
            <w:r w:rsidRPr="00ED0D6D">
              <w:rPr>
                <w:color w:val="000000"/>
                <w:sz w:val="20"/>
              </w:rPr>
              <w:t>11,3 (2019)</w:t>
            </w:r>
          </w:p>
        </w:tc>
        <w:tc>
          <w:tcPr>
            <w:tcW w:w="983" w:type="dxa"/>
            <w:shd w:val="clear" w:color="auto" w:fill="auto"/>
            <w:vAlign w:val="center"/>
          </w:tcPr>
          <w:p w14:paraId="45C368C2" w14:textId="77777777" w:rsidR="00925C7D" w:rsidRPr="00ED0D6D" w:rsidRDefault="00925C7D" w:rsidP="00CA2F95">
            <w:pPr>
              <w:jc w:val="center"/>
              <w:rPr>
                <w:color w:val="000000"/>
                <w:sz w:val="20"/>
              </w:rPr>
            </w:pPr>
            <w:r w:rsidRPr="00ED0D6D">
              <w:rPr>
                <w:color w:val="000000"/>
                <w:sz w:val="20"/>
              </w:rPr>
              <w:t>9</w:t>
            </w:r>
          </w:p>
        </w:tc>
        <w:tc>
          <w:tcPr>
            <w:tcW w:w="1250" w:type="dxa"/>
            <w:shd w:val="clear" w:color="auto" w:fill="auto"/>
            <w:noWrap/>
            <w:vAlign w:val="center"/>
          </w:tcPr>
          <w:p w14:paraId="7496BCB4" w14:textId="77777777" w:rsidR="00925C7D" w:rsidRPr="00ED0D6D" w:rsidRDefault="00925C7D" w:rsidP="00CA2F95">
            <w:pPr>
              <w:jc w:val="center"/>
              <w:rPr>
                <w:color w:val="000000"/>
                <w:sz w:val="20"/>
              </w:rPr>
            </w:pPr>
            <w:r w:rsidRPr="00ED0D6D">
              <w:rPr>
                <w:color w:val="000000"/>
                <w:sz w:val="20"/>
              </w:rPr>
              <w:t>10</w:t>
            </w:r>
          </w:p>
        </w:tc>
        <w:tc>
          <w:tcPr>
            <w:tcW w:w="1250" w:type="dxa"/>
            <w:shd w:val="clear" w:color="auto" w:fill="auto"/>
            <w:vAlign w:val="center"/>
          </w:tcPr>
          <w:p w14:paraId="55D24A9D" w14:textId="77777777" w:rsidR="00925C7D" w:rsidRPr="00ED0D6D" w:rsidRDefault="00925C7D" w:rsidP="00CA2F95">
            <w:pPr>
              <w:jc w:val="center"/>
              <w:rPr>
                <w:color w:val="000000"/>
                <w:sz w:val="20"/>
              </w:rPr>
            </w:pPr>
            <w:r w:rsidRPr="00ED0D6D">
              <w:rPr>
                <w:color w:val="000000"/>
                <w:sz w:val="20"/>
              </w:rPr>
              <w:t>15</w:t>
            </w:r>
          </w:p>
        </w:tc>
        <w:tc>
          <w:tcPr>
            <w:tcW w:w="2491" w:type="dxa"/>
            <w:shd w:val="clear" w:color="auto" w:fill="auto"/>
            <w:vAlign w:val="center"/>
          </w:tcPr>
          <w:p w14:paraId="7F85415F" w14:textId="77777777" w:rsidR="00925C7D" w:rsidRPr="00ED0D6D" w:rsidRDefault="00925C7D" w:rsidP="00CA2F95">
            <w:pPr>
              <w:jc w:val="center"/>
              <w:rPr>
                <w:color w:val="000000"/>
                <w:sz w:val="20"/>
              </w:rPr>
            </w:pPr>
            <w:r w:rsidRPr="00ED0D6D">
              <w:rPr>
                <w:color w:val="000000"/>
                <w:sz w:val="20"/>
              </w:rPr>
              <w:t>Eurostatas</w:t>
            </w:r>
          </w:p>
        </w:tc>
        <w:tc>
          <w:tcPr>
            <w:tcW w:w="1172" w:type="dxa"/>
            <w:shd w:val="clear" w:color="auto" w:fill="auto"/>
            <w:vAlign w:val="center"/>
          </w:tcPr>
          <w:p w14:paraId="3629DFA2" w14:textId="77777777" w:rsidR="00925C7D" w:rsidRPr="00ED0D6D" w:rsidRDefault="00925C7D" w:rsidP="00CA2F95">
            <w:pPr>
              <w:jc w:val="center"/>
              <w:rPr>
                <w:color w:val="000000"/>
                <w:sz w:val="20"/>
              </w:rPr>
            </w:pPr>
            <w:r w:rsidRPr="00ED0D6D">
              <w:rPr>
                <w:color w:val="000000"/>
                <w:sz w:val="20"/>
              </w:rPr>
              <w:t>VPS 2030 NPP 2030  NPP 2020 17LRVP</w:t>
            </w:r>
          </w:p>
        </w:tc>
      </w:tr>
      <w:tr w:rsidR="00925C7D" w:rsidRPr="00ED0D6D" w14:paraId="23F7E5D7" w14:textId="77777777" w:rsidTr="00CA2F95">
        <w:trPr>
          <w:trHeight w:val="305"/>
        </w:trPr>
        <w:tc>
          <w:tcPr>
            <w:tcW w:w="657" w:type="dxa"/>
            <w:shd w:val="clear" w:color="auto" w:fill="auto"/>
            <w:vAlign w:val="center"/>
          </w:tcPr>
          <w:p w14:paraId="4CB605A9"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E04081F" w14:textId="77777777" w:rsidR="00925C7D" w:rsidRPr="00ED0D6D" w:rsidRDefault="00925C7D" w:rsidP="00CA2F95">
            <w:pPr>
              <w:jc w:val="both"/>
              <w:rPr>
                <w:color w:val="000000"/>
                <w:sz w:val="20"/>
              </w:rPr>
            </w:pPr>
            <w:r w:rsidRPr="00ED0D6D">
              <w:rPr>
                <w:sz w:val="20"/>
              </w:rPr>
              <w:t xml:space="preserve">Pilietinės galios indeksas (balai) </w:t>
            </w:r>
          </w:p>
        </w:tc>
        <w:tc>
          <w:tcPr>
            <w:tcW w:w="1080" w:type="dxa"/>
            <w:shd w:val="clear" w:color="000000" w:fill="FFFFFF"/>
            <w:vAlign w:val="center"/>
          </w:tcPr>
          <w:p w14:paraId="7BB88465" w14:textId="77777777" w:rsidR="00925C7D" w:rsidRPr="00ED0D6D" w:rsidRDefault="00925C7D" w:rsidP="00CA2F95">
            <w:pPr>
              <w:jc w:val="center"/>
              <w:rPr>
                <w:color w:val="000000"/>
                <w:sz w:val="20"/>
              </w:rPr>
            </w:pPr>
            <w:r w:rsidRPr="00ED0D6D">
              <w:rPr>
                <w:color w:val="000000"/>
                <w:sz w:val="20"/>
              </w:rPr>
              <w:t>39,7</w:t>
            </w:r>
          </w:p>
        </w:tc>
        <w:tc>
          <w:tcPr>
            <w:tcW w:w="1080" w:type="dxa"/>
            <w:shd w:val="clear" w:color="auto" w:fill="auto"/>
            <w:noWrap/>
            <w:vAlign w:val="center"/>
          </w:tcPr>
          <w:p w14:paraId="70BC0FB3"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79B32D5A"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69DFC21D" w14:textId="77777777" w:rsidR="00925C7D" w:rsidRPr="00ED0D6D" w:rsidRDefault="00925C7D" w:rsidP="00CA2F95">
            <w:pPr>
              <w:jc w:val="center"/>
              <w:rPr>
                <w:color w:val="000000"/>
                <w:sz w:val="20"/>
              </w:rPr>
            </w:pPr>
            <w:r w:rsidRPr="00ED0D6D">
              <w:rPr>
                <w:color w:val="000000"/>
                <w:sz w:val="20"/>
              </w:rPr>
              <w:t>38</w:t>
            </w:r>
          </w:p>
        </w:tc>
        <w:tc>
          <w:tcPr>
            <w:tcW w:w="1250" w:type="dxa"/>
            <w:shd w:val="clear" w:color="auto" w:fill="auto"/>
            <w:noWrap/>
            <w:vAlign w:val="center"/>
          </w:tcPr>
          <w:p w14:paraId="4826CC71" w14:textId="77777777" w:rsidR="00925C7D" w:rsidRPr="00ED0D6D" w:rsidRDefault="00925C7D" w:rsidP="00CA2F95">
            <w:pPr>
              <w:jc w:val="center"/>
              <w:rPr>
                <w:color w:val="000000"/>
                <w:sz w:val="20"/>
              </w:rPr>
            </w:pPr>
            <w:r w:rsidRPr="00ED0D6D">
              <w:rPr>
                <w:color w:val="000000"/>
                <w:sz w:val="20"/>
              </w:rPr>
              <w:t>45</w:t>
            </w:r>
          </w:p>
        </w:tc>
        <w:tc>
          <w:tcPr>
            <w:tcW w:w="1250" w:type="dxa"/>
            <w:shd w:val="clear" w:color="auto" w:fill="auto"/>
            <w:vAlign w:val="center"/>
          </w:tcPr>
          <w:p w14:paraId="137DF933" w14:textId="77777777" w:rsidR="00925C7D" w:rsidRPr="00ED0D6D" w:rsidRDefault="00925C7D" w:rsidP="00CA2F95">
            <w:pPr>
              <w:jc w:val="center"/>
              <w:rPr>
                <w:color w:val="000000"/>
                <w:sz w:val="20"/>
              </w:rPr>
            </w:pPr>
            <w:r w:rsidRPr="00ED0D6D">
              <w:rPr>
                <w:color w:val="000000"/>
                <w:sz w:val="20"/>
              </w:rPr>
              <w:t>53</w:t>
            </w:r>
          </w:p>
        </w:tc>
        <w:tc>
          <w:tcPr>
            <w:tcW w:w="2491" w:type="dxa"/>
            <w:shd w:val="clear" w:color="auto" w:fill="auto"/>
            <w:vAlign w:val="center"/>
          </w:tcPr>
          <w:p w14:paraId="62CDCD73" w14:textId="77777777" w:rsidR="00925C7D" w:rsidRPr="00ED0D6D" w:rsidRDefault="00925C7D" w:rsidP="00CA2F95">
            <w:pPr>
              <w:jc w:val="center"/>
              <w:rPr>
                <w:color w:val="000000"/>
                <w:sz w:val="20"/>
              </w:rPr>
            </w:pPr>
            <w:r w:rsidRPr="00ED0D6D">
              <w:rPr>
                <w:color w:val="000000"/>
                <w:sz w:val="20"/>
              </w:rPr>
              <w:t>Pilietinės visuomenės institutas</w:t>
            </w:r>
          </w:p>
        </w:tc>
        <w:tc>
          <w:tcPr>
            <w:tcW w:w="1172" w:type="dxa"/>
            <w:shd w:val="clear" w:color="auto" w:fill="auto"/>
            <w:vAlign w:val="center"/>
          </w:tcPr>
          <w:p w14:paraId="0C4FB043" w14:textId="77777777" w:rsidR="00925C7D" w:rsidRPr="00ED0D6D" w:rsidRDefault="00925C7D" w:rsidP="00CA2F95">
            <w:pPr>
              <w:jc w:val="center"/>
              <w:rPr>
                <w:color w:val="000000"/>
                <w:sz w:val="20"/>
              </w:rPr>
            </w:pPr>
            <w:r w:rsidRPr="00ED0D6D">
              <w:rPr>
                <w:color w:val="000000"/>
                <w:sz w:val="20"/>
              </w:rPr>
              <w:t>VPS 2030 NPP 2030 NPP 2020</w:t>
            </w:r>
          </w:p>
          <w:p w14:paraId="6829BB00"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05058B37" w14:textId="77777777" w:rsidTr="00CA2F95">
        <w:trPr>
          <w:trHeight w:val="305"/>
        </w:trPr>
        <w:tc>
          <w:tcPr>
            <w:tcW w:w="657" w:type="dxa"/>
            <w:shd w:val="clear" w:color="auto" w:fill="auto"/>
            <w:vAlign w:val="center"/>
          </w:tcPr>
          <w:p w14:paraId="78391FB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2830C5F" w14:textId="77777777" w:rsidR="00925C7D" w:rsidRPr="00ED0D6D" w:rsidRDefault="00925C7D" w:rsidP="00CA2F95">
            <w:pPr>
              <w:jc w:val="both"/>
              <w:rPr>
                <w:color w:val="000000"/>
                <w:sz w:val="20"/>
              </w:rPr>
            </w:pPr>
            <w:r w:rsidRPr="00ED0D6D">
              <w:rPr>
                <w:color w:val="000000"/>
                <w:sz w:val="20"/>
              </w:rPr>
              <w:t xml:space="preserve">Lietuvos universitetų, patenkančių į QS reitingo 500-uką skaičius (vienetai)   </w:t>
            </w:r>
          </w:p>
        </w:tc>
        <w:tc>
          <w:tcPr>
            <w:tcW w:w="1080" w:type="dxa"/>
            <w:shd w:val="clear" w:color="000000" w:fill="FFFFFF"/>
            <w:vAlign w:val="center"/>
          </w:tcPr>
          <w:p w14:paraId="387E5E45" w14:textId="77777777" w:rsidR="00925C7D" w:rsidRPr="00ED0D6D" w:rsidRDefault="00925C7D" w:rsidP="00CA2F95">
            <w:pPr>
              <w:jc w:val="center"/>
              <w:rPr>
                <w:color w:val="000000"/>
                <w:sz w:val="20"/>
              </w:rPr>
            </w:pPr>
            <w:r w:rsidRPr="00ED0D6D">
              <w:rPr>
                <w:color w:val="000000"/>
                <w:sz w:val="20"/>
              </w:rPr>
              <w:t>1</w:t>
            </w:r>
          </w:p>
        </w:tc>
        <w:tc>
          <w:tcPr>
            <w:tcW w:w="1080" w:type="dxa"/>
            <w:shd w:val="clear" w:color="auto" w:fill="auto"/>
            <w:noWrap/>
            <w:vAlign w:val="center"/>
          </w:tcPr>
          <w:p w14:paraId="62F35B06" w14:textId="77777777" w:rsidR="00925C7D" w:rsidRPr="00ED0D6D" w:rsidRDefault="00925C7D" w:rsidP="00CA2F95">
            <w:pPr>
              <w:jc w:val="center"/>
              <w:rPr>
                <w:color w:val="000000"/>
                <w:sz w:val="20"/>
              </w:rPr>
            </w:pPr>
            <w:r w:rsidRPr="00ED0D6D">
              <w:rPr>
                <w:color w:val="000000"/>
                <w:sz w:val="20"/>
              </w:rPr>
              <w:t>1</w:t>
            </w:r>
          </w:p>
        </w:tc>
        <w:tc>
          <w:tcPr>
            <w:tcW w:w="956" w:type="dxa"/>
            <w:shd w:val="clear" w:color="auto" w:fill="auto"/>
            <w:vAlign w:val="center"/>
          </w:tcPr>
          <w:p w14:paraId="2CF7ECD7"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3E45D104" w14:textId="77777777" w:rsidR="00925C7D" w:rsidRPr="00ED0D6D" w:rsidRDefault="00925C7D" w:rsidP="00CA2F95">
            <w:pPr>
              <w:jc w:val="center"/>
              <w:rPr>
                <w:color w:val="000000"/>
                <w:sz w:val="20"/>
              </w:rPr>
            </w:pPr>
            <w:r w:rsidRPr="00ED0D6D">
              <w:rPr>
                <w:color w:val="000000"/>
                <w:sz w:val="20"/>
              </w:rPr>
              <w:t>2</w:t>
            </w:r>
          </w:p>
        </w:tc>
        <w:tc>
          <w:tcPr>
            <w:tcW w:w="1250" w:type="dxa"/>
            <w:shd w:val="clear" w:color="auto" w:fill="auto"/>
            <w:noWrap/>
            <w:vAlign w:val="center"/>
          </w:tcPr>
          <w:p w14:paraId="17706949" w14:textId="77777777" w:rsidR="00925C7D" w:rsidRPr="00ED0D6D" w:rsidRDefault="00925C7D" w:rsidP="00CA2F95">
            <w:pPr>
              <w:jc w:val="center"/>
              <w:rPr>
                <w:color w:val="000000"/>
                <w:sz w:val="20"/>
              </w:rPr>
            </w:pPr>
            <w:r w:rsidRPr="00ED0D6D">
              <w:rPr>
                <w:color w:val="000000"/>
                <w:sz w:val="20"/>
              </w:rPr>
              <w:t>1</w:t>
            </w:r>
          </w:p>
        </w:tc>
        <w:tc>
          <w:tcPr>
            <w:tcW w:w="1250" w:type="dxa"/>
            <w:shd w:val="clear" w:color="auto" w:fill="auto"/>
            <w:vAlign w:val="center"/>
          </w:tcPr>
          <w:p w14:paraId="4E83DF66" w14:textId="77777777" w:rsidR="00925C7D" w:rsidRPr="00ED0D6D" w:rsidRDefault="00925C7D" w:rsidP="00CA2F95">
            <w:pPr>
              <w:jc w:val="center"/>
              <w:rPr>
                <w:color w:val="000000"/>
                <w:sz w:val="20"/>
              </w:rPr>
            </w:pPr>
            <w:r w:rsidRPr="00ED0D6D">
              <w:rPr>
                <w:color w:val="000000"/>
                <w:sz w:val="20"/>
              </w:rPr>
              <w:t>2</w:t>
            </w:r>
          </w:p>
        </w:tc>
        <w:tc>
          <w:tcPr>
            <w:tcW w:w="2491" w:type="dxa"/>
            <w:shd w:val="clear" w:color="auto" w:fill="auto"/>
            <w:vAlign w:val="center"/>
          </w:tcPr>
          <w:p w14:paraId="341E29A4" w14:textId="77777777" w:rsidR="00925C7D" w:rsidRPr="00ED0D6D" w:rsidRDefault="00925C7D" w:rsidP="00CA2F95">
            <w:pPr>
              <w:jc w:val="center"/>
              <w:rPr>
                <w:color w:val="000000"/>
                <w:sz w:val="20"/>
              </w:rPr>
            </w:pPr>
            <w:r w:rsidRPr="00ED0D6D">
              <w:rPr>
                <w:color w:val="000000"/>
                <w:sz w:val="20"/>
              </w:rPr>
              <w:t xml:space="preserve">QS </w:t>
            </w:r>
            <w:proofErr w:type="spellStart"/>
            <w:r w:rsidRPr="00ED0D6D">
              <w:rPr>
                <w:color w:val="000000"/>
                <w:sz w:val="20"/>
              </w:rPr>
              <w:t>World</w:t>
            </w:r>
            <w:proofErr w:type="spellEnd"/>
            <w:r w:rsidRPr="00ED0D6D">
              <w:rPr>
                <w:color w:val="000000"/>
                <w:sz w:val="20"/>
              </w:rPr>
              <w:t xml:space="preserve"> University </w:t>
            </w:r>
            <w:proofErr w:type="spellStart"/>
            <w:r w:rsidRPr="00ED0D6D">
              <w:rPr>
                <w:color w:val="000000"/>
                <w:sz w:val="20"/>
              </w:rPr>
              <w:t>Rankings</w:t>
            </w:r>
            <w:proofErr w:type="spellEnd"/>
          </w:p>
        </w:tc>
        <w:tc>
          <w:tcPr>
            <w:tcW w:w="1172" w:type="dxa"/>
            <w:shd w:val="clear" w:color="auto" w:fill="auto"/>
            <w:vAlign w:val="center"/>
          </w:tcPr>
          <w:p w14:paraId="04304D67" w14:textId="77777777" w:rsidR="00925C7D" w:rsidRPr="00ED0D6D" w:rsidRDefault="00925C7D" w:rsidP="00CA2F95">
            <w:pPr>
              <w:jc w:val="center"/>
              <w:rPr>
                <w:color w:val="000000"/>
                <w:sz w:val="20"/>
              </w:rPr>
            </w:pPr>
            <w:r w:rsidRPr="00ED0D6D">
              <w:rPr>
                <w:color w:val="000000"/>
                <w:sz w:val="20"/>
              </w:rPr>
              <w:t>NPP 2030</w:t>
            </w:r>
          </w:p>
          <w:p w14:paraId="4C160D35"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6A424A16" w14:textId="77777777" w:rsidTr="00CA2F95">
        <w:trPr>
          <w:trHeight w:val="305"/>
        </w:trPr>
        <w:tc>
          <w:tcPr>
            <w:tcW w:w="657" w:type="dxa"/>
            <w:shd w:val="clear" w:color="auto" w:fill="auto"/>
            <w:vAlign w:val="center"/>
          </w:tcPr>
          <w:p w14:paraId="40BA721B"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BB84755" w14:textId="77777777" w:rsidR="00925C7D" w:rsidRPr="00ED0D6D" w:rsidRDefault="00925C7D" w:rsidP="00CA2F95">
            <w:pPr>
              <w:jc w:val="both"/>
              <w:rPr>
                <w:color w:val="000000"/>
                <w:sz w:val="20"/>
              </w:rPr>
            </w:pPr>
            <w:r w:rsidRPr="00ED0D6D">
              <w:rPr>
                <w:color w:val="000000"/>
                <w:sz w:val="20"/>
              </w:rPr>
              <w:t xml:space="preserve">Mokykloje nė karto per 2 mėnesius patyčių nepatyrusių mokinių dalis nuo visų mokinių (proc.)   </w:t>
            </w:r>
          </w:p>
        </w:tc>
        <w:tc>
          <w:tcPr>
            <w:tcW w:w="1080" w:type="dxa"/>
            <w:shd w:val="clear" w:color="000000" w:fill="FFFFFF"/>
            <w:vAlign w:val="center"/>
          </w:tcPr>
          <w:p w14:paraId="77955354" w14:textId="77777777" w:rsidR="00925C7D" w:rsidRPr="00ED0D6D" w:rsidRDefault="00925C7D" w:rsidP="00CA2F95">
            <w:pPr>
              <w:jc w:val="center"/>
              <w:rPr>
                <w:color w:val="000000"/>
                <w:sz w:val="20"/>
              </w:rPr>
            </w:pPr>
            <w:r w:rsidRPr="00ED0D6D">
              <w:rPr>
                <w:color w:val="000000"/>
                <w:sz w:val="20"/>
              </w:rPr>
              <w:t>48,2 (2018)</w:t>
            </w:r>
          </w:p>
        </w:tc>
        <w:tc>
          <w:tcPr>
            <w:tcW w:w="1080" w:type="dxa"/>
            <w:shd w:val="clear" w:color="auto" w:fill="auto"/>
            <w:noWrap/>
            <w:vAlign w:val="center"/>
          </w:tcPr>
          <w:p w14:paraId="36AABA59"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4EBBB37C"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11E17D02" w14:textId="77777777" w:rsidR="00925C7D" w:rsidRPr="00ED0D6D" w:rsidRDefault="00925C7D" w:rsidP="00CA2F95">
            <w:pPr>
              <w:jc w:val="center"/>
              <w:rPr>
                <w:color w:val="000000"/>
                <w:sz w:val="20"/>
              </w:rPr>
            </w:pPr>
            <w:r w:rsidRPr="00ED0D6D">
              <w:rPr>
                <w:color w:val="000000"/>
                <w:sz w:val="20"/>
              </w:rPr>
              <w:t>70</w:t>
            </w:r>
          </w:p>
        </w:tc>
        <w:tc>
          <w:tcPr>
            <w:tcW w:w="1250" w:type="dxa"/>
            <w:shd w:val="clear" w:color="auto" w:fill="auto"/>
            <w:noWrap/>
            <w:vAlign w:val="center"/>
          </w:tcPr>
          <w:p w14:paraId="12856ADB" w14:textId="77777777" w:rsidR="00925C7D" w:rsidRPr="00ED0D6D" w:rsidRDefault="00925C7D" w:rsidP="00CA2F95">
            <w:pPr>
              <w:jc w:val="center"/>
              <w:rPr>
                <w:color w:val="000000"/>
                <w:sz w:val="20"/>
              </w:rPr>
            </w:pPr>
            <w:r w:rsidRPr="00ED0D6D">
              <w:rPr>
                <w:color w:val="000000"/>
                <w:sz w:val="20"/>
              </w:rPr>
              <w:t>55</w:t>
            </w:r>
          </w:p>
        </w:tc>
        <w:tc>
          <w:tcPr>
            <w:tcW w:w="1250" w:type="dxa"/>
            <w:shd w:val="clear" w:color="auto" w:fill="auto"/>
            <w:vAlign w:val="center"/>
          </w:tcPr>
          <w:p w14:paraId="2360FEB8" w14:textId="77777777" w:rsidR="00925C7D" w:rsidRPr="00ED0D6D" w:rsidRDefault="00925C7D" w:rsidP="00CA2F95">
            <w:pPr>
              <w:jc w:val="center"/>
              <w:rPr>
                <w:color w:val="000000"/>
                <w:sz w:val="20"/>
              </w:rPr>
            </w:pPr>
            <w:r w:rsidRPr="00ED0D6D">
              <w:rPr>
                <w:color w:val="000000"/>
                <w:sz w:val="20"/>
              </w:rPr>
              <w:t>70</w:t>
            </w:r>
          </w:p>
        </w:tc>
        <w:tc>
          <w:tcPr>
            <w:tcW w:w="2491" w:type="dxa"/>
            <w:shd w:val="clear" w:color="auto" w:fill="auto"/>
            <w:vAlign w:val="center"/>
          </w:tcPr>
          <w:p w14:paraId="5B18A44C" w14:textId="77777777" w:rsidR="00925C7D" w:rsidRPr="00ED0D6D" w:rsidRDefault="00925C7D" w:rsidP="00CA2F95">
            <w:pPr>
              <w:jc w:val="center"/>
              <w:rPr>
                <w:color w:val="000000"/>
                <w:sz w:val="20"/>
              </w:rPr>
            </w:pPr>
            <w:r w:rsidRPr="00ED0D6D">
              <w:rPr>
                <w:color w:val="000000"/>
                <w:sz w:val="20"/>
              </w:rPr>
              <w:t>ŠVIS, Sveikatos ir gyvensenos tyrimas HBSC</w:t>
            </w:r>
          </w:p>
        </w:tc>
        <w:tc>
          <w:tcPr>
            <w:tcW w:w="1172" w:type="dxa"/>
            <w:shd w:val="clear" w:color="auto" w:fill="auto"/>
            <w:vAlign w:val="center"/>
          </w:tcPr>
          <w:p w14:paraId="5B63CE13" w14:textId="77777777" w:rsidR="00925C7D" w:rsidRPr="00ED0D6D" w:rsidRDefault="00925C7D" w:rsidP="00CA2F95">
            <w:pPr>
              <w:jc w:val="center"/>
              <w:rPr>
                <w:color w:val="000000"/>
                <w:sz w:val="20"/>
              </w:rPr>
            </w:pPr>
            <w:r w:rsidRPr="00ED0D6D">
              <w:rPr>
                <w:color w:val="000000"/>
                <w:sz w:val="20"/>
              </w:rPr>
              <w:t>NPP 2030</w:t>
            </w:r>
          </w:p>
          <w:p w14:paraId="1EE5A045" w14:textId="77777777" w:rsidR="00925C7D" w:rsidRPr="00ED0D6D" w:rsidRDefault="00925C7D" w:rsidP="00CA2F95">
            <w:pPr>
              <w:jc w:val="center"/>
              <w:rPr>
                <w:color w:val="000000"/>
                <w:sz w:val="20"/>
              </w:rPr>
            </w:pPr>
            <w:r w:rsidRPr="00ED0D6D">
              <w:rPr>
                <w:color w:val="000000"/>
                <w:sz w:val="20"/>
              </w:rPr>
              <w:t xml:space="preserve">17LRVP </w:t>
            </w:r>
          </w:p>
        </w:tc>
      </w:tr>
      <w:tr w:rsidR="00925C7D" w:rsidRPr="00ED0D6D" w14:paraId="715A9803" w14:textId="77777777" w:rsidTr="00CA2F95">
        <w:trPr>
          <w:trHeight w:val="305"/>
        </w:trPr>
        <w:tc>
          <w:tcPr>
            <w:tcW w:w="657" w:type="dxa"/>
            <w:shd w:val="clear" w:color="auto" w:fill="auto"/>
            <w:vAlign w:val="center"/>
          </w:tcPr>
          <w:p w14:paraId="0C2111B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BB1B6FA" w14:textId="77777777" w:rsidR="00925C7D" w:rsidRPr="00ED0D6D" w:rsidRDefault="00925C7D" w:rsidP="00CA2F95">
            <w:pPr>
              <w:jc w:val="both"/>
              <w:rPr>
                <w:color w:val="000000"/>
                <w:sz w:val="20"/>
              </w:rPr>
            </w:pPr>
            <w:r w:rsidRPr="00ED0D6D">
              <w:rPr>
                <w:color w:val="000000"/>
                <w:sz w:val="20"/>
              </w:rPr>
              <w:t xml:space="preserve">Sugrįžusių asmenų, gavusių pagalbą integravimuisi į švietimo sistemą, dalis nuo besikreipiančių (proc.)   </w:t>
            </w:r>
          </w:p>
        </w:tc>
        <w:tc>
          <w:tcPr>
            <w:tcW w:w="1080" w:type="dxa"/>
            <w:shd w:val="clear" w:color="000000" w:fill="FFFFFF"/>
            <w:vAlign w:val="center"/>
          </w:tcPr>
          <w:p w14:paraId="1BC58DAF" w14:textId="77777777" w:rsidR="00925C7D" w:rsidRPr="00ED0D6D" w:rsidRDefault="00925C7D" w:rsidP="00CA2F95">
            <w:pPr>
              <w:jc w:val="center"/>
              <w:rPr>
                <w:color w:val="000000"/>
                <w:sz w:val="20"/>
              </w:rPr>
            </w:pPr>
            <w:r w:rsidRPr="00ED0D6D">
              <w:rPr>
                <w:color w:val="000000"/>
                <w:sz w:val="20"/>
              </w:rPr>
              <w:t>88,7</w:t>
            </w:r>
          </w:p>
        </w:tc>
        <w:tc>
          <w:tcPr>
            <w:tcW w:w="1080" w:type="dxa"/>
            <w:shd w:val="clear" w:color="auto" w:fill="auto"/>
            <w:noWrap/>
            <w:vAlign w:val="center"/>
          </w:tcPr>
          <w:p w14:paraId="04D9259B" w14:textId="77777777" w:rsidR="00925C7D" w:rsidRPr="00ED0D6D" w:rsidRDefault="00925C7D" w:rsidP="00CA2F95">
            <w:pPr>
              <w:jc w:val="center"/>
              <w:rPr>
                <w:color w:val="000000"/>
                <w:sz w:val="20"/>
              </w:rPr>
            </w:pPr>
            <w:r w:rsidRPr="00ED0D6D">
              <w:rPr>
                <w:color w:val="000000"/>
                <w:sz w:val="20"/>
              </w:rPr>
              <w:t>83,9</w:t>
            </w:r>
          </w:p>
        </w:tc>
        <w:tc>
          <w:tcPr>
            <w:tcW w:w="956" w:type="dxa"/>
            <w:shd w:val="clear" w:color="auto" w:fill="auto"/>
            <w:vAlign w:val="center"/>
          </w:tcPr>
          <w:p w14:paraId="1984532C"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4778ABE" w14:textId="77777777" w:rsidR="00925C7D" w:rsidRPr="00ED0D6D" w:rsidRDefault="00925C7D" w:rsidP="00CA2F95">
            <w:pPr>
              <w:jc w:val="center"/>
              <w:rPr>
                <w:color w:val="000000"/>
                <w:sz w:val="20"/>
              </w:rPr>
            </w:pPr>
            <w:r w:rsidRPr="00ED0D6D">
              <w:rPr>
                <w:color w:val="000000"/>
                <w:sz w:val="20"/>
              </w:rPr>
              <w:t>70</w:t>
            </w:r>
          </w:p>
        </w:tc>
        <w:tc>
          <w:tcPr>
            <w:tcW w:w="1250" w:type="dxa"/>
            <w:shd w:val="clear" w:color="auto" w:fill="auto"/>
            <w:noWrap/>
            <w:vAlign w:val="center"/>
          </w:tcPr>
          <w:p w14:paraId="791240A2" w14:textId="77777777" w:rsidR="00925C7D" w:rsidRPr="00ED0D6D" w:rsidRDefault="00925C7D" w:rsidP="00CA2F95">
            <w:pPr>
              <w:jc w:val="center"/>
              <w:rPr>
                <w:color w:val="000000"/>
                <w:sz w:val="20"/>
              </w:rPr>
            </w:pPr>
            <w:r w:rsidRPr="00ED0D6D">
              <w:rPr>
                <w:color w:val="000000"/>
                <w:sz w:val="20"/>
              </w:rPr>
              <w:t>93</w:t>
            </w:r>
          </w:p>
        </w:tc>
        <w:tc>
          <w:tcPr>
            <w:tcW w:w="1250" w:type="dxa"/>
            <w:shd w:val="clear" w:color="auto" w:fill="auto"/>
            <w:vAlign w:val="center"/>
          </w:tcPr>
          <w:p w14:paraId="4C468E19" w14:textId="77777777" w:rsidR="00925C7D" w:rsidRPr="00ED0D6D" w:rsidRDefault="00925C7D" w:rsidP="00CA2F95">
            <w:pPr>
              <w:jc w:val="center"/>
              <w:rPr>
                <w:color w:val="000000"/>
                <w:sz w:val="20"/>
              </w:rPr>
            </w:pPr>
            <w:r w:rsidRPr="00ED0D6D">
              <w:rPr>
                <w:color w:val="000000"/>
                <w:sz w:val="20"/>
              </w:rPr>
              <w:t>95</w:t>
            </w:r>
          </w:p>
        </w:tc>
        <w:tc>
          <w:tcPr>
            <w:tcW w:w="2491" w:type="dxa"/>
            <w:shd w:val="clear" w:color="auto" w:fill="auto"/>
            <w:vAlign w:val="center"/>
          </w:tcPr>
          <w:p w14:paraId="49C629AD"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5239AE75" w14:textId="77777777" w:rsidR="00925C7D" w:rsidRPr="00ED0D6D" w:rsidRDefault="00925C7D" w:rsidP="00CA2F95">
            <w:pPr>
              <w:jc w:val="center"/>
              <w:rPr>
                <w:color w:val="000000"/>
                <w:sz w:val="20"/>
              </w:rPr>
            </w:pPr>
            <w:r w:rsidRPr="00ED0D6D">
              <w:rPr>
                <w:color w:val="000000"/>
                <w:sz w:val="20"/>
              </w:rPr>
              <w:t>NPP 2030</w:t>
            </w:r>
          </w:p>
          <w:p w14:paraId="09E6ABD4"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3343D6B7" w14:textId="77777777" w:rsidTr="00CA2F95">
        <w:trPr>
          <w:trHeight w:val="305"/>
        </w:trPr>
        <w:tc>
          <w:tcPr>
            <w:tcW w:w="657" w:type="dxa"/>
            <w:shd w:val="clear" w:color="auto" w:fill="auto"/>
            <w:vAlign w:val="center"/>
          </w:tcPr>
          <w:p w14:paraId="3B86AD8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8BC6A1D" w14:textId="77777777" w:rsidR="00925C7D" w:rsidRPr="00ED0D6D" w:rsidRDefault="00925C7D" w:rsidP="00CA2F95">
            <w:pPr>
              <w:jc w:val="both"/>
              <w:rPr>
                <w:color w:val="000000"/>
                <w:sz w:val="20"/>
              </w:rPr>
            </w:pPr>
            <w:r w:rsidRPr="00ED0D6D">
              <w:rPr>
                <w:color w:val="000000"/>
                <w:sz w:val="20"/>
              </w:rPr>
              <w:t xml:space="preserve">25–34 metų asmenų, kurie mokosi pagal formaliojo švietimo programas, dalis (proc.)   </w:t>
            </w:r>
          </w:p>
        </w:tc>
        <w:tc>
          <w:tcPr>
            <w:tcW w:w="1080" w:type="dxa"/>
            <w:shd w:val="clear" w:color="000000" w:fill="FFFFFF"/>
            <w:vAlign w:val="center"/>
          </w:tcPr>
          <w:p w14:paraId="2F3FB25A" w14:textId="77777777" w:rsidR="00925C7D" w:rsidRPr="00ED0D6D" w:rsidRDefault="00925C7D" w:rsidP="00CA2F95">
            <w:pPr>
              <w:jc w:val="center"/>
              <w:rPr>
                <w:color w:val="000000"/>
                <w:sz w:val="20"/>
              </w:rPr>
            </w:pPr>
            <w:r w:rsidRPr="00ED0D6D">
              <w:rPr>
                <w:color w:val="000000"/>
                <w:sz w:val="20"/>
              </w:rPr>
              <w:t>4,7</w:t>
            </w:r>
          </w:p>
        </w:tc>
        <w:tc>
          <w:tcPr>
            <w:tcW w:w="1080" w:type="dxa"/>
            <w:shd w:val="clear" w:color="auto" w:fill="auto"/>
            <w:noWrap/>
            <w:vAlign w:val="center"/>
          </w:tcPr>
          <w:p w14:paraId="39A9FC0A"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4936E133" w14:textId="77777777" w:rsidR="00925C7D" w:rsidRPr="00ED0D6D" w:rsidRDefault="00925C7D" w:rsidP="00CA2F95">
            <w:pPr>
              <w:jc w:val="center"/>
              <w:rPr>
                <w:color w:val="000000"/>
                <w:sz w:val="20"/>
              </w:rPr>
            </w:pPr>
            <w:r w:rsidRPr="00ED0D6D">
              <w:rPr>
                <w:color w:val="000000"/>
                <w:sz w:val="20"/>
              </w:rPr>
              <w:t>9,3 (2019)</w:t>
            </w:r>
          </w:p>
        </w:tc>
        <w:tc>
          <w:tcPr>
            <w:tcW w:w="983" w:type="dxa"/>
            <w:shd w:val="clear" w:color="auto" w:fill="auto"/>
            <w:vAlign w:val="center"/>
          </w:tcPr>
          <w:p w14:paraId="596A4C00" w14:textId="77777777" w:rsidR="00925C7D" w:rsidRPr="00ED0D6D" w:rsidRDefault="00925C7D" w:rsidP="00CA2F95">
            <w:pPr>
              <w:jc w:val="center"/>
              <w:rPr>
                <w:color w:val="000000"/>
                <w:sz w:val="20"/>
              </w:rPr>
            </w:pPr>
            <w:r w:rsidRPr="00ED0D6D">
              <w:rPr>
                <w:color w:val="000000"/>
                <w:sz w:val="20"/>
              </w:rPr>
              <w:t>14</w:t>
            </w:r>
          </w:p>
        </w:tc>
        <w:tc>
          <w:tcPr>
            <w:tcW w:w="1250" w:type="dxa"/>
            <w:shd w:val="clear" w:color="auto" w:fill="auto"/>
            <w:noWrap/>
            <w:vAlign w:val="center"/>
          </w:tcPr>
          <w:p w14:paraId="5DF27A1C"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3A436368"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6496173" w14:textId="77777777" w:rsidR="00925C7D" w:rsidRPr="00ED0D6D" w:rsidRDefault="00925C7D" w:rsidP="00CA2F95">
            <w:pPr>
              <w:jc w:val="center"/>
              <w:rPr>
                <w:color w:val="000000"/>
                <w:sz w:val="20"/>
              </w:rPr>
            </w:pPr>
            <w:r w:rsidRPr="00ED0D6D">
              <w:rPr>
                <w:color w:val="000000"/>
                <w:sz w:val="20"/>
              </w:rPr>
              <w:t>Eurostatas</w:t>
            </w:r>
          </w:p>
        </w:tc>
        <w:tc>
          <w:tcPr>
            <w:tcW w:w="1172" w:type="dxa"/>
            <w:shd w:val="clear" w:color="auto" w:fill="auto"/>
            <w:vAlign w:val="center"/>
          </w:tcPr>
          <w:p w14:paraId="082C5C5C" w14:textId="77777777" w:rsidR="00925C7D" w:rsidRPr="00ED0D6D" w:rsidRDefault="00925C7D" w:rsidP="00CA2F95">
            <w:pPr>
              <w:jc w:val="center"/>
              <w:rPr>
                <w:color w:val="000000"/>
                <w:sz w:val="20"/>
              </w:rPr>
            </w:pPr>
            <w:r w:rsidRPr="00ED0D6D">
              <w:rPr>
                <w:color w:val="000000"/>
                <w:sz w:val="20"/>
              </w:rPr>
              <w:t>NPP 2020</w:t>
            </w:r>
          </w:p>
          <w:p w14:paraId="28DFF842" w14:textId="77777777" w:rsidR="00925C7D" w:rsidRPr="00ED0D6D" w:rsidRDefault="00925C7D" w:rsidP="00CA2F95">
            <w:pPr>
              <w:jc w:val="center"/>
              <w:rPr>
                <w:color w:val="000000"/>
                <w:sz w:val="20"/>
              </w:rPr>
            </w:pPr>
            <w:r w:rsidRPr="00ED0D6D">
              <w:rPr>
                <w:color w:val="000000"/>
                <w:sz w:val="20"/>
              </w:rPr>
              <w:t xml:space="preserve">17LRVP </w:t>
            </w:r>
          </w:p>
        </w:tc>
      </w:tr>
      <w:tr w:rsidR="00925C7D" w:rsidRPr="00ED0D6D" w14:paraId="0E3105CB" w14:textId="77777777" w:rsidTr="00CA2F95">
        <w:trPr>
          <w:trHeight w:val="305"/>
        </w:trPr>
        <w:tc>
          <w:tcPr>
            <w:tcW w:w="657" w:type="dxa"/>
            <w:shd w:val="clear" w:color="auto" w:fill="auto"/>
            <w:vAlign w:val="center"/>
          </w:tcPr>
          <w:p w14:paraId="4C91030C"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22EB1A8" w14:textId="77777777" w:rsidR="00925C7D" w:rsidRPr="00ED0D6D" w:rsidRDefault="00925C7D" w:rsidP="00CA2F95">
            <w:pPr>
              <w:jc w:val="both"/>
              <w:rPr>
                <w:color w:val="000000"/>
                <w:sz w:val="20"/>
              </w:rPr>
            </w:pPr>
            <w:r w:rsidRPr="00ED0D6D">
              <w:rPr>
                <w:color w:val="000000"/>
                <w:sz w:val="20"/>
              </w:rPr>
              <w:t>Švietimo įstaigas lankančių 4-6 m. vaikų dalis (proc.)</w:t>
            </w:r>
          </w:p>
        </w:tc>
        <w:tc>
          <w:tcPr>
            <w:tcW w:w="1080" w:type="dxa"/>
            <w:shd w:val="clear" w:color="000000" w:fill="FFFFFF"/>
            <w:vAlign w:val="center"/>
          </w:tcPr>
          <w:p w14:paraId="0462731F" w14:textId="77777777" w:rsidR="00925C7D" w:rsidRPr="00ED0D6D" w:rsidRDefault="00925C7D" w:rsidP="00CA2F95">
            <w:pPr>
              <w:jc w:val="center"/>
              <w:rPr>
                <w:color w:val="000000"/>
                <w:sz w:val="20"/>
              </w:rPr>
            </w:pPr>
            <w:r w:rsidRPr="00ED0D6D">
              <w:rPr>
                <w:color w:val="000000"/>
                <w:sz w:val="20"/>
              </w:rPr>
              <w:t xml:space="preserve">91 </w:t>
            </w:r>
          </w:p>
          <w:p w14:paraId="4FE70DC1" w14:textId="77777777" w:rsidR="00925C7D" w:rsidRPr="00ED0D6D" w:rsidRDefault="00925C7D" w:rsidP="00CA2F95">
            <w:pPr>
              <w:jc w:val="center"/>
              <w:rPr>
                <w:color w:val="000000"/>
                <w:sz w:val="20"/>
              </w:rPr>
            </w:pPr>
            <w:r w:rsidRPr="00ED0D6D">
              <w:rPr>
                <w:color w:val="000000"/>
                <w:sz w:val="20"/>
              </w:rPr>
              <w:t>(2018)</w:t>
            </w:r>
          </w:p>
        </w:tc>
        <w:tc>
          <w:tcPr>
            <w:tcW w:w="1080" w:type="dxa"/>
            <w:shd w:val="clear" w:color="auto" w:fill="auto"/>
            <w:noWrap/>
            <w:vAlign w:val="center"/>
          </w:tcPr>
          <w:p w14:paraId="6E07865E"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31BABB83"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63B851B3" w14:textId="77777777" w:rsidR="00925C7D" w:rsidRPr="00ED0D6D" w:rsidRDefault="00925C7D" w:rsidP="00CA2F95">
            <w:pPr>
              <w:jc w:val="center"/>
              <w:rPr>
                <w:color w:val="000000"/>
                <w:sz w:val="20"/>
              </w:rPr>
            </w:pPr>
            <w:r w:rsidRPr="00ED0D6D">
              <w:rPr>
                <w:color w:val="000000"/>
                <w:sz w:val="20"/>
              </w:rPr>
              <w:t>95</w:t>
            </w:r>
          </w:p>
        </w:tc>
        <w:tc>
          <w:tcPr>
            <w:tcW w:w="1250" w:type="dxa"/>
            <w:shd w:val="clear" w:color="auto" w:fill="auto"/>
            <w:noWrap/>
            <w:vAlign w:val="center"/>
          </w:tcPr>
          <w:p w14:paraId="31233A50"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2F80D353"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C37DCD5" w14:textId="77777777" w:rsidR="00925C7D" w:rsidRPr="00ED0D6D" w:rsidRDefault="00925C7D" w:rsidP="00CA2F95">
            <w:pPr>
              <w:jc w:val="center"/>
              <w:rPr>
                <w:color w:val="000000"/>
                <w:sz w:val="20"/>
              </w:rPr>
            </w:pPr>
            <w:r w:rsidRPr="00ED0D6D">
              <w:rPr>
                <w:color w:val="000000"/>
                <w:sz w:val="20"/>
              </w:rPr>
              <w:t>Eurostatas</w:t>
            </w:r>
          </w:p>
        </w:tc>
        <w:tc>
          <w:tcPr>
            <w:tcW w:w="1172" w:type="dxa"/>
            <w:shd w:val="clear" w:color="auto" w:fill="auto"/>
            <w:vAlign w:val="center"/>
          </w:tcPr>
          <w:p w14:paraId="061FD4BD"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29F220EE" w14:textId="77777777" w:rsidTr="00CA2F95">
        <w:trPr>
          <w:trHeight w:val="305"/>
        </w:trPr>
        <w:tc>
          <w:tcPr>
            <w:tcW w:w="657" w:type="dxa"/>
            <w:shd w:val="clear" w:color="auto" w:fill="auto"/>
            <w:vAlign w:val="center"/>
          </w:tcPr>
          <w:p w14:paraId="09B7F9E4"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1FA5BB1" w14:textId="77777777" w:rsidR="00925C7D" w:rsidRPr="00ED0D6D" w:rsidRDefault="00925C7D" w:rsidP="00CA2F95">
            <w:pPr>
              <w:jc w:val="both"/>
              <w:rPr>
                <w:color w:val="000000"/>
                <w:sz w:val="20"/>
              </w:rPr>
            </w:pPr>
            <w:r w:rsidRPr="00ED0D6D">
              <w:rPr>
                <w:color w:val="000000"/>
                <w:sz w:val="20"/>
              </w:rPr>
              <w:t xml:space="preserve">5 m. vaikų, ugdomų pagal priešmokyklinio ugdymo programą, dalis (proc.) </w:t>
            </w:r>
          </w:p>
        </w:tc>
        <w:tc>
          <w:tcPr>
            <w:tcW w:w="1080" w:type="dxa"/>
            <w:shd w:val="clear" w:color="000000" w:fill="FFFFFF"/>
            <w:vAlign w:val="center"/>
          </w:tcPr>
          <w:p w14:paraId="2C9C9A86" w14:textId="77777777" w:rsidR="00925C7D" w:rsidRPr="00ED0D6D" w:rsidRDefault="00925C7D" w:rsidP="00CA2F95">
            <w:pPr>
              <w:jc w:val="center"/>
              <w:rPr>
                <w:color w:val="000000"/>
                <w:sz w:val="20"/>
              </w:rPr>
            </w:pPr>
            <w:r w:rsidRPr="00ED0D6D">
              <w:rPr>
                <w:color w:val="000000"/>
                <w:sz w:val="20"/>
              </w:rPr>
              <w:t>7,8</w:t>
            </w:r>
          </w:p>
        </w:tc>
        <w:tc>
          <w:tcPr>
            <w:tcW w:w="1080" w:type="dxa"/>
            <w:shd w:val="clear" w:color="auto" w:fill="auto"/>
            <w:noWrap/>
            <w:vAlign w:val="center"/>
          </w:tcPr>
          <w:p w14:paraId="0EE0DF06" w14:textId="77777777" w:rsidR="00925C7D" w:rsidRPr="00ED0D6D" w:rsidRDefault="00925C7D" w:rsidP="00CA2F95">
            <w:pPr>
              <w:jc w:val="center"/>
              <w:rPr>
                <w:color w:val="000000"/>
                <w:sz w:val="20"/>
              </w:rPr>
            </w:pPr>
            <w:r w:rsidRPr="00ED0D6D">
              <w:rPr>
                <w:color w:val="000000"/>
                <w:sz w:val="20"/>
              </w:rPr>
              <w:t>7,4</w:t>
            </w:r>
          </w:p>
        </w:tc>
        <w:tc>
          <w:tcPr>
            <w:tcW w:w="956" w:type="dxa"/>
            <w:shd w:val="clear" w:color="auto" w:fill="auto"/>
            <w:vAlign w:val="center"/>
          </w:tcPr>
          <w:p w14:paraId="63D8A293"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8E1C07D" w14:textId="77777777" w:rsidR="00925C7D" w:rsidRPr="00ED0D6D" w:rsidRDefault="00925C7D" w:rsidP="00CA2F95">
            <w:pPr>
              <w:jc w:val="center"/>
              <w:rPr>
                <w:color w:val="000000"/>
                <w:sz w:val="20"/>
              </w:rPr>
            </w:pPr>
            <w:r w:rsidRPr="00ED0D6D">
              <w:rPr>
                <w:color w:val="000000"/>
                <w:sz w:val="20"/>
              </w:rPr>
              <w:t>75</w:t>
            </w:r>
          </w:p>
        </w:tc>
        <w:tc>
          <w:tcPr>
            <w:tcW w:w="1250" w:type="dxa"/>
            <w:shd w:val="clear" w:color="auto" w:fill="auto"/>
            <w:noWrap/>
            <w:vAlign w:val="center"/>
          </w:tcPr>
          <w:p w14:paraId="57A24224"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6D04AE7"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FD64200"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59AF0225"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50F1ADBC" w14:textId="77777777" w:rsidTr="00CA2F95">
        <w:trPr>
          <w:trHeight w:val="305"/>
        </w:trPr>
        <w:tc>
          <w:tcPr>
            <w:tcW w:w="657" w:type="dxa"/>
            <w:shd w:val="clear" w:color="auto" w:fill="auto"/>
            <w:vAlign w:val="center"/>
          </w:tcPr>
          <w:p w14:paraId="48E61BFC"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ECC5E00" w14:textId="77777777" w:rsidR="00925C7D" w:rsidRPr="00ED0D6D" w:rsidRDefault="00925C7D" w:rsidP="00CA2F95">
            <w:pPr>
              <w:jc w:val="both"/>
              <w:rPr>
                <w:color w:val="000000"/>
                <w:sz w:val="20"/>
              </w:rPr>
            </w:pPr>
            <w:r w:rsidRPr="00ED0D6D">
              <w:rPr>
                <w:color w:val="000000"/>
                <w:sz w:val="20"/>
              </w:rPr>
              <w:t>6 metų vaikų, ugdomų pagal pradinio ugdymo programą, dalis (proc.)</w:t>
            </w:r>
          </w:p>
        </w:tc>
        <w:tc>
          <w:tcPr>
            <w:tcW w:w="1080" w:type="dxa"/>
            <w:shd w:val="clear" w:color="000000" w:fill="FFFFFF"/>
            <w:vAlign w:val="center"/>
          </w:tcPr>
          <w:p w14:paraId="413EFC78" w14:textId="77777777" w:rsidR="00925C7D" w:rsidRPr="00ED0D6D" w:rsidRDefault="00925C7D" w:rsidP="00CA2F95">
            <w:pPr>
              <w:jc w:val="center"/>
              <w:rPr>
                <w:color w:val="000000"/>
                <w:sz w:val="20"/>
              </w:rPr>
            </w:pPr>
            <w:r w:rsidRPr="00ED0D6D">
              <w:rPr>
                <w:color w:val="000000"/>
                <w:sz w:val="20"/>
              </w:rPr>
              <w:t>8,1</w:t>
            </w:r>
          </w:p>
        </w:tc>
        <w:tc>
          <w:tcPr>
            <w:tcW w:w="1080" w:type="dxa"/>
            <w:shd w:val="clear" w:color="auto" w:fill="auto"/>
            <w:noWrap/>
            <w:vAlign w:val="center"/>
          </w:tcPr>
          <w:p w14:paraId="28685299" w14:textId="77777777" w:rsidR="00925C7D" w:rsidRPr="00ED0D6D" w:rsidRDefault="00925C7D" w:rsidP="00CA2F95">
            <w:pPr>
              <w:jc w:val="center"/>
              <w:rPr>
                <w:color w:val="000000"/>
                <w:sz w:val="20"/>
              </w:rPr>
            </w:pPr>
            <w:r w:rsidRPr="00ED0D6D">
              <w:rPr>
                <w:color w:val="000000"/>
                <w:sz w:val="20"/>
              </w:rPr>
              <w:t>7,9</w:t>
            </w:r>
          </w:p>
        </w:tc>
        <w:tc>
          <w:tcPr>
            <w:tcW w:w="956" w:type="dxa"/>
            <w:shd w:val="clear" w:color="auto" w:fill="auto"/>
            <w:vAlign w:val="center"/>
          </w:tcPr>
          <w:p w14:paraId="45358A9A"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321319AD" w14:textId="77777777" w:rsidR="00925C7D" w:rsidRPr="00ED0D6D" w:rsidRDefault="00925C7D" w:rsidP="00CA2F95">
            <w:pPr>
              <w:jc w:val="center"/>
              <w:rPr>
                <w:color w:val="000000"/>
                <w:sz w:val="20"/>
              </w:rPr>
            </w:pPr>
            <w:r w:rsidRPr="00ED0D6D">
              <w:rPr>
                <w:color w:val="000000"/>
                <w:sz w:val="20"/>
              </w:rPr>
              <w:t>100</w:t>
            </w:r>
          </w:p>
        </w:tc>
        <w:tc>
          <w:tcPr>
            <w:tcW w:w="1250" w:type="dxa"/>
            <w:shd w:val="clear" w:color="auto" w:fill="auto"/>
            <w:noWrap/>
            <w:vAlign w:val="center"/>
          </w:tcPr>
          <w:p w14:paraId="21CCD29F"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9B8F042"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56E5ED4A"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4DCD1D81"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3B9CFD2C" w14:textId="77777777" w:rsidTr="00CA2F95">
        <w:trPr>
          <w:trHeight w:val="305"/>
        </w:trPr>
        <w:tc>
          <w:tcPr>
            <w:tcW w:w="657" w:type="dxa"/>
            <w:shd w:val="clear" w:color="auto" w:fill="auto"/>
            <w:vAlign w:val="center"/>
          </w:tcPr>
          <w:p w14:paraId="62A2F74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20F4A9BF" w14:textId="77777777" w:rsidR="00925C7D" w:rsidRPr="00ED0D6D" w:rsidRDefault="00925C7D" w:rsidP="00CA2F95">
            <w:pPr>
              <w:jc w:val="both"/>
              <w:rPr>
                <w:color w:val="000000"/>
                <w:sz w:val="20"/>
              </w:rPr>
            </w:pPr>
            <w:r w:rsidRPr="00ED0D6D">
              <w:rPr>
                <w:color w:val="000000"/>
                <w:sz w:val="20"/>
              </w:rPr>
              <w:t xml:space="preserve">Visos dienos mokyklą lankančių mokinių dalis nuo visų mokinių (proc.)  </w:t>
            </w:r>
          </w:p>
        </w:tc>
        <w:tc>
          <w:tcPr>
            <w:tcW w:w="1080" w:type="dxa"/>
            <w:shd w:val="clear" w:color="000000" w:fill="FFFFFF"/>
            <w:vAlign w:val="center"/>
          </w:tcPr>
          <w:p w14:paraId="6520C725" w14:textId="77777777" w:rsidR="00925C7D" w:rsidRPr="00ED0D6D" w:rsidRDefault="00925C7D" w:rsidP="00CA2F95">
            <w:pPr>
              <w:jc w:val="center"/>
              <w:rPr>
                <w:color w:val="000000"/>
                <w:sz w:val="20"/>
              </w:rPr>
            </w:pPr>
            <w:r w:rsidRPr="00ED0D6D">
              <w:rPr>
                <w:color w:val="000000"/>
                <w:sz w:val="20"/>
              </w:rPr>
              <w:t>4</w:t>
            </w:r>
          </w:p>
        </w:tc>
        <w:tc>
          <w:tcPr>
            <w:tcW w:w="1080" w:type="dxa"/>
            <w:shd w:val="clear" w:color="auto" w:fill="auto"/>
            <w:noWrap/>
            <w:vAlign w:val="center"/>
          </w:tcPr>
          <w:p w14:paraId="3584D093" w14:textId="77777777" w:rsidR="00925C7D" w:rsidRPr="00ED0D6D" w:rsidRDefault="00925C7D" w:rsidP="00CA2F95">
            <w:pPr>
              <w:jc w:val="center"/>
              <w:rPr>
                <w:color w:val="000000"/>
                <w:sz w:val="20"/>
              </w:rPr>
            </w:pPr>
            <w:r w:rsidRPr="00ED0D6D">
              <w:rPr>
                <w:color w:val="000000"/>
                <w:sz w:val="20"/>
              </w:rPr>
              <w:t>4,8</w:t>
            </w:r>
          </w:p>
        </w:tc>
        <w:tc>
          <w:tcPr>
            <w:tcW w:w="956" w:type="dxa"/>
            <w:shd w:val="clear" w:color="auto" w:fill="auto"/>
            <w:vAlign w:val="center"/>
          </w:tcPr>
          <w:p w14:paraId="43427417"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676C6447" w14:textId="77777777" w:rsidR="00925C7D" w:rsidRPr="00ED0D6D" w:rsidRDefault="00925C7D" w:rsidP="00CA2F95">
            <w:pPr>
              <w:jc w:val="center"/>
              <w:rPr>
                <w:color w:val="000000"/>
                <w:sz w:val="20"/>
              </w:rPr>
            </w:pPr>
            <w:r w:rsidRPr="00ED0D6D">
              <w:rPr>
                <w:color w:val="000000"/>
                <w:sz w:val="20"/>
              </w:rPr>
              <w:t>20</w:t>
            </w:r>
          </w:p>
        </w:tc>
        <w:tc>
          <w:tcPr>
            <w:tcW w:w="1250" w:type="dxa"/>
            <w:shd w:val="clear" w:color="auto" w:fill="auto"/>
            <w:noWrap/>
            <w:vAlign w:val="center"/>
          </w:tcPr>
          <w:p w14:paraId="444FF466"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A5FC984"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57C2AC56" w14:textId="77777777" w:rsidR="00925C7D" w:rsidRPr="00ED0D6D" w:rsidRDefault="00925C7D" w:rsidP="00CA2F95">
            <w:pPr>
              <w:jc w:val="center"/>
              <w:rPr>
                <w:color w:val="000000"/>
                <w:sz w:val="20"/>
              </w:rPr>
            </w:pPr>
            <w:r w:rsidRPr="00ED0D6D">
              <w:rPr>
                <w:color w:val="000000"/>
                <w:sz w:val="20"/>
              </w:rPr>
              <w:t>Švietimo, mokslo ir sporto ministerija (ŠMSM)</w:t>
            </w:r>
          </w:p>
        </w:tc>
        <w:tc>
          <w:tcPr>
            <w:tcW w:w="1172" w:type="dxa"/>
            <w:shd w:val="clear" w:color="auto" w:fill="auto"/>
            <w:vAlign w:val="center"/>
          </w:tcPr>
          <w:p w14:paraId="625A41D9"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294BFB73" w14:textId="77777777" w:rsidTr="00CA2F95">
        <w:trPr>
          <w:trHeight w:val="305"/>
        </w:trPr>
        <w:tc>
          <w:tcPr>
            <w:tcW w:w="657" w:type="dxa"/>
            <w:shd w:val="clear" w:color="auto" w:fill="auto"/>
            <w:vAlign w:val="center"/>
          </w:tcPr>
          <w:p w14:paraId="10A9449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8B868BC" w14:textId="77777777" w:rsidR="00925C7D" w:rsidRPr="00ED0D6D" w:rsidRDefault="00925C7D" w:rsidP="00CA2F95">
            <w:pPr>
              <w:jc w:val="both"/>
              <w:rPr>
                <w:color w:val="000000"/>
                <w:sz w:val="20"/>
              </w:rPr>
            </w:pPr>
            <w:r w:rsidRPr="00ED0D6D">
              <w:rPr>
                <w:color w:val="000000"/>
                <w:sz w:val="20"/>
              </w:rPr>
              <w:t>Mokinių dalis, kurių pasiekimų lygis bent 3 (iš 6) PISA, proc. (žemiausias procentas iš 3 dalykinių sričių) (proc.)</w:t>
            </w:r>
          </w:p>
        </w:tc>
        <w:tc>
          <w:tcPr>
            <w:tcW w:w="1080" w:type="dxa"/>
            <w:shd w:val="clear" w:color="000000" w:fill="FFFFFF"/>
            <w:vAlign w:val="center"/>
          </w:tcPr>
          <w:p w14:paraId="6596CA03" w14:textId="77777777" w:rsidR="00925C7D" w:rsidRPr="00ED0D6D" w:rsidRDefault="00925C7D" w:rsidP="00CA2F95">
            <w:pPr>
              <w:jc w:val="center"/>
              <w:rPr>
                <w:color w:val="000000"/>
                <w:sz w:val="20"/>
              </w:rPr>
            </w:pPr>
            <w:r w:rsidRPr="00ED0D6D">
              <w:rPr>
                <w:color w:val="000000"/>
                <w:sz w:val="20"/>
              </w:rPr>
              <w:t>49,5 (2018)</w:t>
            </w:r>
          </w:p>
        </w:tc>
        <w:tc>
          <w:tcPr>
            <w:tcW w:w="1080" w:type="dxa"/>
            <w:shd w:val="clear" w:color="auto" w:fill="auto"/>
            <w:noWrap/>
            <w:vAlign w:val="center"/>
          </w:tcPr>
          <w:p w14:paraId="64D0CD7F"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39687D5E" w14:textId="77777777" w:rsidR="00925C7D" w:rsidRPr="00ED0D6D" w:rsidRDefault="00925C7D" w:rsidP="00CA2F95">
            <w:pPr>
              <w:jc w:val="center"/>
              <w:rPr>
                <w:color w:val="000000"/>
                <w:sz w:val="20"/>
              </w:rPr>
            </w:pPr>
            <w:r w:rsidRPr="00ED0D6D">
              <w:rPr>
                <w:color w:val="000000"/>
                <w:sz w:val="20"/>
              </w:rPr>
              <w:t>50,7 (2018)</w:t>
            </w:r>
          </w:p>
        </w:tc>
        <w:tc>
          <w:tcPr>
            <w:tcW w:w="983" w:type="dxa"/>
            <w:shd w:val="clear" w:color="auto" w:fill="auto"/>
            <w:vAlign w:val="center"/>
          </w:tcPr>
          <w:p w14:paraId="789E5F21" w14:textId="77777777" w:rsidR="00925C7D" w:rsidRPr="00ED0D6D" w:rsidRDefault="00925C7D" w:rsidP="00CA2F95">
            <w:pPr>
              <w:jc w:val="center"/>
              <w:rPr>
                <w:color w:val="000000"/>
                <w:sz w:val="20"/>
              </w:rPr>
            </w:pPr>
            <w:r w:rsidRPr="00ED0D6D">
              <w:rPr>
                <w:color w:val="000000"/>
                <w:sz w:val="20"/>
              </w:rPr>
              <w:t>49</w:t>
            </w:r>
          </w:p>
        </w:tc>
        <w:tc>
          <w:tcPr>
            <w:tcW w:w="1250" w:type="dxa"/>
            <w:shd w:val="clear" w:color="auto" w:fill="auto"/>
            <w:noWrap/>
            <w:vAlign w:val="center"/>
          </w:tcPr>
          <w:p w14:paraId="6EB468FA"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1A2C1F8E"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29C3513F" w14:textId="77777777" w:rsidR="00925C7D" w:rsidRPr="00ED0D6D" w:rsidRDefault="00925C7D" w:rsidP="00CA2F95">
            <w:pPr>
              <w:jc w:val="center"/>
              <w:rPr>
                <w:color w:val="000000"/>
                <w:sz w:val="20"/>
              </w:rPr>
            </w:pPr>
            <w:r w:rsidRPr="00ED0D6D">
              <w:rPr>
                <w:color w:val="000000"/>
                <w:sz w:val="20"/>
              </w:rPr>
              <w:t>EBPO, Tarptautinis penkiolikmečių PISA tyrimas</w:t>
            </w:r>
          </w:p>
        </w:tc>
        <w:tc>
          <w:tcPr>
            <w:tcW w:w="1172" w:type="dxa"/>
            <w:shd w:val="clear" w:color="auto" w:fill="auto"/>
            <w:vAlign w:val="center"/>
          </w:tcPr>
          <w:p w14:paraId="45109C60"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44CB841E" w14:textId="77777777" w:rsidTr="00CA2F95">
        <w:trPr>
          <w:trHeight w:val="305"/>
        </w:trPr>
        <w:tc>
          <w:tcPr>
            <w:tcW w:w="657" w:type="dxa"/>
            <w:shd w:val="clear" w:color="auto" w:fill="auto"/>
            <w:vAlign w:val="center"/>
          </w:tcPr>
          <w:p w14:paraId="62FA25D2"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189C839" w14:textId="77777777" w:rsidR="00925C7D" w:rsidRPr="00ED0D6D" w:rsidRDefault="00925C7D" w:rsidP="00CA2F95">
            <w:pPr>
              <w:jc w:val="both"/>
              <w:rPr>
                <w:color w:val="000000"/>
                <w:sz w:val="20"/>
              </w:rPr>
            </w:pPr>
            <w:r w:rsidRPr="00ED0D6D">
              <w:rPr>
                <w:color w:val="000000"/>
                <w:sz w:val="20"/>
              </w:rPr>
              <w:t>Mokinių nepasiekiančių 2 (iš 6) PISA pasiekimų lygį mokinių dalis (aukščiausias procentas iš 3 dalykinių sričių) (proc.)</w:t>
            </w:r>
          </w:p>
        </w:tc>
        <w:tc>
          <w:tcPr>
            <w:tcW w:w="1080" w:type="dxa"/>
            <w:shd w:val="clear" w:color="000000" w:fill="FFFFFF"/>
            <w:vAlign w:val="center"/>
          </w:tcPr>
          <w:p w14:paraId="0DD311DF" w14:textId="77777777" w:rsidR="00925C7D" w:rsidRPr="00ED0D6D" w:rsidRDefault="00925C7D" w:rsidP="00CA2F95">
            <w:pPr>
              <w:jc w:val="center"/>
              <w:rPr>
                <w:color w:val="000000"/>
                <w:sz w:val="20"/>
              </w:rPr>
            </w:pPr>
            <w:r w:rsidRPr="00ED0D6D">
              <w:rPr>
                <w:color w:val="000000"/>
                <w:sz w:val="20"/>
              </w:rPr>
              <w:t>25,6 (2018)</w:t>
            </w:r>
          </w:p>
        </w:tc>
        <w:tc>
          <w:tcPr>
            <w:tcW w:w="1080" w:type="dxa"/>
            <w:shd w:val="clear" w:color="auto" w:fill="auto"/>
            <w:noWrap/>
            <w:vAlign w:val="center"/>
          </w:tcPr>
          <w:p w14:paraId="75613F59"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2EC82109" w14:textId="77777777" w:rsidR="00925C7D" w:rsidRPr="00ED0D6D" w:rsidRDefault="00925C7D" w:rsidP="00CA2F95">
            <w:pPr>
              <w:jc w:val="center"/>
              <w:rPr>
                <w:color w:val="000000"/>
                <w:sz w:val="20"/>
              </w:rPr>
            </w:pPr>
            <w:r w:rsidRPr="00ED0D6D">
              <w:rPr>
                <w:color w:val="000000"/>
                <w:sz w:val="20"/>
              </w:rPr>
              <w:t>23,6 (2018)</w:t>
            </w:r>
          </w:p>
        </w:tc>
        <w:tc>
          <w:tcPr>
            <w:tcW w:w="983" w:type="dxa"/>
            <w:shd w:val="clear" w:color="auto" w:fill="auto"/>
            <w:vAlign w:val="center"/>
          </w:tcPr>
          <w:p w14:paraId="4EA818BB" w14:textId="77777777" w:rsidR="00925C7D" w:rsidRPr="00ED0D6D" w:rsidRDefault="00925C7D" w:rsidP="00CA2F95">
            <w:pPr>
              <w:jc w:val="center"/>
              <w:rPr>
                <w:color w:val="000000"/>
                <w:sz w:val="20"/>
              </w:rPr>
            </w:pPr>
            <w:r w:rsidRPr="00ED0D6D">
              <w:rPr>
                <w:color w:val="000000"/>
                <w:sz w:val="20"/>
              </w:rPr>
              <w:t>20</w:t>
            </w:r>
          </w:p>
        </w:tc>
        <w:tc>
          <w:tcPr>
            <w:tcW w:w="1250" w:type="dxa"/>
            <w:shd w:val="clear" w:color="auto" w:fill="auto"/>
            <w:noWrap/>
            <w:vAlign w:val="center"/>
          </w:tcPr>
          <w:p w14:paraId="21C99C3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E79F0F9"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371E4CE2" w14:textId="77777777" w:rsidR="00925C7D" w:rsidRPr="00ED0D6D" w:rsidRDefault="00925C7D" w:rsidP="00CA2F95">
            <w:pPr>
              <w:jc w:val="center"/>
              <w:rPr>
                <w:color w:val="000000"/>
                <w:sz w:val="20"/>
              </w:rPr>
            </w:pPr>
            <w:r w:rsidRPr="00ED0D6D">
              <w:rPr>
                <w:color w:val="000000"/>
                <w:sz w:val="20"/>
              </w:rPr>
              <w:t>EBPO, Tarptautinis penkiolikmečių PISA tyrimas</w:t>
            </w:r>
          </w:p>
        </w:tc>
        <w:tc>
          <w:tcPr>
            <w:tcW w:w="1172" w:type="dxa"/>
            <w:shd w:val="clear" w:color="auto" w:fill="auto"/>
            <w:vAlign w:val="center"/>
          </w:tcPr>
          <w:p w14:paraId="20785E6F"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5F4D5F6B" w14:textId="77777777" w:rsidTr="00CA2F95">
        <w:trPr>
          <w:trHeight w:val="305"/>
        </w:trPr>
        <w:tc>
          <w:tcPr>
            <w:tcW w:w="657" w:type="dxa"/>
            <w:shd w:val="clear" w:color="auto" w:fill="auto"/>
            <w:vAlign w:val="center"/>
          </w:tcPr>
          <w:p w14:paraId="4E984AC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437A03B2" w14:textId="77777777" w:rsidR="00925C7D" w:rsidRPr="00ED0D6D" w:rsidRDefault="00925C7D" w:rsidP="00CA2F95">
            <w:pPr>
              <w:jc w:val="both"/>
              <w:rPr>
                <w:color w:val="000000"/>
                <w:sz w:val="20"/>
              </w:rPr>
            </w:pPr>
            <w:r w:rsidRPr="00ED0D6D">
              <w:rPr>
                <w:color w:val="000000"/>
                <w:sz w:val="20"/>
              </w:rPr>
              <w:t xml:space="preserve">Mokinių, besimokančių kaimo ir miesto (Vilniuje) vietovėse, pasiekimų (skaitymo gebėjimų) skirtumas, taškai (vienetai)   </w:t>
            </w:r>
          </w:p>
        </w:tc>
        <w:tc>
          <w:tcPr>
            <w:tcW w:w="1080" w:type="dxa"/>
            <w:shd w:val="clear" w:color="000000" w:fill="FFFFFF"/>
            <w:vAlign w:val="center"/>
          </w:tcPr>
          <w:p w14:paraId="3AEC951D" w14:textId="77777777" w:rsidR="00925C7D" w:rsidRPr="00ED0D6D" w:rsidRDefault="00925C7D" w:rsidP="00CA2F95">
            <w:pPr>
              <w:jc w:val="center"/>
              <w:rPr>
                <w:color w:val="000000"/>
                <w:sz w:val="20"/>
              </w:rPr>
            </w:pPr>
            <w:r w:rsidRPr="00ED0D6D">
              <w:rPr>
                <w:color w:val="000000"/>
                <w:sz w:val="20"/>
              </w:rPr>
              <w:t xml:space="preserve">77 </w:t>
            </w:r>
          </w:p>
          <w:p w14:paraId="21213E06" w14:textId="77777777" w:rsidR="00925C7D" w:rsidRPr="00ED0D6D" w:rsidRDefault="00925C7D" w:rsidP="00CA2F95">
            <w:pPr>
              <w:jc w:val="center"/>
              <w:rPr>
                <w:color w:val="000000"/>
                <w:sz w:val="20"/>
              </w:rPr>
            </w:pPr>
            <w:r w:rsidRPr="00ED0D6D">
              <w:rPr>
                <w:color w:val="000000"/>
                <w:sz w:val="20"/>
              </w:rPr>
              <w:t>(2018)</w:t>
            </w:r>
          </w:p>
        </w:tc>
        <w:tc>
          <w:tcPr>
            <w:tcW w:w="1080" w:type="dxa"/>
            <w:shd w:val="clear" w:color="auto" w:fill="auto"/>
            <w:noWrap/>
            <w:vAlign w:val="center"/>
          </w:tcPr>
          <w:p w14:paraId="13552068"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43C90069"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112192B1" w14:textId="77777777" w:rsidR="00925C7D" w:rsidRPr="00ED0D6D" w:rsidRDefault="00925C7D" w:rsidP="00CA2F95">
            <w:pPr>
              <w:jc w:val="center"/>
              <w:rPr>
                <w:color w:val="000000"/>
                <w:sz w:val="20"/>
              </w:rPr>
            </w:pPr>
            <w:r w:rsidRPr="00ED0D6D">
              <w:rPr>
                <w:color w:val="000000"/>
                <w:sz w:val="20"/>
              </w:rPr>
              <w:t>40</w:t>
            </w:r>
          </w:p>
        </w:tc>
        <w:tc>
          <w:tcPr>
            <w:tcW w:w="1250" w:type="dxa"/>
            <w:shd w:val="clear" w:color="auto" w:fill="auto"/>
            <w:noWrap/>
            <w:vAlign w:val="center"/>
          </w:tcPr>
          <w:p w14:paraId="50053BE9"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73D8288B"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698409A" w14:textId="77777777" w:rsidR="00925C7D" w:rsidRPr="00ED0D6D" w:rsidRDefault="00925C7D" w:rsidP="00CA2F95">
            <w:pPr>
              <w:jc w:val="center"/>
              <w:rPr>
                <w:color w:val="000000"/>
                <w:sz w:val="20"/>
              </w:rPr>
            </w:pPr>
            <w:r w:rsidRPr="00ED0D6D">
              <w:rPr>
                <w:color w:val="000000"/>
                <w:sz w:val="20"/>
              </w:rPr>
              <w:t>EBPO, Tarptautinis penkiolikmečių PISA tyrimas</w:t>
            </w:r>
          </w:p>
        </w:tc>
        <w:tc>
          <w:tcPr>
            <w:tcW w:w="1172" w:type="dxa"/>
            <w:shd w:val="clear" w:color="auto" w:fill="auto"/>
            <w:vAlign w:val="center"/>
          </w:tcPr>
          <w:p w14:paraId="59F32132"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7733DA60" w14:textId="77777777" w:rsidTr="00CA2F95">
        <w:trPr>
          <w:trHeight w:val="305"/>
        </w:trPr>
        <w:tc>
          <w:tcPr>
            <w:tcW w:w="657" w:type="dxa"/>
            <w:shd w:val="clear" w:color="auto" w:fill="auto"/>
            <w:vAlign w:val="center"/>
          </w:tcPr>
          <w:p w14:paraId="3652670F"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2488677" w14:textId="77777777" w:rsidR="00925C7D" w:rsidRPr="00ED0D6D" w:rsidRDefault="00925C7D" w:rsidP="00CA2F95">
            <w:pPr>
              <w:jc w:val="both"/>
              <w:rPr>
                <w:color w:val="000000"/>
                <w:sz w:val="20"/>
              </w:rPr>
            </w:pPr>
            <w:r w:rsidRPr="00ED0D6D">
              <w:rPr>
                <w:sz w:val="20"/>
              </w:rPr>
              <w:t>Aukštesniu pasiekimų lygiu išlaikytų valstybinių brandos egzaminų dalis nuo tų metų kandidatų skaičiaus (proc.)</w:t>
            </w:r>
          </w:p>
        </w:tc>
        <w:tc>
          <w:tcPr>
            <w:tcW w:w="1080" w:type="dxa"/>
            <w:shd w:val="clear" w:color="000000" w:fill="FFFFFF"/>
            <w:vAlign w:val="center"/>
          </w:tcPr>
          <w:p w14:paraId="035B38CF" w14:textId="77777777" w:rsidR="00925C7D" w:rsidRPr="00ED0D6D" w:rsidRDefault="00925C7D" w:rsidP="00CA2F95">
            <w:pPr>
              <w:jc w:val="center"/>
              <w:rPr>
                <w:color w:val="000000"/>
                <w:sz w:val="20"/>
              </w:rPr>
            </w:pPr>
            <w:r w:rsidRPr="00ED0D6D">
              <w:rPr>
                <w:color w:val="000000"/>
                <w:sz w:val="20"/>
              </w:rPr>
              <w:t>47,6</w:t>
            </w:r>
          </w:p>
        </w:tc>
        <w:tc>
          <w:tcPr>
            <w:tcW w:w="1080" w:type="dxa"/>
            <w:shd w:val="clear" w:color="auto" w:fill="auto"/>
            <w:noWrap/>
            <w:vAlign w:val="center"/>
          </w:tcPr>
          <w:p w14:paraId="5D9F0BCE" w14:textId="77777777" w:rsidR="00925C7D" w:rsidRPr="00ED0D6D" w:rsidRDefault="00925C7D" w:rsidP="00CA2F95">
            <w:pPr>
              <w:jc w:val="center"/>
              <w:rPr>
                <w:color w:val="000000"/>
                <w:sz w:val="20"/>
              </w:rPr>
            </w:pPr>
            <w:r w:rsidRPr="00ED0D6D">
              <w:rPr>
                <w:color w:val="000000"/>
                <w:sz w:val="20"/>
              </w:rPr>
              <w:t>63,5</w:t>
            </w:r>
          </w:p>
        </w:tc>
        <w:tc>
          <w:tcPr>
            <w:tcW w:w="956" w:type="dxa"/>
            <w:shd w:val="clear" w:color="auto" w:fill="auto"/>
            <w:vAlign w:val="center"/>
          </w:tcPr>
          <w:p w14:paraId="3994B6ED"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193A7AD1" w14:textId="77777777" w:rsidR="00925C7D" w:rsidRPr="00ED0D6D" w:rsidRDefault="00925C7D" w:rsidP="00CA2F95">
            <w:pPr>
              <w:jc w:val="center"/>
              <w:rPr>
                <w:color w:val="000000"/>
                <w:sz w:val="20"/>
              </w:rPr>
            </w:pPr>
            <w:r w:rsidRPr="00ED0D6D">
              <w:rPr>
                <w:color w:val="000000"/>
                <w:sz w:val="20"/>
              </w:rPr>
              <w:t>54</w:t>
            </w:r>
          </w:p>
        </w:tc>
        <w:tc>
          <w:tcPr>
            <w:tcW w:w="1250" w:type="dxa"/>
            <w:shd w:val="clear" w:color="auto" w:fill="auto"/>
            <w:noWrap/>
            <w:vAlign w:val="center"/>
          </w:tcPr>
          <w:p w14:paraId="738659CC"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42FD7F5"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3A7C7466" w14:textId="77777777" w:rsidR="00925C7D" w:rsidRPr="00ED0D6D" w:rsidRDefault="00925C7D" w:rsidP="00CA2F95">
            <w:pPr>
              <w:jc w:val="center"/>
              <w:rPr>
                <w:color w:val="000000"/>
                <w:sz w:val="20"/>
              </w:rPr>
            </w:pPr>
            <w:r w:rsidRPr="00ED0D6D">
              <w:rPr>
                <w:color w:val="000000"/>
                <w:sz w:val="20"/>
              </w:rPr>
              <w:t>Nacionalinė švietimo agentūra</w:t>
            </w:r>
          </w:p>
        </w:tc>
        <w:tc>
          <w:tcPr>
            <w:tcW w:w="1172" w:type="dxa"/>
            <w:shd w:val="clear" w:color="auto" w:fill="auto"/>
            <w:vAlign w:val="center"/>
          </w:tcPr>
          <w:p w14:paraId="538A2ED7"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7F90F387" w14:textId="77777777" w:rsidTr="00CA2F95">
        <w:trPr>
          <w:trHeight w:val="305"/>
        </w:trPr>
        <w:tc>
          <w:tcPr>
            <w:tcW w:w="657" w:type="dxa"/>
            <w:shd w:val="clear" w:color="auto" w:fill="auto"/>
            <w:vAlign w:val="center"/>
          </w:tcPr>
          <w:p w14:paraId="1B4D80C6"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0751F4FD" w14:textId="77777777" w:rsidR="00925C7D" w:rsidRPr="00ED0D6D" w:rsidRDefault="00925C7D" w:rsidP="00CA2F95">
            <w:pPr>
              <w:jc w:val="both"/>
              <w:rPr>
                <w:color w:val="000000"/>
                <w:sz w:val="20"/>
              </w:rPr>
            </w:pPr>
            <w:r w:rsidRPr="00ED0D6D">
              <w:rPr>
                <w:color w:val="000000"/>
                <w:sz w:val="20"/>
              </w:rPr>
              <w:t xml:space="preserve">Bendrojo ugdymo mokyklų, turinčių mažiau kaip 120 mokinių, dalies sumažėjimas (proc.)   </w:t>
            </w:r>
          </w:p>
        </w:tc>
        <w:tc>
          <w:tcPr>
            <w:tcW w:w="1080" w:type="dxa"/>
            <w:shd w:val="clear" w:color="000000" w:fill="FFFFFF"/>
            <w:vAlign w:val="center"/>
          </w:tcPr>
          <w:p w14:paraId="6E304534" w14:textId="77777777" w:rsidR="00925C7D" w:rsidRPr="00ED0D6D" w:rsidRDefault="00925C7D" w:rsidP="00CA2F95">
            <w:pPr>
              <w:jc w:val="center"/>
              <w:rPr>
                <w:color w:val="000000"/>
                <w:sz w:val="20"/>
              </w:rPr>
            </w:pPr>
            <w:r w:rsidRPr="00ED0D6D">
              <w:rPr>
                <w:color w:val="000000"/>
                <w:sz w:val="20"/>
              </w:rPr>
              <w:t>23</w:t>
            </w:r>
          </w:p>
        </w:tc>
        <w:tc>
          <w:tcPr>
            <w:tcW w:w="1080" w:type="dxa"/>
            <w:shd w:val="clear" w:color="auto" w:fill="auto"/>
            <w:noWrap/>
            <w:vAlign w:val="center"/>
          </w:tcPr>
          <w:p w14:paraId="4CDBDE0A" w14:textId="77777777" w:rsidR="00925C7D" w:rsidRPr="00ED0D6D" w:rsidRDefault="00925C7D" w:rsidP="00CA2F95">
            <w:pPr>
              <w:jc w:val="center"/>
              <w:rPr>
                <w:color w:val="000000"/>
                <w:sz w:val="20"/>
              </w:rPr>
            </w:pPr>
            <w:r w:rsidRPr="00ED0D6D">
              <w:rPr>
                <w:color w:val="000000"/>
                <w:sz w:val="20"/>
              </w:rPr>
              <w:t>43</w:t>
            </w:r>
          </w:p>
        </w:tc>
        <w:tc>
          <w:tcPr>
            <w:tcW w:w="956" w:type="dxa"/>
            <w:shd w:val="clear" w:color="auto" w:fill="auto"/>
            <w:vAlign w:val="center"/>
          </w:tcPr>
          <w:p w14:paraId="29E2131B"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6103B4BE" w14:textId="77777777" w:rsidR="00925C7D" w:rsidRPr="00ED0D6D" w:rsidRDefault="00925C7D" w:rsidP="00CA2F95">
            <w:pPr>
              <w:jc w:val="center"/>
              <w:rPr>
                <w:color w:val="000000"/>
                <w:sz w:val="20"/>
              </w:rPr>
            </w:pPr>
            <w:r w:rsidRPr="00ED0D6D">
              <w:rPr>
                <w:color w:val="000000"/>
                <w:sz w:val="20"/>
              </w:rPr>
              <w:t>80</w:t>
            </w:r>
          </w:p>
        </w:tc>
        <w:tc>
          <w:tcPr>
            <w:tcW w:w="1250" w:type="dxa"/>
            <w:shd w:val="clear" w:color="auto" w:fill="auto"/>
            <w:noWrap/>
            <w:vAlign w:val="center"/>
          </w:tcPr>
          <w:p w14:paraId="6639D73B"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5402D616"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0BDBFA2A"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1118CD84"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4D05F3F9" w14:textId="77777777" w:rsidTr="00CA2F95">
        <w:trPr>
          <w:trHeight w:val="305"/>
        </w:trPr>
        <w:tc>
          <w:tcPr>
            <w:tcW w:w="657" w:type="dxa"/>
            <w:shd w:val="clear" w:color="auto" w:fill="auto"/>
            <w:vAlign w:val="center"/>
          </w:tcPr>
          <w:p w14:paraId="76DB732F"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BDEB6B4" w14:textId="77777777" w:rsidR="00925C7D" w:rsidRPr="00ED0D6D" w:rsidRDefault="00925C7D" w:rsidP="00CA2F95">
            <w:pPr>
              <w:jc w:val="both"/>
              <w:rPr>
                <w:color w:val="000000"/>
                <w:sz w:val="20"/>
              </w:rPr>
            </w:pPr>
            <w:r w:rsidRPr="00ED0D6D">
              <w:rPr>
                <w:color w:val="000000"/>
                <w:sz w:val="20"/>
              </w:rPr>
              <w:t xml:space="preserve">Vaikų skaičiaus valstybinėse bendrojo ugdymo mokyklose, įsteigtose Sostinės regione, didėjimas (proc.)   </w:t>
            </w:r>
          </w:p>
        </w:tc>
        <w:tc>
          <w:tcPr>
            <w:tcW w:w="1080" w:type="dxa"/>
            <w:shd w:val="clear" w:color="000000" w:fill="FFFFFF"/>
            <w:vAlign w:val="center"/>
          </w:tcPr>
          <w:p w14:paraId="0A13EF23" w14:textId="77777777" w:rsidR="00925C7D" w:rsidRPr="00ED0D6D" w:rsidRDefault="00925C7D" w:rsidP="00CA2F95">
            <w:pPr>
              <w:jc w:val="center"/>
              <w:rPr>
                <w:color w:val="000000"/>
                <w:sz w:val="20"/>
              </w:rPr>
            </w:pPr>
            <w:r w:rsidRPr="00ED0D6D">
              <w:rPr>
                <w:color w:val="000000"/>
                <w:sz w:val="20"/>
              </w:rPr>
              <w:t>4,62</w:t>
            </w:r>
          </w:p>
        </w:tc>
        <w:tc>
          <w:tcPr>
            <w:tcW w:w="1080" w:type="dxa"/>
            <w:shd w:val="clear" w:color="auto" w:fill="auto"/>
            <w:noWrap/>
            <w:vAlign w:val="center"/>
          </w:tcPr>
          <w:p w14:paraId="39C9B9BA" w14:textId="77777777" w:rsidR="00925C7D" w:rsidRPr="00ED0D6D" w:rsidRDefault="00925C7D" w:rsidP="00CA2F95">
            <w:pPr>
              <w:jc w:val="center"/>
              <w:rPr>
                <w:color w:val="000000"/>
                <w:sz w:val="20"/>
              </w:rPr>
            </w:pPr>
            <w:r w:rsidRPr="00ED0D6D">
              <w:rPr>
                <w:color w:val="000000"/>
                <w:sz w:val="20"/>
              </w:rPr>
              <w:t>4,55 (2020–2021)</w:t>
            </w:r>
          </w:p>
        </w:tc>
        <w:tc>
          <w:tcPr>
            <w:tcW w:w="956" w:type="dxa"/>
            <w:shd w:val="clear" w:color="auto" w:fill="auto"/>
            <w:vAlign w:val="center"/>
          </w:tcPr>
          <w:p w14:paraId="0AE6EE43"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584F4413" w14:textId="77777777" w:rsidR="00925C7D" w:rsidRPr="00ED0D6D" w:rsidRDefault="00925C7D" w:rsidP="00CA2F95">
            <w:pPr>
              <w:jc w:val="center"/>
              <w:rPr>
                <w:color w:val="000000"/>
                <w:sz w:val="20"/>
              </w:rPr>
            </w:pPr>
            <w:r w:rsidRPr="00ED0D6D">
              <w:rPr>
                <w:color w:val="000000"/>
                <w:sz w:val="20"/>
              </w:rPr>
              <w:t>5</w:t>
            </w:r>
          </w:p>
        </w:tc>
        <w:tc>
          <w:tcPr>
            <w:tcW w:w="1250" w:type="dxa"/>
            <w:shd w:val="clear" w:color="auto" w:fill="auto"/>
            <w:noWrap/>
            <w:vAlign w:val="center"/>
          </w:tcPr>
          <w:p w14:paraId="73F36E88"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5CE44B3E"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3D2782D5" w14:textId="77777777" w:rsidR="00925C7D" w:rsidRPr="00ED0D6D" w:rsidRDefault="00925C7D" w:rsidP="00CA2F95">
            <w:pPr>
              <w:jc w:val="center"/>
              <w:rPr>
                <w:color w:val="000000"/>
                <w:sz w:val="20"/>
              </w:rPr>
            </w:pPr>
            <w:r w:rsidRPr="00ED0D6D">
              <w:rPr>
                <w:color w:val="000000"/>
                <w:sz w:val="20"/>
              </w:rPr>
              <w:t>ŠMSM</w:t>
            </w:r>
            <w:r w:rsidRPr="00ED0D6D">
              <w:rPr>
                <w:color w:val="FF0000"/>
                <w:sz w:val="20"/>
              </w:rPr>
              <w:t> </w:t>
            </w:r>
          </w:p>
        </w:tc>
        <w:tc>
          <w:tcPr>
            <w:tcW w:w="1172" w:type="dxa"/>
            <w:shd w:val="clear" w:color="auto" w:fill="auto"/>
            <w:vAlign w:val="center"/>
          </w:tcPr>
          <w:p w14:paraId="2FD30224"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0FE5FD2D" w14:textId="77777777" w:rsidTr="00CA2F95">
        <w:trPr>
          <w:trHeight w:val="305"/>
        </w:trPr>
        <w:tc>
          <w:tcPr>
            <w:tcW w:w="657" w:type="dxa"/>
            <w:shd w:val="clear" w:color="auto" w:fill="auto"/>
            <w:vAlign w:val="center"/>
          </w:tcPr>
          <w:p w14:paraId="786D699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8782F9B" w14:textId="77777777" w:rsidR="00925C7D" w:rsidRPr="00ED0D6D" w:rsidRDefault="00925C7D" w:rsidP="00CA2F95">
            <w:pPr>
              <w:jc w:val="both"/>
              <w:rPr>
                <w:color w:val="000000"/>
                <w:sz w:val="20"/>
              </w:rPr>
            </w:pPr>
            <w:r w:rsidRPr="00ED0D6D">
              <w:rPr>
                <w:color w:val="000000"/>
                <w:sz w:val="20"/>
              </w:rPr>
              <w:t xml:space="preserve">Savivaldybių, naudojančių neformaliojo vaikų švietimo kokybės užtikrinimo mechanizmą, skaičius (vienetai)   </w:t>
            </w:r>
          </w:p>
        </w:tc>
        <w:tc>
          <w:tcPr>
            <w:tcW w:w="1080" w:type="dxa"/>
            <w:shd w:val="clear" w:color="000000" w:fill="FFFFFF"/>
            <w:vAlign w:val="center"/>
          </w:tcPr>
          <w:p w14:paraId="55C702E2" w14:textId="77777777" w:rsidR="00925C7D" w:rsidRPr="00ED0D6D" w:rsidRDefault="00925C7D" w:rsidP="00CA2F95">
            <w:pPr>
              <w:jc w:val="center"/>
              <w:rPr>
                <w:color w:val="000000"/>
                <w:sz w:val="20"/>
              </w:rPr>
            </w:pPr>
            <w:r w:rsidRPr="00ED0D6D">
              <w:rPr>
                <w:color w:val="000000"/>
                <w:sz w:val="20"/>
              </w:rPr>
              <w:t>11</w:t>
            </w:r>
          </w:p>
        </w:tc>
        <w:tc>
          <w:tcPr>
            <w:tcW w:w="1080" w:type="dxa"/>
            <w:shd w:val="clear" w:color="auto" w:fill="auto"/>
            <w:noWrap/>
            <w:vAlign w:val="center"/>
          </w:tcPr>
          <w:p w14:paraId="4EC66D12" w14:textId="77777777" w:rsidR="00925C7D" w:rsidRPr="00ED0D6D" w:rsidRDefault="00925C7D" w:rsidP="00CA2F95">
            <w:pPr>
              <w:jc w:val="center"/>
              <w:rPr>
                <w:color w:val="000000"/>
                <w:sz w:val="20"/>
              </w:rPr>
            </w:pPr>
            <w:r w:rsidRPr="00ED0D6D">
              <w:rPr>
                <w:color w:val="000000"/>
                <w:sz w:val="20"/>
              </w:rPr>
              <w:t>40</w:t>
            </w:r>
          </w:p>
        </w:tc>
        <w:tc>
          <w:tcPr>
            <w:tcW w:w="956" w:type="dxa"/>
            <w:shd w:val="clear" w:color="auto" w:fill="auto"/>
            <w:vAlign w:val="center"/>
          </w:tcPr>
          <w:p w14:paraId="2D5324A1"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69B10D33" w14:textId="77777777" w:rsidR="00925C7D" w:rsidRPr="00ED0D6D" w:rsidRDefault="00925C7D" w:rsidP="00CA2F95">
            <w:pPr>
              <w:jc w:val="center"/>
              <w:rPr>
                <w:color w:val="000000"/>
                <w:sz w:val="20"/>
              </w:rPr>
            </w:pPr>
            <w:r w:rsidRPr="00ED0D6D">
              <w:rPr>
                <w:color w:val="000000"/>
                <w:sz w:val="20"/>
              </w:rPr>
              <w:t>40</w:t>
            </w:r>
          </w:p>
        </w:tc>
        <w:tc>
          <w:tcPr>
            <w:tcW w:w="1250" w:type="dxa"/>
            <w:shd w:val="clear" w:color="auto" w:fill="auto"/>
            <w:noWrap/>
            <w:vAlign w:val="center"/>
          </w:tcPr>
          <w:p w14:paraId="48546021"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67F89C77"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7977033"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17B82EBE"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1E7A24CD" w14:textId="77777777" w:rsidTr="00CA2F95">
        <w:trPr>
          <w:trHeight w:val="305"/>
        </w:trPr>
        <w:tc>
          <w:tcPr>
            <w:tcW w:w="657" w:type="dxa"/>
            <w:shd w:val="clear" w:color="auto" w:fill="auto"/>
            <w:vAlign w:val="center"/>
          </w:tcPr>
          <w:p w14:paraId="052E6C2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0F72473" w14:textId="77777777" w:rsidR="00925C7D" w:rsidRPr="00ED0D6D" w:rsidRDefault="00925C7D" w:rsidP="00CA2F95">
            <w:pPr>
              <w:jc w:val="both"/>
              <w:rPr>
                <w:color w:val="000000"/>
                <w:sz w:val="20"/>
              </w:rPr>
            </w:pPr>
            <w:r w:rsidRPr="00ED0D6D">
              <w:rPr>
                <w:color w:val="000000"/>
                <w:sz w:val="20"/>
              </w:rPr>
              <w:t xml:space="preserve">Modernizuotų neformaliojo vaikų švietimo erdvių skaičius (vienetai)   </w:t>
            </w:r>
          </w:p>
        </w:tc>
        <w:tc>
          <w:tcPr>
            <w:tcW w:w="1080" w:type="dxa"/>
            <w:shd w:val="clear" w:color="000000" w:fill="FFFFFF"/>
            <w:vAlign w:val="center"/>
          </w:tcPr>
          <w:p w14:paraId="043E304A" w14:textId="77777777" w:rsidR="00925C7D" w:rsidRPr="00ED0D6D" w:rsidRDefault="00925C7D" w:rsidP="00CA2F95">
            <w:pPr>
              <w:jc w:val="center"/>
              <w:rPr>
                <w:color w:val="000000"/>
                <w:sz w:val="20"/>
              </w:rPr>
            </w:pPr>
            <w:r w:rsidRPr="00ED0D6D">
              <w:rPr>
                <w:color w:val="000000"/>
                <w:sz w:val="20"/>
              </w:rPr>
              <w:t>22</w:t>
            </w:r>
          </w:p>
        </w:tc>
        <w:tc>
          <w:tcPr>
            <w:tcW w:w="1080" w:type="dxa"/>
            <w:shd w:val="clear" w:color="auto" w:fill="auto"/>
            <w:noWrap/>
            <w:vAlign w:val="center"/>
          </w:tcPr>
          <w:p w14:paraId="60CF388F" w14:textId="77777777" w:rsidR="00925C7D" w:rsidRPr="00ED0D6D" w:rsidRDefault="00925C7D" w:rsidP="00CA2F95">
            <w:pPr>
              <w:jc w:val="center"/>
              <w:rPr>
                <w:color w:val="000000"/>
                <w:sz w:val="20"/>
              </w:rPr>
            </w:pPr>
            <w:r w:rsidRPr="00ED0D6D">
              <w:rPr>
                <w:color w:val="000000"/>
                <w:sz w:val="20"/>
              </w:rPr>
              <w:t>51</w:t>
            </w:r>
          </w:p>
        </w:tc>
        <w:tc>
          <w:tcPr>
            <w:tcW w:w="956" w:type="dxa"/>
            <w:shd w:val="clear" w:color="auto" w:fill="auto"/>
            <w:vAlign w:val="center"/>
          </w:tcPr>
          <w:p w14:paraId="08B9B034"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56A95DBB" w14:textId="77777777" w:rsidR="00925C7D" w:rsidRPr="00ED0D6D" w:rsidRDefault="00925C7D" w:rsidP="00CA2F95">
            <w:pPr>
              <w:jc w:val="center"/>
              <w:rPr>
                <w:color w:val="000000"/>
                <w:sz w:val="20"/>
              </w:rPr>
            </w:pPr>
            <w:r w:rsidRPr="00ED0D6D">
              <w:rPr>
                <w:color w:val="000000"/>
                <w:sz w:val="20"/>
              </w:rPr>
              <w:t>30</w:t>
            </w:r>
          </w:p>
        </w:tc>
        <w:tc>
          <w:tcPr>
            <w:tcW w:w="1250" w:type="dxa"/>
            <w:shd w:val="clear" w:color="auto" w:fill="auto"/>
            <w:noWrap/>
            <w:vAlign w:val="center"/>
          </w:tcPr>
          <w:p w14:paraId="3A7DBA88"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469C6F5"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6902466B" w14:textId="77777777" w:rsidR="00925C7D" w:rsidRPr="00ED0D6D" w:rsidRDefault="00925C7D" w:rsidP="00CA2F95">
            <w:pPr>
              <w:jc w:val="center"/>
              <w:rPr>
                <w:color w:val="000000"/>
                <w:sz w:val="20"/>
              </w:rPr>
            </w:pPr>
            <w:r w:rsidRPr="00ED0D6D">
              <w:rPr>
                <w:color w:val="FF0000"/>
                <w:sz w:val="20"/>
              </w:rPr>
              <w:t> </w:t>
            </w:r>
            <w:r w:rsidRPr="00ED0D6D">
              <w:rPr>
                <w:color w:val="000000"/>
                <w:sz w:val="20"/>
              </w:rPr>
              <w:t xml:space="preserve"> ŠMSM</w:t>
            </w:r>
          </w:p>
        </w:tc>
        <w:tc>
          <w:tcPr>
            <w:tcW w:w="1172" w:type="dxa"/>
            <w:shd w:val="clear" w:color="auto" w:fill="auto"/>
            <w:vAlign w:val="center"/>
          </w:tcPr>
          <w:p w14:paraId="17547787"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2699B9DD" w14:textId="77777777" w:rsidTr="00CA2F95">
        <w:trPr>
          <w:trHeight w:val="305"/>
        </w:trPr>
        <w:tc>
          <w:tcPr>
            <w:tcW w:w="657" w:type="dxa"/>
            <w:shd w:val="clear" w:color="auto" w:fill="auto"/>
            <w:vAlign w:val="center"/>
          </w:tcPr>
          <w:p w14:paraId="4EE28D2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44D4830" w14:textId="77777777" w:rsidR="00925C7D" w:rsidRPr="00ED0D6D" w:rsidRDefault="00925C7D" w:rsidP="00CA2F95">
            <w:pPr>
              <w:jc w:val="both"/>
              <w:rPr>
                <w:color w:val="000000"/>
                <w:sz w:val="20"/>
              </w:rPr>
            </w:pPr>
            <w:r w:rsidRPr="00ED0D6D">
              <w:rPr>
                <w:color w:val="000000"/>
                <w:sz w:val="20"/>
              </w:rPr>
              <w:t xml:space="preserve">Jungtinėms mokykloms nupirktų mokyklinių autobusų skaičius (kaupiamieji vienetai)   </w:t>
            </w:r>
          </w:p>
        </w:tc>
        <w:tc>
          <w:tcPr>
            <w:tcW w:w="1080" w:type="dxa"/>
            <w:shd w:val="clear" w:color="000000" w:fill="FFFFFF"/>
            <w:vAlign w:val="center"/>
          </w:tcPr>
          <w:p w14:paraId="03D7366D" w14:textId="77777777" w:rsidR="00925C7D" w:rsidRPr="00ED0D6D" w:rsidRDefault="00925C7D" w:rsidP="00CA2F95">
            <w:pPr>
              <w:jc w:val="center"/>
              <w:rPr>
                <w:color w:val="000000"/>
                <w:sz w:val="20"/>
              </w:rPr>
            </w:pPr>
            <w:r w:rsidRPr="00ED0D6D">
              <w:rPr>
                <w:color w:val="000000"/>
                <w:sz w:val="20"/>
              </w:rPr>
              <w:t>253</w:t>
            </w:r>
          </w:p>
        </w:tc>
        <w:tc>
          <w:tcPr>
            <w:tcW w:w="1080" w:type="dxa"/>
            <w:shd w:val="clear" w:color="auto" w:fill="auto"/>
            <w:noWrap/>
            <w:vAlign w:val="center"/>
          </w:tcPr>
          <w:p w14:paraId="724FB708" w14:textId="77777777" w:rsidR="00925C7D" w:rsidRPr="00ED0D6D" w:rsidRDefault="00925C7D" w:rsidP="00CA2F95">
            <w:pPr>
              <w:jc w:val="center"/>
              <w:rPr>
                <w:color w:val="000000"/>
                <w:sz w:val="20"/>
              </w:rPr>
            </w:pPr>
            <w:r w:rsidRPr="00ED0D6D">
              <w:rPr>
                <w:color w:val="000000"/>
                <w:sz w:val="20"/>
              </w:rPr>
              <w:t>338</w:t>
            </w:r>
          </w:p>
        </w:tc>
        <w:tc>
          <w:tcPr>
            <w:tcW w:w="956" w:type="dxa"/>
            <w:shd w:val="clear" w:color="auto" w:fill="auto"/>
            <w:vAlign w:val="center"/>
          </w:tcPr>
          <w:p w14:paraId="772D9A06"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2B7ADC94" w14:textId="77777777" w:rsidR="00925C7D" w:rsidRPr="00ED0D6D" w:rsidRDefault="00925C7D" w:rsidP="00CA2F95">
            <w:pPr>
              <w:jc w:val="center"/>
              <w:rPr>
                <w:color w:val="000000"/>
                <w:sz w:val="20"/>
              </w:rPr>
            </w:pPr>
            <w:r w:rsidRPr="00ED0D6D">
              <w:rPr>
                <w:color w:val="000000"/>
                <w:sz w:val="20"/>
              </w:rPr>
              <w:t>270</w:t>
            </w:r>
          </w:p>
        </w:tc>
        <w:tc>
          <w:tcPr>
            <w:tcW w:w="1250" w:type="dxa"/>
            <w:shd w:val="clear" w:color="auto" w:fill="auto"/>
            <w:noWrap/>
            <w:vAlign w:val="center"/>
          </w:tcPr>
          <w:p w14:paraId="236CF21C"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2590D592"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05DFAC3"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7069D192"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2C0B6AD2" w14:textId="77777777" w:rsidTr="00CA2F95">
        <w:trPr>
          <w:trHeight w:val="305"/>
        </w:trPr>
        <w:tc>
          <w:tcPr>
            <w:tcW w:w="657" w:type="dxa"/>
            <w:shd w:val="clear" w:color="auto" w:fill="auto"/>
            <w:vAlign w:val="center"/>
          </w:tcPr>
          <w:p w14:paraId="727C1572"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D4F9F2B" w14:textId="77777777" w:rsidR="00925C7D" w:rsidRPr="00ED0D6D" w:rsidRDefault="00925C7D" w:rsidP="00CA2F95">
            <w:pPr>
              <w:jc w:val="both"/>
              <w:rPr>
                <w:color w:val="000000"/>
                <w:sz w:val="20"/>
              </w:rPr>
            </w:pPr>
            <w:r w:rsidRPr="00ED0D6D">
              <w:rPr>
                <w:color w:val="000000"/>
                <w:sz w:val="20"/>
              </w:rPr>
              <w:t>Mokinių, kurie mokėsi pagal parengtas arba atnaujintas modulines profesinio mokymo programas, dalis (proc.)</w:t>
            </w:r>
          </w:p>
        </w:tc>
        <w:tc>
          <w:tcPr>
            <w:tcW w:w="1080" w:type="dxa"/>
            <w:shd w:val="clear" w:color="000000" w:fill="FFFFFF"/>
            <w:vAlign w:val="center"/>
          </w:tcPr>
          <w:p w14:paraId="1299E5B4" w14:textId="77777777" w:rsidR="00925C7D" w:rsidRPr="00ED0D6D" w:rsidRDefault="00925C7D" w:rsidP="00CA2F95">
            <w:pPr>
              <w:jc w:val="center"/>
              <w:rPr>
                <w:color w:val="000000"/>
                <w:sz w:val="20"/>
              </w:rPr>
            </w:pPr>
            <w:r w:rsidRPr="00ED0D6D">
              <w:rPr>
                <w:color w:val="000000"/>
                <w:sz w:val="20"/>
              </w:rPr>
              <w:t>65,64</w:t>
            </w:r>
          </w:p>
        </w:tc>
        <w:tc>
          <w:tcPr>
            <w:tcW w:w="1080" w:type="dxa"/>
            <w:shd w:val="clear" w:color="auto" w:fill="auto"/>
            <w:noWrap/>
            <w:vAlign w:val="center"/>
          </w:tcPr>
          <w:p w14:paraId="350DDCE5" w14:textId="77777777" w:rsidR="00925C7D" w:rsidRPr="00ED0D6D" w:rsidRDefault="00925C7D" w:rsidP="00CA2F95">
            <w:pPr>
              <w:jc w:val="center"/>
              <w:rPr>
                <w:color w:val="000000"/>
                <w:sz w:val="20"/>
              </w:rPr>
            </w:pPr>
            <w:r w:rsidRPr="00ED0D6D">
              <w:rPr>
                <w:color w:val="000000"/>
                <w:sz w:val="20"/>
              </w:rPr>
              <w:t>90,2</w:t>
            </w:r>
          </w:p>
        </w:tc>
        <w:tc>
          <w:tcPr>
            <w:tcW w:w="956" w:type="dxa"/>
            <w:shd w:val="clear" w:color="auto" w:fill="auto"/>
            <w:vAlign w:val="center"/>
          </w:tcPr>
          <w:p w14:paraId="6FE00100"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7F934599" w14:textId="77777777" w:rsidR="00925C7D" w:rsidRPr="00ED0D6D" w:rsidRDefault="00925C7D" w:rsidP="00CA2F95">
            <w:pPr>
              <w:jc w:val="center"/>
              <w:rPr>
                <w:color w:val="000000"/>
                <w:sz w:val="20"/>
              </w:rPr>
            </w:pPr>
            <w:r w:rsidRPr="00ED0D6D">
              <w:rPr>
                <w:color w:val="000000"/>
                <w:sz w:val="20"/>
              </w:rPr>
              <w:t>45</w:t>
            </w:r>
          </w:p>
        </w:tc>
        <w:tc>
          <w:tcPr>
            <w:tcW w:w="1250" w:type="dxa"/>
            <w:shd w:val="clear" w:color="auto" w:fill="auto"/>
            <w:noWrap/>
            <w:vAlign w:val="center"/>
          </w:tcPr>
          <w:p w14:paraId="4FE1EE4D"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297FD338"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27D6DD9E" w14:textId="77777777" w:rsidR="00925C7D" w:rsidRPr="00ED0D6D" w:rsidRDefault="00925C7D" w:rsidP="00CA2F95">
            <w:pPr>
              <w:jc w:val="center"/>
              <w:rPr>
                <w:color w:val="000000"/>
                <w:sz w:val="20"/>
              </w:rPr>
            </w:pPr>
            <w:r w:rsidRPr="00ED0D6D">
              <w:rPr>
                <w:color w:val="000000"/>
                <w:sz w:val="20"/>
              </w:rPr>
              <w:t>ŠMSM</w:t>
            </w:r>
          </w:p>
        </w:tc>
        <w:tc>
          <w:tcPr>
            <w:tcW w:w="1172" w:type="dxa"/>
            <w:shd w:val="clear" w:color="auto" w:fill="auto"/>
            <w:vAlign w:val="center"/>
          </w:tcPr>
          <w:p w14:paraId="7900BACE"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05D4D934" w14:textId="77777777" w:rsidTr="00CA2F95">
        <w:trPr>
          <w:trHeight w:val="305"/>
        </w:trPr>
        <w:tc>
          <w:tcPr>
            <w:tcW w:w="657" w:type="dxa"/>
            <w:shd w:val="clear" w:color="auto" w:fill="auto"/>
            <w:vAlign w:val="center"/>
          </w:tcPr>
          <w:p w14:paraId="4D0DC90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24E65ACD" w14:textId="77777777" w:rsidR="00925C7D" w:rsidRPr="00ED0D6D" w:rsidRDefault="00925C7D" w:rsidP="00CA2F95">
            <w:pPr>
              <w:jc w:val="both"/>
              <w:rPr>
                <w:color w:val="000000"/>
                <w:sz w:val="20"/>
              </w:rPr>
            </w:pPr>
            <w:r w:rsidRPr="00ED0D6D">
              <w:rPr>
                <w:color w:val="000000"/>
                <w:sz w:val="20"/>
              </w:rPr>
              <w:t>Mokinių, mokomų pameistrystės forma vykdant pirminį mokymą, dalis (proc.)</w:t>
            </w:r>
          </w:p>
        </w:tc>
        <w:tc>
          <w:tcPr>
            <w:tcW w:w="1080" w:type="dxa"/>
            <w:shd w:val="clear" w:color="000000" w:fill="FFFFFF"/>
            <w:vAlign w:val="center"/>
          </w:tcPr>
          <w:p w14:paraId="34363FF8" w14:textId="77777777" w:rsidR="00925C7D" w:rsidRPr="00ED0D6D" w:rsidRDefault="00925C7D" w:rsidP="00CA2F95">
            <w:pPr>
              <w:jc w:val="center"/>
              <w:rPr>
                <w:color w:val="000000"/>
                <w:sz w:val="20"/>
              </w:rPr>
            </w:pPr>
            <w:r w:rsidRPr="00ED0D6D">
              <w:rPr>
                <w:color w:val="000000"/>
                <w:sz w:val="20"/>
              </w:rPr>
              <w:t>2,7</w:t>
            </w:r>
          </w:p>
        </w:tc>
        <w:tc>
          <w:tcPr>
            <w:tcW w:w="1080" w:type="dxa"/>
            <w:shd w:val="clear" w:color="auto" w:fill="auto"/>
            <w:noWrap/>
            <w:vAlign w:val="center"/>
          </w:tcPr>
          <w:p w14:paraId="2040CA3D" w14:textId="77777777" w:rsidR="00925C7D" w:rsidRPr="00ED0D6D" w:rsidRDefault="00925C7D" w:rsidP="00CA2F95">
            <w:pPr>
              <w:jc w:val="center"/>
              <w:rPr>
                <w:color w:val="000000"/>
                <w:sz w:val="20"/>
              </w:rPr>
            </w:pPr>
            <w:r w:rsidRPr="00ED0D6D">
              <w:rPr>
                <w:color w:val="000000"/>
                <w:sz w:val="20"/>
              </w:rPr>
              <w:t>2,6</w:t>
            </w:r>
          </w:p>
        </w:tc>
        <w:tc>
          <w:tcPr>
            <w:tcW w:w="956" w:type="dxa"/>
            <w:shd w:val="clear" w:color="auto" w:fill="auto"/>
            <w:vAlign w:val="center"/>
          </w:tcPr>
          <w:p w14:paraId="709B4206"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F40E568" w14:textId="77777777" w:rsidR="00925C7D" w:rsidRPr="00ED0D6D" w:rsidRDefault="00925C7D" w:rsidP="00CA2F95">
            <w:pPr>
              <w:jc w:val="center"/>
              <w:rPr>
                <w:color w:val="000000"/>
                <w:sz w:val="20"/>
              </w:rPr>
            </w:pPr>
            <w:r w:rsidRPr="00ED0D6D">
              <w:rPr>
                <w:color w:val="000000"/>
                <w:sz w:val="20"/>
              </w:rPr>
              <w:t>20</w:t>
            </w:r>
          </w:p>
        </w:tc>
        <w:tc>
          <w:tcPr>
            <w:tcW w:w="1250" w:type="dxa"/>
            <w:shd w:val="clear" w:color="auto" w:fill="auto"/>
            <w:noWrap/>
            <w:vAlign w:val="center"/>
          </w:tcPr>
          <w:p w14:paraId="47AD78C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64FE8A3C"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1409FEE2" w14:textId="77777777" w:rsidR="00925C7D" w:rsidRPr="00ED0D6D" w:rsidRDefault="00925C7D" w:rsidP="00CA2F95">
            <w:pPr>
              <w:jc w:val="center"/>
              <w:rPr>
                <w:color w:val="000000"/>
                <w:sz w:val="20"/>
              </w:rPr>
            </w:pPr>
            <w:r w:rsidRPr="00ED0D6D">
              <w:rPr>
                <w:color w:val="FF0000"/>
                <w:sz w:val="20"/>
              </w:rPr>
              <w:t> </w:t>
            </w:r>
            <w:r w:rsidRPr="00ED0D6D">
              <w:rPr>
                <w:color w:val="000000"/>
                <w:sz w:val="20"/>
              </w:rPr>
              <w:t xml:space="preserve"> ŠMSM</w:t>
            </w:r>
          </w:p>
        </w:tc>
        <w:tc>
          <w:tcPr>
            <w:tcW w:w="1172" w:type="dxa"/>
            <w:shd w:val="clear" w:color="auto" w:fill="auto"/>
            <w:vAlign w:val="center"/>
          </w:tcPr>
          <w:p w14:paraId="5E83EAD5"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394C724B" w14:textId="77777777" w:rsidTr="00CA2F95">
        <w:trPr>
          <w:trHeight w:val="305"/>
        </w:trPr>
        <w:tc>
          <w:tcPr>
            <w:tcW w:w="657" w:type="dxa"/>
            <w:shd w:val="clear" w:color="auto" w:fill="auto"/>
            <w:vAlign w:val="center"/>
          </w:tcPr>
          <w:p w14:paraId="519D61F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DC4959B" w14:textId="77777777" w:rsidR="00925C7D" w:rsidRPr="00ED0D6D" w:rsidRDefault="00925C7D" w:rsidP="00CA2F95">
            <w:pPr>
              <w:jc w:val="both"/>
              <w:rPr>
                <w:color w:val="000000"/>
                <w:sz w:val="20"/>
              </w:rPr>
            </w:pPr>
            <w:r w:rsidRPr="00ED0D6D">
              <w:rPr>
                <w:color w:val="000000"/>
                <w:sz w:val="20"/>
              </w:rPr>
              <w:t xml:space="preserve">Profesinėse mokyklose pameistrystės būdu vykdomų mokymų programų dalis (proc.)   </w:t>
            </w:r>
          </w:p>
        </w:tc>
        <w:tc>
          <w:tcPr>
            <w:tcW w:w="1080" w:type="dxa"/>
            <w:shd w:val="clear" w:color="000000" w:fill="FFFFFF"/>
            <w:vAlign w:val="center"/>
          </w:tcPr>
          <w:p w14:paraId="19AC105C" w14:textId="77777777" w:rsidR="00925C7D" w:rsidRPr="00ED0D6D" w:rsidRDefault="00925C7D" w:rsidP="00CA2F95">
            <w:pPr>
              <w:jc w:val="center"/>
              <w:rPr>
                <w:color w:val="000000"/>
                <w:sz w:val="20"/>
              </w:rPr>
            </w:pPr>
            <w:r w:rsidRPr="00ED0D6D">
              <w:rPr>
                <w:color w:val="000000"/>
                <w:sz w:val="20"/>
              </w:rPr>
              <w:t>10</w:t>
            </w:r>
          </w:p>
        </w:tc>
        <w:tc>
          <w:tcPr>
            <w:tcW w:w="1080" w:type="dxa"/>
            <w:shd w:val="clear" w:color="auto" w:fill="auto"/>
            <w:noWrap/>
            <w:vAlign w:val="center"/>
          </w:tcPr>
          <w:p w14:paraId="78FC63F9" w14:textId="77777777" w:rsidR="00925C7D" w:rsidRPr="00ED0D6D" w:rsidRDefault="00925C7D" w:rsidP="00CA2F95">
            <w:pPr>
              <w:jc w:val="center"/>
              <w:rPr>
                <w:color w:val="000000"/>
                <w:sz w:val="20"/>
              </w:rPr>
            </w:pPr>
            <w:r w:rsidRPr="00ED0D6D">
              <w:rPr>
                <w:color w:val="000000"/>
                <w:sz w:val="20"/>
              </w:rPr>
              <w:t>26,2</w:t>
            </w:r>
          </w:p>
        </w:tc>
        <w:tc>
          <w:tcPr>
            <w:tcW w:w="956" w:type="dxa"/>
            <w:shd w:val="clear" w:color="auto" w:fill="auto"/>
            <w:vAlign w:val="center"/>
          </w:tcPr>
          <w:p w14:paraId="05943D66"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230421F0" w14:textId="77777777" w:rsidR="00925C7D" w:rsidRPr="00ED0D6D" w:rsidRDefault="00925C7D" w:rsidP="00CA2F95">
            <w:pPr>
              <w:jc w:val="center"/>
              <w:rPr>
                <w:color w:val="000000"/>
                <w:sz w:val="20"/>
              </w:rPr>
            </w:pPr>
            <w:r w:rsidRPr="00ED0D6D">
              <w:rPr>
                <w:color w:val="000000"/>
                <w:sz w:val="20"/>
              </w:rPr>
              <w:t>15</w:t>
            </w:r>
          </w:p>
        </w:tc>
        <w:tc>
          <w:tcPr>
            <w:tcW w:w="1250" w:type="dxa"/>
            <w:shd w:val="clear" w:color="auto" w:fill="auto"/>
            <w:noWrap/>
            <w:vAlign w:val="center"/>
          </w:tcPr>
          <w:p w14:paraId="7096AA48"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5F0F91E7"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35D2D99" w14:textId="77777777" w:rsidR="00925C7D" w:rsidRPr="00ED0D6D" w:rsidRDefault="00925C7D" w:rsidP="00CA2F95">
            <w:pPr>
              <w:jc w:val="center"/>
              <w:rPr>
                <w:color w:val="000000"/>
                <w:sz w:val="20"/>
              </w:rPr>
            </w:pPr>
            <w:r w:rsidRPr="00ED0D6D">
              <w:rPr>
                <w:color w:val="000000"/>
                <w:sz w:val="20"/>
              </w:rPr>
              <w:t>ŠMSM</w:t>
            </w:r>
          </w:p>
        </w:tc>
        <w:tc>
          <w:tcPr>
            <w:tcW w:w="1172" w:type="dxa"/>
            <w:shd w:val="clear" w:color="auto" w:fill="auto"/>
            <w:vAlign w:val="center"/>
          </w:tcPr>
          <w:p w14:paraId="58AB28E3"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7183C60A" w14:textId="77777777" w:rsidTr="00CA2F95">
        <w:trPr>
          <w:trHeight w:val="323"/>
        </w:trPr>
        <w:tc>
          <w:tcPr>
            <w:tcW w:w="657" w:type="dxa"/>
            <w:shd w:val="clear" w:color="auto" w:fill="auto"/>
            <w:vAlign w:val="center"/>
            <w:hideMark/>
          </w:tcPr>
          <w:p w14:paraId="44C97B51"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008CA4A0" w14:textId="77777777" w:rsidR="00925C7D" w:rsidRPr="00ED0D6D" w:rsidRDefault="00925C7D" w:rsidP="00CA2F95">
            <w:pPr>
              <w:jc w:val="both"/>
              <w:rPr>
                <w:sz w:val="20"/>
              </w:rPr>
            </w:pPr>
            <w:r w:rsidRPr="00ED0D6D">
              <w:rPr>
                <w:color w:val="000000"/>
                <w:sz w:val="20"/>
              </w:rPr>
              <w:t xml:space="preserve">Kolegijose ir universitetuose visą studijų programą studijuojančių užsienio piliečių dalis (proc.) </w:t>
            </w:r>
          </w:p>
        </w:tc>
        <w:tc>
          <w:tcPr>
            <w:tcW w:w="1080" w:type="dxa"/>
            <w:shd w:val="clear" w:color="000000" w:fill="FFFFFF"/>
            <w:vAlign w:val="center"/>
          </w:tcPr>
          <w:p w14:paraId="2E944B91" w14:textId="77777777" w:rsidR="00925C7D" w:rsidRPr="00ED0D6D" w:rsidRDefault="00925C7D" w:rsidP="00CA2F95">
            <w:pPr>
              <w:jc w:val="center"/>
              <w:rPr>
                <w:color w:val="000000"/>
                <w:sz w:val="20"/>
              </w:rPr>
            </w:pPr>
            <w:r w:rsidRPr="00ED0D6D">
              <w:rPr>
                <w:color w:val="000000"/>
                <w:sz w:val="20"/>
              </w:rPr>
              <w:t>6,8</w:t>
            </w:r>
          </w:p>
        </w:tc>
        <w:tc>
          <w:tcPr>
            <w:tcW w:w="1080" w:type="dxa"/>
            <w:shd w:val="clear" w:color="000000" w:fill="FFFFFF"/>
            <w:vAlign w:val="center"/>
          </w:tcPr>
          <w:p w14:paraId="0A23D16C" w14:textId="77777777" w:rsidR="00925C7D" w:rsidRPr="00ED0D6D" w:rsidRDefault="00925C7D" w:rsidP="00CA2F95">
            <w:pPr>
              <w:jc w:val="center"/>
              <w:rPr>
                <w:color w:val="000000"/>
                <w:sz w:val="20"/>
              </w:rPr>
            </w:pPr>
            <w:r w:rsidRPr="00ED0D6D">
              <w:rPr>
                <w:color w:val="000000"/>
                <w:sz w:val="20"/>
              </w:rPr>
              <w:t>7,8</w:t>
            </w:r>
          </w:p>
        </w:tc>
        <w:tc>
          <w:tcPr>
            <w:tcW w:w="956" w:type="dxa"/>
            <w:shd w:val="clear" w:color="auto" w:fill="auto"/>
            <w:vAlign w:val="center"/>
          </w:tcPr>
          <w:p w14:paraId="1B25CFC0"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149FBABA" w14:textId="77777777" w:rsidR="00925C7D" w:rsidRPr="00ED0D6D" w:rsidRDefault="00925C7D" w:rsidP="00CA2F95">
            <w:pPr>
              <w:jc w:val="center"/>
              <w:rPr>
                <w:color w:val="000000"/>
                <w:sz w:val="20"/>
              </w:rPr>
            </w:pPr>
            <w:r w:rsidRPr="00ED0D6D">
              <w:rPr>
                <w:color w:val="000000"/>
                <w:sz w:val="20"/>
              </w:rPr>
              <w:t>6</w:t>
            </w:r>
          </w:p>
        </w:tc>
        <w:tc>
          <w:tcPr>
            <w:tcW w:w="1250" w:type="dxa"/>
            <w:shd w:val="clear" w:color="auto" w:fill="auto"/>
            <w:vAlign w:val="center"/>
          </w:tcPr>
          <w:p w14:paraId="4ECB35B8"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64D8A241"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65D58801"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4BCF79E3"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61E89AF1" w14:textId="77777777" w:rsidTr="00CA2F95">
        <w:trPr>
          <w:trHeight w:val="323"/>
        </w:trPr>
        <w:tc>
          <w:tcPr>
            <w:tcW w:w="657" w:type="dxa"/>
            <w:shd w:val="clear" w:color="auto" w:fill="auto"/>
            <w:vAlign w:val="center"/>
          </w:tcPr>
          <w:p w14:paraId="67515FE5"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37D8D48B" w14:textId="77777777" w:rsidR="00925C7D" w:rsidRPr="00ED0D6D" w:rsidRDefault="00925C7D" w:rsidP="00CA2F95">
            <w:pPr>
              <w:jc w:val="both"/>
              <w:rPr>
                <w:sz w:val="20"/>
              </w:rPr>
            </w:pPr>
            <w:r w:rsidRPr="00ED0D6D">
              <w:rPr>
                <w:color w:val="000000"/>
                <w:sz w:val="20"/>
              </w:rPr>
              <w:t xml:space="preserve">Profesinio mokymo mokinių, kurie mokosi ERPF lėšomis atnaujintose įstaigose, dalis (proc.)   </w:t>
            </w:r>
          </w:p>
        </w:tc>
        <w:tc>
          <w:tcPr>
            <w:tcW w:w="1080" w:type="dxa"/>
            <w:shd w:val="clear" w:color="000000" w:fill="FFFFFF"/>
            <w:vAlign w:val="center"/>
          </w:tcPr>
          <w:p w14:paraId="145EB81C" w14:textId="77777777" w:rsidR="00925C7D" w:rsidRPr="00ED0D6D" w:rsidRDefault="00925C7D" w:rsidP="00CA2F95">
            <w:pPr>
              <w:jc w:val="center"/>
              <w:rPr>
                <w:color w:val="000000"/>
                <w:sz w:val="20"/>
              </w:rPr>
            </w:pPr>
            <w:r w:rsidRPr="00ED0D6D">
              <w:rPr>
                <w:color w:val="000000"/>
                <w:sz w:val="20"/>
              </w:rPr>
              <w:t>60,8</w:t>
            </w:r>
          </w:p>
        </w:tc>
        <w:tc>
          <w:tcPr>
            <w:tcW w:w="1080" w:type="dxa"/>
            <w:shd w:val="clear" w:color="000000" w:fill="FFFFFF"/>
            <w:vAlign w:val="center"/>
          </w:tcPr>
          <w:p w14:paraId="10C9B4F6" w14:textId="77777777" w:rsidR="00925C7D" w:rsidRPr="00ED0D6D" w:rsidRDefault="00925C7D" w:rsidP="00CA2F95">
            <w:pPr>
              <w:jc w:val="center"/>
              <w:rPr>
                <w:color w:val="000000"/>
                <w:sz w:val="20"/>
              </w:rPr>
            </w:pPr>
            <w:r w:rsidRPr="00ED0D6D">
              <w:rPr>
                <w:color w:val="000000"/>
                <w:sz w:val="20"/>
              </w:rPr>
              <w:t>64</w:t>
            </w:r>
          </w:p>
        </w:tc>
        <w:tc>
          <w:tcPr>
            <w:tcW w:w="956" w:type="dxa"/>
            <w:shd w:val="clear" w:color="auto" w:fill="auto"/>
            <w:vAlign w:val="center"/>
          </w:tcPr>
          <w:p w14:paraId="252FE9FB"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3A3006E5" w14:textId="77777777" w:rsidR="00925C7D" w:rsidRPr="00ED0D6D" w:rsidRDefault="00925C7D" w:rsidP="00CA2F95">
            <w:pPr>
              <w:jc w:val="center"/>
              <w:rPr>
                <w:color w:val="000000"/>
                <w:sz w:val="20"/>
              </w:rPr>
            </w:pPr>
            <w:r w:rsidRPr="00ED0D6D">
              <w:rPr>
                <w:color w:val="000000"/>
                <w:sz w:val="20"/>
              </w:rPr>
              <w:t>75</w:t>
            </w:r>
          </w:p>
        </w:tc>
        <w:tc>
          <w:tcPr>
            <w:tcW w:w="1250" w:type="dxa"/>
            <w:shd w:val="clear" w:color="auto" w:fill="auto"/>
            <w:vAlign w:val="center"/>
          </w:tcPr>
          <w:p w14:paraId="5F85485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1734566C"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DE41E89"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43745B8A"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48E18606" w14:textId="77777777" w:rsidTr="00CA2F95">
        <w:trPr>
          <w:trHeight w:val="323"/>
        </w:trPr>
        <w:tc>
          <w:tcPr>
            <w:tcW w:w="657" w:type="dxa"/>
            <w:shd w:val="clear" w:color="auto" w:fill="auto"/>
            <w:vAlign w:val="center"/>
          </w:tcPr>
          <w:p w14:paraId="338CF947"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4243D795" w14:textId="77777777" w:rsidR="00925C7D" w:rsidRPr="00ED0D6D" w:rsidRDefault="00925C7D" w:rsidP="00CA2F95">
            <w:pPr>
              <w:jc w:val="both"/>
              <w:rPr>
                <w:sz w:val="20"/>
              </w:rPr>
            </w:pPr>
            <w:r w:rsidRPr="00ED0D6D">
              <w:rPr>
                <w:color w:val="000000"/>
                <w:sz w:val="20"/>
              </w:rPr>
              <w:t xml:space="preserve">Pagal specialybę dirbančių baigusių profesinio mokymo programas abiturientų dalis (proc.)   </w:t>
            </w:r>
          </w:p>
        </w:tc>
        <w:tc>
          <w:tcPr>
            <w:tcW w:w="1080" w:type="dxa"/>
            <w:shd w:val="clear" w:color="000000" w:fill="FFFFFF"/>
            <w:vAlign w:val="center"/>
          </w:tcPr>
          <w:p w14:paraId="3FB25136" w14:textId="77777777" w:rsidR="00925C7D" w:rsidRPr="00ED0D6D" w:rsidRDefault="00925C7D" w:rsidP="00CA2F95">
            <w:pPr>
              <w:jc w:val="center"/>
              <w:rPr>
                <w:color w:val="000000"/>
                <w:sz w:val="20"/>
              </w:rPr>
            </w:pPr>
            <w:r w:rsidRPr="00ED0D6D">
              <w:rPr>
                <w:color w:val="000000"/>
                <w:sz w:val="20"/>
              </w:rPr>
              <w:t>64</w:t>
            </w:r>
          </w:p>
        </w:tc>
        <w:tc>
          <w:tcPr>
            <w:tcW w:w="1080" w:type="dxa"/>
            <w:shd w:val="clear" w:color="000000" w:fill="FFFFFF"/>
            <w:vAlign w:val="center"/>
          </w:tcPr>
          <w:p w14:paraId="36E2558A" w14:textId="77777777" w:rsidR="00925C7D" w:rsidRPr="00ED0D6D" w:rsidRDefault="00925C7D" w:rsidP="00CA2F95">
            <w:pPr>
              <w:jc w:val="center"/>
              <w:rPr>
                <w:color w:val="000000"/>
                <w:sz w:val="20"/>
              </w:rPr>
            </w:pPr>
            <w:r w:rsidRPr="00ED0D6D">
              <w:rPr>
                <w:color w:val="000000"/>
                <w:sz w:val="20"/>
              </w:rPr>
              <w:t>80</w:t>
            </w:r>
          </w:p>
        </w:tc>
        <w:tc>
          <w:tcPr>
            <w:tcW w:w="956" w:type="dxa"/>
            <w:shd w:val="clear" w:color="auto" w:fill="auto"/>
            <w:vAlign w:val="center"/>
          </w:tcPr>
          <w:p w14:paraId="23F86F91" w14:textId="77777777" w:rsidR="00925C7D" w:rsidRPr="00ED0D6D" w:rsidRDefault="00925C7D" w:rsidP="00CA2F95">
            <w:pPr>
              <w:jc w:val="center"/>
              <w:rPr>
                <w:color w:val="000000"/>
                <w:sz w:val="20"/>
              </w:rPr>
            </w:pPr>
            <w:r w:rsidRPr="00ED0D6D">
              <w:rPr>
                <w:color w:val="000000"/>
                <w:sz w:val="20"/>
              </w:rPr>
              <w:t>_</w:t>
            </w:r>
          </w:p>
        </w:tc>
        <w:tc>
          <w:tcPr>
            <w:tcW w:w="983" w:type="dxa"/>
            <w:shd w:val="clear" w:color="auto" w:fill="auto"/>
            <w:vAlign w:val="center"/>
          </w:tcPr>
          <w:p w14:paraId="0CDCDEC0" w14:textId="77777777" w:rsidR="00925C7D" w:rsidRPr="00ED0D6D" w:rsidRDefault="00925C7D" w:rsidP="00CA2F95">
            <w:pPr>
              <w:jc w:val="center"/>
              <w:rPr>
                <w:color w:val="000000"/>
                <w:sz w:val="20"/>
              </w:rPr>
            </w:pPr>
            <w:r w:rsidRPr="00ED0D6D">
              <w:rPr>
                <w:color w:val="000000"/>
                <w:sz w:val="20"/>
              </w:rPr>
              <w:t>80</w:t>
            </w:r>
          </w:p>
        </w:tc>
        <w:tc>
          <w:tcPr>
            <w:tcW w:w="1250" w:type="dxa"/>
            <w:shd w:val="clear" w:color="auto" w:fill="auto"/>
            <w:vAlign w:val="center"/>
          </w:tcPr>
          <w:p w14:paraId="105A33C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6F80624E"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2B483975"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0CD0FF5F"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356317F0" w14:textId="77777777" w:rsidTr="00CA2F95">
        <w:trPr>
          <w:trHeight w:val="323"/>
        </w:trPr>
        <w:tc>
          <w:tcPr>
            <w:tcW w:w="657" w:type="dxa"/>
            <w:shd w:val="clear" w:color="auto" w:fill="auto"/>
            <w:vAlign w:val="center"/>
          </w:tcPr>
          <w:p w14:paraId="0EDF7BF5"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2EA32F6F" w14:textId="77777777" w:rsidR="00925C7D" w:rsidRPr="00ED0D6D" w:rsidRDefault="00925C7D" w:rsidP="00CA2F95">
            <w:pPr>
              <w:jc w:val="both"/>
              <w:rPr>
                <w:sz w:val="20"/>
              </w:rPr>
            </w:pPr>
            <w:r w:rsidRPr="00ED0D6D">
              <w:rPr>
                <w:color w:val="000000"/>
                <w:sz w:val="20"/>
              </w:rPr>
              <w:t xml:space="preserve">Pripažintų profesinių kvalifikacijų skaičius per metus 10 </w:t>
            </w:r>
            <w:proofErr w:type="spellStart"/>
            <w:r w:rsidRPr="00ED0D6D">
              <w:rPr>
                <w:color w:val="000000"/>
                <w:sz w:val="20"/>
              </w:rPr>
              <w:t>tūks</w:t>
            </w:r>
            <w:proofErr w:type="spellEnd"/>
            <w:r w:rsidRPr="00ED0D6D">
              <w:rPr>
                <w:color w:val="000000"/>
                <w:sz w:val="20"/>
              </w:rPr>
              <w:t xml:space="preserve">. gyventojų (vienetai)   </w:t>
            </w:r>
          </w:p>
        </w:tc>
        <w:tc>
          <w:tcPr>
            <w:tcW w:w="1080" w:type="dxa"/>
            <w:shd w:val="clear" w:color="000000" w:fill="FFFFFF"/>
            <w:vAlign w:val="center"/>
          </w:tcPr>
          <w:p w14:paraId="455F8F77" w14:textId="77777777" w:rsidR="00925C7D" w:rsidRPr="00ED0D6D" w:rsidRDefault="00925C7D" w:rsidP="00CA2F95">
            <w:pPr>
              <w:jc w:val="center"/>
              <w:rPr>
                <w:color w:val="000000"/>
                <w:sz w:val="20"/>
              </w:rPr>
            </w:pPr>
            <w:r w:rsidRPr="00ED0D6D">
              <w:rPr>
                <w:color w:val="000000"/>
                <w:sz w:val="20"/>
              </w:rPr>
              <w:t>22</w:t>
            </w:r>
          </w:p>
        </w:tc>
        <w:tc>
          <w:tcPr>
            <w:tcW w:w="1080" w:type="dxa"/>
            <w:shd w:val="clear" w:color="000000" w:fill="FFFFFF"/>
            <w:vAlign w:val="center"/>
          </w:tcPr>
          <w:p w14:paraId="7E0F8F69" w14:textId="77777777" w:rsidR="00925C7D" w:rsidRPr="00ED0D6D" w:rsidRDefault="00925C7D" w:rsidP="00CA2F95">
            <w:pPr>
              <w:jc w:val="center"/>
              <w:rPr>
                <w:color w:val="000000"/>
                <w:sz w:val="20"/>
              </w:rPr>
            </w:pPr>
            <w:r w:rsidRPr="00ED0D6D">
              <w:rPr>
                <w:color w:val="000000"/>
                <w:sz w:val="20"/>
              </w:rPr>
              <w:t>4</w:t>
            </w:r>
          </w:p>
        </w:tc>
        <w:tc>
          <w:tcPr>
            <w:tcW w:w="956" w:type="dxa"/>
            <w:shd w:val="clear" w:color="auto" w:fill="auto"/>
            <w:vAlign w:val="center"/>
          </w:tcPr>
          <w:p w14:paraId="35FD9E6A"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5DB3184E" w14:textId="77777777" w:rsidR="00925C7D" w:rsidRPr="00ED0D6D" w:rsidRDefault="00925C7D" w:rsidP="00CA2F95">
            <w:pPr>
              <w:jc w:val="center"/>
              <w:rPr>
                <w:color w:val="000000"/>
                <w:sz w:val="20"/>
              </w:rPr>
            </w:pPr>
            <w:r w:rsidRPr="00ED0D6D">
              <w:rPr>
                <w:color w:val="000000"/>
                <w:sz w:val="20"/>
              </w:rPr>
              <w:t>14</w:t>
            </w:r>
          </w:p>
        </w:tc>
        <w:tc>
          <w:tcPr>
            <w:tcW w:w="1250" w:type="dxa"/>
            <w:shd w:val="clear" w:color="auto" w:fill="auto"/>
            <w:vAlign w:val="center"/>
          </w:tcPr>
          <w:p w14:paraId="3AB85356"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C61CC67"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5EEB742B"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09D46CEB"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6F0E72A7" w14:textId="77777777" w:rsidTr="00CA2F95">
        <w:trPr>
          <w:trHeight w:val="323"/>
        </w:trPr>
        <w:tc>
          <w:tcPr>
            <w:tcW w:w="657" w:type="dxa"/>
            <w:shd w:val="clear" w:color="auto" w:fill="auto"/>
            <w:vAlign w:val="center"/>
          </w:tcPr>
          <w:p w14:paraId="359A1E3E"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7486F202" w14:textId="77777777" w:rsidR="00925C7D" w:rsidRPr="00ED0D6D" w:rsidRDefault="00925C7D" w:rsidP="00CA2F95">
            <w:pPr>
              <w:jc w:val="both"/>
              <w:rPr>
                <w:sz w:val="20"/>
              </w:rPr>
            </w:pPr>
            <w:r w:rsidRPr="00ED0D6D">
              <w:rPr>
                <w:color w:val="000000"/>
                <w:sz w:val="20"/>
              </w:rPr>
              <w:t xml:space="preserve">Užsienio lietuvių, Lietuvos mokyklose besimokančių nuotoliniu būdu, skaičiaus padidėjimas (proc.)   </w:t>
            </w:r>
          </w:p>
        </w:tc>
        <w:tc>
          <w:tcPr>
            <w:tcW w:w="1080" w:type="dxa"/>
            <w:shd w:val="clear" w:color="000000" w:fill="FFFFFF"/>
            <w:vAlign w:val="center"/>
          </w:tcPr>
          <w:p w14:paraId="77FF2D7C" w14:textId="77777777" w:rsidR="00925C7D" w:rsidRPr="00ED0D6D" w:rsidRDefault="00925C7D" w:rsidP="00CA2F95">
            <w:pPr>
              <w:jc w:val="center"/>
              <w:rPr>
                <w:color w:val="000000"/>
                <w:sz w:val="20"/>
              </w:rPr>
            </w:pPr>
            <w:r w:rsidRPr="00ED0D6D">
              <w:rPr>
                <w:color w:val="000000"/>
                <w:sz w:val="20"/>
              </w:rPr>
              <w:t>10</w:t>
            </w:r>
          </w:p>
        </w:tc>
        <w:tc>
          <w:tcPr>
            <w:tcW w:w="1080" w:type="dxa"/>
            <w:shd w:val="clear" w:color="000000" w:fill="FFFFFF"/>
            <w:vAlign w:val="center"/>
          </w:tcPr>
          <w:p w14:paraId="1380EA81" w14:textId="77777777" w:rsidR="00925C7D" w:rsidRPr="00ED0D6D" w:rsidRDefault="00925C7D" w:rsidP="00CA2F95">
            <w:pPr>
              <w:jc w:val="center"/>
              <w:rPr>
                <w:color w:val="000000"/>
                <w:sz w:val="20"/>
              </w:rPr>
            </w:pPr>
            <w:r w:rsidRPr="00ED0D6D">
              <w:rPr>
                <w:color w:val="000000"/>
                <w:sz w:val="20"/>
              </w:rPr>
              <w:t>21</w:t>
            </w:r>
          </w:p>
        </w:tc>
        <w:tc>
          <w:tcPr>
            <w:tcW w:w="956" w:type="dxa"/>
            <w:shd w:val="clear" w:color="auto" w:fill="auto"/>
            <w:vAlign w:val="center"/>
          </w:tcPr>
          <w:p w14:paraId="53B12576"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4DF70E76" w14:textId="77777777" w:rsidR="00925C7D" w:rsidRPr="00ED0D6D" w:rsidRDefault="00925C7D" w:rsidP="00CA2F95">
            <w:pPr>
              <w:jc w:val="center"/>
              <w:rPr>
                <w:color w:val="000000"/>
                <w:sz w:val="20"/>
              </w:rPr>
            </w:pPr>
            <w:r w:rsidRPr="00ED0D6D">
              <w:rPr>
                <w:color w:val="000000"/>
                <w:sz w:val="20"/>
              </w:rPr>
              <w:t>20</w:t>
            </w:r>
          </w:p>
        </w:tc>
        <w:tc>
          <w:tcPr>
            <w:tcW w:w="1250" w:type="dxa"/>
            <w:shd w:val="clear" w:color="auto" w:fill="auto"/>
            <w:vAlign w:val="center"/>
          </w:tcPr>
          <w:p w14:paraId="19F2A29B"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C54D0B4"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2CD74C4E"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5A9707AE"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75128895" w14:textId="77777777" w:rsidTr="00CA2F95">
        <w:trPr>
          <w:trHeight w:val="323"/>
        </w:trPr>
        <w:tc>
          <w:tcPr>
            <w:tcW w:w="657" w:type="dxa"/>
            <w:shd w:val="clear" w:color="auto" w:fill="auto"/>
            <w:vAlign w:val="center"/>
          </w:tcPr>
          <w:p w14:paraId="185165B5"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05B7A01B" w14:textId="77777777" w:rsidR="00925C7D" w:rsidRPr="00ED0D6D" w:rsidRDefault="00925C7D" w:rsidP="00CA2F95">
            <w:pPr>
              <w:jc w:val="both"/>
              <w:rPr>
                <w:sz w:val="20"/>
              </w:rPr>
            </w:pPr>
            <w:r w:rsidRPr="00ED0D6D">
              <w:rPr>
                <w:color w:val="000000"/>
                <w:sz w:val="20"/>
              </w:rPr>
              <w:t xml:space="preserve">Lituanistinių mokyklų, naudojančių lietuvių kalbos testavimo sistemą, dalis (proc.)   </w:t>
            </w:r>
          </w:p>
        </w:tc>
        <w:tc>
          <w:tcPr>
            <w:tcW w:w="1080" w:type="dxa"/>
            <w:shd w:val="clear" w:color="000000" w:fill="FFFFFF"/>
            <w:vAlign w:val="center"/>
          </w:tcPr>
          <w:p w14:paraId="7085ECFE" w14:textId="77777777" w:rsidR="00925C7D" w:rsidRPr="00ED0D6D" w:rsidRDefault="00925C7D" w:rsidP="00CA2F95">
            <w:pPr>
              <w:jc w:val="center"/>
              <w:rPr>
                <w:color w:val="000000"/>
                <w:sz w:val="20"/>
              </w:rPr>
            </w:pPr>
            <w:r w:rsidRPr="00ED0D6D">
              <w:rPr>
                <w:color w:val="000000"/>
                <w:sz w:val="20"/>
              </w:rPr>
              <w:t>15,6</w:t>
            </w:r>
          </w:p>
        </w:tc>
        <w:tc>
          <w:tcPr>
            <w:tcW w:w="1080" w:type="dxa"/>
            <w:shd w:val="clear" w:color="000000" w:fill="FFFFFF"/>
            <w:vAlign w:val="center"/>
          </w:tcPr>
          <w:p w14:paraId="5CE1CD86" w14:textId="77777777" w:rsidR="00925C7D" w:rsidRPr="00ED0D6D" w:rsidRDefault="00925C7D" w:rsidP="00CA2F95">
            <w:pPr>
              <w:jc w:val="center"/>
              <w:rPr>
                <w:color w:val="000000"/>
                <w:sz w:val="20"/>
              </w:rPr>
            </w:pPr>
            <w:r w:rsidRPr="00ED0D6D">
              <w:rPr>
                <w:color w:val="000000"/>
                <w:sz w:val="20"/>
              </w:rPr>
              <w:t>3,7</w:t>
            </w:r>
          </w:p>
        </w:tc>
        <w:tc>
          <w:tcPr>
            <w:tcW w:w="956" w:type="dxa"/>
            <w:shd w:val="clear" w:color="auto" w:fill="auto"/>
            <w:vAlign w:val="center"/>
          </w:tcPr>
          <w:p w14:paraId="5D967441"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6FF6D500" w14:textId="77777777" w:rsidR="00925C7D" w:rsidRPr="00ED0D6D" w:rsidRDefault="00925C7D" w:rsidP="00CA2F95">
            <w:pPr>
              <w:jc w:val="center"/>
              <w:rPr>
                <w:color w:val="000000"/>
                <w:sz w:val="20"/>
              </w:rPr>
            </w:pPr>
            <w:r w:rsidRPr="00ED0D6D">
              <w:rPr>
                <w:color w:val="000000"/>
                <w:sz w:val="20"/>
              </w:rPr>
              <w:t>50</w:t>
            </w:r>
          </w:p>
        </w:tc>
        <w:tc>
          <w:tcPr>
            <w:tcW w:w="1250" w:type="dxa"/>
            <w:shd w:val="clear" w:color="auto" w:fill="auto"/>
            <w:vAlign w:val="center"/>
          </w:tcPr>
          <w:p w14:paraId="6B5656B6"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6A496BBE"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1DB739F5"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19372EFE"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1886D114" w14:textId="77777777" w:rsidTr="00CA2F95">
        <w:trPr>
          <w:trHeight w:val="323"/>
        </w:trPr>
        <w:tc>
          <w:tcPr>
            <w:tcW w:w="657" w:type="dxa"/>
            <w:shd w:val="clear" w:color="auto" w:fill="auto"/>
            <w:vAlign w:val="center"/>
          </w:tcPr>
          <w:p w14:paraId="630EB2D0"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45EECAFA" w14:textId="77777777" w:rsidR="00925C7D" w:rsidRPr="00ED0D6D" w:rsidRDefault="00925C7D" w:rsidP="00CA2F95">
            <w:pPr>
              <w:jc w:val="both"/>
              <w:rPr>
                <w:sz w:val="20"/>
              </w:rPr>
            </w:pPr>
            <w:r w:rsidRPr="00ED0D6D">
              <w:rPr>
                <w:color w:val="000000"/>
                <w:sz w:val="20"/>
              </w:rPr>
              <w:t xml:space="preserve">30-49 amžiaus mokytojų dalis (proc.) </w:t>
            </w:r>
          </w:p>
        </w:tc>
        <w:tc>
          <w:tcPr>
            <w:tcW w:w="1080" w:type="dxa"/>
            <w:shd w:val="clear" w:color="000000" w:fill="FFFFFF"/>
            <w:vAlign w:val="center"/>
          </w:tcPr>
          <w:p w14:paraId="74EDA47F" w14:textId="77777777" w:rsidR="00925C7D" w:rsidRPr="00ED0D6D" w:rsidRDefault="00925C7D" w:rsidP="00CA2F95">
            <w:pPr>
              <w:jc w:val="center"/>
              <w:rPr>
                <w:color w:val="000000"/>
                <w:sz w:val="20"/>
              </w:rPr>
            </w:pPr>
            <w:r w:rsidRPr="00ED0D6D">
              <w:rPr>
                <w:color w:val="000000"/>
                <w:sz w:val="20"/>
              </w:rPr>
              <w:t>41,1</w:t>
            </w:r>
          </w:p>
        </w:tc>
        <w:tc>
          <w:tcPr>
            <w:tcW w:w="1080" w:type="dxa"/>
            <w:shd w:val="clear" w:color="000000" w:fill="FFFFFF"/>
            <w:vAlign w:val="center"/>
          </w:tcPr>
          <w:p w14:paraId="5BCC8782" w14:textId="77777777" w:rsidR="00925C7D" w:rsidRPr="00ED0D6D" w:rsidRDefault="00925C7D" w:rsidP="00CA2F95">
            <w:pPr>
              <w:jc w:val="center"/>
              <w:rPr>
                <w:color w:val="000000"/>
                <w:sz w:val="20"/>
              </w:rPr>
            </w:pPr>
            <w:r w:rsidRPr="00ED0D6D">
              <w:rPr>
                <w:color w:val="000000"/>
                <w:sz w:val="20"/>
              </w:rPr>
              <w:t>39,9 (2020–2021)</w:t>
            </w:r>
          </w:p>
        </w:tc>
        <w:tc>
          <w:tcPr>
            <w:tcW w:w="956" w:type="dxa"/>
            <w:shd w:val="clear" w:color="auto" w:fill="auto"/>
            <w:vAlign w:val="center"/>
          </w:tcPr>
          <w:p w14:paraId="50776B4E"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105C6A74" w14:textId="77777777" w:rsidR="00925C7D" w:rsidRPr="00ED0D6D" w:rsidRDefault="00925C7D" w:rsidP="00CA2F95">
            <w:pPr>
              <w:jc w:val="center"/>
              <w:rPr>
                <w:color w:val="000000"/>
                <w:sz w:val="20"/>
              </w:rPr>
            </w:pPr>
            <w:r w:rsidRPr="00ED0D6D">
              <w:rPr>
                <w:color w:val="000000"/>
                <w:sz w:val="20"/>
              </w:rPr>
              <w:t>60</w:t>
            </w:r>
          </w:p>
        </w:tc>
        <w:tc>
          <w:tcPr>
            <w:tcW w:w="1250" w:type="dxa"/>
            <w:shd w:val="clear" w:color="auto" w:fill="auto"/>
            <w:vAlign w:val="center"/>
          </w:tcPr>
          <w:p w14:paraId="446C92D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1449625A"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5E4EC4ED"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0EE594B6"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4868C70F" w14:textId="77777777" w:rsidTr="00CA2F95">
        <w:trPr>
          <w:trHeight w:val="323"/>
        </w:trPr>
        <w:tc>
          <w:tcPr>
            <w:tcW w:w="657" w:type="dxa"/>
            <w:shd w:val="clear" w:color="auto" w:fill="auto"/>
            <w:vAlign w:val="center"/>
          </w:tcPr>
          <w:p w14:paraId="070FA045"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7D842CC9" w14:textId="77777777" w:rsidR="00925C7D" w:rsidRPr="00ED0D6D" w:rsidRDefault="00925C7D" w:rsidP="00CA2F95">
            <w:pPr>
              <w:jc w:val="both"/>
              <w:rPr>
                <w:sz w:val="20"/>
              </w:rPr>
            </w:pPr>
            <w:r w:rsidRPr="00ED0D6D">
              <w:rPr>
                <w:color w:val="000000"/>
                <w:sz w:val="20"/>
              </w:rPr>
              <w:t xml:space="preserve">Metinių bendrųjų išlaidų vidutiniškai vienam visų švietimo lygmenų mokiniui, lyginant su BVP vienam gyventojui, Lietuvoje santykis su EBPO šalių vidurkiu (proc.) </w:t>
            </w:r>
          </w:p>
        </w:tc>
        <w:tc>
          <w:tcPr>
            <w:tcW w:w="1080" w:type="dxa"/>
            <w:shd w:val="clear" w:color="000000" w:fill="FFFFFF"/>
            <w:vAlign w:val="center"/>
          </w:tcPr>
          <w:p w14:paraId="52B7244A" w14:textId="77777777" w:rsidR="00925C7D" w:rsidRPr="00ED0D6D" w:rsidRDefault="00925C7D" w:rsidP="00CA2F95">
            <w:pPr>
              <w:jc w:val="center"/>
              <w:rPr>
                <w:color w:val="000000"/>
                <w:sz w:val="20"/>
              </w:rPr>
            </w:pPr>
            <w:r w:rsidRPr="00ED0D6D">
              <w:rPr>
                <w:color w:val="000000"/>
                <w:sz w:val="20"/>
              </w:rPr>
              <w:t>0,76 (2017)</w:t>
            </w:r>
          </w:p>
        </w:tc>
        <w:tc>
          <w:tcPr>
            <w:tcW w:w="1080" w:type="dxa"/>
            <w:shd w:val="clear" w:color="000000" w:fill="FFFFFF"/>
            <w:vAlign w:val="center"/>
          </w:tcPr>
          <w:p w14:paraId="56F7FBBB"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02810E67" w14:textId="77777777" w:rsidR="00925C7D" w:rsidRPr="00ED0D6D" w:rsidRDefault="00925C7D" w:rsidP="00CA2F95">
            <w:pPr>
              <w:jc w:val="center"/>
              <w:rPr>
                <w:color w:val="000000"/>
                <w:sz w:val="20"/>
              </w:rPr>
            </w:pPr>
            <w:r w:rsidRPr="00ED0D6D">
              <w:rPr>
                <w:color w:val="000000"/>
                <w:sz w:val="20"/>
              </w:rPr>
              <w:t>0,98 (2017)</w:t>
            </w:r>
          </w:p>
        </w:tc>
        <w:tc>
          <w:tcPr>
            <w:tcW w:w="983" w:type="dxa"/>
            <w:shd w:val="clear" w:color="auto" w:fill="auto"/>
            <w:vAlign w:val="center"/>
          </w:tcPr>
          <w:p w14:paraId="2C123440" w14:textId="77777777" w:rsidR="00925C7D" w:rsidRPr="00ED0D6D" w:rsidRDefault="00925C7D" w:rsidP="00CA2F95">
            <w:pPr>
              <w:jc w:val="center"/>
              <w:rPr>
                <w:color w:val="000000"/>
                <w:sz w:val="20"/>
              </w:rPr>
            </w:pPr>
            <w:r w:rsidRPr="00ED0D6D">
              <w:rPr>
                <w:color w:val="000000"/>
                <w:sz w:val="20"/>
              </w:rPr>
              <w:t>0,91</w:t>
            </w:r>
          </w:p>
        </w:tc>
        <w:tc>
          <w:tcPr>
            <w:tcW w:w="1250" w:type="dxa"/>
            <w:shd w:val="clear" w:color="auto" w:fill="auto"/>
            <w:vAlign w:val="center"/>
          </w:tcPr>
          <w:p w14:paraId="516B42E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1AF1BB76"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6B14BCC" w14:textId="77777777" w:rsidR="00925C7D" w:rsidRPr="00ED0D6D" w:rsidRDefault="00925C7D" w:rsidP="00CA2F95">
            <w:pPr>
              <w:jc w:val="center"/>
              <w:rPr>
                <w:color w:val="000000"/>
                <w:sz w:val="20"/>
              </w:rPr>
            </w:pPr>
            <w:r w:rsidRPr="00ED0D6D">
              <w:rPr>
                <w:color w:val="000000"/>
                <w:sz w:val="20"/>
              </w:rPr>
              <w:t xml:space="preserve">EBPO, ŠMSM </w:t>
            </w:r>
          </w:p>
        </w:tc>
        <w:tc>
          <w:tcPr>
            <w:tcW w:w="1172" w:type="dxa"/>
            <w:shd w:val="clear" w:color="auto" w:fill="auto"/>
            <w:vAlign w:val="center"/>
          </w:tcPr>
          <w:p w14:paraId="1AB5B837"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27674ED0" w14:textId="77777777" w:rsidTr="00CA2F95">
        <w:trPr>
          <w:trHeight w:val="323"/>
        </w:trPr>
        <w:tc>
          <w:tcPr>
            <w:tcW w:w="657" w:type="dxa"/>
            <w:shd w:val="clear" w:color="auto" w:fill="auto"/>
            <w:vAlign w:val="center"/>
          </w:tcPr>
          <w:p w14:paraId="76A96350"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5B53DE3C" w14:textId="77777777" w:rsidR="00925C7D" w:rsidRPr="00ED0D6D" w:rsidRDefault="00925C7D" w:rsidP="00CA2F95">
            <w:pPr>
              <w:jc w:val="both"/>
              <w:rPr>
                <w:sz w:val="20"/>
              </w:rPr>
            </w:pPr>
            <w:r w:rsidRPr="00ED0D6D">
              <w:rPr>
                <w:color w:val="000000"/>
                <w:sz w:val="20"/>
              </w:rPr>
              <w:t xml:space="preserve">Geriausiai baigusiųjų vidurinio ugdymo programas ir įstojusiųjų į pedagogų rengimo programas dalis nuo visų įstojusiųjų į pedagogų rengimo programas (proc.)   </w:t>
            </w:r>
          </w:p>
        </w:tc>
        <w:tc>
          <w:tcPr>
            <w:tcW w:w="1080" w:type="dxa"/>
            <w:shd w:val="clear" w:color="000000" w:fill="FFFFFF"/>
            <w:vAlign w:val="center"/>
          </w:tcPr>
          <w:p w14:paraId="3B818C79" w14:textId="77777777" w:rsidR="00925C7D" w:rsidRPr="00ED0D6D" w:rsidRDefault="00925C7D" w:rsidP="00CA2F95">
            <w:pPr>
              <w:jc w:val="center"/>
              <w:rPr>
                <w:color w:val="000000"/>
                <w:sz w:val="20"/>
              </w:rPr>
            </w:pPr>
            <w:r w:rsidRPr="00ED0D6D">
              <w:rPr>
                <w:color w:val="000000"/>
                <w:sz w:val="20"/>
              </w:rPr>
              <w:t>16,6</w:t>
            </w:r>
          </w:p>
        </w:tc>
        <w:tc>
          <w:tcPr>
            <w:tcW w:w="1080" w:type="dxa"/>
            <w:shd w:val="clear" w:color="000000" w:fill="FFFFFF"/>
            <w:vAlign w:val="center"/>
          </w:tcPr>
          <w:p w14:paraId="73F6CE47" w14:textId="77777777" w:rsidR="00925C7D" w:rsidRPr="00ED0D6D" w:rsidRDefault="00925C7D" w:rsidP="00CA2F95">
            <w:pPr>
              <w:jc w:val="center"/>
              <w:rPr>
                <w:color w:val="000000"/>
                <w:sz w:val="20"/>
              </w:rPr>
            </w:pPr>
            <w:r w:rsidRPr="00ED0D6D">
              <w:rPr>
                <w:color w:val="000000"/>
                <w:sz w:val="20"/>
              </w:rPr>
              <w:t>17,4</w:t>
            </w:r>
          </w:p>
        </w:tc>
        <w:tc>
          <w:tcPr>
            <w:tcW w:w="956" w:type="dxa"/>
            <w:shd w:val="clear" w:color="auto" w:fill="auto"/>
            <w:vAlign w:val="center"/>
          </w:tcPr>
          <w:p w14:paraId="5E546F34"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683B1001" w14:textId="77777777" w:rsidR="00925C7D" w:rsidRPr="00ED0D6D" w:rsidRDefault="00925C7D" w:rsidP="00CA2F95">
            <w:pPr>
              <w:jc w:val="center"/>
              <w:rPr>
                <w:color w:val="000000"/>
                <w:sz w:val="20"/>
              </w:rPr>
            </w:pPr>
            <w:r w:rsidRPr="00ED0D6D">
              <w:rPr>
                <w:color w:val="000000"/>
                <w:sz w:val="20"/>
              </w:rPr>
              <w:t>15</w:t>
            </w:r>
          </w:p>
        </w:tc>
        <w:tc>
          <w:tcPr>
            <w:tcW w:w="1250" w:type="dxa"/>
            <w:shd w:val="clear" w:color="auto" w:fill="auto"/>
            <w:vAlign w:val="center"/>
          </w:tcPr>
          <w:p w14:paraId="3CE1E8B4"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1A92246"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1094ABF4" w14:textId="77777777" w:rsidR="00925C7D" w:rsidRPr="00ED0D6D" w:rsidRDefault="00925C7D" w:rsidP="00CA2F95">
            <w:pPr>
              <w:jc w:val="center"/>
              <w:rPr>
                <w:color w:val="000000"/>
                <w:sz w:val="20"/>
              </w:rPr>
            </w:pPr>
            <w:r w:rsidRPr="00ED0D6D">
              <w:rPr>
                <w:color w:val="000000"/>
                <w:sz w:val="20"/>
              </w:rPr>
              <w:t>ŠVIS</w:t>
            </w:r>
          </w:p>
        </w:tc>
        <w:tc>
          <w:tcPr>
            <w:tcW w:w="1172" w:type="dxa"/>
            <w:shd w:val="clear" w:color="auto" w:fill="auto"/>
            <w:vAlign w:val="center"/>
          </w:tcPr>
          <w:p w14:paraId="32955EEC"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1339561A" w14:textId="77777777" w:rsidTr="00CA2F95">
        <w:trPr>
          <w:trHeight w:val="323"/>
        </w:trPr>
        <w:tc>
          <w:tcPr>
            <w:tcW w:w="657" w:type="dxa"/>
            <w:shd w:val="clear" w:color="auto" w:fill="auto"/>
            <w:vAlign w:val="center"/>
          </w:tcPr>
          <w:p w14:paraId="41475B8D"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69900FD4" w14:textId="77777777" w:rsidR="00925C7D" w:rsidRPr="00ED0D6D" w:rsidRDefault="00925C7D" w:rsidP="00CA2F95">
            <w:pPr>
              <w:jc w:val="both"/>
              <w:rPr>
                <w:sz w:val="20"/>
              </w:rPr>
            </w:pPr>
            <w:proofErr w:type="spellStart"/>
            <w:r w:rsidRPr="00ED0D6D">
              <w:rPr>
                <w:color w:val="000000"/>
                <w:sz w:val="20"/>
              </w:rPr>
              <w:t>Podoktorantūros</w:t>
            </w:r>
            <w:proofErr w:type="spellEnd"/>
            <w:r w:rsidRPr="00ED0D6D">
              <w:rPr>
                <w:color w:val="000000"/>
                <w:sz w:val="20"/>
              </w:rPr>
              <w:t xml:space="preserve"> stažuotojų skaičius (asmenys)   </w:t>
            </w:r>
          </w:p>
        </w:tc>
        <w:tc>
          <w:tcPr>
            <w:tcW w:w="1080" w:type="dxa"/>
            <w:shd w:val="clear" w:color="000000" w:fill="FFFFFF"/>
            <w:vAlign w:val="center"/>
          </w:tcPr>
          <w:p w14:paraId="56BC2F86" w14:textId="77777777" w:rsidR="00925C7D" w:rsidRPr="00ED0D6D" w:rsidRDefault="00925C7D" w:rsidP="00CA2F95">
            <w:pPr>
              <w:jc w:val="center"/>
              <w:rPr>
                <w:color w:val="000000"/>
                <w:sz w:val="20"/>
              </w:rPr>
            </w:pPr>
            <w:r w:rsidRPr="00ED0D6D">
              <w:rPr>
                <w:color w:val="000000"/>
                <w:sz w:val="20"/>
              </w:rPr>
              <w:t>95</w:t>
            </w:r>
          </w:p>
        </w:tc>
        <w:tc>
          <w:tcPr>
            <w:tcW w:w="1080" w:type="dxa"/>
            <w:shd w:val="clear" w:color="000000" w:fill="FFFFFF"/>
            <w:vAlign w:val="center"/>
          </w:tcPr>
          <w:p w14:paraId="0C781D05" w14:textId="77777777" w:rsidR="00925C7D" w:rsidRPr="00ED0D6D" w:rsidRDefault="00925C7D" w:rsidP="00CA2F95">
            <w:pPr>
              <w:jc w:val="center"/>
              <w:rPr>
                <w:color w:val="000000"/>
                <w:sz w:val="20"/>
              </w:rPr>
            </w:pPr>
            <w:r w:rsidRPr="00ED0D6D">
              <w:rPr>
                <w:color w:val="000000"/>
                <w:sz w:val="20"/>
              </w:rPr>
              <w:t>157</w:t>
            </w:r>
          </w:p>
        </w:tc>
        <w:tc>
          <w:tcPr>
            <w:tcW w:w="956" w:type="dxa"/>
            <w:shd w:val="clear" w:color="auto" w:fill="auto"/>
            <w:vAlign w:val="center"/>
          </w:tcPr>
          <w:p w14:paraId="76FE0D86"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B59BD2D" w14:textId="77777777" w:rsidR="00925C7D" w:rsidRPr="00ED0D6D" w:rsidRDefault="00925C7D" w:rsidP="00CA2F95">
            <w:pPr>
              <w:jc w:val="center"/>
              <w:rPr>
                <w:color w:val="000000"/>
                <w:sz w:val="20"/>
              </w:rPr>
            </w:pPr>
            <w:r w:rsidRPr="00ED0D6D">
              <w:rPr>
                <w:color w:val="000000"/>
                <w:sz w:val="20"/>
              </w:rPr>
              <w:t>130</w:t>
            </w:r>
          </w:p>
        </w:tc>
        <w:tc>
          <w:tcPr>
            <w:tcW w:w="1250" w:type="dxa"/>
            <w:shd w:val="clear" w:color="auto" w:fill="auto"/>
            <w:vAlign w:val="center"/>
          </w:tcPr>
          <w:p w14:paraId="0CBB259E"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29ECFB5"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2192F3CD"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1D9FB6ED"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5A1990D0" w14:textId="77777777" w:rsidTr="00CA2F95">
        <w:trPr>
          <w:trHeight w:val="323"/>
        </w:trPr>
        <w:tc>
          <w:tcPr>
            <w:tcW w:w="657" w:type="dxa"/>
            <w:shd w:val="clear" w:color="auto" w:fill="auto"/>
            <w:vAlign w:val="center"/>
          </w:tcPr>
          <w:p w14:paraId="19A8D92C"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7DA02986" w14:textId="77777777" w:rsidR="00925C7D" w:rsidRPr="00ED0D6D" w:rsidRDefault="00925C7D" w:rsidP="00CA2F95">
            <w:pPr>
              <w:jc w:val="both"/>
              <w:rPr>
                <w:sz w:val="20"/>
              </w:rPr>
            </w:pPr>
            <w:r w:rsidRPr="00ED0D6D">
              <w:rPr>
                <w:color w:val="000000"/>
                <w:sz w:val="20"/>
              </w:rPr>
              <w:t xml:space="preserve">Savivaldybių, įdiegusių naują bendrojo ugdymo finansavimo metodiką, skaičius (vienetai)   </w:t>
            </w:r>
          </w:p>
        </w:tc>
        <w:tc>
          <w:tcPr>
            <w:tcW w:w="1080" w:type="dxa"/>
            <w:shd w:val="clear" w:color="000000" w:fill="FFFFFF"/>
            <w:vAlign w:val="center"/>
          </w:tcPr>
          <w:p w14:paraId="0465F0E5" w14:textId="77777777" w:rsidR="00925C7D" w:rsidRPr="00ED0D6D" w:rsidRDefault="00925C7D" w:rsidP="00CA2F95">
            <w:pPr>
              <w:jc w:val="center"/>
              <w:rPr>
                <w:color w:val="000000"/>
                <w:sz w:val="20"/>
              </w:rPr>
            </w:pPr>
            <w:r w:rsidRPr="00ED0D6D">
              <w:rPr>
                <w:color w:val="000000"/>
                <w:sz w:val="20"/>
              </w:rPr>
              <w:t>60</w:t>
            </w:r>
          </w:p>
        </w:tc>
        <w:tc>
          <w:tcPr>
            <w:tcW w:w="1080" w:type="dxa"/>
            <w:shd w:val="clear" w:color="000000" w:fill="FFFFFF"/>
            <w:vAlign w:val="center"/>
          </w:tcPr>
          <w:p w14:paraId="55D7345E" w14:textId="77777777" w:rsidR="00925C7D" w:rsidRPr="00ED0D6D" w:rsidRDefault="00925C7D" w:rsidP="00CA2F95">
            <w:pPr>
              <w:jc w:val="center"/>
              <w:rPr>
                <w:color w:val="000000"/>
                <w:sz w:val="20"/>
              </w:rPr>
            </w:pPr>
            <w:r w:rsidRPr="00ED0D6D">
              <w:rPr>
                <w:color w:val="000000"/>
                <w:sz w:val="20"/>
              </w:rPr>
              <w:t>60</w:t>
            </w:r>
          </w:p>
        </w:tc>
        <w:tc>
          <w:tcPr>
            <w:tcW w:w="956" w:type="dxa"/>
            <w:shd w:val="clear" w:color="auto" w:fill="auto"/>
            <w:vAlign w:val="center"/>
          </w:tcPr>
          <w:p w14:paraId="3C00D650"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72A7E94" w14:textId="77777777" w:rsidR="00925C7D" w:rsidRPr="00ED0D6D" w:rsidRDefault="00925C7D" w:rsidP="00CA2F95">
            <w:pPr>
              <w:jc w:val="center"/>
              <w:rPr>
                <w:color w:val="000000"/>
                <w:sz w:val="20"/>
              </w:rPr>
            </w:pPr>
            <w:r w:rsidRPr="00ED0D6D">
              <w:rPr>
                <w:color w:val="000000"/>
                <w:sz w:val="20"/>
              </w:rPr>
              <w:t>60</w:t>
            </w:r>
          </w:p>
        </w:tc>
        <w:tc>
          <w:tcPr>
            <w:tcW w:w="1250" w:type="dxa"/>
            <w:shd w:val="clear" w:color="auto" w:fill="auto"/>
            <w:vAlign w:val="center"/>
          </w:tcPr>
          <w:p w14:paraId="04469A2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2393BDD4"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5E63FAF"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1D261C54"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7B2447D8" w14:textId="77777777" w:rsidTr="00CA2F95">
        <w:trPr>
          <w:trHeight w:val="359"/>
        </w:trPr>
        <w:tc>
          <w:tcPr>
            <w:tcW w:w="657" w:type="dxa"/>
            <w:shd w:val="clear" w:color="auto" w:fill="auto"/>
            <w:vAlign w:val="center"/>
            <w:hideMark/>
          </w:tcPr>
          <w:p w14:paraId="21D574A6"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14E8CC2A" w14:textId="77777777" w:rsidR="00925C7D" w:rsidRPr="00ED0D6D" w:rsidRDefault="00925C7D" w:rsidP="00CA2F95">
            <w:pPr>
              <w:jc w:val="both"/>
              <w:rPr>
                <w:color w:val="000000"/>
                <w:sz w:val="20"/>
              </w:rPr>
            </w:pPr>
            <w:r w:rsidRPr="00ED0D6D">
              <w:rPr>
                <w:color w:val="000000"/>
                <w:sz w:val="20"/>
              </w:rPr>
              <w:t xml:space="preserve">Vidutinis mokytojų darbo užmokestis, bruto (EUR)   </w:t>
            </w:r>
          </w:p>
        </w:tc>
        <w:tc>
          <w:tcPr>
            <w:tcW w:w="1080" w:type="dxa"/>
            <w:shd w:val="clear" w:color="000000" w:fill="FFFFFF"/>
            <w:vAlign w:val="center"/>
          </w:tcPr>
          <w:p w14:paraId="41ED2227" w14:textId="77777777" w:rsidR="00925C7D" w:rsidRPr="00ED0D6D" w:rsidRDefault="00925C7D" w:rsidP="00CA2F95">
            <w:pPr>
              <w:jc w:val="center"/>
              <w:rPr>
                <w:color w:val="000000"/>
                <w:sz w:val="20"/>
              </w:rPr>
            </w:pPr>
            <w:r w:rsidRPr="00ED0D6D">
              <w:rPr>
                <w:color w:val="000000"/>
                <w:sz w:val="20"/>
              </w:rPr>
              <w:t xml:space="preserve">1481 </w:t>
            </w:r>
          </w:p>
          <w:p w14:paraId="4144032A" w14:textId="77777777" w:rsidR="00925C7D" w:rsidRPr="00ED0D6D" w:rsidRDefault="00925C7D" w:rsidP="00CA2F95">
            <w:pPr>
              <w:jc w:val="center"/>
              <w:rPr>
                <w:color w:val="000000"/>
                <w:sz w:val="20"/>
              </w:rPr>
            </w:pPr>
            <w:r w:rsidRPr="00ED0D6D">
              <w:rPr>
                <w:color w:val="000000"/>
                <w:sz w:val="20"/>
              </w:rPr>
              <w:t xml:space="preserve">(2019 m. III </w:t>
            </w:r>
            <w:proofErr w:type="spellStart"/>
            <w:r w:rsidRPr="00ED0D6D">
              <w:rPr>
                <w:color w:val="000000"/>
                <w:sz w:val="20"/>
              </w:rPr>
              <w:t>ketv</w:t>
            </w:r>
            <w:proofErr w:type="spellEnd"/>
            <w:r w:rsidRPr="00ED0D6D">
              <w:rPr>
                <w:color w:val="000000"/>
                <w:sz w:val="20"/>
              </w:rPr>
              <w:t>.)</w:t>
            </w:r>
          </w:p>
        </w:tc>
        <w:tc>
          <w:tcPr>
            <w:tcW w:w="1080" w:type="dxa"/>
            <w:shd w:val="clear" w:color="000000" w:fill="FFFFFF"/>
            <w:vAlign w:val="center"/>
          </w:tcPr>
          <w:p w14:paraId="693A49A8" w14:textId="77777777" w:rsidR="00925C7D" w:rsidRPr="00ED0D6D" w:rsidRDefault="00925C7D" w:rsidP="00CA2F95">
            <w:pPr>
              <w:jc w:val="center"/>
              <w:rPr>
                <w:color w:val="000000"/>
                <w:sz w:val="20"/>
              </w:rPr>
            </w:pPr>
            <w:r w:rsidRPr="00ED0D6D">
              <w:rPr>
                <w:color w:val="000000"/>
                <w:sz w:val="20"/>
              </w:rPr>
              <w:t xml:space="preserve">1635 </w:t>
            </w:r>
          </w:p>
          <w:p w14:paraId="7C28A558" w14:textId="77777777" w:rsidR="00925C7D" w:rsidRPr="00ED0D6D" w:rsidRDefault="00925C7D" w:rsidP="00CA2F95">
            <w:pPr>
              <w:jc w:val="center"/>
              <w:rPr>
                <w:color w:val="000000"/>
                <w:sz w:val="20"/>
              </w:rPr>
            </w:pPr>
            <w:r w:rsidRPr="00ED0D6D">
              <w:rPr>
                <w:color w:val="000000"/>
                <w:sz w:val="20"/>
              </w:rPr>
              <w:t xml:space="preserve">(2020 m. III </w:t>
            </w:r>
            <w:proofErr w:type="spellStart"/>
            <w:r w:rsidRPr="00ED0D6D">
              <w:rPr>
                <w:color w:val="000000"/>
                <w:sz w:val="20"/>
              </w:rPr>
              <w:t>ketv</w:t>
            </w:r>
            <w:proofErr w:type="spellEnd"/>
            <w:r w:rsidRPr="00ED0D6D">
              <w:rPr>
                <w:color w:val="000000"/>
                <w:sz w:val="20"/>
              </w:rPr>
              <w:t>.)</w:t>
            </w:r>
          </w:p>
        </w:tc>
        <w:tc>
          <w:tcPr>
            <w:tcW w:w="956" w:type="dxa"/>
            <w:shd w:val="clear" w:color="auto" w:fill="auto"/>
            <w:vAlign w:val="center"/>
          </w:tcPr>
          <w:p w14:paraId="3E5C0FB7"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6CD3A4F0" w14:textId="77777777" w:rsidR="00925C7D" w:rsidRPr="00ED0D6D" w:rsidRDefault="00925C7D" w:rsidP="00CA2F95">
            <w:pPr>
              <w:jc w:val="center"/>
              <w:rPr>
                <w:color w:val="000000"/>
                <w:sz w:val="20"/>
              </w:rPr>
            </w:pPr>
            <w:r w:rsidRPr="00ED0D6D">
              <w:rPr>
                <w:color w:val="000000"/>
                <w:sz w:val="20"/>
              </w:rPr>
              <w:t>1000</w:t>
            </w:r>
          </w:p>
        </w:tc>
        <w:tc>
          <w:tcPr>
            <w:tcW w:w="1250" w:type="dxa"/>
            <w:shd w:val="clear" w:color="auto" w:fill="auto"/>
            <w:vAlign w:val="center"/>
          </w:tcPr>
          <w:p w14:paraId="0E6B73A4"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B401625"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49E72CA" w14:textId="77777777" w:rsidR="00925C7D" w:rsidRPr="00ED0D6D" w:rsidRDefault="00925C7D" w:rsidP="00CA2F95">
            <w:pPr>
              <w:jc w:val="center"/>
              <w:rPr>
                <w:color w:val="000000"/>
                <w:sz w:val="20"/>
              </w:rPr>
            </w:pPr>
            <w:r w:rsidRPr="00ED0D6D">
              <w:rPr>
                <w:color w:val="000000"/>
                <w:sz w:val="20"/>
              </w:rPr>
              <w:t>Lietuvos statistikos departamentas</w:t>
            </w:r>
          </w:p>
        </w:tc>
        <w:tc>
          <w:tcPr>
            <w:tcW w:w="1172" w:type="dxa"/>
            <w:shd w:val="clear" w:color="auto" w:fill="auto"/>
            <w:vAlign w:val="center"/>
          </w:tcPr>
          <w:p w14:paraId="7DA6980E"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56C4E812" w14:textId="77777777" w:rsidTr="00CA2F95">
        <w:trPr>
          <w:trHeight w:val="440"/>
        </w:trPr>
        <w:tc>
          <w:tcPr>
            <w:tcW w:w="657" w:type="dxa"/>
            <w:shd w:val="clear" w:color="000000" w:fill="FFFFFF"/>
            <w:vAlign w:val="center"/>
            <w:hideMark/>
          </w:tcPr>
          <w:p w14:paraId="39E525ED"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26ECC3B3" w14:textId="77777777" w:rsidR="00925C7D" w:rsidRPr="00ED0D6D" w:rsidRDefault="00925C7D" w:rsidP="00CA2F95">
            <w:pPr>
              <w:jc w:val="both"/>
              <w:rPr>
                <w:color w:val="000000"/>
                <w:sz w:val="20"/>
              </w:rPr>
            </w:pPr>
            <w:r w:rsidRPr="00ED0D6D">
              <w:rPr>
                <w:color w:val="000000"/>
                <w:sz w:val="20"/>
              </w:rPr>
              <w:t xml:space="preserve">Mokslo straipsnių dalis tarp 10 procentų labiausiai cituojamų mokslo publikacijų, proc. (proc.)   </w:t>
            </w:r>
          </w:p>
        </w:tc>
        <w:tc>
          <w:tcPr>
            <w:tcW w:w="1080" w:type="dxa"/>
            <w:shd w:val="clear" w:color="000000" w:fill="FFFFFF"/>
            <w:vAlign w:val="center"/>
          </w:tcPr>
          <w:p w14:paraId="641C7242" w14:textId="77777777" w:rsidR="00925C7D" w:rsidRPr="00ED0D6D" w:rsidRDefault="00925C7D" w:rsidP="00CA2F95">
            <w:pPr>
              <w:jc w:val="center"/>
              <w:rPr>
                <w:color w:val="000000"/>
                <w:sz w:val="20"/>
              </w:rPr>
            </w:pPr>
            <w:r w:rsidRPr="00ED0D6D">
              <w:rPr>
                <w:color w:val="000000"/>
                <w:sz w:val="20"/>
              </w:rPr>
              <w:t>5,9</w:t>
            </w:r>
          </w:p>
        </w:tc>
        <w:tc>
          <w:tcPr>
            <w:tcW w:w="1080" w:type="dxa"/>
            <w:shd w:val="clear" w:color="000000" w:fill="FFFFFF"/>
            <w:vAlign w:val="center"/>
          </w:tcPr>
          <w:p w14:paraId="32582BB7" w14:textId="77777777" w:rsidR="00925C7D" w:rsidRPr="00ED0D6D" w:rsidRDefault="00925C7D" w:rsidP="00CA2F95">
            <w:pPr>
              <w:jc w:val="center"/>
              <w:rPr>
                <w:color w:val="000000"/>
                <w:sz w:val="20"/>
              </w:rPr>
            </w:pPr>
            <w:r w:rsidRPr="00ED0D6D">
              <w:rPr>
                <w:color w:val="000000"/>
                <w:sz w:val="20"/>
              </w:rPr>
              <w:t>N.D.</w:t>
            </w:r>
          </w:p>
        </w:tc>
        <w:tc>
          <w:tcPr>
            <w:tcW w:w="956" w:type="dxa"/>
            <w:shd w:val="clear" w:color="auto" w:fill="auto"/>
            <w:vAlign w:val="center"/>
          </w:tcPr>
          <w:p w14:paraId="7B91C7DF"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22AD9F4A" w14:textId="77777777" w:rsidR="00925C7D" w:rsidRPr="00ED0D6D" w:rsidRDefault="00925C7D" w:rsidP="00CA2F95">
            <w:pPr>
              <w:jc w:val="center"/>
              <w:rPr>
                <w:color w:val="000000"/>
                <w:sz w:val="20"/>
              </w:rPr>
            </w:pPr>
            <w:r w:rsidRPr="00ED0D6D">
              <w:rPr>
                <w:color w:val="000000"/>
                <w:sz w:val="20"/>
              </w:rPr>
              <w:t>9,5</w:t>
            </w:r>
          </w:p>
        </w:tc>
        <w:tc>
          <w:tcPr>
            <w:tcW w:w="1250" w:type="dxa"/>
            <w:shd w:val="clear" w:color="000000" w:fill="FFFFFF"/>
            <w:vAlign w:val="center"/>
          </w:tcPr>
          <w:p w14:paraId="79C4954C"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000000" w:fill="FFFFFF"/>
            <w:vAlign w:val="center"/>
          </w:tcPr>
          <w:p w14:paraId="05A08664"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000000" w:fill="FFFFFF"/>
            <w:vAlign w:val="center"/>
          </w:tcPr>
          <w:p w14:paraId="7A504E84"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75E113E3"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1541FDD9" w14:textId="77777777" w:rsidTr="00CA2F95">
        <w:trPr>
          <w:trHeight w:val="431"/>
        </w:trPr>
        <w:tc>
          <w:tcPr>
            <w:tcW w:w="657" w:type="dxa"/>
            <w:shd w:val="clear" w:color="000000" w:fill="FFFFFF"/>
            <w:vAlign w:val="center"/>
            <w:hideMark/>
          </w:tcPr>
          <w:p w14:paraId="5B07D71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56D2DA41" w14:textId="77777777" w:rsidR="00925C7D" w:rsidRPr="00ED0D6D" w:rsidRDefault="00925C7D" w:rsidP="00CA2F95">
            <w:pPr>
              <w:jc w:val="both"/>
              <w:rPr>
                <w:color w:val="000000"/>
                <w:sz w:val="20"/>
              </w:rPr>
            </w:pPr>
            <w:r w:rsidRPr="00ED0D6D">
              <w:rPr>
                <w:color w:val="000000"/>
                <w:sz w:val="20"/>
              </w:rPr>
              <w:t xml:space="preserve">Bendrojo ugdymo mokyklų, kurioms atliktas išorinis vertinimas, dalis (proc.)   </w:t>
            </w:r>
          </w:p>
        </w:tc>
        <w:tc>
          <w:tcPr>
            <w:tcW w:w="1080" w:type="dxa"/>
            <w:shd w:val="clear" w:color="000000" w:fill="FFFFFF"/>
            <w:vAlign w:val="center"/>
          </w:tcPr>
          <w:p w14:paraId="720BCE18" w14:textId="77777777" w:rsidR="00925C7D" w:rsidRPr="00ED0D6D" w:rsidRDefault="00925C7D" w:rsidP="00CA2F95">
            <w:pPr>
              <w:jc w:val="center"/>
              <w:rPr>
                <w:color w:val="000000"/>
                <w:sz w:val="20"/>
              </w:rPr>
            </w:pPr>
            <w:r w:rsidRPr="00ED0D6D">
              <w:rPr>
                <w:color w:val="000000"/>
                <w:sz w:val="20"/>
              </w:rPr>
              <w:t>74,5</w:t>
            </w:r>
          </w:p>
        </w:tc>
        <w:tc>
          <w:tcPr>
            <w:tcW w:w="1080" w:type="dxa"/>
            <w:shd w:val="clear" w:color="000000" w:fill="FFFFFF"/>
            <w:vAlign w:val="center"/>
          </w:tcPr>
          <w:p w14:paraId="49EE70CB" w14:textId="77777777" w:rsidR="00925C7D" w:rsidRPr="00ED0D6D" w:rsidRDefault="00925C7D" w:rsidP="00CA2F95">
            <w:pPr>
              <w:jc w:val="center"/>
              <w:rPr>
                <w:color w:val="000000"/>
                <w:sz w:val="20"/>
              </w:rPr>
            </w:pPr>
            <w:r w:rsidRPr="00ED0D6D">
              <w:rPr>
                <w:color w:val="000000"/>
                <w:sz w:val="20"/>
              </w:rPr>
              <w:t>N.D.</w:t>
            </w:r>
          </w:p>
        </w:tc>
        <w:tc>
          <w:tcPr>
            <w:tcW w:w="956" w:type="dxa"/>
            <w:shd w:val="clear" w:color="auto" w:fill="auto"/>
            <w:vAlign w:val="center"/>
          </w:tcPr>
          <w:p w14:paraId="5B6A022C"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0CE23771" w14:textId="77777777" w:rsidR="00925C7D" w:rsidRPr="00ED0D6D" w:rsidRDefault="00925C7D" w:rsidP="00CA2F95">
            <w:pPr>
              <w:jc w:val="center"/>
              <w:rPr>
                <w:color w:val="000000"/>
                <w:sz w:val="20"/>
              </w:rPr>
            </w:pPr>
            <w:r w:rsidRPr="00ED0D6D">
              <w:rPr>
                <w:color w:val="000000"/>
                <w:sz w:val="20"/>
              </w:rPr>
              <w:t>100</w:t>
            </w:r>
          </w:p>
        </w:tc>
        <w:tc>
          <w:tcPr>
            <w:tcW w:w="1250" w:type="dxa"/>
            <w:shd w:val="clear" w:color="000000" w:fill="FFFFFF"/>
            <w:vAlign w:val="center"/>
          </w:tcPr>
          <w:p w14:paraId="5D759B47"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000000" w:fill="FFFFFF"/>
            <w:vAlign w:val="center"/>
          </w:tcPr>
          <w:p w14:paraId="03D2D999"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000000" w:fill="FFFFFF"/>
            <w:vAlign w:val="center"/>
          </w:tcPr>
          <w:p w14:paraId="4AF27E26" w14:textId="77777777" w:rsidR="00925C7D" w:rsidRPr="00ED0D6D" w:rsidRDefault="00925C7D" w:rsidP="00CA2F95">
            <w:pPr>
              <w:jc w:val="center"/>
              <w:rPr>
                <w:color w:val="000000"/>
                <w:sz w:val="20"/>
              </w:rPr>
            </w:pPr>
            <w:r w:rsidRPr="00ED0D6D">
              <w:rPr>
                <w:color w:val="000000"/>
                <w:sz w:val="20"/>
              </w:rPr>
              <w:t>NŠA</w:t>
            </w:r>
          </w:p>
        </w:tc>
        <w:tc>
          <w:tcPr>
            <w:tcW w:w="1172" w:type="dxa"/>
            <w:shd w:val="clear" w:color="auto" w:fill="auto"/>
            <w:vAlign w:val="center"/>
          </w:tcPr>
          <w:p w14:paraId="53DE6127"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2D32A0D4" w14:textId="77777777" w:rsidTr="00CA2F95">
        <w:trPr>
          <w:trHeight w:val="408"/>
        </w:trPr>
        <w:tc>
          <w:tcPr>
            <w:tcW w:w="657" w:type="dxa"/>
            <w:shd w:val="clear" w:color="000000" w:fill="FFFFFF"/>
            <w:vAlign w:val="center"/>
            <w:hideMark/>
          </w:tcPr>
          <w:p w14:paraId="1FB417CB"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5B0195CB" w14:textId="77777777" w:rsidR="00925C7D" w:rsidRPr="00ED0D6D" w:rsidRDefault="00925C7D" w:rsidP="00CA2F95">
            <w:pPr>
              <w:jc w:val="both"/>
              <w:rPr>
                <w:color w:val="000000"/>
                <w:sz w:val="20"/>
              </w:rPr>
            </w:pPr>
            <w:r w:rsidRPr="00ED0D6D">
              <w:rPr>
                <w:color w:val="000000"/>
                <w:sz w:val="20"/>
              </w:rPr>
              <w:t xml:space="preserve">Sąlyginių tyrėjų, dalyvaujančių MTEP veikloje, dalis nuo visų užimtų gyventojų (proc.) </w:t>
            </w:r>
          </w:p>
        </w:tc>
        <w:tc>
          <w:tcPr>
            <w:tcW w:w="1080" w:type="dxa"/>
            <w:shd w:val="clear" w:color="000000" w:fill="FFFFFF"/>
            <w:vAlign w:val="center"/>
          </w:tcPr>
          <w:p w14:paraId="66DC7EC9" w14:textId="77777777" w:rsidR="00925C7D" w:rsidRPr="00ED0D6D" w:rsidRDefault="00925C7D" w:rsidP="00CA2F95">
            <w:pPr>
              <w:jc w:val="center"/>
              <w:rPr>
                <w:color w:val="000000"/>
                <w:sz w:val="20"/>
              </w:rPr>
            </w:pPr>
            <w:r w:rsidRPr="00ED0D6D">
              <w:rPr>
                <w:color w:val="000000"/>
                <w:sz w:val="20"/>
              </w:rPr>
              <w:t>0,7</w:t>
            </w:r>
          </w:p>
        </w:tc>
        <w:tc>
          <w:tcPr>
            <w:tcW w:w="1080" w:type="dxa"/>
            <w:shd w:val="clear" w:color="000000" w:fill="FFFFFF"/>
            <w:vAlign w:val="center"/>
          </w:tcPr>
          <w:p w14:paraId="33F8D065" w14:textId="77777777" w:rsidR="00925C7D" w:rsidRPr="00ED0D6D" w:rsidRDefault="00925C7D" w:rsidP="00CA2F95">
            <w:pPr>
              <w:jc w:val="center"/>
              <w:rPr>
                <w:color w:val="000000"/>
                <w:sz w:val="20"/>
              </w:rPr>
            </w:pPr>
            <w:r w:rsidRPr="00ED0D6D">
              <w:rPr>
                <w:color w:val="000000"/>
                <w:sz w:val="20"/>
              </w:rPr>
              <w:t>N.D.</w:t>
            </w:r>
          </w:p>
        </w:tc>
        <w:tc>
          <w:tcPr>
            <w:tcW w:w="956" w:type="dxa"/>
            <w:shd w:val="clear" w:color="auto" w:fill="auto"/>
            <w:vAlign w:val="center"/>
          </w:tcPr>
          <w:p w14:paraId="6B5F7154"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478B9E06" w14:textId="77777777" w:rsidR="00925C7D" w:rsidRPr="00ED0D6D" w:rsidRDefault="00925C7D" w:rsidP="00CA2F95">
            <w:pPr>
              <w:jc w:val="center"/>
              <w:rPr>
                <w:color w:val="000000"/>
                <w:sz w:val="20"/>
              </w:rPr>
            </w:pPr>
            <w:r w:rsidRPr="00ED0D6D">
              <w:rPr>
                <w:color w:val="000000"/>
                <w:sz w:val="20"/>
              </w:rPr>
              <w:t>0,78</w:t>
            </w:r>
          </w:p>
        </w:tc>
        <w:tc>
          <w:tcPr>
            <w:tcW w:w="1250" w:type="dxa"/>
            <w:shd w:val="clear" w:color="000000" w:fill="FFFFFF"/>
            <w:vAlign w:val="center"/>
          </w:tcPr>
          <w:p w14:paraId="523A256B"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000000" w:fill="FFFFFF"/>
            <w:vAlign w:val="center"/>
          </w:tcPr>
          <w:p w14:paraId="1BBA6087"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000000" w:fill="FFFFFF"/>
            <w:vAlign w:val="center"/>
          </w:tcPr>
          <w:p w14:paraId="5815C8AC"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56C06013"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0D4C9BFB" w14:textId="77777777" w:rsidTr="00CA2F95">
        <w:trPr>
          <w:trHeight w:val="372"/>
        </w:trPr>
        <w:tc>
          <w:tcPr>
            <w:tcW w:w="657" w:type="dxa"/>
            <w:shd w:val="clear" w:color="000000" w:fill="FFFFFF"/>
            <w:vAlign w:val="center"/>
            <w:hideMark/>
          </w:tcPr>
          <w:p w14:paraId="0A50BC6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5657CD7F" w14:textId="77777777" w:rsidR="00925C7D" w:rsidRPr="00ED0D6D" w:rsidRDefault="00925C7D" w:rsidP="00CA2F95">
            <w:pPr>
              <w:jc w:val="both"/>
              <w:rPr>
                <w:color w:val="000000"/>
                <w:sz w:val="20"/>
              </w:rPr>
            </w:pPr>
            <w:r w:rsidRPr="00ED0D6D">
              <w:rPr>
                <w:color w:val="000000"/>
                <w:sz w:val="20"/>
              </w:rPr>
              <w:t xml:space="preserve">Bendrų mokslo ir verslo publikacijų dalis nuo visų mokslo publikacijų (proc.) </w:t>
            </w:r>
          </w:p>
        </w:tc>
        <w:tc>
          <w:tcPr>
            <w:tcW w:w="1080" w:type="dxa"/>
            <w:shd w:val="clear" w:color="000000" w:fill="FFFFFF"/>
            <w:vAlign w:val="center"/>
          </w:tcPr>
          <w:p w14:paraId="01736F6F" w14:textId="77777777" w:rsidR="00925C7D" w:rsidRPr="00ED0D6D" w:rsidRDefault="00925C7D" w:rsidP="00CA2F95">
            <w:pPr>
              <w:jc w:val="center"/>
              <w:rPr>
                <w:color w:val="000000"/>
                <w:sz w:val="20"/>
              </w:rPr>
            </w:pPr>
            <w:r w:rsidRPr="00ED0D6D">
              <w:rPr>
                <w:color w:val="000000"/>
                <w:sz w:val="20"/>
              </w:rPr>
              <w:t xml:space="preserve">1 </w:t>
            </w:r>
          </w:p>
          <w:p w14:paraId="4486B730" w14:textId="77777777" w:rsidR="00925C7D" w:rsidRPr="00ED0D6D" w:rsidRDefault="00925C7D" w:rsidP="00CA2F95">
            <w:pPr>
              <w:jc w:val="center"/>
              <w:rPr>
                <w:color w:val="000000"/>
                <w:sz w:val="20"/>
              </w:rPr>
            </w:pPr>
            <w:r w:rsidRPr="00ED0D6D">
              <w:rPr>
                <w:color w:val="000000"/>
                <w:sz w:val="20"/>
              </w:rPr>
              <w:t>(2018)</w:t>
            </w:r>
          </w:p>
        </w:tc>
        <w:tc>
          <w:tcPr>
            <w:tcW w:w="1080" w:type="dxa"/>
            <w:shd w:val="clear" w:color="000000" w:fill="FFFFFF"/>
            <w:vAlign w:val="center"/>
          </w:tcPr>
          <w:p w14:paraId="7F2E7950" w14:textId="77777777" w:rsidR="00925C7D" w:rsidRPr="00ED0D6D" w:rsidRDefault="00925C7D" w:rsidP="00CA2F95">
            <w:pPr>
              <w:jc w:val="center"/>
              <w:rPr>
                <w:color w:val="000000"/>
                <w:sz w:val="20"/>
              </w:rPr>
            </w:pPr>
            <w:r w:rsidRPr="00ED0D6D">
              <w:rPr>
                <w:color w:val="000000"/>
                <w:sz w:val="20"/>
              </w:rPr>
              <w:t>N.D.</w:t>
            </w:r>
          </w:p>
        </w:tc>
        <w:tc>
          <w:tcPr>
            <w:tcW w:w="956" w:type="dxa"/>
            <w:shd w:val="clear" w:color="auto" w:fill="auto"/>
            <w:vAlign w:val="center"/>
          </w:tcPr>
          <w:p w14:paraId="34F0E54E" w14:textId="77777777" w:rsidR="00925C7D" w:rsidRPr="00ED0D6D" w:rsidRDefault="00925C7D" w:rsidP="00CA2F95">
            <w:pPr>
              <w:jc w:val="center"/>
              <w:rPr>
                <w:color w:val="000000"/>
                <w:sz w:val="20"/>
              </w:rPr>
            </w:pPr>
            <w:r w:rsidRPr="00ED0D6D">
              <w:rPr>
                <w:color w:val="000000"/>
                <w:sz w:val="20"/>
              </w:rPr>
              <w:t>2,1 (2016)</w:t>
            </w:r>
          </w:p>
        </w:tc>
        <w:tc>
          <w:tcPr>
            <w:tcW w:w="983" w:type="dxa"/>
            <w:shd w:val="clear" w:color="000000" w:fill="FFFFFF"/>
            <w:vAlign w:val="center"/>
          </w:tcPr>
          <w:p w14:paraId="1899A2E7" w14:textId="77777777" w:rsidR="00925C7D" w:rsidRPr="00ED0D6D" w:rsidRDefault="00925C7D" w:rsidP="00CA2F95">
            <w:pPr>
              <w:jc w:val="center"/>
              <w:rPr>
                <w:color w:val="000000"/>
                <w:sz w:val="20"/>
              </w:rPr>
            </w:pPr>
            <w:r w:rsidRPr="00ED0D6D">
              <w:rPr>
                <w:color w:val="000000"/>
                <w:sz w:val="20"/>
              </w:rPr>
              <w:t>1</w:t>
            </w:r>
          </w:p>
        </w:tc>
        <w:tc>
          <w:tcPr>
            <w:tcW w:w="1250" w:type="dxa"/>
            <w:shd w:val="clear" w:color="000000" w:fill="FFFFFF"/>
            <w:vAlign w:val="center"/>
          </w:tcPr>
          <w:p w14:paraId="590B28EB"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000000" w:fill="FFFFFF"/>
            <w:vAlign w:val="center"/>
          </w:tcPr>
          <w:p w14:paraId="1C2DB7A2"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000000" w:fill="FFFFFF"/>
            <w:vAlign w:val="center"/>
          </w:tcPr>
          <w:p w14:paraId="20EA89C9"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60B4A5E1"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69F090F2" w14:textId="77777777" w:rsidTr="00CA2F95">
        <w:trPr>
          <w:trHeight w:val="612"/>
        </w:trPr>
        <w:tc>
          <w:tcPr>
            <w:tcW w:w="657" w:type="dxa"/>
            <w:shd w:val="clear" w:color="000000" w:fill="FFFFFF"/>
            <w:vAlign w:val="center"/>
            <w:hideMark/>
          </w:tcPr>
          <w:p w14:paraId="4F08AD98"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1AF89004" w14:textId="77777777" w:rsidR="00925C7D" w:rsidRPr="00ED0D6D" w:rsidRDefault="00925C7D" w:rsidP="00CA2F95">
            <w:pPr>
              <w:jc w:val="both"/>
              <w:rPr>
                <w:color w:val="000000"/>
                <w:sz w:val="20"/>
              </w:rPr>
            </w:pPr>
            <w:r w:rsidRPr="00ED0D6D">
              <w:rPr>
                <w:color w:val="000000"/>
                <w:sz w:val="20"/>
              </w:rPr>
              <w:t xml:space="preserve">Europos Komisijos dotacija, skirta Lietuvos dalyviams, dalyvaujantiems programoje Horizontas 2020 (mln. EUR) </w:t>
            </w:r>
          </w:p>
        </w:tc>
        <w:tc>
          <w:tcPr>
            <w:tcW w:w="1080" w:type="dxa"/>
            <w:shd w:val="clear" w:color="000000" w:fill="FFFFFF"/>
            <w:vAlign w:val="center"/>
          </w:tcPr>
          <w:p w14:paraId="4CB99D3A" w14:textId="77777777" w:rsidR="00925C7D" w:rsidRPr="00ED0D6D" w:rsidRDefault="00925C7D" w:rsidP="00CA2F95">
            <w:pPr>
              <w:jc w:val="center"/>
              <w:rPr>
                <w:color w:val="000000"/>
                <w:sz w:val="20"/>
              </w:rPr>
            </w:pPr>
            <w:r w:rsidRPr="00ED0D6D">
              <w:rPr>
                <w:color w:val="000000"/>
                <w:sz w:val="20"/>
              </w:rPr>
              <w:t>69</w:t>
            </w:r>
          </w:p>
        </w:tc>
        <w:tc>
          <w:tcPr>
            <w:tcW w:w="1080" w:type="dxa"/>
            <w:shd w:val="clear" w:color="000000" w:fill="FFFFFF"/>
            <w:vAlign w:val="center"/>
          </w:tcPr>
          <w:p w14:paraId="07D1A79F" w14:textId="77777777" w:rsidR="00925C7D" w:rsidRPr="00ED0D6D" w:rsidRDefault="00925C7D" w:rsidP="00CA2F95">
            <w:pPr>
              <w:jc w:val="center"/>
              <w:rPr>
                <w:color w:val="000000"/>
                <w:sz w:val="20"/>
              </w:rPr>
            </w:pPr>
            <w:r w:rsidRPr="00ED0D6D">
              <w:rPr>
                <w:color w:val="000000"/>
                <w:sz w:val="20"/>
              </w:rPr>
              <w:t>83,5</w:t>
            </w:r>
          </w:p>
        </w:tc>
        <w:tc>
          <w:tcPr>
            <w:tcW w:w="956" w:type="dxa"/>
            <w:shd w:val="clear" w:color="auto" w:fill="auto"/>
            <w:vAlign w:val="center"/>
          </w:tcPr>
          <w:p w14:paraId="1118214F"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65C27D0F" w14:textId="77777777" w:rsidR="00925C7D" w:rsidRPr="00ED0D6D" w:rsidRDefault="00925C7D" w:rsidP="00CA2F95">
            <w:pPr>
              <w:jc w:val="center"/>
              <w:rPr>
                <w:color w:val="000000"/>
                <w:sz w:val="20"/>
              </w:rPr>
            </w:pPr>
            <w:r w:rsidRPr="00ED0D6D">
              <w:rPr>
                <w:color w:val="000000"/>
                <w:sz w:val="20"/>
              </w:rPr>
              <w:t>83</w:t>
            </w:r>
          </w:p>
        </w:tc>
        <w:tc>
          <w:tcPr>
            <w:tcW w:w="1250" w:type="dxa"/>
            <w:shd w:val="clear" w:color="000000" w:fill="FFFFFF"/>
            <w:vAlign w:val="center"/>
          </w:tcPr>
          <w:p w14:paraId="71448C7A"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000000" w:fill="FFFFFF"/>
            <w:vAlign w:val="center"/>
          </w:tcPr>
          <w:p w14:paraId="6DCE10F7"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000000" w:fill="FFFFFF"/>
            <w:vAlign w:val="center"/>
          </w:tcPr>
          <w:p w14:paraId="156DBC42" w14:textId="77777777" w:rsidR="00925C7D" w:rsidRPr="00ED0D6D" w:rsidRDefault="00925C7D" w:rsidP="00CA2F95">
            <w:pPr>
              <w:jc w:val="center"/>
              <w:rPr>
                <w:color w:val="000000"/>
                <w:sz w:val="20"/>
              </w:rPr>
            </w:pPr>
            <w:r w:rsidRPr="00ED0D6D">
              <w:rPr>
                <w:color w:val="000000"/>
                <w:sz w:val="20"/>
              </w:rPr>
              <w:t>e-CORDA, Europos Komisijos statistikos portalas</w:t>
            </w:r>
          </w:p>
        </w:tc>
        <w:tc>
          <w:tcPr>
            <w:tcW w:w="1172" w:type="dxa"/>
            <w:shd w:val="clear" w:color="auto" w:fill="auto"/>
            <w:vAlign w:val="center"/>
          </w:tcPr>
          <w:p w14:paraId="2DDBF270"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291CA035" w14:textId="77777777" w:rsidTr="00CA2F95">
        <w:trPr>
          <w:trHeight w:val="564"/>
        </w:trPr>
        <w:tc>
          <w:tcPr>
            <w:tcW w:w="657" w:type="dxa"/>
            <w:shd w:val="clear" w:color="000000" w:fill="FFFFFF"/>
            <w:vAlign w:val="center"/>
            <w:hideMark/>
          </w:tcPr>
          <w:p w14:paraId="4CF58116"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0165F56C" w14:textId="77777777" w:rsidR="00925C7D" w:rsidRPr="00ED0D6D" w:rsidRDefault="00925C7D" w:rsidP="00CA2F95">
            <w:pPr>
              <w:jc w:val="both"/>
              <w:rPr>
                <w:color w:val="000000"/>
                <w:sz w:val="20"/>
              </w:rPr>
            </w:pPr>
            <w:r w:rsidRPr="00ED0D6D">
              <w:rPr>
                <w:color w:val="000000"/>
                <w:sz w:val="20"/>
              </w:rPr>
              <w:t xml:space="preserve">Mokslo ir studijų institucijų pajamos, gautos už dalyvavimą tarptautinėse programose (mln. EUR) </w:t>
            </w:r>
          </w:p>
        </w:tc>
        <w:tc>
          <w:tcPr>
            <w:tcW w:w="1080" w:type="dxa"/>
            <w:shd w:val="clear" w:color="000000" w:fill="FFFFFF"/>
            <w:vAlign w:val="center"/>
          </w:tcPr>
          <w:p w14:paraId="3F84EE33" w14:textId="77777777" w:rsidR="00925C7D" w:rsidRPr="00ED0D6D" w:rsidRDefault="00925C7D" w:rsidP="00CA2F95">
            <w:pPr>
              <w:jc w:val="center"/>
              <w:rPr>
                <w:color w:val="000000"/>
                <w:sz w:val="20"/>
              </w:rPr>
            </w:pPr>
            <w:r w:rsidRPr="00ED0D6D">
              <w:rPr>
                <w:color w:val="000000"/>
                <w:sz w:val="20"/>
              </w:rPr>
              <w:t>7,6</w:t>
            </w:r>
          </w:p>
        </w:tc>
        <w:tc>
          <w:tcPr>
            <w:tcW w:w="1080" w:type="dxa"/>
            <w:shd w:val="clear" w:color="000000" w:fill="FFFFFF"/>
            <w:vAlign w:val="center"/>
          </w:tcPr>
          <w:p w14:paraId="69B2FCAF"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1294A8EF"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6C2186C1" w14:textId="77777777" w:rsidR="00925C7D" w:rsidRPr="00ED0D6D" w:rsidRDefault="00925C7D" w:rsidP="00CA2F95">
            <w:pPr>
              <w:jc w:val="center"/>
              <w:rPr>
                <w:color w:val="000000"/>
                <w:sz w:val="20"/>
              </w:rPr>
            </w:pPr>
            <w:r w:rsidRPr="00ED0D6D">
              <w:rPr>
                <w:color w:val="000000"/>
                <w:sz w:val="20"/>
              </w:rPr>
              <w:t>7,7</w:t>
            </w:r>
          </w:p>
        </w:tc>
        <w:tc>
          <w:tcPr>
            <w:tcW w:w="1250" w:type="dxa"/>
            <w:shd w:val="clear" w:color="auto" w:fill="auto"/>
            <w:vAlign w:val="center"/>
          </w:tcPr>
          <w:p w14:paraId="5D3B8137"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ED8F26C"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3D8F219" w14:textId="77777777" w:rsidR="00925C7D" w:rsidRPr="00ED0D6D" w:rsidRDefault="00925C7D" w:rsidP="00CA2F95">
            <w:pPr>
              <w:jc w:val="center"/>
              <w:rPr>
                <w:color w:val="000000"/>
                <w:sz w:val="20"/>
              </w:rPr>
            </w:pPr>
            <w:r w:rsidRPr="00ED0D6D">
              <w:rPr>
                <w:color w:val="000000"/>
                <w:sz w:val="20"/>
              </w:rPr>
              <w:t>Lietuvos mokslo taryba</w:t>
            </w:r>
          </w:p>
        </w:tc>
        <w:tc>
          <w:tcPr>
            <w:tcW w:w="1172" w:type="dxa"/>
            <w:shd w:val="clear" w:color="auto" w:fill="auto"/>
            <w:vAlign w:val="center"/>
          </w:tcPr>
          <w:p w14:paraId="64CC9341" w14:textId="77777777" w:rsidR="00925C7D" w:rsidRPr="00ED0D6D" w:rsidRDefault="00925C7D" w:rsidP="00CA2F95">
            <w:pPr>
              <w:jc w:val="center"/>
              <w:rPr>
                <w:color w:val="000000"/>
                <w:sz w:val="20"/>
              </w:rPr>
            </w:pPr>
            <w:r w:rsidRPr="00ED0D6D">
              <w:rPr>
                <w:color w:val="000000"/>
                <w:sz w:val="20"/>
              </w:rPr>
              <w:t>NPP 2020</w:t>
            </w:r>
          </w:p>
          <w:p w14:paraId="173A0D4A" w14:textId="77777777" w:rsidR="00925C7D" w:rsidRPr="00ED0D6D" w:rsidRDefault="00925C7D" w:rsidP="00CA2F95">
            <w:pPr>
              <w:jc w:val="center"/>
              <w:rPr>
                <w:color w:val="000000"/>
                <w:sz w:val="20"/>
              </w:rPr>
            </w:pPr>
            <w:r w:rsidRPr="00ED0D6D">
              <w:rPr>
                <w:color w:val="000000"/>
                <w:sz w:val="20"/>
              </w:rPr>
              <w:t xml:space="preserve">17LRVP </w:t>
            </w:r>
          </w:p>
        </w:tc>
      </w:tr>
      <w:tr w:rsidR="00925C7D" w:rsidRPr="00ED0D6D" w14:paraId="6D536ECB" w14:textId="77777777" w:rsidTr="00CA2F95">
        <w:trPr>
          <w:trHeight w:val="372"/>
        </w:trPr>
        <w:tc>
          <w:tcPr>
            <w:tcW w:w="657" w:type="dxa"/>
            <w:shd w:val="clear" w:color="000000" w:fill="FFFFFF"/>
            <w:vAlign w:val="center"/>
            <w:hideMark/>
          </w:tcPr>
          <w:p w14:paraId="4A3AE04E" w14:textId="77777777" w:rsidR="00925C7D" w:rsidRPr="00ED0D6D" w:rsidRDefault="00925C7D" w:rsidP="00816260">
            <w:pPr>
              <w:pStyle w:val="Sraopastraipa"/>
              <w:numPr>
                <w:ilvl w:val="0"/>
                <w:numId w:val="11"/>
              </w:numPr>
              <w:ind w:left="0" w:firstLine="0"/>
              <w:rPr>
                <w:rFonts w:ascii="Times New Roman" w:hAnsi="Times New Roman"/>
                <w:color w:val="000000"/>
                <w:sz w:val="20"/>
                <w:szCs w:val="20"/>
              </w:rPr>
            </w:pPr>
          </w:p>
        </w:tc>
        <w:tc>
          <w:tcPr>
            <w:tcW w:w="4648" w:type="dxa"/>
            <w:shd w:val="clear" w:color="000000" w:fill="FFFFFF"/>
            <w:vAlign w:val="center"/>
          </w:tcPr>
          <w:p w14:paraId="4FBBDC03" w14:textId="77777777" w:rsidR="00925C7D" w:rsidRPr="00ED0D6D" w:rsidRDefault="00925C7D" w:rsidP="00CA2F95">
            <w:pPr>
              <w:jc w:val="both"/>
              <w:rPr>
                <w:color w:val="000000"/>
                <w:sz w:val="20"/>
              </w:rPr>
            </w:pPr>
            <w:r w:rsidRPr="00ED0D6D">
              <w:rPr>
                <w:color w:val="000000"/>
                <w:sz w:val="20"/>
              </w:rPr>
              <w:t xml:space="preserve">Tarptautinių mokslinių tyrimų infrastruktūrų, kurių narė yra Lietuva, skaičius (vienetai)   </w:t>
            </w:r>
          </w:p>
        </w:tc>
        <w:tc>
          <w:tcPr>
            <w:tcW w:w="1080" w:type="dxa"/>
            <w:shd w:val="clear" w:color="000000" w:fill="FFFFFF"/>
            <w:vAlign w:val="center"/>
          </w:tcPr>
          <w:p w14:paraId="74F44A76" w14:textId="77777777" w:rsidR="00925C7D" w:rsidRPr="00ED0D6D" w:rsidRDefault="00925C7D" w:rsidP="00CA2F95">
            <w:pPr>
              <w:jc w:val="center"/>
              <w:rPr>
                <w:color w:val="000000"/>
                <w:sz w:val="20"/>
              </w:rPr>
            </w:pPr>
            <w:r w:rsidRPr="00ED0D6D">
              <w:rPr>
                <w:color w:val="000000"/>
                <w:sz w:val="20"/>
              </w:rPr>
              <w:t>4</w:t>
            </w:r>
          </w:p>
        </w:tc>
        <w:tc>
          <w:tcPr>
            <w:tcW w:w="1080" w:type="dxa"/>
            <w:shd w:val="clear" w:color="000000" w:fill="FFFFFF"/>
            <w:vAlign w:val="center"/>
          </w:tcPr>
          <w:p w14:paraId="5AD975DF" w14:textId="77777777" w:rsidR="00925C7D" w:rsidRPr="00ED0D6D" w:rsidRDefault="00925C7D" w:rsidP="00CA2F95">
            <w:pPr>
              <w:jc w:val="center"/>
              <w:rPr>
                <w:color w:val="000000"/>
                <w:sz w:val="20"/>
              </w:rPr>
            </w:pPr>
            <w:r w:rsidRPr="00ED0D6D">
              <w:rPr>
                <w:color w:val="000000"/>
                <w:sz w:val="20"/>
              </w:rPr>
              <w:t>6</w:t>
            </w:r>
          </w:p>
        </w:tc>
        <w:tc>
          <w:tcPr>
            <w:tcW w:w="956" w:type="dxa"/>
            <w:shd w:val="clear" w:color="auto" w:fill="auto"/>
            <w:vAlign w:val="center"/>
          </w:tcPr>
          <w:p w14:paraId="638BC028"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035797B3" w14:textId="77777777" w:rsidR="00925C7D" w:rsidRPr="00ED0D6D" w:rsidRDefault="00925C7D" w:rsidP="00CA2F95">
            <w:pPr>
              <w:jc w:val="center"/>
              <w:rPr>
                <w:color w:val="000000"/>
                <w:sz w:val="20"/>
              </w:rPr>
            </w:pPr>
            <w:r w:rsidRPr="00ED0D6D">
              <w:rPr>
                <w:color w:val="000000"/>
                <w:sz w:val="20"/>
              </w:rPr>
              <w:t>5</w:t>
            </w:r>
          </w:p>
        </w:tc>
        <w:tc>
          <w:tcPr>
            <w:tcW w:w="1250" w:type="dxa"/>
            <w:shd w:val="clear" w:color="000000" w:fill="FFFFFF"/>
            <w:vAlign w:val="center"/>
          </w:tcPr>
          <w:p w14:paraId="52636759"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000000" w:fill="FFFFFF"/>
            <w:vAlign w:val="center"/>
          </w:tcPr>
          <w:p w14:paraId="4A809973"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000000" w:fill="FFFFFF"/>
            <w:vAlign w:val="center"/>
          </w:tcPr>
          <w:p w14:paraId="428B9BA2"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000000" w:fill="FFFFFF"/>
            <w:vAlign w:val="center"/>
          </w:tcPr>
          <w:p w14:paraId="00DE5AF1" w14:textId="77777777" w:rsidR="00925C7D" w:rsidRPr="00ED0D6D" w:rsidRDefault="00925C7D" w:rsidP="00CA2F95">
            <w:pPr>
              <w:jc w:val="center"/>
              <w:rPr>
                <w:b/>
                <w:bCs/>
                <w:i/>
                <w:iCs/>
                <w:color w:val="000000"/>
                <w:sz w:val="20"/>
              </w:rPr>
            </w:pPr>
            <w:r w:rsidRPr="00ED0D6D">
              <w:rPr>
                <w:color w:val="000000"/>
                <w:sz w:val="20"/>
              </w:rPr>
              <w:t>17LRVP</w:t>
            </w:r>
          </w:p>
        </w:tc>
      </w:tr>
      <w:tr w:rsidR="00925C7D" w:rsidRPr="00ED0D6D" w14:paraId="4C7D95FD" w14:textId="77777777" w:rsidTr="00CA2F95">
        <w:trPr>
          <w:trHeight w:val="540"/>
        </w:trPr>
        <w:tc>
          <w:tcPr>
            <w:tcW w:w="657" w:type="dxa"/>
            <w:shd w:val="clear" w:color="auto" w:fill="auto"/>
            <w:vAlign w:val="center"/>
            <w:hideMark/>
          </w:tcPr>
          <w:p w14:paraId="34CE582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6B17F56D" w14:textId="77777777" w:rsidR="00925C7D" w:rsidRPr="00ED0D6D" w:rsidRDefault="00925C7D" w:rsidP="00CA2F95">
            <w:pPr>
              <w:jc w:val="both"/>
              <w:rPr>
                <w:color w:val="000000"/>
                <w:sz w:val="20"/>
              </w:rPr>
            </w:pPr>
            <w:r w:rsidRPr="00ED0D6D">
              <w:rPr>
                <w:color w:val="000000"/>
                <w:sz w:val="20"/>
              </w:rPr>
              <w:t xml:space="preserve">Lietuvos subjektų pateiktų tarptautinių ir Europos patentų paraiškų skaičius (vienetai)   </w:t>
            </w:r>
          </w:p>
        </w:tc>
        <w:tc>
          <w:tcPr>
            <w:tcW w:w="1080" w:type="dxa"/>
            <w:shd w:val="clear" w:color="000000" w:fill="FFFFFF"/>
            <w:vAlign w:val="center"/>
          </w:tcPr>
          <w:p w14:paraId="112F5814" w14:textId="77777777" w:rsidR="00925C7D" w:rsidRPr="00ED0D6D" w:rsidRDefault="00925C7D" w:rsidP="00CA2F95">
            <w:pPr>
              <w:jc w:val="center"/>
              <w:rPr>
                <w:color w:val="000000"/>
                <w:sz w:val="20"/>
              </w:rPr>
            </w:pPr>
            <w:r w:rsidRPr="00ED0D6D">
              <w:rPr>
                <w:color w:val="000000"/>
                <w:sz w:val="20"/>
              </w:rPr>
              <w:t>24</w:t>
            </w:r>
          </w:p>
        </w:tc>
        <w:tc>
          <w:tcPr>
            <w:tcW w:w="1080" w:type="dxa"/>
            <w:shd w:val="clear" w:color="000000" w:fill="FFFFFF"/>
            <w:vAlign w:val="center"/>
          </w:tcPr>
          <w:p w14:paraId="6052A5F2" w14:textId="77777777" w:rsidR="00925C7D" w:rsidRPr="00ED0D6D" w:rsidRDefault="00925C7D" w:rsidP="00CA2F95">
            <w:pPr>
              <w:jc w:val="center"/>
              <w:rPr>
                <w:color w:val="000000"/>
                <w:sz w:val="20"/>
              </w:rPr>
            </w:pPr>
            <w:r w:rsidRPr="00ED0D6D">
              <w:rPr>
                <w:color w:val="000000"/>
                <w:sz w:val="20"/>
              </w:rPr>
              <w:t>32</w:t>
            </w:r>
          </w:p>
        </w:tc>
        <w:tc>
          <w:tcPr>
            <w:tcW w:w="956" w:type="dxa"/>
            <w:shd w:val="clear" w:color="auto" w:fill="auto"/>
            <w:vAlign w:val="center"/>
          </w:tcPr>
          <w:p w14:paraId="5DB514F8"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06F2690E" w14:textId="77777777" w:rsidR="00925C7D" w:rsidRPr="00ED0D6D" w:rsidRDefault="00925C7D" w:rsidP="00CA2F95">
            <w:pPr>
              <w:jc w:val="center"/>
              <w:rPr>
                <w:color w:val="000000"/>
                <w:sz w:val="20"/>
              </w:rPr>
            </w:pPr>
            <w:r w:rsidRPr="00ED0D6D">
              <w:rPr>
                <w:color w:val="000000"/>
                <w:sz w:val="20"/>
              </w:rPr>
              <w:t>75</w:t>
            </w:r>
          </w:p>
        </w:tc>
        <w:tc>
          <w:tcPr>
            <w:tcW w:w="1250" w:type="dxa"/>
            <w:shd w:val="clear" w:color="auto" w:fill="auto"/>
            <w:vAlign w:val="center"/>
          </w:tcPr>
          <w:p w14:paraId="1CB4F456"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650E4E33"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0DAD4E3" w14:textId="77777777" w:rsidR="00925C7D" w:rsidRPr="00ED0D6D" w:rsidRDefault="00925C7D" w:rsidP="00CA2F95">
            <w:pPr>
              <w:jc w:val="center"/>
              <w:rPr>
                <w:color w:val="000000"/>
                <w:sz w:val="20"/>
              </w:rPr>
            </w:pPr>
            <w:r w:rsidRPr="00ED0D6D">
              <w:rPr>
                <w:color w:val="FF0000"/>
                <w:sz w:val="20"/>
              </w:rPr>
              <w:t> </w:t>
            </w:r>
            <w:r w:rsidRPr="00ED0D6D">
              <w:rPr>
                <w:color w:val="000000"/>
                <w:sz w:val="20"/>
              </w:rPr>
              <w:t xml:space="preserve"> ŠMSM</w:t>
            </w:r>
          </w:p>
        </w:tc>
        <w:tc>
          <w:tcPr>
            <w:tcW w:w="1172" w:type="dxa"/>
            <w:shd w:val="clear" w:color="auto" w:fill="auto"/>
            <w:vAlign w:val="center"/>
          </w:tcPr>
          <w:p w14:paraId="16260AEB"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42DF5444" w14:textId="77777777" w:rsidTr="00CA2F95">
        <w:trPr>
          <w:trHeight w:val="408"/>
        </w:trPr>
        <w:tc>
          <w:tcPr>
            <w:tcW w:w="657" w:type="dxa"/>
            <w:shd w:val="clear" w:color="auto" w:fill="auto"/>
            <w:vAlign w:val="center"/>
            <w:hideMark/>
          </w:tcPr>
          <w:p w14:paraId="08EFE2BB"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75D9CEE9" w14:textId="77777777" w:rsidR="00925C7D" w:rsidRPr="00ED0D6D" w:rsidRDefault="00925C7D" w:rsidP="00CA2F95">
            <w:pPr>
              <w:jc w:val="both"/>
              <w:rPr>
                <w:color w:val="000000"/>
                <w:sz w:val="20"/>
              </w:rPr>
            </w:pPr>
            <w:r w:rsidRPr="00ED0D6D">
              <w:rPr>
                <w:color w:val="000000"/>
                <w:sz w:val="20"/>
              </w:rPr>
              <w:t xml:space="preserve">Medijų ir informacinio raštingumo srityje mokytų pedagogų skaičius (kaupiamieji vienetai)   </w:t>
            </w:r>
          </w:p>
        </w:tc>
        <w:tc>
          <w:tcPr>
            <w:tcW w:w="1080" w:type="dxa"/>
            <w:shd w:val="clear" w:color="000000" w:fill="FFFFFF"/>
            <w:vAlign w:val="center"/>
          </w:tcPr>
          <w:p w14:paraId="3FE3BC94" w14:textId="77777777" w:rsidR="00925C7D" w:rsidRPr="00ED0D6D" w:rsidRDefault="00925C7D" w:rsidP="00CA2F95">
            <w:pPr>
              <w:jc w:val="center"/>
              <w:rPr>
                <w:color w:val="000000"/>
                <w:sz w:val="20"/>
              </w:rPr>
            </w:pPr>
            <w:r w:rsidRPr="00ED0D6D">
              <w:rPr>
                <w:color w:val="000000"/>
                <w:sz w:val="20"/>
              </w:rPr>
              <w:t>3747</w:t>
            </w:r>
          </w:p>
        </w:tc>
        <w:tc>
          <w:tcPr>
            <w:tcW w:w="1080" w:type="dxa"/>
            <w:shd w:val="clear" w:color="000000" w:fill="FFFFFF"/>
            <w:vAlign w:val="center"/>
          </w:tcPr>
          <w:p w14:paraId="1EC63E07" w14:textId="77777777" w:rsidR="00925C7D" w:rsidRPr="00ED0D6D" w:rsidRDefault="00925C7D" w:rsidP="00CA2F95">
            <w:pPr>
              <w:jc w:val="center"/>
              <w:rPr>
                <w:color w:val="000000"/>
                <w:sz w:val="20"/>
              </w:rPr>
            </w:pPr>
            <w:r w:rsidRPr="00ED0D6D">
              <w:rPr>
                <w:color w:val="000000"/>
                <w:sz w:val="20"/>
              </w:rPr>
              <w:t>4284</w:t>
            </w:r>
          </w:p>
        </w:tc>
        <w:tc>
          <w:tcPr>
            <w:tcW w:w="956" w:type="dxa"/>
            <w:shd w:val="clear" w:color="auto" w:fill="auto"/>
            <w:vAlign w:val="center"/>
          </w:tcPr>
          <w:p w14:paraId="3646583A"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43B38010" w14:textId="77777777" w:rsidR="00925C7D" w:rsidRPr="00ED0D6D" w:rsidRDefault="00925C7D" w:rsidP="00CA2F95">
            <w:pPr>
              <w:jc w:val="center"/>
              <w:rPr>
                <w:color w:val="000000"/>
                <w:sz w:val="20"/>
              </w:rPr>
            </w:pPr>
            <w:r w:rsidRPr="00ED0D6D">
              <w:rPr>
                <w:color w:val="000000"/>
                <w:sz w:val="20"/>
              </w:rPr>
              <w:t>1000</w:t>
            </w:r>
          </w:p>
        </w:tc>
        <w:tc>
          <w:tcPr>
            <w:tcW w:w="1250" w:type="dxa"/>
            <w:shd w:val="clear" w:color="auto" w:fill="auto"/>
            <w:vAlign w:val="center"/>
          </w:tcPr>
          <w:p w14:paraId="5844BB3B"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5FCFA2F8"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3BABEA72"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4D4DF5E6" w14:textId="77777777" w:rsidR="00925C7D" w:rsidRPr="00ED0D6D" w:rsidRDefault="00925C7D" w:rsidP="00CA2F95">
            <w:pPr>
              <w:jc w:val="center"/>
              <w:rPr>
                <w:color w:val="000000"/>
                <w:sz w:val="20"/>
              </w:rPr>
            </w:pPr>
            <w:r w:rsidRPr="00ED0D6D">
              <w:rPr>
                <w:color w:val="000000"/>
                <w:sz w:val="20"/>
              </w:rPr>
              <w:t>17LRVP</w:t>
            </w:r>
          </w:p>
        </w:tc>
      </w:tr>
      <w:tr w:rsidR="00925C7D" w:rsidRPr="00ED0D6D" w14:paraId="3E19F498" w14:textId="77777777" w:rsidTr="00CA2F95">
        <w:trPr>
          <w:trHeight w:val="384"/>
        </w:trPr>
        <w:tc>
          <w:tcPr>
            <w:tcW w:w="657" w:type="dxa"/>
            <w:shd w:val="clear" w:color="auto" w:fill="auto"/>
            <w:vAlign w:val="center"/>
            <w:hideMark/>
          </w:tcPr>
          <w:p w14:paraId="0CB09B22"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6E3C2670" w14:textId="77777777" w:rsidR="00925C7D" w:rsidRPr="00ED0D6D" w:rsidRDefault="00925C7D" w:rsidP="00CA2F95">
            <w:pPr>
              <w:rPr>
                <w:color w:val="000000"/>
                <w:sz w:val="20"/>
              </w:rPr>
            </w:pPr>
            <w:r w:rsidRPr="00ED0D6D">
              <w:rPr>
                <w:color w:val="000000"/>
                <w:sz w:val="20"/>
              </w:rPr>
              <w:t xml:space="preserve">Lietuviškų mokyklų užsienyje bendradarbiavimo su Lietuvos institucijomis projektų skaičiaus padidėjimas (proc.)   </w:t>
            </w:r>
          </w:p>
        </w:tc>
        <w:tc>
          <w:tcPr>
            <w:tcW w:w="1080" w:type="dxa"/>
            <w:shd w:val="clear" w:color="000000" w:fill="FFFFFF"/>
            <w:vAlign w:val="center"/>
          </w:tcPr>
          <w:p w14:paraId="149B94A5" w14:textId="77777777" w:rsidR="00925C7D" w:rsidRPr="00ED0D6D" w:rsidRDefault="00925C7D" w:rsidP="00CA2F95">
            <w:pPr>
              <w:jc w:val="center"/>
              <w:rPr>
                <w:color w:val="000000"/>
                <w:sz w:val="20"/>
              </w:rPr>
            </w:pPr>
            <w:r w:rsidRPr="00ED0D6D">
              <w:rPr>
                <w:color w:val="000000"/>
                <w:sz w:val="20"/>
              </w:rPr>
              <w:t>23,2</w:t>
            </w:r>
          </w:p>
        </w:tc>
        <w:tc>
          <w:tcPr>
            <w:tcW w:w="1080" w:type="dxa"/>
            <w:shd w:val="clear" w:color="000000" w:fill="FFFFFF"/>
            <w:vAlign w:val="center"/>
          </w:tcPr>
          <w:p w14:paraId="2FA23E75" w14:textId="77777777" w:rsidR="00925C7D" w:rsidRPr="00ED0D6D" w:rsidRDefault="00925C7D" w:rsidP="00CA2F95">
            <w:pPr>
              <w:jc w:val="center"/>
              <w:rPr>
                <w:color w:val="000000"/>
                <w:sz w:val="20"/>
              </w:rPr>
            </w:pPr>
            <w:r w:rsidRPr="00ED0D6D">
              <w:rPr>
                <w:color w:val="000000"/>
                <w:sz w:val="20"/>
              </w:rPr>
              <w:t>8</w:t>
            </w:r>
          </w:p>
        </w:tc>
        <w:tc>
          <w:tcPr>
            <w:tcW w:w="956" w:type="dxa"/>
            <w:shd w:val="clear" w:color="auto" w:fill="auto"/>
            <w:vAlign w:val="center"/>
          </w:tcPr>
          <w:p w14:paraId="7E42D109"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645A51DC" w14:textId="77777777" w:rsidR="00925C7D" w:rsidRPr="00ED0D6D" w:rsidRDefault="00925C7D" w:rsidP="00CA2F95">
            <w:pPr>
              <w:jc w:val="center"/>
              <w:rPr>
                <w:color w:val="000000"/>
                <w:sz w:val="20"/>
              </w:rPr>
            </w:pPr>
            <w:r w:rsidRPr="00ED0D6D">
              <w:rPr>
                <w:color w:val="000000"/>
                <w:sz w:val="20"/>
              </w:rPr>
              <w:t>25</w:t>
            </w:r>
          </w:p>
        </w:tc>
        <w:tc>
          <w:tcPr>
            <w:tcW w:w="1250" w:type="dxa"/>
            <w:shd w:val="clear" w:color="auto" w:fill="auto"/>
            <w:vAlign w:val="center"/>
          </w:tcPr>
          <w:p w14:paraId="78034E0B"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31D5F621"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78502CD2" w14:textId="77777777" w:rsidR="00925C7D" w:rsidRPr="00ED0D6D" w:rsidRDefault="00925C7D" w:rsidP="00CA2F95">
            <w:pPr>
              <w:jc w:val="center"/>
              <w:rPr>
                <w:color w:val="000000"/>
                <w:sz w:val="20"/>
              </w:rPr>
            </w:pPr>
          </w:p>
          <w:p w14:paraId="36D47684" w14:textId="77777777" w:rsidR="00925C7D" w:rsidRPr="00ED0D6D" w:rsidRDefault="00925C7D" w:rsidP="00CA2F95">
            <w:pPr>
              <w:jc w:val="center"/>
              <w:rPr>
                <w:color w:val="000000"/>
                <w:sz w:val="20"/>
              </w:rPr>
            </w:pPr>
            <w:r w:rsidRPr="00ED0D6D">
              <w:rPr>
                <w:color w:val="000000"/>
                <w:sz w:val="20"/>
              </w:rPr>
              <w:t xml:space="preserve">ŠMSM </w:t>
            </w:r>
          </w:p>
        </w:tc>
        <w:tc>
          <w:tcPr>
            <w:tcW w:w="1172" w:type="dxa"/>
            <w:shd w:val="clear" w:color="auto" w:fill="auto"/>
            <w:vAlign w:val="center"/>
          </w:tcPr>
          <w:p w14:paraId="0FD3741B" w14:textId="77777777" w:rsidR="00925C7D" w:rsidRPr="00ED0D6D" w:rsidRDefault="00925C7D" w:rsidP="00CA2F95">
            <w:pPr>
              <w:jc w:val="center"/>
              <w:rPr>
                <w:color w:val="000000"/>
                <w:sz w:val="20"/>
              </w:rPr>
            </w:pPr>
            <w:r w:rsidRPr="00ED0D6D">
              <w:rPr>
                <w:color w:val="000000"/>
                <w:sz w:val="20"/>
              </w:rPr>
              <w:t>17LRVP</w:t>
            </w:r>
          </w:p>
        </w:tc>
      </w:tr>
    </w:tbl>
    <w:p w14:paraId="04C93B52" w14:textId="77777777" w:rsidR="00925C7D" w:rsidRPr="00ED0D6D" w:rsidRDefault="00925C7D" w:rsidP="00925C7D">
      <w:pPr>
        <w:pStyle w:val="Sraopastraipa"/>
        <w:spacing w:line="380" w:lineRule="atLeast"/>
        <w:ind w:left="1080"/>
        <w:jc w:val="both"/>
        <w:rPr>
          <w:rFonts w:ascii="Times New Roman" w:hAnsi="Times New Roman"/>
          <w:bCs/>
          <w:sz w:val="20"/>
          <w:szCs w:val="20"/>
        </w:rPr>
      </w:pPr>
    </w:p>
    <w:p w14:paraId="014712DE" w14:textId="3DC91D86" w:rsidR="00925C7D" w:rsidRPr="00ED0D6D" w:rsidRDefault="00925C7D" w:rsidP="00A6089B">
      <w:pPr>
        <w:tabs>
          <w:tab w:val="left" w:pos="450"/>
        </w:tabs>
        <w:spacing w:line="380" w:lineRule="atLeast"/>
        <w:ind w:left="720"/>
        <w:jc w:val="both"/>
        <w:rPr>
          <w:b/>
          <w:szCs w:val="24"/>
        </w:rPr>
      </w:pPr>
      <w:r w:rsidRPr="00ED0D6D">
        <w:rPr>
          <w:b/>
          <w:szCs w:val="24"/>
        </w:rPr>
        <w:t>2.</w:t>
      </w:r>
      <w:r w:rsidR="00A6089B">
        <w:rPr>
          <w:b/>
          <w:szCs w:val="24"/>
        </w:rPr>
        <w:t>2.</w:t>
      </w:r>
      <w:r w:rsidRPr="00ED0D6D">
        <w:rPr>
          <w:b/>
          <w:szCs w:val="24"/>
        </w:rPr>
        <w:t>13. Teisingumas</w:t>
      </w:r>
    </w:p>
    <w:tbl>
      <w:tblP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680"/>
        <w:gridCol w:w="1080"/>
        <w:gridCol w:w="1080"/>
        <w:gridCol w:w="1228"/>
        <w:gridCol w:w="983"/>
        <w:gridCol w:w="1250"/>
        <w:gridCol w:w="1250"/>
        <w:gridCol w:w="2219"/>
        <w:gridCol w:w="1172"/>
      </w:tblGrid>
      <w:tr w:rsidR="00925C7D" w:rsidRPr="00ED0D6D" w14:paraId="7AF24A0F" w14:textId="77777777" w:rsidTr="00CA2F95">
        <w:trPr>
          <w:trHeight w:val="999"/>
        </w:trPr>
        <w:tc>
          <w:tcPr>
            <w:tcW w:w="625" w:type="dxa"/>
            <w:shd w:val="clear" w:color="000000" w:fill="DEEAF6"/>
            <w:vAlign w:val="center"/>
            <w:hideMark/>
          </w:tcPr>
          <w:p w14:paraId="1EAB9289" w14:textId="77777777" w:rsidR="00925C7D" w:rsidRPr="00ED0D6D" w:rsidRDefault="00925C7D" w:rsidP="00CA2F95">
            <w:pPr>
              <w:jc w:val="center"/>
              <w:rPr>
                <w:b/>
                <w:bCs/>
                <w:color w:val="000000"/>
                <w:sz w:val="20"/>
              </w:rPr>
            </w:pPr>
            <w:r w:rsidRPr="00ED0D6D">
              <w:rPr>
                <w:b/>
                <w:bCs/>
                <w:color w:val="000000"/>
                <w:sz w:val="20"/>
              </w:rPr>
              <w:t>Eil. Nr.</w:t>
            </w:r>
          </w:p>
        </w:tc>
        <w:tc>
          <w:tcPr>
            <w:tcW w:w="4680" w:type="dxa"/>
            <w:shd w:val="clear" w:color="000000" w:fill="DEEAF6"/>
            <w:vAlign w:val="center"/>
            <w:hideMark/>
          </w:tcPr>
          <w:p w14:paraId="37215AFA" w14:textId="77777777" w:rsidR="00925C7D" w:rsidRPr="00ED0D6D" w:rsidRDefault="00925C7D" w:rsidP="00CA2F95">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15ABF98F" w14:textId="77777777" w:rsidR="00925C7D" w:rsidRPr="00ED0D6D" w:rsidRDefault="00925C7D" w:rsidP="00CA2F95">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01919EBF" w14:textId="77777777" w:rsidR="00925C7D" w:rsidRPr="00ED0D6D" w:rsidRDefault="00925C7D" w:rsidP="00CA2F95">
            <w:pPr>
              <w:jc w:val="center"/>
              <w:rPr>
                <w:b/>
                <w:bCs/>
                <w:color w:val="000000"/>
                <w:sz w:val="20"/>
              </w:rPr>
            </w:pPr>
            <w:r w:rsidRPr="00ED0D6D">
              <w:rPr>
                <w:b/>
                <w:bCs/>
                <w:color w:val="000000"/>
                <w:sz w:val="20"/>
              </w:rPr>
              <w:t>Pasiekta 2020 m. reikšmė</w:t>
            </w:r>
          </w:p>
        </w:tc>
        <w:tc>
          <w:tcPr>
            <w:tcW w:w="1228" w:type="dxa"/>
            <w:shd w:val="clear" w:color="000000" w:fill="DEEAF6"/>
            <w:vAlign w:val="center"/>
            <w:hideMark/>
          </w:tcPr>
          <w:p w14:paraId="4A83B6EA" w14:textId="77777777" w:rsidR="00925C7D" w:rsidRPr="00ED0D6D" w:rsidRDefault="00925C7D" w:rsidP="00CA2F95">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3A0D0B52" w14:textId="77777777" w:rsidR="00925C7D" w:rsidRPr="00ED0D6D" w:rsidRDefault="00925C7D" w:rsidP="00CA2F95">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217825B4" w14:textId="77777777" w:rsidR="00925C7D" w:rsidRPr="00ED0D6D" w:rsidRDefault="00925C7D" w:rsidP="00CA2F95">
            <w:pPr>
              <w:jc w:val="center"/>
              <w:rPr>
                <w:b/>
                <w:bCs/>
                <w:color w:val="000000"/>
                <w:sz w:val="20"/>
              </w:rPr>
            </w:pPr>
            <w:r w:rsidRPr="00ED0D6D">
              <w:rPr>
                <w:b/>
                <w:bCs/>
                <w:color w:val="000000"/>
                <w:sz w:val="20"/>
              </w:rPr>
              <w:t>Planuojama reikšmė 2024m. / 2025 m.</w:t>
            </w:r>
          </w:p>
        </w:tc>
        <w:tc>
          <w:tcPr>
            <w:tcW w:w="1250" w:type="dxa"/>
            <w:shd w:val="clear" w:color="FFFFFF" w:fill="DDEBF7"/>
            <w:vAlign w:val="center"/>
            <w:hideMark/>
          </w:tcPr>
          <w:p w14:paraId="194B26DC" w14:textId="77777777" w:rsidR="00925C7D" w:rsidRPr="00ED0D6D" w:rsidRDefault="00925C7D" w:rsidP="00CA2F95">
            <w:pPr>
              <w:jc w:val="center"/>
              <w:rPr>
                <w:b/>
                <w:bCs/>
                <w:color w:val="000000"/>
                <w:sz w:val="20"/>
              </w:rPr>
            </w:pPr>
            <w:r w:rsidRPr="00ED0D6D">
              <w:rPr>
                <w:b/>
                <w:bCs/>
                <w:color w:val="000000"/>
                <w:sz w:val="20"/>
              </w:rPr>
              <w:t>Planuojama reikšmė 2030 m.</w:t>
            </w:r>
          </w:p>
        </w:tc>
        <w:tc>
          <w:tcPr>
            <w:tcW w:w="2219" w:type="dxa"/>
            <w:shd w:val="clear" w:color="000000" w:fill="DEEAF6"/>
            <w:vAlign w:val="center"/>
            <w:hideMark/>
          </w:tcPr>
          <w:p w14:paraId="731E8FCC" w14:textId="77777777" w:rsidR="00925C7D" w:rsidRPr="00ED0D6D" w:rsidRDefault="00925C7D" w:rsidP="00CA2F95">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767F890E" w14:textId="77777777" w:rsidR="00925C7D" w:rsidRPr="00ED0D6D" w:rsidRDefault="00925C7D" w:rsidP="00CA2F95">
            <w:pPr>
              <w:jc w:val="center"/>
              <w:rPr>
                <w:b/>
                <w:bCs/>
                <w:color w:val="000000"/>
                <w:sz w:val="20"/>
              </w:rPr>
            </w:pPr>
            <w:r w:rsidRPr="00ED0D6D">
              <w:rPr>
                <w:b/>
                <w:bCs/>
                <w:color w:val="000000"/>
                <w:sz w:val="20"/>
              </w:rPr>
              <w:t>Kriterijaus požymis: VPS2030 NPP2020 NPP2030</w:t>
            </w:r>
          </w:p>
          <w:p w14:paraId="15B9D959" w14:textId="77777777" w:rsidR="00925C7D" w:rsidRPr="00ED0D6D" w:rsidRDefault="00925C7D" w:rsidP="00CA2F95">
            <w:pPr>
              <w:jc w:val="center"/>
              <w:rPr>
                <w:b/>
                <w:bCs/>
                <w:color w:val="000000"/>
                <w:sz w:val="20"/>
              </w:rPr>
            </w:pPr>
            <w:r w:rsidRPr="00ED0D6D">
              <w:rPr>
                <w:b/>
                <w:bCs/>
                <w:color w:val="000000"/>
                <w:sz w:val="20"/>
              </w:rPr>
              <w:t>17LRVP</w:t>
            </w:r>
          </w:p>
          <w:p w14:paraId="15D3D72B" w14:textId="77777777" w:rsidR="00925C7D" w:rsidRPr="00ED0D6D" w:rsidRDefault="00925C7D" w:rsidP="00CA2F95">
            <w:pPr>
              <w:jc w:val="center"/>
              <w:rPr>
                <w:b/>
                <w:bCs/>
                <w:color w:val="000000"/>
                <w:sz w:val="20"/>
              </w:rPr>
            </w:pPr>
            <w:r w:rsidRPr="00ED0D6D">
              <w:rPr>
                <w:b/>
                <w:bCs/>
                <w:color w:val="000000"/>
                <w:sz w:val="20"/>
              </w:rPr>
              <w:t>18LRVP</w:t>
            </w:r>
          </w:p>
        </w:tc>
      </w:tr>
      <w:tr w:rsidR="00925C7D" w:rsidRPr="00ED0D6D" w14:paraId="2EC555E2" w14:textId="77777777" w:rsidTr="00CA2F95">
        <w:trPr>
          <w:trHeight w:val="504"/>
        </w:trPr>
        <w:tc>
          <w:tcPr>
            <w:tcW w:w="625" w:type="dxa"/>
            <w:shd w:val="clear" w:color="auto" w:fill="auto"/>
            <w:vAlign w:val="center"/>
            <w:hideMark/>
          </w:tcPr>
          <w:p w14:paraId="3C101F8E"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80" w:type="dxa"/>
            <w:shd w:val="clear" w:color="auto" w:fill="auto"/>
            <w:vAlign w:val="center"/>
          </w:tcPr>
          <w:p w14:paraId="51975909" w14:textId="77777777" w:rsidR="00925C7D" w:rsidRPr="00ED0D6D" w:rsidRDefault="00925C7D" w:rsidP="00CA2F95">
            <w:pPr>
              <w:jc w:val="both"/>
              <w:rPr>
                <w:color w:val="000000"/>
                <w:sz w:val="20"/>
              </w:rPr>
            </w:pPr>
            <w:r w:rsidRPr="00ED0D6D">
              <w:rPr>
                <w:color w:val="000000"/>
                <w:sz w:val="20"/>
              </w:rPr>
              <w:t>Korupcijos suvokimo indeksas</w:t>
            </w:r>
            <w:r>
              <w:rPr>
                <w:color w:val="000000"/>
                <w:sz w:val="20"/>
              </w:rPr>
              <w:t xml:space="preserve"> </w:t>
            </w:r>
            <w:r w:rsidRPr="00806C48">
              <w:rPr>
                <w:sz w:val="20"/>
              </w:rPr>
              <w:t>(balai)</w:t>
            </w:r>
          </w:p>
        </w:tc>
        <w:tc>
          <w:tcPr>
            <w:tcW w:w="1080" w:type="dxa"/>
            <w:shd w:val="clear" w:color="auto" w:fill="auto"/>
            <w:noWrap/>
            <w:vAlign w:val="center"/>
          </w:tcPr>
          <w:p w14:paraId="363F8EEE" w14:textId="77777777" w:rsidR="00925C7D" w:rsidRPr="00ED0D6D" w:rsidRDefault="00925C7D" w:rsidP="00CA2F95">
            <w:pPr>
              <w:jc w:val="center"/>
              <w:rPr>
                <w:color w:val="000000"/>
                <w:sz w:val="20"/>
              </w:rPr>
            </w:pPr>
            <w:r w:rsidRPr="00806C48">
              <w:rPr>
                <w:sz w:val="20"/>
              </w:rPr>
              <w:t>60</w:t>
            </w:r>
          </w:p>
        </w:tc>
        <w:tc>
          <w:tcPr>
            <w:tcW w:w="1080" w:type="dxa"/>
            <w:shd w:val="clear" w:color="000000" w:fill="FFFFFF"/>
            <w:vAlign w:val="center"/>
          </w:tcPr>
          <w:p w14:paraId="3F5B0013" w14:textId="77777777" w:rsidR="00925C7D" w:rsidRPr="00ED0D6D" w:rsidRDefault="00925C7D" w:rsidP="00CA2F95">
            <w:pPr>
              <w:jc w:val="center"/>
              <w:rPr>
                <w:color w:val="000000"/>
                <w:sz w:val="20"/>
              </w:rPr>
            </w:pPr>
            <w:r w:rsidRPr="00ED0D6D">
              <w:rPr>
                <w:color w:val="000000"/>
                <w:sz w:val="20"/>
              </w:rPr>
              <w:t>60</w:t>
            </w:r>
          </w:p>
        </w:tc>
        <w:tc>
          <w:tcPr>
            <w:tcW w:w="1228" w:type="dxa"/>
            <w:shd w:val="clear" w:color="auto" w:fill="auto"/>
            <w:vAlign w:val="center"/>
          </w:tcPr>
          <w:p w14:paraId="211EBAE9" w14:textId="77777777" w:rsidR="00925C7D" w:rsidRPr="00ED0D6D" w:rsidRDefault="00925C7D" w:rsidP="00CA2F95">
            <w:pPr>
              <w:jc w:val="center"/>
              <w:rPr>
                <w:color w:val="000000"/>
                <w:sz w:val="20"/>
              </w:rPr>
            </w:pPr>
            <w:r w:rsidRPr="00806C48">
              <w:rPr>
                <w:sz w:val="20"/>
              </w:rPr>
              <w:t>63,3</w:t>
            </w:r>
          </w:p>
        </w:tc>
        <w:tc>
          <w:tcPr>
            <w:tcW w:w="983" w:type="dxa"/>
            <w:shd w:val="clear" w:color="auto" w:fill="auto"/>
            <w:vAlign w:val="center"/>
          </w:tcPr>
          <w:p w14:paraId="32F5469A" w14:textId="77777777" w:rsidR="00925C7D" w:rsidRPr="00ED0D6D" w:rsidRDefault="00925C7D" w:rsidP="00CA2F95">
            <w:pPr>
              <w:jc w:val="center"/>
              <w:rPr>
                <w:color w:val="000000"/>
                <w:sz w:val="20"/>
              </w:rPr>
            </w:pPr>
            <w:r w:rsidRPr="00806C48">
              <w:rPr>
                <w:sz w:val="20"/>
              </w:rPr>
              <w:t>70</w:t>
            </w:r>
          </w:p>
        </w:tc>
        <w:tc>
          <w:tcPr>
            <w:tcW w:w="1250" w:type="dxa"/>
            <w:shd w:val="clear" w:color="auto" w:fill="auto"/>
            <w:noWrap/>
            <w:vAlign w:val="center"/>
          </w:tcPr>
          <w:p w14:paraId="06A24024" w14:textId="77777777" w:rsidR="00925C7D" w:rsidRPr="00ED0D6D" w:rsidRDefault="00925C7D" w:rsidP="00CA2F95">
            <w:pPr>
              <w:jc w:val="center"/>
              <w:rPr>
                <w:color w:val="000000"/>
                <w:sz w:val="20"/>
              </w:rPr>
            </w:pPr>
            <w:r w:rsidRPr="00ED0D6D">
              <w:rPr>
                <w:sz w:val="20"/>
              </w:rPr>
              <w:t>70</w:t>
            </w:r>
          </w:p>
        </w:tc>
        <w:tc>
          <w:tcPr>
            <w:tcW w:w="1250" w:type="dxa"/>
            <w:shd w:val="clear" w:color="auto" w:fill="auto"/>
          </w:tcPr>
          <w:p w14:paraId="19834F6A" w14:textId="77777777" w:rsidR="00925C7D" w:rsidRDefault="00925C7D" w:rsidP="00CA2F95">
            <w:pPr>
              <w:jc w:val="center"/>
              <w:rPr>
                <w:sz w:val="20"/>
              </w:rPr>
            </w:pPr>
          </w:p>
          <w:p w14:paraId="5D8A6109" w14:textId="77777777" w:rsidR="00925C7D" w:rsidRPr="00ED0D6D" w:rsidRDefault="00925C7D" w:rsidP="00CA2F95">
            <w:pPr>
              <w:jc w:val="center"/>
              <w:rPr>
                <w:color w:val="000000"/>
                <w:sz w:val="20"/>
              </w:rPr>
            </w:pPr>
            <w:r w:rsidRPr="00806C48">
              <w:rPr>
                <w:sz w:val="20"/>
              </w:rPr>
              <w:t>72</w:t>
            </w:r>
          </w:p>
        </w:tc>
        <w:tc>
          <w:tcPr>
            <w:tcW w:w="2219" w:type="dxa"/>
            <w:shd w:val="clear" w:color="auto" w:fill="auto"/>
            <w:vAlign w:val="center"/>
          </w:tcPr>
          <w:p w14:paraId="20B973B5" w14:textId="77777777" w:rsidR="00925C7D" w:rsidRPr="00ED0D6D" w:rsidRDefault="00925C7D" w:rsidP="00CA2F95">
            <w:pPr>
              <w:jc w:val="center"/>
              <w:rPr>
                <w:color w:val="000000"/>
                <w:sz w:val="20"/>
              </w:rPr>
            </w:pPr>
            <w:proofErr w:type="spellStart"/>
            <w:r w:rsidRPr="00ED0D6D">
              <w:rPr>
                <w:color w:val="000000"/>
                <w:sz w:val="20"/>
              </w:rPr>
              <w:t>Transparency</w:t>
            </w:r>
            <w:proofErr w:type="spellEnd"/>
            <w:r w:rsidRPr="00ED0D6D">
              <w:rPr>
                <w:color w:val="000000"/>
                <w:sz w:val="20"/>
              </w:rPr>
              <w:t xml:space="preserve"> International</w:t>
            </w:r>
          </w:p>
        </w:tc>
        <w:tc>
          <w:tcPr>
            <w:tcW w:w="1172" w:type="dxa"/>
            <w:shd w:val="clear" w:color="auto" w:fill="auto"/>
            <w:vAlign w:val="center"/>
          </w:tcPr>
          <w:p w14:paraId="0598ADA4" w14:textId="77777777" w:rsidR="00925C7D" w:rsidRDefault="00925C7D" w:rsidP="00CA2F95">
            <w:pPr>
              <w:jc w:val="center"/>
              <w:rPr>
                <w:sz w:val="20"/>
              </w:rPr>
            </w:pPr>
            <w:r w:rsidRPr="00ED0D6D">
              <w:rPr>
                <w:b/>
                <w:bCs/>
                <w:color w:val="000000"/>
                <w:sz w:val="20"/>
              </w:rPr>
              <w:t>18LRVP</w:t>
            </w:r>
            <w:r w:rsidRPr="00806C48">
              <w:rPr>
                <w:sz w:val="20"/>
              </w:rPr>
              <w:t xml:space="preserve"> NPP2030</w:t>
            </w:r>
          </w:p>
          <w:p w14:paraId="4D4A199C" w14:textId="77777777" w:rsidR="00925C7D" w:rsidRPr="00ED0D6D" w:rsidRDefault="00925C7D" w:rsidP="00CA2F95">
            <w:pPr>
              <w:jc w:val="center"/>
              <w:rPr>
                <w:b/>
                <w:bCs/>
                <w:i/>
                <w:iCs/>
                <w:color w:val="000000"/>
                <w:sz w:val="20"/>
              </w:rPr>
            </w:pPr>
            <w:r w:rsidRPr="00806C48">
              <w:rPr>
                <w:sz w:val="20"/>
              </w:rPr>
              <w:t>17 LRVP</w:t>
            </w:r>
          </w:p>
        </w:tc>
      </w:tr>
      <w:tr w:rsidR="00925C7D" w:rsidRPr="00ED0D6D" w14:paraId="2E9DC7ED" w14:textId="77777777" w:rsidTr="00CA2F95">
        <w:trPr>
          <w:trHeight w:val="504"/>
        </w:trPr>
        <w:tc>
          <w:tcPr>
            <w:tcW w:w="625" w:type="dxa"/>
            <w:shd w:val="clear" w:color="auto" w:fill="auto"/>
            <w:vAlign w:val="center"/>
          </w:tcPr>
          <w:p w14:paraId="637C7B44"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80" w:type="dxa"/>
            <w:shd w:val="clear" w:color="auto" w:fill="auto"/>
            <w:vAlign w:val="center"/>
          </w:tcPr>
          <w:p w14:paraId="3991DA70" w14:textId="77777777" w:rsidR="00925C7D" w:rsidRPr="00ED0D6D" w:rsidRDefault="00925C7D" w:rsidP="00CA2F95">
            <w:pPr>
              <w:jc w:val="both"/>
              <w:rPr>
                <w:color w:val="000000"/>
                <w:sz w:val="20"/>
              </w:rPr>
            </w:pPr>
            <w:r w:rsidRPr="00ED0D6D">
              <w:rPr>
                <w:color w:val="000000"/>
                <w:sz w:val="20"/>
              </w:rPr>
              <w:t>Gyventojų, manančių, kad kyšis padeda spręsti problemas, dalis (proc.)</w:t>
            </w:r>
          </w:p>
        </w:tc>
        <w:tc>
          <w:tcPr>
            <w:tcW w:w="1080" w:type="dxa"/>
            <w:shd w:val="clear" w:color="auto" w:fill="auto"/>
            <w:noWrap/>
            <w:vAlign w:val="center"/>
          </w:tcPr>
          <w:p w14:paraId="2B75C265" w14:textId="77777777" w:rsidR="00925C7D" w:rsidRPr="00806C48" w:rsidRDefault="00925C7D" w:rsidP="00CA2F95">
            <w:pPr>
              <w:jc w:val="center"/>
              <w:rPr>
                <w:sz w:val="20"/>
              </w:rPr>
            </w:pPr>
            <w:r w:rsidRPr="00806C48">
              <w:rPr>
                <w:sz w:val="20"/>
              </w:rPr>
              <w:t>61</w:t>
            </w:r>
          </w:p>
        </w:tc>
        <w:tc>
          <w:tcPr>
            <w:tcW w:w="1080" w:type="dxa"/>
            <w:shd w:val="clear" w:color="000000" w:fill="FFFFFF"/>
            <w:vAlign w:val="center"/>
          </w:tcPr>
          <w:p w14:paraId="5FAF7003" w14:textId="77777777" w:rsidR="00925C7D" w:rsidRPr="00ED0D6D" w:rsidRDefault="00925C7D" w:rsidP="00CA2F95">
            <w:pPr>
              <w:jc w:val="center"/>
              <w:rPr>
                <w:color w:val="000000"/>
                <w:sz w:val="20"/>
              </w:rPr>
            </w:pPr>
            <w:r w:rsidRPr="00ED0D6D">
              <w:rPr>
                <w:color w:val="000000"/>
                <w:sz w:val="20"/>
              </w:rPr>
              <w:t>71</w:t>
            </w:r>
          </w:p>
        </w:tc>
        <w:tc>
          <w:tcPr>
            <w:tcW w:w="1228" w:type="dxa"/>
            <w:shd w:val="clear" w:color="auto" w:fill="auto"/>
            <w:vAlign w:val="center"/>
          </w:tcPr>
          <w:p w14:paraId="6868FC54" w14:textId="77777777" w:rsidR="00925C7D" w:rsidRPr="00806C48" w:rsidRDefault="00925C7D" w:rsidP="00CA2F95">
            <w:pPr>
              <w:jc w:val="center"/>
              <w:rPr>
                <w:sz w:val="20"/>
              </w:rPr>
            </w:pPr>
            <w:r w:rsidRPr="00ED0D6D">
              <w:rPr>
                <w:color w:val="000000"/>
                <w:sz w:val="20"/>
              </w:rPr>
              <w:t xml:space="preserve">_ </w:t>
            </w:r>
          </w:p>
        </w:tc>
        <w:tc>
          <w:tcPr>
            <w:tcW w:w="983" w:type="dxa"/>
            <w:shd w:val="clear" w:color="auto" w:fill="auto"/>
            <w:vAlign w:val="center"/>
          </w:tcPr>
          <w:p w14:paraId="1EA5092B" w14:textId="77777777" w:rsidR="00925C7D" w:rsidRPr="00806C48" w:rsidRDefault="00925C7D" w:rsidP="00CA2F95">
            <w:pPr>
              <w:jc w:val="center"/>
              <w:rPr>
                <w:sz w:val="20"/>
              </w:rPr>
            </w:pPr>
            <w:r w:rsidRPr="00806C48">
              <w:rPr>
                <w:sz w:val="20"/>
              </w:rPr>
              <w:t>56</w:t>
            </w:r>
          </w:p>
        </w:tc>
        <w:tc>
          <w:tcPr>
            <w:tcW w:w="1250" w:type="dxa"/>
            <w:shd w:val="clear" w:color="auto" w:fill="auto"/>
            <w:noWrap/>
            <w:vAlign w:val="center"/>
          </w:tcPr>
          <w:p w14:paraId="3C5D8A9E" w14:textId="77777777" w:rsidR="00925C7D" w:rsidRPr="00ED0D6D" w:rsidRDefault="00925C7D" w:rsidP="00CA2F95">
            <w:pPr>
              <w:jc w:val="center"/>
              <w:rPr>
                <w:sz w:val="20"/>
              </w:rPr>
            </w:pPr>
            <w:r w:rsidRPr="00ED0D6D">
              <w:rPr>
                <w:sz w:val="20"/>
              </w:rPr>
              <w:t>40</w:t>
            </w:r>
          </w:p>
        </w:tc>
        <w:tc>
          <w:tcPr>
            <w:tcW w:w="1250" w:type="dxa"/>
            <w:shd w:val="clear" w:color="auto" w:fill="auto"/>
          </w:tcPr>
          <w:p w14:paraId="6B9B9AA0" w14:textId="77777777" w:rsidR="00925C7D" w:rsidRDefault="00925C7D" w:rsidP="00CA2F95">
            <w:pPr>
              <w:jc w:val="center"/>
              <w:rPr>
                <w:sz w:val="20"/>
              </w:rPr>
            </w:pPr>
          </w:p>
          <w:p w14:paraId="4B87D40D" w14:textId="77777777" w:rsidR="00925C7D" w:rsidRDefault="00925C7D" w:rsidP="00CA2F95">
            <w:pPr>
              <w:jc w:val="center"/>
              <w:rPr>
                <w:sz w:val="20"/>
              </w:rPr>
            </w:pPr>
            <w:r w:rsidRPr="00806C48">
              <w:rPr>
                <w:sz w:val="20"/>
              </w:rPr>
              <w:t>30</w:t>
            </w:r>
          </w:p>
        </w:tc>
        <w:tc>
          <w:tcPr>
            <w:tcW w:w="2219" w:type="dxa"/>
            <w:shd w:val="clear" w:color="auto" w:fill="auto"/>
            <w:vAlign w:val="center"/>
          </w:tcPr>
          <w:p w14:paraId="34DECE2A" w14:textId="77777777" w:rsidR="00925C7D" w:rsidRPr="00ED0D6D" w:rsidRDefault="00925C7D" w:rsidP="00CA2F95">
            <w:pPr>
              <w:jc w:val="center"/>
              <w:rPr>
                <w:color w:val="000000"/>
                <w:sz w:val="20"/>
              </w:rPr>
            </w:pPr>
            <w:r w:rsidRPr="00ED0D6D">
              <w:rPr>
                <w:color w:val="000000"/>
                <w:sz w:val="20"/>
              </w:rPr>
              <w:t>Tyrimas „Lietuvos korupcijos žemėlapis“</w:t>
            </w:r>
          </w:p>
        </w:tc>
        <w:tc>
          <w:tcPr>
            <w:tcW w:w="1172" w:type="dxa"/>
            <w:shd w:val="clear" w:color="auto" w:fill="auto"/>
            <w:vAlign w:val="center"/>
          </w:tcPr>
          <w:p w14:paraId="6297FA1F" w14:textId="77777777" w:rsidR="00925C7D" w:rsidRDefault="00925C7D" w:rsidP="00CA2F95">
            <w:pPr>
              <w:jc w:val="center"/>
              <w:rPr>
                <w:sz w:val="20"/>
              </w:rPr>
            </w:pPr>
            <w:r w:rsidRPr="00ED0D6D">
              <w:rPr>
                <w:b/>
                <w:bCs/>
                <w:color w:val="000000"/>
                <w:sz w:val="20"/>
              </w:rPr>
              <w:t>18LRVP</w:t>
            </w:r>
            <w:r w:rsidRPr="00806C48">
              <w:rPr>
                <w:sz w:val="20"/>
              </w:rPr>
              <w:t xml:space="preserve"> NPP2030</w:t>
            </w:r>
          </w:p>
          <w:p w14:paraId="7B63616F" w14:textId="77777777" w:rsidR="00925C7D" w:rsidRPr="00ED0D6D" w:rsidRDefault="00925C7D" w:rsidP="00CA2F95">
            <w:pPr>
              <w:jc w:val="center"/>
              <w:rPr>
                <w:b/>
                <w:bCs/>
                <w:color w:val="000000"/>
                <w:sz w:val="20"/>
              </w:rPr>
            </w:pPr>
            <w:r w:rsidRPr="00806C48">
              <w:rPr>
                <w:sz w:val="20"/>
              </w:rPr>
              <w:t>17 LRVP</w:t>
            </w:r>
          </w:p>
        </w:tc>
      </w:tr>
      <w:tr w:rsidR="00925C7D" w:rsidRPr="00ED0D6D" w14:paraId="146D874E" w14:textId="77777777" w:rsidTr="00CA2F95">
        <w:trPr>
          <w:trHeight w:val="504"/>
        </w:trPr>
        <w:tc>
          <w:tcPr>
            <w:tcW w:w="625" w:type="dxa"/>
            <w:shd w:val="clear" w:color="auto" w:fill="auto"/>
            <w:vAlign w:val="center"/>
          </w:tcPr>
          <w:p w14:paraId="760B9873"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80" w:type="dxa"/>
            <w:shd w:val="clear" w:color="auto" w:fill="auto"/>
            <w:vAlign w:val="center"/>
          </w:tcPr>
          <w:p w14:paraId="35E46D50" w14:textId="77777777" w:rsidR="00925C7D" w:rsidRPr="00ED0D6D" w:rsidRDefault="00925C7D" w:rsidP="00CA2F95">
            <w:pPr>
              <w:jc w:val="both"/>
              <w:rPr>
                <w:color w:val="000000"/>
                <w:sz w:val="20"/>
              </w:rPr>
            </w:pPr>
            <w:r w:rsidRPr="00806C48">
              <w:rPr>
                <w:sz w:val="20"/>
              </w:rPr>
              <w:t>Gyventojų, kurie pasitiki teismais, dalis (proc.)</w:t>
            </w:r>
          </w:p>
        </w:tc>
        <w:tc>
          <w:tcPr>
            <w:tcW w:w="1080" w:type="dxa"/>
            <w:shd w:val="clear" w:color="auto" w:fill="auto"/>
            <w:noWrap/>
            <w:vAlign w:val="center"/>
          </w:tcPr>
          <w:p w14:paraId="17426185" w14:textId="77777777" w:rsidR="00925C7D" w:rsidRPr="00806C48" w:rsidRDefault="00925C7D" w:rsidP="00CA2F95">
            <w:pPr>
              <w:jc w:val="center"/>
              <w:rPr>
                <w:sz w:val="20"/>
              </w:rPr>
            </w:pPr>
            <w:r w:rsidRPr="00806C48">
              <w:rPr>
                <w:sz w:val="20"/>
              </w:rPr>
              <w:t>40</w:t>
            </w:r>
          </w:p>
        </w:tc>
        <w:tc>
          <w:tcPr>
            <w:tcW w:w="1080" w:type="dxa"/>
            <w:shd w:val="clear" w:color="000000" w:fill="FFFFFF"/>
            <w:vAlign w:val="center"/>
          </w:tcPr>
          <w:p w14:paraId="68A3DB6B" w14:textId="77777777" w:rsidR="00925C7D" w:rsidRPr="00ED0D6D" w:rsidRDefault="00925C7D" w:rsidP="00CA2F95">
            <w:pPr>
              <w:jc w:val="center"/>
              <w:rPr>
                <w:color w:val="000000"/>
                <w:sz w:val="20"/>
              </w:rPr>
            </w:pPr>
            <w:r w:rsidRPr="00806C48">
              <w:rPr>
                <w:sz w:val="20"/>
              </w:rPr>
              <w:t>39</w:t>
            </w:r>
          </w:p>
        </w:tc>
        <w:tc>
          <w:tcPr>
            <w:tcW w:w="1228" w:type="dxa"/>
            <w:shd w:val="clear" w:color="auto" w:fill="auto"/>
            <w:vAlign w:val="center"/>
          </w:tcPr>
          <w:p w14:paraId="7125893C" w14:textId="77777777" w:rsidR="00925C7D" w:rsidRPr="00806C48" w:rsidRDefault="00925C7D" w:rsidP="00CA2F95">
            <w:pPr>
              <w:jc w:val="center"/>
              <w:rPr>
                <w:sz w:val="20"/>
              </w:rPr>
            </w:pPr>
            <w:r w:rsidRPr="00ED0D6D">
              <w:rPr>
                <w:color w:val="000000"/>
                <w:sz w:val="20"/>
              </w:rPr>
              <w:t xml:space="preserve">_ </w:t>
            </w:r>
          </w:p>
        </w:tc>
        <w:tc>
          <w:tcPr>
            <w:tcW w:w="983" w:type="dxa"/>
            <w:shd w:val="clear" w:color="auto" w:fill="auto"/>
            <w:vAlign w:val="center"/>
          </w:tcPr>
          <w:p w14:paraId="480EBC2E"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noWrap/>
            <w:vAlign w:val="center"/>
          </w:tcPr>
          <w:p w14:paraId="78561470" w14:textId="77777777" w:rsidR="00925C7D" w:rsidRPr="00ED0D6D" w:rsidRDefault="00925C7D" w:rsidP="00CA2F95">
            <w:pPr>
              <w:jc w:val="center"/>
              <w:rPr>
                <w:sz w:val="20"/>
              </w:rPr>
            </w:pPr>
            <w:r w:rsidRPr="00806C48">
              <w:rPr>
                <w:sz w:val="20"/>
              </w:rPr>
              <w:t>45</w:t>
            </w:r>
          </w:p>
        </w:tc>
        <w:tc>
          <w:tcPr>
            <w:tcW w:w="1250" w:type="dxa"/>
            <w:shd w:val="clear" w:color="auto" w:fill="auto"/>
            <w:vAlign w:val="center"/>
          </w:tcPr>
          <w:p w14:paraId="195B03D4" w14:textId="77777777" w:rsidR="00925C7D" w:rsidRDefault="00925C7D" w:rsidP="00CA2F95">
            <w:pPr>
              <w:jc w:val="center"/>
              <w:rPr>
                <w:sz w:val="20"/>
              </w:rPr>
            </w:pPr>
            <w:r w:rsidRPr="00806C48">
              <w:rPr>
                <w:sz w:val="20"/>
              </w:rPr>
              <w:t>50</w:t>
            </w:r>
          </w:p>
        </w:tc>
        <w:tc>
          <w:tcPr>
            <w:tcW w:w="2219" w:type="dxa"/>
            <w:shd w:val="clear" w:color="auto" w:fill="auto"/>
            <w:vAlign w:val="center"/>
          </w:tcPr>
          <w:p w14:paraId="53AE884C" w14:textId="77777777" w:rsidR="00925C7D" w:rsidRPr="00ED0D6D" w:rsidRDefault="00925C7D" w:rsidP="00CA2F95">
            <w:pPr>
              <w:jc w:val="center"/>
              <w:rPr>
                <w:color w:val="000000"/>
                <w:sz w:val="20"/>
              </w:rPr>
            </w:pPr>
            <w:r w:rsidRPr="00806C48">
              <w:rPr>
                <w:sz w:val="20"/>
              </w:rPr>
              <w:t>VRM tyrimas</w:t>
            </w:r>
          </w:p>
        </w:tc>
        <w:tc>
          <w:tcPr>
            <w:tcW w:w="1172" w:type="dxa"/>
            <w:shd w:val="clear" w:color="auto" w:fill="auto"/>
            <w:vAlign w:val="center"/>
          </w:tcPr>
          <w:p w14:paraId="69AFB2DC" w14:textId="77777777" w:rsidR="00925C7D" w:rsidRPr="00ED0D6D" w:rsidRDefault="00925C7D" w:rsidP="00CA2F95">
            <w:pPr>
              <w:jc w:val="center"/>
              <w:rPr>
                <w:b/>
                <w:bCs/>
                <w:color w:val="000000"/>
                <w:sz w:val="20"/>
              </w:rPr>
            </w:pPr>
            <w:r w:rsidRPr="009E6BCC">
              <w:rPr>
                <w:b/>
                <w:bCs/>
                <w:sz w:val="20"/>
              </w:rPr>
              <w:t>18LRVP</w:t>
            </w:r>
            <w:r w:rsidRPr="00806C48">
              <w:rPr>
                <w:sz w:val="20"/>
              </w:rPr>
              <w:t xml:space="preserve"> NPP2030</w:t>
            </w:r>
          </w:p>
        </w:tc>
      </w:tr>
      <w:tr w:rsidR="00925C7D" w:rsidRPr="00ED0D6D" w14:paraId="58A06A64" w14:textId="77777777" w:rsidTr="00CA2F95">
        <w:trPr>
          <w:trHeight w:val="504"/>
        </w:trPr>
        <w:tc>
          <w:tcPr>
            <w:tcW w:w="625" w:type="dxa"/>
            <w:shd w:val="clear" w:color="auto" w:fill="auto"/>
            <w:vAlign w:val="center"/>
          </w:tcPr>
          <w:p w14:paraId="48EC6598"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80" w:type="dxa"/>
            <w:shd w:val="clear" w:color="auto" w:fill="auto"/>
            <w:vAlign w:val="center"/>
          </w:tcPr>
          <w:p w14:paraId="30026325" w14:textId="77777777" w:rsidR="00925C7D" w:rsidRPr="00ED0D6D" w:rsidRDefault="00925C7D" w:rsidP="00CA2F95">
            <w:pPr>
              <w:jc w:val="both"/>
              <w:rPr>
                <w:color w:val="000000"/>
                <w:sz w:val="20"/>
              </w:rPr>
            </w:pPr>
            <w:r w:rsidRPr="00ED0D6D">
              <w:rPr>
                <w:color w:val="000000"/>
                <w:sz w:val="20"/>
              </w:rPr>
              <w:t>Priimtų konstitucinių įstatymų skaičius</w:t>
            </w:r>
            <w:r>
              <w:rPr>
                <w:color w:val="000000"/>
                <w:sz w:val="20"/>
              </w:rPr>
              <w:t xml:space="preserve"> </w:t>
            </w:r>
            <w:r w:rsidRPr="00806C48">
              <w:rPr>
                <w:sz w:val="20"/>
              </w:rPr>
              <w:t>(vienetai)</w:t>
            </w:r>
          </w:p>
        </w:tc>
        <w:tc>
          <w:tcPr>
            <w:tcW w:w="1080" w:type="dxa"/>
            <w:shd w:val="clear" w:color="auto" w:fill="auto"/>
            <w:noWrap/>
            <w:vAlign w:val="center"/>
          </w:tcPr>
          <w:p w14:paraId="66A23DA2" w14:textId="77777777" w:rsidR="00925C7D" w:rsidRPr="00ED0D6D" w:rsidRDefault="00925C7D" w:rsidP="00CA2F95">
            <w:pPr>
              <w:jc w:val="center"/>
              <w:rPr>
                <w:color w:val="000000"/>
                <w:sz w:val="20"/>
              </w:rPr>
            </w:pPr>
            <w:r w:rsidRPr="00ED0D6D">
              <w:rPr>
                <w:color w:val="000000"/>
                <w:sz w:val="20"/>
              </w:rPr>
              <w:t xml:space="preserve">N.D. </w:t>
            </w:r>
          </w:p>
        </w:tc>
        <w:tc>
          <w:tcPr>
            <w:tcW w:w="1080" w:type="dxa"/>
            <w:shd w:val="clear" w:color="000000" w:fill="FFFFFF"/>
            <w:vAlign w:val="center"/>
          </w:tcPr>
          <w:p w14:paraId="79235CB8" w14:textId="77777777" w:rsidR="00925C7D" w:rsidRPr="00ED0D6D" w:rsidRDefault="00925C7D" w:rsidP="00CA2F95">
            <w:pPr>
              <w:jc w:val="center"/>
              <w:rPr>
                <w:color w:val="000000"/>
                <w:sz w:val="20"/>
              </w:rPr>
            </w:pPr>
            <w:r w:rsidRPr="00ED0D6D">
              <w:rPr>
                <w:color w:val="000000"/>
                <w:sz w:val="20"/>
              </w:rPr>
              <w:t>1</w:t>
            </w:r>
          </w:p>
        </w:tc>
        <w:tc>
          <w:tcPr>
            <w:tcW w:w="1228" w:type="dxa"/>
            <w:shd w:val="clear" w:color="auto" w:fill="auto"/>
            <w:vAlign w:val="center"/>
          </w:tcPr>
          <w:p w14:paraId="5CA8FC1F"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59DD2613"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center"/>
          </w:tcPr>
          <w:p w14:paraId="140A8790" w14:textId="77777777" w:rsidR="00925C7D" w:rsidRPr="00ED0D6D" w:rsidRDefault="00925C7D" w:rsidP="00CA2F95">
            <w:pPr>
              <w:jc w:val="center"/>
              <w:rPr>
                <w:color w:val="000000"/>
                <w:sz w:val="20"/>
              </w:rPr>
            </w:pPr>
            <w:r w:rsidRPr="00ED0D6D">
              <w:rPr>
                <w:sz w:val="20"/>
              </w:rPr>
              <w:t>10</w:t>
            </w:r>
          </w:p>
        </w:tc>
        <w:tc>
          <w:tcPr>
            <w:tcW w:w="1250" w:type="dxa"/>
            <w:shd w:val="clear" w:color="auto" w:fill="auto"/>
            <w:vAlign w:val="center"/>
          </w:tcPr>
          <w:p w14:paraId="72FF5EED" w14:textId="77777777" w:rsidR="00925C7D" w:rsidRPr="00ED0D6D" w:rsidRDefault="00925C7D" w:rsidP="00CA2F95">
            <w:pPr>
              <w:jc w:val="center"/>
              <w:rPr>
                <w:color w:val="000000"/>
                <w:sz w:val="20"/>
              </w:rPr>
            </w:pPr>
            <w:r w:rsidRPr="00ED0D6D">
              <w:rPr>
                <w:color w:val="000000"/>
                <w:sz w:val="20"/>
              </w:rPr>
              <w:t xml:space="preserve">_ </w:t>
            </w:r>
          </w:p>
        </w:tc>
        <w:tc>
          <w:tcPr>
            <w:tcW w:w="2219" w:type="dxa"/>
            <w:shd w:val="clear" w:color="auto" w:fill="auto"/>
            <w:vAlign w:val="center"/>
          </w:tcPr>
          <w:p w14:paraId="49E98C1B" w14:textId="77777777" w:rsidR="00925C7D" w:rsidRPr="00ED0D6D" w:rsidRDefault="00925C7D" w:rsidP="00CA2F95">
            <w:pPr>
              <w:jc w:val="center"/>
              <w:rPr>
                <w:color w:val="000000"/>
                <w:sz w:val="20"/>
              </w:rPr>
            </w:pPr>
            <w:r>
              <w:rPr>
                <w:color w:val="000000"/>
                <w:sz w:val="20"/>
              </w:rPr>
              <w:t>Teisingumo ministerija (</w:t>
            </w:r>
            <w:r w:rsidRPr="00ED0D6D">
              <w:rPr>
                <w:color w:val="000000"/>
                <w:sz w:val="20"/>
              </w:rPr>
              <w:t>TM</w:t>
            </w:r>
            <w:r>
              <w:rPr>
                <w:color w:val="000000"/>
                <w:sz w:val="20"/>
              </w:rPr>
              <w:t>)</w:t>
            </w:r>
            <w:r w:rsidRPr="00ED0D6D">
              <w:rPr>
                <w:color w:val="000000"/>
                <w:sz w:val="20"/>
              </w:rPr>
              <w:t xml:space="preserve"> </w:t>
            </w:r>
          </w:p>
        </w:tc>
        <w:tc>
          <w:tcPr>
            <w:tcW w:w="1172" w:type="dxa"/>
            <w:shd w:val="clear" w:color="auto" w:fill="auto"/>
            <w:vAlign w:val="center"/>
          </w:tcPr>
          <w:p w14:paraId="1FB0B1C4" w14:textId="77777777" w:rsidR="00925C7D" w:rsidRPr="00ED0D6D" w:rsidRDefault="00925C7D" w:rsidP="00CA2F95">
            <w:pPr>
              <w:jc w:val="center"/>
              <w:rPr>
                <w:b/>
                <w:bCs/>
                <w:color w:val="000000"/>
                <w:sz w:val="20"/>
              </w:rPr>
            </w:pPr>
            <w:r w:rsidRPr="00ED0D6D">
              <w:rPr>
                <w:b/>
                <w:bCs/>
                <w:color w:val="000000"/>
                <w:sz w:val="20"/>
              </w:rPr>
              <w:t>18LRVP</w:t>
            </w:r>
          </w:p>
        </w:tc>
      </w:tr>
      <w:tr w:rsidR="00925C7D" w:rsidRPr="00ED0D6D" w14:paraId="2E61D22C" w14:textId="77777777" w:rsidTr="00CA2F95">
        <w:trPr>
          <w:trHeight w:val="368"/>
        </w:trPr>
        <w:tc>
          <w:tcPr>
            <w:tcW w:w="625" w:type="dxa"/>
            <w:shd w:val="clear" w:color="auto" w:fill="auto"/>
            <w:vAlign w:val="center"/>
          </w:tcPr>
          <w:p w14:paraId="1D1E7564"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80" w:type="dxa"/>
            <w:shd w:val="clear" w:color="auto" w:fill="auto"/>
            <w:vAlign w:val="center"/>
          </w:tcPr>
          <w:p w14:paraId="348A48DB" w14:textId="77777777" w:rsidR="00925C7D" w:rsidRPr="00ED0D6D" w:rsidRDefault="00925C7D" w:rsidP="00CA2F95">
            <w:pPr>
              <w:jc w:val="both"/>
              <w:rPr>
                <w:color w:val="000000"/>
                <w:sz w:val="20"/>
              </w:rPr>
            </w:pPr>
            <w:r w:rsidRPr="00806C48">
              <w:rPr>
                <w:sz w:val="20"/>
              </w:rPr>
              <w:t xml:space="preserve">Lietuvos laisvės atėmimo vietose laikomų asmenų skaičius 100 tūkst. gyventojų (vienetai) </w:t>
            </w:r>
          </w:p>
        </w:tc>
        <w:tc>
          <w:tcPr>
            <w:tcW w:w="1080" w:type="dxa"/>
            <w:shd w:val="clear" w:color="000000" w:fill="FFFFFF"/>
            <w:vAlign w:val="center"/>
          </w:tcPr>
          <w:p w14:paraId="3819D6FF" w14:textId="77777777" w:rsidR="00925C7D" w:rsidRPr="00ED0D6D" w:rsidRDefault="00925C7D" w:rsidP="00CA2F95">
            <w:pPr>
              <w:jc w:val="center"/>
              <w:rPr>
                <w:color w:val="000000"/>
                <w:sz w:val="20"/>
              </w:rPr>
            </w:pPr>
            <w:r w:rsidRPr="00806C48">
              <w:rPr>
                <w:sz w:val="20"/>
              </w:rPr>
              <w:t>220</w:t>
            </w:r>
          </w:p>
        </w:tc>
        <w:tc>
          <w:tcPr>
            <w:tcW w:w="1080" w:type="dxa"/>
            <w:shd w:val="clear" w:color="auto" w:fill="auto"/>
            <w:noWrap/>
            <w:vAlign w:val="center"/>
          </w:tcPr>
          <w:p w14:paraId="5259BB85" w14:textId="77777777" w:rsidR="00925C7D" w:rsidRPr="00ED0D6D" w:rsidRDefault="00925C7D" w:rsidP="00CA2F95">
            <w:pPr>
              <w:jc w:val="center"/>
              <w:rPr>
                <w:color w:val="000000"/>
                <w:sz w:val="20"/>
              </w:rPr>
            </w:pPr>
            <w:r w:rsidRPr="00806C48">
              <w:rPr>
                <w:sz w:val="20"/>
              </w:rPr>
              <w:t>190</w:t>
            </w:r>
          </w:p>
        </w:tc>
        <w:tc>
          <w:tcPr>
            <w:tcW w:w="1228" w:type="dxa"/>
            <w:shd w:val="clear" w:color="auto" w:fill="auto"/>
            <w:vAlign w:val="center"/>
          </w:tcPr>
          <w:p w14:paraId="577BB0B6" w14:textId="77777777" w:rsidR="00925C7D" w:rsidRDefault="00925C7D" w:rsidP="00CA2F95">
            <w:pPr>
              <w:jc w:val="center"/>
              <w:rPr>
                <w:sz w:val="20"/>
              </w:rPr>
            </w:pPr>
            <w:r w:rsidRPr="00806C48">
              <w:rPr>
                <w:sz w:val="20"/>
              </w:rPr>
              <w:t>113</w:t>
            </w:r>
          </w:p>
          <w:p w14:paraId="3F371653" w14:textId="77777777" w:rsidR="00925C7D" w:rsidRPr="00ED0D6D" w:rsidRDefault="00925C7D" w:rsidP="00CA2F95">
            <w:pPr>
              <w:jc w:val="center"/>
              <w:rPr>
                <w:color w:val="000000"/>
                <w:sz w:val="20"/>
              </w:rPr>
            </w:pPr>
            <w:r w:rsidRPr="00806C48">
              <w:rPr>
                <w:sz w:val="20"/>
              </w:rPr>
              <w:t xml:space="preserve">(2020) </w:t>
            </w:r>
          </w:p>
        </w:tc>
        <w:tc>
          <w:tcPr>
            <w:tcW w:w="983" w:type="dxa"/>
            <w:shd w:val="clear" w:color="auto" w:fill="auto"/>
            <w:vAlign w:val="center"/>
          </w:tcPr>
          <w:p w14:paraId="3F6050AF" w14:textId="77777777" w:rsidR="00925C7D" w:rsidRPr="00ED0D6D" w:rsidRDefault="00925C7D" w:rsidP="00CA2F95">
            <w:pPr>
              <w:jc w:val="center"/>
              <w:rPr>
                <w:color w:val="000000"/>
                <w:sz w:val="20"/>
              </w:rPr>
            </w:pPr>
            <w:r w:rsidRPr="00806C48">
              <w:rPr>
                <w:sz w:val="20"/>
              </w:rPr>
              <w:t>231</w:t>
            </w:r>
          </w:p>
        </w:tc>
        <w:tc>
          <w:tcPr>
            <w:tcW w:w="1250" w:type="dxa"/>
            <w:shd w:val="clear" w:color="auto" w:fill="auto"/>
            <w:noWrap/>
            <w:vAlign w:val="center"/>
          </w:tcPr>
          <w:p w14:paraId="6D041DF1" w14:textId="77777777" w:rsidR="00925C7D" w:rsidRPr="00ED0D6D" w:rsidRDefault="00925C7D" w:rsidP="00CA2F95">
            <w:pPr>
              <w:jc w:val="center"/>
              <w:rPr>
                <w:sz w:val="20"/>
              </w:rPr>
            </w:pPr>
            <w:r w:rsidRPr="00806C48">
              <w:rPr>
                <w:sz w:val="20"/>
              </w:rPr>
              <w:t>150</w:t>
            </w:r>
          </w:p>
        </w:tc>
        <w:tc>
          <w:tcPr>
            <w:tcW w:w="1250" w:type="dxa"/>
            <w:shd w:val="clear" w:color="auto" w:fill="auto"/>
            <w:vAlign w:val="center"/>
          </w:tcPr>
          <w:p w14:paraId="51FD949F" w14:textId="77777777" w:rsidR="00925C7D" w:rsidRPr="00ED0D6D" w:rsidRDefault="00925C7D" w:rsidP="00CA2F95">
            <w:pPr>
              <w:jc w:val="center"/>
              <w:rPr>
                <w:color w:val="000000"/>
                <w:sz w:val="20"/>
              </w:rPr>
            </w:pPr>
            <w:r w:rsidRPr="00806C48">
              <w:rPr>
                <w:sz w:val="20"/>
              </w:rPr>
              <w:t>170</w:t>
            </w:r>
          </w:p>
        </w:tc>
        <w:tc>
          <w:tcPr>
            <w:tcW w:w="2219" w:type="dxa"/>
            <w:shd w:val="clear" w:color="auto" w:fill="auto"/>
            <w:vAlign w:val="center"/>
          </w:tcPr>
          <w:p w14:paraId="083B6B29" w14:textId="77777777" w:rsidR="00925C7D" w:rsidRPr="00ED0D6D" w:rsidRDefault="00925C7D" w:rsidP="00CA2F95">
            <w:pPr>
              <w:jc w:val="center"/>
              <w:rPr>
                <w:color w:val="000000"/>
                <w:sz w:val="20"/>
              </w:rPr>
            </w:pPr>
            <w:r w:rsidRPr="00ED0D6D">
              <w:rPr>
                <w:color w:val="000000"/>
                <w:sz w:val="20"/>
              </w:rPr>
              <w:t>Kalėjimų departamentas prie TM</w:t>
            </w:r>
          </w:p>
        </w:tc>
        <w:tc>
          <w:tcPr>
            <w:tcW w:w="1172" w:type="dxa"/>
            <w:shd w:val="clear" w:color="auto" w:fill="auto"/>
            <w:vAlign w:val="center"/>
          </w:tcPr>
          <w:p w14:paraId="6A8ABDBD" w14:textId="77777777" w:rsidR="00925C7D" w:rsidRDefault="00925C7D" w:rsidP="00CA2F95">
            <w:pPr>
              <w:jc w:val="center"/>
              <w:rPr>
                <w:sz w:val="20"/>
              </w:rPr>
            </w:pPr>
            <w:r w:rsidRPr="00ED0D6D">
              <w:rPr>
                <w:b/>
                <w:bCs/>
                <w:color w:val="000000"/>
                <w:sz w:val="20"/>
              </w:rPr>
              <w:t>18LRVP</w:t>
            </w:r>
            <w:r w:rsidRPr="00806C48">
              <w:rPr>
                <w:sz w:val="20"/>
              </w:rPr>
              <w:t xml:space="preserve"> NPP2030</w:t>
            </w:r>
          </w:p>
          <w:p w14:paraId="679DDE30" w14:textId="77777777" w:rsidR="00925C7D" w:rsidRPr="00ED0D6D" w:rsidRDefault="00925C7D" w:rsidP="00CA2F95">
            <w:pPr>
              <w:jc w:val="center"/>
              <w:rPr>
                <w:b/>
                <w:bCs/>
                <w:color w:val="000000"/>
                <w:sz w:val="20"/>
              </w:rPr>
            </w:pPr>
            <w:r w:rsidRPr="00806C48">
              <w:rPr>
                <w:sz w:val="20"/>
              </w:rPr>
              <w:t>17 LRVP</w:t>
            </w:r>
          </w:p>
        </w:tc>
      </w:tr>
      <w:tr w:rsidR="00925C7D" w:rsidRPr="00ED0D6D" w14:paraId="25FF79E5" w14:textId="77777777" w:rsidTr="00CA2F95">
        <w:trPr>
          <w:trHeight w:val="368"/>
        </w:trPr>
        <w:tc>
          <w:tcPr>
            <w:tcW w:w="625" w:type="dxa"/>
            <w:shd w:val="clear" w:color="auto" w:fill="auto"/>
            <w:vAlign w:val="center"/>
          </w:tcPr>
          <w:p w14:paraId="79C8A9B0"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80" w:type="dxa"/>
            <w:shd w:val="clear" w:color="auto" w:fill="auto"/>
            <w:vAlign w:val="center"/>
          </w:tcPr>
          <w:p w14:paraId="2222BEA0" w14:textId="77777777" w:rsidR="00925C7D" w:rsidRPr="00806C48" w:rsidRDefault="00925C7D" w:rsidP="00CA2F95">
            <w:pPr>
              <w:jc w:val="both"/>
              <w:rPr>
                <w:sz w:val="20"/>
              </w:rPr>
            </w:pPr>
            <w:r w:rsidRPr="00806C48">
              <w:rPr>
                <w:sz w:val="20"/>
              </w:rPr>
              <w:t xml:space="preserve">Teisės viršenybės principo įgyvendinimas </w:t>
            </w:r>
            <w:r>
              <w:rPr>
                <w:sz w:val="20"/>
              </w:rPr>
              <w:t>(</w:t>
            </w:r>
            <w:r w:rsidRPr="00806C48">
              <w:rPr>
                <w:sz w:val="20"/>
              </w:rPr>
              <w:t>vieta tarp ES šalių</w:t>
            </w:r>
            <w:r>
              <w:rPr>
                <w:sz w:val="20"/>
              </w:rPr>
              <w:t>)</w:t>
            </w:r>
          </w:p>
        </w:tc>
        <w:tc>
          <w:tcPr>
            <w:tcW w:w="1080" w:type="dxa"/>
            <w:shd w:val="clear" w:color="000000" w:fill="FFFFFF"/>
            <w:vAlign w:val="center"/>
          </w:tcPr>
          <w:p w14:paraId="29F7B301" w14:textId="77777777" w:rsidR="00925C7D" w:rsidRPr="00806C48" w:rsidRDefault="00925C7D" w:rsidP="00CA2F95">
            <w:pPr>
              <w:jc w:val="center"/>
              <w:rPr>
                <w:sz w:val="20"/>
              </w:rPr>
            </w:pPr>
            <w:r w:rsidRPr="00806C48">
              <w:rPr>
                <w:sz w:val="20"/>
              </w:rPr>
              <w:t>16</w:t>
            </w:r>
          </w:p>
        </w:tc>
        <w:tc>
          <w:tcPr>
            <w:tcW w:w="1080" w:type="dxa"/>
            <w:shd w:val="clear" w:color="auto" w:fill="auto"/>
            <w:noWrap/>
            <w:vAlign w:val="center"/>
          </w:tcPr>
          <w:p w14:paraId="1E9AEDA7" w14:textId="77777777" w:rsidR="00925C7D" w:rsidRPr="00806C48" w:rsidRDefault="00925C7D" w:rsidP="00CA2F95">
            <w:pPr>
              <w:jc w:val="center"/>
              <w:rPr>
                <w:sz w:val="20"/>
              </w:rPr>
            </w:pPr>
            <w:r w:rsidRPr="00ED0D6D">
              <w:rPr>
                <w:color w:val="000000"/>
                <w:sz w:val="20"/>
              </w:rPr>
              <w:t xml:space="preserve">N.D. </w:t>
            </w:r>
          </w:p>
        </w:tc>
        <w:tc>
          <w:tcPr>
            <w:tcW w:w="1228" w:type="dxa"/>
            <w:shd w:val="clear" w:color="auto" w:fill="auto"/>
            <w:vAlign w:val="center"/>
          </w:tcPr>
          <w:p w14:paraId="389BF3AA" w14:textId="77777777" w:rsidR="00925C7D" w:rsidRPr="00806C48" w:rsidRDefault="00925C7D" w:rsidP="00CA2F95">
            <w:pPr>
              <w:jc w:val="center"/>
              <w:rPr>
                <w:sz w:val="20"/>
              </w:rPr>
            </w:pPr>
            <w:r w:rsidRPr="00ED0D6D">
              <w:rPr>
                <w:color w:val="000000"/>
                <w:sz w:val="20"/>
              </w:rPr>
              <w:t xml:space="preserve">_ </w:t>
            </w:r>
          </w:p>
        </w:tc>
        <w:tc>
          <w:tcPr>
            <w:tcW w:w="983" w:type="dxa"/>
            <w:shd w:val="clear" w:color="auto" w:fill="auto"/>
            <w:vAlign w:val="center"/>
          </w:tcPr>
          <w:p w14:paraId="51DF8BFC" w14:textId="77777777" w:rsidR="00925C7D" w:rsidRPr="00806C48" w:rsidRDefault="00925C7D" w:rsidP="00CA2F95">
            <w:pPr>
              <w:jc w:val="center"/>
              <w:rPr>
                <w:sz w:val="20"/>
              </w:rPr>
            </w:pPr>
            <w:r w:rsidRPr="00806C48">
              <w:rPr>
                <w:sz w:val="20"/>
              </w:rPr>
              <w:t>17</w:t>
            </w:r>
          </w:p>
        </w:tc>
        <w:tc>
          <w:tcPr>
            <w:tcW w:w="1250" w:type="dxa"/>
            <w:shd w:val="clear" w:color="auto" w:fill="auto"/>
            <w:noWrap/>
            <w:vAlign w:val="center"/>
          </w:tcPr>
          <w:p w14:paraId="080A2A7A" w14:textId="77777777" w:rsidR="00925C7D" w:rsidRPr="00806C48" w:rsidRDefault="00925C7D" w:rsidP="00CA2F95">
            <w:pPr>
              <w:jc w:val="center"/>
              <w:rPr>
                <w:sz w:val="20"/>
              </w:rPr>
            </w:pPr>
            <w:r w:rsidRPr="00806C48">
              <w:rPr>
                <w:sz w:val="20"/>
              </w:rPr>
              <w:t>15</w:t>
            </w:r>
          </w:p>
        </w:tc>
        <w:tc>
          <w:tcPr>
            <w:tcW w:w="1250" w:type="dxa"/>
            <w:shd w:val="clear" w:color="auto" w:fill="auto"/>
            <w:vAlign w:val="center"/>
          </w:tcPr>
          <w:p w14:paraId="090C3B54" w14:textId="77777777" w:rsidR="00925C7D" w:rsidRPr="00806C48" w:rsidRDefault="00925C7D" w:rsidP="00CA2F95">
            <w:pPr>
              <w:jc w:val="center"/>
              <w:rPr>
                <w:sz w:val="20"/>
              </w:rPr>
            </w:pPr>
            <w:r w:rsidRPr="00806C48">
              <w:rPr>
                <w:sz w:val="20"/>
              </w:rPr>
              <w:t>12</w:t>
            </w:r>
          </w:p>
        </w:tc>
        <w:tc>
          <w:tcPr>
            <w:tcW w:w="2219" w:type="dxa"/>
            <w:shd w:val="clear" w:color="auto" w:fill="auto"/>
            <w:vAlign w:val="center"/>
          </w:tcPr>
          <w:p w14:paraId="354CB10D" w14:textId="77777777" w:rsidR="00925C7D" w:rsidRPr="00ED0D6D" w:rsidRDefault="00925C7D" w:rsidP="00CA2F95">
            <w:pPr>
              <w:jc w:val="center"/>
              <w:rPr>
                <w:color w:val="000000"/>
                <w:sz w:val="20"/>
              </w:rPr>
            </w:pPr>
            <w:r w:rsidRPr="00806C48">
              <w:rPr>
                <w:sz w:val="20"/>
              </w:rPr>
              <w:t>Pasaulio bank</w:t>
            </w:r>
            <w:r>
              <w:rPr>
                <w:sz w:val="20"/>
              </w:rPr>
              <w:t>as</w:t>
            </w:r>
          </w:p>
        </w:tc>
        <w:tc>
          <w:tcPr>
            <w:tcW w:w="1172" w:type="dxa"/>
            <w:shd w:val="clear" w:color="auto" w:fill="auto"/>
            <w:vAlign w:val="center"/>
          </w:tcPr>
          <w:p w14:paraId="5A3107A7" w14:textId="77777777" w:rsidR="00925C7D" w:rsidRPr="00ED0D6D" w:rsidRDefault="00925C7D" w:rsidP="00CA2F95">
            <w:pPr>
              <w:jc w:val="center"/>
              <w:rPr>
                <w:b/>
                <w:bCs/>
                <w:color w:val="000000"/>
                <w:sz w:val="20"/>
              </w:rPr>
            </w:pPr>
            <w:r w:rsidRPr="00806C48">
              <w:rPr>
                <w:sz w:val="20"/>
              </w:rPr>
              <w:t>17LRVP NPP2020 NPP2030</w:t>
            </w:r>
          </w:p>
        </w:tc>
      </w:tr>
      <w:tr w:rsidR="00925C7D" w:rsidRPr="00ED0D6D" w14:paraId="1F5E9B87" w14:textId="77777777" w:rsidTr="00CA2F95">
        <w:trPr>
          <w:trHeight w:val="384"/>
        </w:trPr>
        <w:tc>
          <w:tcPr>
            <w:tcW w:w="625" w:type="dxa"/>
            <w:shd w:val="clear" w:color="auto" w:fill="auto"/>
            <w:vAlign w:val="center"/>
          </w:tcPr>
          <w:p w14:paraId="54F41311"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328C5AF4" w14:textId="77777777" w:rsidR="00925C7D" w:rsidRPr="00806C48" w:rsidRDefault="00925C7D" w:rsidP="00CA2F95">
            <w:pPr>
              <w:jc w:val="both"/>
              <w:rPr>
                <w:sz w:val="20"/>
              </w:rPr>
            </w:pPr>
            <w:r w:rsidRPr="00806C48">
              <w:rPr>
                <w:sz w:val="20"/>
              </w:rPr>
              <w:t>Įmonių, manančių, kad kyšis padeda spręsti problemas skaičius (proc</w:t>
            </w:r>
            <w:r>
              <w:rPr>
                <w:sz w:val="20"/>
              </w:rPr>
              <w:t>.</w:t>
            </w:r>
            <w:r w:rsidRPr="00806C48">
              <w:rPr>
                <w:sz w:val="20"/>
              </w:rPr>
              <w:t xml:space="preserve">)   </w:t>
            </w:r>
          </w:p>
        </w:tc>
        <w:tc>
          <w:tcPr>
            <w:tcW w:w="1080" w:type="dxa"/>
            <w:shd w:val="clear" w:color="000000" w:fill="FFFFFF"/>
            <w:vAlign w:val="center"/>
          </w:tcPr>
          <w:p w14:paraId="4D8A0C12" w14:textId="77777777" w:rsidR="00925C7D" w:rsidRPr="00806C48" w:rsidRDefault="00925C7D" w:rsidP="00CA2F95">
            <w:pPr>
              <w:jc w:val="center"/>
              <w:rPr>
                <w:sz w:val="20"/>
              </w:rPr>
            </w:pPr>
            <w:r w:rsidRPr="00806C48">
              <w:rPr>
                <w:sz w:val="20"/>
              </w:rPr>
              <w:t>36</w:t>
            </w:r>
          </w:p>
        </w:tc>
        <w:tc>
          <w:tcPr>
            <w:tcW w:w="1080" w:type="dxa"/>
            <w:shd w:val="clear" w:color="000000" w:fill="FFFFFF"/>
            <w:vAlign w:val="center"/>
          </w:tcPr>
          <w:p w14:paraId="43FDE8AE" w14:textId="77777777" w:rsidR="00925C7D" w:rsidRPr="00806C48" w:rsidRDefault="00925C7D" w:rsidP="00CA2F95">
            <w:pPr>
              <w:jc w:val="center"/>
              <w:rPr>
                <w:sz w:val="20"/>
              </w:rPr>
            </w:pPr>
            <w:r w:rsidRPr="00806C48">
              <w:rPr>
                <w:sz w:val="20"/>
              </w:rPr>
              <w:t>44</w:t>
            </w:r>
          </w:p>
        </w:tc>
        <w:tc>
          <w:tcPr>
            <w:tcW w:w="1228" w:type="dxa"/>
            <w:shd w:val="clear" w:color="auto" w:fill="auto"/>
            <w:vAlign w:val="center"/>
          </w:tcPr>
          <w:p w14:paraId="7ED42264"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2B384599" w14:textId="77777777" w:rsidR="00925C7D" w:rsidRPr="00806C48" w:rsidRDefault="00925C7D" w:rsidP="00CA2F95">
            <w:pPr>
              <w:jc w:val="center"/>
              <w:rPr>
                <w:sz w:val="20"/>
              </w:rPr>
            </w:pPr>
            <w:r w:rsidRPr="00806C48">
              <w:rPr>
                <w:sz w:val="20"/>
              </w:rPr>
              <w:t>38</w:t>
            </w:r>
          </w:p>
        </w:tc>
        <w:tc>
          <w:tcPr>
            <w:tcW w:w="1250" w:type="dxa"/>
            <w:shd w:val="clear" w:color="auto" w:fill="auto"/>
            <w:vAlign w:val="center"/>
          </w:tcPr>
          <w:p w14:paraId="28D2CE62" w14:textId="77777777" w:rsidR="00925C7D" w:rsidRPr="00806C48" w:rsidRDefault="00925C7D" w:rsidP="00CA2F95">
            <w:pPr>
              <w:jc w:val="center"/>
              <w:rPr>
                <w:sz w:val="20"/>
              </w:rPr>
            </w:pPr>
            <w:r w:rsidRPr="00806C48">
              <w:rPr>
                <w:sz w:val="20"/>
              </w:rPr>
              <w:t>19</w:t>
            </w:r>
          </w:p>
        </w:tc>
        <w:tc>
          <w:tcPr>
            <w:tcW w:w="1250" w:type="dxa"/>
            <w:shd w:val="clear" w:color="auto" w:fill="auto"/>
            <w:vAlign w:val="center"/>
          </w:tcPr>
          <w:p w14:paraId="3A444A3D" w14:textId="77777777" w:rsidR="00925C7D" w:rsidRPr="00806C48" w:rsidRDefault="00925C7D" w:rsidP="00CA2F95">
            <w:pPr>
              <w:jc w:val="center"/>
              <w:rPr>
                <w:sz w:val="20"/>
              </w:rPr>
            </w:pPr>
            <w:r w:rsidRPr="00806C48">
              <w:rPr>
                <w:sz w:val="20"/>
              </w:rPr>
              <w:t>10</w:t>
            </w:r>
          </w:p>
        </w:tc>
        <w:tc>
          <w:tcPr>
            <w:tcW w:w="2219" w:type="dxa"/>
            <w:vMerge w:val="restart"/>
            <w:shd w:val="clear" w:color="auto" w:fill="auto"/>
            <w:vAlign w:val="center"/>
          </w:tcPr>
          <w:p w14:paraId="68E0C852" w14:textId="77777777" w:rsidR="00925C7D" w:rsidRPr="00806C48" w:rsidRDefault="00925C7D" w:rsidP="00CA2F95">
            <w:pPr>
              <w:jc w:val="center"/>
              <w:rPr>
                <w:sz w:val="20"/>
              </w:rPr>
            </w:pPr>
            <w:r>
              <w:rPr>
                <w:sz w:val="20"/>
              </w:rPr>
              <w:t>STT</w:t>
            </w:r>
            <w:r w:rsidRPr="00806C48">
              <w:rPr>
                <w:sz w:val="20"/>
              </w:rPr>
              <w:t xml:space="preserve"> užsakymu atliekam</w:t>
            </w:r>
            <w:r>
              <w:rPr>
                <w:sz w:val="20"/>
              </w:rPr>
              <w:t>as</w:t>
            </w:r>
            <w:r w:rsidRPr="00806C48">
              <w:rPr>
                <w:sz w:val="20"/>
              </w:rPr>
              <w:t xml:space="preserve"> tyrim</w:t>
            </w:r>
            <w:r>
              <w:rPr>
                <w:sz w:val="20"/>
              </w:rPr>
              <w:t>as</w:t>
            </w:r>
            <w:r w:rsidRPr="00806C48">
              <w:rPr>
                <w:sz w:val="20"/>
              </w:rPr>
              <w:t xml:space="preserve"> „Lietuvos korupcijos žemėlapis“, http://www.stt.lt/lt/menu/tyrimai-ir-analizes/ </w:t>
            </w:r>
          </w:p>
        </w:tc>
        <w:tc>
          <w:tcPr>
            <w:tcW w:w="1172" w:type="dxa"/>
            <w:shd w:val="clear" w:color="auto" w:fill="auto"/>
            <w:vAlign w:val="center"/>
          </w:tcPr>
          <w:p w14:paraId="1271DA8B" w14:textId="77777777" w:rsidR="00925C7D" w:rsidRDefault="00925C7D" w:rsidP="00CA2F95">
            <w:pPr>
              <w:jc w:val="center"/>
              <w:rPr>
                <w:sz w:val="20"/>
              </w:rPr>
            </w:pPr>
            <w:r w:rsidRPr="00806C48">
              <w:rPr>
                <w:sz w:val="20"/>
              </w:rPr>
              <w:t>NPP2030</w:t>
            </w:r>
          </w:p>
          <w:p w14:paraId="34D9B76D" w14:textId="77777777" w:rsidR="00925C7D" w:rsidRPr="00806C48" w:rsidRDefault="00925C7D" w:rsidP="00CA2F95">
            <w:pPr>
              <w:jc w:val="center"/>
              <w:rPr>
                <w:sz w:val="20"/>
              </w:rPr>
            </w:pPr>
            <w:r w:rsidRPr="00806C48">
              <w:rPr>
                <w:sz w:val="20"/>
              </w:rPr>
              <w:t>17LRVP</w:t>
            </w:r>
          </w:p>
        </w:tc>
      </w:tr>
      <w:tr w:rsidR="00925C7D" w:rsidRPr="00ED0D6D" w14:paraId="440D0759" w14:textId="77777777" w:rsidTr="00CA2F95">
        <w:trPr>
          <w:trHeight w:val="384"/>
        </w:trPr>
        <w:tc>
          <w:tcPr>
            <w:tcW w:w="625" w:type="dxa"/>
            <w:shd w:val="clear" w:color="auto" w:fill="auto"/>
            <w:vAlign w:val="center"/>
          </w:tcPr>
          <w:p w14:paraId="0B815619"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7BD0BE91" w14:textId="77777777" w:rsidR="00925C7D" w:rsidRPr="00806C48" w:rsidRDefault="00925C7D" w:rsidP="00CA2F95">
            <w:pPr>
              <w:jc w:val="both"/>
              <w:rPr>
                <w:sz w:val="20"/>
              </w:rPr>
            </w:pPr>
            <w:r w:rsidRPr="00806C48">
              <w:rPr>
                <w:sz w:val="20"/>
              </w:rPr>
              <w:t>Gyventojų, davusių kyšį per pastaruosius 12 mėnesių dalis (proc</w:t>
            </w:r>
            <w:r>
              <w:rPr>
                <w:sz w:val="20"/>
              </w:rPr>
              <w:t>.</w:t>
            </w:r>
            <w:r w:rsidRPr="00806C48">
              <w:rPr>
                <w:sz w:val="20"/>
              </w:rPr>
              <w:t xml:space="preserve">)   </w:t>
            </w:r>
          </w:p>
        </w:tc>
        <w:tc>
          <w:tcPr>
            <w:tcW w:w="1080" w:type="dxa"/>
            <w:shd w:val="clear" w:color="000000" w:fill="FFFFFF"/>
            <w:vAlign w:val="center"/>
          </w:tcPr>
          <w:p w14:paraId="122BB771" w14:textId="77777777" w:rsidR="00925C7D" w:rsidRPr="00806C48" w:rsidRDefault="00925C7D" w:rsidP="00CA2F95">
            <w:pPr>
              <w:jc w:val="center"/>
              <w:rPr>
                <w:sz w:val="20"/>
              </w:rPr>
            </w:pPr>
            <w:r w:rsidRPr="00806C48">
              <w:rPr>
                <w:sz w:val="20"/>
              </w:rPr>
              <w:t>10</w:t>
            </w:r>
          </w:p>
        </w:tc>
        <w:tc>
          <w:tcPr>
            <w:tcW w:w="1080" w:type="dxa"/>
            <w:shd w:val="clear" w:color="000000" w:fill="FFFFFF"/>
            <w:vAlign w:val="center"/>
          </w:tcPr>
          <w:p w14:paraId="322919C8" w14:textId="77777777" w:rsidR="00925C7D" w:rsidRPr="00806C48" w:rsidRDefault="00925C7D" w:rsidP="00CA2F95">
            <w:pPr>
              <w:jc w:val="center"/>
              <w:rPr>
                <w:sz w:val="20"/>
              </w:rPr>
            </w:pPr>
            <w:r w:rsidRPr="00806C48">
              <w:rPr>
                <w:sz w:val="20"/>
              </w:rPr>
              <w:t>9</w:t>
            </w:r>
          </w:p>
        </w:tc>
        <w:tc>
          <w:tcPr>
            <w:tcW w:w="1228" w:type="dxa"/>
            <w:shd w:val="clear" w:color="auto" w:fill="auto"/>
            <w:vAlign w:val="center"/>
          </w:tcPr>
          <w:p w14:paraId="6DCEDC2E"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33E1B856" w14:textId="77777777" w:rsidR="00925C7D" w:rsidRPr="00806C48" w:rsidRDefault="00925C7D" w:rsidP="00CA2F95">
            <w:pPr>
              <w:jc w:val="center"/>
              <w:rPr>
                <w:sz w:val="20"/>
              </w:rPr>
            </w:pPr>
            <w:r w:rsidRPr="00806C48">
              <w:rPr>
                <w:sz w:val="20"/>
              </w:rPr>
              <w:t>10</w:t>
            </w:r>
          </w:p>
        </w:tc>
        <w:tc>
          <w:tcPr>
            <w:tcW w:w="1250" w:type="dxa"/>
            <w:shd w:val="clear" w:color="auto" w:fill="auto"/>
            <w:vAlign w:val="center"/>
          </w:tcPr>
          <w:p w14:paraId="75699D2C"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6FBF8A55" w14:textId="77777777" w:rsidR="00925C7D" w:rsidRPr="00806C48" w:rsidRDefault="00925C7D" w:rsidP="00CA2F95">
            <w:pPr>
              <w:jc w:val="center"/>
              <w:rPr>
                <w:sz w:val="20"/>
              </w:rPr>
            </w:pPr>
            <w:r w:rsidRPr="00ED0D6D">
              <w:rPr>
                <w:color w:val="000000"/>
                <w:sz w:val="20"/>
              </w:rPr>
              <w:t xml:space="preserve">_ </w:t>
            </w:r>
          </w:p>
        </w:tc>
        <w:tc>
          <w:tcPr>
            <w:tcW w:w="2219" w:type="dxa"/>
            <w:vMerge/>
            <w:shd w:val="clear" w:color="auto" w:fill="auto"/>
            <w:vAlign w:val="center"/>
          </w:tcPr>
          <w:p w14:paraId="222AC7B5" w14:textId="77777777" w:rsidR="00925C7D" w:rsidRPr="00806C48" w:rsidRDefault="00925C7D" w:rsidP="00CA2F95">
            <w:pPr>
              <w:jc w:val="center"/>
              <w:rPr>
                <w:sz w:val="20"/>
              </w:rPr>
            </w:pPr>
          </w:p>
        </w:tc>
        <w:tc>
          <w:tcPr>
            <w:tcW w:w="1172" w:type="dxa"/>
            <w:shd w:val="clear" w:color="auto" w:fill="auto"/>
            <w:vAlign w:val="center"/>
          </w:tcPr>
          <w:p w14:paraId="5E3C22B9" w14:textId="77777777" w:rsidR="00925C7D" w:rsidRPr="00806C48" w:rsidRDefault="00925C7D" w:rsidP="00CA2F95">
            <w:pPr>
              <w:jc w:val="center"/>
              <w:rPr>
                <w:sz w:val="20"/>
              </w:rPr>
            </w:pPr>
            <w:r w:rsidRPr="00806C48">
              <w:rPr>
                <w:sz w:val="20"/>
              </w:rPr>
              <w:t>17LRVP</w:t>
            </w:r>
          </w:p>
        </w:tc>
      </w:tr>
      <w:tr w:rsidR="00925C7D" w:rsidRPr="00ED0D6D" w14:paraId="6A427872" w14:textId="77777777" w:rsidTr="00CA2F95">
        <w:trPr>
          <w:trHeight w:val="384"/>
        </w:trPr>
        <w:tc>
          <w:tcPr>
            <w:tcW w:w="625" w:type="dxa"/>
            <w:shd w:val="clear" w:color="auto" w:fill="auto"/>
            <w:vAlign w:val="center"/>
          </w:tcPr>
          <w:p w14:paraId="42DFA9A3"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197BB6EC" w14:textId="77777777" w:rsidR="00925C7D" w:rsidRPr="00806C48" w:rsidRDefault="00925C7D" w:rsidP="00CA2F95">
            <w:pPr>
              <w:jc w:val="both"/>
              <w:rPr>
                <w:sz w:val="20"/>
              </w:rPr>
            </w:pPr>
            <w:r w:rsidRPr="00806C48">
              <w:rPr>
                <w:sz w:val="20"/>
              </w:rPr>
              <w:t>Įmonių, davusių kyšį per pastaruosius 12 mėnesių dalis, (proc</w:t>
            </w:r>
            <w:r>
              <w:rPr>
                <w:sz w:val="20"/>
              </w:rPr>
              <w:t>.</w:t>
            </w:r>
            <w:r w:rsidRPr="00806C48">
              <w:rPr>
                <w:sz w:val="20"/>
              </w:rPr>
              <w:t xml:space="preserve">)   </w:t>
            </w:r>
          </w:p>
        </w:tc>
        <w:tc>
          <w:tcPr>
            <w:tcW w:w="1080" w:type="dxa"/>
            <w:shd w:val="clear" w:color="000000" w:fill="FFFFFF"/>
            <w:vAlign w:val="center"/>
          </w:tcPr>
          <w:p w14:paraId="3A253402" w14:textId="77777777" w:rsidR="00925C7D" w:rsidRPr="00806C48" w:rsidRDefault="00925C7D" w:rsidP="00CA2F95">
            <w:pPr>
              <w:jc w:val="center"/>
              <w:rPr>
                <w:sz w:val="20"/>
              </w:rPr>
            </w:pPr>
            <w:r w:rsidRPr="00806C48">
              <w:rPr>
                <w:sz w:val="20"/>
              </w:rPr>
              <w:t>5</w:t>
            </w:r>
          </w:p>
        </w:tc>
        <w:tc>
          <w:tcPr>
            <w:tcW w:w="1080" w:type="dxa"/>
            <w:shd w:val="clear" w:color="000000" w:fill="FFFFFF"/>
            <w:vAlign w:val="center"/>
          </w:tcPr>
          <w:p w14:paraId="4048F403" w14:textId="77777777" w:rsidR="00925C7D" w:rsidRPr="00806C48" w:rsidRDefault="00925C7D" w:rsidP="00CA2F95">
            <w:pPr>
              <w:jc w:val="center"/>
              <w:rPr>
                <w:sz w:val="20"/>
              </w:rPr>
            </w:pPr>
            <w:r w:rsidRPr="00806C48">
              <w:rPr>
                <w:sz w:val="20"/>
              </w:rPr>
              <w:t>4</w:t>
            </w:r>
          </w:p>
        </w:tc>
        <w:tc>
          <w:tcPr>
            <w:tcW w:w="1228" w:type="dxa"/>
            <w:shd w:val="clear" w:color="auto" w:fill="auto"/>
            <w:vAlign w:val="center"/>
          </w:tcPr>
          <w:p w14:paraId="49C5F546"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4A5F64A2" w14:textId="77777777" w:rsidR="00925C7D" w:rsidRPr="00806C48" w:rsidRDefault="00925C7D" w:rsidP="00CA2F95">
            <w:pPr>
              <w:jc w:val="center"/>
              <w:rPr>
                <w:sz w:val="20"/>
              </w:rPr>
            </w:pPr>
            <w:r w:rsidRPr="00806C48">
              <w:rPr>
                <w:sz w:val="20"/>
              </w:rPr>
              <w:t>3</w:t>
            </w:r>
          </w:p>
        </w:tc>
        <w:tc>
          <w:tcPr>
            <w:tcW w:w="1250" w:type="dxa"/>
            <w:shd w:val="clear" w:color="auto" w:fill="auto"/>
            <w:vAlign w:val="center"/>
          </w:tcPr>
          <w:p w14:paraId="48A46B66"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66B90C02" w14:textId="77777777" w:rsidR="00925C7D" w:rsidRPr="00806C48" w:rsidRDefault="00925C7D" w:rsidP="00CA2F95">
            <w:pPr>
              <w:jc w:val="center"/>
              <w:rPr>
                <w:sz w:val="20"/>
              </w:rPr>
            </w:pPr>
            <w:r w:rsidRPr="00ED0D6D">
              <w:rPr>
                <w:color w:val="000000"/>
                <w:sz w:val="20"/>
              </w:rPr>
              <w:t xml:space="preserve">_ </w:t>
            </w:r>
          </w:p>
        </w:tc>
        <w:tc>
          <w:tcPr>
            <w:tcW w:w="2219" w:type="dxa"/>
            <w:vMerge/>
            <w:shd w:val="clear" w:color="auto" w:fill="auto"/>
            <w:vAlign w:val="center"/>
          </w:tcPr>
          <w:p w14:paraId="640E8E67" w14:textId="77777777" w:rsidR="00925C7D" w:rsidRPr="00806C48" w:rsidRDefault="00925C7D" w:rsidP="00CA2F95">
            <w:pPr>
              <w:jc w:val="center"/>
              <w:rPr>
                <w:sz w:val="20"/>
              </w:rPr>
            </w:pPr>
          </w:p>
        </w:tc>
        <w:tc>
          <w:tcPr>
            <w:tcW w:w="1172" w:type="dxa"/>
            <w:shd w:val="clear" w:color="auto" w:fill="auto"/>
            <w:vAlign w:val="center"/>
          </w:tcPr>
          <w:p w14:paraId="1D79F1EB" w14:textId="77777777" w:rsidR="00925C7D" w:rsidRPr="00806C48" w:rsidRDefault="00925C7D" w:rsidP="00CA2F95">
            <w:pPr>
              <w:jc w:val="center"/>
              <w:rPr>
                <w:sz w:val="20"/>
              </w:rPr>
            </w:pPr>
            <w:r w:rsidRPr="00806C48">
              <w:rPr>
                <w:sz w:val="20"/>
              </w:rPr>
              <w:t>17LRVP</w:t>
            </w:r>
          </w:p>
        </w:tc>
      </w:tr>
      <w:tr w:rsidR="00925C7D" w:rsidRPr="00ED0D6D" w14:paraId="544C3B41" w14:textId="77777777" w:rsidTr="00CA2F95">
        <w:trPr>
          <w:trHeight w:val="384"/>
        </w:trPr>
        <w:tc>
          <w:tcPr>
            <w:tcW w:w="625" w:type="dxa"/>
            <w:shd w:val="clear" w:color="auto" w:fill="auto"/>
            <w:vAlign w:val="center"/>
          </w:tcPr>
          <w:p w14:paraId="13139079"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709A2A60" w14:textId="77777777" w:rsidR="00925C7D" w:rsidRPr="00806C48" w:rsidRDefault="00925C7D" w:rsidP="00CA2F95">
            <w:pPr>
              <w:jc w:val="both"/>
              <w:rPr>
                <w:sz w:val="20"/>
              </w:rPr>
            </w:pPr>
            <w:r w:rsidRPr="00806C48">
              <w:rPr>
                <w:sz w:val="20"/>
              </w:rPr>
              <w:t>Lietuvos vartotojų teisių apsaugos indeksas (proc</w:t>
            </w:r>
            <w:r>
              <w:rPr>
                <w:sz w:val="20"/>
              </w:rPr>
              <w:t>.</w:t>
            </w:r>
            <w:r w:rsidRPr="00806C48">
              <w:rPr>
                <w:sz w:val="20"/>
              </w:rPr>
              <w:t xml:space="preserve">)   </w:t>
            </w:r>
          </w:p>
        </w:tc>
        <w:tc>
          <w:tcPr>
            <w:tcW w:w="1080" w:type="dxa"/>
            <w:shd w:val="clear" w:color="000000" w:fill="FFFFFF"/>
            <w:vAlign w:val="center"/>
          </w:tcPr>
          <w:p w14:paraId="65589C75" w14:textId="77777777" w:rsidR="00925C7D" w:rsidRPr="00806C48" w:rsidRDefault="00925C7D" w:rsidP="00CA2F95">
            <w:pPr>
              <w:jc w:val="center"/>
              <w:rPr>
                <w:sz w:val="20"/>
              </w:rPr>
            </w:pPr>
            <w:r w:rsidRPr="00806C48">
              <w:rPr>
                <w:sz w:val="20"/>
              </w:rPr>
              <w:t>18,1</w:t>
            </w:r>
          </w:p>
        </w:tc>
        <w:tc>
          <w:tcPr>
            <w:tcW w:w="1080" w:type="dxa"/>
            <w:shd w:val="clear" w:color="000000" w:fill="FFFFFF"/>
            <w:vAlign w:val="center"/>
          </w:tcPr>
          <w:p w14:paraId="137730D0" w14:textId="77777777" w:rsidR="00925C7D" w:rsidRPr="00806C48" w:rsidRDefault="00925C7D" w:rsidP="00CA2F95">
            <w:pPr>
              <w:jc w:val="center"/>
              <w:rPr>
                <w:sz w:val="20"/>
              </w:rPr>
            </w:pPr>
            <w:r w:rsidRPr="00806C48">
              <w:rPr>
                <w:sz w:val="20"/>
              </w:rPr>
              <w:t>21,7</w:t>
            </w:r>
          </w:p>
        </w:tc>
        <w:tc>
          <w:tcPr>
            <w:tcW w:w="1228" w:type="dxa"/>
            <w:shd w:val="clear" w:color="auto" w:fill="auto"/>
            <w:vAlign w:val="center"/>
          </w:tcPr>
          <w:p w14:paraId="5E985C26"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16140DAD" w14:textId="77777777" w:rsidR="00925C7D" w:rsidRPr="00806C48" w:rsidRDefault="00925C7D" w:rsidP="00CA2F95">
            <w:pPr>
              <w:jc w:val="center"/>
              <w:rPr>
                <w:sz w:val="20"/>
              </w:rPr>
            </w:pPr>
            <w:r w:rsidRPr="00806C48">
              <w:rPr>
                <w:sz w:val="20"/>
              </w:rPr>
              <w:t>14</w:t>
            </w:r>
          </w:p>
        </w:tc>
        <w:tc>
          <w:tcPr>
            <w:tcW w:w="1250" w:type="dxa"/>
            <w:shd w:val="clear" w:color="auto" w:fill="auto"/>
            <w:vAlign w:val="center"/>
          </w:tcPr>
          <w:p w14:paraId="1A5D6098"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0B4F6A48" w14:textId="77777777" w:rsidR="00925C7D" w:rsidRPr="00806C48" w:rsidRDefault="00925C7D" w:rsidP="00CA2F95">
            <w:pPr>
              <w:jc w:val="center"/>
              <w:rPr>
                <w:sz w:val="20"/>
              </w:rPr>
            </w:pPr>
            <w:r w:rsidRPr="00ED0D6D">
              <w:rPr>
                <w:color w:val="000000"/>
                <w:sz w:val="20"/>
              </w:rPr>
              <w:t xml:space="preserve">_ </w:t>
            </w:r>
          </w:p>
        </w:tc>
        <w:tc>
          <w:tcPr>
            <w:tcW w:w="2219" w:type="dxa"/>
            <w:shd w:val="clear" w:color="auto" w:fill="auto"/>
            <w:vAlign w:val="center"/>
          </w:tcPr>
          <w:p w14:paraId="00AD1571" w14:textId="77777777" w:rsidR="00925C7D" w:rsidRPr="00806C48" w:rsidRDefault="00925C7D" w:rsidP="00CA2F95">
            <w:pPr>
              <w:jc w:val="center"/>
              <w:rPr>
                <w:sz w:val="20"/>
              </w:rPr>
            </w:pPr>
            <w:r w:rsidRPr="00806C48">
              <w:rPr>
                <w:sz w:val="20"/>
              </w:rPr>
              <w:t>Valstybės garantuojamos teisinės pagalbos tarnyb</w:t>
            </w:r>
            <w:r>
              <w:rPr>
                <w:sz w:val="20"/>
              </w:rPr>
              <w:t>a</w:t>
            </w:r>
          </w:p>
        </w:tc>
        <w:tc>
          <w:tcPr>
            <w:tcW w:w="1172" w:type="dxa"/>
            <w:shd w:val="clear" w:color="auto" w:fill="auto"/>
            <w:vAlign w:val="center"/>
          </w:tcPr>
          <w:p w14:paraId="0B1C35E5" w14:textId="77777777" w:rsidR="00925C7D" w:rsidRPr="00806C48" w:rsidRDefault="00925C7D" w:rsidP="00CA2F95">
            <w:pPr>
              <w:jc w:val="center"/>
              <w:rPr>
                <w:sz w:val="20"/>
              </w:rPr>
            </w:pPr>
            <w:r w:rsidRPr="00806C48">
              <w:rPr>
                <w:sz w:val="20"/>
              </w:rPr>
              <w:t>17LRVP</w:t>
            </w:r>
          </w:p>
        </w:tc>
      </w:tr>
      <w:tr w:rsidR="00925C7D" w:rsidRPr="00ED0D6D" w14:paraId="106E13ED" w14:textId="77777777" w:rsidTr="00CA2F95">
        <w:trPr>
          <w:trHeight w:val="384"/>
        </w:trPr>
        <w:tc>
          <w:tcPr>
            <w:tcW w:w="625" w:type="dxa"/>
            <w:shd w:val="clear" w:color="auto" w:fill="auto"/>
            <w:vAlign w:val="center"/>
          </w:tcPr>
          <w:p w14:paraId="0B8A0046"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48393C85" w14:textId="77777777" w:rsidR="00925C7D" w:rsidRPr="00806C48" w:rsidRDefault="00925C7D" w:rsidP="00CA2F95">
            <w:pPr>
              <w:jc w:val="both"/>
              <w:rPr>
                <w:sz w:val="20"/>
              </w:rPr>
            </w:pPr>
            <w:r w:rsidRPr="00806C48">
              <w:rPr>
                <w:sz w:val="20"/>
              </w:rPr>
              <w:t>Verslininkų, manančių, kad vartotojų apsaugos teisės aktai yra išsamūs ir suprantami (proc</w:t>
            </w:r>
            <w:r>
              <w:rPr>
                <w:sz w:val="20"/>
              </w:rPr>
              <w:t>.</w:t>
            </w:r>
            <w:r w:rsidRPr="00806C48">
              <w:rPr>
                <w:sz w:val="20"/>
              </w:rPr>
              <w:t xml:space="preserve">)   </w:t>
            </w:r>
          </w:p>
        </w:tc>
        <w:tc>
          <w:tcPr>
            <w:tcW w:w="1080" w:type="dxa"/>
            <w:shd w:val="clear" w:color="000000" w:fill="FFFFFF"/>
            <w:vAlign w:val="center"/>
          </w:tcPr>
          <w:p w14:paraId="56D391E8" w14:textId="77777777" w:rsidR="00925C7D" w:rsidRPr="00806C48" w:rsidRDefault="00925C7D" w:rsidP="00CA2F95">
            <w:pPr>
              <w:jc w:val="center"/>
              <w:rPr>
                <w:sz w:val="20"/>
              </w:rPr>
            </w:pPr>
            <w:r w:rsidRPr="00806C48">
              <w:rPr>
                <w:sz w:val="20"/>
              </w:rPr>
              <w:t>41</w:t>
            </w:r>
          </w:p>
        </w:tc>
        <w:tc>
          <w:tcPr>
            <w:tcW w:w="1080" w:type="dxa"/>
            <w:shd w:val="clear" w:color="000000" w:fill="FFFFFF"/>
            <w:vAlign w:val="center"/>
          </w:tcPr>
          <w:p w14:paraId="0D915816" w14:textId="77777777" w:rsidR="00925C7D" w:rsidRPr="00806C48" w:rsidRDefault="00925C7D" w:rsidP="00CA2F95">
            <w:pPr>
              <w:jc w:val="center"/>
              <w:rPr>
                <w:sz w:val="20"/>
              </w:rPr>
            </w:pPr>
            <w:r w:rsidRPr="00806C48">
              <w:rPr>
                <w:sz w:val="20"/>
              </w:rPr>
              <w:t>61</w:t>
            </w:r>
          </w:p>
        </w:tc>
        <w:tc>
          <w:tcPr>
            <w:tcW w:w="1228" w:type="dxa"/>
            <w:shd w:val="clear" w:color="auto" w:fill="auto"/>
            <w:vAlign w:val="center"/>
          </w:tcPr>
          <w:p w14:paraId="1BECFF90"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6E14FA4C" w14:textId="77777777" w:rsidR="00925C7D" w:rsidRPr="00806C48" w:rsidRDefault="00925C7D" w:rsidP="00CA2F95">
            <w:pPr>
              <w:jc w:val="center"/>
              <w:rPr>
                <w:sz w:val="20"/>
              </w:rPr>
            </w:pPr>
            <w:r w:rsidRPr="00806C48">
              <w:rPr>
                <w:sz w:val="20"/>
              </w:rPr>
              <w:t>43</w:t>
            </w:r>
          </w:p>
        </w:tc>
        <w:tc>
          <w:tcPr>
            <w:tcW w:w="1250" w:type="dxa"/>
            <w:shd w:val="clear" w:color="auto" w:fill="auto"/>
            <w:vAlign w:val="center"/>
          </w:tcPr>
          <w:p w14:paraId="35D31E49"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7F3DA6EA" w14:textId="77777777" w:rsidR="00925C7D" w:rsidRPr="00806C48" w:rsidRDefault="00925C7D" w:rsidP="00CA2F95">
            <w:pPr>
              <w:jc w:val="center"/>
              <w:rPr>
                <w:sz w:val="20"/>
              </w:rPr>
            </w:pPr>
            <w:r w:rsidRPr="00ED0D6D">
              <w:rPr>
                <w:color w:val="000000"/>
                <w:sz w:val="20"/>
              </w:rPr>
              <w:t xml:space="preserve">_ </w:t>
            </w:r>
          </w:p>
        </w:tc>
        <w:tc>
          <w:tcPr>
            <w:tcW w:w="2219" w:type="dxa"/>
            <w:shd w:val="clear" w:color="auto" w:fill="auto"/>
            <w:vAlign w:val="center"/>
          </w:tcPr>
          <w:p w14:paraId="7B395B63" w14:textId="77777777" w:rsidR="00925C7D" w:rsidRPr="00806C48" w:rsidRDefault="00925C7D" w:rsidP="00CA2F95">
            <w:pPr>
              <w:jc w:val="center"/>
              <w:rPr>
                <w:sz w:val="20"/>
              </w:rPr>
            </w:pPr>
            <w:r w:rsidRPr="00806C48">
              <w:rPr>
                <w:sz w:val="20"/>
              </w:rPr>
              <w:t> </w:t>
            </w:r>
          </w:p>
        </w:tc>
        <w:tc>
          <w:tcPr>
            <w:tcW w:w="1172" w:type="dxa"/>
            <w:shd w:val="clear" w:color="auto" w:fill="auto"/>
            <w:vAlign w:val="center"/>
          </w:tcPr>
          <w:p w14:paraId="6273D2E2" w14:textId="77777777" w:rsidR="00925C7D" w:rsidRPr="00806C48" w:rsidRDefault="00925C7D" w:rsidP="00CA2F95">
            <w:pPr>
              <w:jc w:val="center"/>
              <w:rPr>
                <w:sz w:val="20"/>
              </w:rPr>
            </w:pPr>
            <w:r w:rsidRPr="00806C48">
              <w:rPr>
                <w:sz w:val="20"/>
              </w:rPr>
              <w:t>17LRVP</w:t>
            </w:r>
          </w:p>
        </w:tc>
      </w:tr>
      <w:tr w:rsidR="00925C7D" w:rsidRPr="00ED0D6D" w14:paraId="18B12A54" w14:textId="77777777" w:rsidTr="00CA2F95">
        <w:trPr>
          <w:trHeight w:val="384"/>
        </w:trPr>
        <w:tc>
          <w:tcPr>
            <w:tcW w:w="625" w:type="dxa"/>
            <w:shd w:val="clear" w:color="auto" w:fill="auto"/>
            <w:vAlign w:val="center"/>
          </w:tcPr>
          <w:p w14:paraId="69FF2D2F"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7D7545DA" w14:textId="77777777" w:rsidR="00925C7D" w:rsidRPr="00806C48" w:rsidRDefault="00925C7D" w:rsidP="00CA2F95">
            <w:pPr>
              <w:jc w:val="both"/>
              <w:rPr>
                <w:sz w:val="20"/>
              </w:rPr>
            </w:pPr>
            <w:r w:rsidRPr="00806C48">
              <w:rPr>
                <w:sz w:val="20"/>
              </w:rPr>
              <w:t xml:space="preserve">Mediacijos procesų skaičius (vienetai)   </w:t>
            </w:r>
          </w:p>
        </w:tc>
        <w:tc>
          <w:tcPr>
            <w:tcW w:w="1080" w:type="dxa"/>
            <w:shd w:val="clear" w:color="000000" w:fill="FFFFFF"/>
            <w:vAlign w:val="center"/>
          </w:tcPr>
          <w:p w14:paraId="1705BDF9" w14:textId="77777777" w:rsidR="00925C7D" w:rsidRPr="00806C48" w:rsidRDefault="00925C7D" w:rsidP="00CA2F95">
            <w:pPr>
              <w:jc w:val="center"/>
              <w:rPr>
                <w:sz w:val="20"/>
              </w:rPr>
            </w:pPr>
            <w:r w:rsidRPr="00806C48">
              <w:rPr>
                <w:sz w:val="20"/>
              </w:rPr>
              <w:t>557</w:t>
            </w:r>
          </w:p>
        </w:tc>
        <w:tc>
          <w:tcPr>
            <w:tcW w:w="1080" w:type="dxa"/>
            <w:shd w:val="clear" w:color="000000" w:fill="FFFFFF"/>
            <w:vAlign w:val="center"/>
          </w:tcPr>
          <w:p w14:paraId="5255C403" w14:textId="77777777" w:rsidR="00925C7D" w:rsidRPr="00806C48" w:rsidRDefault="00925C7D" w:rsidP="00CA2F95">
            <w:pPr>
              <w:jc w:val="center"/>
              <w:rPr>
                <w:sz w:val="20"/>
              </w:rPr>
            </w:pPr>
            <w:r w:rsidRPr="00806C48">
              <w:rPr>
                <w:sz w:val="20"/>
              </w:rPr>
              <w:t>2373</w:t>
            </w:r>
          </w:p>
        </w:tc>
        <w:tc>
          <w:tcPr>
            <w:tcW w:w="1228" w:type="dxa"/>
            <w:shd w:val="clear" w:color="auto" w:fill="auto"/>
            <w:vAlign w:val="center"/>
          </w:tcPr>
          <w:p w14:paraId="3F4D76AA"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19CE2DDA" w14:textId="77777777" w:rsidR="00925C7D" w:rsidRPr="00806C48" w:rsidRDefault="00925C7D" w:rsidP="00CA2F95">
            <w:pPr>
              <w:jc w:val="center"/>
              <w:rPr>
                <w:sz w:val="20"/>
              </w:rPr>
            </w:pPr>
            <w:r w:rsidRPr="00806C48">
              <w:rPr>
                <w:sz w:val="20"/>
              </w:rPr>
              <w:t>5500</w:t>
            </w:r>
          </w:p>
        </w:tc>
        <w:tc>
          <w:tcPr>
            <w:tcW w:w="1250" w:type="dxa"/>
            <w:shd w:val="clear" w:color="auto" w:fill="auto"/>
            <w:vAlign w:val="center"/>
          </w:tcPr>
          <w:p w14:paraId="15C1D2B9"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47BDC478" w14:textId="77777777" w:rsidR="00925C7D" w:rsidRPr="00806C48" w:rsidRDefault="00925C7D" w:rsidP="00CA2F95">
            <w:pPr>
              <w:jc w:val="center"/>
              <w:rPr>
                <w:sz w:val="20"/>
              </w:rPr>
            </w:pPr>
            <w:r w:rsidRPr="00ED0D6D">
              <w:rPr>
                <w:color w:val="000000"/>
                <w:sz w:val="20"/>
              </w:rPr>
              <w:t xml:space="preserve">_ </w:t>
            </w:r>
          </w:p>
        </w:tc>
        <w:tc>
          <w:tcPr>
            <w:tcW w:w="2219" w:type="dxa"/>
            <w:shd w:val="clear" w:color="auto" w:fill="auto"/>
            <w:vAlign w:val="center"/>
          </w:tcPr>
          <w:p w14:paraId="56271173" w14:textId="77777777" w:rsidR="00925C7D" w:rsidRPr="00806C48" w:rsidRDefault="00925C7D" w:rsidP="00CA2F95">
            <w:pPr>
              <w:jc w:val="center"/>
              <w:rPr>
                <w:sz w:val="20"/>
              </w:rPr>
            </w:pPr>
            <w:r w:rsidRPr="00806C48">
              <w:rPr>
                <w:sz w:val="20"/>
              </w:rPr>
              <w:t>Nacionalinė teismų administracij</w:t>
            </w:r>
            <w:r>
              <w:rPr>
                <w:sz w:val="20"/>
              </w:rPr>
              <w:t>a</w:t>
            </w:r>
            <w:r w:rsidRPr="00806C48">
              <w:rPr>
                <w:sz w:val="20"/>
              </w:rPr>
              <w:t>, Valstybės garantuojamos teisinės pagalbos tarnyb</w:t>
            </w:r>
            <w:r>
              <w:rPr>
                <w:sz w:val="20"/>
              </w:rPr>
              <w:t>a</w:t>
            </w:r>
          </w:p>
        </w:tc>
        <w:tc>
          <w:tcPr>
            <w:tcW w:w="1172" w:type="dxa"/>
            <w:shd w:val="clear" w:color="auto" w:fill="auto"/>
            <w:vAlign w:val="center"/>
          </w:tcPr>
          <w:p w14:paraId="33D54B29" w14:textId="77777777" w:rsidR="00925C7D" w:rsidRPr="00806C48" w:rsidRDefault="00925C7D" w:rsidP="00CA2F95">
            <w:pPr>
              <w:jc w:val="center"/>
              <w:rPr>
                <w:sz w:val="20"/>
              </w:rPr>
            </w:pPr>
            <w:r w:rsidRPr="00806C48">
              <w:rPr>
                <w:sz w:val="20"/>
              </w:rPr>
              <w:t>17LRVP</w:t>
            </w:r>
          </w:p>
        </w:tc>
      </w:tr>
      <w:tr w:rsidR="00925C7D" w:rsidRPr="00ED0D6D" w14:paraId="08AC3E8F" w14:textId="77777777" w:rsidTr="00CA2F95">
        <w:trPr>
          <w:trHeight w:val="384"/>
        </w:trPr>
        <w:tc>
          <w:tcPr>
            <w:tcW w:w="625" w:type="dxa"/>
            <w:shd w:val="clear" w:color="auto" w:fill="auto"/>
            <w:vAlign w:val="center"/>
          </w:tcPr>
          <w:p w14:paraId="5FB1A876"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3D98AFCD" w14:textId="77777777" w:rsidR="00925C7D" w:rsidRPr="00806C48" w:rsidRDefault="00925C7D" w:rsidP="00CA2F95">
            <w:pPr>
              <w:jc w:val="both"/>
              <w:rPr>
                <w:sz w:val="20"/>
              </w:rPr>
            </w:pPr>
            <w:r w:rsidRPr="00806C48">
              <w:rPr>
                <w:sz w:val="20"/>
              </w:rPr>
              <w:t>Visuomenės informuotumo apie teisę į duomenų apsaugą lygis (proc</w:t>
            </w:r>
            <w:r>
              <w:rPr>
                <w:sz w:val="20"/>
              </w:rPr>
              <w:t>.</w:t>
            </w:r>
            <w:r w:rsidRPr="00806C48">
              <w:rPr>
                <w:sz w:val="20"/>
              </w:rPr>
              <w:t xml:space="preserve">)   </w:t>
            </w:r>
          </w:p>
        </w:tc>
        <w:tc>
          <w:tcPr>
            <w:tcW w:w="1080" w:type="dxa"/>
            <w:shd w:val="clear" w:color="000000" w:fill="FFFFFF"/>
            <w:vAlign w:val="center"/>
          </w:tcPr>
          <w:p w14:paraId="259D2BC2" w14:textId="77777777" w:rsidR="00925C7D" w:rsidRPr="00806C48" w:rsidRDefault="00925C7D" w:rsidP="00CA2F95">
            <w:pPr>
              <w:jc w:val="center"/>
              <w:rPr>
                <w:sz w:val="20"/>
              </w:rPr>
            </w:pPr>
            <w:r w:rsidRPr="00806C48">
              <w:rPr>
                <w:sz w:val="20"/>
              </w:rPr>
              <w:t>68</w:t>
            </w:r>
          </w:p>
        </w:tc>
        <w:tc>
          <w:tcPr>
            <w:tcW w:w="1080" w:type="dxa"/>
            <w:shd w:val="clear" w:color="000000" w:fill="FFFFFF"/>
            <w:vAlign w:val="center"/>
          </w:tcPr>
          <w:p w14:paraId="19A4749D" w14:textId="77777777" w:rsidR="00925C7D" w:rsidRPr="00806C48" w:rsidRDefault="00925C7D" w:rsidP="00CA2F95">
            <w:pPr>
              <w:jc w:val="center"/>
              <w:rPr>
                <w:sz w:val="20"/>
              </w:rPr>
            </w:pPr>
            <w:r w:rsidRPr="00806C48">
              <w:rPr>
                <w:sz w:val="20"/>
              </w:rPr>
              <w:t>73</w:t>
            </w:r>
          </w:p>
        </w:tc>
        <w:tc>
          <w:tcPr>
            <w:tcW w:w="1228" w:type="dxa"/>
            <w:shd w:val="clear" w:color="auto" w:fill="auto"/>
            <w:vAlign w:val="center"/>
          </w:tcPr>
          <w:p w14:paraId="551A7B48"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73F86799" w14:textId="77777777" w:rsidR="00925C7D" w:rsidRPr="00806C48" w:rsidRDefault="00925C7D" w:rsidP="00CA2F95">
            <w:pPr>
              <w:jc w:val="center"/>
              <w:rPr>
                <w:sz w:val="20"/>
              </w:rPr>
            </w:pPr>
            <w:r w:rsidRPr="00806C48">
              <w:rPr>
                <w:sz w:val="20"/>
              </w:rPr>
              <w:t>69</w:t>
            </w:r>
          </w:p>
        </w:tc>
        <w:tc>
          <w:tcPr>
            <w:tcW w:w="1250" w:type="dxa"/>
            <w:shd w:val="clear" w:color="auto" w:fill="auto"/>
            <w:vAlign w:val="center"/>
          </w:tcPr>
          <w:p w14:paraId="1BAB4EBF"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15F8BA19" w14:textId="77777777" w:rsidR="00925C7D" w:rsidRPr="00806C48" w:rsidRDefault="00925C7D" w:rsidP="00CA2F95">
            <w:pPr>
              <w:jc w:val="center"/>
              <w:rPr>
                <w:sz w:val="20"/>
              </w:rPr>
            </w:pPr>
            <w:r w:rsidRPr="00ED0D6D">
              <w:rPr>
                <w:color w:val="000000"/>
                <w:sz w:val="20"/>
              </w:rPr>
              <w:t xml:space="preserve">_ </w:t>
            </w:r>
          </w:p>
        </w:tc>
        <w:tc>
          <w:tcPr>
            <w:tcW w:w="2219" w:type="dxa"/>
            <w:shd w:val="clear" w:color="auto" w:fill="auto"/>
            <w:vAlign w:val="center"/>
          </w:tcPr>
          <w:p w14:paraId="02081A37" w14:textId="77777777" w:rsidR="00925C7D" w:rsidRPr="00806C48" w:rsidRDefault="00925C7D" w:rsidP="00CA2F95">
            <w:pPr>
              <w:jc w:val="center"/>
              <w:rPr>
                <w:sz w:val="20"/>
              </w:rPr>
            </w:pPr>
            <w:r w:rsidRPr="00806C48">
              <w:rPr>
                <w:sz w:val="20"/>
              </w:rPr>
              <w:t>Valstybės garantuojamos teisinės pagalbos tarnyb</w:t>
            </w:r>
            <w:r>
              <w:rPr>
                <w:sz w:val="20"/>
              </w:rPr>
              <w:t>a</w:t>
            </w:r>
          </w:p>
        </w:tc>
        <w:tc>
          <w:tcPr>
            <w:tcW w:w="1172" w:type="dxa"/>
            <w:shd w:val="clear" w:color="auto" w:fill="auto"/>
            <w:vAlign w:val="center"/>
          </w:tcPr>
          <w:p w14:paraId="0BE26E40" w14:textId="77777777" w:rsidR="00925C7D" w:rsidRPr="00806C48" w:rsidRDefault="00925C7D" w:rsidP="00CA2F95">
            <w:pPr>
              <w:jc w:val="center"/>
              <w:rPr>
                <w:sz w:val="20"/>
              </w:rPr>
            </w:pPr>
            <w:r w:rsidRPr="00806C48">
              <w:rPr>
                <w:sz w:val="20"/>
              </w:rPr>
              <w:t>17LRVP</w:t>
            </w:r>
          </w:p>
        </w:tc>
      </w:tr>
      <w:tr w:rsidR="00925C7D" w:rsidRPr="00ED0D6D" w14:paraId="5E15D484" w14:textId="77777777" w:rsidTr="00CA2F95">
        <w:trPr>
          <w:trHeight w:val="384"/>
        </w:trPr>
        <w:tc>
          <w:tcPr>
            <w:tcW w:w="625" w:type="dxa"/>
            <w:shd w:val="clear" w:color="auto" w:fill="auto"/>
            <w:vAlign w:val="center"/>
          </w:tcPr>
          <w:p w14:paraId="52E8ABFC"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431ACE66" w14:textId="77777777" w:rsidR="00925C7D" w:rsidRPr="00806C48" w:rsidRDefault="00925C7D" w:rsidP="00CA2F95">
            <w:pPr>
              <w:jc w:val="both"/>
              <w:rPr>
                <w:sz w:val="20"/>
              </w:rPr>
            </w:pPr>
            <w:r w:rsidRPr="00806C48">
              <w:rPr>
                <w:sz w:val="20"/>
              </w:rPr>
              <w:t xml:space="preserve">Valstybių, su kuriomis sudarytos teisinio bendradarbiavimo baudžiamosiose bylose, ekstradicijos ir / ar nuteistų asmenų perdavimo sutartys, skaičius (vienetai)   </w:t>
            </w:r>
          </w:p>
        </w:tc>
        <w:tc>
          <w:tcPr>
            <w:tcW w:w="1080" w:type="dxa"/>
            <w:shd w:val="clear" w:color="000000" w:fill="FFFFFF"/>
            <w:vAlign w:val="center"/>
          </w:tcPr>
          <w:p w14:paraId="766CE88E" w14:textId="77777777" w:rsidR="00925C7D" w:rsidRPr="00806C48" w:rsidRDefault="00925C7D" w:rsidP="00CA2F95">
            <w:pPr>
              <w:jc w:val="center"/>
              <w:rPr>
                <w:sz w:val="20"/>
              </w:rPr>
            </w:pPr>
            <w:r w:rsidRPr="00806C48">
              <w:rPr>
                <w:sz w:val="20"/>
              </w:rPr>
              <w:t>17</w:t>
            </w:r>
          </w:p>
        </w:tc>
        <w:tc>
          <w:tcPr>
            <w:tcW w:w="1080" w:type="dxa"/>
            <w:shd w:val="clear" w:color="000000" w:fill="FFFFFF"/>
            <w:vAlign w:val="center"/>
          </w:tcPr>
          <w:p w14:paraId="4B22970E" w14:textId="77777777" w:rsidR="00925C7D" w:rsidRPr="00806C48" w:rsidRDefault="00925C7D" w:rsidP="00CA2F95">
            <w:pPr>
              <w:jc w:val="center"/>
              <w:rPr>
                <w:sz w:val="20"/>
              </w:rPr>
            </w:pPr>
            <w:r w:rsidRPr="00806C48">
              <w:rPr>
                <w:sz w:val="20"/>
              </w:rPr>
              <w:t>17</w:t>
            </w:r>
          </w:p>
        </w:tc>
        <w:tc>
          <w:tcPr>
            <w:tcW w:w="1228" w:type="dxa"/>
            <w:shd w:val="clear" w:color="auto" w:fill="auto"/>
            <w:vAlign w:val="center"/>
          </w:tcPr>
          <w:p w14:paraId="0909DD84"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5A83B3DE" w14:textId="77777777" w:rsidR="00925C7D" w:rsidRPr="00806C48" w:rsidRDefault="00925C7D" w:rsidP="00CA2F95">
            <w:pPr>
              <w:jc w:val="center"/>
              <w:rPr>
                <w:sz w:val="20"/>
              </w:rPr>
            </w:pPr>
            <w:r w:rsidRPr="00806C48">
              <w:rPr>
                <w:sz w:val="20"/>
              </w:rPr>
              <w:t>18</w:t>
            </w:r>
          </w:p>
        </w:tc>
        <w:tc>
          <w:tcPr>
            <w:tcW w:w="1250" w:type="dxa"/>
            <w:shd w:val="clear" w:color="auto" w:fill="auto"/>
            <w:vAlign w:val="center"/>
          </w:tcPr>
          <w:p w14:paraId="09983E38"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30979368" w14:textId="77777777" w:rsidR="00925C7D" w:rsidRPr="00806C48" w:rsidRDefault="00925C7D" w:rsidP="00CA2F95">
            <w:pPr>
              <w:jc w:val="center"/>
              <w:rPr>
                <w:sz w:val="20"/>
              </w:rPr>
            </w:pPr>
            <w:r w:rsidRPr="00ED0D6D">
              <w:rPr>
                <w:color w:val="000000"/>
                <w:sz w:val="20"/>
              </w:rPr>
              <w:t xml:space="preserve">_ </w:t>
            </w:r>
          </w:p>
        </w:tc>
        <w:tc>
          <w:tcPr>
            <w:tcW w:w="2219" w:type="dxa"/>
            <w:shd w:val="clear" w:color="auto" w:fill="auto"/>
            <w:vAlign w:val="center"/>
          </w:tcPr>
          <w:p w14:paraId="41FEC4F0" w14:textId="77777777" w:rsidR="00925C7D" w:rsidRPr="00806C48" w:rsidRDefault="00925C7D" w:rsidP="00CA2F95">
            <w:pPr>
              <w:jc w:val="center"/>
              <w:rPr>
                <w:sz w:val="20"/>
              </w:rPr>
            </w:pPr>
            <w:r>
              <w:rPr>
                <w:sz w:val="20"/>
              </w:rPr>
              <w:t>TM</w:t>
            </w:r>
          </w:p>
        </w:tc>
        <w:tc>
          <w:tcPr>
            <w:tcW w:w="1172" w:type="dxa"/>
            <w:shd w:val="clear" w:color="auto" w:fill="auto"/>
            <w:vAlign w:val="center"/>
          </w:tcPr>
          <w:p w14:paraId="65D601F4" w14:textId="77777777" w:rsidR="00925C7D" w:rsidRPr="00806C48" w:rsidRDefault="00925C7D" w:rsidP="00CA2F95">
            <w:pPr>
              <w:jc w:val="center"/>
              <w:rPr>
                <w:sz w:val="20"/>
              </w:rPr>
            </w:pPr>
            <w:r w:rsidRPr="00806C48">
              <w:rPr>
                <w:sz w:val="20"/>
              </w:rPr>
              <w:t>17LRVP</w:t>
            </w:r>
          </w:p>
        </w:tc>
      </w:tr>
      <w:tr w:rsidR="00925C7D" w:rsidRPr="00ED0D6D" w14:paraId="4AD60FB3" w14:textId="77777777" w:rsidTr="00CA2F95">
        <w:trPr>
          <w:trHeight w:val="384"/>
        </w:trPr>
        <w:tc>
          <w:tcPr>
            <w:tcW w:w="625" w:type="dxa"/>
            <w:shd w:val="clear" w:color="auto" w:fill="auto"/>
            <w:vAlign w:val="center"/>
          </w:tcPr>
          <w:p w14:paraId="0686B4DB"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78D4F46C" w14:textId="77777777" w:rsidR="00925C7D" w:rsidRPr="00806C48" w:rsidRDefault="00925C7D" w:rsidP="00CA2F95">
            <w:pPr>
              <w:jc w:val="both"/>
              <w:rPr>
                <w:sz w:val="20"/>
              </w:rPr>
            </w:pPr>
            <w:r w:rsidRPr="00806C48">
              <w:rPr>
                <w:sz w:val="20"/>
              </w:rPr>
              <w:t>Modernizuotų laisvės atėmimo vietų dalis nuo visų laisvės atėmimo vietų (proc</w:t>
            </w:r>
            <w:r>
              <w:rPr>
                <w:sz w:val="20"/>
              </w:rPr>
              <w:t>.</w:t>
            </w:r>
            <w:r w:rsidRPr="00806C48">
              <w:rPr>
                <w:sz w:val="20"/>
              </w:rPr>
              <w:t xml:space="preserve">)   </w:t>
            </w:r>
          </w:p>
        </w:tc>
        <w:tc>
          <w:tcPr>
            <w:tcW w:w="1080" w:type="dxa"/>
            <w:shd w:val="clear" w:color="000000" w:fill="FFFFFF"/>
            <w:vAlign w:val="center"/>
          </w:tcPr>
          <w:p w14:paraId="1CB1BC49" w14:textId="77777777" w:rsidR="00925C7D" w:rsidRPr="00806C48" w:rsidRDefault="00925C7D" w:rsidP="00CA2F95">
            <w:pPr>
              <w:jc w:val="center"/>
              <w:rPr>
                <w:sz w:val="20"/>
              </w:rPr>
            </w:pPr>
            <w:r w:rsidRPr="00806C48">
              <w:rPr>
                <w:sz w:val="20"/>
              </w:rPr>
              <w:t>27</w:t>
            </w:r>
          </w:p>
        </w:tc>
        <w:tc>
          <w:tcPr>
            <w:tcW w:w="1080" w:type="dxa"/>
            <w:shd w:val="clear" w:color="000000" w:fill="FFFFFF"/>
            <w:vAlign w:val="center"/>
          </w:tcPr>
          <w:p w14:paraId="69910978" w14:textId="77777777" w:rsidR="00925C7D" w:rsidRPr="00806C48" w:rsidRDefault="00925C7D" w:rsidP="00CA2F95">
            <w:pPr>
              <w:jc w:val="center"/>
              <w:rPr>
                <w:sz w:val="20"/>
              </w:rPr>
            </w:pPr>
            <w:r w:rsidRPr="00806C48">
              <w:rPr>
                <w:sz w:val="20"/>
              </w:rPr>
              <w:t>31</w:t>
            </w:r>
          </w:p>
        </w:tc>
        <w:tc>
          <w:tcPr>
            <w:tcW w:w="1228" w:type="dxa"/>
            <w:shd w:val="clear" w:color="auto" w:fill="auto"/>
            <w:vAlign w:val="center"/>
          </w:tcPr>
          <w:p w14:paraId="7C252F56"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3995E1EA" w14:textId="77777777" w:rsidR="00925C7D" w:rsidRPr="00806C48" w:rsidRDefault="00925C7D" w:rsidP="00CA2F95">
            <w:pPr>
              <w:jc w:val="center"/>
              <w:rPr>
                <w:sz w:val="20"/>
              </w:rPr>
            </w:pPr>
            <w:r w:rsidRPr="00806C48">
              <w:rPr>
                <w:sz w:val="20"/>
              </w:rPr>
              <w:t>31</w:t>
            </w:r>
          </w:p>
        </w:tc>
        <w:tc>
          <w:tcPr>
            <w:tcW w:w="1250" w:type="dxa"/>
            <w:shd w:val="clear" w:color="auto" w:fill="auto"/>
            <w:vAlign w:val="center"/>
          </w:tcPr>
          <w:p w14:paraId="4608A899"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5538C036" w14:textId="77777777" w:rsidR="00925C7D" w:rsidRPr="00806C48" w:rsidRDefault="00925C7D" w:rsidP="00CA2F95">
            <w:pPr>
              <w:jc w:val="center"/>
              <w:rPr>
                <w:sz w:val="20"/>
              </w:rPr>
            </w:pPr>
            <w:r w:rsidRPr="00ED0D6D">
              <w:rPr>
                <w:color w:val="000000"/>
                <w:sz w:val="20"/>
              </w:rPr>
              <w:t xml:space="preserve">_ </w:t>
            </w:r>
          </w:p>
        </w:tc>
        <w:tc>
          <w:tcPr>
            <w:tcW w:w="2219" w:type="dxa"/>
            <w:shd w:val="clear" w:color="auto" w:fill="auto"/>
            <w:vAlign w:val="center"/>
          </w:tcPr>
          <w:p w14:paraId="7D32AE28" w14:textId="77777777" w:rsidR="00925C7D" w:rsidRPr="00806C48" w:rsidRDefault="00925C7D" w:rsidP="00CA2F95">
            <w:pPr>
              <w:jc w:val="center"/>
              <w:rPr>
                <w:sz w:val="20"/>
              </w:rPr>
            </w:pPr>
            <w:r w:rsidRPr="00ED0D6D">
              <w:rPr>
                <w:color w:val="000000"/>
                <w:sz w:val="20"/>
              </w:rPr>
              <w:t>Kalėjimų departamentas prie TM</w:t>
            </w:r>
          </w:p>
        </w:tc>
        <w:tc>
          <w:tcPr>
            <w:tcW w:w="1172" w:type="dxa"/>
            <w:shd w:val="clear" w:color="auto" w:fill="auto"/>
            <w:vAlign w:val="center"/>
          </w:tcPr>
          <w:p w14:paraId="1C502CDE" w14:textId="77777777" w:rsidR="00925C7D" w:rsidRPr="00806C48" w:rsidRDefault="00925C7D" w:rsidP="00CA2F95">
            <w:pPr>
              <w:jc w:val="center"/>
              <w:rPr>
                <w:sz w:val="20"/>
              </w:rPr>
            </w:pPr>
            <w:r w:rsidRPr="00806C48">
              <w:rPr>
                <w:sz w:val="20"/>
              </w:rPr>
              <w:t>17LRVP</w:t>
            </w:r>
          </w:p>
        </w:tc>
      </w:tr>
      <w:tr w:rsidR="00925C7D" w:rsidRPr="00ED0D6D" w14:paraId="4F0460BB" w14:textId="77777777" w:rsidTr="00CA2F95">
        <w:trPr>
          <w:trHeight w:val="384"/>
        </w:trPr>
        <w:tc>
          <w:tcPr>
            <w:tcW w:w="625" w:type="dxa"/>
            <w:shd w:val="clear" w:color="auto" w:fill="auto"/>
            <w:vAlign w:val="center"/>
          </w:tcPr>
          <w:p w14:paraId="112511B5"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80" w:type="dxa"/>
            <w:shd w:val="clear" w:color="auto" w:fill="auto"/>
            <w:noWrap/>
            <w:vAlign w:val="center"/>
          </w:tcPr>
          <w:p w14:paraId="562511C3" w14:textId="77777777" w:rsidR="00925C7D" w:rsidRPr="00806C48" w:rsidRDefault="00925C7D" w:rsidP="00CA2F95">
            <w:pPr>
              <w:jc w:val="both"/>
              <w:rPr>
                <w:sz w:val="20"/>
              </w:rPr>
            </w:pPr>
            <w:r w:rsidRPr="00806C48">
              <w:rPr>
                <w:sz w:val="20"/>
              </w:rPr>
              <w:t>Taikyto realaus terminuoto laisvės atėmimo dalis nuo visų taikytų bausmių, (proc</w:t>
            </w:r>
            <w:r>
              <w:rPr>
                <w:sz w:val="20"/>
              </w:rPr>
              <w:t>.</w:t>
            </w:r>
            <w:r w:rsidRPr="00806C48">
              <w:rPr>
                <w:sz w:val="20"/>
              </w:rPr>
              <w:t xml:space="preserve">)   </w:t>
            </w:r>
          </w:p>
        </w:tc>
        <w:tc>
          <w:tcPr>
            <w:tcW w:w="1080" w:type="dxa"/>
            <w:shd w:val="clear" w:color="000000" w:fill="FFFFFF"/>
            <w:vAlign w:val="center"/>
          </w:tcPr>
          <w:p w14:paraId="67274AD7" w14:textId="77777777" w:rsidR="00925C7D" w:rsidRPr="00A30A4F" w:rsidRDefault="00925C7D" w:rsidP="00CA2F95">
            <w:pPr>
              <w:jc w:val="center"/>
              <w:rPr>
                <w:sz w:val="20"/>
                <w:lang w:val="en-GB"/>
              </w:rPr>
            </w:pPr>
            <w:r w:rsidRPr="00806C48">
              <w:rPr>
                <w:sz w:val="20"/>
              </w:rPr>
              <w:t>17,</w:t>
            </w:r>
            <w:r>
              <w:rPr>
                <w:sz w:val="20"/>
                <w:lang w:val="en-GB"/>
              </w:rPr>
              <w:t>4</w:t>
            </w:r>
          </w:p>
        </w:tc>
        <w:tc>
          <w:tcPr>
            <w:tcW w:w="1080" w:type="dxa"/>
            <w:shd w:val="clear" w:color="000000" w:fill="FFFFFF"/>
            <w:vAlign w:val="center"/>
          </w:tcPr>
          <w:p w14:paraId="696F149C" w14:textId="77777777" w:rsidR="00925C7D" w:rsidRPr="00806C48" w:rsidRDefault="00925C7D" w:rsidP="00CA2F95">
            <w:pPr>
              <w:jc w:val="center"/>
              <w:rPr>
                <w:sz w:val="20"/>
              </w:rPr>
            </w:pPr>
            <w:r w:rsidRPr="00806C48">
              <w:rPr>
                <w:sz w:val="20"/>
              </w:rPr>
              <w:t>16</w:t>
            </w:r>
          </w:p>
        </w:tc>
        <w:tc>
          <w:tcPr>
            <w:tcW w:w="1228" w:type="dxa"/>
            <w:shd w:val="clear" w:color="auto" w:fill="auto"/>
            <w:vAlign w:val="center"/>
          </w:tcPr>
          <w:p w14:paraId="6576A433" w14:textId="77777777" w:rsidR="00925C7D" w:rsidRPr="00806C48"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13861837" w14:textId="77777777" w:rsidR="00925C7D" w:rsidRPr="00806C48" w:rsidRDefault="00925C7D" w:rsidP="00CA2F95">
            <w:pPr>
              <w:jc w:val="center"/>
              <w:rPr>
                <w:sz w:val="20"/>
              </w:rPr>
            </w:pPr>
            <w:r w:rsidRPr="00806C48">
              <w:rPr>
                <w:sz w:val="20"/>
              </w:rPr>
              <w:t>17</w:t>
            </w:r>
          </w:p>
        </w:tc>
        <w:tc>
          <w:tcPr>
            <w:tcW w:w="1250" w:type="dxa"/>
            <w:shd w:val="clear" w:color="auto" w:fill="auto"/>
            <w:vAlign w:val="center"/>
          </w:tcPr>
          <w:p w14:paraId="1A5BA7BC" w14:textId="77777777" w:rsidR="00925C7D" w:rsidRPr="00806C48" w:rsidRDefault="00925C7D" w:rsidP="00CA2F95">
            <w:pPr>
              <w:jc w:val="center"/>
              <w:rPr>
                <w:sz w:val="20"/>
              </w:rPr>
            </w:pPr>
            <w:r w:rsidRPr="00ED0D6D">
              <w:rPr>
                <w:color w:val="000000"/>
                <w:sz w:val="20"/>
              </w:rPr>
              <w:t xml:space="preserve">_ </w:t>
            </w:r>
          </w:p>
        </w:tc>
        <w:tc>
          <w:tcPr>
            <w:tcW w:w="1250" w:type="dxa"/>
            <w:shd w:val="clear" w:color="auto" w:fill="auto"/>
            <w:vAlign w:val="center"/>
          </w:tcPr>
          <w:p w14:paraId="493EA226" w14:textId="77777777" w:rsidR="00925C7D" w:rsidRPr="00806C48" w:rsidRDefault="00925C7D" w:rsidP="00CA2F95">
            <w:pPr>
              <w:jc w:val="center"/>
              <w:rPr>
                <w:sz w:val="20"/>
              </w:rPr>
            </w:pPr>
            <w:r w:rsidRPr="00ED0D6D">
              <w:rPr>
                <w:color w:val="000000"/>
                <w:sz w:val="20"/>
              </w:rPr>
              <w:t xml:space="preserve">_ </w:t>
            </w:r>
          </w:p>
        </w:tc>
        <w:tc>
          <w:tcPr>
            <w:tcW w:w="2219" w:type="dxa"/>
            <w:shd w:val="clear" w:color="auto" w:fill="auto"/>
            <w:vAlign w:val="center"/>
          </w:tcPr>
          <w:p w14:paraId="02DF7742" w14:textId="77777777" w:rsidR="00925C7D" w:rsidRPr="00806C48" w:rsidRDefault="00925C7D" w:rsidP="00CA2F95">
            <w:pPr>
              <w:jc w:val="center"/>
              <w:rPr>
                <w:sz w:val="20"/>
              </w:rPr>
            </w:pPr>
            <w:r w:rsidRPr="00806C48">
              <w:rPr>
                <w:sz w:val="20"/>
              </w:rPr>
              <w:t>Nacionalinė teismų administracij</w:t>
            </w:r>
            <w:r>
              <w:rPr>
                <w:sz w:val="20"/>
              </w:rPr>
              <w:t>a</w:t>
            </w:r>
          </w:p>
        </w:tc>
        <w:tc>
          <w:tcPr>
            <w:tcW w:w="1172" w:type="dxa"/>
            <w:shd w:val="clear" w:color="auto" w:fill="auto"/>
            <w:vAlign w:val="center"/>
          </w:tcPr>
          <w:p w14:paraId="51EEBE39" w14:textId="77777777" w:rsidR="00925C7D" w:rsidRPr="00806C48" w:rsidRDefault="00925C7D" w:rsidP="00CA2F95">
            <w:pPr>
              <w:jc w:val="center"/>
              <w:rPr>
                <w:sz w:val="20"/>
              </w:rPr>
            </w:pPr>
            <w:r w:rsidRPr="00806C48">
              <w:rPr>
                <w:sz w:val="20"/>
              </w:rPr>
              <w:t>17LRVP</w:t>
            </w:r>
          </w:p>
        </w:tc>
      </w:tr>
    </w:tbl>
    <w:p w14:paraId="75FFD679" w14:textId="77777777" w:rsidR="00925C7D" w:rsidRPr="00A6089B" w:rsidRDefault="00925C7D" w:rsidP="00A6089B">
      <w:pPr>
        <w:spacing w:line="380" w:lineRule="atLeast"/>
        <w:jc w:val="both"/>
        <w:rPr>
          <w:bCs/>
          <w:sz w:val="20"/>
        </w:rPr>
      </w:pPr>
    </w:p>
    <w:p w14:paraId="72D3D96A" w14:textId="79E864AC" w:rsidR="00925C7D" w:rsidRPr="00A6089B" w:rsidRDefault="00A6089B" w:rsidP="00A6089B">
      <w:pPr>
        <w:spacing w:line="380" w:lineRule="atLeast"/>
        <w:ind w:left="450"/>
        <w:jc w:val="both"/>
        <w:rPr>
          <w:b/>
          <w:szCs w:val="24"/>
        </w:rPr>
      </w:pPr>
      <w:r>
        <w:rPr>
          <w:b/>
          <w:szCs w:val="24"/>
        </w:rPr>
        <w:t>2.2.14.</w:t>
      </w:r>
      <w:r w:rsidR="00925C7D" w:rsidRPr="00A6089B">
        <w:rPr>
          <w:b/>
          <w:szCs w:val="24"/>
        </w:rPr>
        <w:t xml:space="preserve"> Užsienio politika</w:t>
      </w:r>
    </w:p>
    <w:tbl>
      <w:tblP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080"/>
        <w:gridCol w:w="1080"/>
        <w:gridCol w:w="956"/>
        <w:gridCol w:w="983"/>
        <w:gridCol w:w="1250"/>
        <w:gridCol w:w="1250"/>
        <w:gridCol w:w="2491"/>
        <w:gridCol w:w="1172"/>
      </w:tblGrid>
      <w:tr w:rsidR="00925C7D" w:rsidRPr="00ED0D6D" w14:paraId="31BA7A44" w14:textId="77777777" w:rsidTr="00CA2F95">
        <w:trPr>
          <w:trHeight w:val="278"/>
        </w:trPr>
        <w:tc>
          <w:tcPr>
            <w:tcW w:w="657" w:type="dxa"/>
            <w:shd w:val="clear" w:color="000000" w:fill="DEEAF6"/>
            <w:vAlign w:val="center"/>
            <w:hideMark/>
          </w:tcPr>
          <w:p w14:paraId="4448A248" w14:textId="77777777" w:rsidR="00925C7D" w:rsidRPr="00ED0D6D" w:rsidRDefault="00925C7D" w:rsidP="00CA2F95">
            <w:pPr>
              <w:jc w:val="center"/>
              <w:rPr>
                <w:b/>
                <w:bCs/>
                <w:color w:val="000000"/>
                <w:sz w:val="20"/>
              </w:rPr>
            </w:pPr>
            <w:r w:rsidRPr="00ED0D6D">
              <w:rPr>
                <w:b/>
                <w:bCs/>
                <w:color w:val="000000"/>
                <w:sz w:val="20"/>
              </w:rPr>
              <w:t>Eil. Nr.</w:t>
            </w:r>
          </w:p>
        </w:tc>
        <w:tc>
          <w:tcPr>
            <w:tcW w:w="4648" w:type="dxa"/>
            <w:shd w:val="clear" w:color="000000" w:fill="DEEAF6"/>
            <w:vAlign w:val="center"/>
            <w:hideMark/>
          </w:tcPr>
          <w:p w14:paraId="318677DA" w14:textId="77777777" w:rsidR="00925C7D" w:rsidRPr="00ED0D6D" w:rsidRDefault="00925C7D" w:rsidP="00CA2F95">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0EB0BBEB" w14:textId="77777777" w:rsidR="00925C7D" w:rsidRPr="00ED0D6D" w:rsidRDefault="00925C7D" w:rsidP="00CA2F95">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2D25D20E" w14:textId="77777777" w:rsidR="00925C7D" w:rsidRPr="00ED0D6D" w:rsidRDefault="00925C7D" w:rsidP="00CA2F95">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1EF838F5" w14:textId="77777777" w:rsidR="00925C7D" w:rsidRPr="00ED0D6D" w:rsidRDefault="00925C7D" w:rsidP="00CA2F95">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33ADC8A0" w14:textId="77777777" w:rsidR="00925C7D" w:rsidRPr="00ED0D6D" w:rsidRDefault="00925C7D" w:rsidP="00CA2F95">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2CF66FC1" w14:textId="77777777" w:rsidR="00925C7D" w:rsidRPr="00ED0D6D" w:rsidRDefault="00925C7D" w:rsidP="00CA2F95">
            <w:pPr>
              <w:jc w:val="center"/>
              <w:rPr>
                <w:b/>
                <w:bCs/>
                <w:color w:val="000000"/>
                <w:sz w:val="20"/>
              </w:rPr>
            </w:pPr>
            <w:r w:rsidRPr="00ED0D6D">
              <w:rPr>
                <w:b/>
                <w:bCs/>
                <w:color w:val="000000"/>
                <w:sz w:val="20"/>
              </w:rPr>
              <w:t>Planuojama reikšmė 2024m. / 2025 m.</w:t>
            </w:r>
          </w:p>
        </w:tc>
        <w:tc>
          <w:tcPr>
            <w:tcW w:w="1250" w:type="dxa"/>
            <w:shd w:val="clear" w:color="FFFFFF" w:fill="DDEBF7"/>
            <w:vAlign w:val="center"/>
            <w:hideMark/>
          </w:tcPr>
          <w:p w14:paraId="0529F97D" w14:textId="77777777" w:rsidR="00925C7D" w:rsidRPr="00ED0D6D" w:rsidRDefault="00925C7D" w:rsidP="00CA2F95">
            <w:pPr>
              <w:jc w:val="center"/>
              <w:rPr>
                <w:b/>
                <w:bCs/>
                <w:color w:val="000000"/>
                <w:sz w:val="20"/>
              </w:rPr>
            </w:pPr>
            <w:r w:rsidRPr="00ED0D6D">
              <w:rPr>
                <w:b/>
                <w:bCs/>
                <w:color w:val="000000"/>
                <w:sz w:val="20"/>
              </w:rPr>
              <w:t>Planuojama reikšmė 2030 m.</w:t>
            </w:r>
          </w:p>
        </w:tc>
        <w:tc>
          <w:tcPr>
            <w:tcW w:w="2491" w:type="dxa"/>
            <w:shd w:val="clear" w:color="000000" w:fill="DEEAF6"/>
            <w:vAlign w:val="center"/>
            <w:hideMark/>
          </w:tcPr>
          <w:p w14:paraId="3654D0A1" w14:textId="77777777" w:rsidR="00925C7D" w:rsidRPr="00ED0D6D" w:rsidRDefault="00925C7D" w:rsidP="00CA2F95">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6ED48E5F" w14:textId="77777777" w:rsidR="00925C7D" w:rsidRPr="00ED0D6D" w:rsidRDefault="00925C7D" w:rsidP="00CA2F95">
            <w:pPr>
              <w:jc w:val="center"/>
              <w:rPr>
                <w:b/>
                <w:bCs/>
                <w:color w:val="000000"/>
                <w:sz w:val="20"/>
              </w:rPr>
            </w:pPr>
            <w:r w:rsidRPr="00ED0D6D">
              <w:rPr>
                <w:b/>
                <w:bCs/>
                <w:color w:val="000000"/>
                <w:sz w:val="20"/>
              </w:rPr>
              <w:t>Kriterijaus požymis: VPS2030 NPP2020 NPP2030</w:t>
            </w:r>
          </w:p>
          <w:p w14:paraId="6B66C334" w14:textId="77777777" w:rsidR="00925C7D" w:rsidRPr="00ED0D6D" w:rsidRDefault="00925C7D" w:rsidP="00CA2F95">
            <w:pPr>
              <w:jc w:val="center"/>
              <w:rPr>
                <w:b/>
                <w:bCs/>
                <w:color w:val="000000"/>
                <w:sz w:val="20"/>
              </w:rPr>
            </w:pPr>
            <w:r w:rsidRPr="00ED0D6D">
              <w:rPr>
                <w:b/>
                <w:bCs/>
                <w:color w:val="000000"/>
                <w:sz w:val="20"/>
              </w:rPr>
              <w:t>17LRVP</w:t>
            </w:r>
          </w:p>
          <w:p w14:paraId="605B82EC" w14:textId="77777777" w:rsidR="00925C7D" w:rsidRPr="00ED0D6D" w:rsidRDefault="00925C7D" w:rsidP="00CA2F95">
            <w:pPr>
              <w:jc w:val="center"/>
              <w:rPr>
                <w:b/>
                <w:bCs/>
                <w:color w:val="000000"/>
                <w:sz w:val="20"/>
              </w:rPr>
            </w:pPr>
            <w:r w:rsidRPr="00ED0D6D">
              <w:rPr>
                <w:b/>
                <w:bCs/>
                <w:color w:val="000000"/>
                <w:sz w:val="20"/>
              </w:rPr>
              <w:lastRenderedPageBreak/>
              <w:t>18LRVP</w:t>
            </w:r>
          </w:p>
        </w:tc>
      </w:tr>
      <w:tr w:rsidR="00925C7D" w:rsidRPr="00ED0D6D" w14:paraId="659BAA23" w14:textId="77777777" w:rsidTr="00CA2F95">
        <w:trPr>
          <w:trHeight w:val="504"/>
        </w:trPr>
        <w:tc>
          <w:tcPr>
            <w:tcW w:w="657" w:type="dxa"/>
            <w:shd w:val="clear" w:color="auto" w:fill="auto"/>
            <w:vAlign w:val="center"/>
            <w:hideMark/>
          </w:tcPr>
          <w:p w14:paraId="59F15712"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1AA63B9C" w14:textId="77777777" w:rsidR="00925C7D" w:rsidRPr="00ED0D6D" w:rsidRDefault="00925C7D" w:rsidP="00CA2F95">
            <w:pPr>
              <w:jc w:val="both"/>
              <w:rPr>
                <w:color w:val="000000"/>
                <w:sz w:val="20"/>
              </w:rPr>
            </w:pPr>
            <w:r w:rsidRPr="00ED0D6D">
              <w:rPr>
                <w:rFonts w:eastAsia="Calibri"/>
                <w:sz w:val="20"/>
              </w:rPr>
              <w:t>Iniciatyvų, skirtų demokratijos stiprinimui Rytų kaimynystėje palaikyti ir Rytų partnerių asociacijai ir integracijai su ES skatinti, skaičius</w:t>
            </w:r>
          </w:p>
        </w:tc>
        <w:tc>
          <w:tcPr>
            <w:tcW w:w="1080" w:type="dxa"/>
            <w:shd w:val="clear" w:color="auto" w:fill="auto"/>
            <w:noWrap/>
            <w:vAlign w:val="center"/>
          </w:tcPr>
          <w:p w14:paraId="7649A2FD" w14:textId="77777777" w:rsidR="00925C7D" w:rsidRPr="00ED0D6D" w:rsidRDefault="00925C7D" w:rsidP="00CA2F95">
            <w:pPr>
              <w:jc w:val="center"/>
              <w:rPr>
                <w:color w:val="000000"/>
                <w:sz w:val="20"/>
              </w:rPr>
            </w:pPr>
            <w:r w:rsidRPr="00925DC6">
              <w:rPr>
                <w:sz w:val="20"/>
              </w:rPr>
              <w:t>10</w:t>
            </w:r>
          </w:p>
        </w:tc>
        <w:tc>
          <w:tcPr>
            <w:tcW w:w="1080" w:type="dxa"/>
            <w:shd w:val="clear" w:color="000000" w:fill="FFFFFF"/>
            <w:vAlign w:val="center"/>
          </w:tcPr>
          <w:p w14:paraId="01FEC384" w14:textId="77777777" w:rsidR="00925C7D" w:rsidRPr="00ED0D6D" w:rsidRDefault="00925C7D" w:rsidP="00CA2F95">
            <w:pPr>
              <w:jc w:val="center"/>
              <w:rPr>
                <w:color w:val="000000"/>
                <w:sz w:val="20"/>
              </w:rPr>
            </w:pPr>
            <w:r w:rsidRPr="00925DC6">
              <w:rPr>
                <w:sz w:val="20"/>
              </w:rPr>
              <w:t>10</w:t>
            </w:r>
          </w:p>
        </w:tc>
        <w:tc>
          <w:tcPr>
            <w:tcW w:w="956" w:type="dxa"/>
            <w:shd w:val="clear" w:color="auto" w:fill="auto"/>
            <w:vAlign w:val="center"/>
          </w:tcPr>
          <w:p w14:paraId="259F5F52" w14:textId="77777777" w:rsidR="00925C7D" w:rsidRPr="00ED0D6D" w:rsidRDefault="00925C7D" w:rsidP="00CA2F95">
            <w:pPr>
              <w:jc w:val="center"/>
              <w:rPr>
                <w:color w:val="000000"/>
                <w:sz w:val="20"/>
              </w:rPr>
            </w:pPr>
            <w:r w:rsidRPr="00925DC6">
              <w:rPr>
                <w:sz w:val="20"/>
              </w:rPr>
              <w:t> </w:t>
            </w:r>
          </w:p>
        </w:tc>
        <w:tc>
          <w:tcPr>
            <w:tcW w:w="983" w:type="dxa"/>
            <w:shd w:val="clear" w:color="auto" w:fill="auto"/>
            <w:vAlign w:val="center"/>
          </w:tcPr>
          <w:p w14:paraId="6E188163" w14:textId="77777777" w:rsidR="00925C7D" w:rsidRPr="00ED0D6D" w:rsidRDefault="00925C7D" w:rsidP="00CA2F95">
            <w:pPr>
              <w:jc w:val="center"/>
              <w:rPr>
                <w:color w:val="000000"/>
                <w:sz w:val="20"/>
              </w:rPr>
            </w:pPr>
            <w:r w:rsidRPr="00925DC6">
              <w:rPr>
                <w:sz w:val="20"/>
              </w:rPr>
              <w:t>10</w:t>
            </w:r>
          </w:p>
        </w:tc>
        <w:tc>
          <w:tcPr>
            <w:tcW w:w="1250" w:type="dxa"/>
            <w:shd w:val="clear" w:color="auto" w:fill="auto"/>
            <w:noWrap/>
            <w:vAlign w:val="center"/>
          </w:tcPr>
          <w:p w14:paraId="3D28B770" w14:textId="77777777" w:rsidR="00925C7D" w:rsidRPr="00ED0D6D" w:rsidRDefault="00925C7D" w:rsidP="00CA2F95">
            <w:pPr>
              <w:jc w:val="center"/>
              <w:rPr>
                <w:color w:val="000000"/>
                <w:sz w:val="20"/>
              </w:rPr>
            </w:pPr>
            <w:r w:rsidRPr="00925DC6">
              <w:rPr>
                <w:sz w:val="20"/>
              </w:rPr>
              <w:t>14</w:t>
            </w:r>
          </w:p>
        </w:tc>
        <w:tc>
          <w:tcPr>
            <w:tcW w:w="1250" w:type="dxa"/>
            <w:shd w:val="clear" w:color="auto" w:fill="auto"/>
            <w:vAlign w:val="center"/>
          </w:tcPr>
          <w:p w14:paraId="5E1222EB" w14:textId="77777777" w:rsidR="00925C7D" w:rsidRPr="00ED0D6D" w:rsidRDefault="00925C7D" w:rsidP="00CA2F95">
            <w:pPr>
              <w:jc w:val="center"/>
              <w:rPr>
                <w:color w:val="000000"/>
                <w:sz w:val="20"/>
              </w:rPr>
            </w:pPr>
            <w:r w:rsidRPr="00925DC6">
              <w:rPr>
                <w:sz w:val="20"/>
              </w:rPr>
              <w:t>15</w:t>
            </w:r>
          </w:p>
        </w:tc>
        <w:tc>
          <w:tcPr>
            <w:tcW w:w="2491" w:type="dxa"/>
            <w:shd w:val="clear" w:color="auto" w:fill="auto"/>
            <w:vAlign w:val="center"/>
          </w:tcPr>
          <w:p w14:paraId="78D28C66" w14:textId="77777777" w:rsidR="00925C7D" w:rsidRPr="00ED0D6D" w:rsidRDefault="00925C7D" w:rsidP="00CA2F95">
            <w:pPr>
              <w:jc w:val="center"/>
              <w:rPr>
                <w:color w:val="000000"/>
                <w:sz w:val="20"/>
              </w:rPr>
            </w:pPr>
            <w:r>
              <w:rPr>
                <w:rFonts w:eastAsia="Calibri"/>
                <w:sz w:val="20"/>
              </w:rPr>
              <w:t>Užsienio reikalų ministerija (</w:t>
            </w:r>
            <w:r w:rsidRPr="00ED0D6D">
              <w:rPr>
                <w:rFonts w:eastAsia="Calibri"/>
                <w:sz w:val="20"/>
              </w:rPr>
              <w:t>URM</w:t>
            </w:r>
            <w:r>
              <w:rPr>
                <w:rFonts w:eastAsia="Calibri"/>
                <w:sz w:val="20"/>
              </w:rPr>
              <w:t>)</w:t>
            </w:r>
            <w:r w:rsidRPr="00ED0D6D">
              <w:rPr>
                <w:rFonts w:eastAsia="Calibri"/>
                <w:sz w:val="20"/>
              </w:rPr>
              <w:t xml:space="preserve"> </w:t>
            </w:r>
          </w:p>
        </w:tc>
        <w:tc>
          <w:tcPr>
            <w:tcW w:w="1172" w:type="dxa"/>
            <w:shd w:val="clear" w:color="auto" w:fill="auto"/>
          </w:tcPr>
          <w:p w14:paraId="40612EFF" w14:textId="77777777" w:rsidR="00925C7D" w:rsidRDefault="00925C7D" w:rsidP="00CA2F95">
            <w:pPr>
              <w:jc w:val="center"/>
              <w:rPr>
                <w:b/>
                <w:bCs/>
                <w:color w:val="000000"/>
                <w:sz w:val="20"/>
              </w:rPr>
            </w:pPr>
            <w:r w:rsidRPr="00ED0D6D">
              <w:rPr>
                <w:b/>
                <w:bCs/>
                <w:color w:val="000000"/>
                <w:sz w:val="20"/>
              </w:rPr>
              <w:t>18LRVP</w:t>
            </w:r>
          </w:p>
          <w:p w14:paraId="6B54D5E9" w14:textId="77777777" w:rsidR="00925C7D" w:rsidRPr="002E35DC" w:rsidRDefault="00925C7D" w:rsidP="00CA2F95">
            <w:pPr>
              <w:jc w:val="center"/>
              <w:rPr>
                <w:sz w:val="20"/>
              </w:rPr>
            </w:pPr>
            <w:r w:rsidRPr="002E35DC">
              <w:rPr>
                <w:sz w:val="20"/>
              </w:rPr>
              <w:t>NPP2030</w:t>
            </w:r>
          </w:p>
          <w:p w14:paraId="309F2D5A" w14:textId="77777777" w:rsidR="00925C7D" w:rsidRPr="00ED0D6D" w:rsidRDefault="00925C7D" w:rsidP="00CA2F95">
            <w:pPr>
              <w:jc w:val="center"/>
              <w:rPr>
                <w:b/>
                <w:bCs/>
                <w:i/>
                <w:iCs/>
                <w:color w:val="000000"/>
                <w:sz w:val="20"/>
              </w:rPr>
            </w:pPr>
          </w:p>
        </w:tc>
      </w:tr>
      <w:tr w:rsidR="00925C7D" w:rsidRPr="00ED0D6D" w14:paraId="2B69C93E" w14:textId="77777777" w:rsidTr="00CA2F95">
        <w:trPr>
          <w:trHeight w:val="368"/>
        </w:trPr>
        <w:tc>
          <w:tcPr>
            <w:tcW w:w="657" w:type="dxa"/>
            <w:shd w:val="clear" w:color="auto" w:fill="auto"/>
            <w:vAlign w:val="center"/>
            <w:hideMark/>
          </w:tcPr>
          <w:p w14:paraId="1FDAF5C1"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2E12BC50" w14:textId="77777777" w:rsidR="00925C7D" w:rsidRPr="00ED0D6D" w:rsidRDefault="00925C7D" w:rsidP="00CA2F95">
            <w:pPr>
              <w:jc w:val="both"/>
              <w:rPr>
                <w:color w:val="000000"/>
                <w:sz w:val="20"/>
              </w:rPr>
            </w:pPr>
            <w:r w:rsidRPr="00ED0D6D">
              <w:rPr>
                <w:rFonts w:eastAsia="Calibri"/>
                <w:sz w:val="20"/>
              </w:rPr>
              <w:t xml:space="preserve">Lietuvos ir Lietuvos atstovų, išrinktų į tarptautinių organizacijų vadovaujančias ar ekspertines pareigas, skaičius </w:t>
            </w:r>
          </w:p>
        </w:tc>
        <w:tc>
          <w:tcPr>
            <w:tcW w:w="1080" w:type="dxa"/>
            <w:shd w:val="clear" w:color="000000" w:fill="FFFFFF"/>
            <w:vAlign w:val="center"/>
          </w:tcPr>
          <w:p w14:paraId="1FCF22AE" w14:textId="77777777" w:rsidR="00925C7D" w:rsidRDefault="00925C7D" w:rsidP="00CA2F95">
            <w:pPr>
              <w:jc w:val="center"/>
              <w:rPr>
                <w:rFonts w:eastAsia="Calibri"/>
                <w:sz w:val="20"/>
              </w:rPr>
            </w:pPr>
          </w:p>
          <w:p w14:paraId="687229FA" w14:textId="77777777" w:rsidR="00925C7D" w:rsidRPr="00ED0D6D" w:rsidRDefault="00925C7D" w:rsidP="00CA2F95">
            <w:pPr>
              <w:jc w:val="center"/>
              <w:rPr>
                <w:rFonts w:eastAsia="Calibri"/>
                <w:sz w:val="20"/>
              </w:rPr>
            </w:pPr>
            <w:r w:rsidRPr="00ED0D6D">
              <w:rPr>
                <w:rFonts w:eastAsia="Calibri"/>
                <w:sz w:val="20"/>
              </w:rPr>
              <w:t xml:space="preserve">7 </w:t>
            </w:r>
          </w:p>
          <w:p w14:paraId="7EC14192" w14:textId="77777777" w:rsidR="00925C7D" w:rsidRPr="00ED0D6D" w:rsidRDefault="00925C7D" w:rsidP="00CA2F95">
            <w:pPr>
              <w:jc w:val="center"/>
              <w:rPr>
                <w:color w:val="000000"/>
                <w:sz w:val="20"/>
              </w:rPr>
            </w:pPr>
          </w:p>
        </w:tc>
        <w:tc>
          <w:tcPr>
            <w:tcW w:w="1080" w:type="dxa"/>
            <w:shd w:val="clear" w:color="auto" w:fill="auto"/>
            <w:noWrap/>
            <w:vAlign w:val="center"/>
          </w:tcPr>
          <w:p w14:paraId="56FD7181"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53F83841"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74930002"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auto" w:fill="auto"/>
            <w:noWrap/>
            <w:vAlign w:val="center"/>
          </w:tcPr>
          <w:p w14:paraId="46744A3B" w14:textId="77777777" w:rsidR="00925C7D" w:rsidRPr="00ED0D6D" w:rsidRDefault="00925C7D" w:rsidP="00CA2F95">
            <w:pPr>
              <w:jc w:val="center"/>
              <w:rPr>
                <w:color w:val="000000"/>
                <w:sz w:val="20"/>
              </w:rPr>
            </w:pPr>
            <w:r w:rsidRPr="00ED0D6D">
              <w:rPr>
                <w:rFonts w:eastAsia="Calibri"/>
                <w:sz w:val="20"/>
              </w:rPr>
              <w:t>9</w:t>
            </w:r>
          </w:p>
        </w:tc>
        <w:tc>
          <w:tcPr>
            <w:tcW w:w="1250" w:type="dxa"/>
            <w:shd w:val="clear" w:color="auto" w:fill="auto"/>
            <w:vAlign w:val="center"/>
          </w:tcPr>
          <w:p w14:paraId="76509CDC"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0D9EA58D" w14:textId="77777777" w:rsidR="00925C7D" w:rsidRPr="00ED0D6D" w:rsidRDefault="00925C7D" w:rsidP="00CA2F95">
            <w:pPr>
              <w:jc w:val="center"/>
              <w:rPr>
                <w:color w:val="000000"/>
                <w:sz w:val="20"/>
              </w:rPr>
            </w:pPr>
            <w:r w:rsidRPr="00ED0D6D">
              <w:rPr>
                <w:rFonts w:eastAsia="Calibri"/>
                <w:sz w:val="20"/>
              </w:rPr>
              <w:t xml:space="preserve">URM </w:t>
            </w:r>
          </w:p>
        </w:tc>
        <w:tc>
          <w:tcPr>
            <w:tcW w:w="1172" w:type="dxa"/>
            <w:shd w:val="clear" w:color="auto" w:fill="auto"/>
          </w:tcPr>
          <w:p w14:paraId="1A41CEFE" w14:textId="77777777" w:rsidR="00925C7D" w:rsidRDefault="00925C7D" w:rsidP="00CA2F95">
            <w:pPr>
              <w:jc w:val="center"/>
              <w:rPr>
                <w:b/>
                <w:bCs/>
                <w:color w:val="000000"/>
                <w:sz w:val="20"/>
              </w:rPr>
            </w:pPr>
            <w:r w:rsidRPr="00ED0D6D">
              <w:rPr>
                <w:b/>
                <w:bCs/>
                <w:color w:val="000000"/>
                <w:sz w:val="20"/>
              </w:rPr>
              <w:t>18LRVP</w:t>
            </w:r>
          </w:p>
          <w:p w14:paraId="69AEA5A9" w14:textId="77777777" w:rsidR="00925C7D" w:rsidRPr="002E35DC" w:rsidRDefault="00925C7D" w:rsidP="00CA2F95">
            <w:pPr>
              <w:jc w:val="center"/>
              <w:rPr>
                <w:sz w:val="20"/>
              </w:rPr>
            </w:pPr>
            <w:r w:rsidRPr="002E35DC">
              <w:rPr>
                <w:sz w:val="20"/>
              </w:rPr>
              <w:t>NPP2030</w:t>
            </w:r>
          </w:p>
          <w:p w14:paraId="6C1637DB" w14:textId="77777777" w:rsidR="00925C7D" w:rsidRPr="00ED0D6D" w:rsidRDefault="00925C7D" w:rsidP="00CA2F95">
            <w:pPr>
              <w:jc w:val="center"/>
              <w:rPr>
                <w:b/>
                <w:bCs/>
                <w:i/>
                <w:iCs/>
                <w:color w:val="000000"/>
                <w:sz w:val="20"/>
              </w:rPr>
            </w:pPr>
          </w:p>
        </w:tc>
      </w:tr>
      <w:tr w:rsidR="00925C7D" w:rsidRPr="00ED0D6D" w14:paraId="4F287660" w14:textId="77777777" w:rsidTr="00CA2F95">
        <w:trPr>
          <w:trHeight w:val="305"/>
        </w:trPr>
        <w:tc>
          <w:tcPr>
            <w:tcW w:w="657" w:type="dxa"/>
            <w:shd w:val="clear" w:color="auto" w:fill="auto"/>
            <w:vAlign w:val="center"/>
            <w:hideMark/>
          </w:tcPr>
          <w:p w14:paraId="145A0C98"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DA1D81E" w14:textId="77777777" w:rsidR="00925C7D" w:rsidRPr="00ED0D6D" w:rsidRDefault="00925C7D" w:rsidP="00CA2F95">
            <w:pPr>
              <w:jc w:val="both"/>
              <w:rPr>
                <w:color w:val="000000"/>
                <w:sz w:val="20"/>
              </w:rPr>
            </w:pPr>
            <w:r w:rsidRPr="00ED0D6D">
              <w:rPr>
                <w:rFonts w:eastAsia="Calibri"/>
                <w:sz w:val="20"/>
              </w:rPr>
              <w:t xml:space="preserve">Lietuvos vieta koalicinio valentingumo indekse (tarp ES šalių) – Lietuvos dalyvavimo ES valstybių narių koalicijose, priimant Lietuvos interesus atitinkančius sprendimus, veiksmingumas </w:t>
            </w:r>
          </w:p>
        </w:tc>
        <w:tc>
          <w:tcPr>
            <w:tcW w:w="1080" w:type="dxa"/>
            <w:shd w:val="clear" w:color="000000" w:fill="FFFFFF"/>
            <w:vAlign w:val="center"/>
          </w:tcPr>
          <w:p w14:paraId="24ECD9E1" w14:textId="77777777" w:rsidR="00925C7D" w:rsidRPr="00ED0D6D" w:rsidRDefault="00925C7D" w:rsidP="00CA2F95">
            <w:pPr>
              <w:jc w:val="center"/>
              <w:rPr>
                <w:color w:val="000000"/>
                <w:sz w:val="20"/>
              </w:rPr>
            </w:pPr>
            <w:r w:rsidRPr="00ED0D6D">
              <w:rPr>
                <w:color w:val="000000"/>
                <w:sz w:val="20"/>
              </w:rPr>
              <w:t xml:space="preserve">N.D. </w:t>
            </w:r>
          </w:p>
        </w:tc>
        <w:tc>
          <w:tcPr>
            <w:tcW w:w="1080" w:type="dxa"/>
            <w:shd w:val="clear" w:color="auto" w:fill="auto"/>
            <w:noWrap/>
            <w:vAlign w:val="center"/>
          </w:tcPr>
          <w:p w14:paraId="2D6F648E" w14:textId="77777777" w:rsidR="00925C7D" w:rsidRPr="00ED0D6D" w:rsidRDefault="00925C7D" w:rsidP="00CA2F95">
            <w:pPr>
              <w:jc w:val="center"/>
              <w:rPr>
                <w:color w:val="000000"/>
                <w:sz w:val="20"/>
              </w:rPr>
            </w:pPr>
            <w:r w:rsidRPr="00ED0D6D">
              <w:rPr>
                <w:rFonts w:eastAsia="Calibri"/>
                <w:sz w:val="20"/>
              </w:rPr>
              <w:t>19</w:t>
            </w:r>
          </w:p>
        </w:tc>
        <w:tc>
          <w:tcPr>
            <w:tcW w:w="956" w:type="dxa"/>
            <w:shd w:val="clear" w:color="auto" w:fill="auto"/>
            <w:vAlign w:val="center"/>
          </w:tcPr>
          <w:p w14:paraId="257170EE"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auto" w:fill="auto"/>
            <w:vAlign w:val="center"/>
          </w:tcPr>
          <w:p w14:paraId="0C063008" w14:textId="77777777" w:rsidR="00925C7D" w:rsidRPr="00925DC6" w:rsidRDefault="00925C7D" w:rsidP="00CA2F95">
            <w:pPr>
              <w:jc w:val="center"/>
              <w:rPr>
                <w:color w:val="000000"/>
                <w:sz w:val="20"/>
              </w:rPr>
            </w:pPr>
            <w:r w:rsidRPr="00925DC6">
              <w:rPr>
                <w:sz w:val="20"/>
              </w:rPr>
              <w:t>21</w:t>
            </w:r>
          </w:p>
        </w:tc>
        <w:tc>
          <w:tcPr>
            <w:tcW w:w="1250" w:type="dxa"/>
            <w:shd w:val="clear" w:color="auto" w:fill="auto"/>
            <w:noWrap/>
            <w:vAlign w:val="center"/>
          </w:tcPr>
          <w:p w14:paraId="646D6704" w14:textId="77777777" w:rsidR="00925C7D" w:rsidRPr="00925DC6" w:rsidRDefault="00925C7D" w:rsidP="00CA2F95">
            <w:pPr>
              <w:jc w:val="center"/>
              <w:rPr>
                <w:color w:val="000000"/>
                <w:sz w:val="20"/>
              </w:rPr>
            </w:pPr>
            <w:r w:rsidRPr="00925DC6">
              <w:rPr>
                <w:sz w:val="20"/>
              </w:rPr>
              <w:t>21</w:t>
            </w:r>
          </w:p>
        </w:tc>
        <w:tc>
          <w:tcPr>
            <w:tcW w:w="1250" w:type="dxa"/>
            <w:shd w:val="clear" w:color="auto" w:fill="auto"/>
            <w:vAlign w:val="center"/>
          </w:tcPr>
          <w:p w14:paraId="5415E290" w14:textId="77777777" w:rsidR="00925C7D" w:rsidRPr="00925DC6" w:rsidRDefault="00925C7D" w:rsidP="00CA2F95">
            <w:pPr>
              <w:jc w:val="center"/>
              <w:rPr>
                <w:color w:val="000000"/>
                <w:sz w:val="20"/>
              </w:rPr>
            </w:pPr>
            <w:r w:rsidRPr="00925DC6">
              <w:rPr>
                <w:sz w:val="20"/>
              </w:rPr>
              <w:t>20</w:t>
            </w:r>
          </w:p>
        </w:tc>
        <w:tc>
          <w:tcPr>
            <w:tcW w:w="2491" w:type="dxa"/>
            <w:shd w:val="clear" w:color="auto" w:fill="auto"/>
            <w:vAlign w:val="center"/>
          </w:tcPr>
          <w:p w14:paraId="66A18D8B" w14:textId="77777777" w:rsidR="00925C7D" w:rsidRPr="00ED0D6D" w:rsidRDefault="00925C7D" w:rsidP="00CA2F95">
            <w:pPr>
              <w:jc w:val="center"/>
              <w:rPr>
                <w:rFonts w:eastAsia="Calibri"/>
                <w:sz w:val="20"/>
              </w:rPr>
            </w:pPr>
            <w:proofErr w:type="spellStart"/>
            <w:r w:rsidRPr="00ED0D6D">
              <w:rPr>
                <w:rFonts w:eastAsia="Calibri"/>
                <w:sz w:val="20"/>
              </w:rPr>
              <w:t>European</w:t>
            </w:r>
            <w:proofErr w:type="spellEnd"/>
            <w:r w:rsidRPr="00ED0D6D">
              <w:rPr>
                <w:rFonts w:eastAsia="Calibri"/>
                <w:sz w:val="20"/>
              </w:rPr>
              <w:t xml:space="preserve"> </w:t>
            </w:r>
            <w:proofErr w:type="spellStart"/>
            <w:r w:rsidRPr="00ED0D6D">
              <w:rPr>
                <w:rFonts w:eastAsia="Calibri"/>
                <w:sz w:val="20"/>
              </w:rPr>
              <w:t>Council</w:t>
            </w:r>
            <w:proofErr w:type="spellEnd"/>
            <w:r w:rsidRPr="00ED0D6D">
              <w:rPr>
                <w:rFonts w:eastAsia="Calibri"/>
                <w:sz w:val="20"/>
              </w:rPr>
              <w:t xml:space="preserve"> </w:t>
            </w:r>
            <w:proofErr w:type="spellStart"/>
            <w:r w:rsidRPr="00ED0D6D">
              <w:rPr>
                <w:rFonts w:eastAsia="Calibri"/>
                <w:sz w:val="20"/>
              </w:rPr>
              <w:t>of</w:t>
            </w:r>
            <w:proofErr w:type="spellEnd"/>
            <w:r w:rsidRPr="00ED0D6D">
              <w:rPr>
                <w:rFonts w:eastAsia="Calibri"/>
                <w:sz w:val="20"/>
              </w:rPr>
              <w:t xml:space="preserve"> </w:t>
            </w:r>
            <w:proofErr w:type="spellStart"/>
            <w:r w:rsidRPr="00ED0D6D">
              <w:rPr>
                <w:rFonts w:eastAsia="Calibri"/>
                <w:sz w:val="20"/>
              </w:rPr>
              <w:t>Foreign</w:t>
            </w:r>
            <w:proofErr w:type="spellEnd"/>
            <w:r w:rsidRPr="00ED0D6D">
              <w:rPr>
                <w:rFonts w:eastAsia="Calibri"/>
                <w:sz w:val="20"/>
              </w:rPr>
              <w:t xml:space="preserve"> </w:t>
            </w:r>
            <w:proofErr w:type="spellStart"/>
            <w:r w:rsidRPr="00ED0D6D">
              <w:rPr>
                <w:rFonts w:eastAsia="Calibri"/>
                <w:sz w:val="20"/>
              </w:rPr>
              <w:t>Relations</w:t>
            </w:r>
            <w:proofErr w:type="spellEnd"/>
            <w:r w:rsidRPr="00ED0D6D">
              <w:rPr>
                <w:rFonts w:eastAsia="Calibri"/>
                <w:sz w:val="20"/>
              </w:rPr>
              <w:t xml:space="preserve"> </w:t>
            </w:r>
          </w:p>
          <w:p w14:paraId="5EC00887" w14:textId="77777777" w:rsidR="00925C7D" w:rsidRPr="00ED0D6D" w:rsidRDefault="00925C7D" w:rsidP="00CA2F95">
            <w:pPr>
              <w:jc w:val="center"/>
              <w:rPr>
                <w:color w:val="000000"/>
                <w:sz w:val="20"/>
              </w:rPr>
            </w:pPr>
            <w:r w:rsidRPr="00ED0D6D">
              <w:rPr>
                <w:rFonts w:eastAsia="Calibri"/>
                <w:sz w:val="20"/>
              </w:rPr>
              <w:t>apklausos duomenys</w:t>
            </w:r>
          </w:p>
        </w:tc>
        <w:tc>
          <w:tcPr>
            <w:tcW w:w="1172" w:type="dxa"/>
            <w:shd w:val="clear" w:color="auto" w:fill="auto"/>
          </w:tcPr>
          <w:p w14:paraId="081406A0" w14:textId="77777777" w:rsidR="00925C7D" w:rsidRDefault="00925C7D" w:rsidP="00CA2F95">
            <w:pPr>
              <w:jc w:val="center"/>
              <w:rPr>
                <w:b/>
                <w:bCs/>
                <w:color w:val="000000"/>
                <w:sz w:val="20"/>
              </w:rPr>
            </w:pPr>
            <w:r w:rsidRPr="00ED0D6D">
              <w:rPr>
                <w:b/>
                <w:bCs/>
                <w:color w:val="000000"/>
                <w:sz w:val="20"/>
              </w:rPr>
              <w:t>18LRVP</w:t>
            </w:r>
          </w:p>
          <w:p w14:paraId="034EEAF7" w14:textId="77777777" w:rsidR="00925C7D" w:rsidRPr="002E35DC" w:rsidRDefault="00925C7D" w:rsidP="00CA2F95">
            <w:pPr>
              <w:jc w:val="center"/>
              <w:rPr>
                <w:sz w:val="20"/>
              </w:rPr>
            </w:pPr>
            <w:r w:rsidRPr="002E35DC">
              <w:rPr>
                <w:sz w:val="20"/>
              </w:rPr>
              <w:t>NPP2030</w:t>
            </w:r>
          </w:p>
          <w:p w14:paraId="0598BA1C" w14:textId="77777777" w:rsidR="00925C7D" w:rsidRPr="00ED0D6D" w:rsidRDefault="00925C7D" w:rsidP="00CA2F95">
            <w:pPr>
              <w:jc w:val="center"/>
              <w:rPr>
                <w:b/>
                <w:bCs/>
                <w:i/>
                <w:iCs/>
                <w:color w:val="000000"/>
                <w:sz w:val="20"/>
              </w:rPr>
            </w:pPr>
          </w:p>
        </w:tc>
      </w:tr>
      <w:tr w:rsidR="00925C7D" w:rsidRPr="00ED0D6D" w14:paraId="0B069AC0" w14:textId="77777777" w:rsidTr="00CA2F95">
        <w:trPr>
          <w:trHeight w:val="372"/>
        </w:trPr>
        <w:tc>
          <w:tcPr>
            <w:tcW w:w="657" w:type="dxa"/>
            <w:shd w:val="clear" w:color="000000" w:fill="FFFFFF"/>
            <w:vAlign w:val="center"/>
            <w:hideMark/>
          </w:tcPr>
          <w:p w14:paraId="5E52262B" w14:textId="77777777" w:rsidR="00925C7D" w:rsidRPr="00ED0D6D" w:rsidRDefault="00925C7D" w:rsidP="00816260">
            <w:pPr>
              <w:pStyle w:val="Sraopastraipa"/>
              <w:numPr>
                <w:ilvl w:val="0"/>
                <w:numId w:val="11"/>
              </w:numPr>
              <w:ind w:left="0" w:firstLine="0"/>
              <w:rPr>
                <w:rFonts w:ascii="Times New Roman" w:hAnsi="Times New Roman"/>
                <w:color w:val="000000"/>
                <w:sz w:val="20"/>
                <w:szCs w:val="20"/>
              </w:rPr>
            </w:pPr>
          </w:p>
        </w:tc>
        <w:tc>
          <w:tcPr>
            <w:tcW w:w="4648" w:type="dxa"/>
            <w:shd w:val="clear" w:color="000000" w:fill="FFFFFF"/>
            <w:vAlign w:val="center"/>
          </w:tcPr>
          <w:p w14:paraId="108F205B" w14:textId="77777777" w:rsidR="00925C7D" w:rsidRPr="00ED0D6D" w:rsidRDefault="00925C7D" w:rsidP="00CA2F95">
            <w:pPr>
              <w:jc w:val="both"/>
              <w:rPr>
                <w:color w:val="000000"/>
                <w:sz w:val="20"/>
              </w:rPr>
            </w:pPr>
            <w:r w:rsidRPr="00ED0D6D">
              <w:rPr>
                <w:rFonts w:eastAsia="Calibri"/>
                <w:sz w:val="20"/>
              </w:rPr>
              <w:t>Politinės iniciatyvos  ir aukšto lygmens susitikimai transatlantiniams santykiams stiprinti</w:t>
            </w:r>
          </w:p>
        </w:tc>
        <w:tc>
          <w:tcPr>
            <w:tcW w:w="1080" w:type="dxa"/>
            <w:shd w:val="clear" w:color="000000" w:fill="FFFFFF"/>
            <w:vAlign w:val="center"/>
          </w:tcPr>
          <w:p w14:paraId="5DD909A4" w14:textId="77777777" w:rsidR="00925C7D" w:rsidRPr="00ED0D6D" w:rsidRDefault="00925C7D" w:rsidP="00CA2F95">
            <w:pPr>
              <w:jc w:val="center"/>
              <w:rPr>
                <w:rFonts w:eastAsia="Calibri"/>
                <w:sz w:val="20"/>
              </w:rPr>
            </w:pPr>
            <w:r w:rsidRPr="00ED0D6D">
              <w:rPr>
                <w:rFonts w:eastAsia="Calibri"/>
                <w:sz w:val="20"/>
              </w:rPr>
              <w:t xml:space="preserve">4 </w:t>
            </w:r>
          </w:p>
          <w:p w14:paraId="6A53B676" w14:textId="77777777" w:rsidR="00925C7D" w:rsidRPr="00ED0D6D" w:rsidRDefault="00925C7D" w:rsidP="00CA2F95">
            <w:pPr>
              <w:jc w:val="center"/>
              <w:rPr>
                <w:color w:val="000000"/>
                <w:sz w:val="20"/>
              </w:rPr>
            </w:pPr>
          </w:p>
        </w:tc>
        <w:tc>
          <w:tcPr>
            <w:tcW w:w="1080" w:type="dxa"/>
            <w:shd w:val="clear" w:color="000000" w:fill="FFFFFF"/>
            <w:vAlign w:val="center"/>
          </w:tcPr>
          <w:p w14:paraId="288BBD90" w14:textId="77777777" w:rsidR="00925C7D" w:rsidRPr="00ED0D6D" w:rsidRDefault="00925C7D" w:rsidP="00CA2F95">
            <w:pPr>
              <w:jc w:val="center"/>
              <w:rPr>
                <w:color w:val="000000"/>
                <w:sz w:val="20"/>
              </w:rPr>
            </w:pPr>
            <w:r w:rsidRPr="00ED0D6D">
              <w:rPr>
                <w:color w:val="000000"/>
                <w:sz w:val="20"/>
              </w:rPr>
              <w:t xml:space="preserve">N.D. </w:t>
            </w:r>
          </w:p>
        </w:tc>
        <w:tc>
          <w:tcPr>
            <w:tcW w:w="956" w:type="dxa"/>
            <w:shd w:val="clear" w:color="auto" w:fill="auto"/>
            <w:vAlign w:val="center"/>
          </w:tcPr>
          <w:p w14:paraId="13F3F7FC"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117D3AA4" w14:textId="77777777" w:rsidR="00925C7D" w:rsidRPr="00ED0D6D" w:rsidRDefault="00925C7D" w:rsidP="00CA2F95">
            <w:pPr>
              <w:jc w:val="center"/>
              <w:rPr>
                <w:color w:val="000000"/>
                <w:sz w:val="20"/>
              </w:rPr>
            </w:pPr>
            <w:r w:rsidRPr="00ED0D6D">
              <w:rPr>
                <w:color w:val="000000"/>
                <w:sz w:val="20"/>
              </w:rPr>
              <w:t xml:space="preserve">_ </w:t>
            </w:r>
          </w:p>
        </w:tc>
        <w:tc>
          <w:tcPr>
            <w:tcW w:w="1250" w:type="dxa"/>
            <w:shd w:val="clear" w:color="000000" w:fill="FFFFFF"/>
            <w:vAlign w:val="center"/>
          </w:tcPr>
          <w:p w14:paraId="0C3F72FC" w14:textId="77777777" w:rsidR="00925C7D" w:rsidRPr="00ED0D6D" w:rsidRDefault="00925C7D" w:rsidP="00CA2F95">
            <w:pPr>
              <w:jc w:val="center"/>
              <w:rPr>
                <w:color w:val="000000"/>
                <w:sz w:val="20"/>
              </w:rPr>
            </w:pPr>
            <w:r w:rsidRPr="00ED0D6D">
              <w:rPr>
                <w:rFonts w:eastAsia="Calibri"/>
                <w:sz w:val="20"/>
              </w:rPr>
              <w:t>5</w:t>
            </w:r>
          </w:p>
        </w:tc>
        <w:tc>
          <w:tcPr>
            <w:tcW w:w="1250" w:type="dxa"/>
            <w:shd w:val="clear" w:color="000000" w:fill="FFFFFF"/>
            <w:vAlign w:val="center"/>
          </w:tcPr>
          <w:p w14:paraId="792AD302"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000000" w:fill="FFFFFF"/>
            <w:vAlign w:val="center"/>
          </w:tcPr>
          <w:p w14:paraId="7AEDED08" w14:textId="77777777" w:rsidR="00925C7D" w:rsidRPr="00ED0D6D" w:rsidRDefault="00925C7D" w:rsidP="00CA2F95">
            <w:pPr>
              <w:jc w:val="center"/>
              <w:rPr>
                <w:color w:val="000000"/>
                <w:sz w:val="20"/>
              </w:rPr>
            </w:pPr>
            <w:r w:rsidRPr="00ED0D6D">
              <w:rPr>
                <w:rFonts w:eastAsia="Calibri"/>
                <w:sz w:val="20"/>
              </w:rPr>
              <w:t xml:space="preserve">URM </w:t>
            </w:r>
          </w:p>
        </w:tc>
        <w:tc>
          <w:tcPr>
            <w:tcW w:w="1172" w:type="dxa"/>
            <w:shd w:val="clear" w:color="000000" w:fill="FFFFFF"/>
          </w:tcPr>
          <w:p w14:paraId="14AB4F1C" w14:textId="77777777" w:rsidR="00925C7D" w:rsidRPr="00ED0D6D" w:rsidRDefault="00925C7D" w:rsidP="00CA2F95">
            <w:pPr>
              <w:jc w:val="center"/>
              <w:rPr>
                <w:b/>
                <w:bCs/>
                <w:i/>
                <w:iCs/>
                <w:color w:val="000000"/>
                <w:sz w:val="20"/>
              </w:rPr>
            </w:pPr>
            <w:r w:rsidRPr="00ED0D6D">
              <w:rPr>
                <w:b/>
                <w:bCs/>
                <w:color w:val="000000"/>
                <w:sz w:val="20"/>
              </w:rPr>
              <w:t>18LRVP</w:t>
            </w:r>
          </w:p>
        </w:tc>
      </w:tr>
      <w:tr w:rsidR="00925C7D" w:rsidRPr="00ED0D6D" w14:paraId="7263AF28" w14:textId="77777777" w:rsidTr="00CA2F95">
        <w:trPr>
          <w:trHeight w:val="540"/>
        </w:trPr>
        <w:tc>
          <w:tcPr>
            <w:tcW w:w="657" w:type="dxa"/>
            <w:shd w:val="clear" w:color="auto" w:fill="auto"/>
            <w:vAlign w:val="center"/>
            <w:hideMark/>
          </w:tcPr>
          <w:p w14:paraId="176B665C"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0E428A27" w14:textId="77777777" w:rsidR="00925C7D" w:rsidRPr="00ED0D6D" w:rsidRDefault="00925C7D" w:rsidP="00CA2F95">
            <w:pPr>
              <w:jc w:val="both"/>
              <w:rPr>
                <w:color w:val="000000"/>
                <w:sz w:val="20"/>
              </w:rPr>
            </w:pPr>
            <w:r w:rsidRPr="00ED0D6D">
              <w:rPr>
                <w:rFonts w:eastAsia="Calibri"/>
                <w:sz w:val="20"/>
              </w:rPr>
              <w:t>Užsienio lietuvių, įsitraukusių į Lietuvos gyvenimą ir gerovės joje kūrimą, dalis</w:t>
            </w:r>
            <w:r>
              <w:rPr>
                <w:rFonts w:eastAsia="Calibri"/>
                <w:sz w:val="20"/>
              </w:rPr>
              <w:t xml:space="preserve"> </w:t>
            </w:r>
            <w:r>
              <w:rPr>
                <w:sz w:val="20"/>
              </w:rPr>
              <w:t>(</w:t>
            </w:r>
            <w:r w:rsidRPr="00E32E69">
              <w:rPr>
                <w:sz w:val="20"/>
              </w:rPr>
              <w:t>proc.</w:t>
            </w:r>
            <w:r>
              <w:rPr>
                <w:sz w:val="20"/>
              </w:rPr>
              <w:t>)</w:t>
            </w:r>
            <w:r w:rsidRPr="00E32E69">
              <w:rPr>
                <w:sz w:val="20"/>
              </w:rPr>
              <w:t xml:space="preserve">   </w:t>
            </w:r>
          </w:p>
        </w:tc>
        <w:tc>
          <w:tcPr>
            <w:tcW w:w="1080" w:type="dxa"/>
            <w:shd w:val="clear" w:color="000000" w:fill="FFFFFF"/>
            <w:vAlign w:val="center"/>
          </w:tcPr>
          <w:p w14:paraId="29BAAC85" w14:textId="77777777" w:rsidR="00925C7D" w:rsidRPr="00ED0D6D" w:rsidRDefault="00925C7D" w:rsidP="00CA2F95">
            <w:pPr>
              <w:jc w:val="center"/>
              <w:rPr>
                <w:color w:val="000000"/>
                <w:sz w:val="20"/>
              </w:rPr>
            </w:pPr>
            <w:r w:rsidRPr="00ED0D6D">
              <w:rPr>
                <w:color w:val="000000"/>
                <w:sz w:val="20"/>
              </w:rPr>
              <w:t xml:space="preserve">N.D. </w:t>
            </w:r>
          </w:p>
        </w:tc>
        <w:tc>
          <w:tcPr>
            <w:tcW w:w="1080" w:type="dxa"/>
            <w:shd w:val="clear" w:color="000000" w:fill="FFFFFF"/>
            <w:vAlign w:val="center"/>
          </w:tcPr>
          <w:p w14:paraId="7979468D" w14:textId="77777777" w:rsidR="00925C7D" w:rsidRPr="00ED0D6D" w:rsidRDefault="00925C7D" w:rsidP="00CA2F95">
            <w:pPr>
              <w:jc w:val="center"/>
              <w:rPr>
                <w:color w:val="000000"/>
                <w:sz w:val="20"/>
              </w:rPr>
            </w:pPr>
            <w:r w:rsidRPr="00ED0D6D">
              <w:rPr>
                <w:rFonts w:eastAsia="Calibri"/>
                <w:sz w:val="20"/>
              </w:rPr>
              <w:t>40</w:t>
            </w:r>
          </w:p>
        </w:tc>
        <w:tc>
          <w:tcPr>
            <w:tcW w:w="956" w:type="dxa"/>
            <w:shd w:val="clear" w:color="auto" w:fill="auto"/>
            <w:vAlign w:val="center"/>
          </w:tcPr>
          <w:p w14:paraId="3C948011"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2801D4EF" w14:textId="77777777" w:rsidR="00925C7D" w:rsidRPr="00E3538D" w:rsidRDefault="00925C7D" w:rsidP="00CA2F95">
            <w:pPr>
              <w:jc w:val="center"/>
              <w:rPr>
                <w:color w:val="000000"/>
                <w:sz w:val="20"/>
              </w:rPr>
            </w:pPr>
            <w:r w:rsidRPr="00E3538D">
              <w:rPr>
                <w:sz w:val="20"/>
              </w:rPr>
              <w:t>40</w:t>
            </w:r>
          </w:p>
        </w:tc>
        <w:tc>
          <w:tcPr>
            <w:tcW w:w="1250" w:type="dxa"/>
            <w:shd w:val="clear" w:color="auto" w:fill="auto"/>
            <w:vAlign w:val="center"/>
          </w:tcPr>
          <w:p w14:paraId="6952969C" w14:textId="77777777" w:rsidR="00925C7D" w:rsidRPr="00E3538D" w:rsidRDefault="00925C7D" w:rsidP="00CA2F95">
            <w:pPr>
              <w:jc w:val="center"/>
              <w:rPr>
                <w:color w:val="000000"/>
                <w:sz w:val="20"/>
              </w:rPr>
            </w:pPr>
            <w:r w:rsidRPr="00E3538D">
              <w:rPr>
                <w:sz w:val="20"/>
              </w:rPr>
              <w:t>52</w:t>
            </w:r>
          </w:p>
        </w:tc>
        <w:tc>
          <w:tcPr>
            <w:tcW w:w="1250" w:type="dxa"/>
            <w:shd w:val="clear" w:color="auto" w:fill="auto"/>
            <w:vAlign w:val="center"/>
          </w:tcPr>
          <w:p w14:paraId="2068CAF2" w14:textId="77777777" w:rsidR="00925C7D" w:rsidRPr="00E3538D" w:rsidRDefault="00925C7D" w:rsidP="00CA2F95">
            <w:pPr>
              <w:jc w:val="center"/>
              <w:rPr>
                <w:color w:val="000000"/>
                <w:sz w:val="20"/>
              </w:rPr>
            </w:pPr>
            <w:r w:rsidRPr="00E3538D">
              <w:rPr>
                <w:sz w:val="20"/>
              </w:rPr>
              <w:t>60</w:t>
            </w:r>
          </w:p>
        </w:tc>
        <w:tc>
          <w:tcPr>
            <w:tcW w:w="2491" w:type="dxa"/>
            <w:shd w:val="clear" w:color="auto" w:fill="auto"/>
            <w:vAlign w:val="center"/>
          </w:tcPr>
          <w:p w14:paraId="6F3E6B72" w14:textId="77777777" w:rsidR="00925C7D" w:rsidRPr="00ED0D6D" w:rsidRDefault="00925C7D" w:rsidP="00CA2F95">
            <w:pPr>
              <w:jc w:val="center"/>
              <w:rPr>
                <w:color w:val="000000"/>
                <w:sz w:val="20"/>
              </w:rPr>
            </w:pPr>
            <w:r w:rsidRPr="00ED0D6D">
              <w:rPr>
                <w:rFonts w:eastAsia="Calibri"/>
                <w:sz w:val="20"/>
              </w:rPr>
              <w:t>URM užsienio lietuvių nuomonės apklausa</w:t>
            </w:r>
          </w:p>
        </w:tc>
        <w:tc>
          <w:tcPr>
            <w:tcW w:w="1172" w:type="dxa"/>
            <w:shd w:val="clear" w:color="auto" w:fill="auto"/>
          </w:tcPr>
          <w:p w14:paraId="48ACE3D5" w14:textId="77777777" w:rsidR="00925C7D" w:rsidRDefault="00925C7D" w:rsidP="00CA2F95">
            <w:pPr>
              <w:jc w:val="center"/>
              <w:rPr>
                <w:b/>
                <w:bCs/>
                <w:color w:val="000000"/>
                <w:sz w:val="20"/>
              </w:rPr>
            </w:pPr>
            <w:r w:rsidRPr="00ED0D6D">
              <w:rPr>
                <w:b/>
                <w:bCs/>
                <w:color w:val="000000"/>
                <w:sz w:val="20"/>
              </w:rPr>
              <w:t>18LRVP</w:t>
            </w:r>
          </w:p>
          <w:p w14:paraId="2BAD401E" w14:textId="77777777" w:rsidR="00925C7D" w:rsidRPr="002E35DC" w:rsidRDefault="00925C7D" w:rsidP="00CA2F95">
            <w:pPr>
              <w:jc w:val="center"/>
              <w:rPr>
                <w:sz w:val="20"/>
              </w:rPr>
            </w:pPr>
            <w:r w:rsidRPr="002E35DC">
              <w:rPr>
                <w:sz w:val="20"/>
              </w:rPr>
              <w:t>NPP2030</w:t>
            </w:r>
          </w:p>
          <w:p w14:paraId="30817B4B" w14:textId="77777777" w:rsidR="00925C7D" w:rsidRPr="00ED0D6D" w:rsidRDefault="00925C7D" w:rsidP="00CA2F95">
            <w:pPr>
              <w:jc w:val="center"/>
              <w:rPr>
                <w:color w:val="000000"/>
                <w:sz w:val="20"/>
              </w:rPr>
            </w:pPr>
          </w:p>
        </w:tc>
      </w:tr>
      <w:tr w:rsidR="00925C7D" w:rsidRPr="00ED0D6D" w14:paraId="0810C684" w14:textId="77777777" w:rsidTr="00CA2F95">
        <w:trPr>
          <w:trHeight w:val="485"/>
        </w:trPr>
        <w:tc>
          <w:tcPr>
            <w:tcW w:w="657" w:type="dxa"/>
            <w:shd w:val="clear" w:color="auto" w:fill="auto"/>
            <w:vAlign w:val="center"/>
            <w:hideMark/>
          </w:tcPr>
          <w:p w14:paraId="7543733C"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7A8BF9B" w14:textId="77777777" w:rsidR="00925C7D" w:rsidRPr="00ED0D6D" w:rsidRDefault="00925C7D" w:rsidP="00CA2F95">
            <w:pPr>
              <w:jc w:val="both"/>
              <w:rPr>
                <w:sz w:val="20"/>
              </w:rPr>
            </w:pPr>
            <w:r w:rsidRPr="00ED0D6D">
              <w:rPr>
                <w:rFonts w:eastAsia="Calibri"/>
                <w:sz w:val="20"/>
              </w:rPr>
              <w:t>Lietuvos gyventojų, manančių, kad Lietuvos diplomatinė tarnyba labai gerai, gerai atstovauja Lietuvos saugumo interesams, išnaudoja dvišalio ir daugiašalio bendradarbiavimo priemones bei NATO teikiamas galimybes, dalis</w:t>
            </w:r>
            <w:r>
              <w:rPr>
                <w:rFonts w:eastAsia="Calibri"/>
                <w:sz w:val="20"/>
              </w:rPr>
              <w:t xml:space="preserve"> (</w:t>
            </w:r>
            <w:r w:rsidRPr="00ED0D6D">
              <w:rPr>
                <w:rFonts w:eastAsia="Calibri"/>
                <w:sz w:val="20"/>
              </w:rPr>
              <w:t>proc.</w:t>
            </w:r>
            <w:r>
              <w:rPr>
                <w:rFonts w:eastAsia="Calibri"/>
                <w:sz w:val="20"/>
              </w:rPr>
              <w:t>)</w:t>
            </w:r>
          </w:p>
        </w:tc>
        <w:tc>
          <w:tcPr>
            <w:tcW w:w="1080" w:type="dxa"/>
            <w:shd w:val="clear" w:color="000000" w:fill="FFFFFF"/>
            <w:vAlign w:val="center"/>
          </w:tcPr>
          <w:p w14:paraId="5FCB6C0E" w14:textId="77777777" w:rsidR="00925C7D" w:rsidRPr="00ED0D6D" w:rsidRDefault="00925C7D" w:rsidP="00CA2F95">
            <w:pPr>
              <w:jc w:val="center"/>
              <w:rPr>
                <w:rFonts w:eastAsia="Calibri"/>
                <w:sz w:val="20"/>
              </w:rPr>
            </w:pPr>
            <w:r w:rsidRPr="00ED0D6D">
              <w:rPr>
                <w:rFonts w:eastAsia="Calibri"/>
                <w:sz w:val="20"/>
              </w:rPr>
              <w:t xml:space="preserve">40 </w:t>
            </w:r>
          </w:p>
          <w:p w14:paraId="19FD519F" w14:textId="77777777" w:rsidR="00925C7D" w:rsidRPr="00ED0D6D" w:rsidRDefault="00925C7D" w:rsidP="00CA2F95">
            <w:pPr>
              <w:jc w:val="center"/>
              <w:rPr>
                <w:color w:val="000000"/>
                <w:sz w:val="20"/>
              </w:rPr>
            </w:pPr>
          </w:p>
        </w:tc>
        <w:tc>
          <w:tcPr>
            <w:tcW w:w="1080" w:type="dxa"/>
            <w:shd w:val="clear" w:color="000000" w:fill="FFFFFF"/>
            <w:vAlign w:val="center"/>
          </w:tcPr>
          <w:p w14:paraId="2630EFE5" w14:textId="77777777" w:rsidR="00925C7D" w:rsidRPr="00ED0D6D" w:rsidRDefault="00925C7D" w:rsidP="00CA2F95">
            <w:pPr>
              <w:jc w:val="center"/>
              <w:rPr>
                <w:color w:val="000000"/>
                <w:sz w:val="20"/>
              </w:rPr>
            </w:pPr>
            <w:r w:rsidRPr="00E32E69">
              <w:rPr>
                <w:sz w:val="20"/>
              </w:rPr>
              <w:t>50</w:t>
            </w:r>
          </w:p>
        </w:tc>
        <w:tc>
          <w:tcPr>
            <w:tcW w:w="956" w:type="dxa"/>
            <w:shd w:val="clear" w:color="auto" w:fill="auto"/>
            <w:vAlign w:val="center"/>
          </w:tcPr>
          <w:p w14:paraId="3E6FE155" w14:textId="77777777" w:rsidR="00925C7D" w:rsidRPr="00ED0D6D"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65245C1C" w14:textId="77777777" w:rsidR="00925C7D" w:rsidRPr="00ED0D6D" w:rsidRDefault="00925C7D" w:rsidP="00CA2F95">
            <w:pPr>
              <w:jc w:val="center"/>
              <w:rPr>
                <w:color w:val="000000"/>
                <w:sz w:val="20"/>
              </w:rPr>
            </w:pPr>
            <w:r w:rsidRPr="00E32E69">
              <w:rPr>
                <w:sz w:val="20"/>
              </w:rPr>
              <w:t>40</w:t>
            </w:r>
          </w:p>
        </w:tc>
        <w:tc>
          <w:tcPr>
            <w:tcW w:w="1250" w:type="dxa"/>
            <w:shd w:val="clear" w:color="auto" w:fill="auto"/>
            <w:vAlign w:val="center"/>
          </w:tcPr>
          <w:p w14:paraId="3EEE7D08" w14:textId="77777777" w:rsidR="00925C7D" w:rsidRPr="00ED0D6D" w:rsidRDefault="00925C7D" w:rsidP="00CA2F95">
            <w:pPr>
              <w:jc w:val="center"/>
              <w:rPr>
                <w:color w:val="000000"/>
                <w:sz w:val="20"/>
              </w:rPr>
            </w:pPr>
            <w:r w:rsidRPr="00ED0D6D">
              <w:rPr>
                <w:rFonts w:eastAsia="Calibri"/>
                <w:sz w:val="20"/>
              </w:rPr>
              <w:t>44</w:t>
            </w:r>
          </w:p>
        </w:tc>
        <w:tc>
          <w:tcPr>
            <w:tcW w:w="1250" w:type="dxa"/>
            <w:shd w:val="clear" w:color="auto" w:fill="auto"/>
            <w:vAlign w:val="center"/>
          </w:tcPr>
          <w:p w14:paraId="5E3F7418" w14:textId="77777777" w:rsidR="00925C7D" w:rsidRPr="00ED0D6D"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355B4E7" w14:textId="77777777" w:rsidR="00925C7D" w:rsidRPr="00ED0D6D" w:rsidRDefault="00925C7D" w:rsidP="00CA2F95">
            <w:pPr>
              <w:jc w:val="center"/>
              <w:rPr>
                <w:color w:val="000000"/>
                <w:sz w:val="20"/>
              </w:rPr>
            </w:pPr>
            <w:r w:rsidRPr="00ED0D6D">
              <w:rPr>
                <w:rFonts w:eastAsia="Calibri"/>
                <w:sz w:val="20"/>
              </w:rPr>
              <w:t>URM</w:t>
            </w:r>
          </w:p>
        </w:tc>
        <w:tc>
          <w:tcPr>
            <w:tcW w:w="1172" w:type="dxa"/>
            <w:shd w:val="clear" w:color="auto" w:fill="auto"/>
          </w:tcPr>
          <w:p w14:paraId="4A09E93E" w14:textId="77777777" w:rsidR="00925C7D" w:rsidRDefault="00925C7D" w:rsidP="00CA2F95">
            <w:pPr>
              <w:jc w:val="center"/>
              <w:rPr>
                <w:b/>
                <w:bCs/>
                <w:color w:val="000000"/>
                <w:sz w:val="20"/>
              </w:rPr>
            </w:pPr>
          </w:p>
          <w:p w14:paraId="7945DBDE" w14:textId="77777777" w:rsidR="00925C7D" w:rsidRPr="00ED0D6D" w:rsidRDefault="00925C7D" w:rsidP="00CA2F95">
            <w:pPr>
              <w:jc w:val="center"/>
              <w:rPr>
                <w:color w:val="000000"/>
                <w:sz w:val="20"/>
              </w:rPr>
            </w:pPr>
            <w:r w:rsidRPr="00ED0D6D">
              <w:rPr>
                <w:b/>
                <w:bCs/>
                <w:color w:val="000000"/>
                <w:sz w:val="20"/>
              </w:rPr>
              <w:t>18LRVP</w:t>
            </w:r>
          </w:p>
        </w:tc>
      </w:tr>
      <w:tr w:rsidR="00925C7D" w:rsidRPr="00ED0D6D" w14:paraId="4E552E7D" w14:textId="77777777" w:rsidTr="00CA2F95">
        <w:trPr>
          <w:trHeight w:val="408"/>
        </w:trPr>
        <w:tc>
          <w:tcPr>
            <w:tcW w:w="657" w:type="dxa"/>
            <w:shd w:val="clear" w:color="auto" w:fill="auto"/>
            <w:vAlign w:val="center"/>
            <w:hideMark/>
          </w:tcPr>
          <w:p w14:paraId="069C7AF7"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3C26145F" w14:textId="77777777" w:rsidR="00925C7D" w:rsidRPr="00E32E69" w:rsidRDefault="00925C7D" w:rsidP="00CA2F95">
            <w:pPr>
              <w:jc w:val="both"/>
              <w:rPr>
                <w:color w:val="000000"/>
                <w:sz w:val="20"/>
              </w:rPr>
            </w:pPr>
            <w:r w:rsidRPr="00E32E69">
              <w:rPr>
                <w:sz w:val="20"/>
              </w:rPr>
              <w:t xml:space="preserve">Visuomenės pasitikėjimas ES ir jos veikla </w:t>
            </w:r>
            <w:r>
              <w:rPr>
                <w:sz w:val="20"/>
              </w:rPr>
              <w:t>(</w:t>
            </w:r>
            <w:r w:rsidRPr="00E32E69">
              <w:rPr>
                <w:sz w:val="20"/>
              </w:rPr>
              <w:t>proc.</w:t>
            </w:r>
            <w:r>
              <w:rPr>
                <w:sz w:val="20"/>
              </w:rPr>
              <w:t>)</w:t>
            </w:r>
            <w:r w:rsidRPr="00E32E69">
              <w:rPr>
                <w:sz w:val="20"/>
              </w:rPr>
              <w:t xml:space="preserve">   </w:t>
            </w:r>
          </w:p>
        </w:tc>
        <w:tc>
          <w:tcPr>
            <w:tcW w:w="1080" w:type="dxa"/>
            <w:shd w:val="clear" w:color="000000" w:fill="FFFFFF"/>
            <w:vAlign w:val="center"/>
          </w:tcPr>
          <w:p w14:paraId="1BE854A9" w14:textId="77777777" w:rsidR="00925C7D" w:rsidRPr="00E32E69" w:rsidRDefault="00925C7D" w:rsidP="00CA2F95">
            <w:pPr>
              <w:jc w:val="center"/>
              <w:rPr>
                <w:color w:val="000000"/>
                <w:sz w:val="20"/>
              </w:rPr>
            </w:pPr>
            <w:r w:rsidRPr="00E32E69">
              <w:rPr>
                <w:sz w:val="20"/>
              </w:rPr>
              <w:t>66</w:t>
            </w:r>
          </w:p>
        </w:tc>
        <w:tc>
          <w:tcPr>
            <w:tcW w:w="1080" w:type="dxa"/>
            <w:shd w:val="clear" w:color="000000" w:fill="FFFFFF"/>
            <w:vAlign w:val="center"/>
          </w:tcPr>
          <w:p w14:paraId="3B048A32" w14:textId="77777777" w:rsidR="00925C7D" w:rsidRPr="00E32E69" w:rsidRDefault="00925C7D" w:rsidP="00CA2F95">
            <w:pPr>
              <w:jc w:val="center"/>
              <w:rPr>
                <w:color w:val="000000"/>
                <w:sz w:val="20"/>
              </w:rPr>
            </w:pPr>
            <w:r w:rsidRPr="00E32E69">
              <w:rPr>
                <w:sz w:val="20"/>
              </w:rPr>
              <w:t>59</w:t>
            </w:r>
          </w:p>
        </w:tc>
        <w:tc>
          <w:tcPr>
            <w:tcW w:w="956" w:type="dxa"/>
            <w:shd w:val="clear" w:color="auto" w:fill="auto"/>
            <w:vAlign w:val="center"/>
          </w:tcPr>
          <w:p w14:paraId="38367FD9" w14:textId="77777777" w:rsidR="00925C7D" w:rsidRPr="00E32E69" w:rsidRDefault="00925C7D" w:rsidP="00CA2F95">
            <w:pPr>
              <w:jc w:val="center"/>
              <w:rPr>
                <w:color w:val="000000"/>
                <w:sz w:val="20"/>
              </w:rPr>
            </w:pPr>
            <w:r w:rsidRPr="00E32E69">
              <w:rPr>
                <w:sz w:val="20"/>
              </w:rPr>
              <w:t>45 (2019) 43 (2020)</w:t>
            </w:r>
          </w:p>
        </w:tc>
        <w:tc>
          <w:tcPr>
            <w:tcW w:w="983" w:type="dxa"/>
            <w:shd w:val="clear" w:color="000000" w:fill="FFFFFF"/>
            <w:vAlign w:val="center"/>
          </w:tcPr>
          <w:p w14:paraId="1DD37FF3" w14:textId="77777777" w:rsidR="00925C7D" w:rsidRPr="00E32E69" w:rsidRDefault="00925C7D" w:rsidP="00CA2F95">
            <w:pPr>
              <w:jc w:val="center"/>
              <w:rPr>
                <w:color w:val="000000"/>
                <w:sz w:val="20"/>
              </w:rPr>
            </w:pPr>
            <w:r w:rsidRPr="00E32E69">
              <w:rPr>
                <w:sz w:val="20"/>
              </w:rPr>
              <w:t>55</w:t>
            </w:r>
          </w:p>
        </w:tc>
        <w:tc>
          <w:tcPr>
            <w:tcW w:w="1250" w:type="dxa"/>
            <w:shd w:val="clear" w:color="auto" w:fill="auto"/>
            <w:vAlign w:val="center"/>
          </w:tcPr>
          <w:p w14:paraId="55E05821" w14:textId="77777777" w:rsidR="00925C7D" w:rsidRPr="00E32E69" w:rsidRDefault="00925C7D" w:rsidP="00CA2F95">
            <w:pPr>
              <w:jc w:val="center"/>
              <w:rPr>
                <w:color w:val="000000"/>
                <w:sz w:val="20"/>
              </w:rPr>
            </w:pPr>
            <w:r w:rsidRPr="00E32E69">
              <w:rPr>
                <w:sz w:val="20"/>
              </w:rPr>
              <w:t>65</w:t>
            </w:r>
          </w:p>
        </w:tc>
        <w:tc>
          <w:tcPr>
            <w:tcW w:w="1250" w:type="dxa"/>
            <w:shd w:val="clear" w:color="auto" w:fill="auto"/>
            <w:vAlign w:val="center"/>
          </w:tcPr>
          <w:p w14:paraId="1AA1D570" w14:textId="77777777" w:rsidR="00925C7D" w:rsidRPr="00E32E69" w:rsidRDefault="00925C7D" w:rsidP="00CA2F95">
            <w:pPr>
              <w:jc w:val="center"/>
              <w:rPr>
                <w:color w:val="000000"/>
                <w:sz w:val="20"/>
              </w:rPr>
            </w:pPr>
            <w:r w:rsidRPr="00E32E69">
              <w:rPr>
                <w:sz w:val="20"/>
              </w:rPr>
              <w:t>65</w:t>
            </w:r>
          </w:p>
        </w:tc>
        <w:tc>
          <w:tcPr>
            <w:tcW w:w="2491" w:type="dxa"/>
            <w:shd w:val="clear" w:color="auto" w:fill="auto"/>
            <w:vAlign w:val="center"/>
          </w:tcPr>
          <w:p w14:paraId="4D85EF4C" w14:textId="77777777" w:rsidR="00925C7D" w:rsidRPr="00E32E69" w:rsidRDefault="00925C7D" w:rsidP="00CA2F95">
            <w:pPr>
              <w:jc w:val="center"/>
              <w:rPr>
                <w:color w:val="000000"/>
                <w:sz w:val="20"/>
              </w:rPr>
            </w:pPr>
            <w:proofErr w:type="spellStart"/>
            <w:r w:rsidRPr="00E32E69">
              <w:rPr>
                <w:sz w:val="20"/>
              </w:rPr>
              <w:t>Eurobarometro</w:t>
            </w:r>
            <w:proofErr w:type="spellEnd"/>
            <w:r w:rsidRPr="00E32E69">
              <w:rPr>
                <w:sz w:val="20"/>
              </w:rPr>
              <w:t xml:space="preserve"> duomenys</w:t>
            </w:r>
          </w:p>
        </w:tc>
        <w:tc>
          <w:tcPr>
            <w:tcW w:w="1172" w:type="dxa"/>
            <w:shd w:val="clear" w:color="auto" w:fill="auto"/>
            <w:vAlign w:val="center"/>
          </w:tcPr>
          <w:p w14:paraId="263A06A2" w14:textId="77777777" w:rsidR="00925C7D" w:rsidRPr="002E35DC" w:rsidRDefault="00925C7D" w:rsidP="00CA2F95">
            <w:pPr>
              <w:jc w:val="center"/>
              <w:rPr>
                <w:sz w:val="20"/>
              </w:rPr>
            </w:pPr>
            <w:r w:rsidRPr="002E35DC">
              <w:rPr>
                <w:sz w:val="20"/>
              </w:rPr>
              <w:t>NPP2030</w:t>
            </w:r>
          </w:p>
          <w:p w14:paraId="1B1D4E65"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4837ED7F" w14:textId="77777777" w:rsidTr="00CA2F95">
        <w:trPr>
          <w:trHeight w:val="408"/>
        </w:trPr>
        <w:tc>
          <w:tcPr>
            <w:tcW w:w="657" w:type="dxa"/>
            <w:shd w:val="clear" w:color="auto" w:fill="auto"/>
            <w:vAlign w:val="center"/>
          </w:tcPr>
          <w:p w14:paraId="34E55B49"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DEBCC3F" w14:textId="77777777" w:rsidR="00925C7D" w:rsidRPr="00E32E69" w:rsidRDefault="00925C7D" w:rsidP="00CA2F95">
            <w:pPr>
              <w:jc w:val="both"/>
              <w:rPr>
                <w:sz w:val="20"/>
              </w:rPr>
            </w:pPr>
            <w:r w:rsidRPr="00E32E69">
              <w:rPr>
                <w:sz w:val="20"/>
              </w:rPr>
              <w:t>Lietuvos gyventojų dalis, mananti, kad Lietuvos interesų tarptautinėje bendruomenėje įgyvendinimas yra užtikrintas (proc</w:t>
            </w:r>
            <w:r>
              <w:rPr>
                <w:sz w:val="20"/>
              </w:rPr>
              <w:t>.</w:t>
            </w:r>
            <w:r w:rsidRPr="00E32E69">
              <w:rPr>
                <w:sz w:val="20"/>
              </w:rPr>
              <w:t xml:space="preserve">) </w:t>
            </w:r>
          </w:p>
        </w:tc>
        <w:tc>
          <w:tcPr>
            <w:tcW w:w="1080" w:type="dxa"/>
            <w:shd w:val="clear" w:color="000000" w:fill="FFFFFF"/>
            <w:vAlign w:val="center"/>
          </w:tcPr>
          <w:p w14:paraId="3A0766BA" w14:textId="77777777" w:rsidR="00925C7D" w:rsidRPr="00E32E69" w:rsidRDefault="00925C7D" w:rsidP="00CA2F95">
            <w:pPr>
              <w:jc w:val="center"/>
              <w:rPr>
                <w:sz w:val="20"/>
              </w:rPr>
            </w:pPr>
            <w:r w:rsidRPr="00E32E69">
              <w:rPr>
                <w:sz w:val="20"/>
              </w:rPr>
              <w:t>40</w:t>
            </w:r>
          </w:p>
        </w:tc>
        <w:tc>
          <w:tcPr>
            <w:tcW w:w="1080" w:type="dxa"/>
            <w:shd w:val="clear" w:color="000000" w:fill="FFFFFF"/>
            <w:vAlign w:val="center"/>
          </w:tcPr>
          <w:p w14:paraId="48FCBF3E" w14:textId="77777777" w:rsidR="00925C7D" w:rsidRPr="00E32E69" w:rsidRDefault="00925C7D" w:rsidP="00CA2F95">
            <w:pPr>
              <w:jc w:val="center"/>
              <w:rPr>
                <w:sz w:val="20"/>
              </w:rPr>
            </w:pPr>
            <w:r w:rsidRPr="00E32E69">
              <w:rPr>
                <w:sz w:val="20"/>
              </w:rPr>
              <w:t>58</w:t>
            </w:r>
          </w:p>
        </w:tc>
        <w:tc>
          <w:tcPr>
            <w:tcW w:w="956" w:type="dxa"/>
            <w:shd w:val="clear" w:color="auto" w:fill="auto"/>
            <w:vAlign w:val="center"/>
          </w:tcPr>
          <w:p w14:paraId="234186EA" w14:textId="77777777" w:rsidR="00925C7D" w:rsidRPr="00E32E69"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23E18D3C" w14:textId="77777777" w:rsidR="00925C7D" w:rsidRPr="00E32E69" w:rsidRDefault="00925C7D" w:rsidP="00CA2F95">
            <w:pPr>
              <w:jc w:val="center"/>
              <w:rPr>
                <w:sz w:val="20"/>
              </w:rPr>
            </w:pPr>
            <w:r w:rsidRPr="00E32E69">
              <w:rPr>
                <w:sz w:val="20"/>
              </w:rPr>
              <w:t>50</w:t>
            </w:r>
          </w:p>
        </w:tc>
        <w:tc>
          <w:tcPr>
            <w:tcW w:w="1250" w:type="dxa"/>
            <w:shd w:val="clear" w:color="auto" w:fill="auto"/>
            <w:vAlign w:val="center"/>
          </w:tcPr>
          <w:p w14:paraId="1EF4028D" w14:textId="77777777" w:rsidR="00925C7D" w:rsidRPr="00E32E69" w:rsidRDefault="00925C7D" w:rsidP="00CA2F95">
            <w:pPr>
              <w:jc w:val="center"/>
              <w:rPr>
                <w:sz w:val="20"/>
              </w:rPr>
            </w:pPr>
            <w:r w:rsidRPr="00E32E69">
              <w:rPr>
                <w:sz w:val="20"/>
              </w:rPr>
              <w:t>38</w:t>
            </w:r>
          </w:p>
        </w:tc>
        <w:tc>
          <w:tcPr>
            <w:tcW w:w="1250" w:type="dxa"/>
            <w:shd w:val="clear" w:color="auto" w:fill="auto"/>
            <w:vAlign w:val="center"/>
          </w:tcPr>
          <w:p w14:paraId="1212A734" w14:textId="77777777" w:rsidR="00925C7D" w:rsidRPr="00E32E69" w:rsidRDefault="00925C7D" w:rsidP="00CA2F95">
            <w:pPr>
              <w:jc w:val="center"/>
              <w:rPr>
                <w:sz w:val="20"/>
              </w:rPr>
            </w:pPr>
            <w:r w:rsidRPr="00E32E69">
              <w:rPr>
                <w:sz w:val="20"/>
              </w:rPr>
              <w:t>40</w:t>
            </w:r>
          </w:p>
        </w:tc>
        <w:tc>
          <w:tcPr>
            <w:tcW w:w="2491" w:type="dxa"/>
            <w:shd w:val="clear" w:color="auto" w:fill="auto"/>
            <w:vAlign w:val="center"/>
          </w:tcPr>
          <w:p w14:paraId="70A53068" w14:textId="77777777" w:rsidR="00925C7D" w:rsidRPr="00E32E69" w:rsidRDefault="00925C7D" w:rsidP="00CA2F95">
            <w:pPr>
              <w:jc w:val="center"/>
              <w:rPr>
                <w:sz w:val="20"/>
              </w:rPr>
            </w:pPr>
            <w:r>
              <w:rPr>
                <w:sz w:val="20"/>
              </w:rPr>
              <w:t>G</w:t>
            </w:r>
            <w:r w:rsidRPr="00E32E69">
              <w:rPr>
                <w:sz w:val="20"/>
              </w:rPr>
              <w:t>yventojų nuomonės apklausa</w:t>
            </w:r>
          </w:p>
        </w:tc>
        <w:tc>
          <w:tcPr>
            <w:tcW w:w="1172" w:type="dxa"/>
            <w:shd w:val="clear" w:color="auto" w:fill="auto"/>
            <w:vAlign w:val="center"/>
          </w:tcPr>
          <w:p w14:paraId="0C3F00AB" w14:textId="77777777" w:rsidR="00925C7D" w:rsidRDefault="00925C7D" w:rsidP="00CA2F95">
            <w:pPr>
              <w:jc w:val="center"/>
              <w:rPr>
                <w:sz w:val="20"/>
              </w:rPr>
            </w:pPr>
            <w:r w:rsidRPr="00456BBA">
              <w:rPr>
                <w:sz w:val="20"/>
              </w:rPr>
              <w:t>NPP2030</w:t>
            </w:r>
          </w:p>
          <w:p w14:paraId="68094F66" w14:textId="77777777" w:rsidR="00925C7D" w:rsidRPr="002E35DC" w:rsidRDefault="00925C7D" w:rsidP="00CA2F95">
            <w:pPr>
              <w:jc w:val="center"/>
              <w:rPr>
                <w:sz w:val="20"/>
              </w:rPr>
            </w:pPr>
            <w:r w:rsidRPr="00E32E69">
              <w:rPr>
                <w:sz w:val="20"/>
              </w:rPr>
              <w:t xml:space="preserve">17LRVP </w:t>
            </w:r>
          </w:p>
        </w:tc>
      </w:tr>
      <w:tr w:rsidR="00925C7D" w:rsidRPr="00ED0D6D" w14:paraId="3C17A053" w14:textId="77777777" w:rsidTr="00CA2F95">
        <w:trPr>
          <w:trHeight w:val="408"/>
        </w:trPr>
        <w:tc>
          <w:tcPr>
            <w:tcW w:w="657" w:type="dxa"/>
            <w:shd w:val="clear" w:color="auto" w:fill="auto"/>
            <w:vAlign w:val="center"/>
          </w:tcPr>
          <w:p w14:paraId="249EFB21"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0214DA3D" w14:textId="77777777" w:rsidR="00925C7D" w:rsidRPr="00E32E69" w:rsidRDefault="00925C7D" w:rsidP="00CA2F95">
            <w:pPr>
              <w:jc w:val="both"/>
              <w:rPr>
                <w:sz w:val="20"/>
              </w:rPr>
            </w:pPr>
            <w:r w:rsidRPr="00E32E69">
              <w:rPr>
                <w:sz w:val="20"/>
              </w:rPr>
              <w:t xml:space="preserve">Bendrųjų nacionalinių pajamų dalis, skiriama Lietuvos oficialiai paramai vystymuisi </w:t>
            </w:r>
            <w:r>
              <w:rPr>
                <w:sz w:val="20"/>
              </w:rPr>
              <w:t>(</w:t>
            </w:r>
            <w:r w:rsidRPr="00E32E69">
              <w:rPr>
                <w:sz w:val="20"/>
              </w:rPr>
              <w:t>proc.</w:t>
            </w:r>
            <w:r>
              <w:rPr>
                <w:sz w:val="20"/>
              </w:rPr>
              <w:t>)</w:t>
            </w:r>
            <w:r w:rsidRPr="00E32E69">
              <w:rPr>
                <w:sz w:val="20"/>
              </w:rPr>
              <w:t xml:space="preserve">   </w:t>
            </w:r>
          </w:p>
        </w:tc>
        <w:tc>
          <w:tcPr>
            <w:tcW w:w="1080" w:type="dxa"/>
            <w:shd w:val="clear" w:color="000000" w:fill="FFFFFF"/>
            <w:vAlign w:val="center"/>
          </w:tcPr>
          <w:p w14:paraId="750500F1" w14:textId="77777777" w:rsidR="00925C7D" w:rsidRPr="00E32E69" w:rsidRDefault="00925C7D" w:rsidP="00CA2F95">
            <w:pPr>
              <w:jc w:val="center"/>
              <w:rPr>
                <w:sz w:val="20"/>
              </w:rPr>
            </w:pPr>
            <w:r w:rsidRPr="00E32E69">
              <w:rPr>
                <w:sz w:val="20"/>
              </w:rPr>
              <w:t>0,13</w:t>
            </w:r>
          </w:p>
        </w:tc>
        <w:tc>
          <w:tcPr>
            <w:tcW w:w="1080" w:type="dxa"/>
            <w:shd w:val="clear" w:color="000000" w:fill="FFFFFF"/>
            <w:vAlign w:val="center"/>
          </w:tcPr>
          <w:p w14:paraId="5C0212E4" w14:textId="77777777" w:rsidR="00925C7D" w:rsidRPr="00E32E69" w:rsidRDefault="00925C7D" w:rsidP="00CA2F95">
            <w:pPr>
              <w:jc w:val="center"/>
              <w:rPr>
                <w:sz w:val="20"/>
              </w:rPr>
            </w:pPr>
            <w:r w:rsidRPr="00ED0D6D">
              <w:rPr>
                <w:color w:val="000000"/>
                <w:sz w:val="20"/>
              </w:rPr>
              <w:t xml:space="preserve">N.D. </w:t>
            </w:r>
          </w:p>
        </w:tc>
        <w:tc>
          <w:tcPr>
            <w:tcW w:w="956" w:type="dxa"/>
            <w:shd w:val="clear" w:color="auto" w:fill="auto"/>
            <w:vAlign w:val="center"/>
          </w:tcPr>
          <w:p w14:paraId="569B909D" w14:textId="77777777" w:rsidR="00925C7D" w:rsidRPr="00E32E69" w:rsidRDefault="00925C7D" w:rsidP="00CA2F95">
            <w:pPr>
              <w:jc w:val="center"/>
              <w:rPr>
                <w:sz w:val="20"/>
              </w:rPr>
            </w:pPr>
            <w:r w:rsidRPr="00ED0D6D">
              <w:rPr>
                <w:color w:val="000000"/>
                <w:sz w:val="20"/>
              </w:rPr>
              <w:t xml:space="preserve">_ </w:t>
            </w:r>
          </w:p>
        </w:tc>
        <w:tc>
          <w:tcPr>
            <w:tcW w:w="983" w:type="dxa"/>
            <w:shd w:val="clear" w:color="000000" w:fill="FFFFFF"/>
            <w:vAlign w:val="center"/>
          </w:tcPr>
          <w:p w14:paraId="2907C46F" w14:textId="77777777" w:rsidR="00925C7D" w:rsidRPr="00E32E69" w:rsidRDefault="00925C7D" w:rsidP="00CA2F95">
            <w:pPr>
              <w:jc w:val="center"/>
              <w:rPr>
                <w:sz w:val="20"/>
              </w:rPr>
            </w:pPr>
            <w:r w:rsidRPr="00E32E69">
              <w:rPr>
                <w:sz w:val="20"/>
              </w:rPr>
              <w:t>0,15</w:t>
            </w:r>
          </w:p>
        </w:tc>
        <w:tc>
          <w:tcPr>
            <w:tcW w:w="1250" w:type="dxa"/>
            <w:shd w:val="clear" w:color="auto" w:fill="auto"/>
            <w:vAlign w:val="center"/>
          </w:tcPr>
          <w:p w14:paraId="2A07914B" w14:textId="77777777" w:rsidR="00925C7D" w:rsidRPr="00E32E69" w:rsidRDefault="00925C7D" w:rsidP="00CA2F95">
            <w:pPr>
              <w:jc w:val="center"/>
              <w:rPr>
                <w:sz w:val="20"/>
              </w:rPr>
            </w:pPr>
            <w:r w:rsidRPr="00E32E69">
              <w:rPr>
                <w:sz w:val="20"/>
              </w:rPr>
              <w:t>0,22</w:t>
            </w:r>
          </w:p>
        </w:tc>
        <w:tc>
          <w:tcPr>
            <w:tcW w:w="1250" w:type="dxa"/>
            <w:shd w:val="clear" w:color="auto" w:fill="auto"/>
            <w:vAlign w:val="center"/>
          </w:tcPr>
          <w:p w14:paraId="7F5DC235" w14:textId="77777777" w:rsidR="00925C7D" w:rsidRPr="00E32E69" w:rsidRDefault="00925C7D" w:rsidP="00CA2F95">
            <w:pPr>
              <w:jc w:val="center"/>
              <w:rPr>
                <w:sz w:val="20"/>
              </w:rPr>
            </w:pPr>
            <w:r w:rsidRPr="00E32E69">
              <w:rPr>
                <w:sz w:val="20"/>
              </w:rPr>
              <w:t>0,33</w:t>
            </w:r>
          </w:p>
        </w:tc>
        <w:tc>
          <w:tcPr>
            <w:tcW w:w="2491" w:type="dxa"/>
            <w:shd w:val="clear" w:color="auto" w:fill="auto"/>
          </w:tcPr>
          <w:p w14:paraId="4AF074E6" w14:textId="77777777" w:rsidR="00925C7D" w:rsidRPr="00E32E69" w:rsidRDefault="00925C7D" w:rsidP="00CA2F95">
            <w:pPr>
              <w:jc w:val="center"/>
              <w:rPr>
                <w:sz w:val="20"/>
              </w:rPr>
            </w:pPr>
            <w:r w:rsidRPr="00B2575F">
              <w:rPr>
                <w:rFonts w:eastAsia="Calibri"/>
                <w:sz w:val="20"/>
              </w:rPr>
              <w:t>URM</w:t>
            </w:r>
            <w:r w:rsidRPr="00B2575F">
              <w:rPr>
                <w:sz w:val="20"/>
              </w:rPr>
              <w:t> </w:t>
            </w:r>
          </w:p>
        </w:tc>
        <w:tc>
          <w:tcPr>
            <w:tcW w:w="1172" w:type="dxa"/>
            <w:shd w:val="clear" w:color="auto" w:fill="auto"/>
            <w:vAlign w:val="center"/>
          </w:tcPr>
          <w:p w14:paraId="05C168F6" w14:textId="77777777" w:rsidR="00925C7D" w:rsidRDefault="00925C7D" w:rsidP="00CA2F95">
            <w:pPr>
              <w:jc w:val="center"/>
              <w:rPr>
                <w:sz w:val="20"/>
              </w:rPr>
            </w:pPr>
            <w:r w:rsidRPr="00456BBA">
              <w:rPr>
                <w:sz w:val="20"/>
              </w:rPr>
              <w:t>NPP2030</w:t>
            </w:r>
          </w:p>
          <w:p w14:paraId="67E44AD4" w14:textId="77777777" w:rsidR="00925C7D" w:rsidRPr="002E35DC" w:rsidRDefault="00925C7D" w:rsidP="00CA2F95">
            <w:pPr>
              <w:jc w:val="center"/>
              <w:rPr>
                <w:sz w:val="20"/>
              </w:rPr>
            </w:pPr>
            <w:r w:rsidRPr="00E32E69">
              <w:rPr>
                <w:sz w:val="20"/>
              </w:rPr>
              <w:t xml:space="preserve">17LRVP </w:t>
            </w:r>
          </w:p>
        </w:tc>
      </w:tr>
      <w:tr w:rsidR="00925C7D" w:rsidRPr="00ED0D6D" w14:paraId="5FE70EFC" w14:textId="77777777" w:rsidTr="00CA2F95">
        <w:trPr>
          <w:trHeight w:val="384"/>
        </w:trPr>
        <w:tc>
          <w:tcPr>
            <w:tcW w:w="657" w:type="dxa"/>
            <w:shd w:val="clear" w:color="auto" w:fill="auto"/>
            <w:vAlign w:val="center"/>
            <w:hideMark/>
          </w:tcPr>
          <w:p w14:paraId="716E6CE9"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345521E7" w14:textId="77777777" w:rsidR="00925C7D" w:rsidRPr="00E32E69" w:rsidRDefault="00925C7D" w:rsidP="00CA2F95">
            <w:pPr>
              <w:jc w:val="both"/>
              <w:rPr>
                <w:color w:val="000000"/>
                <w:sz w:val="20"/>
              </w:rPr>
            </w:pPr>
            <w:r w:rsidRPr="00E32E69">
              <w:rPr>
                <w:sz w:val="20"/>
              </w:rPr>
              <w:t xml:space="preserve">Valstybių, kuriose remiama užsienio lietuvių organizacijų veikla, susijusi su lietuvybės puoselėjimu ir „Globalios Lietuvos“ sampratos įtvirtinimu, skaičius (vienetai)   </w:t>
            </w:r>
          </w:p>
        </w:tc>
        <w:tc>
          <w:tcPr>
            <w:tcW w:w="1080" w:type="dxa"/>
            <w:shd w:val="clear" w:color="000000" w:fill="FFFFFF"/>
            <w:vAlign w:val="center"/>
          </w:tcPr>
          <w:p w14:paraId="41026D1D" w14:textId="77777777" w:rsidR="00925C7D" w:rsidRPr="00E32E69" w:rsidRDefault="00925C7D" w:rsidP="00CA2F95">
            <w:pPr>
              <w:jc w:val="center"/>
              <w:rPr>
                <w:color w:val="000000"/>
                <w:sz w:val="20"/>
              </w:rPr>
            </w:pPr>
            <w:r w:rsidRPr="00E32E69">
              <w:rPr>
                <w:sz w:val="20"/>
              </w:rPr>
              <w:t>47</w:t>
            </w:r>
          </w:p>
        </w:tc>
        <w:tc>
          <w:tcPr>
            <w:tcW w:w="1080" w:type="dxa"/>
            <w:shd w:val="clear" w:color="000000" w:fill="FFFFFF"/>
            <w:vAlign w:val="center"/>
          </w:tcPr>
          <w:p w14:paraId="1520D558" w14:textId="77777777" w:rsidR="00925C7D" w:rsidRPr="00E32E69" w:rsidRDefault="00925C7D" w:rsidP="00CA2F95">
            <w:pPr>
              <w:jc w:val="center"/>
              <w:rPr>
                <w:color w:val="000000"/>
                <w:sz w:val="20"/>
              </w:rPr>
            </w:pPr>
            <w:r w:rsidRPr="00E32E69">
              <w:rPr>
                <w:sz w:val="20"/>
              </w:rPr>
              <w:t>38</w:t>
            </w:r>
          </w:p>
        </w:tc>
        <w:tc>
          <w:tcPr>
            <w:tcW w:w="956" w:type="dxa"/>
            <w:shd w:val="clear" w:color="auto" w:fill="auto"/>
            <w:vAlign w:val="center"/>
          </w:tcPr>
          <w:p w14:paraId="27A54259"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09EF1EB6" w14:textId="77777777" w:rsidR="00925C7D" w:rsidRPr="00E32E69" w:rsidRDefault="00925C7D" w:rsidP="00CA2F95">
            <w:pPr>
              <w:jc w:val="center"/>
              <w:rPr>
                <w:color w:val="000000"/>
                <w:sz w:val="20"/>
              </w:rPr>
            </w:pPr>
            <w:r w:rsidRPr="00E32E69">
              <w:rPr>
                <w:sz w:val="20"/>
              </w:rPr>
              <w:t>47</w:t>
            </w:r>
          </w:p>
        </w:tc>
        <w:tc>
          <w:tcPr>
            <w:tcW w:w="1250" w:type="dxa"/>
            <w:shd w:val="clear" w:color="auto" w:fill="auto"/>
            <w:vAlign w:val="center"/>
          </w:tcPr>
          <w:p w14:paraId="3579DF72"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1F7DDC27"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3A737F70" w14:textId="77777777" w:rsidR="00925C7D" w:rsidRPr="00E32E69" w:rsidRDefault="00925C7D" w:rsidP="00CA2F95">
            <w:pPr>
              <w:jc w:val="center"/>
              <w:rPr>
                <w:color w:val="000000"/>
                <w:sz w:val="20"/>
              </w:rPr>
            </w:pPr>
            <w:r w:rsidRPr="00E32E69">
              <w:rPr>
                <w:sz w:val="20"/>
              </w:rPr>
              <w:t> </w:t>
            </w:r>
            <w:r w:rsidRPr="00ED0D6D">
              <w:rPr>
                <w:rFonts w:eastAsia="Calibri"/>
                <w:sz w:val="20"/>
              </w:rPr>
              <w:t>URM</w:t>
            </w:r>
          </w:p>
        </w:tc>
        <w:tc>
          <w:tcPr>
            <w:tcW w:w="1172" w:type="dxa"/>
            <w:shd w:val="clear" w:color="auto" w:fill="auto"/>
            <w:vAlign w:val="center"/>
          </w:tcPr>
          <w:p w14:paraId="7BECB929" w14:textId="77777777" w:rsidR="00925C7D" w:rsidRDefault="00925C7D" w:rsidP="00CA2F95">
            <w:pPr>
              <w:jc w:val="center"/>
              <w:rPr>
                <w:sz w:val="20"/>
              </w:rPr>
            </w:pPr>
            <w:r w:rsidRPr="00E32E69">
              <w:rPr>
                <w:sz w:val="20"/>
              </w:rPr>
              <w:t>NPP2020</w:t>
            </w:r>
          </w:p>
          <w:p w14:paraId="4388530E"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0E275CDE" w14:textId="77777777" w:rsidTr="00CA2F95">
        <w:trPr>
          <w:trHeight w:val="384"/>
        </w:trPr>
        <w:tc>
          <w:tcPr>
            <w:tcW w:w="657" w:type="dxa"/>
            <w:shd w:val="clear" w:color="auto" w:fill="auto"/>
            <w:vAlign w:val="center"/>
          </w:tcPr>
          <w:p w14:paraId="3E36BDA7"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55167CEB" w14:textId="77777777" w:rsidR="00925C7D" w:rsidRPr="00E32E69" w:rsidRDefault="00925C7D" w:rsidP="00CA2F95">
            <w:pPr>
              <w:jc w:val="both"/>
              <w:rPr>
                <w:color w:val="000000"/>
                <w:sz w:val="20"/>
              </w:rPr>
            </w:pPr>
            <w:r w:rsidRPr="00E32E69">
              <w:rPr>
                <w:sz w:val="20"/>
              </w:rPr>
              <w:t>Investicinių projektų, ateinančių per Lietuvos Respublikos diplomatines atstovybes užsienyje, dalis (proc</w:t>
            </w:r>
            <w:r>
              <w:rPr>
                <w:sz w:val="20"/>
              </w:rPr>
              <w:t>.</w:t>
            </w:r>
            <w:r w:rsidRPr="00E32E69">
              <w:rPr>
                <w:sz w:val="20"/>
              </w:rPr>
              <w:t xml:space="preserve">) </w:t>
            </w:r>
          </w:p>
        </w:tc>
        <w:tc>
          <w:tcPr>
            <w:tcW w:w="1080" w:type="dxa"/>
            <w:shd w:val="clear" w:color="000000" w:fill="FFFFFF"/>
            <w:vAlign w:val="center"/>
          </w:tcPr>
          <w:p w14:paraId="5AC327A0" w14:textId="77777777" w:rsidR="00925C7D" w:rsidRPr="00E32E69" w:rsidRDefault="00925C7D" w:rsidP="00CA2F95">
            <w:pPr>
              <w:jc w:val="center"/>
              <w:rPr>
                <w:color w:val="000000"/>
                <w:sz w:val="20"/>
              </w:rPr>
            </w:pPr>
            <w:r w:rsidRPr="00E32E69">
              <w:rPr>
                <w:sz w:val="20"/>
              </w:rPr>
              <w:t>0</w:t>
            </w:r>
          </w:p>
        </w:tc>
        <w:tc>
          <w:tcPr>
            <w:tcW w:w="1080" w:type="dxa"/>
            <w:shd w:val="clear" w:color="000000" w:fill="FFFFFF"/>
            <w:vAlign w:val="center"/>
          </w:tcPr>
          <w:p w14:paraId="0BD40051" w14:textId="77777777" w:rsidR="00925C7D" w:rsidRPr="00E32E69" w:rsidRDefault="00925C7D" w:rsidP="00CA2F95">
            <w:pPr>
              <w:jc w:val="center"/>
              <w:rPr>
                <w:color w:val="000000"/>
                <w:sz w:val="20"/>
              </w:rPr>
            </w:pPr>
            <w:r w:rsidRPr="00E32E69">
              <w:rPr>
                <w:sz w:val="20"/>
              </w:rPr>
              <w:t>23</w:t>
            </w:r>
          </w:p>
        </w:tc>
        <w:tc>
          <w:tcPr>
            <w:tcW w:w="956" w:type="dxa"/>
            <w:shd w:val="clear" w:color="auto" w:fill="auto"/>
            <w:vAlign w:val="center"/>
          </w:tcPr>
          <w:p w14:paraId="5F1CD913"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70C089D6" w14:textId="77777777" w:rsidR="00925C7D" w:rsidRPr="00E32E69" w:rsidRDefault="00925C7D" w:rsidP="00CA2F95">
            <w:pPr>
              <w:jc w:val="center"/>
              <w:rPr>
                <w:color w:val="000000"/>
                <w:sz w:val="20"/>
              </w:rPr>
            </w:pPr>
            <w:r w:rsidRPr="00E32E69">
              <w:rPr>
                <w:sz w:val="20"/>
              </w:rPr>
              <w:t>14</w:t>
            </w:r>
          </w:p>
        </w:tc>
        <w:tc>
          <w:tcPr>
            <w:tcW w:w="1250" w:type="dxa"/>
            <w:shd w:val="clear" w:color="auto" w:fill="auto"/>
            <w:vAlign w:val="center"/>
          </w:tcPr>
          <w:p w14:paraId="2574D213"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DABFC25"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19F4D7BC" w14:textId="77777777" w:rsidR="00925C7D" w:rsidRPr="00E32E69" w:rsidRDefault="00925C7D" w:rsidP="00CA2F95">
            <w:pPr>
              <w:jc w:val="center"/>
              <w:rPr>
                <w:color w:val="000000"/>
                <w:sz w:val="20"/>
              </w:rPr>
            </w:pPr>
            <w:r w:rsidRPr="00ED0D6D">
              <w:rPr>
                <w:rFonts w:eastAsia="Calibri"/>
                <w:sz w:val="20"/>
              </w:rPr>
              <w:t>URM</w:t>
            </w:r>
            <w:r w:rsidRPr="00E32E69">
              <w:rPr>
                <w:sz w:val="20"/>
              </w:rPr>
              <w:t> </w:t>
            </w:r>
          </w:p>
        </w:tc>
        <w:tc>
          <w:tcPr>
            <w:tcW w:w="1172" w:type="dxa"/>
            <w:shd w:val="clear" w:color="auto" w:fill="auto"/>
            <w:vAlign w:val="center"/>
          </w:tcPr>
          <w:p w14:paraId="6104F4ED" w14:textId="77777777" w:rsidR="00925C7D" w:rsidRDefault="00925C7D" w:rsidP="00CA2F95">
            <w:pPr>
              <w:jc w:val="center"/>
              <w:rPr>
                <w:sz w:val="20"/>
              </w:rPr>
            </w:pPr>
            <w:r w:rsidRPr="00E32E69">
              <w:rPr>
                <w:sz w:val="20"/>
              </w:rPr>
              <w:t>NPP2020</w:t>
            </w:r>
          </w:p>
          <w:p w14:paraId="163519B1"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33B6DF24" w14:textId="77777777" w:rsidTr="00CA2F95">
        <w:trPr>
          <w:trHeight w:val="384"/>
        </w:trPr>
        <w:tc>
          <w:tcPr>
            <w:tcW w:w="657" w:type="dxa"/>
            <w:shd w:val="clear" w:color="auto" w:fill="auto"/>
            <w:vAlign w:val="center"/>
          </w:tcPr>
          <w:p w14:paraId="172261A8"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1D091591" w14:textId="77777777" w:rsidR="00925C7D" w:rsidRPr="00E32E69" w:rsidRDefault="00925C7D" w:rsidP="00CA2F95">
            <w:pPr>
              <w:jc w:val="both"/>
              <w:rPr>
                <w:color w:val="000000"/>
                <w:sz w:val="20"/>
              </w:rPr>
            </w:pPr>
            <w:r w:rsidRPr="00E32E69">
              <w:rPr>
                <w:sz w:val="20"/>
              </w:rPr>
              <w:t xml:space="preserve">Tarptautinių konvencijų šalių sprendimų ir rekomendacijų (branduolinės saugos ir aplinkosaugos klausimais Lietuvos kaimynystėje), atitinkančių Lietuvos interesus, skaičius (kaupiamieji vienetai)   </w:t>
            </w:r>
          </w:p>
        </w:tc>
        <w:tc>
          <w:tcPr>
            <w:tcW w:w="1080" w:type="dxa"/>
            <w:shd w:val="clear" w:color="000000" w:fill="FFFFFF"/>
            <w:vAlign w:val="center"/>
          </w:tcPr>
          <w:p w14:paraId="008D239C" w14:textId="77777777" w:rsidR="00925C7D" w:rsidRPr="00E32E69" w:rsidRDefault="00925C7D" w:rsidP="00CA2F95">
            <w:pPr>
              <w:jc w:val="center"/>
              <w:rPr>
                <w:color w:val="000000"/>
                <w:sz w:val="20"/>
              </w:rPr>
            </w:pPr>
            <w:r w:rsidRPr="00E32E69">
              <w:rPr>
                <w:sz w:val="20"/>
              </w:rPr>
              <w:t>8</w:t>
            </w:r>
          </w:p>
        </w:tc>
        <w:tc>
          <w:tcPr>
            <w:tcW w:w="1080" w:type="dxa"/>
            <w:shd w:val="clear" w:color="000000" w:fill="FFFFFF"/>
            <w:vAlign w:val="center"/>
          </w:tcPr>
          <w:p w14:paraId="419BD989" w14:textId="77777777" w:rsidR="00925C7D" w:rsidRPr="00E32E69" w:rsidRDefault="00925C7D" w:rsidP="00CA2F95">
            <w:pPr>
              <w:jc w:val="center"/>
              <w:rPr>
                <w:color w:val="000000"/>
                <w:sz w:val="20"/>
              </w:rPr>
            </w:pPr>
            <w:r w:rsidRPr="00E32E69">
              <w:rPr>
                <w:sz w:val="20"/>
              </w:rPr>
              <w:t>11</w:t>
            </w:r>
          </w:p>
        </w:tc>
        <w:tc>
          <w:tcPr>
            <w:tcW w:w="956" w:type="dxa"/>
            <w:shd w:val="clear" w:color="auto" w:fill="auto"/>
            <w:vAlign w:val="center"/>
          </w:tcPr>
          <w:p w14:paraId="12F529A6"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624B922E" w14:textId="77777777" w:rsidR="00925C7D" w:rsidRPr="00E32E69" w:rsidRDefault="00925C7D" w:rsidP="00CA2F95">
            <w:pPr>
              <w:jc w:val="center"/>
              <w:rPr>
                <w:color w:val="000000"/>
                <w:sz w:val="20"/>
              </w:rPr>
            </w:pPr>
            <w:r w:rsidRPr="00E32E69">
              <w:rPr>
                <w:sz w:val="20"/>
              </w:rPr>
              <w:t>7</w:t>
            </w:r>
          </w:p>
        </w:tc>
        <w:tc>
          <w:tcPr>
            <w:tcW w:w="1250" w:type="dxa"/>
            <w:shd w:val="clear" w:color="auto" w:fill="auto"/>
            <w:vAlign w:val="center"/>
          </w:tcPr>
          <w:p w14:paraId="0833D67E"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7B842D7"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02E90C40" w14:textId="77777777" w:rsidR="00925C7D" w:rsidRPr="00E32E69" w:rsidRDefault="00925C7D" w:rsidP="00CA2F95">
            <w:pPr>
              <w:jc w:val="center"/>
              <w:rPr>
                <w:color w:val="000000"/>
                <w:sz w:val="20"/>
              </w:rPr>
            </w:pPr>
            <w:r w:rsidRPr="00ED0D6D">
              <w:rPr>
                <w:rFonts w:eastAsia="Calibri"/>
                <w:sz w:val="20"/>
              </w:rPr>
              <w:t>URM</w:t>
            </w:r>
            <w:r w:rsidRPr="00E32E69">
              <w:rPr>
                <w:sz w:val="20"/>
              </w:rPr>
              <w:t> </w:t>
            </w:r>
          </w:p>
        </w:tc>
        <w:tc>
          <w:tcPr>
            <w:tcW w:w="1172" w:type="dxa"/>
            <w:shd w:val="clear" w:color="auto" w:fill="auto"/>
            <w:vAlign w:val="center"/>
          </w:tcPr>
          <w:p w14:paraId="41879412" w14:textId="77777777" w:rsidR="00925C7D" w:rsidRDefault="00925C7D" w:rsidP="00CA2F95">
            <w:pPr>
              <w:jc w:val="center"/>
              <w:rPr>
                <w:sz w:val="20"/>
              </w:rPr>
            </w:pPr>
            <w:r w:rsidRPr="00E32E69">
              <w:rPr>
                <w:sz w:val="20"/>
              </w:rPr>
              <w:t>NPP2020</w:t>
            </w:r>
          </w:p>
          <w:p w14:paraId="09483F73"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205EEF48" w14:textId="77777777" w:rsidTr="00CA2F95">
        <w:trPr>
          <w:trHeight w:val="384"/>
        </w:trPr>
        <w:tc>
          <w:tcPr>
            <w:tcW w:w="657" w:type="dxa"/>
            <w:shd w:val="clear" w:color="auto" w:fill="auto"/>
            <w:vAlign w:val="center"/>
          </w:tcPr>
          <w:p w14:paraId="099B430B"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2467C41B" w14:textId="77777777" w:rsidR="00925C7D" w:rsidRPr="00E32E69" w:rsidRDefault="00925C7D" w:rsidP="00CA2F95">
            <w:pPr>
              <w:jc w:val="both"/>
              <w:rPr>
                <w:color w:val="000000"/>
                <w:sz w:val="20"/>
              </w:rPr>
            </w:pPr>
            <w:r w:rsidRPr="00E32E69">
              <w:rPr>
                <w:sz w:val="20"/>
              </w:rPr>
              <w:t xml:space="preserve">Aukšto lygio susitikimų su Baltijos ir Šiaurės valstybių atstovais skaičius per metus (vienetai)   </w:t>
            </w:r>
          </w:p>
        </w:tc>
        <w:tc>
          <w:tcPr>
            <w:tcW w:w="1080" w:type="dxa"/>
            <w:shd w:val="clear" w:color="000000" w:fill="FFFFFF"/>
            <w:vAlign w:val="center"/>
          </w:tcPr>
          <w:p w14:paraId="3BDB01BF" w14:textId="77777777" w:rsidR="00925C7D" w:rsidRPr="00E32E69" w:rsidRDefault="00925C7D" w:rsidP="00CA2F95">
            <w:pPr>
              <w:jc w:val="center"/>
              <w:rPr>
                <w:color w:val="000000"/>
                <w:sz w:val="20"/>
              </w:rPr>
            </w:pPr>
            <w:r w:rsidRPr="00E32E69">
              <w:rPr>
                <w:sz w:val="20"/>
              </w:rPr>
              <w:t>21</w:t>
            </w:r>
          </w:p>
        </w:tc>
        <w:tc>
          <w:tcPr>
            <w:tcW w:w="1080" w:type="dxa"/>
            <w:shd w:val="clear" w:color="000000" w:fill="FFFFFF"/>
            <w:vAlign w:val="center"/>
          </w:tcPr>
          <w:p w14:paraId="5BDED03B" w14:textId="77777777" w:rsidR="00925C7D" w:rsidRPr="00E32E69" w:rsidRDefault="00925C7D" w:rsidP="00CA2F95">
            <w:pPr>
              <w:jc w:val="center"/>
              <w:rPr>
                <w:color w:val="000000"/>
                <w:sz w:val="20"/>
              </w:rPr>
            </w:pPr>
            <w:r w:rsidRPr="00E32E69">
              <w:rPr>
                <w:sz w:val="20"/>
              </w:rPr>
              <w:t>8</w:t>
            </w:r>
          </w:p>
        </w:tc>
        <w:tc>
          <w:tcPr>
            <w:tcW w:w="956" w:type="dxa"/>
            <w:shd w:val="clear" w:color="auto" w:fill="auto"/>
            <w:vAlign w:val="center"/>
          </w:tcPr>
          <w:p w14:paraId="0DE74B17"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7D387B28" w14:textId="77777777" w:rsidR="00925C7D" w:rsidRPr="00E32E69" w:rsidRDefault="00925C7D" w:rsidP="00CA2F95">
            <w:pPr>
              <w:jc w:val="center"/>
              <w:rPr>
                <w:color w:val="000000"/>
                <w:sz w:val="20"/>
              </w:rPr>
            </w:pPr>
            <w:r w:rsidRPr="00E32E69">
              <w:rPr>
                <w:sz w:val="20"/>
              </w:rPr>
              <w:t>14</w:t>
            </w:r>
          </w:p>
        </w:tc>
        <w:tc>
          <w:tcPr>
            <w:tcW w:w="1250" w:type="dxa"/>
            <w:shd w:val="clear" w:color="auto" w:fill="auto"/>
            <w:vAlign w:val="center"/>
          </w:tcPr>
          <w:p w14:paraId="7AD9AA82"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B6F3C89"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4571F842" w14:textId="77777777" w:rsidR="00925C7D" w:rsidRPr="00E32E69" w:rsidRDefault="00925C7D" w:rsidP="00CA2F95">
            <w:pPr>
              <w:jc w:val="center"/>
              <w:rPr>
                <w:color w:val="000000"/>
                <w:sz w:val="20"/>
              </w:rPr>
            </w:pPr>
            <w:r w:rsidRPr="00ED0D6D">
              <w:rPr>
                <w:rFonts w:eastAsia="Calibri"/>
                <w:sz w:val="20"/>
              </w:rPr>
              <w:t>URM</w:t>
            </w:r>
            <w:r w:rsidRPr="00E32E69">
              <w:rPr>
                <w:sz w:val="20"/>
              </w:rPr>
              <w:t>  </w:t>
            </w:r>
          </w:p>
        </w:tc>
        <w:tc>
          <w:tcPr>
            <w:tcW w:w="1172" w:type="dxa"/>
            <w:shd w:val="clear" w:color="auto" w:fill="auto"/>
            <w:vAlign w:val="center"/>
          </w:tcPr>
          <w:p w14:paraId="404DE76D" w14:textId="77777777" w:rsidR="00925C7D" w:rsidRDefault="00925C7D" w:rsidP="00CA2F95">
            <w:pPr>
              <w:jc w:val="center"/>
              <w:rPr>
                <w:sz w:val="20"/>
              </w:rPr>
            </w:pPr>
            <w:r w:rsidRPr="00E32E69">
              <w:rPr>
                <w:sz w:val="20"/>
              </w:rPr>
              <w:t>NPP2020</w:t>
            </w:r>
          </w:p>
          <w:p w14:paraId="07B40636"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0663B473" w14:textId="77777777" w:rsidTr="00CA2F95">
        <w:trPr>
          <w:trHeight w:val="384"/>
        </w:trPr>
        <w:tc>
          <w:tcPr>
            <w:tcW w:w="657" w:type="dxa"/>
            <w:shd w:val="clear" w:color="auto" w:fill="auto"/>
            <w:vAlign w:val="center"/>
          </w:tcPr>
          <w:p w14:paraId="750E5054"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412CA90A" w14:textId="77777777" w:rsidR="00925C7D" w:rsidRPr="00E32E69" w:rsidRDefault="00925C7D" w:rsidP="00CA2F95">
            <w:pPr>
              <w:jc w:val="both"/>
              <w:rPr>
                <w:color w:val="000000"/>
                <w:sz w:val="20"/>
              </w:rPr>
            </w:pPr>
            <w:r w:rsidRPr="00E32E69">
              <w:rPr>
                <w:sz w:val="20"/>
              </w:rPr>
              <w:t xml:space="preserve">Aukšto lygio susitikimų su Lenkijos atstovais skaičius per metus (vienetai)   </w:t>
            </w:r>
          </w:p>
        </w:tc>
        <w:tc>
          <w:tcPr>
            <w:tcW w:w="1080" w:type="dxa"/>
            <w:shd w:val="clear" w:color="000000" w:fill="FFFFFF"/>
            <w:vAlign w:val="center"/>
          </w:tcPr>
          <w:p w14:paraId="695DCEA7" w14:textId="77777777" w:rsidR="00925C7D" w:rsidRPr="00E32E69" w:rsidRDefault="00925C7D" w:rsidP="00CA2F95">
            <w:pPr>
              <w:jc w:val="center"/>
              <w:rPr>
                <w:color w:val="000000"/>
                <w:sz w:val="20"/>
              </w:rPr>
            </w:pPr>
            <w:r w:rsidRPr="00E32E69">
              <w:rPr>
                <w:sz w:val="20"/>
              </w:rPr>
              <w:t>16</w:t>
            </w:r>
          </w:p>
        </w:tc>
        <w:tc>
          <w:tcPr>
            <w:tcW w:w="1080" w:type="dxa"/>
            <w:shd w:val="clear" w:color="000000" w:fill="FFFFFF"/>
            <w:vAlign w:val="center"/>
          </w:tcPr>
          <w:p w14:paraId="4ECDDDB2" w14:textId="77777777" w:rsidR="00925C7D" w:rsidRPr="00E32E69" w:rsidRDefault="00925C7D" w:rsidP="00CA2F95">
            <w:pPr>
              <w:jc w:val="center"/>
              <w:rPr>
                <w:color w:val="000000"/>
                <w:sz w:val="20"/>
              </w:rPr>
            </w:pPr>
            <w:r w:rsidRPr="00E32E69">
              <w:rPr>
                <w:sz w:val="20"/>
              </w:rPr>
              <w:t>9</w:t>
            </w:r>
          </w:p>
        </w:tc>
        <w:tc>
          <w:tcPr>
            <w:tcW w:w="956" w:type="dxa"/>
            <w:shd w:val="clear" w:color="auto" w:fill="auto"/>
            <w:vAlign w:val="center"/>
          </w:tcPr>
          <w:p w14:paraId="4ABEC743"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13EF27C4" w14:textId="77777777" w:rsidR="00925C7D" w:rsidRPr="00E32E69" w:rsidRDefault="00925C7D" w:rsidP="00CA2F95">
            <w:pPr>
              <w:jc w:val="center"/>
              <w:rPr>
                <w:color w:val="000000"/>
                <w:sz w:val="20"/>
              </w:rPr>
            </w:pPr>
            <w:r w:rsidRPr="00E32E69">
              <w:rPr>
                <w:sz w:val="20"/>
              </w:rPr>
              <w:t>8</w:t>
            </w:r>
          </w:p>
        </w:tc>
        <w:tc>
          <w:tcPr>
            <w:tcW w:w="1250" w:type="dxa"/>
            <w:shd w:val="clear" w:color="auto" w:fill="auto"/>
            <w:vAlign w:val="center"/>
          </w:tcPr>
          <w:p w14:paraId="58D5362F"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68C9AD2"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5B1C136C" w14:textId="77777777" w:rsidR="00925C7D" w:rsidRPr="00E32E69" w:rsidRDefault="00925C7D" w:rsidP="00CA2F95">
            <w:pPr>
              <w:jc w:val="center"/>
              <w:rPr>
                <w:color w:val="000000"/>
                <w:sz w:val="20"/>
              </w:rPr>
            </w:pPr>
            <w:r w:rsidRPr="006B03B7">
              <w:rPr>
                <w:rFonts w:eastAsia="Calibri"/>
                <w:sz w:val="20"/>
              </w:rPr>
              <w:t>URM</w:t>
            </w:r>
            <w:r w:rsidRPr="006B03B7">
              <w:rPr>
                <w:sz w:val="20"/>
              </w:rPr>
              <w:t> </w:t>
            </w:r>
          </w:p>
        </w:tc>
        <w:tc>
          <w:tcPr>
            <w:tcW w:w="1172" w:type="dxa"/>
            <w:shd w:val="clear" w:color="auto" w:fill="auto"/>
            <w:vAlign w:val="center"/>
          </w:tcPr>
          <w:p w14:paraId="5F220BB8" w14:textId="77777777" w:rsidR="00925C7D" w:rsidRDefault="00925C7D" w:rsidP="00CA2F95">
            <w:pPr>
              <w:jc w:val="center"/>
              <w:rPr>
                <w:sz w:val="20"/>
              </w:rPr>
            </w:pPr>
            <w:r w:rsidRPr="00E32E69">
              <w:rPr>
                <w:sz w:val="20"/>
              </w:rPr>
              <w:t>NPP2020</w:t>
            </w:r>
          </w:p>
          <w:p w14:paraId="38288ADB"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3502099B" w14:textId="77777777" w:rsidTr="00CA2F95">
        <w:trPr>
          <w:trHeight w:val="384"/>
        </w:trPr>
        <w:tc>
          <w:tcPr>
            <w:tcW w:w="657" w:type="dxa"/>
            <w:shd w:val="clear" w:color="auto" w:fill="auto"/>
            <w:vAlign w:val="center"/>
          </w:tcPr>
          <w:p w14:paraId="3A0E5ECB"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5457625E" w14:textId="77777777" w:rsidR="00925C7D" w:rsidRPr="00E32E69" w:rsidRDefault="00925C7D" w:rsidP="00CA2F95">
            <w:pPr>
              <w:jc w:val="both"/>
              <w:rPr>
                <w:color w:val="000000"/>
                <w:sz w:val="20"/>
              </w:rPr>
            </w:pPr>
            <w:r w:rsidRPr="00E32E69">
              <w:rPr>
                <w:sz w:val="20"/>
              </w:rPr>
              <w:t xml:space="preserve">Aukšto lygio susitikimų su Rytų partnerystės šalių atstovais skaičius per metus (vienetai)   </w:t>
            </w:r>
          </w:p>
        </w:tc>
        <w:tc>
          <w:tcPr>
            <w:tcW w:w="1080" w:type="dxa"/>
            <w:shd w:val="clear" w:color="000000" w:fill="FFFFFF"/>
            <w:vAlign w:val="center"/>
          </w:tcPr>
          <w:p w14:paraId="37659B12" w14:textId="77777777" w:rsidR="00925C7D" w:rsidRPr="00E32E69" w:rsidRDefault="00925C7D" w:rsidP="00CA2F95">
            <w:pPr>
              <w:jc w:val="center"/>
              <w:rPr>
                <w:color w:val="000000"/>
                <w:sz w:val="20"/>
              </w:rPr>
            </w:pPr>
            <w:r w:rsidRPr="00E32E69">
              <w:rPr>
                <w:sz w:val="20"/>
              </w:rPr>
              <w:t>18</w:t>
            </w:r>
          </w:p>
        </w:tc>
        <w:tc>
          <w:tcPr>
            <w:tcW w:w="1080" w:type="dxa"/>
            <w:shd w:val="clear" w:color="000000" w:fill="FFFFFF"/>
            <w:vAlign w:val="center"/>
          </w:tcPr>
          <w:p w14:paraId="4FFAE318" w14:textId="77777777" w:rsidR="00925C7D" w:rsidRPr="00E32E69" w:rsidRDefault="00925C7D" w:rsidP="00CA2F95">
            <w:pPr>
              <w:jc w:val="center"/>
              <w:rPr>
                <w:color w:val="000000"/>
                <w:sz w:val="20"/>
              </w:rPr>
            </w:pPr>
            <w:r w:rsidRPr="00E32E69">
              <w:rPr>
                <w:sz w:val="20"/>
              </w:rPr>
              <w:t>11</w:t>
            </w:r>
          </w:p>
        </w:tc>
        <w:tc>
          <w:tcPr>
            <w:tcW w:w="956" w:type="dxa"/>
            <w:shd w:val="clear" w:color="auto" w:fill="auto"/>
            <w:vAlign w:val="center"/>
          </w:tcPr>
          <w:p w14:paraId="66E6FC96"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467503C6" w14:textId="77777777" w:rsidR="00925C7D" w:rsidRPr="00E32E69" w:rsidRDefault="00925C7D" w:rsidP="00CA2F95">
            <w:pPr>
              <w:jc w:val="center"/>
              <w:rPr>
                <w:color w:val="000000"/>
                <w:sz w:val="20"/>
              </w:rPr>
            </w:pPr>
            <w:r w:rsidRPr="00E32E69">
              <w:rPr>
                <w:sz w:val="20"/>
              </w:rPr>
              <w:t>12</w:t>
            </w:r>
          </w:p>
        </w:tc>
        <w:tc>
          <w:tcPr>
            <w:tcW w:w="1250" w:type="dxa"/>
            <w:shd w:val="clear" w:color="auto" w:fill="auto"/>
            <w:vAlign w:val="center"/>
          </w:tcPr>
          <w:p w14:paraId="121E9162"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39BC16E6"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7FC7352A" w14:textId="77777777" w:rsidR="00925C7D" w:rsidRPr="00E32E69" w:rsidRDefault="00925C7D" w:rsidP="00CA2F95">
            <w:pPr>
              <w:jc w:val="center"/>
              <w:rPr>
                <w:color w:val="000000"/>
                <w:sz w:val="20"/>
              </w:rPr>
            </w:pPr>
            <w:r w:rsidRPr="006B03B7">
              <w:rPr>
                <w:rFonts w:eastAsia="Calibri"/>
                <w:sz w:val="20"/>
              </w:rPr>
              <w:t>URM</w:t>
            </w:r>
            <w:r w:rsidRPr="006B03B7">
              <w:rPr>
                <w:sz w:val="20"/>
              </w:rPr>
              <w:t> </w:t>
            </w:r>
          </w:p>
        </w:tc>
        <w:tc>
          <w:tcPr>
            <w:tcW w:w="1172" w:type="dxa"/>
            <w:shd w:val="clear" w:color="auto" w:fill="auto"/>
            <w:vAlign w:val="center"/>
          </w:tcPr>
          <w:p w14:paraId="184F94A1" w14:textId="77777777" w:rsidR="00925C7D" w:rsidRDefault="00925C7D" w:rsidP="00CA2F95">
            <w:pPr>
              <w:jc w:val="center"/>
              <w:rPr>
                <w:sz w:val="20"/>
              </w:rPr>
            </w:pPr>
            <w:r w:rsidRPr="00E32E69">
              <w:rPr>
                <w:sz w:val="20"/>
              </w:rPr>
              <w:t>NPP2020</w:t>
            </w:r>
          </w:p>
          <w:p w14:paraId="4005AE71"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1E5AE723" w14:textId="77777777" w:rsidTr="00CA2F95">
        <w:trPr>
          <w:trHeight w:val="384"/>
        </w:trPr>
        <w:tc>
          <w:tcPr>
            <w:tcW w:w="657" w:type="dxa"/>
            <w:shd w:val="clear" w:color="auto" w:fill="auto"/>
            <w:vAlign w:val="center"/>
          </w:tcPr>
          <w:p w14:paraId="2A375002"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27052842" w14:textId="77777777" w:rsidR="00925C7D" w:rsidRPr="00E32E69" w:rsidRDefault="00925C7D" w:rsidP="00CA2F95">
            <w:pPr>
              <w:jc w:val="both"/>
              <w:rPr>
                <w:color w:val="000000"/>
                <w:sz w:val="20"/>
              </w:rPr>
            </w:pPr>
            <w:r w:rsidRPr="00E32E69">
              <w:rPr>
                <w:sz w:val="20"/>
              </w:rPr>
              <w:t xml:space="preserve">Rytų partnerystės šalims per URM vystomojo bendradarbiavimo ir paramos demokratijai programą skiriamos vystomojo bendradarbiavimo paramos dalis, tenkanti Gruzijai, Moldovai, Ukrainai </w:t>
            </w:r>
            <w:r>
              <w:rPr>
                <w:sz w:val="20"/>
              </w:rPr>
              <w:t>(</w:t>
            </w:r>
            <w:r w:rsidRPr="00E32E69">
              <w:rPr>
                <w:sz w:val="20"/>
              </w:rPr>
              <w:t xml:space="preserve">proc.)   </w:t>
            </w:r>
          </w:p>
        </w:tc>
        <w:tc>
          <w:tcPr>
            <w:tcW w:w="1080" w:type="dxa"/>
            <w:shd w:val="clear" w:color="000000" w:fill="FFFFFF"/>
            <w:vAlign w:val="center"/>
          </w:tcPr>
          <w:p w14:paraId="0BE6230D" w14:textId="77777777" w:rsidR="00925C7D" w:rsidRPr="00E32E69" w:rsidRDefault="00925C7D" w:rsidP="00CA2F95">
            <w:pPr>
              <w:jc w:val="center"/>
              <w:rPr>
                <w:color w:val="000000"/>
                <w:sz w:val="20"/>
              </w:rPr>
            </w:pPr>
            <w:r w:rsidRPr="00E32E69">
              <w:rPr>
                <w:sz w:val="20"/>
              </w:rPr>
              <w:t>91</w:t>
            </w:r>
          </w:p>
        </w:tc>
        <w:tc>
          <w:tcPr>
            <w:tcW w:w="1080" w:type="dxa"/>
            <w:shd w:val="clear" w:color="000000" w:fill="FFFFFF"/>
            <w:vAlign w:val="center"/>
          </w:tcPr>
          <w:p w14:paraId="16DB709C" w14:textId="77777777" w:rsidR="00925C7D" w:rsidRPr="00E32E69" w:rsidRDefault="00925C7D" w:rsidP="00CA2F95">
            <w:pPr>
              <w:jc w:val="center"/>
              <w:rPr>
                <w:color w:val="000000"/>
                <w:sz w:val="20"/>
              </w:rPr>
            </w:pPr>
            <w:r w:rsidRPr="00E32E69">
              <w:rPr>
                <w:sz w:val="20"/>
              </w:rPr>
              <w:t>44</w:t>
            </w:r>
          </w:p>
        </w:tc>
        <w:tc>
          <w:tcPr>
            <w:tcW w:w="956" w:type="dxa"/>
            <w:shd w:val="clear" w:color="auto" w:fill="auto"/>
            <w:vAlign w:val="center"/>
          </w:tcPr>
          <w:p w14:paraId="7B7BBDB3"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55298299" w14:textId="77777777" w:rsidR="00925C7D" w:rsidRPr="00E32E69" w:rsidRDefault="00925C7D" w:rsidP="00CA2F95">
            <w:pPr>
              <w:jc w:val="center"/>
              <w:rPr>
                <w:color w:val="000000"/>
                <w:sz w:val="20"/>
              </w:rPr>
            </w:pPr>
            <w:r w:rsidRPr="00E32E69">
              <w:rPr>
                <w:sz w:val="20"/>
              </w:rPr>
              <w:t>61</w:t>
            </w:r>
          </w:p>
        </w:tc>
        <w:tc>
          <w:tcPr>
            <w:tcW w:w="1250" w:type="dxa"/>
            <w:shd w:val="clear" w:color="auto" w:fill="auto"/>
            <w:vAlign w:val="center"/>
          </w:tcPr>
          <w:p w14:paraId="34840A1D"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4884CEE7"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2A0261FD" w14:textId="77777777" w:rsidR="00925C7D" w:rsidRPr="00E32E69" w:rsidRDefault="00925C7D" w:rsidP="00CA2F95">
            <w:pPr>
              <w:jc w:val="center"/>
              <w:rPr>
                <w:color w:val="000000"/>
                <w:sz w:val="20"/>
              </w:rPr>
            </w:pPr>
            <w:r w:rsidRPr="006B03B7">
              <w:rPr>
                <w:rFonts w:eastAsia="Calibri"/>
                <w:sz w:val="20"/>
              </w:rPr>
              <w:t>URM</w:t>
            </w:r>
            <w:r w:rsidRPr="006B03B7">
              <w:rPr>
                <w:sz w:val="20"/>
              </w:rPr>
              <w:t> </w:t>
            </w:r>
          </w:p>
        </w:tc>
        <w:tc>
          <w:tcPr>
            <w:tcW w:w="1172" w:type="dxa"/>
            <w:shd w:val="clear" w:color="auto" w:fill="auto"/>
            <w:vAlign w:val="center"/>
          </w:tcPr>
          <w:p w14:paraId="3875FA3B" w14:textId="77777777" w:rsidR="00925C7D" w:rsidRDefault="00925C7D" w:rsidP="00CA2F95">
            <w:pPr>
              <w:jc w:val="center"/>
              <w:rPr>
                <w:sz w:val="20"/>
              </w:rPr>
            </w:pPr>
            <w:r w:rsidRPr="00E32E69">
              <w:rPr>
                <w:sz w:val="20"/>
              </w:rPr>
              <w:t>NPP2020</w:t>
            </w:r>
          </w:p>
          <w:p w14:paraId="210D82AD"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194F7DDE" w14:textId="77777777" w:rsidTr="00CA2F95">
        <w:trPr>
          <w:trHeight w:val="384"/>
        </w:trPr>
        <w:tc>
          <w:tcPr>
            <w:tcW w:w="657" w:type="dxa"/>
            <w:shd w:val="clear" w:color="auto" w:fill="auto"/>
            <w:vAlign w:val="center"/>
          </w:tcPr>
          <w:p w14:paraId="2061FDB6"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6A4EFA58" w14:textId="77777777" w:rsidR="00925C7D" w:rsidRPr="00E32E69" w:rsidRDefault="00925C7D" w:rsidP="00CA2F95">
            <w:pPr>
              <w:jc w:val="both"/>
              <w:rPr>
                <w:color w:val="000000"/>
                <w:sz w:val="20"/>
              </w:rPr>
            </w:pPr>
            <w:r w:rsidRPr="00E32E69">
              <w:rPr>
                <w:sz w:val="20"/>
              </w:rPr>
              <w:t xml:space="preserve">Viešosios diplomatijos renginių Rytų kaimynystės temomis skaičius per metus (vienetai)   </w:t>
            </w:r>
          </w:p>
        </w:tc>
        <w:tc>
          <w:tcPr>
            <w:tcW w:w="1080" w:type="dxa"/>
            <w:shd w:val="clear" w:color="000000" w:fill="FFFFFF"/>
            <w:vAlign w:val="center"/>
          </w:tcPr>
          <w:p w14:paraId="72E6E9E4" w14:textId="77777777" w:rsidR="00925C7D" w:rsidRPr="00E32E69" w:rsidRDefault="00925C7D" w:rsidP="00CA2F95">
            <w:pPr>
              <w:jc w:val="center"/>
              <w:rPr>
                <w:color w:val="000000"/>
                <w:sz w:val="20"/>
              </w:rPr>
            </w:pPr>
            <w:r w:rsidRPr="00E32E69">
              <w:rPr>
                <w:sz w:val="20"/>
              </w:rPr>
              <w:t>26</w:t>
            </w:r>
          </w:p>
        </w:tc>
        <w:tc>
          <w:tcPr>
            <w:tcW w:w="1080" w:type="dxa"/>
            <w:shd w:val="clear" w:color="000000" w:fill="FFFFFF"/>
            <w:vAlign w:val="center"/>
          </w:tcPr>
          <w:p w14:paraId="1FA7CD8F" w14:textId="77777777" w:rsidR="00925C7D" w:rsidRPr="00E32E69" w:rsidRDefault="00925C7D" w:rsidP="00CA2F95">
            <w:pPr>
              <w:jc w:val="center"/>
              <w:rPr>
                <w:color w:val="000000"/>
                <w:sz w:val="20"/>
              </w:rPr>
            </w:pPr>
            <w:r w:rsidRPr="00E32E69">
              <w:rPr>
                <w:sz w:val="20"/>
              </w:rPr>
              <w:t>10</w:t>
            </w:r>
          </w:p>
        </w:tc>
        <w:tc>
          <w:tcPr>
            <w:tcW w:w="956" w:type="dxa"/>
            <w:shd w:val="clear" w:color="auto" w:fill="auto"/>
            <w:vAlign w:val="center"/>
          </w:tcPr>
          <w:p w14:paraId="0385B900"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3C16E481" w14:textId="77777777" w:rsidR="00925C7D" w:rsidRPr="00E32E69" w:rsidRDefault="00925C7D" w:rsidP="00CA2F95">
            <w:pPr>
              <w:jc w:val="center"/>
              <w:rPr>
                <w:color w:val="000000"/>
                <w:sz w:val="20"/>
              </w:rPr>
            </w:pPr>
            <w:r w:rsidRPr="00E32E69">
              <w:rPr>
                <w:sz w:val="20"/>
              </w:rPr>
              <w:t>16</w:t>
            </w:r>
          </w:p>
        </w:tc>
        <w:tc>
          <w:tcPr>
            <w:tcW w:w="1250" w:type="dxa"/>
            <w:shd w:val="clear" w:color="auto" w:fill="auto"/>
            <w:vAlign w:val="center"/>
          </w:tcPr>
          <w:p w14:paraId="554908D8"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6DE53A75"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0E007B3D" w14:textId="77777777" w:rsidR="00925C7D" w:rsidRPr="00E32E69" w:rsidRDefault="00925C7D" w:rsidP="00CA2F95">
            <w:pPr>
              <w:jc w:val="center"/>
              <w:rPr>
                <w:color w:val="000000"/>
                <w:sz w:val="20"/>
              </w:rPr>
            </w:pPr>
            <w:r w:rsidRPr="0013627F">
              <w:rPr>
                <w:rFonts w:eastAsia="Calibri"/>
                <w:sz w:val="20"/>
              </w:rPr>
              <w:t>URM</w:t>
            </w:r>
            <w:r w:rsidRPr="0013627F">
              <w:rPr>
                <w:sz w:val="20"/>
              </w:rPr>
              <w:t> </w:t>
            </w:r>
          </w:p>
        </w:tc>
        <w:tc>
          <w:tcPr>
            <w:tcW w:w="1172" w:type="dxa"/>
            <w:shd w:val="clear" w:color="auto" w:fill="auto"/>
            <w:vAlign w:val="center"/>
          </w:tcPr>
          <w:p w14:paraId="438499D1" w14:textId="77777777" w:rsidR="00925C7D" w:rsidRDefault="00925C7D" w:rsidP="00CA2F95">
            <w:pPr>
              <w:jc w:val="center"/>
              <w:rPr>
                <w:sz w:val="20"/>
              </w:rPr>
            </w:pPr>
            <w:r w:rsidRPr="00E32E69">
              <w:rPr>
                <w:sz w:val="20"/>
              </w:rPr>
              <w:t>NPP2020</w:t>
            </w:r>
          </w:p>
          <w:p w14:paraId="510DCBC7"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3EF23EF1" w14:textId="77777777" w:rsidTr="00CA2F95">
        <w:trPr>
          <w:trHeight w:val="384"/>
        </w:trPr>
        <w:tc>
          <w:tcPr>
            <w:tcW w:w="657" w:type="dxa"/>
            <w:shd w:val="clear" w:color="auto" w:fill="auto"/>
            <w:vAlign w:val="center"/>
          </w:tcPr>
          <w:p w14:paraId="199C68B2"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20692D3D" w14:textId="77777777" w:rsidR="00925C7D" w:rsidRPr="00E32E69" w:rsidRDefault="00925C7D" w:rsidP="00CA2F95">
            <w:pPr>
              <w:jc w:val="both"/>
              <w:rPr>
                <w:color w:val="000000"/>
                <w:sz w:val="20"/>
              </w:rPr>
            </w:pPr>
            <w:r w:rsidRPr="00E32E69">
              <w:rPr>
                <w:sz w:val="20"/>
              </w:rPr>
              <w:t xml:space="preserve">Prekybos politikos ir laisvosios prekybos sutarčių pristatymų įmonėms ir socialiniams partneriams skaičius per metus (vienetai)   </w:t>
            </w:r>
          </w:p>
        </w:tc>
        <w:tc>
          <w:tcPr>
            <w:tcW w:w="1080" w:type="dxa"/>
            <w:shd w:val="clear" w:color="000000" w:fill="FFFFFF"/>
            <w:vAlign w:val="center"/>
          </w:tcPr>
          <w:p w14:paraId="7DF935F4" w14:textId="77777777" w:rsidR="00925C7D" w:rsidRPr="00E32E69" w:rsidRDefault="00925C7D" w:rsidP="00CA2F95">
            <w:pPr>
              <w:jc w:val="center"/>
              <w:rPr>
                <w:color w:val="000000"/>
                <w:sz w:val="20"/>
              </w:rPr>
            </w:pPr>
            <w:r w:rsidRPr="00E32E69">
              <w:rPr>
                <w:sz w:val="20"/>
              </w:rPr>
              <w:t>18</w:t>
            </w:r>
          </w:p>
        </w:tc>
        <w:tc>
          <w:tcPr>
            <w:tcW w:w="1080" w:type="dxa"/>
            <w:shd w:val="clear" w:color="000000" w:fill="FFFFFF"/>
            <w:vAlign w:val="center"/>
          </w:tcPr>
          <w:p w14:paraId="5C97C5B4" w14:textId="77777777" w:rsidR="00925C7D" w:rsidRPr="00E32E69" w:rsidRDefault="00925C7D" w:rsidP="00CA2F95">
            <w:pPr>
              <w:jc w:val="center"/>
              <w:rPr>
                <w:color w:val="000000"/>
                <w:sz w:val="20"/>
              </w:rPr>
            </w:pPr>
            <w:r w:rsidRPr="00E32E69">
              <w:rPr>
                <w:sz w:val="20"/>
              </w:rPr>
              <w:t>11</w:t>
            </w:r>
          </w:p>
        </w:tc>
        <w:tc>
          <w:tcPr>
            <w:tcW w:w="956" w:type="dxa"/>
            <w:shd w:val="clear" w:color="auto" w:fill="auto"/>
            <w:vAlign w:val="center"/>
          </w:tcPr>
          <w:p w14:paraId="4588722B"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1E90A50E" w14:textId="77777777" w:rsidR="00925C7D" w:rsidRPr="00E32E69" w:rsidRDefault="00925C7D" w:rsidP="00CA2F95">
            <w:pPr>
              <w:jc w:val="center"/>
              <w:rPr>
                <w:color w:val="000000"/>
                <w:sz w:val="20"/>
              </w:rPr>
            </w:pPr>
            <w:r w:rsidRPr="00E32E69">
              <w:rPr>
                <w:sz w:val="20"/>
              </w:rPr>
              <w:t>15</w:t>
            </w:r>
          </w:p>
        </w:tc>
        <w:tc>
          <w:tcPr>
            <w:tcW w:w="1250" w:type="dxa"/>
            <w:shd w:val="clear" w:color="auto" w:fill="auto"/>
            <w:vAlign w:val="center"/>
          </w:tcPr>
          <w:p w14:paraId="2E18BDDD"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6388E79"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42BE5A80" w14:textId="77777777" w:rsidR="00925C7D" w:rsidRPr="00E32E69" w:rsidRDefault="00925C7D" w:rsidP="00CA2F95">
            <w:pPr>
              <w:jc w:val="center"/>
              <w:rPr>
                <w:color w:val="000000"/>
                <w:sz w:val="20"/>
              </w:rPr>
            </w:pPr>
            <w:r w:rsidRPr="0013627F">
              <w:rPr>
                <w:rFonts w:eastAsia="Calibri"/>
                <w:sz w:val="20"/>
              </w:rPr>
              <w:t>URM</w:t>
            </w:r>
            <w:r w:rsidRPr="0013627F">
              <w:rPr>
                <w:sz w:val="20"/>
              </w:rPr>
              <w:t> </w:t>
            </w:r>
          </w:p>
        </w:tc>
        <w:tc>
          <w:tcPr>
            <w:tcW w:w="1172" w:type="dxa"/>
            <w:shd w:val="clear" w:color="auto" w:fill="auto"/>
            <w:vAlign w:val="center"/>
          </w:tcPr>
          <w:p w14:paraId="1BA2B03A" w14:textId="77777777" w:rsidR="00925C7D" w:rsidRDefault="00925C7D" w:rsidP="00CA2F95">
            <w:pPr>
              <w:jc w:val="center"/>
              <w:rPr>
                <w:sz w:val="20"/>
              </w:rPr>
            </w:pPr>
            <w:r w:rsidRPr="00E32E69">
              <w:rPr>
                <w:sz w:val="20"/>
              </w:rPr>
              <w:t>NPP2020</w:t>
            </w:r>
          </w:p>
          <w:p w14:paraId="4B4F5EBC"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0C0E3E5B" w14:textId="77777777" w:rsidTr="00CA2F95">
        <w:trPr>
          <w:trHeight w:val="384"/>
        </w:trPr>
        <w:tc>
          <w:tcPr>
            <w:tcW w:w="657" w:type="dxa"/>
            <w:shd w:val="clear" w:color="auto" w:fill="auto"/>
            <w:vAlign w:val="center"/>
          </w:tcPr>
          <w:p w14:paraId="6E658BEC"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48B5DDE9" w14:textId="77777777" w:rsidR="00925C7D" w:rsidRPr="00E32E69" w:rsidRDefault="00925C7D" w:rsidP="00CA2F95">
            <w:pPr>
              <w:jc w:val="both"/>
              <w:rPr>
                <w:color w:val="000000"/>
                <w:sz w:val="20"/>
              </w:rPr>
            </w:pPr>
            <w:r w:rsidRPr="00E32E69">
              <w:rPr>
                <w:sz w:val="20"/>
              </w:rPr>
              <w:t>Lietuvos įmonių pajamų didinimas naudojant prekybos politikos instrumentus, mln. Eur. (kaupiamieji mln. Eur</w:t>
            </w:r>
            <w:r>
              <w:rPr>
                <w:sz w:val="20"/>
              </w:rPr>
              <w:t>)</w:t>
            </w:r>
          </w:p>
        </w:tc>
        <w:tc>
          <w:tcPr>
            <w:tcW w:w="1080" w:type="dxa"/>
            <w:shd w:val="clear" w:color="000000" w:fill="FFFFFF"/>
            <w:vAlign w:val="center"/>
          </w:tcPr>
          <w:p w14:paraId="040F132F" w14:textId="77777777" w:rsidR="00925C7D" w:rsidRPr="00E32E69" w:rsidRDefault="00925C7D" w:rsidP="00CA2F95">
            <w:pPr>
              <w:jc w:val="center"/>
              <w:rPr>
                <w:color w:val="000000"/>
                <w:sz w:val="20"/>
              </w:rPr>
            </w:pPr>
            <w:r w:rsidRPr="00E32E69">
              <w:rPr>
                <w:sz w:val="20"/>
              </w:rPr>
              <w:t>133</w:t>
            </w:r>
          </w:p>
        </w:tc>
        <w:tc>
          <w:tcPr>
            <w:tcW w:w="1080" w:type="dxa"/>
            <w:shd w:val="clear" w:color="000000" w:fill="FFFFFF"/>
            <w:vAlign w:val="center"/>
          </w:tcPr>
          <w:p w14:paraId="515F95E4" w14:textId="77777777" w:rsidR="00925C7D" w:rsidRPr="00E32E69" w:rsidRDefault="00925C7D" w:rsidP="00CA2F95">
            <w:pPr>
              <w:jc w:val="center"/>
              <w:rPr>
                <w:color w:val="000000"/>
                <w:sz w:val="20"/>
              </w:rPr>
            </w:pPr>
            <w:r w:rsidRPr="00E32E69">
              <w:rPr>
                <w:sz w:val="20"/>
              </w:rPr>
              <w:t>140</w:t>
            </w:r>
          </w:p>
        </w:tc>
        <w:tc>
          <w:tcPr>
            <w:tcW w:w="956" w:type="dxa"/>
            <w:shd w:val="clear" w:color="auto" w:fill="auto"/>
            <w:vAlign w:val="center"/>
          </w:tcPr>
          <w:p w14:paraId="5B061EEC"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14DD2E6F" w14:textId="77777777" w:rsidR="00925C7D" w:rsidRPr="00E32E69" w:rsidRDefault="00925C7D" w:rsidP="00CA2F95">
            <w:pPr>
              <w:jc w:val="center"/>
              <w:rPr>
                <w:color w:val="000000"/>
                <w:sz w:val="20"/>
              </w:rPr>
            </w:pPr>
            <w:r w:rsidRPr="00E32E69">
              <w:rPr>
                <w:sz w:val="20"/>
              </w:rPr>
              <w:t>80</w:t>
            </w:r>
          </w:p>
        </w:tc>
        <w:tc>
          <w:tcPr>
            <w:tcW w:w="1250" w:type="dxa"/>
            <w:shd w:val="clear" w:color="auto" w:fill="auto"/>
            <w:vAlign w:val="center"/>
          </w:tcPr>
          <w:p w14:paraId="044B24FB"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51D65DB1"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27D52518" w14:textId="77777777" w:rsidR="00925C7D" w:rsidRPr="00E32E69" w:rsidRDefault="00925C7D" w:rsidP="00CA2F95">
            <w:pPr>
              <w:jc w:val="center"/>
              <w:rPr>
                <w:color w:val="000000"/>
                <w:sz w:val="20"/>
              </w:rPr>
            </w:pPr>
            <w:r w:rsidRPr="00B2575F">
              <w:rPr>
                <w:rFonts w:eastAsia="Calibri"/>
                <w:sz w:val="20"/>
              </w:rPr>
              <w:t>URM</w:t>
            </w:r>
            <w:r w:rsidRPr="00B2575F">
              <w:rPr>
                <w:sz w:val="20"/>
              </w:rPr>
              <w:t> </w:t>
            </w:r>
          </w:p>
        </w:tc>
        <w:tc>
          <w:tcPr>
            <w:tcW w:w="1172" w:type="dxa"/>
            <w:shd w:val="clear" w:color="auto" w:fill="auto"/>
            <w:vAlign w:val="center"/>
          </w:tcPr>
          <w:p w14:paraId="36FCE2BC" w14:textId="77777777" w:rsidR="00925C7D" w:rsidRDefault="00925C7D" w:rsidP="00CA2F95">
            <w:pPr>
              <w:jc w:val="center"/>
              <w:rPr>
                <w:sz w:val="20"/>
              </w:rPr>
            </w:pPr>
            <w:r w:rsidRPr="00E32E69">
              <w:rPr>
                <w:sz w:val="20"/>
              </w:rPr>
              <w:t>NPP2020</w:t>
            </w:r>
          </w:p>
          <w:p w14:paraId="1E93180C"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200E5C60" w14:textId="77777777" w:rsidTr="00CA2F95">
        <w:trPr>
          <w:trHeight w:val="384"/>
        </w:trPr>
        <w:tc>
          <w:tcPr>
            <w:tcW w:w="657" w:type="dxa"/>
            <w:shd w:val="clear" w:color="auto" w:fill="auto"/>
            <w:vAlign w:val="center"/>
          </w:tcPr>
          <w:p w14:paraId="197AF32A"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1CCF5E63" w14:textId="77777777" w:rsidR="00925C7D" w:rsidRPr="00E32E69" w:rsidRDefault="00925C7D" w:rsidP="00CA2F95">
            <w:pPr>
              <w:jc w:val="both"/>
              <w:rPr>
                <w:color w:val="000000"/>
                <w:sz w:val="20"/>
              </w:rPr>
            </w:pPr>
            <w:r w:rsidRPr="00E32E69">
              <w:rPr>
                <w:sz w:val="20"/>
              </w:rPr>
              <w:t xml:space="preserve">Sudarytų tarptautinių susitarimų su potencialių rinkų valstybėmis skaičius (kaupiamieji vienetai)   </w:t>
            </w:r>
          </w:p>
        </w:tc>
        <w:tc>
          <w:tcPr>
            <w:tcW w:w="1080" w:type="dxa"/>
            <w:shd w:val="clear" w:color="000000" w:fill="FFFFFF"/>
            <w:vAlign w:val="center"/>
          </w:tcPr>
          <w:p w14:paraId="5A64C46B" w14:textId="77777777" w:rsidR="00925C7D" w:rsidRPr="00E32E69" w:rsidRDefault="00925C7D" w:rsidP="00CA2F95">
            <w:pPr>
              <w:jc w:val="center"/>
              <w:rPr>
                <w:color w:val="000000"/>
                <w:sz w:val="20"/>
              </w:rPr>
            </w:pPr>
            <w:r w:rsidRPr="00E32E69">
              <w:rPr>
                <w:sz w:val="20"/>
              </w:rPr>
              <w:t>8</w:t>
            </w:r>
          </w:p>
        </w:tc>
        <w:tc>
          <w:tcPr>
            <w:tcW w:w="1080" w:type="dxa"/>
            <w:shd w:val="clear" w:color="000000" w:fill="FFFFFF"/>
            <w:vAlign w:val="center"/>
          </w:tcPr>
          <w:p w14:paraId="66D02F82" w14:textId="77777777" w:rsidR="00925C7D" w:rsidRPr="00E32E69" w:rsidRDefault="00925C7D" w:rsidP="00CA2F95">
            <w:pPr>
              <w:jc w:val="center"/>
              <w:rPr>
                <w:color w:val="000000"/>
                <w:sz w:val="20"/>
              </w:rPr>
            </w:pPr>
            <w:r w:rsidRPr="00E32E69">
              <w:rPr>
                <w:sz w:val="20"/>
              </w:rPr>
              <w:t>10</w:t>
            </w:r>
          </w:p>
        </w:tc>
        <w:tc>
          <w:tcPr>
            <w:tcW w:w="956" w:type="dxa"/>
            <w:shd w:val="clear" w:color="auto" w:fill="auto"/>
            <w:vAlign w:val="center"/>
          </w:tcPr>
          <w:p w14:paraId="5BBB8AFB"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44CFA995" w14:textId="77777777" w:rsidR="00925C7D" w:rsidRPr="00E32E69" w:rsidRDefault="00925C7D" w:rsidP="00CA2F95">
            <w:pPr>
              <w:jc w:val="center"/>
              <w:rPr>
                <w:color w:val="000000"/>
                <w:sz w:val="20"/>
              </w:rPr>
            </w:pPr>
            <w:r w:rsidRPr="00E32E69">
              <w:rPr>
                <w:sz w:val="20"/>
              </w:rPr>
              <w:t>9</w:t>
            </w:r>
          </w:p>
        </w:tc>
        <w:tc>
          <w:tcPr>
            <w:tcW w:w="1250" w:type="dxa"/>
            <w:shd w:val="clear" w:color="auto" w:fill="auto"/>
            <w:vAlign w:val="center"/>
          </w:tcPr>
          <w:p w14:paraId="6DA99045"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1D108A6C"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1E9B25AE" w14:textId="77777777" w:rsidR="00925C7D" w:rsidRPr="00E32E69" w:rsidRDefault="00925C7D" w:rsidP="00CA2F95">
            <w:pPr>
              <w:jc w:val="center"/>
              <w:rPr>
                <w:color w:val="000000"/>
                <w:sz w:val="20"/>
              </w:rPr>
            </w:pPr>
            <w:r w:rsidRPr="00B2575F">
              <w:rPr>
                <w:rFonts w:eastAsia="Calibri"/>
                <w:sz w:val="20"/>
              </w:rPr>
              <w:t>URM</w:t>
            </w:r>
            <w:r w:rsidRPr="00B2575F">
              <w:rPr>
                <w:sz w:val="20"/>
              </w:rPr>
              <w:t> </w:t>
            </w:r>
          </w:p>
        </w:tc>
        <w:tc>
          <w:tcPr>
            <w:tcW w:w="1172" w:type="dxa"/>
            <w:shd w:val="clear" w:color="auto" w:fill="auto"/>
            <w:vAlign w:val="center"/>
          </w:tcPr>
          <w:p w14:paraId="410152E3" w14:textId="77777777" w:rsidR="00925C7D" w:rsidRDefault="00925C7D" w:rsidP="00CA2F95">
            <w:pPr>
              <w:jc w:val="center"/>
              <w:rPr>
                <w:sz w:val="20"/>
              </w:rPr>
            </w:pPr>
            <w:r w:rsidRPr="00E32E69">
              <w:rPr>
                <w:sz w:val="20"/>
              </w:rPr>
              <w:t>NPP2020</w:t>
            </w:r>
          </w:p>
          <w:p w14:paraId="6AD59DA9"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1222DB72" w14:textId="77777777" w:rsidTr="00CA2F95">
        <w:trPr>
          <w:trHeight w:val="384"/>
        </w:trPr>
        <w:tc>
          <w:tcPr>
            <w:tcW w:w="657" w:type="dxa"/>
            <w:shd w:val="clear" w:color="auto" w:fill="auto"/>
            <w:vAlign w:val="center"/>
          </w:tcPr>
          <w:p w14:paraId="61FA8BA4"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63CBF854" w14:textId="77777777" w:rsidR="00925C7D" w:rsidRPr="00E32E69" w:rsidRDefault="00925C7D" w:rsidP="00CA2F95">
            <w:pPr>
              <w:jc w:val="both"/>
              <w:rPr>
                <w:color w:val="000000"/>
                <w:sz w:val="20"/>
              </w:rPr>
            </w:pPr>
            <w:r w:rsidRPr="00E32E69">
              <w:rPr>
                <w:sz w:val="20"/>
              </w:rPr>
              <w:t xml:space="preserve">Lietuvos / Lietuvos atstovų, išrinktų į tarptautinių organizacijų formatus, skaičius (kaupiamieji vienetai)   </w:t>
            </w:r>
          </w:p>
        </w:tc>
        <w:tc>
          <w:tcPr>
            <w:tcW w:w="1080" w:type="dxa"/>
            <w:shd w:val="clear" w:color="000000" w:fill="FFFFFF"/>
            <w:vAlign w:val="center"/>
          </w:tcPr>
          <w:p w14:paraId="2302A1FB" w14:textId="77777777" w:rsidR="00925C7D" w:rsidRPr="00E32E69" w:rsidRDefault="00925C7D" w:rsidP="00CA2F95">
            <w:pPr>
              <w:jc w:val="center"/>
              <w:rPr>
                <w:color w:val="000000"/>
                <w:sz w:val="20"/>
              </w:rPr>
            </w:pPr>
            <w:r w:rsidRPr="00E32E69">
              <w:rPr>
                <w:sz w:val="20"/>
              </w:rPr>
              <w:t>6</w:t>
            </w:r>
          </w:p>
        </w:tc>
        <w:tc>
          <w:tcPr>
            <w:tcW w:w="1080" w:type="dxa"/>
            <w:shd w:val="clear" w:color="000000" w:fill="FFFFFF"/>
            <w:vAlign w:val="center"/>
          </w:tcPr>
          <w:p w14:paraId="370CF080" w14:textId="77777777" w:rsidR="00925C7D" w:rsidRPr="00E32E69" w:rsidRDefault="00925C7D" w:rsidP="00CA2F95">
            <w:pPr>
              <w:jc w:val="center"/>
              <w:rPr>
                <w:color w:val="000000"/>
                <w:sz w:val="20"/>
              </w:rPr>
            </w:pPr>
            <w:r w:rsidRPr="00E32E69">
              <w:rPr>
                <w:sz w:val="20"/>
              </w:rPr>
              <w:t>8</w:t>
            </w:r>
          </w:p>
        </w:tc>
        <w:tc>
          <w:tcPr>
            <w:tcW w:w="956" w:type="dxa"/>
            <w:shd w:val="clear" w:color="auto" w:fill="auto"/>
            <w:vAlign w:val="center"/>
          </w:tcPr>
          <w:p w14:paraId="067341EF"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0EB522BA" w14:textId="77777777" w:rsidR="00925C7D" w:rsidRPr="00E32E69" w:rsidRDefault="00925C7D" w:rsidP="00CA2F95">
            <w:pPr>
              <w:jc w:val="center"/>
              <w:rPr>
                <w:color w:val="000000"/>
                <w:sz w:val="20"/>
              </w:rPr>
            </w:pPr>
            <w:r w:rsidRPr="00E32E69">
              <w:rPr>
                <w:sz w:val="20"/>
              </w:rPr>
              <w:t>6</w:t>
            </w:r>
          </w:p>
        </w:tc>
        <w:tc>
          <w:tcPr>
            <w:tcW w:w="1250" w:type="dxa"/>
            <w:shd w:val="clear" w:color="auto" w:fill="auto"/>
            <w:vAlign w:val="center"/>
          </w:tcPr>
          <w:p w14:paraId="5601F630"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244E6741"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6EDBFDF4" w14:textId="77777777" w:rsidR="00925C7D" w:rsidRPr="00E32E69" w:rsidRDefault="00925C7D" w:rsidP="00CA2F95">
            <w:pPr>
              <w:jc w:val="center"/>
              <w:rPr>
                <w:color w:val="000000"/>
                <w:sz w:val="20"/>
              </w:rPr>
            </w:pPr>
            <w:r w:rsidRPr="00B2575F">
              <w:rPr>
                <w:rFonts w:eastAsia="Calibri"/>
                <w:sz w:val="20"/>
              </w:rPr>
              <w:t>URM</w:t>
            </w:r>
            <w:r w:rsidRPr="00B2575F">
              <w:rPr>
                <w:sz w:val="20"/>
              </w:rPr>
              <w:t> </w:t>
            </w:r>
          </w:p>
        </w:tc>
        <w:tc>
          <w:tcPr>
            <w:tcW w:w="1172" w:type="dxa"/>
            <w:shd w:val="clear" w:color="auto" w:fill="auto"/>
            <w:vAlign w:val="center"/>
          </w:tcPr>
          <w:p w14:paraId="08AA7593" w14:textId="77777777" w:rsidR="00925C7D" w:rsidRDefault="00925C7D" w:rsidP="00CA2F95">
            <w:pPr>
              <w:jc w:val="center"/>
              <w:rPr>
                <w:sz w:val="20"/>
              </w:rPr>
            </w:pPr>
            <w:r w:rsidRPr="00E32E69">
              <w:rPr>
                <w:sz w:val="20"/>
              </w:rPr>
              <w:t>NPP2020</w:t>
            </w:r>
          </w:p>
          <w:p w14:paraId="0E6D4CAA"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27C0A140" w14:textId="77777777" w:rsidTr="00CA2F95">
        <w:trPr>
          <w:trHeight w:val="384"/>
        </w:trPr>
        <w:tc>
          <w:tcPr>
            <w:tcW w:w="657" w:type="dxa"/>
            <w:shd w:val="clear" w:color="auto" w:fill="auto"/>
            <w:vAlign w:val="center"/>
          </w:tcPr>
          <w:p w14:paraId="5E49550A"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3E505C6A" w14:textId="77777777" w:rsidR="00925C7D" w:rsidRPr="00E32E69" w:rsidRDefault="00925C7D" w:rsidP="00CA2F95">
            <w:pPr>
              <w:jc w:val="both"/>
              <w:rPr>
                <w:color w:val="000000"/>
                <w:sz w:val="20"/>
              </w:rPr>
            </w:pPr>
            <w:r w:rsidRPr="00E32E69">
              <w:rPr>
                <w:sz w:val="20"/>
              </w:rPr>
              <w:t xml:space="preserve">Konsulinių paslaugų, kurioms įdiegtas paslaugų kokybės standartas, dalis </w:t>
            </w:r>
            <w:r>
              <w:rPr>
                <w:sz w:val="20"/>
              </w:rPr>
              <w:t>(</w:t>
            </w:r>
            <w:r w:rsidRPr="00E32E69">
              <w:rPr>
                <w:sz w:val="20"/>
              </w:rPr>
              <w:t xml:space="preserve">proc.)   </w:t>
            </w:r>
          </w:p>
        </w:tc>
        <w:tc>
          <w:tcPr>
            <w:tcW w:w="1080" w:type="dxa"/>
            <w:shd w:val="clear" w:color="000000" w:fill="FFFFFF"/>
            <w:vAlign w:val="center"/>
          </w:tcPr>
          <w:p w14:paraId="2BF62B0C" w14:textId="77777777" w:rsidR="00925C7D" w:rsidRPr="00E32E69" w:rsidRDefault="00925C7D" w:rsidP="00CA2F95">
            <w:pPr>
              <w:jc w:val="center"/>
              <w:rPr>
                <w:color w:val="000000"/>
                <w:sz w:val="20"/>
              </w:rPr>
            </w:pPr>
            <w:r w:rsidRPr="00E32E69">
              <w:rPr>
                <w:sz w:val="20"/>
              </w:rPr>
              <w:t>85</w:t>
            </w:r>
          </w:p>
        </w:tc>
        <w:tc>
          <w:tcPr>
            <w:tcW w:w="1080" w:type="dxa"/>
            <w:shd w:val="clear" w:color="000000" w:fill="FFFFFF"/>
            <w:vAlign w:val="center"/>
          </w:tcPr>
          <w:p w14:paraId="1DDE2B5A" w14:textId="77777777" w:rsidR="00925C7D" w:rsidRPr="00E32E69" w:rsidRDefault="00925C7D" w:rsidP="00CA2F95">
            <w:pPr>
              <w:jc w:val="center"/>
              <w:rPr>
                <w:color w:val="000000"/>
                <w:sz w:val="20"/>
              </w:rPr>
            </w:pPr>
            <w:r w:rsidRPr="00E32E69">
              <w:rPr>
                <w:sz w:val="20"/>
              </w:rPr>
              <w:t>100</w:t>
            </w:r>
          </w:p>
        </w:tc>
        <w:tc>
          <w:tcPr>
            <w:tcW w:w="956" w:type="dxa"/>
            <w:shd w:val="clear" w:color="auto" w:fill="auto"/>
            <w:vAlign w:val="center"/>
          </w:tcPr>
          <w:p w14:paraId="6F31D3D0"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6597D4A3" w14:textId="77777777" w:rsidR="00925C7D" w:rsidRPr="00E32E69" w:rsidRDefault="00925C7D" w:rsidP="00CA2F95">
            <w:pPr>
              <w:jc w:val="center"/>
              <w:rPr>
                <w:color w:val="000000"/>
                <w:sz w:val="20"/>
              </w:rPr>
            </w:pPr>
            <w:r w:rsidRPr="00E32E69">
              <w:rPr>
                <w:sz w:val="20"/>
              </w:rPr>
              <w:t>100</w:t>
            </w:r>
          </w:p>
        </w:tc>
        <w:tc>
          <w:tcPr>
            <w:tcW w:w="1250" w:type="dxa"/>
            <w:shd w:val="clear" w:color="auto" w:fill="auto"/>
            <w:vAlign w:val="center"/>
          </w:tcPr>
          <w:p w14:paraId="0CC557A5"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09C01409"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tcPr>
          <w:p w14:paraId="28CD4E80" w14:textId="77777777" w:rsidR="00925C7D" w:rsidRPr="00E32E69" w:rsidRDefault="00925C7D" w:rsidP="00CA2F95">
            <w:pPr>
              <w:jc w:val="center"/>
              <w:rPr>
                <w:color w:val="000000"/>
                <w:sz w:val="20"/>
              </w:rPr>
            </w:pPr>
            <w:r w:rsidRPr="00B2575F">
              <w:rPr>
                <w:rFonts w:eastAsia="Calibri"/>
                <w:sz w:val="20"/>
              </w:rPr>
              <w:t>URM</w:t>
            </w:r>
            <w:r w:rsidRPr="00B2575F">
              <w:rPr>
                <w:sz w:val="20"/>
              </w:rPr>
              <w:t> </w:t>
            </w:r>
          </w:p>
        </w:tc>
        <w:tc>
          <w:tcPr>
            <w:tcW w:w="1172" w:type="dxa"/>
            <w:shd w:val="clear" w:color="auto" w:fill="auto"/>
            <w:vAlign w:val="center"/>
          </w:tcPr>
          <w:p w14:paraId="674944F0" w14:textId="77777777" w:rsidR="00925C7D" w:rsidRDefault="00925C7D" w:rsidP="00CA2F95">
            <w:pPr>
              <w:jc w:val="center"/>
              <w:rPr>
                <w:sz w:val="20"/>
              </w:rPr>
            </w:pPr>
            <w:r w:rsidRPr="00E32E69">
              <w:rPr>
                <w:sz w:val="20"/>
              </w:rPr>
              <w:t>NPP2020</w:t>
            </w:r>
          </w:p>
          <w:p w14:paraId="00E68D1F" w14:textId="77777777" w:rsidR="00925C7D" w:rsidRPr="00E32E69" w:rsidRDefault="00925C7D" w:rsidP="00CA2F95">
            <w:pPr>
              <w:jc w:val="center"/>
              <w:rPr>
                <w:color w:val="000000"/>
                <w:sz w:val="20"/>
              </w:rPr>
            </w:pPr>
            <w:r w:rsidRPr="00E32E69">
              <w:rPr>
                <w:sz w:val="20"/>
              </w:rPr>
              <w:t xml:space="preserve">17LRVP </w:t>
            </w:r>
          </w:p>
        </w:tc>
      </w:tr>
      <w:tr w:rsidR="00925C7D" w:rsidRPr="00ED0D6D" w14:paraId="606D6CB9" w14:textId="77777777" w:rsidTr="00CA2F95">
        <w:trPr>
          <w:trHeight w:val="384"/>
        </w:trPr>
        <w:tc>
          <w:tcPr>
            <w:tcW w:w="657" w:type="dxa"/>
            <w:shd w:val="clear" w:color="auto" w:fill="auto"/>
            <w:vAlign w:val="center"/>
          </w:tcPr>
          <w:p w14:paraId="23F6D691"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noWrap/>
            <w:vAlign w:val="center"/>
          </w:tcPr>
          <w:p w14:paraId="4F922E23" w14:textId="77777777" w:rsidR="00925C7D" w:rsidRPr="00E32E69" w:rsidRDefault="00925C7D" w:rsidP="00CA2F95">
            <w:pPr>
              <w:jc w:val="both"/>
              <w:rPr>
                <w:color w:val="000000"/>
                <w:sz w:val="20"/>
              </w:rPr>
            </w:pPr>
            <w:r w:rsidRPr="00E32E69">
              <w:rPr>
                <w:sz w:val="20"/>
              </w:rPr>
              <w:t>Politinės iniciatyvos ir aukšto lygmens susitikimai transatlantiniams santykiams stiprinti</w:t>
            </w:r>
            <w:r>
              <w:rPr>
                <w:sz w:val="20"/>
              </w:rPr>
              <w:t xml:space="preserve"> </w:t>
            </w:r>
            <w:r w:rsidRPr="00E32E69">
              <w:rPr>
                <w:sz w:val="20"/>
              </w:rPr>
              <w:t xml:space="preserve">(vienetai)   </w:t>
            </w:r>
          </w:p>
        </w:tc>
        <w:tc>
          <w:tcPr>
            <w:tcW w:w="1080" w:type="dxa"/>
            <w:shd w:val="clear" w:color="000000" w:fill="FFFFFF"/>
            <w:vAlign w:val="center"/>
          </w:tcPr>
          <w:p w14:paraId="3600D26A" w14:textId="77777777" w:rsidR="00925C7D" w:rsidRPr="00E32E69" w:rsidRDefault="00925C7D" w:rsidP="00CA2F95">
            <w:pPr>
              <w:jc w:val="center"/>
              <w:rPr>
                <w:color w:val="000000"/>
                <w:sz w:val="20"/>
              </w:rPr>
            </w:pPr>
            <w:r w:rsidRPr="00E32E69">
              <w:rPr>
                <w:sz w:val="20"/>
              </w:rPr>
              <w:t>4</w:t>
            </w:r>
          </w:p>
        </w:tc>
        <w:tc>
          <w:tcPr>
            <w:tcW w:w="1080" w:type="dxa"/>
            <w:shd w:val="clear" w:color="000000" w:fill="FFFFFF"/>
            <w:vAlign w:val="center"/>
          </w:tcPr>
          <w:p w14:paraId="5894F8A2" w14:textId="77777777" w:rsidR="00925C7D" w:rsidRPr="00E32E69" w:rsidRDefault="00925C7D" w:rsidP="00CA2F95">
            <w:pPr>
              <w:jc w:val="center"/>
              <w:rPr>
                <w:color w:val="000000"/>
                <w:sz w:val="20"/>
              </w:rPr>
            </w:pPr>
            <w:r w:rsidRPr="00E32E69">
              <w:rPr>
                <w:sz w:val="20"/>
              </w:rPr>
              <w:t>4</w:t>
            </w:r>
          </w:p>
        </w:tc>
        <w:tc>
          <w:tcPr>
            <w:tcW w:w="956" w:type="dxa"/>
            <w:shd w:val="clear" w:color="auto" w:fill="auto"/>
            <w:vAlign w:val="center"/>
          </w:tcPr>
          <w:p w14:paraId="66134DAB" w14:textId="77777777" w:rsidR="00925C7D" w:rsidRPr="00E32E69" w:rsidRDefault="00925C7D" w:rsidP="00CA2F95">
            <w:pPr>
              <w:jc w:val="center"/>
              <w:rPr>
                <w:color w:val="000000"/>
                <w:sz w:val="20"/>
              </w:rPr>
            </w:pPr>
            <w:r w:rsidRPr="00ED0D6D">
              <w:rPr>
                <w:color w:val="000000"/>
                <w:sz w:val="20"/>
              </w:rPr>
              <w:t xml:space="preserve">_ </w:t>
            </w:r>
          </w:p>
        </w:tc>
        <w:tc>
          <w:tcPr>
            <w:tcW w:w="983" w:type="dxa"/>
            <w:shd w:val="clear" w:color="000000" w:fill="FFFFFF"/>
            <w:vAlign w:val="center"/>
          </w:tcPr>
          <w:p w14:paraId="0D978BC4" w14:textId="77777777" w:rsidR="00925C7D" w:rsidRPr="00E32E69" w:rsidRDefault="00925C7D" w:rsidP="00CA2F95">
            <w:pPr>
              <w:jc w:val="center"/>
              <w:rPr>
                <w:color w:val="000000"/>
                <w:sz w:val="20"/>
              </w:rPr>
            </w:pPr>
            <w:r w:rsidRPr="00E32E69">
              <w:rPr>
                <w:sz w:val="20"/>
              </w:rPr>
              <w:t>5</w:t>
            </w:r>
          </w:p>
        </w:tc>
        <w:tc>
          <w:tcPr>
            <w:tcW w:w="1250" w:type="dxa"/>
            <w:shd w:val="clear" w:color="auto" w:fill="auto"/>
            <w:vAlign w:val="center"/>
          </w:tcPr>
          <w:p w14:paraId="09D98E3C" w14:textId="77777777" w:rsidR="00925C7D" w:rsidRPr="00E32E69" w:rsidRDefault="00925C7D" w:rsidP="00CA2F95">
            <w:pPr>
              <w:jc w:val="center"/>
              <w:rPr>
                <w:color w:val="000000"/>
                <w:sz w:val="20"/>
              </w:rPr>
            </w:pPr>
            <w:r w:rsidRPr="00ED0D6D">
              <w:rPr>
                <w:color w:val="000000"/>
                <w:sz w:val="20"/>
              </w:rPr>
              <w:t xml:space="preserve">_ </w:t>
            </w:r>
          </w:p>
        </w:tc>
        <w:tc>
          <w:tcPr>
            <w:tcW w:w="1250" w:type="dxa"/>
            <w:shd w:val="clear" w:color="auto" w:fill="auto"/>
            <w:vAlign w:val="center"/>
          </w:tcPr>
          <w:p w14:paraId="7A3257D4" w14:textId="77777777" w:rsidR="00925C7D" w:rsidRPr="00E32E69" w:rsidRDefault="00925C7D" w:rsidP="00CA2F95">
            <w:pPr>
              <w:jc w:val="center"/>
              <w:rPr>
                <w:color w:val="000000"/>
                <w:sz w:val="20"/>
              </w:rPr>
            </w:pPr>
            <w:r w:rsidRPr="00ED0D6D">
              <w:rPr>
                <w:color w:val="000000"/>
                <w:sz w:val="20"/>
              </w:rPr>
              <w:t xml:space="preserve">_ </w:t>
            </w:r>
          </w:p>
        </w:tc>
        <w:tc>
          <w:tcPr>
            <w:tcW w:w="2491" w:type="dxa"/>
            <w:shd w:val="clear" w:color="auto" w:fill="auto"/>
            <w:vAlign w:val="center"/>
          </w:tcPr>
          <w:p w14:paraId="78605D84" w14:textId="77777777" w:rsidR="00925C7D" w:rsidRPr="00E32E69" w:rsidRDefault="00925C7D" w:rsidP="00CA2F95">
            <w:pPr>
              <w:jc w:val="center"/>
              <w:rPr>
                <w:color w:val="000000"/>
                <w:sz w:val="20"/>
              </w:rPr>
            </w:pPr>
            <w:r w:rsidRPr="00ED0D6D">
              <w:rPr>
                <w:rFonts w:eastAsia="Calibri"/>
                <w:sz w:val="20"/>
              </w:rPr>
              <w:t>URM</w:t>
            </w:r>
            <w:r w:rsidRPr="00E32E69">
              <w:rPr>
                <w:sz w:val="20"/>
              </w:rPr>
              <w:t> </w:t>
            </w:r>
          </w:p>
        </w:tc>
        <w:tc>
          <w:tcPr>
            <w:tcW w:w="1172" w:type="dxa"/>
            <w:shd w:val="clear" w:color="auto" w:fill="auto"/>
          </w:tcPr>
          <w:p w14:paraId="23F09AC0" w14:textId="77777777" w:rsidR="00925C7D" w:rsidRPr="00E32E69" w:rsidRDefault="00925C7D" w:rsidP="00CA2F95">
            <w:pPr>
              <w:jc w:val="center"/>
              <w:rPr>
                <w:color w:val="000000"/>
                <w:sz w:val="20"/>
              </w:rPr>
            </w:pPr>
            <w:r w:rsidRPr="00ED1811">
              <w:rPr>
                <w:sz w:val="20"/>
              </w:rPr>
              <w:t>17LRVP</w:t>
            </w:r>
          </w:p>
        </w:tc>
      </w:tr>
    </w:tbl>
    <w:p w14:paraId="60F0DF27" w14:textId="3F6CF827" w:rsidR="00925C7D" w:rsidRDefault="00925C7D" w:rsidP="00C14DC4">
      <w:pPr>
        <w:spacing w:line="380" w:lineRule="atLeast"/>
        <w:jc w:val="both"/>
        <w:rPr>
          <w:bCs/>
          <w:sz w:val="20"/>
        </w:rPr>
      </w:pPr>
    </w:p>
    <w:p w14:paraId="5278C609" w14:textId="77777777" w:rsidR="00810113" w:rsidRPr="008F10B3" w:rsidRDefault="00810113" w:rsidP="00C14DC4">
      <w:pPr>
        <w:spacing w:line="380" w:lineRule="atLeast"/>
        <w:jc w:val="both"/>
        <w:rPr>
          <w:bCs/>
          <w:sz w:val="20"/>
          <w:lang w:val="en-GB"/>
        </w:rPr>
      </w:pPr>
    </w:p>
    <w:p w14:paraId="13ADD53B" w14:textId="77499FD0" w:rsidR="00925C7D" w:rsidRPr="00B601F6" w:rsidRDefault="00B601F6" w:rsidP="00B601F6">
      <w:pPr>
        <w:spacing w:line="380" w:lineRule="atLeast"/>
        <w:ind w:left="450"/>
        <w:jc w:val="both"/>
        <w:rPr>
          <w:b/>
          <w:szCs w:val="24"/>
        </w:rPr>
      </w:pPr>
      <w:r>
        <w:rPr>
          <w:b/>
          <w:szCs w:val="24"/>
        </w:rPr>
        <w:t>2.2.15.</w:t>
      </w:r>
      <w:r w:rsidR="00925C7D" w:rsidRPr="00B601F6">
        <w:rPr>
          <w:b/>
          <w:szCs w:val="24"/>
        </w:rPr>
        <w:t xml:space="preserve"> Žemės ir maisto ūkis, kaimo plėtra ir žuvininkystė</w:t>
      </w:r>
    </w:p>
    <w:tbl>
      <w:tblPr>
        <w:tblW w:w="15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648"/>
        <w:gridCol w:w="1080"/>
        <w:gridCol w:w="1080"/>
        <w:gridCol w:w="956"/>
        <w:gridCol w:w="983"/>
        <w:gridCol w:w="1250"/>
        <w:gridCol w:w="1250"/>
        <w:gridCol w:w="2491"/>
        <w:gridCol w:w="1172"/>
      </w:tblGrid>
      <w:tr w:rsidR="00925C7D" w:rsidRPr="00ED0D6D" w14:paraId="49FD173D" w14:textId="77777777" w:rsidTr="00CA2F95">
        <w:trPr>
          <w:trHeight w:val="999"/>
        </w:trPr>
        <w:tc>
          <w:tcPr>
            <w:tcW w:w="657" w:type="dxa"/>
            <w:shd w:val="clear" w:color="000000" w:fill="DEEAF6"/>
            <w:vAlign w:val="center"/>
            <w:hideMark/>
          </w:tcPr>
          <w:p w14:paraId="0ED9E7CB" w14:textId="77777777" w:rsidR="00925C7D" w:rsidRPr="00ED0D6D" w:rsidRDefault="00925C7D" w:rsidP="00CA2F95">
            <w:pPr>
              <w:jc w:val="center"/>
              <w:rPr>
                <w:b/>
                <w:bCs/>
                <w:color w:val="000000"/>
                <w:sz w:val="20"/>
              </w:rPr>
            </w:pPr>
            <w:r w:rsidRPr="00ED0D6D">
              <w:rPr>
                <w:b/>
                <w:bCs/>
                <w:color w:val="000000"/>
                <w:sz w:val="20"/>
              </w:rPr>
              <w:t>Eil. Nr.</w:t>
            </w:r>
          </w:p>
        </w:tc>
        <w:tc>
          <w:tcPr>
            <w:tcW w:w="4648" w:type="dxa"/>
            <w:shd w:val="clear" w:color="000000" w:fill="DEEAF6"/>
            <w:vAlign w:val="center"/>
            <w:hideMark/>
          </w:tcPr>
          <w:p w14:paraId="589E026E" w14:textId="77777777" w:rsidR="00925C7D" w:rsidRPr="00ED0D6D" w:rsidRDefault="00925C7D" w:rsidP="00CA2F95">
            <w:pPr>
              <w:jc w:val="center"/>
              <w:rPr>
                <w:b/>
                <w:bCs/>
                <w:color w:val="000000"/>
                <w:sz w:val="20"/>
              </w:rPr>
            </w:pPr>
            <w:r w:rsidRPr="00ED0D6D">
              <w:rPr>
                <w:b/>
                <w:bCs/>
                <w:color w:val="000000"/>
                <w:sz w:val="20"/>
              </w:rPr>
              <w:t>Vertinimo kriterijaus pavadinimas</w:t>
            </w:r>
          </w:p>
        </w:tc>
        <w:tc>
          <w:tcPr>
            <w:tcW w:w="1080" w:type="dxa"/>
            <w:shd w:val="clear" w:color="000000" w:fill="DEEAF6"/>
            <w:vAlign w:val="center"/>
            <w:hideMark/>
          </w:tcPr>
          <w:p w14:paraId="40D00BD4" w14:textId="77777777" w:rsidR="00925C7D" w:rsidRPr="00ED0D6D" w:rsidRDefault="00925C7D" w:rsidP="00CA2F95">
            <w:pPr>
              <w:jc w:val="center"/>
              <w:rPr>
                <w:b/>
                <w:bCs/>
                <w:color w:val="000000"/>
                <w:sz w:val="20"/>
              </w:rPr>
            </w:pPr>
            <w:r w:rsidRPr="00ED0D6D">
              <w:rPr>
                <w:b/>
                <w:bCs/>
                <w:color w:val="000000"/>
                <w:sz w:val="20"/>
              </w:rPr>
              <w:t>Pasiekta 2019 m. reikšmė</w:t>
            </w:r>
          </w:p>
        </w:tc>
        <w:tc>
          <w:tcPr>
            <w:tcW w:w="1080" w:type="dxa"/>
            <w:shd w:val="clear" w:color="000000" w:fill="DEEAF6"/>
            <w:vAlign w:val="center"/>
            <w:hideMark/>
          </w:tcPr>
          <w:p w14:paraId="0862A401" w14:textId="77777777" w:rsidR="00925C7D" w:rsidRPr="00ED0D6D" w:rsidRDefault="00925C7D" w:rsidP="00CA2F95">
            <w:pPr>
              <w:jc w:val="center"/>
              <w:rPr>
                <w:b/>
                <w:bCs/>
                <w:color w:val="000000"/>
                <w:sz w:val="20"/>
              </w:rPr>
            </w:pPr>
            <w:r w:rsidRPr="00ED0D6D">
              <w:rPr>
                <w:b/>
                <w:bCs/>
                <w:color w:val="000000"/>
                <w:sz w:val="20"/>
              </w:rPr>
              <w:t>Pasiekta 2020 m. reikšmė</w:t>
            </w:r>
          </w:p>
        </w:tc>
        <w:tc>
          <w:tcPr>
            <w:tcW w:w="956" w:type="dxa"/>
            <w:shd w:val="clear" w:color="000000" w:fill="DEEAF6"/>
            <w:vAlign w:val="center"/>
            <w:hideMark/>
          </w:tcPr>
          <w:p w14:paraId="4B3A61A0" w14:textId="77777777" w:rsidR="00925C7D" w:rsidRPr="00ED0D6D" w:rsidRDefault="00925C7D" w:rsidP="00CA2F95">
            <w:pPr>
              <w:jc w:val="center"/>
              <w:rPr>
                <w:b/>
                <w:bCs/>
                <w:color w:val="000000"/>
                <w:sz w:val="20"/>
              </w:rPr>
            </w:pPr>
            <w:r w:rsidRPr="00ED0D6D">
              <w:rPr>
                <w:b/>
                <w:bCs/>
                <w:color w:val="000000"/>
                <w:sz w:val="20"/>
              </w:rPr>
              <w:t>ES vidurkis (metai)</w:t>
            </w:r>
          </w:p>
        </w:tc>
        <w:tc>
          <w:tcPr>
            <w:tcW w:w="983" w:type="dxa"/>
            <w:shd w:val="clear" w:color="000000" w:fill="DEEAF6"/>
            <w:vAlign w:val="center"/>
            <w:hideMark/>
          </w:tcPr>
          <w:p w14:paraId="19C017DC" w14:textId="77777777" w:rsidR="00925C7D" w:rsidRPr="00ED0D6D" w:rsidRDefault="00925C7D" w:rsidP="00CA2F95">
            <w:pPr>
              <w:jc w:val="center"/>
              <w:rPr>
                <w:b/>
                <w:bCs/>
                <w:color w:val="000000"/>
                <w:sz w:val="20"/>
              </w:rPr>
            </w:pPr>
            <w:r w:rsidRPr="00ED0D6D">
              <w:rPr>
                <w:b/>
                <w:bCs/>
                <w:color w:val="000000"/>
                <w:sz w:val="20"/>
              </w:rPr>
              <w:t>Planuota 2020 m.  reikšmė</w:t>
            </w:r>
          </w:p>
        </w:tc>
        <w:tc>
          <w:tcPr>
            <w:tcW w:w="1250" w:type="dxa"/>
            <w:shd w:val="clear" w:color="FFFFFF" w:fill="DDEBF7"/>
            <w:vAlign w:val="center"/>
            <w:hideMark/>
          </w:tcPr>
          <w:p w14:paraId="79601980" w14:textId="77777777" w:rsidR="00925C7D" w:rsidRPr="00ED0D6D" w:rsidRDefault="00925C7D" w:rsidP="00CA2F95">
            <w:pPr>
              <w:jc w:val="center"/>
              <w:rPr>
                <w:b/>
                <w:bCs/>
                <w:color w:val="000000"/>
                <w:sz w:val="20"/>
              </w:rPr>
            </w:pPr>
            <w:r w:rsidRPr="00ED0D6D">
              <w:rPr>
                <w:b/>
                <w:bCs/>
                <w:color w:val="000000"/>
                <w:sz w:val="20"/>
              </w:rPr>
              <w:t>Planuojama reikšmė 2024m. / 2025 m.</w:t>
            </w:r>
          </w:p>
        </w:tc>
        <w:tc>
          <w:tcPr>
            <w:tcW w:w="1250" w:type="dxa"/>
            <w:shd w:val="clear" w:color="FFFFFF" w:fill="DDEBF7"/>
            <w:vAlign w:val="center"/>
            <w:hideMark/>
          </w:tcPr>
          <w:p w14:paraId="76BF47BF" w14:textId="77777777" w:rsidR="00925C7D" w:rsidRPr="00ED0D6D" w:rsidRDefault="00925C7D" w:rsidP="00CA2F95">
            <w:pPr>
              <w:jc w:val="center"/>
              <w:rPr>
                <w:b/>
                <w:bCs/>
                <w:color w:val="000000"/>
                <w:sz w:val="20"/>
              </w:rPr>
            </w:pPr>
            <w:r w:rsidRPr="00ED0D6D">
              <w:rPr>
                <w:b/>
                <w:bCs/>
                <w:color w:val="000000"/>
                <w:sz w:val="20"/>
              </w:rPr>
              <w:t>Planuojama reikšmė 2030 m.</w:t>
            </w:r>
          </w:p>
        </w:tc>
        <w:tc>
          <w:tcPr>
            <w:tcW w:w="2491" w:type="dxa"/>
            <w:shd w:val="clear" w:color="000000" w:fill="DEEAF6"/>
            <w:vAlign w:val="center"/>
            <w:hideMark/>
          </w:tcPr>
          <w:p w14:paraId="23305B28" w14:textId="77777777" w:rsidR="00925C7D" w:rsidRPr="00ED0D6D" w:rsidRDefault="00925C7D" w:rsidP="00CA2F95">
            <w:pPr>
              <w:jc w:val="center"/>
              <w:rPr>
                <w:b/>
                <w:bCs/>
                <w:color w:val="000000"/>
                <w:sz w:val="20"/>
              </w:rPr>
            </w:pPr>
            <w:r w:rsidRPr="00ED0D6D">
              <w:rPr>
                <w:b/>
                <w:bCs/>
                <w:color w:val="000000"/>
                <w:sz w:val="20"/>
              </w:rPr>
              <w:t>Duomenų šaltinis</w:t>
            </w:r>
          </w:p>
        </w:tc>
        <w:tc>
          <w:tcPr>
            <w:tcW w:w="1172" w:type="dxa"/>
            <w:shd w:val="clear" w:color="FFFFFF" w:fill="DDEBF7"/>
            <w:vAlign w:val="center"/>
            <w:hideMark/>
          </w:tcPr>
          <w:p w14:paraId="1125CF3F" w14:textId="77777777" w:rsidR="00925C7D" w:rsidRPr="00ED0D6D" w:rsidRDefault="00925C7D" w:rsidP="00CA2F95">
            <w:pPr>
              <w:jc w:val="center"/>
              <w:rPr>
                <w:b/>
                <w:bCs/>
                <w:color w:val="000000"/>
                <w:sz w:val="20"/>
              </w:rPr>
            </w:pPr>
            <w:r w:rsidRPr="00ED0D6D">
              <w:rPr>
                <w:b/>
                <w:bCs/>
                <w:color w:val="000000"/>
                <w:sz w:val="20"/>
              </w:rPr>
              <w:t>Kriterijaus požymis: VPS2030 NPP2020 NPP2030</w:t>
            </w:r>
          </w:p>
          <w:p w14:paraId="728C62D3" w14:textId="77777777" w:rsidR="00925C7D" w:rsidRPr="00ED0D6D" w:rsidRDefault="00925C7D" w:rsidP="00CA2F95">
            <w:pPr>
              <w:jc w:val="center"/>
              <w:rPr>
                <w:b/>
                <w:bCs/>
                <w:color w:val="000000"/>
                <w:sz w:val="20"/>
              </w:rPr>
            </w:pPr>
            <w:r w:rsidRPr="00ED0D6D">
              <w:rPr>
                <w:b/>
                <w:bCs/>
                <w:color w:val="000000"/>
                <w:sz w:val="20"/>
              </w:rPr>
              <w:t>17LRVP</w:t>
            </w:r>
          </w:p>
          <w:p w14:paraId="0EB828AC" w14:textId="77777777" w:rsidR="00925C7D" w:rsidRPr="00ED0D6D" w:rsidRDefault="00925C7D" w:rsidP="00CA2F95">
            <w:pPr>
              <w:jc w:val="center"/>
              <w:rPr>
                <w:b/>
                <w:bCs/>
                <w:color w:val="000000"/>
                <w:sz w:val="20"/>
              </w:rPr>
            </w:pPr>
            <w:r w:rsidRPr="00ED0D6D">
              <w:rPr>
                <w:b/>
                <w:bCs/>
                <w:color w:val="000000"/>
                <w:sz w:val="20"/>
              </w:rPr>
              <w:t>18LRVP</w:t>
            </w:r>
          </w:p>
        </w:tc>
      </w:tr>
      <w:tr w:rsidR="00925C7D" w:rsidRPr="00ED0D6D" w14:paraId="1FB7B9D3" w14:textId="77777777" w:rsidTr="00CA2F95">
        <w:trPr>
          <w:trHeight w:val="540"/>
        </w:trPr>
        <w:tc>
          <w:tcPr>
            <w:tcW w:w="657" w:type="dxa"/>
            <w:shd w:val="clear" w:color="auto" w:fill="auto"/>
            <w:vAlign w:val="center"/>
            <w:hideMark/>
          </w:tcPr>
          <w:p w14:paraId="0D716750"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52952DF8" w14:textId="77777777" w:rsidR="00925C7D" w:rsidRPr="00ED0D6D" w:rsidRDefault="00925C7D" w:rsidP="00CA2F95">
            <w:pPr>
              <w:jc w:val="both"/>
              <w:rPr>
                <w:sz w:val="20"/>
              </w:rPr>
            </w:pPr>
            <w:r w:rsidRPr="00ED0D6D">
              <w:rPr>
                <w:sz w:val="20"/>
              </w:rPr>
              <w:t xml:space="preserve">Lietuviškos kilmės perdirbtų žemės ūkio produktų eksportas, dalis nuo viso žemės ūkio ir maisto produktų eksporto (proc.)   </w:t>
            </w:r>
          </w:p>
        </w:tc>
        <w:tc>
          <w:tcPr>
            <w:tcW w:w="1080" w:type="dxa"/>
            <w:shd w:val="clear" w:color="000000" w:fill="FFFFFF"/>
            <w:vAlign w:val="center"/>
          </w:tcPr>
          <w:p w14:paraId="40116EFE" w14:textId="77777777" w:rsidR="00925C7D" w:rsidRPr="00ED0D6D" w:rsidRDefault="00925C7D" w:rsidP="00CA2F95">
            <w:pPr>
              <w:jc w:val="center"/>
              <w:rPr>
                <w:sz w:val="20"/>
              </w:rPr>
            </w:pPr>
            <w:r w:rsidRPr="00ED0D6D">
              <w:rPr>
                <w:sz w:val="20"/>
              </w:rPr>
              <w:t>41</w:t>
            </w:r>
          </w:p>
        </w:tc>
        <w:tc>
          <w:tcPr>
            <w:tcW w:w="1080" w:type="dxa"/>
            <w:shd w:val="clear" w:color="000000" w:fill="FFFFFF"/>
            <w:vAlign w:val="center"/>
          </w:tcPr>
          <w:p w14:paraId="77DBCF53" w14:textId="77777777" w:rsidR="00925C7D" w:rsidRPr="00ED0D6D" w:rsidRDefault="00925C7D" w:rsidP="00CA2F95">
            <w:pPr>
              <w:jc w:val="center"/>
              <w:rPr>
                <w:sz w:val="20"/>
              </w:rPr>
            </w:pPr>
            <w:r w:rsidRPr="00ED0D6D">
              <w:rPr>
                <w:sz w:val="20"/>
              </w:rPr>
              <w:t>41,9</w:t>
            </w:r>
          </w:p>
        </w:tc>
        <w:tc>
          <w:tcPr>
            <w:tcW w:w="956" w:type="dxa"/>
            <w:shd w:val="clear" w:color="auto" w:fill="auto"/>
            <w:vAlign w:val="center"/>
          </w:tcPr>
          <w:p w14:paraId="46ADA72D" w14:textId="77777777" w:rsidR="00925C7D" w:rsidRPr="00ED0D6D" w:rsidRDefault="00925C7D" w:rsidP="00CA2F95">
            <w:pPr>
              <w:jc w:val="center"/>
              <w:rPr>
                <w:sz w:val="20"/>
              </w:rPr>
            </w:pPr>
            <w:r w:rsidRPr="00ED0D6D">
              <w:rPr>
                <w:sz w:val="20"/>
              </w:rPr>
              <w:t>-</w:t>
            </w:r>
          </w:p>
        </w:tc>
        <w:tc>
          <w:tcPr>
            <w:tcW w:w="983" w:type="dxa"/>
            <w:shd w:val="clear" w:color="auto" w:fill="auto"/>
            <w:vAlign w:val="center"/>
          </w:tcPr>
          <w:p w14:paraId="0EF3454A" w14:textId="77777777" w:rsidR="00925C7D" w:rsidRPr="00ED0D6D" w:rsidRDefault="00925C7D" w:rsidP="00CA2F95">
            <w:pPr>
              <w:jc w:val="center"/>
              <w:rPr>
                <w:sz w:val="20"/>
              </w:rPr>
            </w:pPr>
            <w:r w:rsidRPr="00ED0D6D">
              <w:rPr>
                <w:sz w:val="20"/>
              </w:rPr>
              <w:t>-</w:t>
            </w:r>
          </w:p>
        </w:tc>
        <w:tc>
          <w:tcPr>
            <w:tcW w:w="1250" w:type="dxa"/>
            <w:shd w:val="clear" w:color="auto" w:fill="auto"/>
            <w:vAlign w:val="center"/>
          </w:tcPr>
          <w:p w14:paraId="25B5D67D" w14:textId="77777777" w:rsidR="00925C7D" w:rsidRPr="00ED0D6D" w:rsidRDefault="00925C7D" w:rsidP="00CA2F95">
            <w:pPr>
              <w:jc w:val="center"/>
              <w:rPr>
                <w:sz w:val="20"/>
              </w:rPr>
            </w:pPr>
            <w:r w:rsidRPr="00ED0D6D">
              <w:rPr>
                <w:sz w:val="20"/>
              </w:rPr>
              <w:t>50</w:t>
            </w:r>
          </w:p>
        </w:tc>
        <w:tc>
          <w:tcPr>
            <w:tcW w:w="1250" w:type="dxa"/>
            <w:shd w:val="clear" w:color="auto" w:fill="auto"/>
            <w:vAlign w:val="center"/>
          </w:tcPr>
          <w:p w14:paraId="4BF25280" w14:textId="77777777" w:rsidR="00925C7D" w:rsidRPr="00ED0D6D" w:rsidRDefault="00925C7D" w:rsidP="00CA2F95">
            <w:pPr>
              <w:jc w:val="center"/>
              <w:rPr>
                <w:sz w:val="20"/>
              </w:rPr>
            </w:pPr>
            <w:r w:rsidRPr="00ED0D6D">
              <w:rPr>
                <w:sz w:val="20"/>
              </w:rPr>
              <w:t>60</w:t>
            </w:r>
          </w:p>
        </w:tc>
        <w:tc>
          <w:tcPr>
            <w:tcW w:w="2491" w:type="dxa"/>
            <w:shd w:val="clear" w:color="auto" w:fill="auto"/>
            <w:vAlign w:val="center"/>
          </w:tcPr>
          <w:p w14:paraId="2A53D137" w14:textId="77777777" w:rsidR="00925C7D" w:rsidRPr="00ED0D6D" w:rsidRDefault="00925C7D" w:rsidP="00CA2F95">
            <w:pPr>
              <w:jc w:val="center"/>
              <w:rPr>
                <w:sz w:val="20"/>
              </w:rPr>
            </w:pPr>
            <w:r w:rsidRPr="00ED0D6D">
              <w:rPr>
                <w:sz w:val="20"/>
              </w:rPr>
              <w:t>Lietuvos statistikos departamentas</w:t>
            </w:r>
          </w:p>
        </w:tc>
        <w:tc>
          <w:tcPr>
            <w:tcW w:w="1172" w:type="dxa"/>
            <w:shd w:val="clear" w:color="auto" w:fill="auto"/>
            <w:vAlign w:val="center"/>
          </w:tcPr>
          <w:p w14:paraId="6C8E0737" w14:textId="77777777" w:rsidR="00925C7D" w:rsidRPr="00ED0D6D" w:rsidRDefault="00925C7D" w:rsidP="00CA2F95">
            <w:pPr>
              <w:jc w:val="center"/>
              <w:rPr>
                <w:sz w:val="20"/>
              </w:rPr>
            </w:pPr>
            <w:r w:rsidRPr="00ED0D6D">
              <w:rPr>
                <w:sz w:val="20"/>
              </w:rPr>
              <w:t>NPP2030</w:t>
            </w:r>
          </w:p>
        </w:tc>
      </w:tr>
      <w:tr w:rsidR="00925C7D" w:rsidRPr="00ED0D6D" w14:paraId="574F76DA" w14:textId="77777777" w:rsidTr="00CA2F95">
        <w:trPr>
          <w:trHeight w:val="444"/>
        </w:trPr>
        <w:tc>
          <w:tcPr>
            <w:tcW w:w="657" w:type="dxa"/>
            <w:shd w:val="clear" w:color="auto" w:fill="auto"/>
            <w:vAlign w:val="center"/>
            <w:hideMark/>
          </w:tcPr>
          <w:p w14:paraId="66609C68"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auto" w:fill="auto"/>
            <w:vAlign w:val="center"/>
          </w:tcPr>
          <w:p w14:paraId="235D29EF" w14:textId="77777777" w:rsidR="00925C7D" w:rsidRPr="00ED0D6D" w:rsidRDefault="00925C7D" w:rsidP="00CA2F95">
            <w:pPr>
              <w:jc w:val="both"/>
              <w:rPr>
                <w:sz w:val="20"/>
              </w:rPr>
            </w:pPr>
            <w:r w:rsidRPr="00ED0D6D">
              <w:rPr>
                <w:sz w:val="20"/>
              </w:rPr>
              <w:t xml:space="preserve">Inovatyvių melioracijos sistemų plotai (proc.)   </w:t>
            </w:r>
          </w:p>
        </w:tc>
        <w:tc>
          <w:tcPr>
            <w:tcW w:w="1080" w:type="dxa"/>
            <w:shd w:val="clear" w:color="000000" w:fill="FFFFFF"/>
            <w:vAlign w:val="center"/>
          </w:tcPr>
          <w:p w14:paraId="481E7BBB" w14:textId="77777777" w:rsidR="00925C7D" w:rsidRPr="00ED0D6D" w:rsidRDefault="00925C7D" w:rsidP="00CA2F95">
            <w:pPr>
              <w:jc w:val="center"/>
              <w:rPr>
                <w:sz w:val="20"/>
              </w:rPr>
            </w:pPr>
            <w:r w:rsidRPr="00ED0D6D">
              <w:rPr>
                <w:sz w:val="20"/>
              </w:rPr>
              <w:t>2,5</w:t>
            </w:r>
          </w:p>
        </w:tc>
        <w:tc>
          <w:tcPr>
            <w:tcW w:w="1080" w:type="dxa"/>
            <w:shd w:val="clear" w:color="000000" w:fill="FFFFFF"/>
            <w:vAlign w:val="center"/>
          </w:tcPr>
          <w:p w14:paraId="547DA0D4" w14:textId="77777777" w:rsidR="00925C7D" w:rsidRPr="00ED0D6D" w:rsidRDefault="00925C7D" w:rsidP="00CA2F95">
            <w:pPr>
              <w:jc w:val="center"/>
              <w:rPr>
                <w:sz w:val="20"/>
              </w:rPr>
            </w:pPr>
            <w:r w:rsidRPr="00ED0D6D">
              <w:rPr>
                <w:sz w:val="20"/>
              </w:rPr>
              <w:t>2,7</w:t>
            </w:r>
          </w:p>
        </w:tc>
        <w:tc>
          <w:tcPr>
            <w:tcW w:w="956" w:type="dxa"/>
            <w:shd w:val="clear" w:color="auto" w:fill="auto"/>
            <w:vAlign w:val="center"/>
          </w:tcPr>
          <w:p w14:paraId="728FD46E" w14:textId="77777777" w:rsidR="00925C7D" w:rsidRPr="00ED0D6D" w:rsidRDefault="00925C7D" w:rsidP="00CA2F95">
            <w:pPr>
              <w:jc w:val="center"/>
              <w:rPr>
                <w:sz w:val="20"/>
              </w:rPr>
            </w:pPr>
            <w:r w:rsidRPr="00ED0D6D">
              <w:rPr>
                <w:sz w:val="20"/>
              </w:rPr>
              <w:t>-</w:t>
            </w:r>
          </w:p>
        </w:tc>
        <w:tc>
          <w:tcPr>
            <w:tcW w:w="983" w:type="dxa"/>
            <w:shd w:val="clear" w:color="auto" w:fill="auto"/>
            <w:vAlign w:val="center"/>
          </w:tcPr>
          <w:p w14:paraId="12D583FD" w14:textId="77777777" w:rsidR="00925C7D" w:rsidRPr="00ED0D6D" w:rsidRDefault="00925C7D" w:rsidP="00CA2F95">
            <w:pPr>
              <w:jc w:val="center"/>
              <w:rPr>
                <w:sz w:val="20"/>
              </w:rPr>
            </w:pPr>
            <w:r w:rsidRPr="00ED0D6D">
              <w:rPr>
                <w:sz w:val="20"/>
              </w:rPr>
              <w:t>2,7</w:t>
            </w:r>
          </w:p>
        </w:tc>
        <w:tc>
          <w:tcPr>
            <w:tcW w:w="1250" w:type="dxa"/>
            <w:shd w:val="clear" w:color="auto" w:fill="auto"/>
            <w:vAlign w:val="center"/>
          </w:tcPr>
          <w:p w14:paraId="2435367C" w14:textId="77777777" w:rsidR="00925C7D" w:rsidRPr="00ED0D6D" w:rsidRDefault="00925C7D" w:rsidP="00CA2F95">
            <w:pPr>
              <w:jc w:val="center"/>
              <w:rPr>
                <w:sz w:val="20"/>
              </w:rPr>
            </w:pPr>
            <w:r w:rsidRPr="00ED0D6D">
              <w:rPr>
                <w:sz w:val="20"/>
              </w:rPr>
              <w:t>6</w:t>
            </w:r>
          </w:p>
        </w:tc>
        <w:tc>
          <w:tcPr>
            <w:tcW w:w="1250" w:type="dxa"/>
            <w:shd w:val="clear" w:color="auto" w:fill="auto"/>
            <w:vAlign w:val="center"/>
          </w:tcPr>
          <w:p w14:paraId="28780804" w14:textId="77777777" w:rsidR="00925C7D" w:rsidRPr="00ED0D6D" w:rsidRDefault="00925C7D" w:rsidP="00CA2F95">
            <w:pPr>
              <w:jc w:val="center"/>
              <w:rPr>
                <w:sz w:val="20"/>
              </w:rPr>
            </w:pPr>
            <w:r w:rsidRPr="00ED0D6D">
              <w:rPr>
                <w:sz w:val="20"/>
              </w:rPr>
              <w:t>11,2</w:t>
            </w:r>
          </w:p>
        </w:tc>
        <w:tc>
          <w:tcPr>
            <w:tcW w:w="2491" w:type="dxa"/>
            <w:shd w:val="clear" w:color="auto" w:fill="auto"/>
            <w:vAlign w:val="center"/>
          </w:tcPr>
          <w:p w14:paraId="1FD85A8C" w14:textId="77777777" w:rsidR="00925C7D" w:rsidRPr="00ED0D6D" w:rsidRDefault="00925C7D" w:rsidP="00CA2F95">
            <w:pPr>
              <w:jc w:val="center"/>
              <w:rPr>
                <w:sz w:val="20"/>
              </w:rPr>
            </w:pPr>
            <w:r w:rsidRPr="00ED0D6D">
              <w:rPr>
                <w:sz w:val="20"/>
              </w:rPr>
              <w:t>VĮ Valstybės žemės fondas</w:t>
            </w:r>
          </w:p>
        </w:tc>
        <w:tc>
          <w:tcPr>
            <w:tcW w:w="1172" w:type="dxa"/>
            <w:shd w:val="clear" w:color="auto" w:fill="auto"/>
            <w:vAlign w:val="center"/>
          </w:tcPr>
          <w:p w14:paraId="4A165F36" w14:textId="77777777" w:rsidR="00925C7D" w:rsidRPr="00ED0D6D" w:rsidRDefault="00925C7D" w:rsidP="00CA2F95">
            <w:pPr>
              <w:jc w:val="center"/>
              <w:rPr>
                <w:sz w:val="20"/>
              </w:rPr>
            </w:pPr>
            <w:r w:rsidRPr="00ED0D6D">
              <w:rPr>
                <w:sz w:val="20"/>
              </w:rPr>
              <w:t>NPP2030</w:t>
            </w:r>
          </w:p>
        </w:tc>
      </w:tr>
      <w:tr w:rsidR="00925C7D" w:rsidRPr="00ED0D6D" w14:paraId="13F7BAA3" w14:textId="77777777" w:rsidTr="00CA2F95">
        <w:trPr>
          <w:trHeight w:val="323"/>
        </w:trPr>
        <w:tc>
          <w:tcPr>
            <w:tcW w:w="657" w:type="dxa"/>
            <w:shd w:val="clear" w:color="auto" w:fill="auto"/>
            <w:vAlign w:val="center"/>
            <w:hideMark/>
          </w:tcPr>
          <w:p w14:paraId="1E8F7A0A"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01499A3E" w14:textId="77777777" w:rsidR="00925C7D" w:rsidRPr="00ED0D6D" w:rsidRDefault="00925C7D" w:rsidP="00CA2F95">
            <w:pPr>
              <w:jc w:val="both"/>
              <w:rPr>
                <w:sz w:val="20"/>
              </w:rPr>
            </w:pPr>
            <w:r w:rsidRPr="00ED0D6D">
              <w:rPr>
                <w:sz w:val="20"/>
              </w:rPr>
              <w:t>Žemės ūkio sektoriuje išmetamo ŠESD kiekio pokytis, palyginti su 2005 m. išmestu kiekiu (proc.)</w:t>
            </w:r>
          </w:p>
        </w:tc>
        <w:tc>
          <w:tcPr>
            <w:tcW w:w="1080" w:type="dxa"/>
            <w:shd w:val="clear" w:color="000000" w:fill="FFFFFF"/>
            <w:vAlign w:val="center"/>
          </w:tcPr>
          <w:p w14:paraId="7FAEF05F" w14:textId="77777777" w:rsidR="00925C7D" w:rsidRPr="00ED0D6D" w:rsidRDefault="00925C7D" w:rsidP="00CA2F95">
            <w:pPr>
              <w:jc w:val="center"/>
              <w:rPr>
                <w:sz w:val="20"/>
              </w:rPr>
            </w:pPr>
            <w:r w:rsidRPr="00ED0D6D">
              <w:rPr>
                <w:sz w:val="20"/>
              </w:rPr>
              <w:t>4,7</w:t>
            </w:r>
          </w:p>
        </w:tc>
        <w:tc>
          <w:tcPr>
            <w:tcW w:w="1080" w:type="dxa"/>
            <w:shd w:val="clear" w:color="000000" w:fill="FFFFFF"/>
            <w:vAlign w:val="center"/>
          </w:tcPr>
          <w:p w14:paraId="75486106" w14:textId="77777777" w:rsidR="00925C7D" w:rsidRPr="00ED0D6D" w:rsidRDefault="00925C7D" w:rsidP="00CA2F95">
            <w:pPr>
              <w:jc w:val="center"/>
              <w:rPr>
                <w:sz w:val="20"/>
              </w:rPr>
            </w:pPr>
            <w:r w:rsidRPr="00ED0D6D">
              <w:rPr>
                <w:sz w:val="20"/>
              </w:rPr>
              <w:t>N.D.</w:t>
            </w:r>
          </w:p>
        </w:tc>
        <w:tc>
          <w:tcPr>
            <w:tcW w:w="956" w:type="dxa"/>
            <w:shd w:val="clear" w:color="auto" w:fill="auto"/>
            <w:vAlign w:val="center"/>
          </w:tcPr>
          <w:p w14:paraId="74BF19F0" w14:textId="77777777" w:rsidR="00925C7D" w:rsidRPr="00ED0D6D" w:rsidRDefault="00925C7D" w:rsidP="00CA2F95">
            <w:pPr>
              <w:jc w:val="center"/>
              <w:rPr>
                <w:sz w:val="20"/>
              </w:rPr>
            </w:pPr>
            <w:r w:rsidRPr="00ED0D6D">
              <w:rPr>
                <w:sz w:val="20"/>
              </w:rPr>
              <w:t xml:space="preserve"> -1,2 (2018)</w:t>
            </w:r>
          </w:p>
        </w:tc>
        <w:tc>
          <w:tcPr>
            <w:tcW w:w="983" w:type="dxa"/>
            <w:shd w:val="clear" w:color="auto" w:fill="auto"/>
            <w:vAlign w:val="center"/>
          </w:tcPr>
          <w:p w14:paraId="625308A4" w14:textId="77777777" w:rsidR="00925C7D" w:rsidRPr="00ED0D6D" w:rsidRDefault="00925C7D" w:rsidP="00CA2F95">
            <w:pPr>
              <w:jc w:val="center"/>
              <w:rPr>
                <w:sz w:val="20"/>
              </w:rPr>
            </w:pPr>
            <w:r w:rsidRPr="00ED0D6D">
              <w:rPr>
                <w:sz w:val="20"/>
              </w:rPr>
              <w:t>-</w:t>
            </w:r>
          </w:p>
        </w:tc>
        <w:tc>
          <w:tcPr>
            <w:tcW w:w="1250" w:type="dxa"/>
            <w:shd w:val="clear" w:color="auto" w:fill="auto"/>
            <w:vAlign w:val="center"/>
          </w:tcPr>
          <w:p w14:paraId="267F708B" w14:textId="77777777" w:rsidR="00925C7D" w:rsidRPr="00ED0D6D" w:rsidRDefault="00925C7D" w:rsidP="00CA2F95">
            <w:pPr>
              <w:jc w:val="center"/>
              <w:rPr>
                <w:sz w:val="20"/>
              </w:rPr>
            </w:pPr>
            <w:r w:rsidRPr="00ED0D6D">
              <w:rPr>
                <w:sz w:val="20"/>
              </w:rPr>
              <w:t>–2,6</w:t>
            </w:r>
          </w:p>
        </w:tc>
        <w:tc>
          <w:tcPr>
            <w:tcW w:w="1250" w:type="dxa"/>
            <w:shd w:val="clear" w:color="auto" w:fill="auto"/>
            <w:vAlign w:val="center"/>
          </w:tcPr>
          <w:p w14:paraId="020D4CBB" w14:textId="77777777" w:rsidR="00925C7D" w:rsidRPr="00ED0D6D" w:rsidRDefault="00925C7D" w:rsidP="00CA2F95">
            <w:pPr>
              <w:jc w:val="center"/>
              <w:rPr>
                <w:sz w:val="20"/>
              </w:rPr>
            </w:pPr>
            <w:r w:rsidRPr="00ED0D6D">
              <w:rPr>
                <w:sz w:val="20"/>
              </w:rPr>
              <w:t>–9</w:t>
            </w:r>
          </w:p>
        </w:tc>
        <w:tc>
          <w:tcPr>
            <w:tcW w:w="2491" w:type="dxa"/>
            <w:shd w:val="clear" w:color="auto" w:fill="auto"/>
            <w:vAlign w:val="center"/>
          </w:tcPr>
          <w:p w14:paraId="5345594E" w14:textId="77777777" w:rsidR="00925C7D" w:rsidRPr="00ED0D6D" w:rsidRDefault="00925C7D" w:rsidP="00CA2F95">
            <w:pPr>
              <w:jc w:val="center"/>
              <w:rPr>
                <w:sz w:val="20"/>
              </w:rPr>
            </w:pPr>
            <w:r w:rsidRPr="00ED0D6D">
              <w:rPr>
                <w:sz w:val="20"/>
              </w:rPr>
              <w:t>Nacionalinė išmetamų į atmosferą šiltnamio efektą sukeliančių dujų kiekio apskaitos ataskaita</w:t>
            </w:r>
          </w:p>
        </w:tc>
        <w:tc>
          <w:tcPr>
            <w:tcW w:w="1172" w:type="dxa"/>
            <w:shd w:val="clear" w:color="auto" w:fill="auto"/>
            <w:vAlign w:val="center"/>
          </w:tcPr>
          <w:p w14:paraId="267FE818" w14:textId="77777777" w:rsidR="00925C7D" w:rsidRPr="00ED0D6D" w:rsidRDefault="00925C7D" w:rsidP="00CA2F95">
            <w:pPr>
              <w:jc w:val="center"/>
              <w:rPr>
                <w:sz w:val="20"/>
              </w:rPr>
            </w:pPr>
            <w:r w:rsidRPr="00ED0D6D">
              <w:rPr>
                <w:sz w:val="20"/>
              </w:rPr>
              <w:t>NPP2030</w:t>
            </w:r>
          </w:p>
        </w:tc>
      </w:tr>
      <w:tr w:rsidR="00925C7D" w:rsidRPr="00ED0D6D" w14:paraId="57C4087C" w14:textId="77777777" w:rsidTr="00CA2F95">
        <w:trPr>
          <w:trHeight w:val="359"/>
        </w:trPr>
        <w:tc>
          <w:tcPr>
            <w:tcW w:w="657" w:type="dxa"/>
            <w:shd w:val="clear" w:color="auto" w:fill="auto"/>
            <w:vAlign w:val="center"/>
            <w:hideMark/>
          </w:tcPr>
          <w:p w14:paraId="21BFB17E" w14:textId="77777777" w:rsidR="00925C7D" w:rsidRPr="00ED0D6D" w:rsidRDefault="00925C7D" w:rsidP="00816260">
            <w:pPr>
              <w:pStyle w:val="Sraopastraipa"/>
              <w:numPr>
                <w:ilvl w:val="0"/>
                <w:numId w:val="11"/>
              </w:numPr>
              <w:ind w:left="0" w:firstLine="0"/>
              <w:jc w:val="center"/>
              <w:rPr>
                <w:rFonts w:ascii="Times New Roman" w:hAnsi="Times New Roman"/>
                <w:color w:val="000000"/>
                <w:sz w:val="20"/>
                <w:szCs w:val="20"/>
              </w:rPr>
            </w:pPr>
          </w:p>
        </w:tc>
        <w:tc>
          <w:tcPr>
            <w:tcW w:w="4648" w:type="dxa"/>
            <w:shd w:val="clear" w:color="auto" w:fill="auto"/>
            <w:vAlign w:val="center"/>
          </w:tcPr>
          <w:p w14:paraId="5209040B" w14:textId="77777777" w:rsidR="00925C7D" w:rsidRPr="00ED0D6D" w:rsidRDefault="00925C7D" w:rsidP="00CA2F95">
            <w:pPr>
              <w:jc w:val="both"/>
              <w:rPr>
                <w:sz w:val="20"/>
              </w:rPr>
            </w:pPr>
            <w:r w:rsidRPr="00ED0D6D">
              <w:rPr>
                <w:sz w:val="20"/>
              </w:rPr>
              <w:t>Dėl žemės ūkio veiklos išmetamo NH3 kiekio pokytis, palyginti su 2005 m. išmestu kiekiu (proc.)</w:t>
            </w:r>
          </w:p>
        </w:tc>
        <w:tc>
          <w:tcPr>
            <w:tcW w:w="1080" w:type="dxa"/>
            <w:shd w:val="clear" w:color="000000" w:fill="FFFFFF"/>
            <w:vAlign w:val="center"/>
          </w:tcPr>
          <w:p w14:paraId="3EECE899" w14:textId="77777777" w:rsidR="00925C7D" w:rsidRPr="00ED0D6D" w:rsidRDefault="00925C7D" w:rsidP="00CA2F95">
            <w:pPr>
              <w:jc w:val="center"/>
              <w:rPr>
                <w:sz w:val="20"/>
              </w:rPr>
            </w:pPr>
            <w:r w:rsidRPr="00ED0D6D">
              <w:rPr>
                <w:sz w:val="20"/>
              </w:rPr>
              <w:t>-7</w:t>
            </w:r>
          </w:p>
        </w:tc>
        <w:tc>
          <w:tcPr>
            <w:tcW w:w="1080" w:type="dxa"/>
            <w:shd w:val="clear" w:color="000000" w:fill="FFFFFF"/>
            <w:vAlign w:val="center"/>
          </w:tcPr>
          <w:p w14:paraId="21A3FDD1" w14:textId="77777777" w:rsidR="00925C7D" w:rsidRPr="00ED0D6D" w:rsidRDefault="00925C7D" w:rsidP="00CA2F95">
            <w:pPr>
              <w:jc w:val="center"/>
              <w:rPr>
                <w:sz w:val="20"/>
              </w:rPr>
            </w:pPr>
            <w:r w:rsidRPr="00ED0D6D">
              <w:rPr>
                <w:sz w:val="20"/>
              </w:rPr>
              <w:t>N.D.</w:t>
            </w:r>
          </w:p>
        </w:tc>
        <w:tc>
          <w:tcPr>
            <w:tcW w:w="956" w:type="dxa"/>
            <w:shd w:val="clear" w:color="auto" w:fill="auto"/>
            <w:vAlign w:val="center"/>
          </w:tcPr>
          <w:p w14:paraId="2B4CF24D" w14:textId="77777777" w:rsidR="00925C7D" w:rsidRPr="00ED0D6D" w:rsidRDefault="00925C7D" w:rsidP="00CA2F95">
            <w:pPr>
              <w:jc w:val="center"/>
              <w:rPr>
                <w:sz w:val="20"/>
              </w:rPr>
            </w:pPr>
            <w:r w:rsidRPr="00ED0D6D">
              <w:rPr>
                <w:sz w:val="20"/>
              </w:rPr>
              <w:t xml:space="preserve">- </w:t>
            </w:r>
          </w:p>
        </w:tc>
        <w:tc>
          <w:tcPr>
            <w:tcW w:w="983" w:type="dxa"/>
            <w:shd w:val="clear" w:color="auto" w:fill="auto"/>
            <w:vAlign w:val="center"/>
          </w:tcPr>
          <w:p w14:paraId="41F8305D" w14:textId="77777777" w:rsidR="00925C7D" w:rsidRPr="00ED0D6D" w:rsidRDefault="00925C7D" w:rsidP="00CA2F95">
            <w:pPr>
              <w:jc w:val="center"/>
              <w:rPr>
                <w:sz w:val="20"/>
              </w:rPr>
            </w:pPr>
            <w:r w:rsidRPr="00ED0D6D">
              <w:rPr>
                <w:sz w:val="20"/>
              </w:rPr>
              <w:t>-10</w:t>
            </w:r>
          </w:p>
        </w:tc>
        <w:tc>
          <w:tcPr>
            <w:tcW w:w="1250" w:type="dxa"/>
            <w:shd w:val="clear" w:color="auto" w:fill="auto"/>
            <w:vAlign w:val="center"/>
          </w:tcPr>
          <w:p w14:paraId="6964490F" w14:textId="77777777" w:rsidR="00925C7D" w:rsidRPr="00ED0D6D" w:rsidRDefault="00925C7D" w:rsidP="00CA2F95">
            <w:pPr>
              <w:jc w:val="center"/>
              <w:rPr>
                <w:sz w:val="20"/>
              </w:rPr>
            </w:pPr>
            <w:r w:rsidRPr="00ED0D6D">
              <w:rPr>
                <w:sz w:val="20"/>
              </w:rPr>
              <w:t>-10</w:t>
            </w:r>
          </w:p>
        </w:tc>
        <w:tc>
          <w:tcPr>
            <w:tcW w:w="1250" w:type="dxa"/>
            <w:shd w:val="clear" w:color="auto" w:fill="auto"/>
            <w:vAlign w:val="center"/>
          </w:tcPr>
          <w:p w14:paraId="4753A628" w14:textId="77777777" w:rsidR="00925C7D" w:rsidRPr="00ED0D6D" w:rsidRDefault="00925C7D" w:rsidP="00CA2F95">
            <w:pPr>
              <w:jc w:val="center"/>
              <w:rPr>
                <w:sz w:val="20"/>
              </w:rPr>
            </w:pPr>
            <w:r w:rsidRPr="00ED0D6D">
              <w:rPr>
                <w:sz w:val="20"/>
              </w:rPr>
              <w:t>-10</w:t>
            </w:r>
          </w:p>
        </w:tc>
        <w:tc>
          <w:tcPr>
            <w:tcW w:w="2491" w:type="dxa"/>
            <w:shd w:val="clear" w:color="auto" w:fill="auto"/>
            <w:vAlign w:val="center"/>
          </w:tcPr>
          <w:p w14:paraId="6F1A20F9" w14:textId="77777777" w:rsidR="00925C7D" w:rsidRPr="00ED0D6D" w:rsidRDefault="00925C7D" w:rsidP="00CA2F95">
            <w:pPr>
              <w:jc w:val="center"/>
              <w:rPr>
                <w:sz w:val="20"/>
              </w:rPr>
            </w:pPr>
            <w:r w:rsidRPr="00ED0D6D">
              <w:rPr>
                <w:sz w:val="20"/>
              </w:rPr>
              <w:t>Nacionalinė išmetamų į aplinkos orą teršalų apskaitos ataskaita</w:t>
            </w:r>
          </w:p>
        </w:tc>
        <w:tc>
          <w:tcPr>
            <w:tcW w:w="1172" w:type="dxa"/>
            <w:shd w:val="clear" w:color="auto" w:fill="auto"/>
            <w:vAlign w:val="center"/>
          </w:tcPr>
          <w:p w14:paraId="586FE57E" w14:textId="77777777" w:rsidR="00925C7D" w:rsidRPr="00ED0D6D" w:rsidRDefault="00925C7D" w:rsidP="00CA2F95">
            <w:pPr>
              <w:jc w:val="center"/>
              <w:rPr>
                <w:sz w:val="20"/>
              </w:rPr>
            </w:pPr>
            <w:r w:rsidRPr="00ED0D6D">
              <w:rPr>
                <w:sz w:val="20"/>
              </w:rPr>
              <w:t>NPP2030</w:t>
            </w:r>
          </w:p>
        </w:tc>
      </w:tr>
      <w:tr w:rsidR="00925C7D" w:rsidRPr="00ED0D6D" w14:paraId="7FB30710" w14:textId="77777777" w:rsidTr="00CA2F95">
        <w:trPr>
          <w:trHeight w:val="440"/>
        </w:trPr>
        <w:tc>
          <w:tcPr>
            <w:tcW w:w="657" w:type="dxa"/>
            <w:shd w:val="clear" w:color="000000" w:fill="FFFFFF"/>
            <w:vAlign w:val="center"/>
            <w:hideMark/>
          </w:tcPr>
          <w:p w14:paraId="1686649A"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3CCE1C78" w14:textId="77777777" w:rsidR="00925C7D" w:rsidRPr="00ED0D6D" w:rsidRDefault="00925C7D" w:rsidP="00CA2F95">
            <w:pPr>
              <w:jc w:val="both"/>
              <w:rPr>
                <w:sz w:val="20"/>
              </w:rPr>
            </w:pPr>
            <w:r w:rsidRPr="00ED0D6D">
              <w:rPr>
                <w:sz w:val="20"/>
              </w:rPr>
              <w:t xml:space="preserve">Žemės naudmenų ir miškininkystės sektoriuose absorbuotas ŠESD kiekis (mln. t. CO2 </w:t>
            </w:r>
            <w:proofErr w:type="spellStart"/>
            <w:r w:rsidRPr="00ED0D6D">
              <w:rPr>
                <w:sz w:val="20"/>
              </w:rPr>
              <w:t>ekv</w:t>
            </w:r>
            <w:proofErr w:type="spellEnd"/>
            <w:r w:rsidRPr="00ED0D6D">
              <w:rPr>
                <w:sz w:val="20"/>
              </w:rPr>
              <w:t>.)</w:t>
            </w:r>
          </w:p>
        </w:tc>
        <w:tc>
          <w:tcPr>
            <w:tcW w:w="1080" w:type="dxa"/>
            <w:shd w:val="clear" w:color="000000" w:fill="FFFFFF"/>
            <w:vAlign w:val="center"/>
          </w:tcPr>
          <w:p w14:paraId="4A270E18" w14:textId="77777777" w:rsidR="00925C7D" w:rsidRPr="00ED0D6D" w:rsidRDefault="00925C7D" w:rsidP="00CA2F95">
            <w:pPr>
              <w:jc w:val="center"/>
              <w:rPr>
                <w:sz w:val="20"/>
              </w:rPr>
            </w:pPr>
            <w:r w:rsidRPr="00ED0D6D">
              <w:rPr>
                <w:sz w:val="20"/>
              </w:rPr>
              <w:t>5</w:t>
            </w:r>
          </w:p>
        </w:tc>
        <w:tc>
          <w:tcPr>
            <w:tcW w:w="1080" w:type="dxa"/>
            <w:shd w:val="clear" w:color="000000" w:fill="FFFFFF"/>
            <w:vAlign w:val="center"/>
          </w:tcPr>
          <w:p w14:paraId="57549B24" w14:textId="77777777" w:rsidR="00925C7D" w:rsidRPr="00ED0D6D" w:rsidRDefault="00925C7D" w:rsidP="00CA2F95">
            <w:pPr>
              <w:jc w:val="center"/>
              <w:rPr>
                <w:sz w:val="20"/>
              </w:rPr>
            </w:pPr>
            <w:r w:rsidRPr="00ED0D6D">
              <w:rPr>
                <w:sz w:val="20"/>
              </w:rPr>
              <w:t>N.D.</w:t>
            </w:r>
          </w:p>
        </w:tc>
        <w:tc>
          <w:tcPr>
            <w:tcW w:w="956" w:type="dxa"/>
            <w:shd w:val="clear" w:color="auto" w:fill="auto"/>
            <w:vAlign w:val="center"/>
          </w:tcPr>
          <w:p w14:paraId="63D0878C"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51ECED09" w14:textId="77777777" w:rsidR="00925C7D" w:rsidRPr="00ED0D6D" w:rsidRDefault="00925C7D" w:rsidP="00CA2F95">
            <w:pPr>
              <w:jc w:val="center"/>
              <w:rPr>
                <w:sz w:val="20"/>
              </w:rPr>
            </w:pPr>
            <w:r w:rsidRPr="00ED0D6D">
              <w:rPr>
                <w:sz w:val="20"/>
              </w:rPr>
              <w:t>-</w:t>
            </w:r>
          </w:p>
        </w:tc>
        <w:tc>
          <w:tcPr>
            <w:tcW w:w="1250" w:type="dxa"/>
            <w:shd w:val="clear" w:color="000000" w:fill="FFFFFF"/>
            <w:vAlign w:val="center"/>
          </w:tcPr>
          <w:p w14:paraId="094E50AF" w14:textId="77777777" w:rsidR="00925C7D" w:rsidRPr="00ED0D6D" w:rsidRDefault="00925C7D" w:rsidP="00CA2F95">
            <w:pPr>
              <w:jc w:val="center"/>
              <w:rPr>
                <w:sz w:val="20"/>
              </w:rPr>
            </w:pPr>
            <w:r w:rsidRPr="00ED0D6D">
              <w:rPr>
                <w:sz w:val="20"/>
              </w:rPr>
              <w:t>4,1</w:t>
            </w:r>
          </w:p>
        </w:tc>
        <w:tc>
          <w:tcPr>
            <w:tcW w:w="1250" w:type="dxa"/>
            <w:shd w:val="clear" w:color="000000" w:fill="FFFFFF"/>
            <w:vAlign w:val="center"/>
          </w:tcPr>
          <w:p w14:paraId="1C79F7F5" w14:textId="77777777" w:rsidR="00925C7D" w:rsidRPr="00ED0D6D" w:rsidRDefault="00925C7D" w:rsidP="00CA2F95">
            <w:pPr>
              <w:jc w:val="center"/>
              <w:rPr>
                <w:sz w:val="20"/>
              </w:rPr>
            </w:pPr>
            <w:r w:rsidRPr="00ED0D6D">
              <w:rPr>
                <w:sz w:val="20"/>
              </w:rPr>
              <w:t>3,9</w:t>
            </w:r>
          </w:p>
        </w:tc>
        <w:tc>
          <w:tcPr>
            <w:tcW w:w="2491" w:type="dxa"/>
            <w:shd w:val="clear" w:color="000000" w:fill="FFFFFF"/>
            <w:vAlign w:val="center"/>
          </w:tcPr>
          <w:p w14:paraId="0E2A3631" w14:textId="77777777" w:rsidR="00925C7D" w:rsidRPr="00ED0D6D" w:rsidRDefault="00925C7D" w:rsidP="00CA2F95">
            <w:pPr>
              <w:jc w:val="center"/>
              <w:rPr>
                <w:sz w:val="20"/>
              </w:rPr>
            </w:pPr>
            <w:r w:rsidRPr="00ED0D6D">
              <w:rPr>
                <w:sz w:val="20"/>
              </w:rPr>
              <w:t>Nacionalinė išmetamų į atmosferą šiltnamio efektą sukeliančių dujų kiekio apskaitos ataskaita</w:t>
            </w:r>
          </w:p>
        </w:tc>
        <w:tc>
          <w:tcPr>
            <w:tcW w:w="1172" w:type="dxa"/>
            <w:shd w:val="clear" w:color="auto" w:fill="auto"/>
            <w:vAlign w:val="center"/>
          </w:tcPr>
          <w:p w14:paraId="046DB485" w14:textId="77777777" w:rsidR="00925C7D" w:rsidRPr="00ED0D6D" w:rsidRDefault="00925C7D" w:rsidP="00CA2F95">
            <w:pPr>
              <w:jc w:val="center"/>
              <w:rPr>
                <w:sz w:val="20"/>
              </w:rPr>
            </w:pPr>
            <w:r w:rsidRPr="00ED0D6D">
              <w:rPr>
                <w:sz w:val="20"/>
              </w:rPr>
              <w:t>NPP2030</w:t>
            </w:r>
          </w:p>
        </w:tc>
      </w:tr>
      <w:tr w:rsidR="00925C7D" w:rsidRPr="00ED0D6D" w14:paraId="45247D8F" w14:textId="77777777" w:rsidTr="00CA2F95">
        <w:trPr>
          <w:trHeight w:val="431"/>
        </w:trPr>
        <w:tc>
          <w:tcPr>
            <w:tcW w:w="657" w:type="dxa"/>
            <w:shd w:val="clear" w:color="000000" w:fill="FFFFFF"/>
            <w:vAlign w:val="center"/>
            <w:hideMark/>
          </w:tcPr>
          <w:p w14:paraId="1222EC39"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60CD007A" w14:textId="77777777" w:rsidR="00925C7D" w:rsidRPr="00ED0D6D" w:rsidRDefault="00925C7D" w:rsidP="00CA2F95">
            <w:pPr>
              <w:jc w:val="both"/>
              <w:rPr>
                <w:sz w:val="20"/>
              </w:rPr>
            </w:pPr>
            <w:r w:rsidRPr="00ED0D6D">
              <w:rPr>
                <w:sz w:val="20"/>
              </w:rPr>
              <w:t xml:space="preserve">Naudojamų ekologinio žemės ūkio naudmenų dalis nuo žemės ūkio produkcijos gamintojų naudojamų žemės ūkio naudmenų (proc.)   </w:t>
            </w:r>
          </w:p>
        </w:tc>
        <w:tc>
          <w:tcPr>
            <w:tcW w:w="1080" w:type="dxa"/>
            <w:shd w:val="clear" w:color="000000" w:fill="FFFFFF"/>
            <w:vAlign w:val="center"/>
          </w:tcPr>
          <w:p w14:paraId="339823E2" w14:textId="77777777" w:rsidR="00925C7D" w:rsidRPr="00ED0D6D" w:rsidRDefault="00925C7D" w:rsidP="00CA2F95">
            <w:pPr>
              <w:jc w:val="center"/>
              <w:rPr>
                <w:sz w:val="20"/>
              </w:rPr>
            </w:pPr>
            <w:r w:rsidRPr="00ED0D6D">
              <w:rPr>
                <w:sz w:val="20"/>
              </w:rPr>
              <w:t>8,1</w:t>
            </w:r>
          </w:p>
        </w:tc>
        <w:tc>
          <w:tcPr>
            <w:tcW w:w="1080" w:type="dxa"/>
            <w:shd w:val="clear" w:color="000000" w:fill="FFFFFF"/>
            <w:vAlign w:val="center"/>
          </w:tcPr>
          <w:p w14:paraId="6EA56D97" w14:textId="77777777" w:rsidR="00925C7D" w:rsidRPr="00ED0D6D" w:rsidRDefault="00925C7D" w:rsidP="00CA2F95">
            <w:pPr>
              <w:jc w:val="center"/>
              <w:rPr>
                <w:sz w:val="20"/>
              </w:rPr>
            </w:pPr>
            <w:r w:rsidRPr="00ED0D6D">
              <w:rPr>
                <w:sz w:val="20"/>
              </w:rPr>
              <w:t>N.D.</w:t>
            </w:r>
          </w:p>
        </w:tc>
        <w:tc>
          <w:tcPr>
            <w:tcW w:w="956" w:type="dxa"/>
            <w:shd w:val="clear" w:color="auto" w:fill="auto"/>
            <w:vAlign w:val="center"/>
          </w:tcPr>
          <w:p w14:paraId="5B6A278D"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127C2311" w14:textId="77777777" w:rsidR="00925C7D" w:rsidRPr="00ED0D6D" w:rsidRDefault="00925C7D" w:rsidP="00CA2F95">
            <w:pPr>
              <w:jc w:val="center"/>
              <w:rPr>
                <w:sz w:val="20"/>
              </w:rPr>
            </w:pPr>
            <w:r w:rsidRPr="00ED0D6D">
              <w:rPr>
                <w:sz w:val="20"/>
              </w:rPr>
              <w:t>-</w:t>
            </w:r>
          </w:p>
        </w:tc>
        <w:tc>
          <w:tcPr>
            <w:tcW w:w="1250" w:type="dxa"/>
            <w:shd w:val="clear" w:color="000000" w:fill="FFFFFF"/>
            <w:vAlign w:val="center"/>
          </w:tcPr>
          <w:p w14:paraId="3F5A0AA8" w14:textId="77777777" w:rsidR="00925C7D" w:rsidRPr="00ED0D6D" w:rsidRDefault="00925C7D" w:rsidP="00CA2F95">
            <w:pPr>
              <w:jc w:val="center"/>
              <w:rPr>
                <w:sz w:val="20"/>
              </w:rPr>
            </w:pPr>
            <w:r w:rsidRPr="00ED0D6D">
              <w:rPr>
                <w:sz w:val="20"/>
              </w:rPr>
              <w:t>13</w:t>
            </w:r>
          </w:p>
        </w:tc>
        <w:tc>
          <w:tcPr>
            <w:tcW w:w="1250" w:type="dxa"/>
            <w:shd w:val="clear" w:color="000000" w:fill="FFFFFF"/>
            <w:vAlign w:val="center"/>
          </w:tcPr>
          <w:p w14:paraId="7C57B3CE" w14:textId="77777777" w:rsidR="00925C7D" w:rsidRPr="00ED0D6D" w:rsidRDefault="00925C7D" w:rsidP="00CA2F95">
            <w:pPr>
              <w:jc w:val="center"/>
              <w:rPr>
                <w:sz w:val="20"/>
              </w:rPr>
            </w:pPr>
            <w:r w:rsidRPr="00ED0D6D">
              <w:rPr>
                <w:sz w:val="20"/>
              </w:rPr>
              <w:t>15</w:t>
            </w:r>
          </w:p>
        </w:tc>
        <w:tc>
          <w:tcPr>
            <w:tcW w:w="2491" w:type="dxa"/>
            <w:shd w:val="clear" w:color="000000" w:fill="FFFFFF"/>
            <w:vAlign w:val="center"/>
          </w:tcPr>
          <w:p w14:paraId="4B99F1CD" w14:textId="77777777" w:rsidR="00925C7D" w:rsidRPr="00ED0D6D" w:rsidRDefault="00925C7D" w:rsidP="00CA2F95">
            <w:pPr>
              <w:jc w:val="center"/>
              <w:rPr>
                <w:sz w:val="20"/>
              </w:rPr>
            </w:pPr>
            <w:r w:rsidRPr="00ED0D6D">
              <w:rPr>
                <w:sz w:val="20"/>
              </w:rPr>
              <w:t>Lietuvos statistikos departamentas</w:t>
            </w:r>
          </w:p>
        </w:tc>
        <w:tc>
          <w:tcPr>
            <w:tcW w:w="1172" w:type="dxa"/>
            <w:shd w:val="clear" w:color="auto" w:fill="auto"/>
            <w:vAlign w:val="center"/>
          </w:tcPr>
          <w:p w14:paraId="6BDE2B00" w14:textId="77777777" w:rsidR="00925C7D" w:rsidRPr="00ED0D6D" w:rsidRDefault="00925C7D" w:rsidP="00CA2F95">
            <w:pPr>
              <w:jc w:val="center"/>
              <w:rPr>
                <w:sz w:val="20"/>
              </w:rPr>
            </w:pPr>
            <w:r w:rsidRPr="00ED0D6D">
              <w:rPr>
                <w:sz w:val="20"/>
              </w:rPr>
              <w:t>NPP2030</w:t>
            </w:r>
          </w:p>
        </w:tc>
      </w:tr>
      <w:tr w:rsidR="00925C7D" w:rsidRPr="00ED0D6D" w14:paraId="4396446D" w14:textId="77777777" w:rsidTr="00CA2F95">
        <w:trPr>
          <w:trHeight w:val="408"/>
        </w:trPr>
        <w:tc>
          <w:tcPr>
            <w:tcW w:w="657" w:type="dxa"/>
            <w:shd w:val="clear" w:color="000000" w:fill="FFFFFF"/>
            <w:vAlign w:val="center"/>
            <w:hideMark/>
          </w:tcPr>
          <w:p w14:paraId="23F1B9C8"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0B70F78A" w14:textId="77777777" w:rsidR="00925C7D" w:rsidRPr="00ED0D6D" w:rsidRDefault="00925C7D" w:rsidP="00CA2F95">
            <w:pPr>
              <w:jc w:val="both"/>
              <w:rPr>
                <w:sz w:val="20"/>
              </w:rPr>
            </w:pPr>
            <w:r w:rsidRPr="00ED0D6D">
              <w:rPr>
                <w:sz w:val="20"/>
              </w:rPr>
              <w:t xml:space="preserve">Kaimiškųjų vietovių gyventojų vidutinių disponuojamų pajamų dalis, palyginti su miesto gyventojų vidutinėmis disponuojamomis pajamomis (proc.)   </w:t>
            </w:r>
          </w:p>
        </w:tc>
        <w:tc>
          <w:tcPr>
            <w:tcW w:w="1080" w:type="dxa"/>
            <w:shd w:val="clear" w:color="000000" w:fill="FFFFFF"/>
            <w:vAlign w:val="center"/>
          </w:tcPr>
          <w:p w14:paraId="07D5205C" w14:textId="77777777" w:rsidR="00925C7D" w:rsidRPr="00ED0D6D" w:rsidRDefault="00925C7D" w:rsidP="00CA2F95">
            <w:pPr>
              <w:jc w:val="center"/>
              <w:rPr>
                <w:sz w:val="20"/>
              </w:rPr>
            </w:pPr>
            <w:r w:rsidRPr="00ED0D6D">
              <w:rPr>
                <w:sz w:val="20"/>
              </w:rPr>
              <w:t>83,2</w:t>
            </w:r>
          </w:p>
        </w:tc>
        <w:tc>
          <w:tcPr>
            <w:tcW w:w="1080" w:type="dxa"/>
            <w:shd w:val="clear" w:color="000000" w:fill="FFFFFF"/>
            <w:vAlign w:val="center"/>
          </w:tcPr>
          <w:p w14:paraId="164717E1" w14:textId="77777777" w:rsidR="00925C7D" w:rsidRPr="00ED0D6D" w:rsidRDefault="00925C7D" w:rsidP="00CA2F95">
            <w:pPr>
              <w:jc w:val="center"/>
              <w:rPr>
                <w:sz w:val="20"/>
              </w:rPr>
            </w:pPr>
            <w:r w:rsidRPr="00ED0D6D">
              <w:rPr>
                <w:sz w:val="20"/>
              </w:rPr>
              <w:t>N.D.</w:t>
            </w:r>
          </w:p>
        </w:tc>
        <w:tc>
          <w:tcPr>
            <w:tcW w:w="956" w:type="dxa"/>
            <w:shd w:val="clear" w:color="auto" w:fill="auto"/>
            <w:vAlign w:val="center"/>
          </w:tcPr>
          <w:p w14:paraId="406BDDE4"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052C54CA" w14:textId="77777777" w:rsidR="00925C7D" w:rsidRPr="00ED0D6D" w:rsidRDefault="00925C7D" w:rsidP="00CA2F95">
            <w:pPr>
              <w:jc w:val="center"/>
              <w:rPr>
                <w:sz w:val="20"/>
              </w:rPr>
            </w:pPr>
            <w:r w:rsidRPr="00ED0D6D">
              <w:rPr>
                <w:sz w:val="20"/>
              </w:rPr>
              <w:t>-</w:t>
            </w:r>
          </w:p>
        </w:tc>
        <w:tc>
          <w:tcPr>
            <w:tcW w:w="1250" w:type="dxa"/>
            <w:shd w:val="clear" w:color="000000" w:fill="FFFFFF"/>
            <w:vAlign w:val="center"/>
          </w:tcPr>
          <w:p w14:paraId="10BD7E83" w14:textId="77777777" w:rsidR="00925C7D" w:rsidRPr="00ED0D6D" w:rsidRDefault="00925C7D" w:rsidP="00CA2F95">
            <w:pPr>
              <w:jc w:val="center"/>
              <w:rPr>
                <w:sz w:val="20"/>
              </w:rPr>
            </w:pPr>
            <w:r w:rsidRPr="00ED0D6D">
              <w:rPr>
                <w:sz w:val="20"/>
              </w:rPr>
              <w:t>81</w:t>
            </w:r>
          </w:p>
        </w:tc>
        <w:tc>
          <w:tcPr>
            <w:tcW w:w="1250" w:type="dxa"/>
            <w:shd w:val="clear" w:color="000000" w:fill="FFFFFF"/>
            <w:vAlign w:val="center"/>
          </w:tcPr>
          <w:p w14:paraId="50AB12BF" w14:textId="77777777" w:rsidR="00925C7D" w:rsidRPr="00ED0D6D" w:rsidRDefault="00925C7D" w:rsidP="00CA2F95">
            <w:pPr>
              <w:jc w:val="center"/>
              <w:rPr>
                <w:sz w:val="20"/>
              </w:rPr>
            </w:pPr>
            <w:r w:rsidRPr="00ED0D6D">
              <w:rPr>
                <w:sz w:val="20"/>
              </w:rPr>
              <w:t>83</w:t>
            </w:r>
          </w:p>
        </w:tc>
        <w:tc>
          <w:tcPr>
            <w:tcW w:w="2491" w:type="dxa"/>
            <w:shd w:val="clear" w:color="000000" w:fill="FFFFFF"/>
            <w:vAlign w:val="center"/>
          </w:tcPr>
          <w:p w14:paraId="4DFB1B34" w14:textId="77777777" w:rsidR="00925C7D" w:rsidRPr="00ED0D6D" w:rsidRDefault="00925C7D" w:rsidP="00CA2F95">
            <w:pPr>
              <w:jc w:val="center"/>
              <w:rPr>
                <w:sz w:val="20"/>
              </w:rPr>
            </w:pPr>
            <w:r w:rsidRPr="00ED0D6D">
              <w:rPr>
                <w:sz w:val="20"/>
              </w:rPr>
              <w:t>Lietuvos statistikos departamentas</w:t>
            </w:r>
          </w:p>
        </w:tc>
        <w:tc>
          <w:tcPr>
            <w:tcW w:w="1172" w:type="dxa"/>
            <w:shd w:val="clear" w:color="auto" w:fill="auto"/>
            <w:vAlign w:val="center"/>
          </w:tcPr>
          <w:p w14:paraId="354F705C" w14:textId="77777777" w:rsidR="00925C7D" w:rsidRPr="00ED0D6D" w:rsidRDefault="00925C7D" w:rsidP="00CA2F95">
            <w:pPr>
              <w:jc w:val="center"/>
              <w:rPr>
                <w:sz w:val="20"/>
              </w:rPr>
            </w:pPr>
            <w:r w:rsidRPr="00ED0D6D">
              <w:rPr>
                <w:sz w:val="20"/>
              </w:rPr>
              <w:t>NPP2030</w:t>
            </w:r>
          </w:p>
        </w:tc>
      </w:tr>
      <w:tr w:rsidR="00925C7D" w:rsidRPr="00ED0D6D" w14:paraId="2B2968EC" w14:textId="77777777" w:rsidTr="00CA2F95">
        <w:trPr>
          <w:trHeight w:val="408"/>
        </w:trPr>
        <w:tc>
          <w:tcPr>
            <w:tcW w:w="657" w:type="dxa"/>
            <w:shd w:val="clear" w:color="000000" w:fill="FFFFFF"/>
            <w:vAlign w:val="center"/>
          </w:tcPr>
          <w:p w14:paraId="76CBDC9D"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05DB7D22" w14:textId="77777777" w:rsidR="00925C7D" w:rsidRPr="00ED0D6D" w:rsidRDefault="00925C7D" w:rsidP="00CA2F95">
            <w:pPr>
              <w:jc w:val="both"/>
              <w:rPr>
                <w:sz w:val="20"/>
              </w:rPr>
            </w:pPr>
            <w:r w:rsidRPr="00ED0D6D">
              <w:rPr>
                <w:sz w:val="20"/>
              </w:rPr>
              <w:t xml:space="preserve">Bendroji žemės ūkio produkcija, tenkanti 1 ha naudojamų žemės ūkio naudmenų (EUR) </w:t>
            </w:r>
          </w:p>
        </w:tc>
        <w:tc>
          <w:tcPr>
            <w:tcW w:w="1080" w:type="dxa"/>
            <w:shd w:val="clear" w:color="000000" w:fill="FFFFFF"/>
            <w:vAlign w:val="center"/>
          </w:tcPr>
          <w:p w14:paraId="505C2BD6" w14:textId="77777777" w:rsidR="00925C7D" w:rsidRPr="00ED0D6D" w:rsidRDefault="00925C7D" w:rsidP="00CA2F95">
            <w:pPr>
              <w:jc w:val="center"/>
              <w:rPr>
                <w:sz w:val="20"/>
              </w:rPr>
            </w:pPr>
            <w:r w:rsidRPr="00ED0D6D">
              <w:rPr>
                <w:sz w:val="20"/>
              </w:rPr>
              <w:t>891</w:t>
            </w:r>
          </w:p>
        </w:tc>
        <w:tc>
          <w:tcPr>
            <w:tcW w:w="1080" w:type="dxa"/>
            <w:shd w:val="clear" w:color="000000" w:fill="FFFFFF"/>
            <w:vAlign w:val="center"/>
          </w:tcPr>
          <w:p w14:paraId="7B0A8A34" w14:textId="77777777" w:rsidR="00925C7D" w:rsidRPr="00ED0D6D" w:rsidRDefault="00925C7D" w:rsidP="00CA2F95">
            <w:pPr>
              <w:jc w:val="center"/>
              <w:rPr>
                <w:sz w:val="20"/>
              </w:rPr>
            </w:pPr>
            <w:r w:rsidRPr="00ED0D6D">
              <w:rPr>
                <w:sz w:val="20"/>
              </w:rPr>
              <w:t> 961</w:t>
            </w:r>
          </w:p>
        </w:tc>
        <w:tc>
          <w:tcPr>
            <w:tcW w:w="956" w:type="dxa"/>
            <w:shd w:val="clear" w:color="auto" w:fill="auto"/>
            <w:vAlign w:val="center"/>
          </w:tcPr>
          <w:p w14:paraId="5E64E872"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60364B7B" w14:textId="77777777" w:rsidR="00925C7D" w:rsidRPr="00ED0D6D" w:rsidRDefault="00925C7D" w:rsidP="00CA2F95">
            <w:pPr>
              <w:jc w:val="center"/>
              <w:rPr>
                <w:sz w:val="20"/>
              </w:rPr>
            </w:pPr>
            <w:r w:rsidRPr="00ED0D6D">
              <w:rPr>
                <w:sz w:val="20"/>
              </w:rPr>
              <w:t>1100</w:t>
            </w:r>
          </w:p>
        </w:tc>
        <w:tc>
          <w:tcPr>
            <w:tcW w:w="1250" w:type="dxa"/>
            <w:shd w:val="clear" w:color="000000" w:fill="FFFFFF"/>
            <w:vAlign w:val="center"/>
          </w:tcPr>
          <w:p w14:paraId="1DFAA75F" w14:textId="77777777" w:rsidR="00925C7D" w:rsidRPr="00ED0D6D" w:rsidRDefault="00925C7D" w:rsidP="00CA2F95">
            <w:pPr>
              <w:jc w:val="center"/>
              <w:rPr>
                <w:sz w:val="20"/>
              </w:rPr>
            </w:pPr>
            <w:r w:rsidRPr="00ED0D6D">
              <w:rPr>
                <w:sz w:val="20"/>
              </w:rPr>
              <w:t>1015</w:t>
            </w:r>
          </w:p>
        </w:tc>
        <w:tc>
          <w:tcPr>
            <w:tcW w:w="1250" w:type="dxa"/>
            <w:shd w:val="clear" w:color="000000" w:fill="FFFFFF"/>
            <w:vAlign w:val="center"/>
          </w:tcPr>
          <w:p w14:paraId="33F39A64" w14:textId="77777777" w:rsidR="00925C7D" w:rsidRPr="00ED0D6D" w:rsidRDefault="00925C7D" w:rsidP="00CA2F95">
            <w:pPr>
              <w:jc w:val="center"/>
              <w:rPr>
                <w:sz w:val="20"/>
              </w:rPr>
            </w:pPr>
            <w:r w:rsidRPr="00ED0D6D">
              <w:rPr>
                <w:sz w:val="20"/>
              </w:rPr>
              <w:t>-</w:t>
            </w:r>
          </w:p>
        </w:tc>
        <w:tc>
          <w:tcPr>
            <w:tcW w:w="2491" w:type="dxa"/>
            <w:shd w:val="clear" w:color="000000" w:fill="FFFFFF"/>
            <w:vAlign w:val="center"/>
          </w:tcPr>
          <w:p w14:paraId="2376AE9E" w14:textId="77777777" w:rsidR="00925C7D" w:rsidRPr="00ED0D6D" w:rsidRDefault="00925C7D" w:rsidP="00CA2F95">
            <w:pPr>
              <w:jc w:val="center"/>
              <w:rPr>
                <w:sz w:val="20"/>
              </w:rPr>
            </w:pPr>
            <w:r w:rsidRPr="00ED0D6D">
              <w:rPr>
                <w:sz w:val="20"/>
              </w:rPr>
              <w:t>Lietuvos statistikos departamentas </w:t>
            </w:r>
          </w:p>
        </w:tc>
        <w:tc>
          <w:tcPr>
            <w:tcW w:w="1172" w:type="dxa"/>
            <w:shd w:val="clear" w:color="auto" w:fill="auto"/>
            <w:vAlign w:val="center"/>
          </w:tcPr>
          <w:p w14:paraId="1B15B765" w14:textId="77777777" w:rsidR="00925C7D" w:rsidRPr="00ED0D6D" w:rsidRDefault="00925C7D" w:rsidP="00CA2F95">
            <w:pPr>
              <w:jc w:val="center"/>
              <w:rPr>
                <w:sz w:val="20"/>
              </w:rPr>
            </w:pPr>
            <w:r w:rsidRPr="00ED0D6D">
              <w:rPr>
                <w:sz w:val="20"/>
              </w:rPr>
              <w:t>17LRVP</w:t>
            </w:r>
          </w:p>
        </w:tc>
      </w:tr>
      <w:tr w:rsidR="00925C7D" w:rsidRPr="00ED0D6D" w14:paraId="2639F9D8" w14:textId="77777777" w:rsidTr="00CA2F95">
        <w:trPr>
          <w:trHeight w:val="408"/>
        </w:trPr>
        <w:tc>
          <w:tcPr>
            <w:tcW w:w="657" w:type="dxa"/>
            <w:shd w:val="clear" w:color="000000" w:fill="FFFFFF"/>
            <w:vAlign w:val="center"/>
          </w:tcPr>
          <w:p w14:paraId="6EAAE74B"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2D7825FA" w14:textId="77777777" w:rsidR="00925C7D" w:rsidRPr="00ED0D6D" w:rsidRDefault="00925C7D" w:rsidP="00CA2F95">
            <w:pPr>
              <w:jc w:val="both"/>
              <w:rPr>
                <w:sz w:val="20"/>
              </w:rPr>
            </w:pPr>
            <w:r w:rsidRPr="00ED0D6D">
              <w:rPr>
                <w:sz w:val="20"/>
              </w:rPr>
              <w:t xml:space="preserve">Vidutinės kaimo gyventojo piniginės pajamos per mėn., tenkančios 1 namų ūkiui (EUR) </w:t>
            </w:r>
          </w:p>
        </w:tc>
        <w:tc>
          <w:tcPr>
            <w:tcW w:w="1080" w:type="dxa"/>
            <w:shd w:val="clear" w:color="000000" w:fill="FFFFFF"/>
            <w:vAlign w:val="center"/>
          </w:tcPr>
          <w:p w14:paraId="7555B9DD" w14:textId="77777777" w:rsidR="00925C7D" w:rsidRPr="00ED0D6D" w:rsidRDefault="00925C7D" w:rsidP="00CA2F95">
            <w:pPr>
              <w:jc w:val="center"/>
              <w:rPr>
                <w:sz w:val="20"/>
              </w:rPr>
            </w:pPr>
            <w:r w:rsidRPr="00ED0D6D">
              <w:rPr>
                <w:sz w:val="20"/>
              </w:rPr>
              <w:t>909</w:t>
            </w:r>
          </w:p>
        </w:tc>
        <w:tc>
          <w:tcPr>
            <w:tcW w:w="1080" w:type="dxa"/>
            <w:shd w:val="clear" w:color="000000" w:fill="FFFFFF"/>
            <w:vAlign w:val="center"/>
          </w:tcPr>
          <w:p w14:paraId="74C84F83" w14:textId="77777777" w:rsidR="00925C7D" w:rsidRPr="00ED0D6D" w:rsidRDefault="00925C7D" w:rsidP="00CA2F95">
            <w:pPr>
              <w:jc w:val="center"/>
              <w:rPr>
                <w:sz w:val="20"/>
              </w:rPr>
            </w:pPr>
            <w:r w:rsidRPr="00ED0D6D">
              <w:rPr>
                <w:sz w:val="20"/>
              </w:rPr>
              <w:t> 1024</w:t>
            </w:r>
          </w:p>
        </w:tc>
        <w:tc>
          <w:tcPr>
            <w:tcW w:w="956" w:type="dxa"/>
            <w:shd w:val="clear" w:color="auto" w:fill="auto"/>
            <w:vAlign w:val="center"/>
          </w:tcPr>
          <w:p w14:paraId="439F5B16"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537636A1" w14:textId="77777777" w:rsidR="00925C7D" w:rsidRPr="00ED0D6D" w:rsidRDefault="00925C7D" w:rsidP="00CA2F95">
            <w:pPr>
              <w:jc w:val="center"/>
              <w:rPr>
                <w:sz w:val="20"/>
              </w:rPr>
            </w:pPr>
            <w:r w:rsidRPr="00ED0D6D">
              <w:rPr>
                <w:sz w:val="20"/>
              </w:rPr>
              <w:t>1085</w:t>
            </w:r>
          </w:p>
        </w:tc>
        <w:tc>
          <w:tcPr>
            <w:tcW w:w="1250" w:type="dxa"/>
            <w:shd w:val="clear" w:color="000000" w:fill="FFFFFF"/>
            <w:vAlign w:val="center"/>
          </w:tcPr>
          <w:p w14:paraId="791A9DF2" w14:textId="77777777" w:rsidR="00925C7D" w:rsidRPr="00ED0D6D" w:rsidRDefault="00925C7D" w:rsidP="00CA2F95">
            <w:pPr>
              <w:jc w:val="center"/>
              <w:rPr>
                <w:sz w:val="20"/>
              </w:rPr>
            </w:pPr>
            <w:r w:rsidRPr="00ED0D6D">
              <w:rPr>
                <w:sz w:val="20"/>
              </w:rPr>
              <w:t>-</w:t>
            </w:r>
          </w:p>
        </w:tc>
        <w:tc>
          <w:tcPr>
            <w:tcW w:w="1250" w:type="dxa"/>
            <w:shd w:val="clear" w:color="000000" w:fill="FFFFFF"/>
            <w:vAlign w:val="center"/>
          </w:tcPr>
          <w:p w14:paraId="0D2A367E" w14:textId="77777777" w:rsidR="00925C7D" w:rsidRPr="00ED0D6D" w:rsidRDefault="00925C7D" w:rsidP="00CA2F95">
            <w:pPr>
              <w:jc w:val="center"/>
              <w:rPr>
                <w:sz w:val="20"/>
              </w:rPr>
            </w:pPr>
            <w:r w:rsidRPr="00ED0D6D">
              <w:rPr>
                <w:sz w:val="20"/>
              </w:rPr>
              <w:t>-</w:t>
            </w:r>
          </w:p>
        </w:tc>
        <w:tc>
          <w:tcPr>
            <w:tcW w:w="2491" w:type="dxa"/>
            <w:shd w:val="clear" w:color="000000" w:fill="FFFFFF"/>
            <w:vAlign w:val="center"/>
          </w:tcPr>
          <w:p w14:paraId="277930B4" w14:textId="77777777" w:rsidR="00925C7D" w:rsidRPr="00ED0D6D" w:rsidRDefault="00925C7D" w:rsidP="00CA2F95">
            <w:pPr>
              <w:jc w:val="center"/>
              <w:rPr>
                <w:sz w:val="20"/>
              </w:rPr>
            </w:pPr>
            <w:r w:rsidRPr="00ED0D6D">
              <w:rPr>
                <w:sz w:val="20"/>
              </w:rPr>
              <w:t>Lietuvos statistikos departamentas </w:t>
            </w:r>
          </w:p>
        </w:tc>
        <w:tc>
          <w:tcPr>
            <w:tcW w:w="1172" w:type="dxa"/>
            <w:shd w:val="clear" w:color="auto" w:fill="auto"/>
            <w:vAlign w:val="center"/>
          </w:tcPr>
          <w:p w14:paraId="6F4E3451" w14:textId="77777777" w:rsidR="00925C7D" w:rsidRPr="00ED0D6D" w:rsidRDefault="00925C7D" w:rsidP="00CA2F95">
            <w:pPr>
              <w:jc w:val="center"/>
              <w:rPr>
                <w:sz w:val="20"/>
              </w:rPr>
            </w:pPr>
            <w:r w:rsidRPr="00ED0D6D">
              <w:rPr>
                <w:sz w:val="20"/>
              </w:rPr>
              <w:t>17LRVP</w:t>
            </w:r>
          </w:p>
        </w:tc>
      </w:tr>
      <w:tr w:rsidR="00925C7D" w:rsidRPr="00ED0D6D" w14:paraId="1D1B65FD" w14:textId="77777777" w:rsidTr="00CA2F95">
        <w:trPr>
          <w:trHeight w:val="408"/>
        </w:trPr>
        <w:tc>
          <w:tcPr>
            <w:tcW w:w="657" w:type="dxa"/>
            <w:shd w:val="clear" w:color="000000" w:fill="FFFFFF"/>
            <w:vAlign w:val="center"/>
          </w:tcPr>
          <w:p w14:paraId="19329509" w14:textId="77777777" w:rsidR="00925C7D" w:rsidRPr="00ED0D6D" w:rsidRDefault="00925C7D" w:rsidP="00816260">
            <w:pPr>
              <w:pStyle w:val="Sraopastraipa"/>
              <w:numPr>
                <w:ilvl w:val="0"/>
                <w:numId w:val="11"/>
              </w:numPr>
              <w:ind w:left="0" w:firstLine="0"/>
              <w:jc w:val="both"/>
              <w:rPr>
                <w:rFonts w:ascii="Times New Roman" w:hAnsi="Times New Roman"/>
                <w:color w:val="000000"/>
                <w:sz w:val="20"/>
                <w:szCs w:val="20"/>
              </w:rPr>
            </w:pPr>
          </w:p>
        </w:tc>
        <w:tc>
          <w:tcPr>
            <w:tcW w:w="4648" w:type="dxa"/>
            <w:shd w:val="clear" w:color="000000" w:fill="FFFFFF"/>
            <w:vAlign w:val="center"/>
          </w:tcPr>
          <w:p w14:paraId="448C2B46" w14:textId="77777777" w:rsidR="00925C7D" w:rsidRPr="00ED0D6D" w:rsidRDefault="00925C7D" w:rsidP="00CA2F95">
            <w:pPr>
              <w:jc w:val="both"/>
              <w:rPr>
                <w:sz w:val="20"/>
              </w:rPr>
            </w:pPr>
            <w:r w:rsidRPr="00ED0D6D">
              <w:rPr>
                <w:sz w:val="20"/>
              </w:rPr>
              <w:t xml:space="preserve">Ploto, kuriame taikoma tausaus ūkininkavimo praktika (ekologinis ūkininkavimas, agrarinės aplinkosaugos ir klimatas priemonės), padidėjimas (proc.)   </w:t>
            </w:r>
          </w:p>
        </w:tc>
        <w:tc>
          <w:tcPr>
            <w:tcW w:w="1080" w:type="dxa"/>
            <w:shd w:val="clear" w:color="000000" w:fill="FFFFFF"/>
            <w:vAlign w:val="center"/>
          </w:tcPr>
          <w:p w14:paraId="5064EE53" w14:textId="77777777" w:rsidR="00925C7D" w:rsidRPr="00ED0D6D" w:rsidRDefault="00925C7D" w:rsidP="00CA2F95">
            <w:pPr>
              <w:jc w:val="center"/>
              <w:rPr>
                <w:sz w:val="20"/>
              </w:rPr>
            </w:pPr>
            <w:r w:rsidRPr="00ED0D6D">
              <w:rPr>
                <w:sz w:val="20"/>
              </w:rPr>
              <w:t>1,5</w:t>
            </w:r>
          </w:p>
        </w:tc>
        <w:tc>
          <w:tcPr>
            <w:tcW w:w="1080" w:type="dxa"/>
            <w:shd w:val="clear" w:color="000000" w:fill="FFFFFF"/>
            <w:vAlign w:val="center"/>
          </w:tcPr>
          <w:p w14:paraId="4B17D472" w14:textId="77777777" w:rsidR="00925C7D" w:rsidRPr="00ED0D6D" w:rsidRDefault="00925C7D" w:rsidP="00CA2F95">
            <w:pPr>
              <w:jc w:val="center"/>
              <w:rPr>
                <w:sz w:val="20"/>
              </w:rPr>
            </w:pPr>
            <w:r w:rsidRPr="00ED0D6D">
              <w:rPr>
                <w:sz w:val="20"/>
              </w:rPr>
              <w:t> 1</w:t>
            </w:r>
          </w:p>
        </w:tc>
        <w:tc>
          <w:tcPr>
            <w:tcW w:w="956" w:type="dxa"/>
            <w:shd w:val="clear" w:color="auto" w:fill="auto"/>
            <w:vAlign w:val="center"/>
          </w:tcPr>
          <w:p w14:paraId="6C3E01A3" w14:textId="77777777" w:rsidR="00925C7D" w:rsidRPr="00ED0D6D" w:rsidRDefault="00925C7D" w:rsidP="00CA2F95">
            <w:pPr>
              <w:jc w:val="center"/>
              <w:rPr>
                <w:sz w:val="20"/>
              </w:rPr>
            </w:pPr>
            <w:r w:rsidRPr="00ED0D6D">
              <w:rPr>
                <w:sz w:val="20"/>
              </w:rPr>
              <w:t>-</w:t>
            </w:r>
          </w:p>
        </w:tc>
        <w:tc>
          <w:tcPr>
            <w:tcW w:w="983" w:type="dxa"/>
            <w:shd w:val="clear" w:color="000000" w:fill="FFFFFF"/>
            <w:vAlign w:val="center"/>
          </w:tcPr>
          <w:p w14:paraId="21D1BD75" w14:textId="77777777" w:rsidR="00925C7D" w:rsidRPr="00ED0D6D" w:rsidRDefault="00925C7D" w:rsidP="00CA2F95">
            <w:pPr>
              <w:jc w:val="center"/>
              <w:rPr>
                <w:sz w:val="20"/>
              </w:rPr>
            </w:pPr>
            <w:r w:rsidRPr="00ED0D6D">
              <w:rPr>
                <w:sz w:val="20"/>
              </w:rPr>
              <w:t>2</w:t>
            </w:r>
          </w:p>
        </w:tc>
        <w:tc>
          <w:tcPr>
            <w:tcW w:w="1250" w:type="dxa"/>
            <w:shd w:val="clear" w:color="000000" w:fill="FFFFFF"/>
            <w:vAlign w:val="center"/>
          </w:tcPr>
          <w:p w14:paraId="065DF312" w14:textId="77777777" w:rsidR="00925C7D" w:rsidRPr="00ED0D6D" w:rsidRDefault="00925C7D" w:rsidP="00CA2F95">
            <w:pPr>
              <w:jc w:val="center"/>
              <w:rPr>
                <w:sz w:val="20"/>
              </w:rPr>
            </w:pPr>
            <w:r w:rsidRPr="00ED0D6D">
              <w:rPr>
                <w:sz w:val="20"/>
              </w:rPr>
              <w:t>4,5</w:t>
            </w:r>
          </w:p>
        </w:tc>
        <w:tc>
          <w:tcPr>
            <w:tcW w:w="1250" w:type="dxa"/>
            <w:shd w:val="clear" w:color="000000" w:fill="FFFFFF"/>
            <w:vAlign w:val="center"/>
          </w:tcPr>
          <w:p w14:paraId="5D42AA8A" w14:textId="77777777" w:rsidR="00925C7D" w:rsidRPr="00ED0D6D" w:rsidRDefault="00925C7D" w:rsidP="00CA2F95">
            <w:pPr>
              <w:jc w:val="center"/>
              <w:rPr>
                <w:sz w:val="20"/>
              </w:rPr>
            </w:pPr>
            <w:r w:rsidRPr="00ED0D6D">
              <w:rPr>
                <w:sz w:val="20"/>
              </w:rPr>
              <w:t>7</w:t>
            </w:r>
          </w:p>
        </w:tc>
        <w:tc>
          <w:tcPr>
            <w:tcW w:w="2491" w:type="dxa"/>
            <w:shd w:val="clear" w:color="000000" w:fill="FFFFFF"/>
            <w:vAlign w:val="center"/>
          </w:tcPr>
          <w:p w14:paraId="61956864" w14:textId="77777777" w:rsidR="00925C7D" w:rsidRPr="00ED0D6D" w:rsidRDefault="00925C7D" w:rsidP="00CA2F95">
            <w:pPr>
              <w:jc w:val="center"/>
              <w:rPr>
                <w:sz w:val="20"/>
              </w:rPr>
            </w:pPr>
            <w:r w:rsidRPr="00ED0D6D">
              <w:rPr>
                <w:sz w:val="20"/>
              </w:rPr>
              <w:t>Žemės ūkio ministerija (ŽŪM)</w:t>
            </w:r>
          </w:p>
        </w:tc>
        <w:tc>
          <w:tcPr>
            <w:tcW w:w="1172" w:type="dxa"/>
            <w:shd w:val="clear" w:color="auto" w:fill="auto"/>
            <w:vAlign w:val="center"/>
          </w:tcPr>
          <w:p w14:paraId="3BD2B2A0" w14:textId="77777777" w:rsidR="00925C7D" w:rsidRPr="00ED0D6D" w:rsidRDefault="00925C7D" w:rsidP="00CA2F95">
            <w:pPr>
              <w:jc w:val="center"/>
              <w:rPr>
                <w:sz w:val="20"/>
              </w:rPr>
            </w:pPr>
            <w:r w:rsidRPr="00ED0D6D">
              <w:rPr>
                <w:sz w:val="20"/>
              </w:rPr>
              <w:t>17LRVP</w:t>
            </w:r>
          </w:p>
        </w:tc>
      </w:tr>
    </w:tbl>
    <w:p w14:paraId="3F2467C9" w14:textId="77777777" w:rsidR="00925C7D" w:rsidRPr="00ED0D6D" w:rsidRDefault="00925C7D" w:rsidP="00925C7D">
      <w:pPr>
        <w:pStyle w:val="Betarp2"/>
        <w:rPr>
          <w:sz w:val="20"/>
        </w:rPr>
      </w:pPr>
    </w:p>
    <w:p w14:paraId="62C36A00" w14:textId="575A649B" w:rsidR="007B2FAD" w:rsidRDefault="007B2FAD" w:rsidP="00107CE9">
      <w:pPr>
        <w:pStyle w:val="Antrat1"/>
        <w:rPr>
          <w:color w:val="17365D" w:themeColor="text2" w:themeShade="BF"/>
        </w:rPr>
      </w:pPr>
      <w:r>
        <w:rPr>
          <w:color w:val="17365D" w:themeColor="text2" w:themeShade="BF"/>
        </w:rPr>
        <w:br w:type="page"/>
      </w:r>
    </w:p>
    <w:p w14:paraId="37730FF0" w14:textId="56D3051B" w:rsidR="00107CE9" w:rsidRPr="007B2FAD" w:rsidRDefault="005809AF" w:rsidP="00107CE9">
      <w:pPr>
        <w:pStyle w:val="Antrat1"/>
        <w:rPr>
          <w:color w:val="17365D" w:themeColor="text2" w:themeShade="BF"/>
        </w:rPr>
      </w:pPr>
      <w:bookmarkStart w:id="45" w:name="_Toc68079189"/>
      <w:r>
        <w:rPr>
          <w:color w:val="17365D" w:themeColor="text2" w:themeShade="BF"/>
        </w:rPr>
        <w:lastRenderedPageBreak/>
        <w:t>3</w:t>
      </w:r>
      <w:r w:rsidR="007B2FAD" w:rsidRPr="007B2FAD">
        <w:rPr>
          <w:color w:val="17365D" w:themeColor="text2" w:themeShade="BF"/>
        </w:rPr>
        <w:t xml:space="preserve"> PRIEDAS</w:t>
      </w:r>
      <w:r w:rsidR="0007706F">
        <w:rPr>
          <w:color w:val="17365D" w:themeColor="text2" w:themeShade="BF"/>
        </w:rPr>
        <w:t>.</w:t>
      </w:r>
      <w:r w:rsidR="007B2FAD" w:rsidRPr="007B2FAD">
        <w:rPr>
          <w:color w:val="17365D" w:themeColor="text2" w:themeShade="BF"/>
        </w:rPr>
        <w:t xml:space="preserve"> </w:t>
      </w:r>
      <w:r w:rsidR="0007706F" w:rsidRPr="0007706F">
        <w:rPr>
          <w:color w:val="17365D" w:themeColor="text2" w:themeShade="BF"/>
        </w:rPr>
        <w:t xml:space="preserve">2020–2021 METŲ </w:t>
      </w:r>
      <w:bookmarkStart w:id="46" w:name="_Hlk67004513"/>
      <w:r w:rsidR="0007706F" w:rsidRPr="0007706F">
        <w:rPr>
          <w:color w:val="17365D" w:themeColor="text2" w:themeShade="BF"/>
        </w:rPr>
        <w:t xml:space="preserve">TARYBOS REKOMENDACIJŲ LIETUVAI ĮGYVENDINIMO PRIEMONIŲ PLANO VYKDYMO </w:t>
      </w:r>
      <w:bookmarkEnd w:id="46"/>
      <w:r w:rsidR="0007706F" w:rsidRPr="0007706F">
        <w:rPr>
          <w:color w:val="17365D" w:themeColor="text2" w:themeShade="BF"/>
        </w:rPr>
        <w:t>APŽVALGA</w:t>
      </w:r>
      <w:bookmarkEnd w:id="45"/>
    </w:p>
    <w:p w14:paraId="1FEFA6DE" w14:textId="24127C02" w:rsidR="0008488D" w:rsidRDefault="0008488D" w:rsidP="00AF421D">
      <w:pPr>
        <w:spacing w:line="276" w:lineRule="auto"/>
      </w:pPr>
    </w:p>
    <w:p w14:paraId="39EDC2E6" w14:textId="77777777" w:rsidR="00BF67F2" w:rsidRPr="00A03D14" w:rsidRDefault="00BF67F2" w:rsidP="00BF67F2">
      <w:pPr>
        <w:tabs>
          <w:tab w:val="left" w:pos="1741"/>
        </w:tabs>
        <w:jc w:val="both"/>
        <w:rPr>
          <w:rFonts w:eastAsia="Calibri"/>
          <w:b/>
          <w:i/>
          <w:szCs w:val="24"/>
        </w:rPr>
      </w:pPr>
      <w:r w:rsidRPr="00A03D14">
        <w:rPr>
          <w:rFonts w:eastAsia="Calibri"/>
          <w:b/>
          <w:i/>
          <w:szCs w:val="24"/>
          <w:u w:val="single"/>
        </w:rPr>
        <w:t>1 rekomendacija</w:t>
      </w:r>
      <w:r w:rsidRPr="00A03D14">
        <w:rPr>
          <w:rFonts w:eastAsia="Calibri"/>
          <w:b/>
          <w:i/>
          <w:szCs w:val="24"/>
        </w:rPr>
        <w:t xml:space="preserve">. Laikantis bendrosios nukrypti leidžiančios išlygos, imtis visų būtinų priemonių, kad būtų veiksmingai kovojama su pandemija, palaikoma ekonomika ir remiamas būsimas atsigavimas. Kai leis ekonominės sąlygos, vykdyti fiskalinę politiką, kuria siekiama užtikrinti apdairią vidutinio laikotarpio fiskalinę būklę ir skolos tvarumą, kartu didinant investicijas. Didinti sveikatos sistemos atsparumą, be kita ko, sutelkiant adekvatų finansavimą ir sprendžiant sveikatos priežiūros darbuotojų ir svarbių medicinos reikmenų trūkumo problemą. Gerinti sveikatos priežiūros paslaugų prieinamumą ir kokybę. </w:t>
      </w:r>
    </w:p>
    <w:p w14:paraId="715AB6A3" w14:textId="77777777" w:rsidR="00BF67F2" w:rsidRPr="00A03D14" w:rsidRDefault="00BF67F2" w:rsidP="00BF67F2">
      <w:pPr>
        <w:framePr w:hSpace="180" w:wrap="around" w:vAnchor="text" w:hAnchor="text" w:xAlign="center" w:y="1"/>
        <w:suppressOverlap/>
        <w:jc w:val="center"/>
        <w:rPr>
          <w:b/>
          <w:szCs w:val="24"/>
        </w:rPr>
      </w:pPr>
    </w:p>
    <w:p w14:paraId="401D7730" w14:textId="77777777" w:rsidR="00BF67F2" w:rsidRPr="00A03D14" w:rsidRDefault="00BF67F2" w:rsidP="00BF67F2">
      <w:pPr>
        <w:framePr w:hSpace="180" w:wrap="around" w:vAnchor="text" w:hAnchor="text" w:xAlign="center" w:y="1"/>
        <w:suppressOverlap/>
        <w:jc w:val="both"/>
        <w:rPr>
          <w:szCs w:val="24"/>
        </w:rPr>
      </w:pPr>
      <w:r w:rsidRPr="00A03D14">
        <w:rPr>
          <w:b/>
          <w:szCs w:val="24"/>
        </w:rPr>
        <w:t>Atsakingos institucijos</w:t>
      </w:r>
      <w:r w:rsidRPr="00A03D14">
        <w:rPr>
          <w:szCs w:val="24"/>
        </w:rPr>
        <w:t>: Lietuvos Respublikos finansų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BF67F2" w:rsidRPr="00A03D14" w14:paraId="0CA75FD6" w14:textId="77777777" w:rsidTr="00CA13A1">
        <w:trPr>
          <w:trHeight w:val="23"/>
          <w:tblHeader/>
        </w:trPr>
        <w:tc>
          <w:tcPr>
            <w:tcW w:w="928" w:type="pct"/>
            <w:shd w:val="clear" w:color="auto" w:fill="1F4E79"/>
            <w:vAlign w:val="center"/>
          </w:tcPr>
          <w:p w14:paraId="45723C89" w14:textId="77777777" w:rsidR="00BF67F2" w:rsidRPr="00A03D14" w:rsidRDefault="00BF67F2" w:rsidP="00CA13A1">
            <w:pPr>
              <w:jc w:val="center"/>
              <w:rPr>
                <w:b/>
                <w:color w:val="FFFFFF"/>
                <w:szCs w:val="24"/>
              </w:rPr>
            </w:pPr>
            <w:r w:rsidRPr="00A03D14">
              <w:rPr>
                <w:b/>
                <w:color w:val="FFFFFF"/>
                <w:szCs w:val="24"/>
              </w:rPr>
              <w:t>Tikslas</w:t>
            </w:r>
          </w:p>
        </w:tc>
        <w:tc>
          <w:tcPr>
            <w:tcW w:w="4072" w:type="pct"/>
            <w:shd w:val="clear" w:color="auto" w:fill="B4C6E7"/>
            <w:vAlign w:val="center"/>
          </w:tcPr>
          <w:p w14:paraId="4A893447" w14:textId="77777777" w:rsidR="00BF67F2" w:rsidRPr="00A03D14" w:rsidRDefault="00BF67F2" w:rsidP="00CA13A1">
            <w:pPr>
              <w:jc w:val="center"/>
              <w:rPr>
                <w:b/>
                <w:szCs w:val="24"/>
              </w:rPr>
            </w:pPr>
            <w:r w:rsidRPr="00A03D14">
              <w:rPr>
                <w:b/>
                <w:szCs w:val="24"/>
              </w:rPr>
              <w:t>Poveikis Tarybos rekomendacijos įgyvendinimui</w:t>
            </w:r>
          </w:p>
        </w:tc>
      </w:tr>
      <w:tr w:rsidR="00BF67F2" w:rsidRPr="00A03D14" w14:paraId="636F0119" w14:textId="77777777" w:rsidTr="00CA13A1">
        <w:trPr>
          <w:trHeight w:val="23"/>
        </w:trPr>
        <w:tc>
          <w:tcPr>
            <w:tcW w:w="928" w:type="pct"/>
          </w:tcPr>
          <w:p w14:paraId="0C1458A1" w14:textId="77777777" w:rsidR="00BF67F2" w:rsidRPr="00A03D14" w:rsidRDefault="00BF67F2" w:rsidP="00CA13A1">
            <w:pPr>
              <w:ind w:left="29"/>
              <w:rPr>
                <w:i/>
                <w:szCs w:val="24"/>
              </w:rPr>
            </w:pPr>
            <w:r w:rsidRPr="00A03D14">
              <w:rPr>
                <w:rFonts w:eastAsia="Calibri"/>
                <w:b/>
                <w:szCs w:val="24"/>
                <w:u w:val="single"/>
              </w:rPr>
              <w:t>1 tikslas.</w:t>
            </w:r>
            <w:r w:rsidRPr="00A03D14">
              <w:rPr>
                <w:rFonts w:eastAsia="Calibri"/>
                <w:b/>
                <w:szCs w:val="24"/>
              </w:rPr>
              <w:t xml:space="preserve"> Laikantis bendrosios nukrypti leidžiančios išlygos, imtis visų būtinų priemonių, kad būtų veiksmingai kovojama su pandemija, palaikoma ekonomika ir remiamas būsimas atsigavimas</w:t>
            </w:r>
            <w:r w:rsidRPr="00A03D14">
              <w:rPr>
                <w:i/>
                <w:szCs w:val="24"/>
              </w:rPr>
              <w:t xml:space="preserve"> </w:t>
            </w:r>
          </w:p>
        </w:tc>
        <w:tc>
          <w:tcPr>
            <w:tcW w:w="4072" w:type="pct"/>
          </w:tcPr>
          <w:p w14:paraId="0398E1B2" w14:textId="77777777" w:rsidR="00BF67F2" w:rsidRPr="00A03D14" w:rsidRDefault="00BF67F2" w:rsidP="00CA13A1">
            <w:pPr>
              <w:jc w:val="both"/>
              <w:rPr>
                <w:szCs w:val="24"/>
              </w:rPr>
            </w:pPr>
            <w:r w:rsidRPr="00A03D14">
              <w:rPr>
                <w:b/>
                <w:bCs/>
                <w:iCs/>
                <w:szCs w:val="24"/>
              </w:rPr>
              <w:t xml:space="preserve">Įgyvendinant ilgalaikių investicijų ekonomikos skatinimui plano </w:t>
            </w:r>
            <w:r w:rsidRPr="00A03D14">
              <w:rPr>
                <w:iCs/>
                <w:szCs w:val="24"/>
              </w:rPr>
              <w:t>(Ateities ekonomikos DNR</w:t>
            </w:r>
            <w:r>
              <w:rPr>
                <w:iCs/>
                <w:szCs w:val="24"/>
              </w:rPr>
              <w:t xml:space="preserve">) </w:t>
            </w:r>
            <w:r w:rsidRPr="00A03D14">
              <w:rPr>
                <w:iCs/>
                <w:szCs w:val="24"/>
              </w:rPr>
              <w:t xml:space="preserve">veiksmus, </w:t>
            </w:r>
            <w:r w:rsidRPr="00A03D14">
              <w:rPr>
                <w:szCs w:val="24"/>
              </w:rPr>
              <w:t>2020</w:t>
            </w:r>
            <w:r>
              <w:rPr>
                <w:szCs w:val="24"/>
              </w:rPr>
              <w:t> </w:t>
            </w:r>
            <w:r w:rsidRPr="00A03D14">
              <w:rPr>
                <w:szCs w:val="24"/>
              </w:rPr>
              <w:t>m. išmokėta 54</w:t>
            </w:r>
            <w:r>
              <w:rPr>
                <w:szCs w:val="24"/>
              </w:rPr>
              <w:t> </w:t>
            </w:r>
            <w:r w:rsidRPr="00A03D14">
              <w:rPr>
                <w:szCs w:val="24"/>
              </w:rPr>
              <w:t>mln. eurų. Vyriausybės 2021</w:t>
            </w:r>
            <w:r>
              <w:rPr>
                <w:szCs w:val="24"/>
              </w:rPr>
              <w:t> </w:t>
            </w:r>
            <w:r w:rsidRPr="00A03D14">
              <w:rPr>
                <w:szCs w:val="24"/>
              </w:rPr>
              <w:t>m. vasario 3</w:t>
            </w:r>
            <w:r>
              <w:rPr>
                <w:szCs w:val="24"/>
              </w:rPr>
              <w:t> </w:t>
            </w:r>
            <w:r w:rsidRPr="00A03D14">
              <w:rPr>
                <w:szCs w:val="24"/>
              </w:rPr>
              <w:t>d. nutarimu Nr.</w:t>
            </w:r>
            <w:r>
              <w:rPr>
                <w:szCs w:val="24"/>
              </w:rPr>
              <w:t> </w:t>
            </w:r>
            <w:r w:rsidRPr="00A03D14">
              <w:rPr>
                <w:szCs w:val="24"/>
              </w:rPr>
              <w:t>72 patvirtintas Vyriausybės nutarimo „Dėl Vyriausybės 2020</w:t>
            </w:r>
            <w:r>
              <w:rPr>
                <w:szCs w:val="24"/>
              </w:rPr>
              <w:t> </w:t>
            </w:r>
            <w:r w:rsidRPr="00A03D14">
              <w:rPr>
                <w:szCs w:val="24"/>
              </w:rPr>
              <w:t>m. liepos 8</w:t>
            </w:r>
            <w:r>
              <w:rPr>
                <w:szCs w:val="24"/>
              </w:rPr>
              <w:t> </w:t>
            </w:r>
            <w:r w:rsidRPr="00A03D14">
              <w:rPr>
                <w:szCs w:val="24"/>
              </w:rPr>
              <w:t>d. nutarimo Nr.</w:t>
            </w:r>
            <w:r>
              <w:rPr>
                <w:szCs w:val="24"/>
              </w:rPr>
              <w:t> </w:t>
            </w:r>
            <w:r w:rsidRPr="00A03D14">
              <w:rPr>
                <w:szCs w:val="24"/>
              </w:rPr>
              <w:t>750 „Dėl Ateities ekonomikos DNR plano veiksmų ir projektų įgyvendinimo tvarkos aprašo patvirtinimo“ pakeitimas, o Vyriausybės 2020</w:t>
            </w:r>
            <w:r>
              <w:rPr>
                <w:szCs w:val="24"/>
              </w:rPr>
              <w:t> </w:t>
            </w:r>
            <w:r w:rsidRPr="00A03D14">
              <w:rPr>
                <w:szCs w:val="24"/>
              </w:rPr>
              <w:t>m. liepos 29</w:t>
            </w:r>
            <w:r>
              <w:rPr>
                <w:szCs w:val="24"/>
              </w:rPr>
              <w:t> </w:t>
            </w:r>
            <w:r w:rsidRPr="00A03D14">
              <w:rPr>
                <w:szCs w:val="24"/>
              </w:rPr>
              <w:t>d. nutarimas Nr.</w:t>
            </w:r>
            <w:r>
              <w:rPr>
                <w:szCs w:val="24"/>
              </w:rPr>
              <w:t> </w:t>
            </w:r>
            <w:r w:rsidRPr="00A03D14">
              <w:rPr>
                <w:szCs w:val="24"/>
              </w:rPr>
              <w:t>832 „Dėl Ateities ekonomikos DNR plano įgyvendinimo“ pripažintas netekusiu galios. Šiuo Vyriausybės nutarimu patvirtinta 7 projektų, kuriuos tikslinga tęsti, sąrašas ir nustatyta minėtų projektų įgyvendinimo tvarka, taip pat numatyti iš sąrašo išbrauktų projektų tolesni veiksmai.</w:t>
            </w:r>
          </w:p>
          <w:p w14:paraId="1B172EE6" w14:textId="77777777" w:rsidR="00BF67F2" w:rsidRPr="00A03D14" w:rsidRDefault="00BF67F2" w:rsidP="00CA13A1">
            <w:pPr>
              <w:jc w:val="both"/>
              <w:rPr>
                <w:szCs w:val="24"/>
              </w:rPr>
            </w:pPr>
          </w:p>
        </w:tc>
      </w:tr>
    </w:tbl>
    <w:p w14:paraId="348A0A3A" w14:textId="77777777" w:rsidR="00BF67F2" w:rsidRPr="00A03D14" w:rsidRDefault="00BF67F2" w:rsidP="00BF67F2">
      <w:pPr>
        <w:tabs>
          <w:tab w:val="left" w:pos="1741"/>
        </w:tabs>
        <w:rPr>
          <w:szCs w:val="24"/>
        </w:rPr>
      </w:pPr>
    </w:p>
    <w:p w14:paraId="2EB72D5C" w14:textId="77777777" w:rsidR="00BF67F2" w:rsidRPr="00A03D14" w:rsidRDefault="00BF67F2" w:rsidP="00BF67F2">
      <w:pPr>
        <w:jc w:val="both"/>
        <w:rPr>
          <w:szCs w:val="24"/>
        </w:rPr>
      </w:pPr>
      <w:r w:rsidRPr="00A03D14">
        <w:rPr>
          <w:b/>
          <w:szCs w:val="24"/>
        </w:rPr>
        <w:t>Atsakingos institucijos</w:t>
      </w:r>
      <w:r w:rsidRPr="00A03D14">
        <w:rPr>
          <w:szCs w:val="24"/>
        </w:rPr>
        <w:t>: Lietuvos Respublikos susisiekimo ministerija, Lietuvos Respublikos vidaus reikalų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8F10B3" w:rsidRPr="00A03D14" w14:paraId="146A3C1B" w14:textId="77777777" w:rsidTr="002624F5">
        <w:trPr>
          <w:trHeight w:val="23"/>
          <w:tblHeader/>
        </w:trPr>
        <w:tc>
          <w:tcPr>
            <w:tcW w:w="928" w:type="pct"/>
            <w:shd w:val="clear" w:color="auto" w:fill="1F4E79"/>
            <w:vAlign w:val="center"/>
          </w:tcPr>
          <w:p w14:paraId="159DF527" w14:textId="77777777" w:rsidR="008F10B3" w:rsidRPr="00A03D14" w:rsidRDefault="008F10B3" w:rsidP="002624F5">
            <w:pPr>
              <w:jc w:val="center"/>
              <w:rPr>
                <w:b/>
                <w:color w:val="FFFFFF"/>
                <w:szCs w:val="24"/>
              </w:rPr>
            </w:pPr>
            <w:r w:rsidRPr="00A03D14">
              <w:rPr>
                <w:b/>
                <w:color w:val="FFFFFF"/>
                <w:szCs w:val="24"/>
              </w:rPr>
              <w:t>Tikslas</w:t>
            </w:r>
          </w:p>
        </w:tc>
        <w:tc>
          <w:tcPr>
            <w:tcW w:w="4072" w:type="pct"/>
            <w:shd w:val="clear" w:color="auto" w:fill="B4C6E7"/>
            <w:vAlign w:val="center"/>
          </w:tcPr>
          <w:p w14:paraId="67D2934F" w14:textId="77777777" w:rsidR="008F10B3" w:rsidRPr="00A03D14" w:rsidRDefault="008F10B3" w:rsidP="002624F5">
            <w:pPr>
              <w:jc w:val="center"/>
              <w:rPr>
                <w:b/>
                <w:szCs w:val="24"/>
              </w:rPr>
            </w:pPr>
            <w:r w:rsidRPr="00A03D14">
              <w:rPr>
                <w:b/>
                <w:szCs w:val="24"/>
              </w:rPr>
              <w:t>Poveikis Tarybos rekomendacijos įgyvendinimui</w:t>
            </w:r>
          </w:p>
        </w:tc>
      </w:tr>
      <w:tr w:rsidR="008F10B3" w:rsidRPr="00A03D14" w14:paraId="38C95434" w14:textId="77777777" w:rsidTr="002624F5">
        <w:trPr>
          <w:trHeight w:val="1567"/>
        </w:trPr>
        <w:tc>
          <w:tcPr>
            <w:tcW w:w="928" w:type="pct"/>
          </w:tcPr>
          <w:p w14:paraId="4A909BB1" w14:textId="77777777" w:rsidR="008F10B3" w:rsidRPr="00A03D14" w:rsidRDefault="008F10B3" w:rsidP="002624F5">
            <w:pPr>
              <w:ind w:left="29" w:firstLine="4"/>
              <w:rPr>
                <w:rFonts w:eastAsia="Calibri"/>
                <w:szCs w:val="24"/>
              </w:rPr>
            </w:pPr>
            <w:r w:rsidRPr="00A03D14">
              <w:rPr>
                <w:rFonts w:eastAsia="Calibri"/>
                <w:b/>
                <w:szCs w:val="24"/>
                <w:u w:val="single"/>
              </w:rPr>
              <w:t>2 tikslas.</w:t>
            </w:r>
            <w:r w:rsidRPr="00A03D14">
              <w:rPr>
                <w:rFonts w:eastAsia="Calibri"/>
                <w:b/>
                <w:i/>
                <w:szCs w:val="24"/>
              </w:rPr>
              <w:t xml:space="preserve"> </w:t>
            </w:r>
            <w:r w:rsidRPr="00A03D14">
              <w:rPr>
                <w:rFonts w:eastAsia="Calibri"/>
                <w:b/>
                <w:szCs w:val="24"/>
              </w:rPr>
              <w:t xml:space="preserve">Vykdyti fiskalinę politiką, kuria siekiama užtikrinti apdairią vidutinio laikotarpio fiskalinę būklę ir skolos tvarumą, kartu didinant investicijas </w:t>
            </w:r>
          </w:p>
          <w:p w14:paraId="28B1C4DF" w14:textId="77777777" w:rsidR="008F10B3" w:rsidRPr="00A03D14" w:rsidRDefault="008F10B3" w:rsidP="002624F5">
            <w:pPr>
              <w:ind w:left="29"/>
              <w:rPr>
                <w:i/>
                <w:szCs w:val="24"/>
              </w:rPr>
            </w:pPr>
            <w:r w:rsidRPr="00A03D14">
              <w:rPr>
                <w:i/>
                <w:szCs w:val="24"/>
              </w:rPr>
              <w:t>(</w:t>
            </w:r>
            <w:r>
              <w:rPr>
                <w:i/>
                <w:szCs w:val="24"/>
              </w:rPr>
              <w:t>s</w:t>
            </w:r>
            <w:r w:rsidRPr="00A03D14">
              <w:rPr>
                <w:i/>
                <w:szCs w:val="24"/>
              </w:rPr>
              <w:t xml:space="preserve">truktūrinės mokestinio reguliavimo ir šešėlinės ekonomikos mažinimo reformos įgyvendinimas </w:t>
            </w:r>
            <w:r w:rsidRPr="00A03D14">
              <w:rPr>
                <w:i/>
                <w:szCs w:val="24"/>
                <w:vertAlign w:val="superscript"/>
              </w:rPr>
              <w:footnoteReference w:id="18"/>
            </w:r>
            <w:r w:rsidRPr="00A03D14">
              <w:rPr>
                <w:i/>
                <w:szCs w:val="24"/>
              </w:rPr>
              <w:t>)</w:t>
            </w:r>
          </w:p>
        </w:tc>
        <w:tc>
          <w:tcPr>
            <w:tcW w:w="4072" w:type="pct"/>
          </w:tcPr>
          <w:p w14:paraId="46DA643F" w14:textId="77777777" w:rsidR="008F10B3" w:rsidRPr="00A03D14" w:rsidRDefault="008F10B3" w:rsidP="002624F5">
            <w:pPr>
              <w:jc w:val="both"/>
              <w:rPr>
                <w:rFonts w:eastAsia="Calibri"/>
                <w:szCs w:val="24"/>
              </w:rPr>
            </w:pPr>
            <w:r>
              <w:rPr>
                <w:b/>
                <w:bCs/>
                <w:iCs/>
                <w:szCs w:val="24"/>
              </w:rPr>
              <w:t xml:space="preserve">Transformuojant </w:t>
            </w:r>
            <w:r w:rsidRPr="00A03D14">
              <w:rPr>
                <w:b/>
                <w:szCs w:val="24"/>
              </w:rPr>
              <w:t xml:space="preserve"> laikin</w:t>
            </w:r>
            <w:r>
              <w:rPr>
                <w:b/>
                <w:szCs w:val="24"/>
              </w:rPr>
              <w:t>ę</w:t>
            </w:r>
            <w:r w:rsidRPr="00A03D14">
              <w:rPr>
                <w:b/>
                <w:szCs w:val="24"/>
              </w:rPr>
              <w:t xml:space="preserve"> kelių naudotojo apmokestinimo sistem</w:t>
            </w:r>
            <w:r>
              <w:rPr>
                <w:b/>
                <w:szCs w:val="24"/>
              </w:rPr>
              <w:t>ą</w:t>
            </w:r>
            <w:r w:rsidRPr="00A03D14">
              <w:rPr>
                <w:b/>
                <w:szCs w:val="24"/>
              </w:rPr>
              <w:t xml:space="preserve"> (</w:t>
            </w:r>
            <w:proofErr w:type="spellStart"/>
            <w:r w:rsidRPr="00A03D14">
              <w:rPr>
                <w:b/>
                <w:szCs w:val="24"/>
              </w:rPr>
              <w:t>eurovinjetė</w:t>
            </w:r>
            <w:proofErr w:type="spellEnd"/>
            <w:r w:rsidRPr="00A03D14">
              <w:rPr>
                <w:b/>
                <w:szCs w:val="24"/>
              </w:rPr>
              <w:t xml:space="preserve">)  į </w:t>
            </w:r>
            <w:proofErr w:type="spellStart"/>
            <w:r w:rsidRPr="00A03D14">
              <w:rPr>
                <w:b/>
                <w:szCs w:val="24"/>
              </w:rPr>
              <w:t>atstuminę</w:t>
            </w:r>
            <w:proofErr w:type="spellEnd"/>
            <w:r w:rsidRPr="00A03D14">
              <w:rPr>
                <w:b/>
                <w:szCs w:val="24"/>
              </w:rPr>
              <w:t xml:space="preserve"> elektroninę mokesčio sistemą, atitinkančią principą „teršėjas moka – naudotojas moka“, </w:t>
            </w:r>
            <w:r w:rsidRPr="00A03D14">
              <w:rPr>
                <w:rFonts w:eastAsia="Calibri"/>
                <w:szCs w:val="24"/>
              </w:rPr>
              <w:t>Seimas 2020</w:t>
            </w:r>
            <w:r>
              <w:rPr>
                <w:rFonts w:eastAsia="Calibri"/>
                <w:szCs w:val="24"/>
              </w:rPr>
              <w:t> </w:t>
            </w:r>
            <w:r w:rsidRPr="00A03D14">
              <w:rPr>
                <w:rFonts w:eastAsia="Calibri"/>
                <w:szCs w:val="24"/>
              </w:rPr>
              <w:t>m. lapkričio 10</w:t>
            </w:r>
            <w:r>
              <w:rPr>
                <w:rFonts w:eastAsia="Calibri"/>
                <w:szCs w:val="24"/>
              </w:rPr>
              <w:t> </w:t>
            </w:r>
            <w:r w:rsidRPr="00A03D14">
              <w:rPr>
                <w:rFonts w:eastAsia="Calibri"/>
                <w:szCs w:val="24"/>
              </w:rPr>
              <w:t xml:space="preserve">d. priėmė </w:t>
            </w:r>
            <w:r>
              <w:rPr>
                <w:rFonts w:eastAsia="Calibri"/>
                <w:szCs w:val="24"/>
              </w:rPr>
              <w:t>K</w:t>
            </w:r>
            <w:r w:rsidRPr="00A03D14">
              <w:rPr>
                <w:rFonts w:eastAsia="Calibri"/>
                <w:szCs w:val="24"/>
              </w:rPr>
              <w:t>elių priežiūros ir plėtros programos finansavimo įstatymo Nr. VIII-2032 2, 3, 6, 9 straipsnių ir 2, 5 priedų pakeitimo</w:t>
            </w:r>
            <w:r>
              <w:rPr>
                <w:rFonts w:eastAsia="Calibri"/>
                <w:szCs w:val="24"/>
              </w:rPr>
              <w:t xml:space="preserve"> įstatymą</w:t>
            </w:r>
            <w:r w:rsidRPr="00A03D14">
              <w:rPr>
                <w:rFonts w:eastAsia="Calibri"/>
                <w:szCs w:val="24"/>
              </w:rPr>
              <w:t xml:space="preserve">, </w:t>
            </w:r>
            <w:r>
              <w:rPr>
                <w:rFonts w:eastAsia="Calibri"/>
                <w:szCs w:val="24"/>
              </w:rPr>
              <w:t>K</w:t>
            </w:r>
            <w:r w:rsidRPr="00A03D14">
              <w:rPr>
                <w:rFonts w:eastAsia="Calibri"/>
                <w:szCs w:val="24"/>
              </w:rPr>
              <w:t>elių įstatymo 17 straipsnio pakeitimo</w:t>
            </w:r>
            <w:r>
              <w:rPr>
                <w:rFonts w:eastAsia="Calibri"/>
                <w:szCs w:val="24"/>
              </w:rPr>
              <w:t xml:space="preserve"> įstatymą</w:t>
            </w:r>
            <w:r w:rsidRPr="00A03D14">
              <w:rPr>
                <w:rFonts w:eastAsia="Calibri"/>
                <w:szCs w:val="24"/>
              </w:rPr>
              <w:t xml:space="preserve"> ir </w:t>
            </w:r>
            <w:r>
              <w:rPr>
                <w:rFonts w:eastAsia="Calibri"/>
                <w:szCs w:val="24"/>
              </w:rPr>
              <w:t>A</w:t>
            </w:r>
            <w:r w:rsidRPr="00A03D14">
              <w:rPr>
                <w:rFonts w:eastAsia="Calibri"/>
                <w:szCs w:val="24"/>
              </w:rPr>
              <w:t>dministracinių nusižengimų kodekso 463 straipsnio pakeitimo įstatym</w:t>
            </w:r>
            <w:r>
              <w:rPr>
                <w:rFonts w:eastAsia="Calibri"/>
                <w:szCs w:val="24"/>
              </w:rPr>
              <w:t>ą</w:t>
            </w:r>
            <w:r w:rsidRPr="00A03D14">
              <w:rPr>
                <w:rFonts w:eastAsia="Calibri"/>
                <w:szCs w:val="24"/>
              </w:rPr>
              <w:t xml:space="preserve">, kuriais įteisinama kelių naudotojo apmokestinimo </w:t>
            </w:r>
            <w:proofErr w:type="spellStart"/>
            <w:r w:rsidRPr="00A03D14">
              <w:rPr>
                <w:rFonts w:eastAsia="Calibri"/>
                <w:szCs w:val="24"/>
              </w:rPr>
              <w:t>atstuminė</w:t>
            </w:r>
            <w:proofErr w:type="spellEnd"/>
            <w:r w:rsidRPr="00A03D14">
              <w:rPr>
                <w:rFonts w:eastAsia="Calibri"/>
                <w:szCs w:val="24"/>
              </w:rPr>
              <w:t xml:space="preserve"> elektroninė mokesčio sistema. Priimtų teisės aktų nuostatos įsigalios 2023</w:t>
            </w:r>
            <w:r>
              <w:rPr>
                <w:rFonts w:eastAsia="Calibri"/>
                <w:szCs w:val="24"/>
              </w:rPr>
              <w:t> </w:t>
            </w:r>
            <w:r w:rsidRPr="00A03D14">
              <w:rPr>
                <w:rFonts w:eastAsia="Calibri"/>
                <w:szCs w:val="24"/>
              </w:rPr>
              <w:t>m. sausio 1</w:t>
            </w:r>
            <w:r>
              <w:rPr>
                <w:rFonts w:eastAsia="Calibri"/>
                <w:szCs w:val="24"/>
              </w:rPr>
              <w:t> </w:t>
            </w:r>
            <w:r w:rsidRPr="00A03D14">
              <w:rPr>
                <w:rFonts w:eastAsia="Calibri"/>
                <w:szCs w:val="24"/>
              </w:rPr>
              <w:t>d. Iki to laiko bus rengiami</w:t>
            </w:r>
            <w:r>
              <w:rPr>
                <w:rFonts w:eastAsia="Calibri"/>
                <w:szCs w:val="24"/>
              </w:rPr>
              <w:t xml:space="preserve"> jų</w:t>
            </w:r>
            <w:r w:rsidRPr="00A03D14">
              <w:rPr>
                <w:rFonts w:eastAsia="Calibri"/>
                <w:szCs w:val="24"/>
              </w:rPr>
              <w:t xml:space="preserve"> įgyvendinam</w:t>
            </w:r>
            <w:r>
              <w:rPr>
                <w:rFonts w:eastAsia="Calibri"/>
                <w:szCs w:val="24"/>
              </w:rPr>
              <w:t>ųjų</w:t>
            </w:r>
            <w:r w:rsidRPr="00A03D14">
              <w:rPr>
                <w:rFonts w:eastAsia="Calibri"/>
                <w:szCs w:val="24"/>
              </w:rPr>
              <w:t xml:space="preserve"> teisės aktų projektai ir diegiama kelių rinkliavos sistema. </w:t>
            </w:r>
          </w:p>
          <w:p w14:paraId="4344986F" w14:textId="77777777" w:rsidR="008F10B3" w:rsidRPr="00A03D14" w:rsidRDefault="008F10B3" w:rsidP="002624F5">
            <w:pPr>
              <w:jc w:val="both"/>
              <w:rPr>
                <w:szCs w:val="24"/>
              </w:rPr>
            </w:pPr>
            <w:r>
              <w:rPr>
                <w:bCs/>
                <w:szCs w:val="24"/>
              </w:rPr>
              <w:t>E</w:t>
            </w:r>
            <w:r w:rsidRPr="00A03D14">
              <w:rPr>
                <w:bCs/>
                <w:szCs w:val="24"/>
              </w:rPr>
              <w:t>fektyvesnė</w:t>
            </w:r>
            <w:r w:rsidRPr="00A03D14">
              <w:rPr>
                <w:szCs w:val="24"/>
              </w:rPr>
              <w:t xml:space="preserve"> kelių naudotojų apmokestinimo sistema ir išplėsta mokesčių bazė, pereinant prie šaltinių, kurių apmokestinimas mažiau kenkia ekonomikos augimui.</w:t>
            </w:r>
          </w:p>
          <w:p w14:paraId="3998A21B" w14:textId="77777777" w:rsidR="008F10B3" w:rsidRPr="00A03D14" w:rsidRDefault="008F10B3" w:rsidP="002624F5">
            <w:pPr>
              <w:jc w:val="both"/>
              <w:rPr>
                <w:bCs/>
                <w:szCs w:val="24"/>
              </w:rPr>
            </w:pPr>
            <w:r w:rsidRPr="00A03D14">
              <w:rPr>
                <w:b/>
                <w:szCs w:val="24"/>
              </w:rPr>
              <w:t xml:space="preserve">Vykdant priemonę - nustatyti privalomą transporto priemonių sandorių deklaravimą ir įdiegti centralizuotą transporto savininkų apskaitos sistemą, </w:t>
            </w:r>
            <w:r w:rsidRPr="00A03D14">
              <w:rPr>
                <w:szCs w:val="24"/>
              </w:rPr>
              <w:t xml:space="preserve">2020 m. birželio 30 d. Seimas priėmė </w:t>
            </w:r>
            <w:r>
              <w:rPr>
                <w:szCs w:val="24"/>
              </w:rPr>
              <w:t>S</w:t>
            </w:r>
            <w:r w:rsidRPr="00A03D14">
              <w:rPr>
                <w:bCs/>
                <w:szCs w:val="24"/>
              </w:rPr>
              <w:t>augaus eismo automobilių keliais įstatymo Nr. VIII-2043 1, 2, 20 ir 27 straipsnių pakeitimo ir Įstatymo papildymo 27</w:t>
            </w:r>
            <w:r w:rsidRPr="000A1528">
              <w:rPr>
                <w:bCs/>
                <w:szCs w:val="24"/>
                <w:vertAlign w:val="superscript"/>
              </w:rPr>
              <w:t>3</w:t>
            </w:r>
            <w:r w:rsidRPr="00A03D14">
              <w:rPr>
                <w:bCs/>
                <w:szCs w:val="24"/>
              </w:rPr>
              <w:t xml:space="preserve"> straipsniu įstatymą</w:t>
            </w:r>
            <w:r w:rsidRPr="00A03D14">
              <w:rPr>
                <w:szCs w:val="24"/>
              </w:rPr>
              <w:t xml:space="preserve"> Nr. XIII-3218 (toliau – SEAKĮ).</w:t>
            </w:r>
            <w:r w:rsidRPr="00A03D14">
              <w:rPr>
                <w:bCs/>
                <w:szCs w:val="24"/>
              </w:rPr>
              <w:t xml:space="preserve"> Numatyta SEAKĮ įsigaliojimo data</w:t>
            </w:r>
            <w:r>
              <w:rPr>
                <w:bCs/>
                <w:szCs w:val="24"/>
              </w:rPr>
              <w:t xml:space="preserve"> –</w:t>
            </w:r>
            <w:r w:rsidRPr="00A03D14">
              <w:rPr>
                <w:bCs/>
                <w:szCs w:val="24"/>
              </w:rPr>
              <w:t xml:space="preserve"> 2021 m. gegužės 1 d. SEAKĮ įtvirtintas privalomo transporto priemonių savininkų bei transporto priemonių įvežimo į Lietuvos Respubliką pardavimui deklaravimo modelis ir numatoma įdiegti centralizuotą transporto </w:t>
            </w:r>
            <w:r w:rsidRPr="00A03D14">
              <w:rPr>
                <w:bCs/>
                <w:szCs w:val="24"/>
              </w:rPr>
              <w:lastRenderedPageBreak/>
              <w:t>priemonių savininkų apskaitos sistemą (toliau – TPSAS).</w:t>
            </w:r>
            <w:r w:rsidRPr="00A03D14">
              <w:rPr>
                <w:szCs w:val="24"/>
              </w:rPr>
              <w:t xml:space="preserve"> </w:t>
            </w:r>
            <w:r w:rsidRPr="00A03D14">
              <w:rPr>
                <w:bCs/>
                <w:szCs w:val="24"/>
              </w:rPr>
              <w:t xml:space="preserve">Vyriausybės strateginių projektų portfelio komisijos posėdžio, įvykusio 2019 m. gruodžio 9 d., protokolo 1 klausimo nutariamosios dalies 3 punkte  pavesta Finansų ministerijai iki 2020 m. sausio 10 d. papildyti šešėlio mažinimo reformą naujomis veiklomis ir pradėti reformą vykdyti projektų programos lygmeniu. Projektas „Transporto priemonių savininkų apskaitos sistemos diegimas“ yra vienas iš </w:t>
            </w:r>
            <w:r>
              <w:rPr>
                <w:bCs/>
                <w:szCs w:val="24"/>
              </w:rPr>
              <w:t>keturių</w:t>
            </w:r>
            <w:r w:rsidRPr="00A03D14">
              <w:rPr>
                <w:bCs/>
                <w:szCs w:val="24"/>
              </w:rPr>
              <w:t xml:space="preserve"> minėtą projektų programą sudarančių projektų. Projekto planui pritarta Vyriausybės strateginių projektų portfelio komisijos 2020 m. vasario 13 d. posėdyje.</w:t>
            </w:r>
            <w:r w:rsidRPr="00A03D14">
              <w:rPr>
                <w:szCs w:val="24"/>
              </w:rPr>
              <w:t xml:space="preserve"> Planuojamas Projekto pabaigos terminas </w:t>
            </w:r>
            <w:r>
              <w:rPr>
                <w:szCs w:val="24"/>
              </w:rPr>
              <w:t xml:space="preserve"> –</w:t>
            </w:r>
            <w:r w:rsidRPr="00A03D14">
              <w:rPr>
                <w:bCs/>
                <w:szCs w:val="24"/>
              </w:rPr>
              <w:t xml:space="preserve"> 2022 m. I </w:t>
            </w:r>
            <w:proofErr w:type="spellStart"/>
            <w:r w:rsidRPr="00A03D14">
              <w:rPr>
                <w:bCs/>
                <w:szCs w:val="24"/>
              </w:rPr>
              <w:t>ketv</w:t>
            </w:r>
            <w:proofErr w:type="spellEnd"/>
            <w:r w:rsidRPr="00A03D14">
              <w:rPr>
                <w:bCs/>
                <w:szCs w:val="24"/>
              </w:rPr>
              <w:t>.</w:t>
            </w:r>
          </w:p>
          <w:p w14:paraId="2F8FC019" w14:textId="77777777" w:rsidR="008F10B3" w:rsidRPr="00A03D14" w:rsidRDefault="008F10B3" w:rsidP="002624F5">
            <w:pPr>
              <w:tabs>
                <w:tab w:val="left" w:pos="1741"/>
              </w:tabs>
              <w:jc w:val="both"/>
              <w:rPr>
                <w:szCs w:val="24"/>
              </w:rPr>
            </w:pPr>
            <w:r>
              <w:rPr>
                <w:szCs w:val="24"/>
              </w:rPr>
              <w:t>S</w:t>
            </w:r>
            <w:r w:rsidRPr="00A03D14">
              <w:rPr>
                <w:szCs w:val="24"/>
              </w:rPr>
              <w:t>iūlomas mechanizmas veiktų kaip efektyvi kovos su šešėliu automobilių prekybos srityje priemonė</w:t>
            </w:r>
          </w:p>
        </w:tc>
      </w:tr>
    </w:tbl>
    <w:p w14:paraId="1EB00F8E" w14:textId="77777777" w:rsidR="008F10B3" w:rsidRPr="00A03D14" w:rsidRDefault="008F10B3" w:rsidP="008F10B3">
      <w:pPr>
        <w:rPr>
          <w:b/>
          <w:vanish/>
          <w:szCs w:val="24"/>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gridCol w:w="1680"/>
        <w:gridCol w:w="1668"/>
        <w:gridCol w:w="2145"/>
        <w:gridCol w:w="1763"/>
        <w:gridCol w:w="2022"/>
      </w:tblGrid>
      <w:tr w:rsidR="008F10B3" w:rsidRPr="00A03D14" w14:paraId="06E24396" w14:textId="77777777" w:rsidTr="002624F5">
        <w:trPr>
          <w:trHeight w:val="212"/>
        </w:trPr>
        <w:tc>
          <w:tcPr>
            <w:tcW w:w="1985" w:type="pct"/>
            <w:shd w:val="clear" w:color="auto" w:fill="1F4E79"/>
          </w:tcPr>
          <w:p w14:paraId="63518B0F" w14:textId="77777777" w:rsidR="008F10B3" w:rsidRPr="00A03D14" w:rsidRDefault="008F10B3" w:rsidP="002624F5">
            <w:pPr>
              <w:jc w:val="both"/>
              <w:rPr>
                <w:b/>
                <w:i/>
                <w:color w:val="FFFFFF"/>
                <w:szCs w:val="24"/>
              </w:rPr>
            </w:pPr>
            <w:r w:rsidRPr="00A03D14">
              <w:rPr>
                <w:b/>
                <w:i/>
                <w:color w:val="FFFFFF"/>
                <w:szCs w:val="24"/>
              </w:rPr>
              <w:t>Rodikliai</w:t>
            </w:r>
          </w:p>
        </w:tc>
        <w:tc>
          <w:tcPr>
            <w:tcW w:w="546" w:type="pct"/>
            <w:shd w:val="clear" w:color="auto" w:fill="1F4E79"/>
          </w:tcPr>
          <w:p w14:paraId="4A509B6F" w14:textId="77777777" w:rsidR="008F10B3" w:rsidRPr="00A03D14" w:rsidRDefault="008F10B3" w:rsidP="002624F5">
            <w:pPr>
              <w:jc w:val="center"/>
              <w:rPr>
                <w:b/>
                <w:bCs/>
                <w:i/>
                <w:color w:val="FFFFFF"/>
                <w:szCs w:val="24"/>
              </w:rPr>
            </w:pPr>
          </w:p>
        </w:tc>
        <w:tc>
          <w:tcPr>
            <w:tcW w:w="542" w:type="pct"/>
            <w:shd w:val="clear" w:color="auto" w:fill="1F4E79"/>
            <w:vAlign w:val="center"/>
          </w:tcPr>
          <w:p w14:paraId="1167DB20" w14:textId="77777777" w:rsidR="008F10B3" w:rsidRPr="00A03D14" w:rsidRDefault="008F10B3" w:rsidP="002624F5">
            <w:pPr>
              <w:jc w:val="center"/>
              <w:rPr>
                <w:b/>
                <w:i/>
                <w:color w:val="FFFFFF"/>
                <w:szCs w:val="24"/>
              </w:rPr>
            </w:pPr>
            <w:r w:rsidRPr="00A03D14">
              <w:rPr>
                <w:b/>
                <w:i/>
                <w:color w:val="FFFFFF"/>
                <w:szCs w:val="24"/>
              </w:rPr>
              <w:t>2018</w:t>
            </w:r>
          </w:p>
        </w:tc>
        <w:tc>
          <w:tcPr>
            <w:tcW w:w="697" w:type="pct"/>
            <w:shd w:val="clear" w:color="auto" w:fill="1F4E79"/>
            <w:vAlign w:val="center"/>
          </w:tcPr>
          <w:p w14:paraId="584E2062" w14:textId="77777777" w:rsidR="008F10B3" w:rsidRPr="00A03D14" w:rsidRDefault="008F10B3" w:rsidP="002624F5">
            <w:pPr>
              <w:jc w:val="center"/>
              <w:rPr>
                <w:b/>
                <w:i/>
                <w:color w:val="FFFFFF"/>
                <w:szCs w:val="24"/>
              </w:rPr>
            </w:pPr>
            <w:r w:rsidRPr="00A03D14">
              <w:rPr>
                <w:b/>
                <w:i/>
                <w:color w:val="FFFFFF"/>
                <w:szCs w:val="24"/>
              </w:rPr>
              <w:t>2019</w:t>
            </w:r>
          </w:p>
        </w:tc>
        <w:tc>
          <w:tcPr>
            <w:tcW w:w="573" w:type="pct"/>
            <w:shd w:val="clear" w:color="auto" w:fill="1F4E79"/>
            <w:vAlign w:val="center"/>
          </w:tcPr>
          <w:p w14:paraId="483D2D90" w14:textId="77777777" w:rsidR="008F10B3" w:rsidRPr="00A03D14" w:rsidRDefault="008F10B3" w:rsidP="002624F5">
            <w:pPr>
              <w:jc w:val="center"/>
              <w:rPr>
                <w:b/>
                <w:i/>
                <w:color w:val="FFFFFF"/>
                <w:szCs w:val="24"/>
              </w:rPr>
            </w:pPr>
            <w:r w:rsidRPr="00A03D14">
              <w:rPr>
                <w:b/>
                <w:i/>
                <w:color w:val="FFFFFF"/>
                <w:szCs w:val="24"/>
              </w:rPr>
              <w:t>2020</w:t>
            </w:r>
          </w:p>
        </w:tc>
        <w:tc>
          <w:tcPr>
            <w:tcW w:w="657" w:type="pct"/>
            <w:shd w:val="clear" w:color="auto" w:fill="1F4E79"/>
          </w:tcPr>
          <w:p w14:paraId="6E09BE9B" w14:textId="77777777" w:rsidR="008F10B3" w:rsidRPr="00A03D14" w:rsidRDefault="008F10B3" w:rsidP="002624F5">
            <w:pPr>
              <w:jc w:val="center"/>
              <w:rPr>
                <w:b/>
                <w:i/>
                <w:color w:val="FFFFFF"/>
                <w:szCs w:val="24"/>
              </w:rPr>
            </w:pPr>
            <w:r w:rsidRPr="00A03D14">
              <w:rPr>
                <w:b/>
                <w:i/>
                <w:color w:val="FFFFFF"/>
                <w:szCs w:val="24"/>
              </w:rPr>
              <w:t>2021</w:t>
            </w:r>
          </w:p>
        </w:tc>
      </w:tr>
      <w:tr w:rsidR="008F10B3" w:rsidRPr="00A03D14" w14:paraId="7E6D76DE" w14:textId="77777777" w:rsidTr="002624F5">
        <w:trPr>
          <w:trHeight w:val="285"/>
        </w:trPr>
        <w:tc>
          <w:tcPr>
            <w:tcW w:w="1985" w:type="pct"/>
            <w:vMerge w:val="restart"/>
            <w:shd w:val="clear" w:color="auto" w:fill="auto"/>
          </w:tcPr>
          <w:p w14:paraId="31478DF6" w14:textId="77777777" w:rsidR="008F10B3" w:rsidRPr="00A03D14" w:rsidRDefault="008F10B3" w:rsidP="002624F5">
            <w:pPr>
              <w:jc w:val="both"/>
              <w:rPr>
                <w:b/>
                <w:i/>
                <w:szCs w:val="24"/>
              </w:rPr>
            </w:pPr>
            <w:bookmarkStart w:id="47" w:name="_Hlk4144367"/>
            <w:r w:rsidRPr="00A03D14">
              <w:rPr>
                <w:b/>
                <w:i/>
                <w:iCs/>
                <w:szCs w:val="24"/>
              </w:rPr>
              <w:t>BVP dalis, kurią sudaro pajamos iš mokesčių (įskaitant socialinio draudimo įmokas), proc.</w:t>
            </w:r>
            <w:bookmarkEnd w:id="47"/>
          </w:p>
        </w:tc>
        <w:tc>
          <w:tcPr>
            <w:tcW w:w="546" w:type="pct"/>
            <w:shd w:val="clear" w:color="auto" w:fill="B4C6E7"/>
            <w:vAlign w:val="center"/>
          </w:tcPr>
          <w:p w14:paraId="211DE040" w14:textId="77777777" w:rsidR="008F10B3" w:rsidRPr="00A03D14" w:rsidRDefault="008F10B3" w:rsidP="002624F5">
            <w:pPr>
              <w:jc w:val="center"/>
              <w:rPr>
                <w:i/>
                <w:szCs w:val="24"/>
              </w:rPr>
            </w:pPr>
            <w:r w:rsidRPr="00A03D14">
              <w:rPr>
                <w:i/>
                <w:szCs w:val="24"/>
              </w:rPr>
              <w:t>Planas</w:t>
            </w:r>
          </w:p>
        </w:tc>
        <w:tc>
          <w:tcPr>
            <w:tcW w:w="542" w:type="pct"/>
            <w:shd w:val="clear" w:color="auto" w:fill="B4C6E7"/>
            <w:vAlign w:val="center"/>
          </w:tcPr>
          <w:p w14:paraId="1230AE7A" w14:textId="77777777" w:rsidR="008F10B3" w:rsidRPr="00A03D14" w:rsidRDefault="008F10B3" w:rsidP="002624F5">
            <w:pPr>
              <w:jc w:val="center"/>
              <w:rPr>
                <w:i/>
                <w:szCs w:val="24"/>
              </w:rPr>
            </w:pPr>
            <w:r w:rsidRPr="00A03D14">
              <w:rPr>
                <w:i/>
                <w:szCs w:val="24"/>
              </w:rPr>
              <w:t>–</w:t>
            </w:r>
          </w:p>
        </w:tc>
        <w:tc>
          <w:tcPr>
            <w:tcW w:w="697" w:type="pct"/>
            <w:shd w:val="clear" w:color="auto" w:fill="B4C6E7"/>
            <w:vAlign w:val="center"/>
          </w:tcPr>
          <w:p w14:paraId="70A22CC6" w14:textId="77777777" w:rsidR="008F10B3" w:rsidRPr="00A03D14" w:rsidRDefault="008F10B3" w:rsidP="002624F5">
            <w:pPr>
              <w:jc w:val="center"/>
              <w:rPr>
                <w:i/>
                <w:szCs w:val="24"/>
              </w:rPr>
            </w:pPr>
            <w:r w:rsidRPr="00A03D14">
              <w:rPr>
                <w:i/>
                <w:szCs w:val="24"/>
              </w:rPr>
              <w:t>31,2</w:t>
            </w:r>
          </w:p>
        </w:tc>
        <w:tc>
          <w:tcPr>
            <w:tcW w:w="573" w:type="pct"/>
            <w:shd w:val="clear" w:color="auto" w:fill="B4C6E7"/>
            <w:vAlign w:val="center"/>
          </w:tcPr>
          <w:p w14:paraId="189C9973" w14:textId="77777777" w:rsidR="008F10B3" w:rsidRPr="00A03D14" w:rsidRDefault="008F10B3" w:rsidP="002624F5">
            <w:pPr>
              <w:jc w:val="center"/>
              <w:rPr>
                <w:i/>
                <w:szCs w:val="24"/>
              </w:rPr>
            </w:pPr>
            <w:r w:rsidRPr="00A03D14">
              <w:rPr>
                <w:i/>
                <w:szCs w:val="24"/>
              </w:rPr>
              <w:t>31,4</w:t>
            </w:r>
          </w:p>
        </w:tc>
        <w:tc>
          <w:tcPr>
            <w:tcW w:w="657" w:type="pct"/>
            <w:shd w:val="clear" w:color="auto" w:fill="B4C6E7"/>
          </w:tcPr>
          <w:p w14:paraId="4AB78B72" w14:textId="77777777" w:rsidR="008F10B3" w:rsidRPr="00A03D14" w:rsidRDefault="008F10B3" w:rsidP="002624F5">
            <w:pPr>
              <w:jc w:val="center"/>
              <w:rPr>
                <w:i/>
                <w:szCs w:val="24"/>
              </w:rPr>
            </w:pPr>
            <w:r w:rsidRPr="00A03D14">
              <w:rPr>
                <w:i/>
                <w:szCs w:val="24"/>
              </w:rPr>
              <w:t>30,3</w:t>
            </w:r>
          </w:p>
        </w:tc>
      </w:tr>
      <w:tr w:rsidR="008F10B3" w:rsidRPr="00A03D14" w14:paraId="07E138CE" w14:textId="77777777" w:rsidTr="002624F5">
        <w:trPr>
          <w:trHeight w:val="289"/>
        </w:trPr>
        <w:tc>
          <w:tcPr>
            <w:tcW w:w="1985" w:type="pct"/>
            <w:vMerge/>
            <w:shd w:val="clear" w:color="auto" w:fill="auto"/>
          </w:tcPr>
          <w:p w14:paraId="4876166A" w14:textId="77777777" w:rsidR="008F10B3" w:rsidRPr="00A03D14" w:rsidRDefault="008F10B3" w:rsidP="002624F5">
            <w:pPr>
              <w:jc w:val="both"/>
              <w:rPr>
                <w:b/>
                <w:i/>
                <w:iCs/>
                <w:szCs w:val="24"/>
              </w:rPr>
            </w:pPr>
          </w:p>
        </w:tc>
        <w:tc>
          <w:tcPr>
            <w:tcW w:w="546" w:type="pct"/>
            <w:shd w:val="clear" w:color="auto" w:fill="auto"/>
            <w:vAlign w:val="center"/>
          </w:tcPr>
          <w:p w14:paraId="7546AC68" w14:textId="77777777" w:rsidR="008F10B3" w:rsidRPr="00A03D14" w:rsidRDefault="008F10B3" w:rsidP="002624F5">
            <w:pPr>
              <w:jc w:val="center"/>
              <w:rPr>
                <w:i/>
                <w:szCs w:val="24"/>
              </w:rPr>
            </w:pPr>
            <w:r w:rsidRPr="00A03D14">
              <w:rPr>
                <w:i/>
                <w:szCs w:val="24"/>
              </w:rPr>
              <w:t>Faktas</w:t>
            </w:r>
          </w:p>
        </w:tc>
        <w:tc>
          <w:tcPr>
            <w:tcW w:w="542" w:type="pct"/>
            <w:shd w:val="clear" w:color="auto" w:fill="auto"/>
            <w:vAlign w:val="center"/>
          </w:tcPr>
          <w:p w14:paraId="3351120F" w14:textId="77777777" w:rsidR="008F10B3" w:rsidRPr="00A03D14" w:rsidRDefault="008F10B3" w:rsidP="002624F5">
            <w:pPr>
              <w:jc w:val="center"/>
              <w:rPr>
                <w:i/>
                <w:szCs w:val="24"/>
              </w:rPr>
            </w:pPr>
            <w:r w:rsidRPr="00A03D14">
              <w:rPr>
                <w:i/>
                <w:szCs w:val="24"/>
              </w:rPr>
              <w:t>30,1</w:t>
            </w:r>
          </w:p>
        </w:tc>
        <w:tc>
          <w:tcPr>
            <w:tcW w:w="697" w:type="pct"/>
            <w:shd w:val="clear" w:color="auto" w:fill="auto"/>
            <w:vAlign w:val="center"/>
          </w:tcPr>
          <w:p w14:paraId="482EA217" w14:textId="77777777" w:rsidR="008F10B3" w:rsidRPr="00A03D14" w:rsidRDefault="008F10B3" w:rsidP="002624F5">
            <w:pPr>
              <w:jc w:val="center"/>
              <w:rPr>
                <w:i/>
                <w:szCs w:val="24"/>
              </w:rPr>
            </w:pPr>
            <w:r w:rsidRPr="00A03D14">
              <w:rPr>
                <w:i/>
                <w:szCs w:val="24"/>
              </w:rPr>
              <w:t>30,2</w:t>
            </w:r>
            <w:r w:rsidRPr="00A03D14">
              <w:rPr>
                <w:rStyle w:val="Puslapioinaosnuoroda"/>
                <w:i/>
                <w:szCs w:val="24"/>
              </w:rPr>
              <w:footnoteReference w:id="19"/>
            </w:r>
          </w:p>
        </w:tc>
        <w:tc>
          <w:tcPr>
            <w:tcW w:w="573" w:type="pct"/>
            <w:shd w:val="clear" w:color="auto" w:fill="auto"/>
            <w:vAlign w:val="center"/>
          </w:tcPr>
          <w:p w14:paraId="400D21A0" w14:textId="77777777" w:rsidR="008F10B3" w:rsidRPr="00A03D14" w:rsidRDefault="008F10B3" w:rsidP="002624F5">
            <w:pPr>
              <w:jc w:val="center"/>
              <w:rPr>
                <w:i/>
                <w:szCs w:val="24"/>
              </w:rPr>
            </w:pPr>
            <w:r w:rsidRPr="00A03D14">
              <w:rPr>
                <w:i/>
                <w:szCs w:val="24"/>
              </w:rPr>
              <w:t>–</w:t>
            </w:r>
          </w:p>
        </w:tc>
        <w:tc>
          <w:tcPr>
            <w:tcW w:w="657" w:type="pct"/>
            <w:shd w:val="clear" w:color="auto" w:fill="auto"/>
          </w:tcPr>
          <w:p w14:paraId="52CFC5B9" w14:textId="77777777" w:rsidR="008F10B3" w:rsidRPr="00A03D14" w:rsidRDefault="008F10B3" w:rsidP="002624F5">
            <w:pPr>
              <w:jc w:val="center"/>
              <w:rPr>
                <w:i/>
                <w:szCs w:val="24"/>
              </w:rPr>
            </w:pPr>
            <w:r w:rsidRPr="00A03D14">
              <w:rPr>
                <w:i/>
                <w:szCs w:val="24"/>
              </w:rPr>
              <w:t>–</w:t>
            </w:r>
          </w:p>
        </w:tc>
      </w:tr>
      <w:tr w:rsidR="008F10B3" w:rsidRPr="00A03D14" w14:paraId="2380D1F6" w14:textId="77777777" w:rsidTr="002624F5">
        <w:trPr>
          <w:trHeight w:val="266"/>
        </w:trPr>
        <w:tc>
          <w:tcPr>
            <w:tcW w:w="1985" w:type="pct"/>
            <w:vMerge w:val="restart"/>
            <w:shd w:val="clear" w:color="auto" w:fill="auto"/>
          </w:tcPr>
          <w:p w14:paraId="664CEE35" w14:textId="77777777" w:rsidR="008F10B3" w:rsidRPr="00A03D14" w:rsidRDefault="008F10B3" w:rsidP="002624F5">
            <w:pPr>
              <w:jc w:val="both"/>
              <w:rPr>
                <w:b/>
                <w:i/>
                <w:iCs/>
                <w:szCs w:val="24"/>
              </w:rPr>
            </w:pPr>
            <w:r w:rsidRPr="00A03D14">
              <w:rPr>
                <w:b/>
                <w:i/>
                <w:iCs/>
                <w:szCs w:val="24"/>
              </w:rPr>
              <w:t>Nepanaudoto pridėtinės vertės mokesčio potencialo įvertis, proc.</w:t>
            </w:r>
          </w:p>
        </w:tc>
        <w:tc>
          <w:tcPr>
            <w:tcW w:w="546" w:type="pct"/>
            <w:shd w:val="clear" w:color="auto" w:fill="B4C6E7"/>
            <w:vAlign w:val="center"/>
          </w:tcPr>
          <w:p w14:paraId="305B4A03" w14:textId="77777777" w:rsidR="008F10B3" w:rsidRPr="00A03D14" w:rsidRDefault="008F10B3" w:rsidP="002624F5">
            <w:pPr>
              <w:jc w:val="center"/>
              <w:rPr>
                <w:i/>
                <w:szCs w:val="24"/>
              </w:rPr>
            </w:pPr>
            <w:r w:rsidRPr="00A03D14">
              <w:rPr>
                <w:i/>
                <w:szCs w:val="24"/>
              </w:rPr>
              <w:t>Planas</w:t>
            </w:r>
          </w:p>
        </w:tc>
        <w:tc>
          <w:tcPr>
            <w:tcW w:w="542" w:type="pct"/>
            <w:shd w:val="clear" w:color="auto" w:fill="B4C6E7"/>
            <w:vAlign w:val="center"/>
          </w:tcPr>
          <w:p w14:paraId="39331800" w14:textId="77777777" w:rsidR="008F10B3" w:rsidRPr="00A03D14" w:rsidRDefault="008F10B3" w:rsidP="002624F5">
            <w:pPr>
              <w:jc w:val="center"/>
              <w:rPr>
                <w:i/>
                <w:szCs w:val="24"/>
              </w:rPr>
            </w:pPr>
          </w:p>
        </w:tc>
        <w:tc>
          <w:tcPr>
            <w:tcW w:w="697" w:type="pct"/>
            <w:shd w:val="clear" w:color="auto" w:fill="B4C6E7"/>
            <w:vAlign w:val="center"/>
          </w:tcPr>
          <w:p w14:paraId="782C99B4" w14:textId="77777777" w:rsidR="008F10B3" w:rsidRPr="00A03D14" w:rsidRDefault="008F10B3" w:rsidP="002624F5">
            <w:pPr>
              <w:jc w:val="center"/>
              <w:rPr>
                <w:i/>
                <w:szCs w:val="24"/>
              </w:rPr>
            </w:pPr>
            <w:r w:rsidRPr="00A03D14">
              <w:rPr>
                <w:i/>
                <w:szCs w:val="24"/>
              </w:rPr>
              <w:t>24,8</w:t>
            </w:r>
          </w:p>
        </w:tc>
        <w:tc>
          <w:tcPr>
            <w:tcW w:w="573" w:type="pct"/>
            <w:shd w:val="clear" w:color="auto" w:fill="B4C6E7"/>
            <w:vAlign w:val="center"/>
          </w:tcPr>
          <w:p w14:paraId="62118932" w14:textId="77777777" w:rsidR="008F10B3" w:rsidRPr="00A03D14" w:rsidRDefault="008F10B3" w:rsidP="002624F5">
            <w:pPr>
              <w:jc w:val="center"/>
              <w:rPr>
                <w:i/>
                <w:szCs w:val="24"/>
              </w:rPr>
            </w:pPr>
            <w:r w:rsidRPr="00A03D14">
              <w:rPr>
                <w:i/>
                <w:szCs w:val="24"/>
              </w:rPr>
              <w:t>24,7</w:t>
            </w:r>
          </w:p>
        </w:tc>
        <w:tc>
          <w:tcPr>
            <w:tcW w:w="657" w:type="pct"/>
            <w:shd w:val="clear" w:color="auto" w:fill="B4C6E7"/>
          </w:tcPr>
          <w:p w14:paraId="55C93847" w14:textId="77777777" w:rsidR="008F10B3" w:rsidRPr="00A03D14" w:rsidRDefault="008F10B3" w:rsidP="002624F5">
            <w:pPr>
              <w:jc w:val="center"/>
              <w:rPr>
                <w:i/>
                <w:szCs w:val="24"/>
              </w:rPr>
            </w:pPr>
            <w:r w:rsidRPr="00A03D14">
              <w:rPr>
                <w:i/>
                <w:szCs w:val="24"/>
              </w:rPr>
              <w:t>24,6</w:t>
            </w:r>
          </w:p>
        </w:tc>
      </w:tr>
      <w:tr w:rsidR="008F10B3" w:rsidRPr="00A03D14" w14:paraId="6A6E9876" w14:textId="77777777" w:rsidTr="002624F5">
        <w:trPr>
          <w:trHeight w:val="270"/>
        </w:trPr>
        <w:tc>
          <w:tcPr>
            <w:tcW w:w="1985" w:type="pct"/>
            <w:vMerge/>
            <w:shd w:val="clear" w:color="auto" w:fill="auto"/>
          </w:tcPr>
          <w:p w14:paraId="20039FDD" w14:textId="77777777" w:rsidR="008F10B3" w:rsidRPr="00A03D14" w:rsidRDefault="008F10B3" w:rsidP="002624F5">
            <w:pPr>
              <w:rPr>
                <w:i/>
                <w:iCs/>
                <w:szCs w:val="24"/>
              </w:rPr>
            </w:pPr>
          </w:p>
        </w:tc>
        <w:tc>
          <w:tcPr>
            <w:tcW w:w="546" w:type="pct"/>
            <w:shd w:val="clear" w:color="auto" w:fill="auto"/>
            <w:vAlign w:val="center"/>
          </w:tcPr>
          <w:p w14:paraId="46189E6D" w14:textId="77777777" w:rsidR="008F10B3" w:rsidRPr="00A03D14" w:rsidRDefault="008F10B3" w:rsidP="002624F5">
            <w:pPr>
              <w:jc w:val="center"/>
              <w:rPr>
                <w:i/>
                <w:szCs w:val="24"/>
              </w:rPr>
            </w:pPr>
            <w:r w:rsidRPr="00A03D14">
              <w:rPr>
                <w:i/>
                <w:szCs w:val="24"/>
              </w:rPr>
              <w:t>Faktas</w:t>
            </w:r>
          </w:p>
        </w:tc>
        <w:tc>
          <w:tcPr>
            <w:tcW w:w="542" w:type="pct"/>
            <w:shd w:val="clear" w:color="auto" w:fill="auto"/>
            <w:vAlign w:val="center"/>
          </w:tcPr>
          <w:p w14:paraId="39829DD4" w14:textId="77777777" w:rsidR="008F10B3" w:rsidRPr="00A03D14" w:rsidRDefault="008F10B3" w:rsidP="002624F5">
            <w:pPr>
              <w:jc w:val="center"/>
              <w:rPr>
                <w:i/>
                <w:szCs w:val="24"/>
              </w:rPr>
            </w:pPr>
            <w:r w:rsidRPr="00A03D14">
              <w:rPr>
                <w:i/>
                <w:szCs w:val="24"/>
              </w:rPr>
              <w:t>25,9</w:t>
            </w:r>
            <w:r w:rsidRPr="00A03D14">
              <w:rPr>
                <w:rStyle w:val="Puslapioinaosnuoroda"/>
                <w:i/>
                <w:szCs w:val="24"/>
              </w:rPr>
              <w:footnoteReference w:id="20"/>
            </w:r>
          </w:p>
        </w:tc>
        <w:tc>
          <w:tcPr>
            <w:tcW w:w="697" w:type="pct"/>
            <w:shd w:val="clear" w:color="auto" w:fill="auto"/>
            <w:vAlign w:val="center"/>
          </w:tcPr>
          <w:p w14:paraId="62EDACDF" w14:textId="77777777" w:rsidR="008F10B3" w:rsidRPr="00A03D14" w:rsidRDefault="008F10B3" w:rsidP="002624F5">
            <w:pPr>
              <w:jc w:val="center"/>
              <w:rPr>
                <w:i/>
                <w:szCs w:val="24"/>
              </w:rPr>
            </w:pPr>
            <w:r w:rsidRPr="00A03D14">
              <w:rPr>
                <w:i/>
                <w:szCs w:val="24"/>
              </w:rPr>
              <w:t>–</w:t>
            </w:r>
          </w:p>
        </w:tc>
        <w:tc>
          <w:tcPr>
            <w:tcW w:w="573" w:type="pct"/>
            <w:shd w:val="clear" w:color="auto" w:fill="auto"/>
            <w:vAlign w:val="center"/>
          </w:tcPr>
          <w:p w14:paraId="530DE591" w14:textId="77777777" w:rsidR="008F10B3" w:rsidRPr="00A03D14" w:rsidRDefault="008F10B3" w:rsidP="002624F5">
            <w:pPr>
              <w:jc w:val="center"/>
              <w:rPr>
                <w:i/>
                <w:szCs w:val="24"/>
              </w:rPr>
            </w:pPr>
            <w:r w:rsidRPr="00A03D14">
              <w:rPr>
                <w:i/>
                <w:szCs w:val="24"/>
              </w:rPr>
              <w:t>–</w:t>
            </w:r>
          </w:p>
        </w:tc>
        <w:tc>
          <w:tcPr>
            <w:tcW w:w="657" w:type="pct"/>
            <w:shd w:val="clear" w:color="auto" w:fill="auto"/>
          </w:tcPr>
          <w:p w14:paraId="572CBD7F" w14:textId="77777777" w:rsidR="008F10B3" w:rsidRPr="00A03D14" w:rsidRDefault="008F10B3" w:rsidP="002624F5">
            <w:pPr>
              <w:jc w:val="center"/>
              <w:rPr>
                <w:i/>
                <w:szCs w:val="24"/>
              </w:rPr>
            </w:pPr>
            <w:r w:rsidRPr="00A03D14">
              <w:rPr>
                <w:i/>
                <w:szCs w:val="24"/>
              </w:rPr>
              <w:t>–</w:t>
            </w:r>
          </w:p>
        </w:tc>
      </w:tr>
    </w:tbl>
    <w:p w14:paraId="4BED002F" w14:textId="77777777" w:rsidR="00BF67F2" w:rsidRPr="00A03D14" w:rsidRDefault="00BF67F2" w:rsidP="00BF67F2">
      <w:pPr>
        <w:tabs>
          <w:tab w:val="left" w:pos="1741"/>
        </w:tabs>
        <w:rPr>
          <w:szCs w:val="24"/>
        </w:rPr>
      </w:pPr>
    </w:p>
    <w:p w14:paraId="5E2CF22D" w14:textId="77777777" w:rsidR="00BF67F2" w:rsidRPr="00A03D14" w:rsidRDefault="00BF67F2" w:rsidP="00BF67F2">
      <w:pPr>
        <w:jc w:val="both"/>
        <w:rPr>
          <w:szCs w:val="24"/>
        </w:rPr>
      </w:pPr>
      <w:r w:rsidRPr="00A03D14">
        <w:rPr>
          <w:b/>
          <w:szCs w:val="24"/>
        </w:rPr>
        <w:t>Atsakingos institucijos</w:t>
      </w:r>
      <w:r w:rsidRPr="00A03D14">
        <w:rPr>
          <w:szCs w:val="24"/>
        </w:rPr>
        <w:t>: Lietuvos Respublikos sveikatos apsaugos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BF67F2" w:rsidRPr="00A03D14" w14:paraId="2C85F836" w14:textId="77777777" w:rsidTr="00CA13A1">
        <w:trPr>
          <w:trHeight w:val="23"/>
          <w:tblHeader/>
        </w:trPr>
        <w:tc>
          <w:tcPr>
            <w:tcW w:w="928" w:type="pct"/>
            <w:shd w:val="clear" w:color="auto" w:fill="1F4E79"/>
            <w:vAlign w:val="center"/>
          </w:tcPr>
          <w:p w14:paraId="7D537FC9" w14:textId="77777777" w:rsidR="00BF67F2" w:rsidRPr="00A03D14" w:rsidRDefault="00BF67F2" w:rsidP="00CA13A1">
            <w:pPr>
              <w:jc w:val="center"/>
              <w:rPr>
                <w:b/>
                <w:color w:val="FFFFFF"/>
                <w:szCs w:val="24"/>
              </w:rPr>
            </w:pPr>
            <w:r w:rsidRPr="00A03D14">
              <w:rPr>
                <w:b/>
                <w:color w:val="FFFFFF"/>
                <w:szCs w:val="24"/>
              </w:rPr>
              <w:t>Tikslas</w:t>
            </w:r>
          </w:p>
        </w:tc>
        <w:tc>
          <w:tcPr>
            <w:tcW w:w="4072" w:type="pct"/>
            <w:shd w:val="clear" w:color="auto" w:fill="B4C6E7"/>
            <w:vAlign w:val="center"/>
          </w:tcPr>
          <w:p w14:paraId="075A4140" w14:textId="77777777" w:rsidR="00BF67F2" w:rsidRPr="00A03D14" w:rsidRDefault="00BF67F2" w:rsidP="00CA13A1">
            <w:pPr>
              <w:jc w:val="center"/>
              <w:rPr>
                <w:b/>
                <w:szCs w:val="24"/>
              </w:rPr>
            </w:pPr>
            <w:r w:rsidRPr="00A03D14">
              <w:rPr>
                <w:b/>
                <w:szCs w:val="24"/>
              </w:rPr>
              <w:t>Poveikis Tarybos rekomendacijos įgyvendinimui</w:t>
            </w:r>
          </w:p>
        </w:tc>
      </w:tr>
      <w:tr w:rsidR="00BF67F2" w:rsidRPr="00A03D14" w14:paraId="32A4EB64" w14:textId="77777777" w:rsidTr="00CA13A1">
        <w:trPr>
          <w:trHeight w:val="989"/>
        </w:trPr>
        <w:tc>
          <w:tcPr>
            <w:tcW w:w="928" w:type="pct"/>
          </w:tcPr>
          <w:p w14:paraId="2A8FFFCB" w14:textId="77777777" w:rsidR="00BF67F2" w:rsidRPr="00A03D14" w:rsidRDefault="00BF67F2" w:rsidP="00CA13A1">
            <w:pPr>
              <w:ind w:left="29" w:firstLine="4"/>
              <w:rPr>
                <w:i/>
                <w:szCs w:val="24"/>
              </w:rPr>
            </w:pPr>
            <w:r w:rsidRPr="00A03D14">
              <w:rPr>
                <w:rFonts w:eastAsia="Calibri"/>
                <w:b/>
                <w:szCs w:val="24"/>
                <w:u w:val="single"/>
              </w:rPr>
              <w:t>3 tikslas.</w:t>
            </w:r>
            <w:r w:rsidRPr="00A03D14">
              <w:rPr>
                <w:rFonts w:eastAsia="Calibri"/>
                <w:b/>
                <w:i/>
                <w:szCs w:val="24"/>
              </w:rPr>
              <w:t xml:space="preserve"> </w:t>
            </w:r>
            <w:r w:rsidRPr="00A03D14">
              <w:rPr>
                <w:b/>
                <w:szCs w:val="24"/>
              </w:rPr>
              <w:t>Didinti sveikatos sistemos atsparumą, be kita ko, sutelkiant adekvatų finansavimą ir sprendžiant sveikatos priežiūros darbuotojų ir svarbių medicinos reikmenų trūkumo problemą</w:t>
            </w:r>
          </w:p>
          <w:p w14:paraId="7154CFDB" w14:textId="77777777" w:rsidR="00BF67F2" w:rsidRPr="00A03D14" w:rsidRDefault="00BF67F2" w:rsidP="00CA13A1">
            <w:pPr>
              <w:ind w:left="29"/>
              <w:rPr>
                <w:i/>
                <w:szCs w:val="24"/>
              </w:rPr>
            </w:pPr>
            <w:r w:rsidRPr="00A03D14">
              <w:rPr>
                <w:szCs w:val="24"/>
              </w:rPr>
              <w:t>(</w:t>
            </w:r>
            <w:r w:rsidRPr="00A03D14">
              <w:rPr>
                <w:b/>
                <w:szCs w:val="24"/>
              </w:rPr>
              <w:t>Įgyvendina struktūrinę sveikatos apsaugos reformą)</w:t>
            </w:r>
          </w:p>
        </w:tc>
        <w:tc>
          <w:tcPr>
            <w:tcW w:w="4072" w:type="pct"/>
          </w:tcPr>
          <w:p w14:paraId="5DB6FED7" w14:textId="77777777" w:rsidR="00BF67F2" w:rsidRPr="009C0405" w:rsidRDefault="00BF67F2" w:rsidP="00CA13A1">
            <w:pPr>
              <w:jc w:val="both"/>
              <w:rPr>
                <w:szCs w:val="24"/>
              </w:rPr>
            </w:pPr>
            <w:r w:rsidRPr="009C0405">
              <w:rPr>
                <w:b/>
                <w:bCs/>
                <w:szCs w:val="24"/>
              </w:rPr>
              <w:t xml:space="preserve">Siekiant užtikrinti nuoseklų ir tvarų sveikatos sektoriaus darbuotojų darbo užmokesčio augimą ir darbo sąlygų gerinimą, </w:t>
            </w:r>
            <w:r w:rsidRPr="009C0405">
              <w:rPr>
                <w:szCs w:val="24"/>
              </w:rPr>
              <w:t xml:space="preserve">buvo įgyvendinami Lietuvos nacionalinėje sveikatos sistemos šakos kolektyvinėje sutartyje prisiimti įsipareigojimai dėl nuoseklaus ir tvaraus medikų darbo užmokesčio augimo, stebimas kolektyvinę sutartį pasirašiusių įstaigų gydytojų ir slaugytojų atlyginimų nuoseklus didėjimas. Medikų atlyginimo padidinimo tęstinumui užtikrinti 2021 metams vietoj  numatytų 100 mln. eurų numatyta skirti 173 mln. eurų. </w:t>
            </w:r>
          </w:p>
          <w:p w14:paraId="505B68BA" w14:textId="74415CF9" w:rsidR="00BF67F2" w:rsidRPr="009C0405" w:rsidRDefault="00151678" w:rsidP="00CA13A1">
            <w:pPr>
              <w:jc w:val="both"/>
              <w:rPr>
                <w:b/>
                <w:bCs/>
                <w:szCs w:val="24"/>
              </w:rPr>
            </w:pPr>
            <w:r w:rsidRPr="009C0405">
              <w:rPr>
                <w:b/>
                <w:bCs/>
                <w:szCs w:val="24"/>
              </w:rPr>
              <w:t xml:space="preserve">Peržiūrėtos galiojančio teisinio reguliavimo nuostatas – asmens sveikatos įstaigų vadovai įpareigoti užtikrinti įstaigų apsirūpinimą būtinomis asmens apsaugos priemonėmis ir kitais medicinos reikmenimis sukaupiant ne mažiau kaip vieno mėnesio rezervą. </w:t>
            </w:r>
            <w:r w:rsidR="00BF67F2" w:rsidRPr="009C0405">
              <w:rPr>
                <w:szCs w:val="24"/>
              </w:rPr>
              <w:t xml:space="preserve">Parengti ir priimti Civilinės saugos įstatymo Nr. VIII-971 13, 14, 15 straipsnių pakeitimo ir </w:t>
            </w:r>
            <w:r w:rsidR="00FE05B4" w:rsidRPr="009C0405">
              <w:rPr>
                <w:szCs w:val="24"/>
              </w:rPr>
              <w:t>Į</w:t>
            </w:r>
            <w:r w:rsidR="00BF67F2" w:rsidRPr="009C0405">
              <w:rPr>
                <w:szCs w:val="24"/>
              </w:rPr>
              <w:t>statymo papildymo 141 straipsniu įstatymas, Sveikatos priežiūros įstaigų įstatymo Nr. I-1367 5 straipsnio pakeitimo įstatymas, Sveikatos priežiūros įstaigų įstatymo Nr. I-1367 5, 45, 50 ir 54 straipsnių pakeitimo įstatymo Nr. XIII-2756 1 straipsnio pakeitimo įstatymas, Visuomenės sveikatos priežiūros įstatymo Nr. IX-886 15 straipsnio pakeitimo įstatymas bei Vyriausybės 2020 m. gruodžio 30 d. nutarimas Nr. 1473 „Dėl Vyriausybės 2010 m. kovo 17 d. nutarimo Nr. 286 „Dėl įgaliojimų suteikimo įgyvendinant Civilinės saugos įstatymo 16 straipsnio 3 dalies 8 ir 9 punktus“ pakeitimo“. Šiais teisės aktais licencijuojamas asmens sveikatos priežiūros paslaugas teikiančios asmens sveikatos priežiūros įstaigos (</w:t>
            </w:r>
            <w:r w:rsidR="00FE05B4" w:rsidRPr="009C0405">
              <w:rPr>
                <w:szCs w:val="24"/>
              </w:rPr>
              <w:t>nesvarbu kokio</w:t>
            </w:r>
            <w:r w:rsidR="00BF67F2" w:rsidRPr="009C0405">
              <w:rPr>
                <w:szCs w:val="24"/>
              </w:rPr>
              <w:t xml:space="preserve"> pavaldumo ir nuosavybės formos), taip pat kiti ūkio subjektai, užtikrinantys gyvybiškai svarbių paslaugų teikimą gyventojams, įpareigojo sukaupti asmeninės apsaugos priemonių ir kitų veiklos vykdymui užtikrinti būtinų priemonių, skirtų apsisaugoti nuo COVID-19 </w:t>
            </w:r>
            <w:r w:rsidR="00FE05B4" w:rsidRPr="009C0405">
              <w:rPr>
                <w:szCs w:val="24"/>
              </w:rPr>
              <w:t xml:space="preserve"> </w:t>
            </w:r>
            <w:r w:rsidR="00BF67F2" w:rsidRPr="009C0405">
              <w:rPr>
                <w:szCs w:val="24"/>
              </w:rPr>
              <w:t>(</w:t>
            </w:r>
            <w:proofErr w:type="spellStart"/>
            <w:r w:rsidR="00BF67F2" w:rsidRPr="009C0405">
              <w:rPr>
                <w:szCs w:val="24"/>
              </w:rPr>
              <w:t>koronaviruso</w:t>
            </w:r>
            <w:proofErr w:type="spellEnd"/>
            <w:r w:rsidR="00BF67F2" w:rsidRPr="009C0405">
              <w:rPr>
                <w:szCs w:val="24"/>
              </w:rPr>
              <w:t xml:space="preserve"> infekcijos), atsargas ne trumpesniam kaip 30 kalendorinių dienų laikotarpiui. Toks pat įpareigojimas nustatytas ir savivaldybių administracijoms. </w:t>
            </w:r>
            <w:r w:rsidR="00BF67F2" w:rsidRPr="009C0405">
              <w:rPr>
                <w:szCs w:val="24"/>
              </w:rPr>
              <w:lastRenderedPageBreak/>
              <w:t>Planuojama, kad valstybės rezervo turėtų užtekti 60 dienų nepertraukiam</w:t>
            </w:r>
            <w:r w:rsidR="00FE05B4" w:rsidRPr="009C0405">
              <w:rPr>
                <w:szCs w:val="24"/>
              </w:rPr>
              <w:t xml:space="preserve">ai </w:t>
            </w:r>
            <w:r w:rsidR="00BF67F2" w:rsidRPr="009C0405">
              <w:rPr>
                <w:szCs w:val="24"/>
              </w:rPr>
              <w:t>naudo</w:t>
            </w:r>
            <w:r w:rsidR="00FE05B4" w:rsidRPr="009C0405">
              <w:rPr>
                <w:szCs w:val="24"/>
              </w:rPr>
              <w:t xml:space="preserve">ti. </w:t>
            </w:r>
            <w:r w:rsidR="00BF67F2" w:rsidRPr="009C0405">
              <w:rPr>
                <w:szCs w:val="24"/>
              </w:rPr>
              <w:t xml:space="preserve">Tai reiškia, kad visų trijų lygių atsargų turėtų užtekti 3-4 mėnesiams. </w:t>
            </w:r>
            <w:r w:rsidR="00BF67F2" w:rsidRPr="009C0405">
              <w:rPr>
                <w:b/>
                <w:bCs/>
                <w:szCs w:val="24"/>
              </w:rPr>
              <w:t xml:space="preserve"> </w:t>
            </w:r>
          </w:p>
          <w:p w14:paraId="5DCD939E" w14:textId="04CE247B" w:rsidR="00BF67F2" w:rsidRPr="009C0405" w:rsidRDefault="00BF67F2" w:rsidP="00CA13A1">
            <w:pPr>
              <w:jc w:val="both"/>
              <w:rPr>
                <w:i/>
                <w:iCs/>
                <w:color w:val="FF0000"/>
                <w:szCs w:val="24"/>
              </w:rPr>
            </w:pPr>
            <w:r w:rsidRPr="009C0405">
              <w:rPr>
                <w:b/>
                <w:bCs/>
                <w:szCs w:val="24"/>
              </w:rPr>
              <w:t xml:space="preserve">Įgyvendinant priemonę </w:t>
            </w:r>
            <w:r w:rsidR="009C0405" w:rsidRPr="009C0405">
              <w:rPr>
                <w:b/>
                <w:bCs/>
                <w:szCs w:val="24"/>
              </w:rPr>
              <w:t>–</w:t>
            </w:r>
            <w:r w:rsidRPr="009C0405">
              <w:rPr>
                <w:b/>
                <w:bCs/>
                <w:szCs w:val="24"/>
              </w:rPr>
              <w:t xml:space="preserve"> parengti stacionarinių asmens sveikatos priežiūros įstaigų regioninio valdymo planus, numatyti juose regionuose esančių ligoninių pajėgumus ir veiksmus keičiantis epidemiologinei situacijai, </w:t>
            </w:r>
            <w:r w:rsidR="009C0405" w:rsidRPr="009C0405">
              <w:rPr>
                <w:szCs w:val="24"/>
              </w:rPr>
              <w:t>s</w:t>
            </w:r>
            <w:r w:rsidRPr="009C0405">
              <w:rPr>
                <w:szCs w:val="24"/>
              </w:rPr>
              <w:t xml:space="preserve">veikatos apsaugos ministro nustatyta tvarka stacionarinės sveikatos priežiūros paslaugos teikiamos teritoriniu-regioniniu principu ir užtikrinamas sveikatos priežiūros paslaugų teikimas ne tik COVID-19, bet ir visomis kitomis (ne COVID-19) ligomis sergantiems pacientams, užtikrinant visų profilių sveikatos priežiūros paslaugų teikimą. Kiekviename regione yra paskirta sveikatos priežiūros paslaugas organizuojanti asmens sveikatos priežiūros įstaiga (toliau – ASPĮ), atsakinga už sveikatos priežiūros paslaugų teikimo COVID-19 sergantiems pacientams plano regione parengimą, kuris atsižvelgiant į epidemiologinę situaciją operatyviai atnaujinamas. Organizuojančių ASPĮ parengtuose planuose </w:t>
            </w:r>
            <w:r w:rsidR="009C0405" w:rsidRPr="009C0405">
              <w:rPr>
                <w:szCs w:val="24"/>
              </w:rPr>
              <w:t>nurodytos</w:t>
            </w:r>
            <w:r w:rsidRPr="009C0405">
              <w:rPr>
                <w:szCs w:val="24"/>
              </w:rPr>
              <w:t xml:space="preserve"> ASPĮ, kuriose gydomi COVID-19 sergantys pacientai, ASPĮ, kuriose teikiamos sveikatos priežiūros paslaugos pacientams</w:t>
            </w:r>
            <w:r w:rsidR="009C0405" w:rsidRPr="009C0405">
              <w:rPr>
                <w:szCs w:val="24"/>
              </w:rPr>
              <w:t xml:space="preserve">, sergantiems kitomis </w:t>
            </w:r>
            <w:r w:rsidRPr="009C0405">
              <w:rPr>
                <w:szCs w:val="24"/>
              </w:rPr>
              <w:t>(ne COVID-19) lig</w:t>
            </w:r>
            <w:r w:rsidR="009C0405" w:rsidRPr="009C0405">
              <w:rPr>
                <w:szCs w:val="24"/>
              </w:rPr>
              <w:t>omis</w:t>
            </w:r>
            <w:r w:rsidRPr="009C0405">
              <w:rPr>
                <w:szCs w:val="24"/>
              </w:rPr>
              <w:t xml:space="preserve">; sveikatos priežiūros paslaugų dėl COVID-19 veikimo teritorijoje teikimo tvarka, atsižvelgiant į pacientų kategorijas, asmens sveikatos priežiūros paslaugų plėtra pagrindinėje ASPĮ ir kitose veikimo teritorijoje esančiose ASPĮ, plėtros seka pagal konkrečias ASPĮ, etapai, kriterijai, veikimo teritorijoje esančių ASPĮ infrastruktūra ir kt. </w:t>
            </w:r>
          </w:p>
        </w:tc>
      </w:tr>
    </w:tbl>
    <w:p w14:paraId="7BE730BE" w14:textId="77777777" w:rsidR="00BF67F2" w:rsidRPr="00A03D14" w:rsidRDefault="00BF67F2" w:rsidP="00BF67F2">
      <w:pPr>
        <w:tabs>
          <w:tab w:val="left" w:pos="1741"/>
        </w:tabs>
        <w:rPr>
          <w:szCs w:val="24"/>
        </w:rPr>
      </w:pPr>
    </w:p>
    <w:p w14:paraId="6F45EBEC" w14:textId="77777777" w:rsidR="00BF67F2" w:rsidRPr="00A03D14" w:rsidRDefault="00BF67F2" w:rsidP="00BF67F2">
      <w:pPr>
        <w:tabs>
          <w:tab w:val="left" w:pos="1741"/>
        </w:tabs>
        <w:rPr>
          <w:szCs w:val="24"/>
        </w:rPr>
      </w:pPr>
      <w:r w:rsidRPr="00A03D14">
        <w:rPr>
          <w:b/>
          <w:szCs w:val="24"/>
        </w:rPr>
        <w:t>Atsakingos institucijos</w:t>
      </w:r>
      <w:r w:rsidRPr="00A03D14">
        <w:rPr>
          <w:szCs w:val="24"/>
        </w:rPr>
        <w:t>: Lietuvos Respublikos sveikatos apsaugos ministerija, Lietuvos Respublikos socialinės apsaugos ir darbo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BF67F2" w:rsidRPr="00A03D14" w14:paraId="7892AACA" w14:textId="77777777" w:rsidTr="00CA13A1">
        <w:trPr>
          <w:trHeight w:val="23"/>
          <w:tblHeader/>
        </w:trPr>
        <w:tc>
          <w:tcPr>
            <w:tcW w:w="928" w:type="pct"/>
            <w:shd w:val="clear" w:color="auto" w:fill="1F4E79"/>
            <w:vAlign w:val="center"/>
          </w:tcPr>
          <w:p w14:paraId="6878A329" w14:textId="77777777" w:rsidR="00BF67F2" w:rsidRPr="00A03D14" w:rsidRDefault="00BF67F2" w:rsidP="00CA13A1">
            <w:pPr>
              <w:tabs>
                <w:tab w:val="left" w:pos="1741"/>
              </w:tabs>
              <w:rPr>
                <w:b/>
                <w:szCs w:val="24"/>
              </w:rPr>
            </w:pPr>
            <w:r w:rsidRPr="00A03D14">
              <w:rPr>
                <w:b/>
                <w:szCs w:val="24"/>
              </w:rPr>
              <w:t>Tikslas</w:t>
            </w:r>
          </w:p>
        </w:tc>
        <w:tc>
          <w:tcPr>
            <w:tcW w:w="4072" w:type="pct"/>
            <w:shd w:val="clear" w:color="auto" w:fill="B4C6E7"/>
            <w:vAlign w:val="center"/>
          </w:tcPr>
          <w:p w14:paraId="7718416B" w14:textId="77777777" w:rsidR="00BF67F2" w:rsidRPr="00A03D14" w:rsidRDefault="00BF67F2" w:rsidP="00CA13A1">
            <w:pPr>
              <w:tabs>
                <w:tab w:val="left" w:pos="1741"/>
              </w:tabs>
              <w:rPr>
                <w:b/>
                <w:szCs w:val="24"/>
              </w:rPr>
            </w:pPr>
            <w:r w:rsidRPr="00A03D14">
              <w:rPr>
                <w:b/>
                <w:szCs w:val="24"/>
              </w:rPr>
              <w:t>Poveikis Tarybos rekomendacijos įgyvendinimui</w:t>
            </w:r>
          </w:p>
        </w:tc>
      </w:tr>
      <w:tr w:rsidR="00315E5B" w:rsidRPr="00A03D14" w14:paraId="5B467E6C" w14:textId="77777777" w:rsidTr="00CA13A1">
        <w:trPr>
          <w:trHeight w:val="260"/>
        </w:trPr>
        <w:tc>
          <w:tcPr>
            <w:tcW w:w="928" w:type="pct"/>
          </w:tcPr>
          <w:p w14:paraId="2DAF1094" w14:textId="77777777" w:rsidR="00315E5B" w:rsidRPr="00A03D14" w:rsidRDefault="00315E5B" w:rsidP="00315E5B">
            <w:pPr>
              <w:tabs>
                <w:tab w:val="left" w:pos="1741"/>
              </w:tabs>
              <w:rPr>
                <w:b/>
                <w:szCs w:val="24"/>
              </w:rPr>
            </w:pPr>
            <w:r w:rsidRPr="00A03D14">
              <w:rPr>
                <w:b/>
                <w:szCs w:val="24"/>
                <w:u w:val="single"/>
              </w:rPr>
              <w:t xml:space="preserve">4 tikslas. </w:t>
            </w:r>
            <w:r w:rsidRPr="00A03D14">
              <w:rPr>
                <w:b/>
                <w:szCs w:val="24"/>
              </w:rPr>
              <w:t>Gerinti sveikatos priežiūros paslaugų prieinamumą ir kokybę</w:t>
            </w:r>
          </w:p>
          <w:p w14:paraId="301BC7B9" w14:textId="77777777" w:rsidR="00315E5B" w:rsidRPr="00A03D14" w:rsidRDefault="00315E5B" w:rsidP="00315E5B">
            <w:pPr>
              <w:tabs>
                <w:tab w:val="left" w:pos="1741"/>
              </w:tabs>
              <w:rPr>
                <w:i/>
                <w:szCs w:val="24"/>
              </w:rPr>
            </w:pPr>
            <w:r w:rsidRPr="00A03D14">
              <w:rPr>
                <w:b/>
                <w:szCs w:val="24"/>
              </w:rPr>
              <w:t>(Įgyvendina struktūrinę sveikatos apsaugos reformą)</w:t>
            </w:r>
          </w:p>
        </w:tc>
        <w:tc>
          <w:tcPr>
            <w:tcW w:w="4072" w:type="pct"/>
          </w:tcPr>
          <w:p w14:paraId="2DBB2F60" w14:textId="3A5EE226" w:rsidR="00315E5B" w:rsidRPr="00A03D14" w:rsidRDefault="00315E5B" w:rsidP="00315E5B">
            <w:pPr>
              <w:tabs>
                <w:tab w:val="left" w:pos="1741"/>
              </w:tabs>
              <w:jc w:val="both"/>
              <w:rPr>
                <w:bCs/>
                <w:szCs w:val="24"/>
              </w:rPr>
            </w:pPr>
            <w:r w:rsidRPr="00A03D14">
              <w:rPr>
                <w:b/>
                <w:bCs/>
                <w:szCs w:val="24"/>
              </w:rPr>
              <w:t>Siekiant įdiegti asmens sveikatos priežiūros įstaigų kokybės rodiklių sistemą,</w:t>
            </w:r>
            <w:r w:rsidRPr="00A03D14">
              <w:rPr>
                <w:bCs/>
                <w:szCs w:val="24"/>
              </w:rPr>
              <w:t xml:space="preserve"> 2020 m. rugsėjo mėn. pradėtos projekto „Sveikatos sistemos veiklos rezultatų vertinimo modelis“ veiklos </w:t>
            </w:r>
            <w:r w:rsidR="0002580A">
              <w:rPr>
                <w:bCs/>
                <w:szCs w:val="24"/>
              </w:rPr>
              <w:t>EK</w:t>
            </w:r>
            <w:r w:rsidRPr="00A03D14">
              <w:rPr>
                <w:bCs/>
                <w:szCs w:val="24"/>
              </w:rPr>
              <w:t xml:space="preserve"> pasirašius sutartį su paslaugos tiekėjais </w:t>
            </w:r>
            <w:proofErr w:type="spellStart"/>
            <w:r w:rsidRPr="00A03D14">
              <w:rPr>
                <w:bCs/>
                <w:szCs w:val="24"/>
              </w:rPr>
              <w:t>PricewaterhouseCoopers</w:t>
            </w:r>
            <w:proofErr w:type="spellEnd"/>
            <w:r w:rsidRPr="00A03D14">
              <w:rPr>
                <w:bCs/>
                <w:szCs w:val="24"/>
              </w:rPr>
              <w:t xml:space="preserve">. Projekto pabaiga numatyta – 2021 m. spalį.  </w:t>
            </w:r>
          </w:p>
          <w:p w14:paraId="01153F02" w14:textId="77777777" w:rsidR="00315E5B" w:rsidRPr="00A03D14" w:rsidRDefault="00315E5B" w:rsidP="00315E5B">
            <w:pPr>
              <w:tabs>
                <w:tab w:val="left" w:pos="1741"/>
              </w:tabs>
              <w:jc w:val="both"/>
              <w:rPr>
                <w:szCs w:val="24"/>
              </w:rPr>
            </w:pPr>
            <w:r w:rsidRPr="00A03D14">
              <w:rPr>
                <w:b/>
                <w:bCs/>
                <w:szCs w:val="24"/>
              </w:rPr>
              <w:t xml:space="preserve">Siekiant plėsti e. sveikatos paslaugas pacientams, sveikatos priežiūros įstaigoms ir specialistams </w:t>
            </w:r>
            <w:r>
              <w:rPr>
                <w:b/>
                <w:bCs/>
                <w:szCs w:val="24"/>
              </w:rPr>
              <w:t xml:space="preserve">ir </w:t>
            </w:r>
            <w:r w:rsidRPr="00A03D14">
              <w:rPr>
                <w:b/>
                <w:bCs/>
                <w:szCs w:val="24"/>
              </w:rPr>
              <w:t xml:space="preserve"> didinti sveikatos apsaugos veiklos skaidrumą, atsparumą ir kontrolę, </w:t>
            </w:r>
            <w:r>
              <w:rPr>
                <w:b/>
                <w:bCs/>
                <w:szCs w:val="24"/>
              </w:rPr>
              <w:t xml:space="preserve">šalinant </w:t>
            </w:r>
            <w:r w:rsidRPr="00A03D14">
              <w:rPr>
                <w:b/>
                <w:bCs/>
                <w:szCs w:val="24"/>
              </w:rPr>
              <w:t xml:space="preserve"> neskaidrios veiklos galimybes, </w:t>
            </w:r>
            <w:r w:rsidRPr="00A03D14">
              <w:rPr>
                <w:szCs w:val="24"/>
              </w:rPr>
              <w:t>vystomos dvi informacinės sistemos:</w:t>
            </w:r>
          </w:p>
          <w:p w14:paraId="271EEDFE" w14:textId="77777777" w:rsidR="00315E5B" w:rsidRPr="00A03D14" w:rsidRDefault="00315E5B" w:rsidP="00315E5B">
            <w:pPr>
              <w:tabs>
                <w:tab w:val="left" w:pos="1741"/>
              </w:tabs>
              <w:jc w:val="both"/>
              <w:rPr>
                <w:szCs w:val="24"/>
              </w:rPr>
            </w:pPr>
            <w:r w:rsidRPr="00A03D14">
              <w:rPr>
                <w:szCs w:val="24"/>
              </w:rPr>
              <w:t>1. Elektroninė sveikatos paslaugų ir bendradarbiavimo infrastruktūros informacinė sistema (toliau – ESPBI IS)</w:t>
            </w:r>
            <w:r>
              <w:rPr>
                <w:szCs w:val="24"/>
              </w:rPr>
              <w:t xml:space="preserve">, </w:t>
            </w:r>
            <w:r w:rsidRPr="00A03D14">
              <w:rPr>
                <w:szCs w:val="24"/>
              </w:rPr>
              <w:t xml:space="preserve"> aptarnauj</w:t>
            </w:r>
            <w:r>
              <w:rPr>
                <w:szCs w:val="24"/>
              </w:rPr>
              <w:t>anti</w:t>
            </w:r>
            <w:r w:rsidRPr="00A03D14">
              <w:rPr>
                <w:szCs w:val="24"/>
              </w:rPr>
              <w:t xml:space="preserve"> 100</w:t>
            </w:r>
            <w:r>
              <w:rPr>
                <w:szCs w:val="24"/>
              </w:rPr>
              <w:t xml:space="preserve"> proc.</w:t>
            </w:r>
            <w:r w:rsidRPr="00A03D14">
              <w:rPr>
                <w:szCs w:val="24"/>
              </w:rPr>
              <w:t xml:space="preserve"> draustų pacientų, kurie yra prisirašę prie pirminių asmens sveikatos priežiūros įstaigų (ASPĮ), su kuriomis teritorinės ligonių kasos yra sudariusios sutartis, taip pat visos vaistinės</w:t>
            </w:r>
            <w:r>
              <w:rPr>
                <w:szCs w:val="24"/>
              </w:rPr>
              <w:t xml:space="preserve"> ja naudodamosi</w:t>
            </w:r>
            <w:r w:rsidRPr="00A03D14">
              <w:rPr>
                <w:szCs w:val="24"/>
              </w:rPr>
              <w:t xml:space="preserve"> gali išduoti vaistus pagal e. receptus. ESPBI IS veikimą rodo augantis el. dokumentų teikimas į ESPBI IS: per mėnesį pateikiama apie 5 mln. medicinos dokumentų, 2020 m. pabaigos duomenimis 99,7</w:t>
            </w:r>
            <w:r>
              <w:rPr>
                <w:szCs w:val="24"/>
              </w:rPr>
              <w:t xml:space="preserve"> proc.</w:t>
            </w:r>
            <w:r w:rsidRPr="00A03D14">
              <w:rPr>
                <w:szCs w:val="24"/>
              </w:rPr>
              <w:t xml:space="preserve"> išrašomų kompensuojamųjų vaistų receptų yra elektroniniai, 98</w:t>
            </w:r>
            <w:r>
              <w:rPr>
                <w:szCs w:val="24"/>
              </w:rPr>
              <w:t xml:space="preserve"> proc.</w:t>
            </w:r>
            <w:r w:rsidRPr="00A03D14">
              <w:rPr>
                <w:szCs w:val="24"/>
              </w:rPr>
              <w:t xml:space="preserve"> stacionaro </w:t>
            </w:r>
            <w:proofErr w:type="spellStart"/>
            <w:r w:rsidRPr="00A03D14">
              <w:rPr>
                <w:szCs w:val="24"/>
              </w:rPr>
              <w:t>epikrizių</w:t>
            </w:r>
            <w:proofErr w:type="spellEnd"/>
            <w:r w:rsidRPr="00A03D14">
              <w:rPr>
                <w:szCs w:val="24"/>
              </w:rPr>
              <w:t>, 100</w:t>
            </w:r>
            <w:r>
              <w:rPr>
                <w:szCs w:val="24"/>
              </w:rPr>
              <w:t xml:space="preserve"> proc.</w:t>
            </w:r>
            <w:r w:rsidRPr="00A03D14">
              <w:rPr>
                <w:szCs w:val="24"/>
              </w:rPr>
              <w:t xml:space="preserve"> ambulatorinių apsilankymų aprašymų, 82</w:t>
            </w:r>
            <w:r>
              <w:rPr>
                <w:szCs w:val="24"/>
              </w:rPr>
              <w:t xml:space="preserve"> proc.</w:t>
            </w:r>
            <w:r w:rsidRPr="00A03D14">
              <w:rPr>
                <w:szCs w:val="24"/>
              </w:rPr>
              <w:t xml:space="preserve"> siuntimų, 97</w:t>
            </w:r>
            <w:r>
              <w:rPr>
                <w:szCs w:val="24"/>
              </w:rPr>
              <w:t xml:space="preserve"> proc.</w:t>
            </w:r>
            <w:r w:rsidRPr="00A03D14">
              <w:rPr>
                <w:szCs w:val="24"/>
              </w:rPr>
              <w:t xml:space="preserve"> vairuotojo sveikatos patikrinimo medicininių pažymų, 100</w:t>
            </w:r>
            <w:r>
              <w:rPr>
                <w:szCs w:val="24"/>
              </w:rPr>
              <w:t xml:space="preserve"> proc.</w:t>
            </w:r>
            <w:r w:rsidRPr="00A03D14">
              <w:rPr>
                <w:szCs w:val="24"/>
              </w:rPr>
              <w:t xml:space="preserve"> vaiko gimimo pažymėjimų ir medicininių mirties liudijimų yra išrašoma el. būdu. </w:t>
            </w:r>
          </w:p>
          <w:p w14:paraId="689D00F0" w14:textId="77777777" w:rsidR="00315E5B" w:rsidRPr="00A03D14" w:rsidRDefault="00315E5B" w:rsidP="00315E5B">
            <w:pPr>
              <w:tabs>
                <w:tab w:val="left" w:pos="1741"/>
              </w:tabs>
              <w:jc w:val="both"/>
              <w:rPr>
                <w:szCs w:val="24"/>
              </w:rPr>
            </w:pPr>
            <w:r w:rsidRPr="00A03D14">
              <w:rPr>
                <w:szCs w:val="24"/>
              </w:rPr>
              <w:t xml:space="preserve">2. Išankstinės pacientų registracijos informacinė sistema (IPR IS), </w:t>
            </w:r>
            <w:r>
              <w:rPr>
                <w:szCs w:val="24"/>
              </w:rPr>
              <w:t xml:space="preserve">skirta </w:t>
            </w:r>
            <w:r w:rsidRPr="00A03D14">
              <w:rPr>
                <w:szCs w:val="24"/>
              </w:rPr>
              <w:t xml:space="preserve"> </w:t>
            </w:r>
            <w:r>
              <w:rPr>
                <w:szCs w:val="24"/>
              </w:rPr>
              <w:t>p</w:t>
            </w:r>
            <w:r w:rsidRPr="00A03D14">
              <w:rPr>
                <w:szCs w:val="24"/>
              </w:rPr>
              <w:t>rojekto tikslinių grupių – pacientų, gydymo įstaigų bei sveikatos priežiūros sektorių prižiūrinčių institucijų – poreiki</w:t>
            </w:r>
            <w:r>
              <w:rPr>
                <w:szCs w:val="24"/>
              </w:rPr>
              <w:t xml:space="preserve">ams tenkinti </w:t>
            </w:r>
            <w:r w:rsidRPr="00A03D14">
              <w:rPr>
                <w:szCs w:val="24"/>
              </w:rPr>
              <w:t xml:space="preserve"> </w:t>
            </w:r>
            <w:r>
              <w:rPr>
                <w:szCs w:val="24"/>
              </w:rPr>
              <w:t xml:space="preserve"> ir </w:t>
            </w:r>
            <w:r w:rsidRPr="00A03D14">
              <w:rPr>
                <w:szCs w:val="24"/>
              </w:rPr>
              <w:t xml:space="preserve"> sveikatos priežiūros paslaugų prieinamumo problem</w:t>
            </w:r>
            <w:r>
              <w:rPr>
                <w:szCs w:val="24"/>
              </w:rPr>
              <w:t>oms spręsti</w:t>
            </w:r>
            <w:r w:rsidRPr="00A03D14">
              <w:rPr>
                <w:szCs w:val="24"/>
              </w:rPr>
              <w:t>:</w:t>
            </w:r>
            <w:r>
              <w:rPr>
                <w:szCs w:val="24"/>
              </w:rPr>
              <w:t xml:space="preserve"> </w:t>
            </w:r>
            <w:r w:rsidRPr="00A32B5F">
              <w:rPr>
                <w:szCs w:val="24"/>
              </w:rPr>
              <w:t xml:space="preserve">1) </w:t>
            </w:r>
            <w:r w:rsidRPr="00A03D14">
              <w:rPr>
                <w:szCs w:val="24"/>
              </w:rPr>
              <w:t>didel</w:t>
            </w:r>
            <w:r>
              <w:rPr>
                <w:szCs w:val="24"/>
              </w:rPr>
              <w:t>ių</w:t>
            </w:r>
            <w:r w:rsidRPr="00A03D14">
              <w:rPr>
                <w:szCs w:val="24"/>
              </w:rPr>
              <w:t xml:space="preserve"> eil</w:t>
            </w:r>
            <w:r>
              <w:rPr>
                <w:szCs w:val="24"/>
              </w:rPr>
              <w:t>ių</w:t>
            </w:r>
            <w:r w:rsidRPr="00A03D14">
              <w:rPr>
                <w:szCs w:val="24"/>
              </w:rPr>
              <w:t xml:space="preserve"> pas sveikatos priežiūros specialistus</w:t>
            </w:r>
            <w:r>
              <w:rPr>
                <w:szCs w:val="24"/>
              </w:rPr>
              <w:t xml:space="preserve">, 2) </w:t>
            </w:r>
            <w:r w:rsidRPr="00A03D14">
              <w:rPr>
                <w:szCs w:val="24"/>
              </w:rPr>
              <w:t>neoptimal</w:t>
            </w:r>
            <w:r>
              <w:rPr>
                <w:szCs w:val="24"/>
              </w:rPr>
              <w:t>aus</w:t>
            </w:r>
            <w:r w:rsidRPr="00A03D14">
              <w:rPr>
                <w:szCs w:val="24"/>
              </w:rPr>
              <w:t xml:space="preserve"> vizito laiko panaudojim</w:t>
            </w:r>
            <w:r>
              <w:rPr>
                <w:szCs w:val="24"/>
              </w:rPr>
              <w:t>o, 3) </w:t>
            </w:r>
            <w:r w:rsidRPr="00A03D14">
              <w:rPr>
                <w:szCs w:val="24"/>
              </w:rPr>
              <w:t>nepatogi</w:t>
            </w:r>
            <w:r>
              <w:rPr>
                <w:szCs w:val="24"/>
              </w:rPr>
              <w:t>os</w:t>
            </w:r>
            <w:r w:rsidRPr="00A03D14">
              <w:rPr>
                <w:szCs w:val="24"/>
              </w:rPr>
              <w:t xml:space="preserve"> registracij</w:t>
            </w:r>
            <w:r>
              <w:rPr>
                <w:szCs w:val="24"/>
              </w:rPr>
              <w:t>os</w:t>
            </w:r>
            <w:r w:rsidRPr="00A03D14">
              <w:rPr>
                <w:szCs w:val="24"/>
              </w:rPr>
              <w:t xml:space="preserve"> vizitams</w:t>
            </w:r>
            <w:r>
              <w:rPr>
                <w:szCs w:val="24"/>
              </w:rPr>
              <w:t xml:space="preserve">, </w:t>
            </w:r>
            <w:r w:rsidRPr="00A32B5F">
              <w:rPr>
                <w:szCs w:val="24"/>
              </w:rPr>
              <w:t xml:space="preserve">4) </w:t>
            </w:r>
            <w:r w:rsidRPr="00A03D14">
              <w:rPr>
                <w:szCs w:val="24"/>
              </w:rPr>
              <w:t>IPR IS funkcionalumų trūkum</w:t>
            </w:r>
            <w:r>
              <w:rPr>
                <w:szCs w:val="24"/>
              </w:rPr>
              <w:t xml:space="preserve">o, 5) </w:t>
            </w:r>
            <w:r w:rsidRPr="00A03D14">
              <w:rPr>
                <w:szCs w:val="24"/>
              </w:rPr>
              <w:t>nepakankam</w:t>
            </w:r>
            <w:r>
              <w:rPr>
                <w:szCs w:val="24"/>
              </w:rPr>
              <w:t>o</w:t>
            </w:r>
            <w:r w:rsidRPr="00A03D14">
              <w:rPr>
                <w:szCs w:val="24"/>
              </w:rPr>
              <w:t xml:space="preserve"> poreikių užtikrinim</w:t>
            </w:r>
            <w:r>
              <w:rPr>
                <w:szCs w:val="24"/>
              </w:rPr>
              <w:t>o</w:t>
            </w:r>
            <w:r w:rsidRPr="00A03D14">
              <w:rPr>
                <w:szCs w:val="24"/>
              </w:rPr>
              <w:t>.</w:t>
            </w:r>
          </w:p>
          <w:p w14:paraId="6A39F075" w14:textId="77777777" w:rsidR="00315E5B" w:rsidRPr="00A03D14" w:rsidRDefault="00315E5B" w:rsidP="00315E5B">
            <w:pPr>
              <w:tabs>
                <w:tab w:val="left" w:pos="1741"/>
              </w:tabs>
              <w:jc w:val="both"/>
              <w:rPr>
                <w:szCs w:val="24"/>
              </w:rPr>
            </w:pPr>
            <w:r w:rsidRPr="00A03D14">
              <w:rPr>
                <w:szCs w:val="24"/>
              </w:rPr>
              <w:lastRenderedPageBreak/>
              <w:t xml:space="preserve">Sudarytos 409 sutartys su ASPĮ dėl IPR IS naudojimo, iš </w:t>
            </w:r>
            <w:r>
              <w:rPr>
                <w:szCs w:val="24"/>
              </w:rPr>
              <w:t xml:space="preserve">jų </w:t>
            </w:r>
            <w:r w:rsidRPr="00A03D14">
              <w:rPr>
                <w:szCs w:val="24"/>
              </w:rPr>
              <w:t xml:space="preserve"> 201 ASPĮ prisijungė ir turi galimybę deklaruoti laikus </w:t>
            </w:r>
            <w:hyperlink r:id="rId43" w:history="1">
              <w:r w:rsidRPr="00A03D14">
                <w:rPr>
                  <w:rStyle w:val="Hipersaitas"/>
                  <w:szCs w:val="24"/>
                </w:rPr>
                <w:t>www.esveikata.lt/ipr</w:t>
              </w:r>
            </w:hyperlink>
            <w:r w:rsidRPr="00A03D14">
              <w:rPr>
                <w:szCs w:val="24"/>
              </w:rPr>
              <w:t xml:space="preserve">. </w:t>
            </w:r>
          </w:p>
          <w:p w14:paraId="1810E5A4" w14:textId="4BCAA500" w:rsidR="00315E5B" w:rsidRPr="00A03D14" w:rsidRDefault="00315E5B" w:rsidP="00315E5B">
            <w:pPr>
              <w:tabs>
                <w:tab w:val="left" w:pos="1741"/>
              </w:tabs>
              <w:jc w:val="both"/>
              <w:rPr>
                <w:i/>
                <w:iCs/>
                <w:szCs w:val="24"/>
              </w:rPr>
            </w:pPr>
            <w:r w:rsidRPr="00A03D14">
              <w:rPr>
                <w:b/>
                <w:bCs/>
                <w:szCs w:val="24"/>
              </w:rPr>
              <w:t xml:space="preserve">Skatinant teikti kompleksines ilgalaikės priežiūros paslaugas, kad kuo daugiau asmens sveikatos priežiūros (slaugos) paslaugų būtų suteikta ambulatorine tvarka, </w:t>
            </w:r>
            <w:r w:rsidRPr="00A03D14">
              <w:rPr>
                <w:szCs w:val="24"/>
              </w:rPr>
              <w:t xml:space="preserve"> pakeistas Ambulatorinių slaugos paslaugų namuose teikimo reikalavimų ir šių paslaugų apmokėjimo tvarkos aprašas (2020-06-02 V-1357). Visoms ASPĮ, teikiančioms pirminės sveikatos priežiūros paslaugas, nustatyta prievolė užtikrinti ir slaugos paslaugų namuose, ir susijusių socialinių paslaugų teikimą. Taip pat vyksta parengiamieji darbai dėl Europos Komisijos pagal Struktūrinių reformų rėmimo programą finansuojamo techninės pagalbos projekto, kuri</w:t>
            </w:r>
            <w:r>
              <w:rPr>
                <w:szCs w:val="24"/>
              </w:rPr>
              <w:t>o</w:t>
            </w:r>
            <w:r w:rsidRPr="00A03D14">
              <w:rPr>
                <w:szCs w:val="24"/>
              </w:rPr>
              <w:t xml:space="preserve"> tikslas yra kartu su aukšto lygio ekspertais parengti rekomendacijas dėl ilgalaikės priežiūros teisėkūros, finansavimo modelio ir paslaugų integravimo</w:t>
            </w:r>
          </w:p>
        </w:tc>
      </w:tr>
    </w:tbl>
    <w:p w14:paraId="3A6CD7C4" w14:textId="77777777" w:rsidR="00BF67F2" w:rsidRPr="00A03D14" w:rsidRDefault="00BF67F2" w:rsidP="00BF67F2">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2"/>
        <w:gridCol w:w="1453"/>
        <w:gridCol w:w="2077"/>
        <w:gridCol w:w="2207"/>
        <w:gridCol w:w="2019"/>
      </w:tblGrid>
      <w:tr w:rsidR="00BF67F2" w:rsidRPr="00A03D14" w14:paraId="4A451338" w14:textId="77777777" w:rsidTr="00CA13A1">
        <w:trPr>
          <w:trHeight w:val="141"/>
        </w:trPr>
        <w:tc>
          <w:tcPr>
            <w:tcW w:w="2480" w:type="pct"/>
            <w:shd w:val="clear" w:color="auto" w:fill="1F3864"/>
            <w:vAlign w:val="center"/>
          </w:tcPr>
          <w:p w14:paraId="7C9E4E92" w14:textId="77777777" w:rsidR="00BF67F2" w:rsidRPr="00A03D14" w:rsidRDefault="00BF67F2" w:rsidP="00CA13A1">
            <w:pPr>
              <w:rPr>
                <w:rFonts w:eastAsia="Calibri"/>
                <w:b/>
                <w:i/>
                <w:color w:val="FFFFFF"/>
                <w:szCs w:val="24"/>
              </w:rPr>
            </w:pPr>
            <w:r w:rsidRPr="00A03D14">
              <w:rPr>
                <w:rFonts w:eastAsia="Calibri"/>
                <w:b/>
                <w:i/>
                <w:color w:val="FFFFFF"/>
                <w:szCs w:val="24"/>
              </w:rPr>
              <w:t>Rodikliai</w:t>
            </w:r>
          </w:p>
        </w:tc>
        <w:tc>
          <w:tcPr>
            <w:tcW w:w="472" w:type="pct"/>
            <w:shd w:val="clear" w:color="auto" w:fill="1F3864"/>
          </w:tcPr>
          <w:p w14:paraId="6039251B" w14:textId="77777777" w:rsidR="00BF67F2" w:rsidRPr="00A03D14" w:rsidRDefault="00BF67F2" w:rsidP="00CA13A1">
            <w:pPr>
              <w:jc w:val="center"/>
              <w:rPr>
                <w:rFonts w:eastAsia="Calibri"/>
                <w:b/>
                <w:bCs/>
                <w:i/>
                <w:color w:val="FFFFFF"/>
                <w:szCs w:val="24"/>
              </w:rPr>
            </w:pPr>
          </w:p>
        </w:tc>
        <w:tc>
          <w:tcPr>
            <w:tcW w:w="675" w:type="pct"/>
            <w:shd w:val="clear" w:color="auto" w:fill="1F3864"/>
            <w:vAlign w:val="center"/>
          </w:tcPr>
          <w:p w14:paraId="0B517692" w14:textId="77777777" w:rsidR="00BF67F2" w:rsidRPr="00A03D14" w:rsidRDefault="00BF67F2" w:rsidP="00CA13A1">
            <w:pPr>
              <w:jc w:val="center"/>
              <w:rPr>
                <w:rFonts w:eastAsia="Calibri"/>
                <w:b/>
                <w:i/>
                <w:color w:val="FFFFFF"/>
                <w:szCs w:val="24"/>
              </w:rPr>
            </w:pPr>
            <w:r w:rsidRPr="00A03D14">
              <w:rPr>
                <w:rFonts w:eastAsia="Calibri"/>
                <w:b/>
                <w:i/>
                <w:color w:val="FFFFFF"/>
                <w:szCs w:val="24"/>
              </w:rPr>
              <w:t>2018</w:t>
            </w:r>
          </w:p>
        </w:tc>
        <w:tc>
          <w:tcPr>
            <w:tcW w:w="717" w:type="pct"/>
            <w:shd w:val="clear" w:color="auto" w:fill="1F3864"/>
            <w:vAlign w:val="center"/>
          </w:tcPr>
          <w:p w14:paraId="4F3E78E2" w14:textId="77777777" w:rsidR="00BF67F2" w:rsidRPr="00A03D14" w:rsidRDefault="00BF67F2" w:rsidP="00CA13A1">
            <w:pPr>
              <w:jc w:val="center"/>
              <w:rPr>
                <w:rFonts w:eastAsia="Calibri"/>
                <w:b/>
                <w:i/>
                <w:color w:val="FFFFFF"/>
                <w:szCs w:val="24"/>
              </w:rPr>
            </w:pPr>
            <w:r w:rsidRPr="00A03D14">
              <w:rPr>
                <w:rFonts w:eastAsia="Calibri"/>
                <w:b/>
                <w:i/>
                <w:color w:val="FFFFFF"/>
                <w:szCs w:val="24"/>
              </w:rPr>
              <w:t>2019</w:t>
            </w:r>
          </w:p>
        </w:tc>
        <w:tc>
          <w:tcPr>
            <w:tcW w:w="656" w:type="pct"/>
            <w:shd w:val="clear" w:color="auto" w:fill="1F3864"/>
            <w:vAlign w:val="center"/>
          </w:tcPr>
          <w:p w14:paraId="2AB058A2" w14:textId="77777777" w:rsidR="00BF67F2" w:rsidRPr="00A03D14" w:rsidRDefault="00BF67F2" w:rsidP="00CA13A1">
            <w:pPr>
              <w:jc w:val="center"/>
              <w:rPr>
                <w:rFonts w:eastAsia="Calibri"/>
                <w:b/>
                <w:i/>
                <w:color w:val="FFFFFF"/>
                <w:szCs w:val="24"/>
              </w:rPr>
            </w:pPr>
            <w:r w:rsidRPr="00A03D14">
              <w:rPr>
                <w:rFonts w:eastAsia="Calibri"/>
                <w:b/>
                <w:i/>
                <w:color w:val="FFFFFF"/>
                <w:szCs w:val="24"/>
              </w:rPr>
              <w:t>2020</w:t>
            </w:r>
          </w:p>
        </w:tc>
      </w:tr>
      <w:tr w:rsidR="00BF67F2" w:rsidRPr="00A03D14" w14:paraId="57B235FF" w14:textId="77777777" w:rsidTr="00CA13A1">
        <w:trPr>
          <w:trHeight w:val="275"/>
        </w:trPr>
        <w:tc>
          <w:tcPr>
            <w:tcW w:w="2480" w:type="pct"/>
            <w:vMerge w:val="restart"/>
            <w:shd w:val="clear" w:color="auto" w:fill="auto"/>
            <w:vAlign w:val="center"/>
          </w:tcPr>
          <w:p w14:paraId="56FF396A" w14:textId="77777777" w:rsidR="00BF67F2" w:rsidRPr="00A03D14" w:rsidRDefault="00BF67F2" w:rsidP="00CA13A1">
            <w:pPr>
              <w:jc w:val="both"/>
              <w:rPr>
                <w:rFonts w:eastAsia="Calibri"/>
                <w:b/>
                <w:i/>
                <w:szCs w:val="24"/>
              </w:rPr>
            </w:pPr>
            <w:r w:rsidRPr="00A03D14">
              <w:rPr>
                <w:rFonts w:eastAsia="Calibri"/>
                <w:b/>
                <w:bCs/>
                <w:i/>
                <w:szCs w:val="24"/>
              </w:rPr>
              <w:t>Savanoriškosios sveikatos priežiūros apmokėjimo programos ir namų ūkių tiesioginių išlaidų proc. nuo visų išlaidų sveikatos priežiūrai</w:t>
            </w:r>
          </w:p>
        </w:tc>
        <w:tc>
          <w:tcPr>
            <w:tcW w:w="472" w:type="pct"/>
            <w:shd w:val="clear" w:color="auto" w:fill="BDD6EE"/>
            <w:vAlign w:val="center"/>
          </w:tcPr>
          <w:p w14:paraId="184A6AD5" w14:textId="77777777" w:rsidR="00BF67F2" w:rsidRPr="00A03D14" w:rsidRDefault="00BF67F2" w:rsidP="00CA13A1">
            <w:pPr>
              <w:jc w:val="center"/>
              <w:rPr>
                <w:rFonts w:eastAsia="Calibri"/>
                <w:i/>
                <w:szCs w:val="24"/>
              </w:rPr>
            </w:pPr>
            <w:r w:rsidRPr="00A03D14">
              <w:rPr>
                <w:rFonts w:eastAsia="Calibri"/>
                <w:i/>
                <w:szCs w:val="24"/>
              </w:rPr>
              <w:t>Planas</w:t>
            </w:r>
          </w:p>
        </w:tc>
        <w:tc>
          <w:tcPr>
            <w:tcW w:w="675" w:type="pct"/>
            <w:shd w:val="clear" w:color="auto" w:fill="BDD6EE"/>
            <w:vAlign w:val="center"/>
          </w:tcPr>
          <w:p w14:paraId="79F12041" w14:textId="77777777" w:rsidR="00BF67F2" w:rsidRPr="00A03D14" w:rsidRDefault="00BF67F2" w:rsidP="00CA13A1">
            <w:pPr>
              <w:jc w:val="center"/>
              <w:rPr>
                <w:rFonts w:eastAsia="Calibri"/>
                <w:i/>
                <w:szCs w:val="24"/>
              </w:rPr>
            </w:pPr>
            <w:r w:rsidRPr="00A03D14">
              <w:rPr>
                <w:i/>
                <w:szCs w:val="24"/>
              </w:rPr>
              <w:t>28</w:t>
            </w:r>
          </w:p>
        </w:tc>
        <w:tc>
          <w:tcPr>
            <w:tcW w:w="717" w:type="pct"/>
            <w:shd w:val="clear" w:color="auto" w:fill="BDD6EE"/>
            <w:vAlign w:val="center"/>
          </w:tcPr>
          <w:p w14:paraId="326F4444" w14:textId="77777777" w:rsidR="00BF67F2" w:rsidRPr="00A03D14" w:rsidRDefault="00BF67F2" w:rsidP="00CA13A1">
            <w:pPr>
              <w:jc w:val="center"/>
              <w:rPr>
                <w:rFonts w:eastAsia="Calibri"/>
                <w:i/>
                <w:szCs w:val="24"/>
              </w:rPr>
            </w:pPr>
            <w:r w:rsidRPr="00A03D14">
              <w:rPr>
                <w:i/>
                <w:szCs w:val="24"/>
              </w:rPr>
              <w:t>26</w:t>
            </w:r>
          </w:p>
        </w:tc>
        <w:tc>
          <w:tcPr>
            <w:tcW w:w="656" w:type="pct"/>
            <w:shd w:val="clear" w:color="auto" w:fill="BDD6EE"/>
            <w:vAlign w:val="center"/>
          </w:tcPr>
          <w:p w14:paraId="719AB8D8" w14:textId="77777777" w:rsidR="00BF67F2" w:rsidRPr="00A03D14" w:rsidRDefault="00BF67F2" w:rsidP="00CA13A1">
            <w:pPr>
              <w:jc w:val="center"/>
              <w:rPr>
                <w:rFonts w:eastAsia="Calibri"/>
                <w:i/>
                <w:szCs w:val="24"/>
              </w:rPr>
            </w:pPr>
            <w:r w:rsidRPr="00A03D14">
              <w:rPr>
                <w:i/>
                <w:szCs w:val="24"/>
              </w:rPr>
              <w:t>25</w:t>
            </w:r>
          </w:p>
        </w:tc>
      </w:tr>
      <w:tr w:rsidR="00BF67F2" w:rsidRPr="00A03D14" w14:paraId="43AC83E0" w14:textId="77777777" w:rsidTr="00CA13A1">
        <w:trPr>
          <w:trHeight w:val="212"/>
        </w:trPr>
        <w:tc>
          <w:tcPr>
            <w:tcW w:w="2480" w:type="pct"/>
            <w:vMerge/>
            <w:shd w:val="clear" w:color="auto" w:fill="auto"/>
            <w:vAlign w:val="center"/>
          </w:tcPr>
          <w:p w14:paraId="6ACE5778" w14:textId="77777777" w:rsidR="00BF67F2" w:rsidRPr="00A03D14" w:rsidRDefault="00BF67F2" w:rsidP="00CA13A1">
            <w:pPr>
              <w:jc w:val="both"/>
              <w:rPr>
                <w:rFonts w:eastAsia="Calibri"/>
                <w:b/>
                <w:bCs/>
                <w:i/>
                <w:szCs w:val="24"/>
              </w:rPr>
            </w:pPr>
          </w:p>
        </w:tc>
        <w:tc>
          <w:tcPr>
            <w:tcW w:w="472" w:type="pct"/>
            <w:shd w:val="clear" w:color="auto" w:fill="auto"/>
            <w:vAlign w:val="center"/>
          </w:tcPr>
          <w:p w14:paraId="08FE7CA6" w14:textId="77777777" w:rsidR="00BF67F2" w:rsidRPr="00A03D14" w:rsidRDefault="00BF67F2" w:rsidP="00CA13A1">
            <w:pPr>
              <w:jc w:val="center"/>
              <w:rPr>
                <w:rFonts w:eastAsia="Calibri"/>
                <w:i/>
                <w:szCs w:val="24"/>
              </w:rPr>
            </w:pPr>
            <w:r w:rsidRPr="00A03D14">
              <w:rPr>
                <w:rFonts w:eastAsia="Calibri"/>
                <w:i/>
                <w:szCs w:val="24"/>
              </w:rPr>
              <w:t>Faktas</w:t>
            </w:r>
          </w:p>
        </w:tc>
        <w:tc>
          <w:tcPr>
            <w:tcW w:w="675" w:type="pct"/>
            <w:shd w:val="clear" w:color="auto" w:fill="auto"/>
            <w:vAlign w:val="center"/>
          </w:tcPr>
          <w:p w14:paraId="2600AF11" w14:textId="77777777" w:rsidR="00BF67F2" w:rsidRPr="00A03D14" w:rsidRDefault="00BF67F2" w:rsidP="00CA13A1">
            <w:pPr>
              <w:jc w:val="center"/>
              <w:rPr>
                <w:rFonts w:eastAsia="Calibri"/>
                <w:i/>
                <w:szCs w:val="24"/>
              </w:rPr>
            </w:pPr>
            <w:r w:rsidRPr="00A03D14">
              <w:rPr>
                <w:i/>
                <w:szCs w:val="24"/>
              </w:rPr>
              <w:t>32,57</w:t>
            </w:r>
          </w:p>
        </w:tc>
        <w:tc>
          <w:tcPr>
            <w:tcW w:w="717" w:type="pct"/>
            <w:shd w:val="clear" w:color="auto" w:fill="auto"/>
            <w:vAlign w:val="center"/>
          </w:tcPr>
          <w:p w14:paraId="0348F2F3" w14:textId="77777777" w:rsidR="00BF67F2" w:rsidRPr="00A03D14" w:rsidRDefault="00BF67F2" w:rsidP="00CA13A1">
            <w:pPr>
              <w:jc w:val="center"/>
              <w:rPr>
                <w:rFonts w:eastAsia="Calibri"/>
                <w:i/>
                <w:szCs w:val="24"/>
              </w:rPr>
            </w:pPr>
            <w:r w:rsidRPr="00A03D14">
              <w:rPr>
                <w:i/>
                <w:szCs w:val="24"/>
              </w:rPr>
              <w:t>33,29</w:t>
            </w:r>
          </w:p>
        </w:tc>
        <w:tc>
          <w:tcPr>
            <w:tcW w:w="656" w:type="pct"/>
            <w:shd w:val="clear" w:color="auto" w:fill="auto"/>
            <w:vAlign w:val="center"/>
          </w:tcPr>
          <w:p w14:paraId="209D0A9A" w14:textId="77777777" w:rsidR="00BF67F2" w:rsidRPr="00A03D14" w:rsidRDefault="00BF67F2" w:rsidP="00CA13A1">
            <w:pPr>
              <w:jc w:val="center"/>
              <w:rPr>
                <w:rFonts w:eastAsia="Calibri"/>
                <w:i/>
                <w:szCs w:val="24"/>
              </w:rPr>
            </w:pPr>
            <w:r w:rsidRPr="00A03D14">
              <w:rPr>
                <w:i/>
                <w:szCs w:val="24"/>
              </w:rPr>
              <w:t>–</w:t>
            </w:r>
          </w:p>
        </w:tc>
      </w:tr>
      <w:tr w:rsidR="00BF67F2" w:rsidRPr="00A03D14" w14:paraId="3CAC4698" w14:textId="77777777" w:rsidTr="00CA13A1">
        <w:trPr>
          <w:trHeight w:val="212"/>
        </w:trPr>
        <w:tc>
          <w:tcPr>
            <w:tcW w:w="2480" w:type="pct"/>
            <w:vMerge w:val="restart"/>
            <w:shd w:val="clear" w:color="auto" w:fill="auto"/>
            <w:vAlign w:val="center"/>
          </w:tcPr>
          <w:p w14:paraId="4C4BEF42" w14:textId="77777777" w:rsidR="00BF67F2" w:rsidRPr="00A03D14" w:rsidRDefault="00BF67F2" w:rsidP="00CA13A1">
            <w:pPr>
              <w:jc w:val="both"/>
              <w:rPr>
                <w:rFonts w:eastAsia="Calibri"/>
                <w:b/>
                <w:i/>
                <w:iCs/>
                <w:szCs w:val="24"/>
              </w:rPr>
            </w:pPr>
            <w:r w:rsidRPr="00A03D14">
              <w:rPr>
                <w:rFonts w:eastAsia="Calibri"/>
                <w:b/>
                <w:i/>
                <w:iCs/>
                <w:szCs w:val="24"/>
              </w:rPr>
              <w:t>Vidutinė paciento priemoka, tenkanti vienam kompensuojamajam receptui</w:t>
            </w:r>
          </w:p>
        </w:tc>
        <w:tc>
          <w:tcPr>
            <w:tcW w:w="472" w:type="pct"/>
            <w:shd w:val="clear" w:color="auto" w:fill="BDD6EE"/>
            <w:vAlign w:val="center"/>
          </w:tcPr>
          <w:p w14:paraId="18268A60" w14:textId="77777777" w:rsidR="00BF67F2" w:rsidRPr="00A03D14" w:rsidRDefault="00BF67F2" w:rsidP="00CA13A1">
            <w:pPr>
              <w:jc w:val="center"/>
              <w:rPr>
                <w:rFonts w:eastAsia="Calibri"/>
                <w:i/>
                <w:szCs w:val="24"/>
              </w:rPr>
            </w:pPr>
            <w:r w:rsidRPr="00A03D14">
              <w:rPr>
                <w:rFonts w:eastAsia="Calibri"/>
                <w:i/>
                <w:szCs w:val="24"/>
              </w:rPr>
              <w:t>Planas</w:t>
            </w:r>
          </w:p>
        </w:tc>
        <w:tc>
          <w:tcPr>
            <w:tcW w:w="675" w:type="pct"/>
            <w:shd w:val="clear" w:color="auto" w:fill="BDD6EE"/>
            <w:vAlign w:val="center"/>
          </w:tcPr>
          <w:p w14:paraId="19973EB9" w14:textId="77777777" w:rsidR="00BF67F2" w:rsidRPr="00A03D14" w:rsidRDefault="00BF67F2" w:rsidP="00CA13A1">
            <w:pPr>
              <w:jc w:val="center"/>
              <w:rPr>
                <w:rFonts w:eastAsia="Calibri"/>
                <w:i/>
                <w:szCs w:val="24"/>
              </w:rPr>
            </w:pPr>
            <w:r w:rsidRPr="00A03D14">
              <w:rPr>
                <w:i/>
                <w:szCs w:val="24"/>
              </w:rPr>
              <w:t>4,5</w:t>
            </w:r>
          </w:p>
        </w:tc>
        <w:tc>
          <w:tcPr>
            <w:tcW w:w="717" w:type="pct"/>
            <w:shd w:val="clear" w:color="auto" w:fill="BDD6EE"/>
            <w:vAlign w:val="center"/>
          </w:tcPr>
          <w:p w14:paraId="5A4DFB60" w14:textId="77777777" w:rsidR="00BF67F2" w:rsidRPr="00A03D14" w:rsidRDefault="00BF67F2" w:rsidP="00CA13A1">
            <w:pPr>
              <w:jc w:val="center"/>
              <w:rPr>
                <w:rFonts w:eastAsia="Calibri"/>
                <w:i/>
                <w:szCs w:val="24"/>
              </w:rPr>
            </w:pPr>
            <w:r w:rsidRPr="00A03D14">
              <w:rPr>
                <w:i/>
                <w:szCs w:val="24"/>
              </w:rPr>
              <w:t>4,0</w:t>
            </w:r>
          </w:p>
        </w:tc>
        <w:tc>
          <w:tcPr>
            <w:tcW w:w="656" w:type="pct"/>
            <w:shd w:val="clear" w:color="auto" w:fill="BDD6EE"/>
            <w:vAlign w:val="center"/>
          </w:tcPr>
          <w:p w14:paraId="7CB1663E" w14:textId="77777777" w:rsidR="00BF67F2" w:rsidRPr="00A03D14" w:rsidRDefault="00BF67F2" w:rsidP="00CA13A1">
            <w:pPr>
              <w:jc w:val="center"/>
              <w:rPr>
                <w:rFonts w:eastAsia="Calibri"/>
                <w:i/>
                <w:szCs w:val="24"/>
              </w:rPr>
            </w:pPr>
            <w:r w:rsidRPr="00A03D14">
              <w:rPr>
                <w:i/>
                <w:szCs w:val="24"/>
              </w:rPr>
              <w:t>3,2</w:t>
            </w:r>
          </w:p>
        </w:tc>
      </w:tr>
      <w:tr w:rsidR="00BF67F2" w:rsidRPr="00A03D14" w14:paraId="60296FF0" w14:textId="77777777" w:rsidTr="00CA13A1">
        <w:trPr>
          <w:trHeight w:val="212"/>
        </w:trPr>
        <w:tc>
          <w:tcPr>
            <w:tcW w:w="2480" w:type="pct"/>
            <w:vMerge/>
            <w:shd w:val="clear" w:color="auto" w:fill="auto"/>
            <w:vAlign w:val="center"/>
          </w:tcPr>
          <w:p w14:paraId="381D089D" w14:textId="77777777" w:rsidR="00BF67F2" w:rsidRPr="00A03D14" w:rsidRDefault="00BF67F2" w:rsidP="00CA13A1">
            <w:pPr>
              <w:jc w:val="both"/>
              <w:rPr>
                <w:rFonts w:eastAsia="Calibri"/>
                <w:i/>
                <w:szCs w:val="24"/>
              </w:rPr>
            </w:pPr>
          </w:p>
        </w:tc>
        <w:tc>
          <w:tcPr>
            <w:tcW w:w="472" w:type="pct"/>
            <w:shd w:val="clear" w:color="auto" w:fill="auto"/>
            <w:vAlign w:val="center"/>
          </w:tcPr>
          <w:p w14:paraId="4CE04F3E" w14:textId="77777777" w:rsidR="00BF67F2" w:rsidRPr="00A03D14" w:rsidRDefault="00BF67F2" w:rsidP="00CA13A1">
            <w:pPr>
              <w:jc w:val="center"/>
              <w:rPr>
                <w:rFonts w:eastAsia="Calibri"/>
                <w:i/>
                <w:szCs w:val="24"/>
              </w:rPr>
            </w:pPr>
            <w:r w:rsidRPr="00A03D14">
              <w:rPr>
                <w:rFonts w:eastAsia="Calibri"/>
                <w:i/>
                <w:szCs w:val="24"/>
              </w:rPr>
              <w:t>Faktas</w:t>
            </w:r>
          </w:p>
        </w:tc>
        <w:tc>
          <w:tcPr>
            <w:tcW w:w="675" w:type="pct"/>
            <w:shd w:val="clear" w:color="auto" w:fill="auto"/>
            <w:vAlign w:val="center"/>
          </w:tcPr>
          <w:p w14:paraId="544CE00E" w14:textId="77777777" w:rsidR="00BF67F2" w:rsidRPr="00A03D14" w:rsidRDefault="00BF67F2" w:rsidP="00CA13A1">
            <w:pPr>
              <w:jc w:val="center"/>
              <w:rPr>
                <w:rFonts w:eastAsia="Calibri"/>
                <w:i/>
                <w:iCs/>
                <w:szCs w:val="24"/>
              </w:rPr>
            </w:pPr>
            <w:r w:rsidRPr="00A03D14">
              <w:rPr>
                <w:i/>
                <w:iCs/>
                <w:szCs w:val="24"/>
              </w:rPr>
              <w:t>3,9</w:t>
            </w:r>
          </w:p>
        </w:tc>
        <w:tc>
          <w:tcPr>
            <w:tcW w:w="717" w:type="pct"/>
            <w:shd w:val="clear" w:color="auto" w:fill="auto"/>
            <w:vAlign w:val="center"/>
          </w:tcPr>
          <w:p w14:paraId="243C4D75" w14:textId="77777777" w:rsidR="00BF67F2" w:rsidRPr="00A03D14" w:rsidRDefault="00BF67F2" w:rsidP="00CA13A1">
            <w:pPr>
              <w:jc w:val="center"/>
              <w:rPr>
                <w:rFonts w:eastAsia="Calibri"/>
                <w:i/>
                <w:szCs w:val="24"/>
              </w:rPr>
            </w:pPr>
            <w:r w:rsidRPr="00A03D14">
              <w:rPr>
                <w:i/>
                <w:szCs w:val="24"/>
              </w:rPr>
              <w:t>2,30</w:t>
            </w:r>
          </w:p>
        </w:tc>
        <w:tc>
          <w:tcPr>
            <w:tcW w:w="656" w:type="pct"/>
            <w:shd w:val="clear" w:color="auto" w:fill="auto"/>
            <w:vAlign w:val="center"/>
          </w:tcPr>
          <w:p w14:paraId="38744936" w14:textId="77777777" w:rsidR="00BF67F2" w:rsidRPr="00A03D14" w:rsidRDefault="00BF67F2" w:rsidP="00CA13A1">
            <w:pPr>
              <w:jc w:val="center"/>
              <w:rPr>
                <w:rFonts w:eastAsia="Calibri"/>
                <w:i/>
                <w:szCs w:val="24"/>
              </w:rPr>
            </w:pPr>
            <w:r w:rsidRPr="00A03D14">
              <w:rPr>
                <w:i/>
                <w:szCs w:val="24"/>
              </w:rPr>
              <w:t>2,00</w:t>
            </w:r>
          </w:p>
        </w:tc>
      </w:tr>
      <w:tr w:rsidR="00BF67F2" w:rsidRPr="00A03D14" w14:paraId="32DA5C3C" w14:textId="77777777" w:rsidTr="00CA13A1">
        <w:trPr>
          <w:trHeight w:val="202"/>
        </w:trPr>
        <w:tc>
          <w:tcPr>
            <w:tcW w:w="2480" w:type="pct"/>
            <w:vMerge w:val="restart"/>
            <w:shd w:val="clear" w:color="auto" w:fill="auto"/>
            <w:vAlign w:val="center"/>
          </w:tcPr>
          <w:p w14:paraId="30B8236E" w14:textId="527CC0C4" w:rsidR="00BF67F2" w:rsidRPr="00A03D14" w:rsidRDefault="00BF67F2" w:rsidP="00CA13A1">
            <w:pPr>
              <w:jc w:val="both"/>
              <w:rPr>
                <w:rFonts w:eastAsia="Calibri"/>
                <w:b/>
                <w:i/>
                <w:iCs/>
                <w:szCs w:val="24"/>
              </w:rPr>
            </w:pPr>
            <w:r w:rsidRPr="00A03D14">
              <w:rPr>
                <w:rFonts w:eastAsia="Calibri"/>
                <w:b/>
                <w:i/>
                <w:iCs/>
                <w:szCs w:val="24"/>
              </w:rPr>
              <w:t>Pasaulio korupcijos barometro duomenimis respondentų, davusių kyšį gydymo įstaigose, dalies, proc., mažėjimas</w:t>
            </w:r>
          </w:p>
        </w:tc>
        <w:tc>
          <w:tcPr>
            <w:tcW w:w="472" w:type="pct"/>
            <w:shd w:val="clear" w:color="auto" w:fill="BDD6EE"/>
            <w:vAlign w:val="center"/>
          </w:tcPr>
          <w:p w14:paraId="2333F340" w14:textId="77777777" w:rsidR="00BF67F2" w:rsidRPr="00A03D14" w:rsidRDefault="00BF67F2" w:rsidP="00CA13A1">
            <w:pPr>
              <w:jc w:val="center"/>
              <w:rPr>
                <w:rFonts w:eastAsia="Calibri"/>
                <w:i/>
                <w:szCs w:val="24"/>
              </w:rPr>
            </w:pPr>
            <w:r w:rsidRPr="00A03D14">
              <w:rPr>
                <w:rFonts w:eastAsia="Calibri"/>
                <w:i/>
                <w:szCs w:val="24"/>
              </w:rPr>
              <w:t>Planas</w:t>
            </w:r>
          </w:p>
        </w:tc>
        <w:tc>
          <w:tcPr>
            <w:tcW w:w="675" w:type="pct"/>
            <w:shd w:val="clear" w:color="auto" w:fill="BDD6EE"/>
            <w:vAlign w:val="center"/>
          </w:tcPr>
          <w:p w14:paraId="1B07B23F" w14:textId="77777777" w:rsidR="00BF67F2" w:rsidRPr="00A03D14" w:rsidRDefault="00BF67F2" w:rsidP="00CA13A1">
            <w:pPr>
              <w:jc w:val="center"/>
              <w:rPr>
                <w:rFonts w:eastAsia="Calibri"/>
                <w:i/>
                <w:szCs w:val="24"/>
              </w:rPr>
            </w:pPr>
            <w:r w:rsidRPr="00A03D14">
              <w:rPr>
                <w:i/>
                <w:szCs w:val="24"/>
              </w:rPr>
              <w:t>18</w:t>
            </w:r>
          </w:p>
        </w:tc>
        <w:tc>
          <w:tcPr>
            <w:tcW w:w="717" w:type="pct"/>
            <w:shd w:val="clear" w:color="auto" w:fill="BDD6EE"/>
            <w:vAlign w:val="center"/>
          </w:tcPr>
          <w:p w14:paraId="114DE61E" w14:textId="77777777" w:rsidR="00BF67F2" w:rsidRPr="00A03D14" w:rsidRDefault="00BF67F2" w:rsidP="00CA13A1">
            <w:pPr>
              <w:jc w:val="center"/>
              <w:rPr>
                <w:rFonts w:eastAsia="Calibri"/>
                <w:i/>
                <w:szCs w:val="24"/>
              </w:rPr>
            </w:pPr>
            <w:r w:rsidRPr="00A03D14">
              <w:rPr>
                <w:i/>
                <w:szCs w:val="24"/>
              </w:rPr>
              <w:t>14</w:t>
            </w:r>
          </w:p>
        </w:tc>
        <w:tc>
          <w:tcPr>
            <w:tcW w:w="656" w:type="pct"/>
            <w:shd w:val="clear" w:color="auto" w:fill="BDD6EE"/>
            <w:vAlign w:val="center"/>
          </w:tcPr>
          <w:p w14:paraId="7481CE75" w14:textId="77777777" w:rsidR="00BF67F2" w:rsidRPr="00A03D14" w:rsidRDefault="00BF67F2" w:rsidP="00CA13A1">
            <w:pPr>
              <w:jc w:val="center"/>
              <w:rPr>
                <w:rFonts w:eastAsia="Calibri"/>
                <w:i/>
                <w:szCs w:val="24"/>
              </w:rPr>
            </w:pPr>
            <w:r w:rsidRPr="00A03D14">
              <w:rPr>
                <w:i/>
                <w:szCs w:val="24"/>
              </w:rPr>
              <w:t>10</w:t>
            </w:r>
          </w:p>
        </w:tc>
      </w:tr>
      <w:tr w:rsidR="00BF67F2" w:rsidRPr="00A03D14" w14:paraId="282122EF" w14:textId="77777777" w:rsidTr="00CA13A1">
        <w:trPr>
          <w:trHeight w:val="75"/>
        </w:trPr>
        <w:tc>
          <w:tcPr>
            <w:tcW w:w="2480" w:type="pct"/>
            <w:vMerge/>
            <w:shd w:val="clear" w:color="auto" w:fill="auto"/>
            <w:vAlign w:val="center"/>
          </w:tcPr>
          <w:p w14:paraId="7E113BD7" w14:textId="77777777" w:rsidR="00BF67F2" w:rsidRPr="00A03D14" w:rsidRDefault="00BF67F2" w:rsidP="00CA13A1">
            <w:pPr>
              <w:jc w:val="both"/>
              <w:rPr>
                <w:rFonts w:eastAsia="Calibri"/>
                <w:b/>
                <w:i/>
                <w:iCs/>
                <w:szCs w:val="24"/>
              </w:rPr>
            </w:pPr>
          </w:p>
        </w:tc>
        <w:tc>
          <w:tcPr>
            <w:tcW w:w="472" w:type="pct"/>
            <w:shd w:val="clear" w:color="auto" w:fill="auto"/>
            <w:vAlign w:val="center"/>
          </w:tcPr>
          <w:p w14:paraId="7631A355" w14:textId="77777777" w:rsidR="00BF67F2" w:rsidRPr="00A03D14" w:rsidRDefault="00BF67F2" w:rsidP="00CA13A1">
            <w:pPr>
              <w:jc w:val="center"/>
              <w:rPr>
                <w:rFonts w:eastAsia="Calibri"/>
                <w:i/>
                <w:szCs w:val="24"/>
              </w:rPr>
            </w:pPr>
            <w:r w:rsidRPr="00A03D14">
              <w:rPr>
                <w:rFonts w:eastAsia="Calibri"/>
                <w:i/>
                <w:szCs w:val="24"/>
              </w:rPr>
              <w:t>Faktas</w:t>
            </w:r>
          </w:p>
        </w:tc>
        <w:tc>
          <w:tcPr>
            <w:tcW w:w="675" w:type="pct"/>
            <w:shd w:val="clear" w:color="auto" w:fill="auto"/>
            <w:vAlign w:val="center"/>
          </w:tcPr>
          <w:p w14:paraId="6953FA5F" w14:textId="77777777" w:rsidR="00BF67F2" w:rsidRPr="00A03D14" w:rsidRDefault="00BF67F2" w:rsidP="00CA13A1">
            <w:pPr>
              <w:jc w:val="center"/>
              <w:rPr>
                <w:rFonts w:eastAsia="Calibri"/>
                <w:i/>
                <w:szCs w:val="24"/>
              </w:rPr>
            </w:pPr>
            <w:r w:rsidRPr="00A03D14">
              <w:rPr>
                <w:i/>
                <w:szCs w:val="24"/>
              </w:rPr>
              <w:t>24</w:t>
            </w:r>
          </w:p>
        </w:tc>
        <w:tc>
          <w:tcPr>
            <w:tcW w:w="717" w:type="pct"/>
            <w:shd w:val="clear" w:color="auto" w:fill="auto"/>
            <w:vAlign w:val="center"/>
          </w:tcPr>
          <w:p w14:paraId="55B91083" w14:textId="77777777" w:rsidR="00BF67F2" w:rsidRPr="00A03D14" w:rsidRDefault="00BF67F2" w:rsidP="00CA13A1">
            <w:pPr>
              <w:jc w:val="center"/>
              <w:rPr>
                <w:rFonts w:eastAsia="Calibri"/>
                <w:i/>
                <w:szCs w:val="24"/>
              </w:rPr>
            </w:pPr>
            <w:r w:rsidRPr="00A03D14">
              <w:rPr>
                <w:i/>
                <w:szCs w:val="24"/>
              </w:rPr>
              <w:t>10</w:t>
            </w:r>
          </w:p>
        </w:tc>
        <w:tc>
          <w:tcPr>
            <w:tcW w:w="656" w:type="pct"/>
            <w:shd w:val="clear" w:color="auto" w:fill="auto"/>
            <w:vAlign w:val="center"/>
          </w:tcPr>
          <w:p w14:paraId="37BB510D" w14:textId="77777777" w:rsidR="00BF67F2" w:rsidRPr="00A03D14" w:rsidRDefault="00BF67F2" w:rsidP="00CA13A1">
            <w:pPr>
              <w:jc w:val="center"/>
              <w:rPr>
                <w:rFonts w:eastAsia="Calibri"/>
                <w:i/>
                <w:szCs w:val="24"/>
              </w:rPr>
            </w:pPr>
            <w:r w:rsidRPr="00A03D14">
              <w:rPr>
                <w:i/>
                <w:szCs w:val="24"/>
              </w:rPr>
              <w:t>–</w:t>
            </w:r>
          </w:p>
        </w:tc>
      </w:tr>
      <w:tr w:rsidR="00BF67F2" w:rsidRPr="00A03D14" w14:paraId="0B2BF8AA" w14:textId="77777777" w:rsidTr="00CA13A1">
        <w:trPr>
          <w:trHeight w:val="141"/>
        </w:trPr>
        <w:tc>
          <w:tcPr>
            <w:tcW w:w="2480" w:type="pct"/>
            <w:vMerge w:val="restart"/>
            <w:shd w:val="clear" w:color="auto" w:fill="auto"/>
            <w:vAlign w:val="center"/>
          </w:tcPr>
          <w:p w14:paraId="1A46020B" w14:textId="77777777" w:rsidR="00BF67F2" w:rsidRPr="00A03D14" w:rsidRDefault="00BF67F2" w:rsidP="00CA13A1">
            <w:pPr>
              <w:jc w:val="both"/>
              <w:rPr>
                <w:rFonts w:eastAsia="Calibri"/>
                <w:b/>
                <w:i/>
                <w:iCs/>
                <w:szCs w:val="24"/>
              </w:rPr>
            </w:pPr>
            <w:r w:rsidRPr="00A03D14">
              <w:rPr>
                <w:rFonts w:eastAsia="Calibri"/>
                <w:b/>
                <w:i/>
                <w:iCs/>
                <w:szCs w:val="24"/>
              </w:rPr>
              <w:t>Aktyvaus gydymo lovų skaičius 100 tūkst. gyventojų</w:t>
            </w:r>
          </w:p>
        </w:tc>
        <w:tc>
          <w:tcPr>
            <w:tcW w:w="472" w:type="pct"/>
            <w:shd w:val="clear" w:color="auto" w:fill="BDD6EE"/>
            <w:vAlign w:val="center"/>
          </w:tcPr>
          <w:p w14:paraId="0AC923F6" w14:textId="77777777" w:rsidR="00BF67F2" w:rsidRPr="00A03D14" w:rsidRDefault="00BF67F2" w:rsidP="00CA13A1">
            <w:pPr>
              <w:jc w:val="center"/>
              <w:rPr>
                <w:rFonts w:eastAsia="Calibri"/>
                <w:i/>
                <w:szCs w:val="24"/>
              </w:rPr>
            </w:pPr>
            <w:r w:rsidRPr="00A03D14">
              <w:rPr>
                <w:rFonts w:eastAsia="Calibri"/>
                <w:i/>
                <w:szCs w:val="24"/>
              </w:rPr>
              <w:t>Planas</w:t>
            </w:r>
          </w:p>
        </w:tc>
        <w:tc>
          <w:tcPr>
            <w:tcW w:w="675" w:type="pct"/>
            <w:shd w:val="clear" w:color="auto" w:fill="BDD6EE"/>
            <w:vAlign w:val="center"/>
          </w:tcPr>
          <w:p w14:paraId="61753E2D" w14:textId="77777777" w:rsidR="00BF67F2" w:rsidRPr="00A03D14" w:rsidRDefault="00BF67F2" w:rsidP="00CA13A1">
            <w:pPr>
              <w:jc w:val="center"/>
              <w:rPr>
                <w:rFonts w:eastAsia="Calibri"/>
                <w:i/>
                <w:szCs w:val="24"/>
              </w:rPr>
            </w:pPr>
            <w:r w:rsidRPr="00A03D14">
              <w:rPr>
                <w:i/>
                <w:szCs w:val="24"/>
              </w:rPr>
              <w:t>535</w:t>
            </w:r>
          </w:p>
        </w:tc>
        <w:tc>
          <w:tcPr>
            <w:tcW w:w="717" w:type="pct"/>
            <w:shd w:val="clear" w:color="auto" w:fill="BDD6EE"/>
            <w:vAlign w:val="center"/>
          </w:tcPr>
          <w:p w14:paraId="69DF2BD2" w14:textId="77777777" w:rsidR="00BF67F2" w:rsidRPr="00A03D14" w:rsidRDefault="00BF67F2" w:rsidP="00CA13A1">
            <w:pPr>
              <w:jc w:val="center"/>
              <w:rPr>
                <w:rFonts w:eastAsia="Calibri"/>
                <w:i/>
                <w:szCs w:val="24"/>
              </w:rPr>
            </w:pPr>
            <w:r w:rsidRPr="00A03D14">
              <w:rPr>
                <w:i/>
                <w:szCs w:val="24"/>
              </w:rPr>
              <w:t>515</w:t>
            </w:r>
          </w:p>
        </w:tc>
        <w:tc>
          <w:tcPr>
            <w:tcW w:w="656" w:type="pct"/>
            <w:shd w:val="clear" w:color="auto" w:fill="BDD6EE"/>
            <w:vAlign w:val="center"/>
          </w:tcPr>
          <w:p w14:paraId="31A11193" w14:textId="77777777" w:rsidR="00BF67F2" w:rsidRPr="00A03D14" w:rsidRDefault="00BF67F2" w:rsidP="00CA13A1">
            <w:pPr>
              <w:jc w:val="center"/>
              <w:rPr>
                <w:rFonts w:eastAsia="Calibri"/>
                <w:i/>
                <w:szCs w:val="24"/>
              </w:rPr>
            </w:pPr>
            <w:r w:rsidRPr="00A03D14">
              <w:rPr>
                <w:i/>
                <w:iCs/>
                <w:szCs w:val="24"/>
              </w:rPr>
              <w:t>460</w:t>
            </w:r>
          </w:p>
        </w:tc>
      </w:tr>
      <w:tr w:rsidR="00BF67F2" w:rsidRPr="00A03D14" w14:paraId="65909FD1" w14:textId="77777777" w:rsidTr="00CA13A1">
        <w:trPr>
          <w:trHeight w:val="141"/>
        </w:trPr>
        <w:tc>
          <w:tcPr>
            <w:tcW w:w="2480" w:type="pct"/>
            <w:vMerge/>
            <w:shd w:val="clear" w:color="auto" w:fill="auto"/>
            <w:vAlign w:val="center"/>
          </w:tcPr>
          <w:p w14:paraId="30EF5771" w14:textId="77777777" w:rsidR="00BF67F2" w:rsidRPr="00A03D14" w:rsidRDefault="00BF67F2" w:rsidP="00CA13A1">
            <w:pPr>
              <w:jc w:val="both"/>
              <w:rPr>
                <w:rFonts w:eastAsia="Calibri"/>
                <w:b/>
                <w:i/>
                <w:iCs/>
                <w:szCs w:val="24"/>
              </w:rPr>
            </w:pPr>
          </w:p>
        </w:tc>
        <w:tc>
          <w:tcPr>
            <w:tcW w:w="472" w:type="pct"/>
            <w:shd w:val="clear" w:color="auto" w:fill="auto"/>
            <w:vAlign w:val="center"/>
          </w:tcPr>
          <w:p w14:paraId="68FA610A" w14:textId="77777777" w:rsidR="00BF67F2" w:rsidRPr="00A03D14" w:rsidRDefault="00BF67F2" w:rsidP="00CA13A1">
            <w:pPr>
              <w:jc w:val="center"/>
              <w:rPr>
                <w:rFonts w:eastAsia="Calibri"/>
                <w:i/>
                <w:szCs w:val="24"/>
              </w:rPr>
            </w:pPr>
            <w:r w:rsidRPr="00A03D14">
              <w:rPr>
                <w:rFonts w:eastAsia="Calibri"/>
                <w:i/>
                <w:szCs w:val="24"/>
              </w:rPr>
              <w:t>Faktas</w:t>
            </w:r>
          </w:p>
        </w:tc>
        <w:tc>
          <w:tcPr>
            <w:tcW w:w="675" w:type="pct"/>
            <w:shd w:val="clear" w:color="auto" w:fill="auto"/>
            <w:vAlign w:val="center"/>
          </w:tcPr>
          <w:p w14:paraId="6869B86A" w14:textId="77777777" w:rsidR="00BF67F2" w:rsidRPr="00A03D14" w:rsidRDefault="00BF67F2" w:rsidP="00CA13A1">
            <w:pPr>
              <w:jc w:val="center"/>
              <w:rPr>
                <w:rFonts w:eastAsia="Calibri"/>
                <w:i/>
                <w:szCs w:val="24"/>
              </w:rPr>
            </w:pPr>
            <w:r w:rsidRPr="00A03D14">
              <w:rPr>
                <w:i/>
                <w:szCs w:val="24"/>
              </w:rPr>
              <w:t>461</w:t>
            </w:r>
          </w:p>
        </w:tc>
        <w:tc>
          <w:tcPr>
            <w:tcW w:w="717" w:type="pct"/>
            <w:shd w:val="clear" w:color="auto" w:fill="auto"/>
            <w:vAlign w:val="center"/>
          </w:tcPr>
          <w:p w14:paraId="3AD4970B" w14:textId="77777777" w:rsidR="00BF67F2" w:rsidRPr="00A03D14" w:rsidRDefault="00BF67F2" w:rsidP="00CA13A1">
            <w:pPr>
              <w:jc w:val="center"/>
              <w:rPr>
                <w:rFonts w:eastAsia="Calibri"/>
                <w:i/>
                <w:szCs w:val="24"/>
              </w:rPr>
            </w:pPr>
            <w:r w:rsidRPr="00A03D14">
              <w:rPr>
                <w:i/>
                <w:szCs w:val="24"/>
              </w:rPr>
              <w:t>453</w:t>
            </w:r>
          </w:p>
        </w:tc>
        <w:tc>
          <w:tcPr>
            <w:tcW w:w="656" w:type="pct"/>
            <w:shd w:val="clear" w:color="auto" w:fill="auto"/>
            <w:vAlign w:val="center"/>
          </w:tcPr>
          <w:p w14:paraId="08B3675A" w14:textId="77777777" w:rsidR="00BF67F2" w:rsidRPr="00A03D14" w:rsidRDefault="00BF67F2" w:rsidP="00CA13A1">
            <w:pPr>
              <w:jc w:val="center"/>
              <w:rPr>
                <w:rFonts w:eastAsia="Calibri"/>
                <w:i/>
                <w:iCs/>
                <w:szCs w:val="24"/>
              </w:rPr>
            </w:pPr>
            <w:r w:rsidRPr="00A03D14">
              <w:rPr>
                <w:i/>
                <w:szCs w:val="24"/>
              </w:rPr>
              <w:t>–</w:t>
            </w:r>
          </w:p>
        </w:tc>
      </w:tr>
      <w:tr w:rsidR="00BF67F2" w:rsidRPr="00A03D14" w14:paraId="1534C966" w14:textId="77777777" w:rsidTr="00CA13A1">
        <w:trPr>
          <w:trHeight w:val="275"/>
        </w:trPr>
        <w:tc>
          <w:tcPr>
            <w:tcW w:w="2480" w:type="pct"/>
            <w:vMerge w:val="restart"/>
            <w:shd w:val="clear" w:color="auto" w:fill="auto"/>
            <w:vAlign w:val="center"/>
          </w:tcPr>
          <w:p w14:paraId="784FF0A3" w14:textId="77777777" w:rsidR="00BF67F2" w:rsidRPr="00A03D14" w:rsidRDefault="00BF67F2" w:rsidP="00CA13A1">
            <w:pPr>
              <w:jc w:val="both"/>
              <w:rPr>
                <w:rFonts w:eastAsia="Calibri"/>
                <w:b/>
                <w:i/>
                <w:iCs/>
                <w:szCs w:val="24"/>
              </w:rPr>
            </w:pPr>
            <w:r w:rsidRPr="00A03D14">
              <w:rPr>
                <w:rFonts w:eastAsia="Calibri"/>
                <w:b/>
                <w:i/>
                <w:iCs/>
                <w:szCs w:val="24"/>
              </w:rPr>
              <w:t>Tikėtina vyrų sveiko gyvenimo trukmė (nuo gimimo), metais</w:t>
            </w:r>
          </w:p>
        </w:tc>
        <w:tc>
          <w:tcPr>
            <w:tcW w:w="472" w:type="pct"/>
            <w:shd w:val="clear" w:color="auto" w:fill="BDD6EE"/>
            <w:vAlign w:val="center"/>
          </w:tcPr>
          <w:p w14:paraId="2DCF83A5" w14:textId="77777777" w:rsidR="00BF67F2" w:rsidRPr="00A03D14" w:rsidRDefault="00BF67F2" w:rsidP="00CA13A1">
            <w:pPr>
              <w:jc w:val="center"/>
              <w:rPr>
                <w:rFonts w:eastAsia="Calibri"/>
                <w:i/>
                <w:szCs w:val="24"/>
              </w:rPr>
            </w:pPr>
            <w:r w:rsidRPr="00A03D14">
              <w:rPr>
                <w:rFonts w:eastAsia="Calibri"/>
                <w:i/>
                <w:szCs w:val="24"/>
              </w:rPr>
              <w:t>Planas</w:t>
            </w:r>
          </w:p>
        </w:tc>
        <w:tc>
          <w:tcPr>
            <w:tcW w:w="675" w:type="pct"/>
            <w:shd w:val="clear" w:color="auto" w:fill="BDD6EE"/>
            <w:vAlign w:val="center"/>
          </w:tcPr>
          <w:p w14:paraId="0CFA101C" w14:textId="77777777" w:rsidR="00BF67F2" w:rsidRPr="00A03D14" w:rsidRDefault="00BF67F2" w:rsidP="00CA13A1">
            <w:pPr>
              <w:jc w:val="center"/>
              <w:rPr>
                <w:rFonts w:eastAsia="Calibri"/>
                <w:i/>
                <w:szCs w:val="24"/>
              </w:rPr>
            </w:pPr>
            <w:r w:rsidRPr="00A03D14">
              <w:rPr>
                <w:i/>
                <w:szCs w:val="24"/>
              </w:rPr>
              <w:t>58</w:t>
            </w:r>
          </w:p>
        </w:tc>
        <w:tc>
          <w:tcPr>
            <w:tcW w:w="717" w:type="pct"/>
            <w:shd w:val="clear" w:color="auto" w:fill="BDD6EE"/>
            <w:vAlign w:val="center"/>
          </w:tcPr>
          <w:p w14:paraId="7048BA5E" w14:textId="77777777" w:rsidR="00BF67F2" w:rsidRPr="00A03D14" w:rsidRDefault="00BF67F2" w:rsidP="00CA13A1">
            <w:pPr>
              <w:jc w:val="center"/>
              <w:rPr>
                <w:rFonts w:eastAsia="Calibri"/>
                <w:i/>
                <w:szCs w:val="24"/>
              </w:rPr>
            </w:pPr>
            <w:r w:rsidRPr="00A03D14">
              <w:rPr>
                <w:i/>
                <w:szCs w:val="24"/>
              </w:rPr>
              <w:t>58,6</w:t>
            </w:r>
          </w:p>
        </w:tc>
        <w:tc>
          <w:tcPr>
            <w:tcW w:w="656" w:type="pct"/>
            <w:shd w:val="clear" w:color="auto" w:fill="BDD6EE"/>
            <w:vAlign w:val="center"/>
          </w:tcPr>
          <w:p w14:paraId="31228AD5" w14:textId="77777777" w:rsidR="00BF67F2" w:rsidRPr="00A03D14" w:rsidRDefault="00BF67F2" w:rsidP="00CA13A1">
            <w:pPr>
              <w:jc w:val="center"/>
              <w:rPr>
                <w:rFonts w:eastAsia="Calibri"/>
                <w:i/>
                <w:iCs/>
                <w:szCs w:val="24"/>
              </w:rPr>
            </w:pPr>
            <w:r w:rsidRPr="00A03D14">
              <w:rPr>
                <w:i/>
                <w:iCs/>
                <w:szCs w:val="24"/>
              </w:rPr>
              <w:t>58,7</w:t>
            </w:r>
          </w:p>
        </w:tc>
      </w:tr>
      <w:tr w:rsidR="00BF67F2" w:rsidRPr="00A03D14" w14:paraId="1FB05F3E" w14:textId="77777777" w:rsidTr="00CA13A1">
        <w:trPr>
          <w:trHeight w:val="275"/>
        </w:trPr>
        <w:tc>
          <w:tcPr>
            <w:tcW w:w="2480" w:type="pct"/>
            <w:vMerge/>
            <w:shd w:val="clear" w:color="auto" w:fill="auto"/>
            <w:vAlign w:val="center"/>
          </w:tcPr>
          <w:p w14:paraId="251F147D" w14:textId="77777777" w:rsidR="00BF67F2" w:rsidRPr="00A03D14" w:rsidRDefault="00BF67F2" w:rsidP="00CA13A1">
            <w:pPr>
              <w:jc w:val="both"/>
              <w:rPr>
                <w:rFonts w:eastAsia="Calibri"/>
                <w:b/>
                <w:i/>
                <w:iCs/>
                <w:szCs w:val="24"/>
              </w:rPr>
            </w:pPr>
          </w:p>
        </w:tc>
        <w:tc>
          <w:tcPr>
            <w:tcW w:w="472" w:type="pct"/>
            <w:shd w:val="clear" w:color="auto" w:fill="auto"/>
            <w:vAlign w:val="center"/>
          </w:tcPr>
          <w:p w14:paraId="3461CF5C" w14:textId="77777777" w:rsidR="00BF67F2" w:rsidRPr="00A03D14" w:rsidRDefault="00BF67F2" w:rsidP="00CA13A1">
            <w:pPr>
              <w:jc w:val="center"/>
              <w:rPr>
                <w:rFonts w:eastAsia="Calibri"/>
                <w:i/>
                <w:szCs w:val="24"/>
              </w:rPr>
            </w:pPr>
            <w:r w:rsidRPr="00A03D14">
              <w:rPr>
                <w:rFonts w:eastAsia="Calibri"/>
                <w:i/>
                <w:szCs w:val="24"/>
              </w:rPr>
              <w:t>Faktas</w:t>
            </w:r>
          </w:p>
        </w:tc>
        <w:tc>
          <w:tcPr>
            <w:tcW w:w="675" w:type="pct"/>
            <w:shd w:val="clear" w:color="auto" w:fill="auto"/>
            <w:vAlign w:val="center"/>
          </w:tcPr>
          <w:p w14:paraId="275CCEFF" w14:textId="77777777" w:rsidR="00BF67F2" w:rsidRPr="00A03D14" w:rsidRDefault="00BF67F2" w:rsidP="00CA13A1">
            <w:pPr>
              <w:jc w:val="center"/>
              <w:rPr>
                <w:rFonts w:eastAsia="Calibri"/>
                <w:i/>
                <w:szCs w:val="24"/>
              </w:rPr>
            </w:pPr>
            <w:r w:rsidRPr="00A03D14">
              <w:rPr>
                <w:i/>
                <w:szCs w:val="24"/>
              </w:rPr>
              <w:t>56,3</w:t>
            </w:r>
          </w:p>
        </w:tc>
        <w:tc>
          <w:tcPr>
            <w:tcW w:w="717" w:type="pct"/>
            <w:shd w:val="clear" w:color="auto" w:fill="auto"/>
            <w:vAlign w:val="center"/>
          </w:tcPr>
          <w:p w14:paraId="2E7DC68F" w14:textId="77777777" w:rsidR="00BF67F2" w:rsidRPr="00A03D14" w:rsidRDefault="00BF67F2" w:rsidP="00CA13A1">
            <w:pPr>
              <w:jc w:val="center"/>
              <w:rPr>
                <w:rFonts w:eastAsia="Calibri"/>
                <w:i/>
                <w:szCs w:val="24"/>
              </w:rPr>
            </w:pPr>
            <w:r w:rsidRPr="00A03D14">
              <w:rPr>
                <w:i/>
                <w:szCs w:val="24"/>
              </w:rPr>
              <w:t>–</w:t>
            </w:r>
          </w:p>
        </w:tc>
        <w:tc>
          <w:tcPr>
            <w:tcW w:w="656" w:type="pct"/>
            <w:shd w:val="clear" w:color="auto" w:fill="auto"/>
            <w:vAlign w:val="center"/>
          </w:tcPr>
          <w:p w14:paraId="2A371F16" w14:textId="77777777" w:rsidR="00BF67F2" w:rsidRPr="00A03D14" w:rsidRDefault="00BF67F2" w:rsidP="00CA13A1">
            <w:pPr>
              <w:jc w:val="center"/>
              <w:rPr>
                <w:rFonts w:eastAsia="Calibri"/>
                <w:i/>
                <w:iCs/>
                <w:szCs w:val="24"/>
              </w:rPr>
            </w:pPr>
            <w:r w:rsidRPr="00A03D14">
              <w:rPr>
                <w:i/>
                <w:szCs w:val="24"/>
              </w:rPr>
              <w:t>–</w:t>
            </w:r>
          </w:p>
        </w:tc>
      </w:tr>
      <w:tr w:rsidR="00BF67F2" w:rsidRPr="00A03D14" w14:paraId="41834147" w14:textId="77777777" w:rsidTr="00CA13A1">
        <w:trPr>
          <w:trHeight w:val="110"/>
        </w:trPr>
        <w:tc>
          <w:tcPr>
            <w:tcW w:w="2480" w:type="pct"/>
            <w:vMerge w:val="restart"/>
            <w:shd w:val="clear" w:color="auto" w:fill="auto"/>
            <w:vAlign w:val="center"/>
          </w:tcPr>
          <w:p w14:paraId="4C42959B" w14:textId="77777777" w:rsidR="00BF67F2" w:rsidRPr="00A03D14" w:rsidRDefault="00BF67F2" w:rsidP="00CA13A1">
            <w:pPr>
              <w:jc w:val="both"/>
              <w:rPr>
                <w:rFonts w:eastAsia="Calibri"/>
                <w:b/>
                <w:i/>
                <w:iCs/>
                <w:szCs w:val="24"/>
              </w:rPr>
            </w:pPr>
            <w:r w:rsidRPr="00A03D14">
              <w:rPr>
                <w:rFonts w:eastAsia="Calibri"/>
                <w:b/>
                <w:i/>
                <w:iCs/>
                <w:szCs w:val="24"/>
              </w:rPr>
              <w:t>Tikėtina moterų sveiko gyvenimo trukmė (nuo gimimo), metais</w:t>
            </w:r>
          </w:p>
        </w:tc>
        <w:tc>
          <w:tcPr>
            <w:tcW w:w="472" w:type="pct"/>
            <w:shd w:val="clear" w:color="auto" w:fill="BDD6EE"/>
            <w:vAlign w:val="center"/>
          </w:tcPr>
          <w:p w14:paraId="31722B1C" w14:textId="77777777" w:rsidR="00BF67F2" w:rsidRPr="00A03D14" w:rsidRDefault="00BF67F2" w:rsidP="00CA13A1">
            <w:pPr>
              <w:jc w:val="center"/>
              <w:rPr>
                <w:rFonts w:eastAsia="Calibri"/>
                <w:i/>
                <w:szCs w:val="24"/>
              </w:rPr>
            </w:pPr>
            <w:r w:rsidRPr="00A03D14">
              <w:rPr>
                <w:rFonts w:eastAsia="Calibri"/>
                <w:i/>
                <w:szCs w:val="24"/>
              </w:rPr>
              <w:t>Planas</w:t>
            </w:r>
          </w:p>
        </w:tc>
        <w:tc>
          <w:tcPr>
            <w:tcW w:w="675" w:type="pct"/>
            <w:shd w:val="clear" w:color="auto" w:fill="BDD6EE"/>
            <w:vAlign w:val="center"/>
          </w:tcPr>
          <w:p w14:paraId="03EC95CF" w14:textId="77777777" w:rsidR="00BF67F2" w:rsidRPr="00A03D14" w:rsidRDefault="00BF67F2" w:rsidP="00CA13A1">
            <w:pPr>
              <w:jc w:val="center"/>
              <w:rPr>
                <w:rFonts w:eastAsia="Calibri"/>
                <w:i/>
                <w:szCs w:val="24"/>
              </w:rPr>
            </w:pPr>
            <w:r w:rsidRPr="00A03D14">
              <w:rPr>
                <w:i/>
                <w:szCs w:val="24"/>
              </w:rPr>
              <w:t>62,3</w:t>
            </w:r>
          </w:p>
        </w:tc>
        <w:tc>
          <w:tcPr>
            <w:tcW w:w="717" w:type="pct"/>
            <w:shd w:val="clear" w:color="auto" w:fill="BDD6EE"/>
            <w:vAlign w:val="center"/>
          </w:tcPr>
          <w:p w14:paraId="263BE85D" w14:textId="77777777" w:rsidR="00BF67F2" w:rsidRPr="00A03D14" w:rsidRDefault="00BF67F2" w:rsidP="00CA13A1">
            <w:pPr>
              <w:jc w:val="center"/>
              <w:rPr>
                <w:rFonts w:eastAsia="Calibri"/>
                <w:i/>
                <w:szCs w:val="24"/>
              </w:rPr>
            </w:pPr>
            <w:r w:rsidRPr="00A03D14">
              <w:rPr>
                <w:i/>
                <w:szCs w:val="24"/>
              </w:rPr>
              <w:t>62,6</w:t>
            </w:r>
          </w:p>
        </w:tc>
        <w:tc>
          <w:tcPr>
            <w:tcW w:w="656" w:type="pct"/>
            <w:shd w:val="clear" w:color="auto" w:fill="BDD6EE"/>
            <w:vAlign w:val="center"/>
          </w:tcPr>
          <w:p w14:paraId="634DFA2B" w14:textId="77777777" w:rsidR="00BF67F2" w:rsidRPr="00A03D14" w:rsidRDefault="00BF67F2" w:rsidP="00CA13A1">
            <w:pPr>
              <w:jc w:val="center"/>
              <w:rPr>
                <w:rFonts w:eastAsia="Calibri"/>
                <w:i/>
                <w:iCs/>
                <w:szCs w:val="24"/>
              </w:rPr>
            </w:pPr>
            <w:r w:rsidRPr="00A03D14">
              <w:rPr>
                <w:i/>
                <w:iCs/>
                <w:szCs w:val="24"/>
              </w:rPr>
              <w:t>62,8</w:t>
            </w:r>
          </w:p>
        </w:tc>
      </w:tr>
      <w:tr w:rsidR="00BF67F2" w:rsidRPr="00A03D14" w14:paraId="409D929A" w14:textId="77777777" w:rsidTr="00CA13A1">
        <w:trPr>
          <w:trHeight w:val="110"/>
        </w:trPr>
        <w:tc>
          <w:tcPr>
            <w:tcW w:w="2480" w:type="pct"/>
            <w:vMerge/>
            <w:shd w:val="clear" w:color="auto" w:fill="auto"/>
            <w:vAlign w:val="center"/>
          </w:tcPr>
          <w:p w14:paraId="636C0BB8" w14:textId="77777777" w:rsidR="00BF67F2" w:rsidRPr="00A03D14" w:rsidRDefault="00BF67F2" w:rsidP="00CA13A1">
            <w:pPr>
              <w:jc w:val="both"/>
              <w:rPr>
                <w:rFonts w:eastAsia="Calibri"/>
                <w:i/>
                <w:iCs/>
                <w:szCs w:val="24"/>
              </w:rPr>
            </w:pPr>
          </w:p>
        </w:tc>
        <w:tc>
          <w:tcPr>
            <w:tcW w:w="472" w:type="pct"/>
            <w:shd w:val="clear" w:color="auto" w:fill="auto"/>
            <w:vAlign w:val="center"/>
          </w:tcPr>
          <w:p w14:paraId="430A8442" w14:textId="77777777" w:rsidR="00BF67F2" w:rsidRPr="00A03D14" w:rsidRDefault="00BF67F2" w:rsidP="00CA13A1">
            <w:pPr>
              <w:jc w:val="center"/>
              <w:rPr>
                <w:rFonts w:eastAsia="Calibri"/>
                <w:i/>
                <w:szCs w:val="24"/>
              </w:rPr>
            </w:pPr>
            <w:r w:rsidRPr="00A03D14">
              <w:rPr>
                <w:rFonts w:eastAsia="Calibri"/>
                <w:i/>
                <w:szCs w:val="24"/>
              </w:rPr>
              <w:t>Faktas</w:t>
            </w:r>
          </w:p>
        </w:tc>
        <w:tc>
          <w:tcPr>
            <w:tcW w:w="675" w:type="pct"/>
            <w:shd w:val="clear" w:color="auto" w:fill="auto"/>
            <w:vAlign w:val="center"/>
          </w:tcPr>
          <w:p w14:paraId="0580BFD5" w14:textId="77777777" w:rsidR="00BF67F2" w:rsidRPr="00A03D14" w:rsidRDefault="00BF67F2" w:rsidP="00CA13A1">
            <w:pPr>
              <w:jc w:val="center"/>
              <w:rPr>
                <w:rFonts w:eastAsia="Calibri"/>
                <w:i/>
                <w:szCs w:val="24"/>
              </w:rPr>
            </w:pPr>
            <w:r w:rsidRPr="00A03D14">
              <w:rPr>
                <w:i/>
                <w:szCs w:val="24"/>
              </w:rPr>
              <w:t>59,1</w:t>
            </w:r>
          </w:p>
        </w:tc>
        <w:tc>
          <w:tcPr>
            <w:tcW w:w="717" w:type="pct"/>
            <w:shd w:val="clear" w:color="auto" w:fill="auto"/>
            <w:vAlign w:val="center"/>
          </w:tcPr>
          <w:p w14:paraId="374BF86A" w14:textId="77777777" w:rsidR="00BF67F2" w:rsidRPr="00A03D14" w:rsidRDefault="00BF67F2" w:rsidP="00CA13A1">
            <w:pPr>
              <w:jc w:val="center"/>
              <w:rPr>
                <w:rFonts w:eastAsia="Calibri"/>
                <w:i/>
                <w:szCs w:val="24"/>
              </w:rPr>
            </w:pPr>
            <w:r w:rsidRPr="00A03D14">
              <w:rPr>
                <w:i/>
                <w:szCs w:val="24"/>
              </w:rPr>
              <w:t>–</w:t>
            </w:r>
          </w:p>
        </w:tc>
        <w:tc>
          <w:tcPr>
            <w:tcW w:w="656" w:type="pct"/>
            <w:shd w:val="clear" w:color="auto" w:fill="auto"/>
            <w:vAlign w:val="center"/>
          </w:tcPr>
          <w:p w14:paraId="7885D086" w14:textId="77777777" w:rsidR="00BF67F2" w:rsidRPr="00A03D14" w:rsidRDefault="00BF67F2" w:rsidP="00CA13A1">
            <w:pPr>
              <w:jc w:val="center"/>
              <w:rPr>
                <w:rFonts w:eastAsia="Calibri"/>
                <w:i/>
                <w:iCs/>
                <w:szCs w:val="24"/>
              </w:rPr>
            </w:pPr>
            <w:r w:rsidRPr="00A03D14">
              <w:rPr>
                <w:i/>
                <w:szCs w:val="24"/>
              </w:rPr>
              <w:t>–</w:t>
            </w:r>
          </w:p>
        </w:tc>
      </w:tr>
    </w:tbl>
    <w:p w14:paraId="780DE367" w14:textId="77777777" w:rsidR="00BF67F2" w:rsidRPr="00A03D14" w:rsidRDefault="00BF67F2" w:rsidP="00BF67F2">
      <w:pPr>
        <w:tabs>
          <w:tab w:val="left" w:pos="1741"/>
        </w:tabs>
        <w:rPr>
          <w:szCs w:val="24"/>
        </w:rPr>
      </w:pPr>
    </w:p>
    <w:p w14:paraId="47D9CEDE" w14:textId="77777777" w:rsidR="00BF67F2" w:rsidRPr="00A03D14" w:rsidRDefault="00BF67F2" w:rsidP="00BF67F2">
      <w:pPr>
        <w:tabs>
          <w:tab w:val="left" w:pos="1741"/>
        </w:tabs>
        <w:jc w:val="both"/>
        <w:rPr>
          <w:b/>
          <w:i/>
          <w:szCs w:val="24"/>
        </w:rPr>
      </w:pPr>
      <w:bookmarkStart w:id="48" w:name="_Hlk67477253"/>
      <w:r w:rsidRPr="00A03D14">
        <w:rPr>
          <w:b/>
          <w:i/>
          <w:szCs w:val="24"/>
          <w:u w:val="single"/>
        </w:rPr>
        <w:t xml:space="preserve">2 rekomendacija. </w:t>
      </w:r>
      <w:r w:rsidRPr="00A03D14">
        <w:rPr>
          <w:b/>
          <w:i/>
          <w:szCs w:val="24"/>
        </w:rPr>
        <w:t>Švelninti krizės poveikį užimtumui. Didinti aktyvios darbo rinkos politikos priemonių finansavimą bei aprėptį ir skatinti gerinti įgūdžius. Užtikrinti minimalios socialinės apsaugos sistemos aprėptį bei adekvatumą ir padidinti mokesčių ir socialinių išmokų sistemos veiksmingumą apsaugant nuo skurdo.</w:t>
      </w:r>
    </w:p>
    <w:p w14:paraId="09E1FC95" w14:textId="77777777" w:rsidR="00BF67F2" w:rsidRPr="00A03D14" w:rsidRDefault="00BF67F2" w:rsidP="00BF67F2">
      <w:pPr>
        <w:tabs>
          <w:tab w:val="left" w:pos="1741"/>
        </w:tabs>
        <w:jc w:val="both"/>
        <w:rPr>
          <w:iCs/>
          <w:szCs w:val="24"/>
        </w:rPr>
      </w:pPr>
    </w:p>
    <w:p w14:paraId="3DA3A31E" w14:textId="77777777" w:rsidR="00BF67F2" w:rsidRPr="00A03D14" w:rsidRDefault="00BF67F2" w:rsidP="00BF67F2">
      <w:pPr>
        <w:jc w:val="both"/>
        <w:rPr>
          <w:szCs w:val="24"/>
        </w:rPr>
      </w:pPr>
      <w:r w:rsidRPr="00A03D14">
        <w:rPr>
          <w:b/>
          <w:szCs w:val="24"/>
        </w:rPr>
        <w:t>Atsakingos institucijos</w:t>
      </w:r>
      <w:r w:rsidRPr="00A03D14">
        <w:rPr>
          <w:szCs w:val="24"/>
        </w:rPr>
        <w:t>: Lietuvos Respublikos ekonomikos ir inovacijų ministerija, Lietuvos Respublikos švietimo, mokslo ir sporto ministerija, Lietuvos Respublikos vidaus reikalų ministerija, Lietuvos Respublikos socialinės apsaugos ir darbo ministerija, Lietuvos Respublikos kultūros ministerija, Lietuvos Respublikos finansų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BF67F2" w:rsidRPr="00A03D14" w14:paraId="6D260F99" w14:textId="77777777" w:rsidTr="00CA13A1">
        <w:trPr>
          <w:trHeight w:val="23"/>
          <w:tblHeader/>
        </w:trPr>
        <w:tc>
          <w:tcPr>
            <w:tcW w:w="928" w:type="pct"/>
            <w:shd w:val="clear" w:color="auto" w:fill="1F4E79"/>
            <w:vAlign w:val="center"/>
          </w:tcPr>
          <w:p w14:paraId="49B57836" w14:textId="77777777" w:rsidR="00BF67F2" w:rsidRPr="00A03D14" w:rsidRDefault="00BF67F2" w:rsidP="00CA13A1">
            <w:pPr>
              <w:jc w:val="center"/>
              <w:rPr>
                <w:b/>
                <w:color w:val="FFFFFF"/>
                <w:szCs w:val="24"/>
              </w:rPr>
            </w:pPr>
            <w:bookmarkStart w:id="49" w:name="_Hlk67477261"/>
            <w:bookmarkEnd w:id="48"/>
            <w:r w:rsidRPr="00A03D14">
              <w:rPr>
                <w:b/>
                <w:color w:val="FFFFFF"/>
                <w:szCs w:val="24"/>
              </w:rPr>
              <w:t>Tikslas</w:t>
            </w:r>
          </w:p>
        </w:tc>
        <w:tc>
          <w:tcPr>
            <w:tcW w:w="4072" w:type="pct"/>
            <w:shd w:val="clear" w:color="auto" w:fill="B4C6E7"/>
            <w:vAlign w:val="center"/>
          </w:tcPr>
          <w:p w14:paraId="51D17FF1" w14:textId="77777777" w:rsidR="00BF67F2" w:rsidRPr="00A03D14" w:rsidRDefault="00BF67F2" w:rsidP="00CA13A1">
            <w:pPr>
              <w:jc w:val="center"/>
              <w:rPr>
                <w:b/>
                <w:szCs w:val="24"/>
              </w:rPr>
            </w:pPr>
            <w:r w:rsidRPr="00A03D14">
              <w:rPr>
                <w:b/>
                <w:szCs w:val="24"/>
              </w:rPr>
              <w:t>Poveikis Tarybos rekomendacijos įgyvendinimui</w:t>
            </w:r>
          </w:p>
        </w:tc>
      </w:tr>
      <w:tr w:rsidR="00BF67F2" w:rsidRPr="00A03D14" w14:paraId="44CC05E0" w14:textId="77777777" w:rsidTr="00CA13A1">
        <w:trPr>
          <w:trHeight w:val="23"/>
        </w:trPr>
        <w:tc>
          <w:tcPr>
            <w:tcW w:w="928" w:type="pct"/>
          </w:tcPr>
          <w:p w14:paraId="6831529F" w14:textId="16FC087B" w:rsidR="00BF67F2" w:rsidRPr="00A03D14" w:rsidRDefault="00BF67F2" w:rsidP="00CA13A1">
            <w:pPr>
              <w:ind w:left="29"/>
              <w:rPr>
                <w:i/>
                <w:szCs w:val="24"/>
              </w:rPr>
            </w:pPr>
            <w:r w:rsidRPr="00A03D14">
              <w:rPr>
                <w:b/>
                <w:szCs w:val="24"/>
                <w:u w:val="single"/>
              </w:rPr>
              <w:t xml:space="preserve">5 tikslas. </w:t>
            </w:r>
            <w:r w:rsidRPr="00A03D14">
              <w:rPr>
                <w:b/>
                <w:szCs w:val="24"/>
              </w:rPr>
              <w:t xml:space="preserve">Švelninti krizės poveikį užimtumui. Didinti aktyvios darbo </w:t>
            </w:r>
            <w:r w:rsidRPr="00A03D14">
              <w:rPr>
                <w:b/>
                <w:szCs w:val="24"/>
              </w:rPr>
              <w:lastRenderedPageBreak/>
              <w:t>rinkos politikos priemonių finansavimą bei aprėptį ir skatinti gerinti įgūdžius</w:t>
            </w:r>
          </w:p>
        </w:tc>
        <w:tc>
          <w:tcPr>
            <w:tcW w:w="4072" w:type="pct"/>
          </w:tcPr>
          <w:p w14:paraId="473B8949" w14:textId="77777777" w:rsidR="00BF67F2" w:rsidRPr="00357B30" w:rsidRDefault="00BF67F2" w:rsidP="00CA13A1">
            <w:pPr>
              <w:jc w:val="both"/>
              <w:rPr>
                <w:bCs/>
                <w:szCs w:val="24"/>
              </w:rPr>
            </w:pPr>
            <w:r w:rsidRPr="00357B30">
              <w:rPr>
                <w:bCs/>
                <w:szCs w:val="24"/>
              </w:rPr>
              <w:lastRenderedPageBreak/>
              <w:t xml:space="preserve">Tikslo </w:t>
            </w:r>
            <w:r>
              <w:rPr>
                <w:bCs/>
                <w:szCs w:val="24"/>
              </w:rPr>
              <w:t xml:space="preserve">buvo </w:t>
            </w:r>
            <w:r w:rsidRPr="00357B30">
              <w:rPr>
                <w:bCs/>
                <w:szCs w:val="24"/>
              </w:rPr>
              <w:t>siekiama įgyvendinant šias veiklas:</w:t>
            </w:r>
          </w:p>
          <w:p w14:paraId="452A9DF7" w14:textId="77777777" w:rsidR="006B4C06" w:rsidRPr="00A03D14" w:rsidRDefault="00BF67F2" w:rsidP="006B4C06">
            <w:pPr>
              <w:jc w:val="both"/>
              <w:rPr>
                <w:szCs w:val="24"/>
              </w:rPr>
            </w:pPr>
            <w:r w:rsidRPr="00A03D14">
              <w:rPr>
                <w:b/>
                <w:szCs w:val="24"/>
              </w:rPr>
              <w:t xml:space="preserve">Užtikrinamas nuolatinis darbuotojų kvalifikacijos lygio palaikymas, jų profesinis mobilumas ir gebėjimas sparčiai persiorientuoti į kito ūkio sektoriaus veiklas, sudarant galimybę įmonių darbuotojams gauti aukščiausios kokybės </w:t>
            </w:r>
            <w:r w:rsidRPr="00A03D14">
              <w:rPr>
                <w:b/>
                <w:szCs w:val="24"/>
              </w:rPr>
              <w:lastRenderedPageBreak/>
              <w:t xml:space="preserve">specialiuosius mokymus. </w:t>
            </w:r>
            <w:r w:rsidR="006B4C06" w:rsidRPr="00A03D14">
              <w:rPr>
                <w:bCs/>
                <w:szCs w:val="24"/>
              </w:rPr>
              <w:t>Įg</w:t>
            </w:r>
            <w:r w:rsidR="006B4C06" w:rsidRPr="00A03D14">
              <w:rPr>
                <w:szCs w:val="24"/>
              </w:rPr>
              <w:t>yvendinant 2014–2020 m. ES fondų investicijų veiksmų programos prioritetą Nr. 9 „Visuomenės švietimas ir žmogiškųjų išteklių potencialo didinimas“, kuriamos palankesnės sąlygos gerinti suaugusiųjų mokymosi prieinamumą darbuotojams, siekiant didinti įmonių darbuotojų mokymo apimt</w:t>
            </w:r>
            <w:r w:rsidR="006B4C06">
              <w:rPr>
                <w:szCs w:val="24"/>
              </w:rPr>
              <w:t>į</w:t>
            </w:r>
            <w:r w:rsidR="006B4C06" w:rsidRPr="00A03D14">
              <w:rPr>
                <w:szCs w:val="24"/>
              </w:rPr>
              <w:t xml:space="preserve"> ir efektyvumą:</w:t>
            </w:r>
          </w:p>
          <w:p w14:paraId="0EFAD471" w14:textId="77777777" w:rsidR="006B4C06" w:rsidRPr="00A03D14" w:rsidRDefault="006B4C06" w:rsidP="006B4C06">
            <w:pPr>
              <w:jc w:val="both"/>
              <w:rPr>
                <w:szCs w:val="24"/>
              </w:rPr>
            </w:pPr>
            <w:r w:rsidRPr="00A03D14">
              <w:rPr>
                <w:szCs w:val="24"/>
              </w:rPr>
              <w:t xml:space="preserve"> skatina</w:t>
            </w:r>
            <w:r>
              <w:rPr>
                <w:szCs w:val="24"/>
              </w:rPr>
              <w:t>nt</w:t>
            </w:r>
            <w:r w:rsidRPr="00A03D14">
              <w:rPr>
                <w:szCs w:val="24"/>
              </w:rPr>
              <w:t xml:space="preserve"> mokym</w:t>
            </w:r>
            <w:r>
              <w:rPr>
                <w:szCs w:val="24"/>
              </w:rPr>
              <w:t>ąsi</w:t>
            </w:r>
            <w:r w:rsidRPr="00A03D14">
              <w:rPr>
                <w:szCs w:val="24"/>
              </w:rPr>
              <w:t xml:space="preserve"> darbo vietoje pameistrystės forma</w:t>
            </w:r>
            <w:r>
              <w:rPr>
                <w:szCs w:val="24"/>
              </w:rPr>
              <w:t xml:space="preserve"> pagal</w:t>
            </w:r>
            <w:r w:rsidRPr="00A03D14">
              <w:rPr>
                <w:szCs w:val="24"/>
              </w:rPr>
              <w:t xml:space="preserve"> priemonę „Pameistrystė ir kvalifikacijos tobulinimas darbe“ pasiekti rezultatai </w:t>
            </w:r>
            <w:r>
              <w:rPr>
                <w:szCs w:val="24"/>
              </w:rPr>
              <w:t>– daugiau kaip 7,5 tūkst.</w:t>
            </w:r>
            <w:r w:rsidRPr="00A03D14">
              <w:rPr>
                <w:szCs w:val="24"/>
              </w:rPr>
              <w:t xml:space="preserve"> darbuotojų</w:t>
            </w:r>
            <w:r>
              <w:rPr>
                <w:szCs w:val="24"/>
              </w:rPr>
              <w:t xml:space="preserve"> dalyvavo</w:t>
            </w:r>
            <w:r w:rsidRPr="00A03D14">
              <w:rPr>
                <w:szCs w:val="24"/>
              </w:rPr>
              <w:t xml:space="preserve"> Europos socialinio fondo mokymuose, suteikiančiuose kvalifikaciją arba kompetenciją</w:t>
            </w:r>
            <w:r>
              <w:rPr>
                <w:szCs w:val="24"/>
              </w:rPr>
              <w:t>;</w:t>
            </w:r>
          </w:p>
          <w:p w14:paraId="01867483" w14:textId="116FB0E5" w:rsidR="00BF67F2" w:rsidRPr="00A03D14" w:rsidRDefault="00B20E88" w:rsidP="00CA13A1">
            <w:pPr>
              <w:pStyle w:val="paragraph"/>
              <w:spacing w:before="0" w:beforeAutospacing="0" w:after="0" w:afterAutospacing="0"/>
              <w:jc w:val="both"/>
              <w:textAlignment w:val="baseline"/>
              <w:rPr>
                <w:rStyle w:val="normaltextrun"/>
                <w:b/>
                <w:bCs/>
                <w:lang w:val="lt-LT"/>
              </w:rPr>
            </w:pPr>
            <w:r w:rsidRPr="00A32B5F">
              <w:rPr>
                <w:lang w:val="lt-LT"/>
              </w:rPr>
              <w:t>didinant įmonėms specialių mokymų  sektorių kompetencijoms ugdyti prieinamumą pagal  priemonę „Kompetencijos LT“ ir tęstinės atrankos priemonę „Kompetencijų vaučeris“,  ESF mokymuose dalyvavo daugiau kaip  22,1 tūkst. darbuotojų.</w:t>
            </w:r>
            <w:r w:rsidR="00BF67F2" w:rsidRPr="00A03D14">
              <w:rPr>
                <w:lang w:val="lt-LT"/>
              </w:rPr>
              <w:t>2014–2020 m. programavimo laikotarpio lėšos bus investuojamos iki 2023 m. pabaigos.</w:t>
            </w:r>
          </w:p>
          <w:p w14:paraId="36E08ED1" w14:textId="77777777" w:rsidR="00B20E88" w:rsidRPr="00A03D14" w:rsidRDefault="00B20E88" w:rsidP="00B20E88">
            <w:pPr>
              <w:pStyle w:val="paragraph"/>
              <w:spacing w:before="0" w:beforeAutospacing="0" w:after="0" w:afterAutospacing="0"/>
              <w:jc w:val="both"/>
              <w:textAlignment w:val="baseline"/>
              <w:rPr>
                <w:rStyle w:val="eop"/>
                <w:lang w:val="lt-LT"/>
              </w:rPr>
            </w:pPr>
            <w:r w:rsidRPr="00A03D14">
              <w:rPr>
                <w:rStyle w:val="normaltextrun"/>
                <w:b/>
                <w:bCs/>
                <w:lang w:val="lt-LT"/>
              </w:rPr>
              <w:t xml:space="preserve">Pertvarkomas ir modernizuojamas profesinio mokymo įstaigų tinklas, pritaikant fizinę ir informacinę aplinką neįgaliesiems, kad būtų tenkinami darbo rinkos poreikiai ir užtikrintos mokymosi visą gyvenimą galimybės. </w:t>
            </w:r>
            <w:r w:rsidRPr="00A03D14">
              <w:rPr>
                <w:rStyle w:val="normaltextrun"/>
                <w:color w:val="000000"/>
                <w:lang w:val="lt-LT"/>
              </w:rPr>
              <w:t xml:space="preserve">Vykdant profesinių mokymo įstaigų tinklo pertvarką, iš viso 2019–2020 m. reorganizuota 11 profesinių mokymo įstaigų (iš 67 liko 57).  ES lėšomis atnaujinama 23 sektorinių praktinio mokymo centrų infrastruktūra, renovuojamos praktinio mokymo dirbtuvės ir bendrabučiai, pritaikant patalpas ir neįgaliesiems. </w:t>
            </w:r>
            <w:r w:rsidRPr="00A03D14">
              <w:rPr>
                <w:rStyle w:val="normaltextrun"/>
                <w:iCs/>
                <w:color w:val="000000"/>
                <w:lang w:val="lt-LT"/>
              </w:rPr>
              <w:t>Iki 2020 m. pabaigos parengti ir patvirtinti 22 profesiniai standartai.</w:t>
            </w:r>
            <w:r w:rsidRPr="00A03D14">
              <w:rPr>
                <w:rStyle w:val="eop"/>
                <w:lang w:val="lt-LT"/>
              </w:rPr>
              <w:t xml:space="preserve"> </w:t>
            </w:r>
            <w:r w:rsidRPr="00A03D14">
              <w:rPr>
                <w:rStyle w:val="normaltextrun"/>
                <w:iCs/>
                <w:color w:val="000000"/>
                <w:lang w:val="lt-LT"/>
              </w:rPr>
              <w:t>Pradėta įgyvendinti Praktinių įgūdžių įgijimo rėmimo ir skatinimo priemonė, finansuoti 36 projektai. Numatoma, kad pasinaudoj</w:t>
            </w:r>
            <w:r>
              <w:rPr>
                <w:rStyle w:val="normaltextrun"/>
                <w:iCs/>
                <w:color w:val="000000"/>
                <w:lang w:val="lt-LT"/>
              </w:rPr>
              <w:t>ęs</w:t>
            </w:r>
            <w:r w:rsidRPr="00A03D14">
              <w:rPr>
                <w:rStyle w:val="normaltextrun"/>
                <w:iCs/>
                <w:color w:val="000000"/>
                <w:lang w:val="lt-LT"/>
              </w:rPr>
              <w:t xml:space="preserve"> priemone 441 asmuo dalį profesinio mokymo programos mokysis </w:t>
            </w:r>
            <w:r>
              <w:rPr>
                <w:rStyle w:val="normaltextrun"/>
                <w:iCs/>
                <w:color w:val="000000"/>
                <w:lang w:val="lt-LT"/>
              </w:rPr>
              <w:t xml:space="preserve">tikroje </w:t>
            </w:r>
            <w:r w:rsidRPr="00A03D14">
              <w:rPr>
                <w:rStyle w:val="normaltextrun"/>
                <w:iCs/>
                <w:color w:val="000000"/>
                <w:lang w:val="lt-LT"/>
              </w:rPr>
              <w:t xml:space="preserve"> darbo vietoje ir 3</w:t>
            </w:r>
            <w:r>
              <w:rPr>
                <w:rStyle w:val="normaltextrun"/>
                <w:iCs/>
                <w:color w:val="000000"/>
                <w:lang w:val="lt-LT"/>
              </w:rPr>
              <w:t xml:space="preserve"> </w:t>
            </w:r>
            <w:r w:rsidRPr="00A03D14">
              <w:rPr>
                <w:rStyle w:val="normaltextrun"/>
                <w:iCs/>
                <w:color w:val="000000"/>
                <w:lang w:val="lt-LT"/>
              </w:rPr>
              <w:t>392 asm</w:t>
            </w:r>
            <w:r>
              <w:rPr>
                <w:rStyle w:val="normaltextrun"/>
                <w:iCs/>
                <w:color w:val="000000"/>
                <w:lang w:val="lt-LT"/>
              </w:rPr>
              <w:t>enys</w:t>
            </w:r>
            <w:r w:rsidRPr="00A03D14">
              <w:rPr>
                <w:rStyle w:val="normaltextrun"/>
                <w:iCs/>
                <w:color w:val="000000"/>
                <w:lang w:val="lt-LT"/>
              </w:rPr>
              <w:t xml:space="preserve"> dalį profesinio mokymo programos mokysis sektoriniame praktinio mokymo centre.</w:t>
            </w:r>
            <w:r w:rsidRPr="00A03D14">
              <w:rPr>
                <w:rStyle w:val="eop"/>
                <w:color w:val="000000"/>
                <w:lang w:val="lt-LT"/>
              </w:rPr>
              <w:t> </w:t>
            </w:r>
          </w:p>
          <w:p w14:paraId="5FD3C416" w14:textId="77777777" w:rsidR="00B20E88" w:rsidRPr="00A03D14" w:rsidRDefault="00B20E88" w:rsidP="00B20E88">
            <w:pPr>
              <w:jc w:val="both"/>
              <w:rPr>
                <w:szCs w:val="24"/>
              </w:rPr>
            </w:pPr>
            <w:r>
              <w:rPr>
                <w:b/>
                <w:bCs/>
                <w:szCs w:val="24"/>
              </w:rPr>
              <w:t>O</w:t>
            </w:r>
            <w:r w:rsidRPr="00A03D14">
              <w:rPr>
                <w:b/>
                <w:bCs/>
                <w:szCs w:val="24"/>
              </w:rPr>
              <w:t>ptimiz</w:t>
            </w:r>
            <w:r>
              <w:rPr>
                <w:b/>
                <w:bCs/>
                <w:szCs w:val="24"/>
              </w:rPr>
              <w:t>uoja</w:t>
            </w:r>
            <w:r w:rsidRPr="00A03D14">
              <w:rPr>
                <w:b/>
                <w:bCs/>
                <w:szCs w:val="24"/>
              </w:rPr>
              <w:t xml:space="preserve">mas </w:t>
            </w:r>
            <w:r>
              <w:rPr>
                <w:b/>
                <w:bCs/>
                <w:szCs w:val="24"/>
              </w:rPr>
              <w:t>v</w:t>
            </w:r>
            <w:r w:rsidRPr="00A03D14">
              <w:rPr>
                <w:b/>
                <w:bCs/>
                <w:szCs w:val="24"/>
              </w:rPr>
              <w:t>idaus tarnybos sistemai priklausančių profesinio mokymo įstaigų tinkl</w:t>
            </w:r>
            <w:r>
              <w:rPr>
                <w:b/>
                <w:bCs/>
                <w:szCs w:val="24"/>
              </w:rPr>
              <w:t>as</w:t>
            </w:r>
            <w:r w:rsidRPr="00A03D14">
              <w:rPr>
                <w:b/>
                <w:bCs/>
                <w:szCs w:val="24"/>
              </w:rPr>
              <w:t xml:space="preserve"> ir stiprin</w:t>
            </w:r>
            <w:r>
              <w:rPr>
                <w:b/>
                <w:bCs/>
                <w:szCs w:val="24"/>
              </w:rPr>
              <w:t>a</w:t>
            </w:r>
            <w:r w:rsidRPr="00A03D14">
              <w:rPr>
                <w:b/>
                <w:bCs/>
                <w:szCs w:val="24"/>
              </w:rPr>
              <w:t>m</w:t>
            </w:r>
            <w:r>
              <w:rPr>
                <w:b/>
                <w:bCs/>
                <w:szCs w:val="24"/>
              </w:rPr>
              <w:t>os</w:t>
            </w:r>
            <w:r w:rsidRPr="00A03D14">
              <w:rPr>
                <w:b/>
                <w:bCs/>
                <w:szCs w:val="24"/>
              </w:rPr>
              <w:t xml:space="preserve"> mokymo bazės, skirtos</w:t>
            </w:r>
            <w:r>
              <w:rPr>
                <w:b/>
                <w:bCs/>
                <w:szCs w:val="24"/>
              </w:rPr>
              <w:t xml:space="preserve"> kvalifikacijai</w:t>
            </w:r>
            <w:r w:rsidRPr="00A03D14">
              <w:rPr>
                <w:b/>
                <w:bCs/>
                <w:szCs w:val="24"/>
              </w:rPr>
              <w:t xml:space="preserve"> įgyti ar</w:t>
            </w:r>
            <w:r>
              <w:rPr>
                <w:b/>
                <w:bCs/>
                <w:szCs w:val="24"/>
              </w:rPr>
              <w:t xml:space="preserve"> tobulinti. </w:t>
            </w:r>
            <w:r w:rsidRPr="00A03D14">
              <w:rPr>
                <w:szCs w:val="24"/>
              </w:rPr>
              <w:t>Parengti reik</w:t>
            </w:r>
            <w:r>
              <w:rPr>
                <w:szCs w:val="24"/>
              </w:rPr>
              <w:t>iami</w:t>
            </w:r>
            <w:r w:rsidRPr="00A03D14">
              <w:rPr>
                <w:szCs w:val="24"/>
              </w:rPr>
              <w:t xml:space="preserve"> įstatymų projektai pateikti svarstyti Seimui. Parengtas šaudyklos ir mokomojo policijos taktikos poligono  statybos ir infrastruktūros sukūrimo investicijų projektas ir rengiamas techninis projektas. Rengiamas padidėjusios rizikos situacijų įveikimo mokymo komplekso įrengimo investicijų projektas</w:t>
            </w:r>
            <w:r>
              <w:rPr>
                <w:szCs w:val="24"/>
              </w:rPr>
              <w:t xml:space="preserve">. </w:t>
            </w:r>
            <w:r w:rsidRPr="00A03D14">
              <w:rPr>
                <w:szCs w:val="24"/>
              </w:rPr>
              <w:t>Sukūrus efektyvų vidaus tarnybos sistemos pareigūnų rengimo mechanizmą, bus sudarytos galimybės asmenims dalyvauti darbo rinkoje taip pat ir vidaus tarnybos kontekste – plečiama darbo rinkos „geografija“. Kartu taikant šį mechanizmą įgyti įgūdžiai gali būti lanksčiai pritaikyti ir kitose darbo rinkos srityse</w:t>
            </w:r>
            <w:r>
              <w:rPr>
                <w:szCs w:val="24"/>
              </w:rPr>
              <w:t>.</w:t>
            </w:r>
          </w:p>
          <w:p w14:paraId="5A1669DD" w14:textId="77777777" w:rsidR="00B20E88" w:rsidRPr="00A03D14" w:rsidRDefault="00B20E88" w:rsidP="00B20E88">
            <w:pPr>
              <w:jc w:val="both"/>
              <w:rPr>
                <w:rStyle w:val="normaltextrun"/>
                <w:color w:val="000000"/>
                <w:szCs w:val="24"/>
              </w:rPr>
            </w:pPr>
            <w:r>
              <w:rPr>
                <w:rStyle w:val="normaltextrun"/>
                <w:b/>
                <w:bCs/>
                <w:color w:val="000000"/>
                <w:szCs w:val="24"/>
                <w:shd w:val="clear" w:color="auto" w:fill="FFFFFF"/>
              </w:rPr>
              <w:t>P</w:t>
            </w:r>
            <w:r w:rsidRPr="00A03D14">
              <w:rPr>
                <w:rStyle w:val="normaltextrun"/>
                <w:b/>
                <w:bCs/>
                <w:color w:val="000000"/>
                <w:szCs w:val="24"/>
                <w:shd w:val="clear" w:color="auto" w:fill="FFFFFF"/>
              </w:rPr>
              <w:t>lėto</w:t>
            </w:r>
            <w:r>
              <w:rPr>
                <w:rStyle w:val="normaltextrun"/>
                <w:b/>
                <w:bCs/>
                <w:color w:val="000000"/>
                <w:szCs w:val="24"/>
                <w:shd w:val="clear" w:color="auto" w:fill="FFFFFF"/>
              </w:rPr>
              <w:t>jamos</w:t>
            </w:r>
            <w:r w:rsidRPr="00A03D14">
              <w:rPr>
                <w:rStyle w:val="normaltextrun"/>
                <w:b/>
                <w:bCs/>
                <w:color w:val="000000"/>
                <w:szCs w:val="24"/>
                <w:shd w:val="clear" w:color="auto" w:fill="FFFFFF"/>
              </w:rPr>
              <w:t xml:space="preserve"> suaugusiųjų švietimo veikl</w:t>
            </w:r>
            <w:r>
              <w:rPr>
                <w:rStyle w:val="normaltextrun"/>
                <w:b/>
                <w:bCs/>
                <w:color w:val="000000"/>
                <w:szCs w:val="24"/>
                <w:shd w:val="clear" w:color="auto" w:fill="FFFFFF"/>
              </w:rPr>
              <w:t>o</w:t>
            </w:r>
            <w:r w:rsidRPr="00A03D14">
              <w:rPr>
                <w:rStyle w:val="normaltextrun"/>
                <w:b/>
                <w:bCs/>
                <w:color w:val="000000"/>
                <w:szCs w:val="24"/>
                <w:shd w:val="clear" w:color="auto" w:fill="FFFFFF"/>
              </w:rPr>
              <w:t>s, suteikiant besimokantiems asmenims bendrąsias ir pagrindines kompetencijas</w:t>
            </w:r>
            <w:r w:rsidRPr="00A03D14">
              <w:rPr>
                <w:rStyle w:val="eop"/>
                <w:color w:val="000000"/>
                <w:szCs w:val="24"/>
                <w:shd w:val="clear" w:color="auto" w:fill="FFFFFF"/>
              </w:rPr>
              <w:t xml:space="preserve">. </w:t>
            </w:r>
            <w:r w:rsidRPr="00A03D14">
              <w:rPr>
                <w:rStyle w:val="normaltextrun"/>
                <w:color w:val="000000"/>
                <w:szCs w:val="24"/>
              </w:rPr>
              <w:t>Savivaldybėms</w:t>
            </w:r>
            <w:r>
              <w:rPr>
                <w:rStyle w:val="normaltextrun"/>
                <w:color w:val="000000"/>
                <w:szCs w:val="24"/>
              </w:rPr>
              <w:t xml:space="preserve"> </w:t>
            </w:r>
            <w:r w:rsidRPr="00A03D14">
              <w:rPr>
                <w:rStyle w:val="normaltextrun"/>
                <w:color w:val="000000"/>
                <w:szCs w:val="24"/>
              </w:rPr>
              <w:t xml:space="preserve">/ regionų plėtros taryboms pateikti kvietimai pateikti informaciją </w:t>
            </w:r>
            <w:r>
              <w:rPr>
                <w:rStyle w:val="normaltextrun"/>
                <w:color w:val="000000"/>
                <w:szCs w:val="24"/>
              </w:rPr>
              <w:t xml:space="preserve"> apie </w:t>
            </w:r>
            <w:r w:rsidRPr="00A03D14">
              <w:rPr>
                <w:rStyle w:val="normaltextrun"/>
                <w:color w:val="000000"/>
                <w:szCs w:val="24"/>
              </w:rPr>
              <w:t xml:space="preserve"> galimyb</w:t>
            </w:r>
            <w:r>
              <w:rPr>
                <w:rStyle w:val="normaltextrun"/>
                <w:color w:val="000000"/>
                <w:szCs w:val="24"/>
              </w:rPr>
              <w:t>ę</w:t>
            </w:r>
            <w:r w:rsidRPr="00A03D14">
              <w:rPr>
                <w:rStyle w:val="normaltextrun"/>
                <w:color w:val="000000"/>
                <w:szCs w:val="24"/>
              </w:rPr>
              <w:t xml:space="preserve"> prisijungti prie ESF projekto „Suaugusiųjų švietimo sistemos plėtra suteikiant besimokantiems asmenims bendrąsias ir pagrindines kompetencijas“ veiklų ir organizuoti suaugusiųjų švietimo programas savivaldybės teritorijoje. Tikslas – </w:t>
            </w:r>
            <w:r w:rsidRPr="00A03D14">
              <w:rPr>
                <w:color w:val="000000"/>
                <w:szCs w:val="24"/>
              </w:rPr>
              <w:t>paskatinti suaugusiuosius gerinti savo profesinės karjeros galimybes, didinti galimybes išlikti darbo rinkoje.</w:t>
            </w:r>
            <w:r w:rsidRPr="00A03D14">
              <w:rPr>
                <w:rStyle w:val="normaltextrun"/>
                <w:color w:val="000000"/>
                <w:szCs w:val="24"/>
              </w:rPr>
              <w:t xml:space="preserve"> Projektas apims bendrųjų kompetencijų ir neformalaus profesinio mokymo programų plėtojimą, bus stiprinamas savivaldybių administracinis potencialas plėtoti suaugusiųjų švietimo veiklas. </w:t>
            </w:r>
            <w:r w:rsidRPr="00A03D14">
              <w:rPr>
                <w:color w:val="000000"/>
                <w:szCs w:val="24"/>
              </w:rPr>
              <w:t xml:space="preserve">30 savivaldybių pareiškė ketinimą dalyvauti projekte. </w:t>
            </w:r>
            <w:r w:rsidRPr="00A03D14">
              <w:rPr>
                <w:rStyle w:val="normaltextrun"/>
                <w:color w:val="000000"/>
                <w:szCs w:val="24"/>
              </w:rPr>
              <w:t xml:space="preserve">Viena iš projekto veiklų – mokymosi poreikių savivaldybėse tyrimas. Remiantis jo duomenimis, savivaldybės bus skatinamos kryptingai planuoti veiklas. </w:t>
            </w:r>
            <w:r w:rsidRPr="00A03D14">
              <w:rPr>
                <w:rStyle w:val="normaltextrun"/>
                <w:bCs/>
                <w:color w:val="000000"/>
                <w:szCs w:val="24"/>
              </w:rPr>
              <w:t>Vykdant projektą</w:t>
            </w:r>
            <w:r w:rsidRPr="00A03D14">
              <w:rPr>
                <w:rStyle w:val="normaltextrun"/>
                <w:b/>
                <w:bCs/>
                <w:color w:val="000000"/>
                <w:szCs w:val="24"/>
              </w:rPr>
              <w:t xml:space="preserve"> š</w:t>
            </w:r>
            <w:r w:rsidRPr="00A03D14">
              <w:rPr>
                <w:rStyle w:val="normaltextrun"/>
                <w:color w:val="000000"/>
                <w:szCs w:val="24"/>
              </w:rPr>
              <w:t xml:space="preserve">iuo metu savivaldybėse organizuojami </w:t>
            </w:r>
            <w:r w:rsidRPr="00A03D14">
              <w:rPr>
                <w:rStyle w:val="normaltextrun"/>
                <w:bCs/>
                <w:color w:val="000000"/>
                <w:szCs w:val="24"/>
              </w:rPr>
              <w:t xml:space="preserve">bendrųjų kompetencijų </w:t>
            </w:r>
            <w:r w:rsidRPr="00A03D14">
              <w:rPr>
                <w:rStyle w:val="normaltextrun"/>
                <w:color w:val="000000"/>
                <w:szCs w:val="24"/>
              </w:rPr>
              <w:t>mokymai aktualiomis temomis: „Tėvų švietimas“, „Tarpkultūrinė komunikacija“ ir kt. Iš viso nuo projekto įgyvendinimo pradžios mokymuose</w:t>
            </w:r>
            <w:r>
              <w:rPr>
                <w:rStyle w:val="normaltextrun"/>
                <w:color w:val="000000"/>
                <w:szCs w:val="24"/>
              </w:rPr>
              <w:t xml:space="preserve"> </w:t>
            </w:r>
            <w:r w:rsidRPr="00A03D14">
              <w:rPr>
                <w:rStyle w:val="normaltextrun"/>
                <w:color w:val="000000"/>
                <w:szCs w:val="24"/>
              </w:rPr>
              <w:t>pagal neformaliojo švietimo programas apmokytas 3</w:t>
            </w:r>
            <w:r>
              <w:rPr>
                <w:rStyle w:val="normaltextrun"/>
                <w:color w:val="000000"/>
                <w:szCs w:val="24"/>
              </w:rPr>
              <w:t xml:space="preserve"> </w:t>
            </w:r>
            <w:r w:rsidRPr="00A03D14">
              <w:rPr>
                <w:rStyle w:val="normaltextrun"/>
                <w:color w:val="000000"/>
                <w:szCs w:val="24"/>
              </w:rPr>
              <w:t>201</w:t>
            </w:r>
            <w:r w:rsidRPr="00A03D14">
              <w:rPr>
                <w:rStyle w:val="normaltextrun"/>
                <w:b/>
                <w:bCs/>
                <w:color w:val="E36C0A"/>
                <w:szCs w:val="24"/>
              </w:rPr>
              <w:t> </w:t>
            </w:r>
            <w:r w:rsidRPr="00A03D14">
              <w:rPr>
                <w:rStyle w:val="normaltextrun"/>
                <w:color w:val="000000"/>
                <w:szCs w:val="24"/>
              </w:rPr>
              <w:t>asmuo. Buvo nutarta skirti papildomą finansavimą ir</w:t>
            </w:r>
            <w:r>
              <w:rPr>
                <w:rStyle w:val="normaltextrun"/>
                <w:color w:val="000000"/>
                <w:szCs w:val="24"/>
              </w:rPr>
              <w:t xml:space="preserve"> </w:t>
            </w:r>
            <w:r w:rsidRPr="00A03D14">
              <w:rPr>
                <w:rStyle w:val="normaltextrun"/>
                <w:color w:val="000000"/>
                <w:szCs w:val="24"/>
              </w:rPr>
              <w:t xml:space="preserve">pratęsti šio projekto veiklas iki 2023 m. rugsėjo 1 d. </w:t>
            </w:r>
          </w:p>
          <w:p w14:paraId="28E83660" w14:textId="07684C5C" w:rsidR="00B20E88" w:rsidRPr="00A03D14" w:rsidRDefault="00B20E88" w:rsidP="00B20E88">
            <w:pPr>
              <w:pStyle w:val="paragraph"/>
              <w:spacing w:before="0" w:beforeAutospacing="0" w:after="0" w:afterAutospacing="0"/>
              <w:jc w:val="both"/>
              <w:textAlignment w:val="baseline"/>
              <w:rPr>
                <w:b/>
                <w:lang w:val="lt-LT"/>
              </w:rPr>
            </w:pPr>
            <w:r w:rsidRPr="00A03D14">
              <w:rPr>
                <w:rStyle w:val="normaltextrun"/>
                <w:b/>
                <w:bCs/>
                <w:lang w:val="lt-LT"/>
              </w:rPr>
              <w:lastRenderedPageBreak/>
              <w:t>S</w:t>
            </w:r>
            <w:r>
              <w:rPr>
                <w:rStyle w:val="normaltextrun"/>
                <w:b/>
                <w:bCs/>
                <w:lang w:val="lt-LT"/>
              </w:rPr>
              <w:t>iekiama s</w:t>
            </w:r>
            <w:r w:rsidRPr="00A03D14">
              <w:rPr>
                <w:rStyle w:val="normaltextrun"/>
                <w:b/>
                <w:bCs/>
                <w:lang w:val="lt-LT"/>
              </w:rPr>
              <w:t xml:space="preserve">ukurti suaugusiųjų švietimo finansavimo modelį ir jį įgyvendinti naudojantis </w:t>
            </w:r>
            <w:r>
              <w:rPr>
                <w:rStyle w:val="normaltextrun"/>
                <w:b/>
                <w:bCs/>
                <w:lang w:val="lt-LT"/>
              </w:rPr>
              <w:t xml:space="preserve">bendra </w:t>
            </w:r>
            <w:r w:rsidRPr="00A03D14">
              <w:rPr>
                <w:rStyle w:val="normaltextrun"/>
                <w:b/>
                <w:bCs/>
                <w:lang w:val="lt-LT"/>
              </w:rPr>
              <w:t xml:space="preserve"> elektronine sistema</w:t>
            </w:r>
            <w:r>
              <w:rPr>
                <w:rStyle w:val="normaltextrun"/>
                <w:b/>
                <w:bCs/>
                <w:lang w:val="lt-LT"/>
              </w:rPr>
              <w:t xml:space="preserve">. </w:t>
            </w:r>
            <w:r w:rsidRPr="00A03D14">
              <w:rPr>
                <w:rStyle w:val="normaltextrun"/>
                <w:lang w:val="lt-LT"/>
              </w:rPr>
              <w:t xml:space="preserve">Pradėtas rengti </w:t>
            </w:r>
            <w:r>
              <w:rPr>
                <w:rStyle w:val="normaltextrun"/>
                <w:lang w:val="lt-LT"/>
              </w:rPr>
              <w:t>mokymosi visą gyvenimą</w:t>
            </w:r>
            <w:r w:rsidRPr="00A03D14">
              <w:rPr>
                <w:rStyle w:val="normaltextrun"/>
                <w:lang w:val="lt-LT"/>
              </w:rPr>
              <w:t xml:space="preserve"> reformos komponentas, kuris bus pristatytas </w:t>
            </w:r>
            <w:r w:rsidR="0002580A">
              <w:rPr>
                <w:rStyle w:val="normaltextrun"/>
                <w:lang w:val="lt-LT"/>
              </w:rPr>
              <w:t>E</w:t>
            </w:r>
            <w:r w:rsidR="0002580A">
              <w:rPr>
                <w:rStyle w:val="normaltextrun"/>
              </w:rPr>
              <w:t>K.</w:t>
            </w:r>
          </w:p>
          <w:p w14:paraId="5863051E" w14:textId="1335303A" w:rsidR="00B20E88" w:rsidRDefault="00B20E88" w:rsidP="00CA13A1">
            <w:pPr>
              <w:tabs>
                <w:tab w:val="left" w:pos="1032"/>
                <w:tab w:val="left" w:pos="1741"/>
              </w:tabs>
              <w:jc w:val="both"/>
              <w:rPr>
                <w:rStyle w:val="normaltextrun"/>
                <w:color w:val="000000"/>
              </w:rPr>
            </w:pPr>
            <w:r>
              <w:rPr>
                <w:rStyle w:val="normaltextrun"/>
                <w:b/>
                <w:bCs/>
              </w:rPr>
              <w:t>A</w:t>
            </w:r>
            <w:r w:rsidRPr="00A03D14">
              <w:rPr>
                <w:rStyle w:val="normaltextrun"/>
                <w:b/>
                <w:bCs/>
              </w:rPr>
              <w:t>tnaujin</w:t>
            </w:r>
            <w:r>
              <w:rPr>
                <w:rStyle w:val="normaltextrun"/>
                <w:b/>
                <w:bCs/>
              </w:rPr>
              <w:t>amos</w:t>
            </w:r>
            <w:r w:rsidRPr="00A03D14">
              <w:rPr>
                <w:rStyle w:val="normaltextrun"/>
                <w:b/>
                <w:bCs/>
              </w:rPr>
              <w:t xml:space="preserve"> pradinio, pagrindinio ir vidurinio ugdymo program</w:t>
            </w:r>
            <w:r>
              <w:rPr>
                <w:rStyle w:val="normaltextrun"/>
                <w:b/>
                <w:bCs/>
              </w:rPr>
              <w:t>o</w:t>
            </w:r>
            <w:r w:rsidRPr="00A03D14">
              <w:rPr>
                <w:rStyle w:val="normaltextrun"/>
                <w:b/>
                <w:bCs/>
              </w:rPr>
              <w:t>s ir parengti ugdymo rezultatų apraš</w:t>
            </w:r>
            <w:r>
              <w:rPr>
                <w:rStyle w:val="normaltextrun"/>
                <w:b/>
                <w:bCs/>
              </w:rPr>
              <w:t xml:space="preserve">ai. </w:t>
            </w:r>
            <w:r w:rsidRPr="00A03D14">
              <w:rPr>
                <w:rStyle w:val="normaltextrun"/>
                <w:color w:val="000000"/>
              </w:rPr>
              <w:t xml:space="preserve">Patvirtintos Bendrųjų programų atnaujinimo gairės, kuriose nustatytos bendrųjų programų pokyčių sritys: tikslai, ugdymosi rezultatai (kompetencijos), mokymosi turinys ir mokinių pasiekimų vertinimo kaita; parengtas Mokyklinio amžiaus vaiko ir jaunuolio </w:t>
            </w:r>
            <w:proofErr w:type="spellStart"/>
            <w:r w:rsidRPr="00A03D14">
              <w:rPr>
                <w:rStyle w:val="normaltextrun"/>
                <w:color w:val="000000"/>
              </w:rPr>
              <w:t>kognityviosios</w:t>
            </w:r>
            <w:proofErr w:type="spellEnd"/>
            <w:r w:rsidRPr="00A03D14">
              <w:rPr>
                <w:rStyle w:val="normaltextrun"/>
                <w:color w:val="000000"/>
              </w:rPr>
              <w:t xml:space="preserve"> ir socialinės–emocinės raidos</w:t>
            </w:r>
            <w:r>
              <w:rPr>
                <w:rStyle w:val="normaltextrun"/>
                <w:color w:val="000000"/>
              </w:rPr>
              <w:t xml:space="preserve"> </w:t>
            </w:r>
            <w:r w:rsidRPr="00A03D14">
              <w:rPr>
                <w:rStyle w:val="normaltextrun"/>
                <w:color w:val="000000"/>
              </w:rPr>
              <w:t>aprašas, Kompetencijų (komunikavimo, kultūrinės, kūrybiškumo, pažinimo, pilietiškumo ir  socialinės, emocinės ir sveikos gyvensenos) raidos 1–12 klasėse aprašai, Bendrųjų programų atnaujinimo vadovas; parengti pradinio bei pagrindinio ugdymo bendrųjų programų projektai. Planuojama, kad vidurinio ugdymo program</w:t>
            </w:r>
            <w:r>
              <w:rPr>
                <w:rStyle w:val="normaltextrun"/>
                <w:color w:val="000000"/>
              </w:rPr>
              <w:t>os bus</w:t>
            </w:r>
            <w:r w:rsidRPr="00A03D14">
              <w:rPr>
                <w:rStyle w:val="normaltextrun"/>
                <w:color w:val="000000"/>
              </w:rPr>
              <w:t xml:space="preserve"> atnaujin</w:t>
            </w:r>
            <w:r>
              <w:rPr>
                <w:rStyle w:val="normaltextrun"/>
                <w:color w:val="000000"/>
              </w:rPr>
              <w:t>amos</w:t>
            </w:r>
            <w:r w:rsidRPr="00A03D14">
              <w:rPr>
                <w:rStyle w:val="normaltextrun"/>
                <w:color w:val="000000"/>
              </w:rPr>
              <w:t xml:space="preserve">  2020 m. gruodžio – 2021 m. gegužės mėn. Atnaujintų programų </w:t>
            </w:r>
            <w:r>
              <w:rPr>
                <w:rStyle w:val="normaltextrun"/>
                <w:color w:val="000000"/>
              </w:rPr>
              <w:t xml:space="preserve">bandomasis </w:t>
            </w:r>
            <w:r w:rsidRPr="00A03D14">
              <w:rPr>
                <w:rStyle w:val="normaltextrun"/>
                <w:color w:val="000000"/>
              </w:rPr>
              <w:t xml:space="preserve"> įgyvendinimas mokyklose prasidės 2021 m. rugsėjo mėn. Planuojama, kad atnaujintos pradinio, pagrindinio ir</w:t>
            </w:r>
            <w:r>
              <w:rPr>
                <w:rStyle w:val="normaltextrun"/>
                <w:color w:val="000000"/>
              </w:rPr>
              <w:t xml:space="preserve"> </w:t>
            </w:r>
            <w:r w:rsidRPr="00A03D14">
              <w:rPr>
                <w:rStyle w:val="normaltextrun"/>
                <w:color w:val="000000"/>
              </w:rPr>
              <w:t>vidurinio ugdymo programos bus patvirtintos 2022 m. II </w:t>
            </w:r>
            <w:proofErr w:type="spellStart"/>
            <w:r w:rsidRPr="00A03D14">
              <w:rPr>
                <w:rStyle w:val="normaltextrun"/>
                <w:color w:val="000000"/>
              </w:rPr>
              <w:t>ketv</w:t>
            </w:r>
            <w:proofErr w:type="spellEnd"/>
            <w:r w:rsidR="00C6560C">
              <w:rPr>
                <w:rStyle w:val="normaltextrun"/>
                <w:color w:val="000000"/>
              </w:rPr>
              <w:t>.</w:t>
            </w:r>
          </w:p>
          <w:p w14:paraId="22D3301C" w14:textId="77777777" w:rsidR="00C6560C" w:rsidRPr="0047718D" w:rsidRDefault="00C6560C" w:rsidP="00C6560C">
            <w:pPr>
              <w:tabs>
                <w:tab w:val="left" w:pos="1032"/>
                <w:tab w:val="left" w:pos="1741"/>
              </w:tabs>
              <w:jc w:val="both"/>
              <w:rPr>
                <w:iCs/>
                <w:szCs w:val="24"/>
              </w:rPr>
            </w:pPr>
            <w:r w:rsidRPr="00A03D14">
              <w:rPr>
                <w:b/>
                <w:szCs w:val="24"/>
              </w:rPr>
              <w:t xml:space="preserve">Suteikta ir tobulinta kvalifikacija </w:t>
            </w:r>
            <w:r>
              <w:rPr>
                <w:b/>
                <w:szCs w:val="24"/>
              </w:rPr>
              <w:t>bei</w:t>
            </w:r>
            <w:r w:rsidRPr="00A03D14">
              <w:rPr>
                <w:b/>
                <w:szCs w:val="24"/>
              </w:rPr>
              <w:t xml:space="preserve"> darbo įgūdžiai darbo ieškantiems asmenims</w:t>
            </w:r>
            <w:r>
              <w:rPr>
                <w:b/>
                <w:szCs w:val="24"/>
              </w:rPr>
              <w:t xml:space="preserve">. </w:t>
            </w:r>
            <w:r w:rsidRPr="00A03D14">
              <w:rPr>
                <w:iCs/>
                <w:szCs w:val="24"/>
              </w:rPr>
              <w:t>Įgyvendinant paramos mokymuisi priemones, 8</w:t>
            </w:r>
            <w:r>
              <w:rPr>
                <w:iCs/>
                <w:szCs w:val="24"/>
              </w:rPr>
              <w:t xml:space="preserve"> </w:t>
            </w:r>
            <w:r w:rsidRPr="00A03D14">
              <w:rPr>
                <w:iCs/>
                <w:szCs w:val="24"/>
              </w:rPr>
              <w:t xml:space="preserve">674 asmenys įgijo naują ar patobulino turimą profesinę kvalifikaciją ir (ar) įgijo trūkstamas kompetencijas (panaudota 14 228,8 tūkst. </w:t>
            </w:r>
            <w:r>
              <w:rPr>
                <w:iCs/>
                <w:szCs w:val="24"/>
              </w:rPr>
              <w:t>e</w:t>
            </w:r>
            <w:r w:rsidRPr="00A03D14">
              <w:rPr>
                <w:iCs/>
                <w:szCs w:val="24"/>
              </w:rPr>
              <w:t>ur</w:t>
            </w:r>
            <w:r>
              <w:rPr>
                <w:iCs/>
                <w:szCs w:val="24"/>
              </w:rPr>
              <w:t>ų</w:t>
            </w:r>
            <w:r w:rsidRPr="00A03D14">
              <w:rPr>
                <w:iCs/>
                <w:szCs w:val="24"/>
              </w:rPr>
              <w:t>).</w:t>
            </w:r>
            <w:r>
              <w:rPr>
                <w:iCs/>
                <w:szCs w:val="24"/>
              </w:rPr>
              <w:t xml:space="preserve"> </w:t>
            </w:r>
            <w:r w:rsidRPr="00A03D14">
              <w:rPr>
                <w:iCs/>
                <w:szCs w:val="24"/>
              </w:rPr>
              <w:t>Karantino laikotarp</w:t>
            </w:r>
            <w:r>
              <w:rPr>
                <w:iCs/>
                <w:szCs w:val="24"/>
              </w:rPr>
              <w:t>iu</w:t>
            </w:r>
            <w:r w:rsidRPr="00A03D14">
              <w:rPr>
                <w:iCs/>
                <w:szCs w:val="24"/>
              </w:rPr>
              <w:t xml:space="preserve"> asmenys, dalyvaujantys paramos mokymuisi priemonėse</w:t>
            </w:r>
            <w:r>
              <w:rPr>
                <w:iCs/>
                <w:szCs w:val="24"/>
              </w:rPr>
              <w:t>,</w:t>
            </w:r>
            <w:r w:rsidRPr="00A03D14">
              <w:rPr>
                <w:iCs/>
                <w:szCs w:val="24"/>
              </w:rPr>
              <w:t xml:space="preserve"> nebuvo paliekami be pajamų, mokymo teikėjams sustabdžius veiklą arba darbdaviui paskelbus prastovą, asmenims buvo mokama 0,39  minimalios mėnesinės algos (toliau – MMA) dydžio stipendija.</w:t>
            </w:r>
            <w:r>
              <w:rPr>
                <w:iCs/>
                <w:szCs w:val="24"/>
              </w:rPr>
              <w:t xml:space="preserve"> </w:t>
            </w:r>
            <w:r w:rsidRPr="00A03D14">
              <w:rPr>
                <w:iCs/>
                <w:szCs w:val="24"/>
              </w:rPr>
              <w:t>Siekiant skatinti dalyvavimą pameistrystė</w:t>
            </w:r>
            <w:r>
              <w:rPr>
                <w:iCs/>
                <w:szCs w:val="24"/>
              </w:rPr>
              <w:t xml:space="preserve"> veikloje,</w:t>
            </w:r>
            <w:r w:rsidRPr="00A03D14">
              <w:rPr>
                <w:iCs/>
                <w:szCs w:val="24"/>
              </w:rPr>
              <w:t xml:space="preserve"> pakeistos Užimtumo įstatymo nuostatos </w:t>
            </w:r>
            <w:r>
              <w:rPr>
                <w:iCs/>
                <w:szCs w:val="24"/>
              </w:rPr>
              <w:t xml:space="preserve">– </w:t>
            </w:r>
            <w:r w:rsidRPr="00A03D14">
              <w:rPr>
                <w:iCs/>
                <w:szCs w:val="24"/>
              </w:rPr>
              <w:t xml:space="preserve"> pameistrio darbo užmokesčio kompensacijos dal</w:t>
            </w:r>
            <w:r>
              <w:rPr>
                <w:iCs/>
                <w:szCs w:val="24"/>
              </w:rPr>
              <w:t>is padidinta</w:t>
            </w:r>
            <w:r w:rsidRPr="00A03D14">
              <w:rPr>
                <w:iCs/>
                <w:szCs w:val="24"/>
              </w:rPr>
              <w:t xml:space="preserve"> nuo 40 iki 70 proc</w:t>
            </w:r>
            <w:r>
              <w:rPr>
                <w:iCs/>
                <w:szCs w:val="24"/>
              </w:rPr>
              <w:t>.</w:t>
            </w:r>
            <w:r w:rsidRPr="00A03D14">
              <w:rPr>
                <w:iCs/>
                <w:szCs w:val="24"/>
              </w:rPr>
              <w:t xml:space="preserve">, padidintas kompensacijos maksimalus dydis nuo 1 iki 1,5 MMA </w:t>
            </w:r>
            <w:r>
              <w:rPr>
                <w:iCs/>
                <w:szCs w:val="24"/>
              </w:rPr>
              <w:t xml:space="preserve">ir </w:t>
            </w:r>
            <w:r w:rsidRPr="00A03D14">
              <w:rPr>
                <w:iCs/>
                <w:szCs w:val="24"/>
              </w:rPr>
              <w:t xml:space="preserve"> įteisintas profesijos meistro, pameistrio darbinės veiklos ir praktinio </w:t>
            </w:r>
            <w:r w:rsidRPr="0047718D">
              <w:rPr>
                <w:iCs/>
                <w:szCs w:val="24"/>
              </w:rPr>
              <w:t>mokymo organizavimo ir koordinavimo išlaidų kompensavimas.</w:t>
            </w:r>
          </w:p>
          <w:p w14:paraId="569ADC86" w14:textId="77777777" w:rsidR="00BF67F2" w:rsidRPr="0047718D" w:rsidRDefault="00BF67F2" w:rsidP="00CA13A1">
            <w:pPr>
              <w:tabs>
                <w:tab w:val="left" w:pos="1741"/>
              </w:tabs>
              <w:jc w:val="both"/>
              <w:rPr>
                <w:iCs/>
                <w:szCs w:val="24"/>
              </w:rPr>
            </w:pPr>
            <w:r w:rsidRPr="0047718D">
              <w:rPr>
                <w:b/>
                <w:szCs w:val="24"/>
              </w:rPr>
              <w:t xml:space="preserve">Kompensuojamos darbdaviams jų darbuotojams mokamo darbo užmokesčio dalis už prastovos laiką ir teikiamos subsidijos darbo užmokesčiui; darbdaviams, išlaikiusiems darbo vietas prastovos metu, pasibaigus Vyriausybės paskelbtos ekstremaliosios situacijos ir (ar) karantino laikotarpiui ir darbdaviams, įdarbinusiems bedarbius. </w:t>
            </w:r>
            <w:r w:rsidRPr="0047718D">
              <w:rPr>
                <w:iCs/>
                <w:szCs w:val="24"/>
              </w:rPr>
              <w:t>Vyriausybės paskelbtos ekstremaliosios situacijos ir karantino laikotarpiu (nuo 2020 m. kovo 16 d. iki 2020 m. gruodžio 31d.):</w:t>
            </w:r>
          </w:p>
          <w:p w14:paraId="0E0AD8F3" w14:textId="77777777" w:rsidR="00BF67F2" w:rsidRPr="0047718D" w:rsidRDefault="00BF67F2" w:rsidP="00CA13A1">
            <w:pPr>
              <w:tabs>
                <w:tab w:val="left" w:pos="1741"/>
              </w:tabs>
              <w:jc w:val="both"/>
              <w:rPr>
                <w:iCs/>
                <w:szCs w:val="24"/>
              </w:rPr>
            </w:pPr>
            <w:r w:rsidRPr="0047718D">
              <w:rPr>
                <w:iCs/>
                <w:szCs w:val="24"/>
              </w:rPr>
              <w:t xml:space="preserve">25 tūkst. darbdavių, paskelbė prastovas 232 tūkst. darbuotojams ir kreipėsi į Užimtumo tarnybą dėl subsidijų darbo užmokesčiui (183 017 tūkst. eurų). </w:t>
            </w:r>
          </w:p>
          <w:p w14:paraId="513194B4" w14:textId="77777777" w:rsidR="00BF67F2" w:rsidRPr="00A03D14" w:rsidRDefault="00BF67F2" w:rsidP="00CA13A1">
            <w:pPr>
              <w:tabs>
                <w:tab w:val="left" w:pos="1741"/>
              </w:tabs>
              <w:jc w:val="both"/>
              <w:rPr>
                <w:b/>
                <w:iCs/>
                <w:szCs w:val="24"/>
              </w:rPr>
            </w:pPr>
            <w:r w:rsidRPr="0047718D">
              <w:rPr>
                <w:iCs/>
                <w:szCs w:val="24"/>
              </w:rPr>
              <w:t>27,5 tūkst. darbdavių, išlaikiusiems darbo vietas prastovos metu, pasibaigus Vyriausybės paskelbtos ekstremaliosios situacijos ir karantino laikotarpiui ir darbdaviams, įdarbinusiems bedarbius (iš viso už 260 tūkst. darbuotojų, kompensuota 545 939 tūkst. eurų).</w:t>
            </w:r>
            <w:r w:rsidRPr="00A03D14">
              <w:rPr>
                <w:iCs/>
                <w:szCs w:val="24"/>
              </w:rPr>
              <w:t xml:space="preserve"> </w:t>
            </w:r>
          </w:p>
          <w:p w14:paraId="7622A098" w14:textId="77777777" w:rsidR="00BF67F2" w:rsidRPr="000832CA" w:rsidRDefault="00BF67F2" w:rsidP="00CA13A1">
            <w:pPr>
              <w:tabs>
                <w:tab w:val="left" w:pos="1741"/>
              </w:tabs>
              <w:jc w:val="both"/>
              <w:rPr>
                <w:iCs/>
                <w:szCs w:val="24"/>
              </w:rPr>
            </w:pPr>
            <w:r w:rsidRPr="000832CA">
              <w:rPr>
                <w:b/>
                <w:szCs w:val="24"/>
              </w:rPr>
              <w:t xml:space="preserve">Remiant įdarbinimą subsidijuojant, kai mokama subsidija darbo užmokesčiui, priemonei, kurioje bedarbiai dirbs pagal terminuoto ar sezoninio darbo sutartis, įgyvendinti. </w:t>
            </w:r>
            <w:r w:rsidRPr="000832CA">
              <w:rPr>
                <w:iCs/>
                <w:szCs w:val="24"/>
              </w:rPr>
              <w:t>Valstybės biudžeto lėšomis finansuotas 181 asmuo, išmokėta</w:t>
            </w:r>
            <w:r w:rsidRPr="000832CA">
              <w:rPr>
                <w:b/>
                <w:iCs/>
                <w:szCs w:val="24"/>
              </w:rPr>
              <w:t xml:space="preserve"> </w:t>
            </w:r>
            <w:r w:rsidRPr="000832CA">
              <w:rPr>
                <w:iCs/>
                <w:szCs w:val="24"/>
              </w:rPr>
              <w:t>12</w:t>
            </w:r>
            <w:r>
              <w:rPr>
                <w:iCs/>
                <w:szCs w:val="24"/>
              </w:rPr>
              <w:t>5</w:t>
            </w:r>
            <w:r w:rsidRPr="000832CA">
              <w:rPr>
                <w:iCs/>
                <w:szCs w:val="24"/>
              </w:rPr>
              <w:t xml:space="preserve"> tūkst. </w:t>
            </w:r>
            <w:r>
              <w:rPr>
                <w:iCs/>
                <w:szCs w:val="24"/>
              </w:rPr>
              <w:t>e</w:t>
            </w:r>
            <w:r w:rsidRPr="00A03D14">
              <w:rPr>
                <w:iCs/>
                <w:szCs w:val="24"/>
              </w:rPr>
              <w:t>ur</w:t>
            </w:r>
            <w:r>
              <w:rPr>
                <w:iCs/>
                <w:szCs w:val="24"/>
              </w:rPr>
              <w:t>ų</w:t>
            </w:r>
            <w:r w:rsidRPr="000832CA">
              <w:rPr>
                <w:iCs/>
                <w:szCs w:val="24"/>
              </w:rPr>
              <w:t>.</w:t>
            </w:r>
          </w:p>
          <w:p w14:paraId="2977D3F1" w14:textId="77777777" w:rsidR="00BF67F2" w:rsidRPr="00A03D14" w:rsidRDefault="00BF67F2" w:rsidP="00CA13A1">
            <w:pPr>
              <w:tabs>
                <w:tab w:val="left" w:pos="1741"/>
              </w:tabs>
              <w:jc w:val="both"/>
              <w:rPr>
                <w:iCs/>
                <w:szCs w:val="24"/>
              </w:rPr>
            </w:pPr>
            <w:r w:rsidRPr="00A03D14">
              <w:rPr>
                <w:b/>
                <w:szCs w:val="24"/>
              </w:rPr>
              <w:t>Skatin</w:t>
            </w:r>
            <w:r>
              <w:rPr>
                <w:b/>
                <w:szCs w:val="24"/>
              </w:rPr>
              <w:t>ama</w:t>
            </w:r>
            <w:r w:rsidRPr="00A03D14">
              <w:rPr>
                <w:b/>
                <w:szCs w:val="24"/>
              </w:rPr>
              <w:t xml:space="preserve"> param</w:t>
            </w:r>
            <w:r>
              <w:rPr>
                <w:b/>
                <w:szCs w:val="24"/>
              </w:rPr>
              <w:t>a</w:t>
            </w:r>
            <w:r w:rsidRPr="00A03D14">
              <w:rPr>
                <w:b/>
                <w:szCs w:val="24"/>
              </w:rPr>
              <w:t xml:space="preserve"> darbo vietoms steigti ir remti savarankišką užimtumą, kai savarankiško užimtumo išmoką gavę asmenys keis savo vykdytą veiklą</w:t>
            </w:r>
            <w:r>
              <w:rPr>
                <w:b/>
                <w:szCs w:val="24"/>
              </w:rPr>
              <w:t xml:space="preserve">. </w:t>
            </w:r>
            <w:r w:rsidRPr="00A03D14">
              <w:rPr>
                <w:iCs/>
                <w:szCs w:val="24"/>
              </w:rPr>
              <w:t xml:space="preserve">Įgyvendinant paramos darbo vietoms steigti priemones per 2020 m. patenkintos 159 vietinių užimtumo iniciatyvų paraiškos, savarankiško užimtumo rėmimo – 607 paraiškos asmenims steigiantiems sau darbo vietas labai mažose įmonėse ir 1606 paraiškos asmenims, keičiantiems ekonominę veiklos rūšį, darbo vietų steigimo (pritaikymo) </w:t>
            </w:r>
            <w:r w:rsidRPr="00A03D14">
              <w:rPr>
                <w:iCs/>
                <w:szCs w:val="24"/>
              </w:rPr>
              <w:lastRenderedPageBreak/>
              <w:t>subsidijavimo – 118 darbdavių pateiktų paraiškų.</w:t>
            </w:r>
            <w:r>
              <w:rPr>
                <w:iCs/>
                <w:szCs w:val="24"/>
              </w:rPr>
              <w:t xml:space="preserve"> </w:t>
            </w:r>
            <w:r w:rsidRPr="00A03D14">
              <w:rPr>
                <w:iCs/>
                <w:szCs w:val="24"/>
              </w:rPr>
              <w:t xml:space="preserve">1257 darbo neturėję asmenys buvo įdarbinti arba susikūrė sau darbo vietas, įgyvendinant paramos darbo vietoms steigti priemones (16 711 tūkst. </w:t>
            </w:r>
            <w:r>
              <w:rPr>
                <w:iCs/>
                <w:szCs w:val="24"/>
              </w:rPr>
              <w:t>e</w:t>
            </w:r>
            <w:r w:rsidRPr="00A03D14">
              <w:rPr>
                <w:iCs/>
                <w:szCs w:val="24"/>
              </w:rPr>
              <w:t>ur</w:t>
            </w:r>
            <w:r>
              <w:rPr>
                <w:iCs/>
                <w:szCs w:val="24"/>
              </w:rPr>
              <w:t>ų</w:t>
            </w:r>
            <w:r w:rsidRPr="00A03D14">
              <w:rPr>
                <w:iCs/>
                <w:szCs w:val="24"/>
              </w:rPr>
              <w:t xml:space="preserve">). 1602 savarankiško užimtumo išmoką gavę asmenys pakeitė savo vykdytą veiklą (10 342 tūkst. </w:t>
            </w:r>
            <w:r>
              <w:rPr>
                <w:iCs/>
                <w:szCs w:val="24"/>
              </w:rPr>
              <w:t>e</w:t>
            </w:r>
            <w:r w:rsidRPr="00A03D14">
              <w:rPr>
                <w:iCs/>
                <w:szCs w:val="24"/>
              </w:rPr>
              <w:t>ur</w:t>
            </w:r>
            <w:r>
              <w:rPr>
                <w:iCs/>
                <w:szCs w:val="24"/>
              </w:rPr>
              <w:t>ų</w:t>
            </w:r>
            <w:r w:rsidRPr="00A03D14">
              <w:rPr>
                <w:iCs/>
                <w:szCs w:val="24"/>
              </w:rPr>
              <w:t xml:space="preserve">). </w:t>
            </w:r>
          </w:p>
          <w:p w14:paraId="750A8D9A" w14:textId="77777777" w:rsidR="00BF67F2" w:rsidRPr="00A03D14" w:rsidRDefault="00BF67F2" w:rsidP="00CA13A1">
            <w:pPr>
              <w:tabs>
                <w:tab w:val="left" w:pos="1741"/>
              </w:tabs>
              <w:jc w:val="both"/>
              <w:rPr>
                <w:iCs/>
                <w:szCs w:val="24"/>
              </w:rPr>
            </w:pPr>
            <w:r w:rsidRPr="00A03D14">
              <w:rPr>
                <w:b/>
                <w:szCs w:val="24"/>
              </w:rPr>
              <w:t>Mokėtos bedarbiams darbo paieškos išmokos ir išmokos savarankiškai dirbantiems asmenims</w:t>
            </w:r>
            <w:r>
              <w:rPr>
                <w:b/>
                <w:szCs w:val="24"/>
              </w:rPr>
              <w:t xml:space="preserve">. </w:t>
            </w:r>
            <w:r w:rsidRPr="001E4BB2">
              <w:rPr>
                <w:bCs/>
                <w:szCs w:val="24"/>
              </w:rPr>
              <w:t>P</w:t>
            </w:r>
            <w:r>
              <w:rPr>
                <w:bCs/>
                <w:szCs w:val="24"/>
              </w:rPr>
              <w:t xml:space="preserve">er </w:t>
            </w:r>
            <w:r w:rsidRPr="00A32B5F">
              <w:rPr>
                <w:bCs/>
                <w:szCs w:val="24"/>
              </w:rPr>
              <w:t xml:space="preserve">2020 m. </w:t>
            </w:r>
            <w:r w:rsidRPr="00A03D14">
              <w:rPr>
                <w:iCs/>
                <w:szCs w:val="24"/>
              </w:rPr>
              <w:t>305521 bedarbiui,  nedalyvaujančiam aktyvios darbo rinkos politikos priemonėse (iki 6 mėn.), mokėta laikina darbo paieškos išmoka (142 09</w:t>
            </w:r>
            <w:r>
              <w:rPr>
                <w:iCs/>
                <w:szCs w:val="24"/>
              </w:rPr>
              <w:t>4</w:t>
            </w:r>
            <w:r w:rsidRPr="00A03D14">
              <w:rPr>
                <w:iCs/>
                <w:szCs w:val="24"/>
              </w:rPr>
              <w:t xml:space="preserve"> tūkst. </w:t>
            </w:r>
            <w:r>
              <w:rPr>
                <w:iCs/>
                <w:szCs w:val="24"/>
              </w:rPr>
              <w:t>e</w:t>
            </w:r>
            <w:r w:rsidRPr="00A03D14">
              <w:rPr>
                <w:iCs/>
                <w:szCs w:val="24"/>
              </w:rPr>
              <w:t>ur</w:t>
            </w:r>
            <w:r>
              <w:rPr>
                <w:iCs/>
                <w:szCs w:val="24"/>
              </w:rPr>
              <w:t>ų</w:t>
            </w:r>
            <w:r w:rsidRPr="00A03D14">
              <w:rPr>
                <w:iCs/>
                <w:szCs w:val="24"/>
              </w:rPr>
              <w:t xml:space="preserve">) ir 103513 savarankiškai dirbantiems asmenims – išmoka (129 598 tūkst. </w:t>
            </w:r>
            <w:r>
              <w:rPr>
                <w:iCs/>
                <w:szCs w:val="24"/>
              </w:rPr>
              <w:t>e</w:t>
            </w:r>
            <w:r w:rsidRPr="00A03D14">
              <w:rPr>
                <w:iCs/>
                <w:szCs w:val="24"/>
              </w:rPr>
              <w:t>ur</w:t>
            </w:r>
            <w:r>
              <w:rPr>
                <w:iCs/>
                <w:szCs w:val="24"/>
              </w:rPr>
              <w:t>ų</w:t>
            </w:r>
            <w:r w:rsidRPr="00A03D14">
              <w:rPr>
                <w:iCs/>
                <w:szCs w:val="24"/>
              </w:rPr>
              <w:t>)</w:t>
            </w:r>
            <w:r>
              <w:rPr>
                <w:iCs/>
                <w:szCs w:val="24"/>
              </w:rPr>
              <w:t>.</w:t>
            </w:r>
          </w:p>
          <w:p w14:paraId="30E750F8" w14:textId="77777777" w:rsidR="00BF67F2" w:rsidRPr="00A03D14" w:rsidRDefault="00BF67F2" w:rsidP="00CA13A1">
            <w:pPr>
              <w:jc w:val="both"/>
              <w:rPr>
                <w:szCs w:val="24"/>
              </w:rPr>
            </w:pPr>
            <w:r w:rsidRPr="00A03D14">
              <w:rPr>
                <w:b/>
                <w:bCs/>
                <w:iCs/>
                <w:szCs w:val="24"/>
              </w:rPr>
              <w:t>Įgyvendin</w:t>
            </w:r>
            <w:r>
              <w:rPr>
                <w:b/>
                <w:bCs/>
                <w:iCs/>
                <w:szCs w:val="24"/>
              </w:rPr>
              <w:t>ama</w:t>
            </w:r>
            <w:r w:rsidRPr="00A03D14">
              <w:rPr>
                <w:b/>
                <w:bCs/>
                <w:iCs/>
                <w:szCs w:val="24"/>
              </w:rPr>
              <w:t xml:space="preserve"> papildom</w:t>
            </w:r>
            <w:r>
              <w:rPr>
                <w:b/>
                <w:bCs/>
                <w:iCs/>
                <w:szCs w:val="24"/>
              </w:rPr>
              <w:t>a</w:t>
            </w:r>
            <w:r w:rsidRPr="00A03D14">
              <w:rPr>
                <w:b/>
                <w:bCs/>
                <w:iCs/>
                <w:szCs w:val="24"/>
              </w:rPr>
              <w:t xml:space="preserve"> mokestin</w:t>
            </w:r>
            <w:r>
              <w:rPr>
                <w:b/>
                <w:bCs/>
                <w:iCs/>
                <w:szCs w:val="24"/>
              </w:rPr>
              <w:t>ė</w:t>
            </w:r>
            <w:r w:rsidRPr="00A03D14">
              <w:rPr>
                <w:b/>
                <w:bCs/>
                <w:iCs/>
                <w:szCs w:val="24"/>
              </w:rPr>
              <w:t xml:space="preserve"> paskat</w:t>
            </w:r>
            <w:r>
              <w:rPr>
                <w:b/>
                <w:bCs/>
                <w:iCs/>
                <w:szCs w:val="24"/>
              </w:rPr>
              <w:t>a</w:t>
            </w:r>
            <w:r w:rsidRPr="00A03D14">
              <w:rPr>
                <w:b/>
                <w:bCs/>
                <w:iCs/>
                <w:szCs w:val="24"/>
              </w:rPr>
              <w:t xml:space="preserve"> mokytis visą gyvenimą, išplėtus galiojančią gyventojų pajamų mokesčio lengvatą</w:t>
            </w:r>
            <w:r>
              <w:rPr>
                <w:b/>
                <w:bCs/>
                <w:iCs/>
                <w:szCs w:val="24"/>
              </w:rPr>
              <w:t xml:space="preserve">. </w:t>
            </w:r>
            <w:r w:rsidRPr="00A03D14">
              <w:rPr>
                <w:szCs w:val="24"/>
              </w:rPr>
              <w:t>2020 m. gruodžio 10 d. Seimui priėmus Gyventojų pajamų mokesčio įstatymo Nr. IX-1007 21 straipsnio pakeitimo įstatymą, išplėsta mokesčio lengvata nuolatiniams Lietuvos gyventojams, kurie mokosi ar studijuoja, numatant galimybę susimažinti mokėtiną pajamų mokestį iš pajamų atskaitant patirtas išlaidas už aukštojo mokslo ar profesines studijas, kuriuos baigus įgyjama atitinkama kvalifikacija ar kompetencija (jei buvo mokomasi pagal profesinio mokymo programos modulį), neatsižvelgiant į tai, kelinta kvalifikacija ar kompetencija įgyjama. Lengvata taikoma apskaičiuojant ir deklaruojant 2020 m</w:t>
            </w:r>
            <w:r>
              <w:rPr>
                <w:szCs w:val="24"/>
              </w:rPr>
              <w:t>.</w:t>
            </w:r>
            <w:r w:rsidRPr="00A03D14">
              <w:rPr>
                <w:szCs w:val="24"/>
              </w:rPr>
              <w:t xml:space="preserve"> ir vėlesnių mokestinių laikotarpių pajamas.</w:t>
            </w:r>
          </w:p>
          <w:p w14:paraId="351A1608" w14:textId="77777777" w:rsidR="00BF67F2" w:rsidRPr="00A03D14" w:rsidRDefault="00BF67F2" w:rsidP="00CA13A1">
            <w:pPr>
              <w:jc w:val="both"/>
              <w:rPr>
                <w:szCs w:val="24"/>
              </w:rPr>
            </w:pPr>
            <w:r w:rsidRPr="00A03D14">
              <w:rPr>
                <w:b/>
                <w:bCs/>
                <w:iCs/>
                <w:szCs w:val="24"/>
              </w:rPr>
              <w:t>Įgyvendin</w:t>
            </w:r>
            <w:r>
              <w:rPr>
                <w:b/>
                <w:bCs/>
                <w:iCs/>
                <w:szCs w:val="24"/>
              </w:rPr>
              <w:t>ama</w:t>
            </w:r>
            <w:r w:rsidRPr="00A03D14">
              <w:rPr>
                <w:szCs w:val="24"/>
              </w:rPr>
              <w:t xml:space="preserve"> </w:t>
            </w:r>
            <w:r>
              <w:rPr>
                <w:b/>
                <w:bCs/>
                <w:szCs w:val="24"/>
              </w:rPr>
              <w:t>k</w:t>
            </w:r>
            <w:r w:rsidRPr="00B6161E">
              <w:rPr>
                <w:b/>
                <w:bCs/>
                <w:szCs w:val="24"/>
              </w:rPr>
              <w:t>ultūros sektoriaus darbuotojų 2020–2022 metų kvalifikacijos tobulinimo programa</w:t>
            </w:r>
            <w:r>
              <w:rPr>
                <w:szCs w:val="24"/>
              </w:rPr>
              <w:t xml:space="preserve">. </w:t>
            </w:r>
            <w:r w:rsidRPr="00A03D14">
              <w:rPr>
                <w:szCs w:val="24"/>
              </w:rPr>
              <w:t xml:space="preserve">2020 m. buvo patvirtinta </w:t>
            </w:r>
            <w:r>
              <w:rPr>
                <w:szCs w:val="24"/>
              </w:rPr>
              <w:t>P</w:t>
            </w:r>
            <w:r w:rsidRPr="00A03D14">
              <w:rPr>
                <w:szCs w:val="24"/>
              </w:rPr>
              <w:t>rogram</w:t>
            </w:r>
            <w:r>
              <w:rPr>
                <w:szCs w:val="24"/>
              </w:rPr>
              <w:t>a, kuri</w:t>
            </w:r>
            <w:r w:rsidRPr="00A03D14">
              <w:rPr>
                <w:szCs w:val="24"/>
              </w:rPr>
              <w:t xml:space="preserve">oje įtvirtintas siekis sukurti tvarią kultūros sektoriaus darbuotojų kvalifikacijos tobulinimo sistemą, orientuotą į kultūros paslaugų kokybinius pokyčius ir užtikrinančią vienodas galimybes viso viešojo kultūros sektoriaus darbuotojams tobulinti savo kvalifikaciją. Numatoma, kad Programos apimtyje ne mažiau kaip 3 tūkst. viešojo sektoriaus kultūros darbuotojų (iš viso 20 proc.) per trejus metus iš esmės patobulins savo bendrąsias, specialiąsias ir profesines kompetencijas ir įgis kvalifikaciją, atitinkančią viešojo sektoriaus kultūros darbuotojų kompetencijų aprašus, orientuotus į aktualias kultūros paslaugas, atitinkančias kintančios visuomenės poreikius, gerą kultūros įstaigų valdymą, paslaugų kokybės ir efektyvumo didinimo rezultatus. Programą įgyvendinti planuojama ES fondų lėšomis, skirtomis viešųjų paslaugų teikėjų kvalifikacijos tobulinimui, kurias administruoja Švietimo, mokslo ir sporto ministerija. </w:t>
            </w:r>
          </w:p>
        </w:tc>
      </w:tr>
      <w:bookmarkEnd w:id="49"/>
    </w:tbl>
    <w:p w14:paraId="620A3B77" w14:textId="77777777" w:rsidR="00BF67F2" w:rsidRPr="00A03D14" w:rsidRDefault="00BF67F2" w:rsidP="00BF67F2">
      <w:pPr>
        <w:jc w:val="both"/>
        <w:rPr>
          <w:szCs w:val="24"/>
        </w:rPr>
      </w:pPr>
    </w:p>
    <w:p w14:paraId="3D981CF2" w14:textId="77777777" w:rsidR="00BF67F2" w:rsidRPr="00A03D14" w:rsidRDefault="00BF67F2" w:rsidP="00BF67F2">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5"/>
        <w:gridCol w:w="1065"/>
        <w:gridCol w:w="1683"/>
        <w:gridCol w:w="1594"/>
        <w:gridCol w:w="1600"/>
        <w:gridCol w:w="1711"/>
      </w:tblGrid>
      <w:tr w:rsidR="00BF67F2" w:rsidRPr="00A03D14" w14:paraId="5DC71109" w14:textId="77777777" w:rsidTr="00CA13A1">
        <w:trPr>
          <w:trHeight w:val="141"/>
        </w:trPr>
        <w:tc>
          <w:tcPr>
            <w:tcW w:w="2513" w:type="pct"/>
            <w:shd w:val="clear" w:color="auto" w:fill="auto"/>
            <w:vAlign w:val="center"/>
          </w:tcPr>
          <w:p w14:paraId="0F9B4C27" w14:textId="77777777" w:rsidR="00BF67F2" w:rsidRPr="00A03D14" w:rsidRDefault="00BF67F2" w:rsidP="00CA13A1">
            <w:pPr>
              <w:tabs>
                <w:tab w:val="left" w:pos="1741"/>
              </w:tabs>
              <w:rPr>
                <w:rFonts w:eastAsia="Calibri"/>
                <w:b/>
                <w:i/>
                <w:szCs w:val="24"/>
              </w:rPr>
            </w:pPr>
            <w:r w:rsidRPr="00A03D14">
              <w:rPr>
                <w:rFonts w:eastAsia="Calibri"/>
                <w:b/>
                <w:i/>
                <w:szCs w:val="24"/>
              </w:rPr>
              <w:t>Rodikliai</w:t>
            </w:r>
          </w:p>
        </w:tc>
        <w:tc>
          <w:tcPr>
            <w:tcW w:w="346" w:type="pct"/>
            <w:shd w:val="clear" w:color="auto" w:fill="1F3864"/>
          </w:tcPr>
          <w:p w14:paraId="53C53EA5" w14:textId="77777777" w:rsidR="00BF67F2" w:rsidRPr="00A03D14" w:rsidRDefault="00BF67F2" w:rsidP="00CA13A1">
            <w:pPr>
              <w:tabs>
                <w:tab w:val="left" w:pos="1741"/>
              </w:tabs>
              <w:jc w:val="center"/>
              <w:rPr>
                <w:rFonts w:eastAsia="Calibri"/>
                <w:b/>
                <w:bCs/>
                <w:i/>
                <w:szCs w:val="24"/>
              </w:rPr>
            </w:pPr>
          </w:p>
        </w:tc>
        <w:tc>
          <w:tcPr>
            <w:tcW w:w="547" w:type="pct"/>
            <w:shd w:val="clear" w:color="auto" w:fill="1F3864"/>
            <w:vAlign w:val="center"/>
          </w:tcPr>
          <w:p w14:paraId="51012EE9" w14:textId="77777777" w:rsidR="00BF67F2" w:rsidRPr="00A03D14" w:rsidRDefault="00BF67F2" w:rsidP="00CA13A1">
            <w:pPr>
              <w:tabs>
                <w:tab w:val="left" w:pos="1741"/>
              </w:tabs>
              <w:jc w:val="center"/>
              <w:rPr>
                <w:rFonts w:eastAsia="Calibri"/>
                <w:b/>
                <w:i/>
                <w:szCs w:val="24"/>
              </w:rPr>
            </w:pPr>
            <w:r w:rsidRPr="00A03D14">
              <w:rPr>
                <w:rFonts w:eastAsia="Calibri"/>
                <w:b/>
                <w:i/>
                <w:szCs w:val="24"/>
              </w:rPr>
              <w:t>2018</w:t>
            </w:r>
          </w:p>
        </w:tc>
        <w:tc>
          <w:tcPr>
            <w:tcW w:w="518" w:type="pct"/>
            <w:shd w:val="clear" w:color="auto" w:fill="1F3864"/>
            <w:vAlign w:val="center"/>
          </w:tcPr>
          <w:p w14:paraId="35717ADC" w14:textId="77777777" w:rsidR="00BF67F2" w:rsidRPr="00A03D14" w:rsidRDefault="00BF67F2" w:rsidP="00CA13A1">
            <w:pPr>
              <w:tabs>
                <w:tab w:val="left" w:pos="1741"/>
              </w:tabs>
              <w:jc w:val="center"/>
              <w:rPr>
                <w:rFonts w:eastAsia="Calibri"/>
                <w:b/>
                <w:i/>
                <w:szCs w:val="24"/>
              </w:rPr>
            </w:pPr>
            <w:r w:rsidRPr="00A03D14">
              <w:rPr>
                <w:rFonts w:eastAsia="Calibri"/>
                <w:b/>
                <w:i/>
                <w:szCs w:val="24"/>
              </w:rPr>
              <w:t>2019</w:t>
            </w:r>
          </w:p>
        </w:tc>
        <w:tc>
          <w:tcPr>
            <w:tcW w:w="520" w:type="pct"/>
            <w:shd w:val="clear" w:color="auto" w:fill="1F3864"/>
            <w:vAlign w:val="center"/>
          </w:tcPr>
          <w:p w14:paraId="5D831812" w14:textId="77777777" w:rsidR="00BF67F2" w:rsidRPr="00A03D14" w:rsidRDefault="00BF67F2" w:rsidP="00CA13A1">
            <w:pPr>
              <w:tabs>
                <w:tab w:val="left" w:pos="1741"/>
              </w:tabs>
              <w:jc w:val="center"/>
              <w:rPr>
                <w:rFonts w:eastAsia="Calibri"/>
                <w:b/>
                <w:i/>
                <w:szCs w:val="24"/>
              </w:rPr>
            </w:pPr>
            <w:r w:rsidRPr="00A03D14">
              <w:rPr>
                <w:rFonts w:eastAsia="Calibri"/>
                <w:b/>
                <w:i/>
                <w:szCs w:val="24"/>
              </w:rPr>
              <w:t>2020</w:t>
            </w:r>
          </w:p>
        </w:tc>
        <w:tc>
          <w:tcPr>
            <w:tcW w:w="556" w:type="pct"/>
            <w:shd w:val="clear" w:color="auto" w:fill="1F3864"/>
          </w:tcPr>
          <w:p w14:paraId="093F55B1" w14:textId="77777777" w:rsidR="00BF67F2" w:rsidRPr="00A03D14" w:rsidRDefault="00BF67F2" w:rsidP="00CA13A1">
            <w:pPr>
              <w:tabs>
                <w:tab w:val="left" w:pos="1741"/>
              </w:tabs>
              <w:jc w:val="center"/>
              <w:rPr>
                <w:rFonts w:eastAsia="Calibri"/>
                <w:b/>
                <w:szCs w:val="24"/>
              </w:rPr>
            </w:pPr>
            <w:r w:rsidRPr="00A03D14">
              <w:rPr>
                <w:rFonts w:eastAsia="Calibri"/>
                <w:b/>
                <w:szCs w:val="24"/>
              </w:rPr>
              <w:t>2021</w:t>
            </w:r>
          </w:p>
        </w:tc>
      </w:tr>
      <w:tr w:rsidR="00BF67F2" w:rsidRPr="00A03D14" w14:paraId="0F59629F" w14:textId="77777777" w:rsidTr="00CA13A1">
        <w:trPr>
          <w:trHeight w:val="277"/>
        </w:trPr>
        <w:tc>
          <w:tcPr>
            <w:tcW w:w="2513" w:type="pct"/>
            <w:vMerge w:val="restart"/>
            <w:shd w:val="clear" w:color="auto" w:fill="auto"/>
          </w:tcPr>
          <w:p w14:paraId="38E566C7" w14:textId="77777777" w:rsidR="00BF67F2" w:rsidRPr="00A03D14" w:rsidRDefault="00BF67F2" w:rsidP="00CA13A1">
            <w:pPr>
              <w:tabs>
                <w:tab w:val="left" w:pos="1741"/>
              </w:tabs>
              <w:jc w:val="both"/>
              <w:rPr>
                <w:rFonts w:eastAsia="Calibri"/>
                <w:b/>
                <w:i/>
                <w:iCs/>
                <w:szCs w:val="24"/>
              </w:rPr>
            </w:pPr>
            <w:r w:rsidRPr="00A03D14">
              <w:rPr>
                <w:rFonts w:eastAsia="Calibri"/>
                <w:b/>
                <w:i/>
                <w:iCs/>
                <w:szCs w:val="24"/>
              </w:rPr>
              <w:t>25–64 metų gyventojų, per 4 paskutines savaites dalyvavusių švietimo ir profesinio mokymo veikloje, dalis (mokymosi visą gyvenimą lygis), proc.</w:t>
            </w:r>
          </w:p>
        </w:tc>
        <w:tc>
          <w:tcPr>
            <w:tcW w:w="346" w:type="pct"/>
            <w:shd w:val="clear" w:color="auto" w:fill="BDD6EE"/>
            <w:vAlign w:val="center"/>
          </w:tcPr>
          <w:p w14:paraId="53A4B855" w14:textId="77777777" w:rsidR="00BF67F2" w:rsidRPr="00A03D14" w:rsidRDefault="00BF67F2" w:rsidP="00CA13A1">
            <w:pPr>
              <w:tabs>
                <w:tab w:val="left" w:pos="1741"/>
              </w:tabs>
              <w:jc w:val="center"/>
              <w:rPr>
                <w:rFonts w:eastAsia="Calibri"/>
                <w:i/>
                <w:szCs w:val="24"/>
              </w:rPr>
            </w:pPr>
            <w:r w:rsidRPr="00A03D14">
              <w:rPr>
                <w:rFonts w:eastAsia="Calibri"/>
                <w:i/>
                <w:szCs w:val="24"/>
              </w:rPr>
              <w:t>Planas</w:t>
            </w:r>
          </w:p>
        </w:tc>
        <w:tc>
          <w:tcPr>
            <w:tcW w:w="547" w:type="pct"/>
            <w:shd w:val="clear" w:color="auto" w:fill="BDD6EE"/>
            <w:vAlign w:val="center"/>
          </w:tcPr>
          <w:p w14:paraId="71407F20" w14:textId="77777777" w:rsidR="00BF67F2" w:rsidRPr="00A03D14" w:rsidRDefault="00BF67F2" w:rsidP="00CA13A1">
            <w:pPr>
              <w:tabs>
                <w:tab w:val="left" w:pos="1741"/>
              </w:tabs>
              <w:jc w:val="center"/>
              <w:rPr>
                <w:rFonts w:eastAsia="Calibri"/>
                <w:i/>
                <w:szCs w:val="24"/>
              </w:rPr>
            </w:pPr>
            <w:r w:rsidRPr="00A03D14">
              <w:rPr>
                <w:rFonts w:eastAsia="Calibri"/>
                <w:i/>
                <w:iCs/>
                <w:szCs w:val="24"/>
              </w:rPr>
              <w:t>7,4</w:t>
            </w:r>
          </w:p>
        </w:tc>
        <w:tc>
          <w:tcPr>
            <w:tcW w:w="518" w:type="pct"/>
            <w:shd w:val="clear" w:color="auto" w:fill="BDD6EE"/>
            <w:vAlign w:val="center"/>
          </w:tcPr>
          <w:p w14:paraId="5259DE31" w14:textId="77777777" w:rsidR="00BF67F2" w:rsidRPr="00A03D14" w:rsidRDefault="00BF67F2" w:rsidP="00CA13A1">
            <w:pPr>
              <w:tabs>
                <w:tab w:val="left" w:pos="1741"/>
              </w:tabs>
              <w:jc w:val="center"/>
              <w:rPr>
                <w:rFonts w:eastAsia="Calibri"/>
                <w:i/>
                <w:szCs w:val="24"/>
              </w:rPr>
            </w:pPr>
            <w:r w:rsidRPr="00A03D14">
              <w:rPr>
                <w:rFonts w:eastAsia="Calibri"/>
                <w:i/>
                <w:iCs/>
                <w:szCs w:val="24"/>
              </w:rPr>
              <w:t>8,2</w:t>
            </w:r>
          </w:p>
        </w:tc>
        <w:tc>
          <w:tcPr>
            <w:tcW w:w="520" w:type="pct"/>
            <w:shd w:val="clear" w:color="auto" w:fill="BDD6EE"/>
            <w:vAlign w:val="center"/>
          </w:tcPr>
          <w:p w14:paraId="5CADE979" w14:textId="77777777" w:rsidR="00BF67F2" w:rsidRPr="00A03D14" w:rsidRDefault="00BF67F2" w:rsidP="00CA13A1">
            <w:pPr>
              <w:tabs>
                <w:tab w:val="left" w:pos="1741"/>
              </w:tabs>
              <w:jc w:val="center"/>
              <w:rPr>
                <w:rFonts w:eastAsia="Calibri"/>
                <w:i/>
                <w:szCs w:val="24"/>
              </w:rPr>
            </w:pPr>
            <w:r w:rsidRPr="00A03D14">
              <w:rPr>
                <w:rFonts w:eastAsia="Calibri"/>
                <w:i/>
                <w:iCs/>
                <w:szCs w:val="24"/>
              </w:rPr>
              <w:t>8,3</w:t>
            </w:r>
          </w:p>
        </w:tc>
        <w:tc>
          <w:tcPr>
            <w:tcW w:w="556" w:type="pct"/>
            <w:shd w:val="clear" w:color="auto" w:fill="BDD6EE"/>
            <w:vAlign w:val="center"/>
          </w:tcPr>
          <w:p w14:paraId="16E2A179"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8,5</w:t>
            </w:r>
          </w:p>
        </w:tc>
      </w:tr>
      <w:tr w:rsidR="00BF67F2" w:rsidRPr="00A03D14" w14:paraId="070EF046" w14:textId="77777777" w:rsidTr="00CA13A1">
        <w:trPr>
          <w:trHeight w:val="426"/>
        </w:trPr>
        <w:tc>
          <w:tcPr>
            <w:tcW w:w="2513" w:type="pct"/>
            <w:vMerge/>
            <w:shd w:val="clear" w:color="auto" w:fill="auto"/>
          </w:tcPr>
          <w:p w14:paraId="7329220F" w14:textId="77777777" w:rsidR="00BF67F2" w:rsidRPr="00A03D14" w:rsidRDefault="00BF67F2" w:rsidP="00CA13A1">
            <w:pPr>
              <w:tabs>
                <w:tab w:val="left" w:pos="1741"/>
              </w:tabs>
              <w:jc w:val="both"/>
              <w:rPr>
                <w:rFonts w:eastAsia="Calibri"/>
                <w:b/>
                <w:i/>
                <w:iCs/>
                <w:szCs w:val="24"/>
              </w:rPr>
            </w:pPr>
          </w:p>
        </w:tc>
        <w:tc>
          <w:tcPr>
            <w:tcW w:w="346" w:type="pct"/>
            <w:shd w:val="clear" w:color="auto" w:fill="auto"/>
            <w:vAlign w:val="center"/>
          </w:tcPr>
          <w:p w14:paraId="0C0C916A" w14:textId="77777777" w:rsidR="00BF67F2" w:rsidRPr="00A03D14" w:rsidRDefault="00BF67F2" w:rsidP="00CA13A1">
            <w:pPr>
              <w:tabs>
                <w:tab w:val="left" w:pos="1741"/>
              </w:tabs>
              <w:jc w:val="center"/>
              <w:rPr>
                <w:rFonts w:eastAsia="Calibri"/>
                <w:i/>
                <w:szCs w:val="24"/>
              </w:rPr>
            </w:pPr>
            <w:r w:rsidRPr="00A03D14">
              <w:rPr>
                <w:rFonts w:eastAsia="Calibri"/>
                <w:i/>
                <w:szCs w:val="24"/>
              </w:rPr>
              <w:t>Faktas</w:t>
            </w:r>
          </w:p>
        </w:tc>
        <w:tc>
          <w:tcPr>
            <w:tcW w:w="547" w:type="pct"/>
            <w:shd w:val="clear" w:color="auto" w:fill="auto"/>
            <w:vAlign w:val="center"/>
          </w:tcPr>
          <w:p w14:paraId="59333BA4" w14:textId="77777777" w:rsidR="00BF67F2" w:rsidRPr="00A03D14" w:rsidRDefault="00BF67F2" w:rsidP="00CA13A1">
            <w:pPr>
              <w:tabs>
                <w:tab w:val="left" w:pos="1741"/>
              </w:tabs>
              <w:jc w:val="center"/>
              <w:rPr>
                <w:rFonts w:eastAsia="Calibri"/>
                <w:i/>
                <w:szCs w:val="24"/>
              </w:rPr>
            </w:pPr>
            <w:r w:rsidRPr="00A03D14">
              <w:rPr>
                <w:rFonts w:eastAsia="Calibri"/>
                <w:i/>
                <w:iCs/>
                <w:szCs w:val="24"/>
              </w:rPr>
              <w:t>6,6</w:t>
            </w:r>
          </w:p>
        </w:tc>
        <w:tc>
          <w:tcPr>
            <w:tcW w:w="518" w:type="pct"/>
            <w:shd w:val="clear" w:color="auto" w:fill="auto"/>
            <w:vAlign w:val="center"/>
          </w:tcPr>
          <w:p w14:paraId="1D83DBE5" w14:textId="77777777" w:rsidR="00BF67F2" w:rsidRPr="00A03D14" w:rsidRDefault="00BF67F2" w:rsidP="00CA13A1">
            <w:pPr>
              <w:tabs>
                <w:tab w:val="left" w:pos="1741"/>
              </w:tabs>
              <w:jc w:val="center"/>
              <w:rPr>
                <w:rFonts w:eastAsia="Calibri"/>
                <w:i/>
                <w:szCs w:val="24"/>
              </w:rPr>
            </w:pPr>
            <w:r w:rsidRPr="00A03D14">
              <w:rPr>
                <w:rFonts w:eastAsia="Calibri"/>
                <w:i/>
                <w:iCs/>
                <w:szCs w:val="24"/>
              </w:rPr>
              <w:t>7</w:t>
            </w:r>
          </w:p>
        </w:tc>
        <w:tc>
          <w:tcPr>
            <w:tcW w:w="520" w:type="pct"/>
            <w:shd w:val="clear" w:color="auto" w:fill="auto"/>
            <w:vAlign w:val="center"/>
          </w:tcPr>
          <w:p w14:paraId="6697A772" w14:textId="77777777" w:rsidR="00BF67F2" w:rsidRPr="00A03D14" w:rsidRDefault="00BF67F2" w:rsidP="00CA13A1">
            <w:pPr>
              <w:tabs>
                <w:tab w:val="left" w:pos="1741"/>
              </w:tabs>
              <w:jc w:val="center"/>
              <w:rPr>
                <w:rFonts w:eastAsia="Calibri"/>
                <w:i/>
                <w:szCs w:val="24"/>
              </w:rPr>
            </w:pPr>
            <w:r w:rsidRPr="00A03D14">
              <w:rPr>
                <w:rFonts w:eastAsia="Calibri"/>
                <w:i/>
                <w:iCs/>
                <w:szCs w:val="24"/>
              </w:rPr>
              <w:t>–</w:t>
            </w:r>
          </w:p>
        </w:tc>
        <w:tc>
          <w:tcPr>
            <w:tcW w:w="556" w:type="pct"/>
            <w:shd w:val="clear" w:color="auto" w:fill="auto"/>
            <w:vAlign w:val="center"/>
          </w:tcPr>
          <w:p w14:paraId="62FFB6A6"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r>
      <w:tr w:rsidR="00BF67F2" w:rsidRPr="00A03D14" w14:paraId="6C12D4AE" w14:textId="77777777" w:rsidTr="00CA13A1">
        <w:trPr>
          <w:trHeight w:val="141"/>
        </w:trPr>
        <w:tc>
          <w:tcPr>
            <w:tcW w:w="2513" w:type="pct"/>
            <w:vMerge w:val="restart"/>
            <w:shd w:val="clear" w:color="auto" w:fill="auto"/>
          </w:tcPr>
          <w:p w14:paraId="63246B78" w14:textId="77777777" w:rsidR="00BF67F2" w:rsidRPr="00A03D14" w:rsidRDefault="00BF67F2" w:rsidP="00CA13A1">
            <w:pPr>
              <w:tabs>
                <w:tab w:val="left" w:pos="1741"/>
              </w:tabs>
              <w:jc w:val="both"/>
              <w:rPr>
                <w:rFonts w:eastAsia="Calibri"/>
                <w:b/>
                <w:i/>
                <w:iCs/>
                <w:szCs w:val="24"/>
              </w:rPr>
            </w:pPr>
            <w:r w:rsidRPr="00A03D14">
              <w:rPr>
                <w:rFonts w:eastAsia="Calibri"/>
                <w:b/>
                <w:i/>
                <w:iCs/>
                <w:szCs w:val="24"/>
              </w:rPr>
              <w:t xml:space="preserve">Mokinių, kurių pasiekimų lygis bent 3 (iš 6) pagal PISA (angl. </w:t>
            </w:r>
            <w:proofErr w:type="spellStart"/>
            <w:r w:rsidRPr="00A03D14">
              <w:rPr>
                <w:rFonts w:eastAsia="Calibri"/>
                <w:b/>
                <w:i/>
                <w:iCs/>
                <w:szCs w:val="24"/>
              </w:rPr>
              <w:t>Programme</w:t>
            </w:r>
            <w:proofErr w:type="spellEnd"/>
            <w:r w:rsidRPr="00A03D14">
              <w:rPr>
                <w:rFonts w:eastAsia="Calibri"/>
                <w:b/>
                <w:i/>
                <w:iCs/>
                <w:szCs w:val="24"/>
              </w:rPr>
              <w:t xml:space="preserve"> </w:t>
            </w:r>
            <w:proofErr w:type="spellStart"/>
            <w:r w:rsidRPr="00A03D14">
              <w:rPr>
                <w:rFonts w:eastAsia="Calibri"/>
                <w:b/>
                <w:i/>
                <w:iCs/>
                <w:szCs w:val="24"/>
              </w:rPr>
              <w:t>for</w:t>
            </w:r>
            <w:proofErr w:type="spellEnd"/>
            <w:r w:rsidRPr="00A03D14">
              <w:rPr>
                <w:rFonts w:eastAsia="Calibri"/>
                <w:b/>
                <w:i/>
                <w:iCs/>
                <w:szCs w:val="24"/>
              </w:rPr>
              <w:t xml:space="preserve"> International </w:t>
            </w:r>
            <w:proofErr w:type="spellStart"/>
            <w:r w:rsidRPr="00A03D14">
              <w:rPr>
                <w:rFonts w:eastAsia="Calibri"/>
                <w:b/>
                <w:i/>
                <w:iCs/>
                <w:szCs w:val="24"/>
              </w:rPr>
              <w:t>Student</w:t>
            </w:r>
            <w:proofErr w:type="spellEnd"/>
            <w:r w:rsidRPr="00A03D14">
              <w:rPr>
                <w:rFonts w:eastAsia="Calibri"/>
                <w:b/>
                <w:i/>
                <w:iCs/>
                <w:szCs w:val="24"/>
              </w:rPr>
              <w:t xml:space="preserve"> </w:t>
            </w:r>
            <w:proofErr w:type="spellStart"/>
            <w:r w:rsidRPr="00A03D14">
              <w:rPr>
                <w:rFonts w:eastAsia="Calibri"/>
                <w:b/>
                <w:i/>
                <w:iCs/>
                <w:szCs w:val="24"/>
              </w:rPr>
              <w:t>Assessment</w:t>
            </w:r>
            <w:proofErr w:type="spellEnd"/>
            <w:r w:rsidRPr="00A03D14">
              <w:rPr>
                <w:rFonts w:eastAsia="Calibri"/>
                <w:b/>
                <w:i/>
                <w:iCs/>
                <w:szCs w:val="24"/>
              </w:rPr>
              <w:t>) – tarptautinį penkiolikmečių tyrimą, skirtą mokinių žinioms ir gebėjimams, bendrajam raštingumui, reikalingam dalyvauti visuomenės gyvenime, įvertinti, dalis, proc. (mažiausias procentas iš 3 dalykinių sričių) (tyrimas atliekamas kas 3 metus)</w:t>
            </w:r>
          </w:p>
        </w:tc>
        <w:tc>
          <w:tcPr>
            <w:tcW w:w="346" w:type="pct"/>
            <w:shd w:val="clear" w:color="auto" w:fill="BDD6EE"/>
            <w:vAlign w:val="center"/>
          </w:tcPr>
          <w:p w14:paraId="073BC3B9" w14:textId="77777777" w:rsidR="00BF67F2" w:rsidRPr="00A03D14" w:rsidRDefault="00BF67F2" w:rsidP="00CA13A1">
            <w:pPr>
              <w:tabs>
                <w:tab w:val="left" w:pos="1741"/>
              </w:tabs>
              <w:jc w:val="center"/>
              <w:rPr>
                <w:rFonts w:eastAsia="Calibri"/>
                <w:i/>
                <w:szCs w:val="24"/>
              </w:rPr>
            </w:pPr>
            <w:r w:rsidRPr="00A03D14">
              <w:rPr>
                <w:rFonts w:eastAsia="Calibri"/>
                <w:i/>
                <w:szCs w:val="24"/>
              </w:rPr>
              <w:t>Planas</w:t>
            </w:r>
          </w:p>
        </w:tc>
        <w:tc>
          <w:tcPr>
            <w:tcW w:w="547" w:type="pct"/>
            <w:shd w:val="clear" w:color="auto" w:fill="BDD6EE"/>
            <w:vAlign w:val="center"/>
          </w:tcPr>
          <w:p w14:paraId="1AD03D9E"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45,6</w:t>
            </w:r>
          </w:p>
        </w:tc>
        <w:tc>
          <w:tcPr>
            <w:tcW w:w="518" w:type="pct"/>
            <w:shd w:val="clear" w:color="auto" w:fill="BDD6EE"/>
            <w:vAlign w:val="center"/>
          </w:tcPr>
          <w:p w14:paraId="41D88CB9" w14:textId="77777777" w:rsidR="00BF67F2" w:rsidRPr="00A03D14" w:rsidRDefault="00BF67F2" w:rsidP="00CA13A1">
            <w:pPr>
              <w:tabs>
                <w:tab w:val="left" w:pos="1741"/>
              </w:tabs>
              <w:jc w:val="center"/>
              <w:rPr>
                <w:rFonts w:eastAsia="Calibri"/>
                <w:i/>
                <w:szCs w:val="24"/>
              </w:rPr>
            </w:pPr>
            <w:r w:rsidRPr="00A03D14">
              <w:rPr>
                <w:rFonts w:eastAsia="Calibri"/>
                <w:i/>
                <w:iCs/>
                <w:szCs w:val="24"/>
              </w:rPr>
              <w:t>48</w:t>
            </w:r>
          </w:p>
        </w:tc>
        <w:tc>
          <w:tcPr>
            <w:tcW w:w="520" w:type="pct"/>
            <w:shd w:val="clear" w:color="auto" w:fill="BDD6EE"/>
            <w:vAlign w:val="center"/>
          </w:tcPr>
          <w:p w14:paraId="2B9B6322" w14:textId="77777777" w:rsidR="00BF67F2" w:rsidRPr="00A03D14" w:rsidRDefault="00BF67F2" w:rsidP="00CA13A1">
            <w:pPr>
              <w:tabs>
                <w:tab w:val="left" w:pos="1741"/>
              </w:tabs>
              <w:jc w:val="center"/>
              <w:rPr>
                <w:rFonts w:eastAsia="Calibri"/>
                <w:i/>
                <w:szCs w:val="24"/>
              </w:rPr>
            </w:pPr>
            <w:r w:rsidRPr="00A03D14">
              <w:rPr>
                <w:rFonts w:eastAsia="Calibri"/>
                <w:i/>
                <w:szCs w:val="24"/>
              </w:rPr>
              <w:t>49</w:t>
            </w:r>
          </w:p>
        </w:tc>
        <w:tc>
          <w:tcPr>
            <w:tcW w:w="556" w:type="pct"/>
            <w:shd w:val="clear" w:color="auto" w:fill="BDD6EE"/>
            <w:vAlign w:val="center"/>
          </w:tcPr>
          <w:p w14:paraId="0336E599" w14:textId="77777777" w:rsidR="00BF67F2" w:rsidRPr="00A03D14" w:rsidRDefault="00BF67F2" w:rsidP="00CA13A1">
            <w:pPr>
              <w:tabs>
                <w:tab w:val="left" w:pos="1741"/>
              </w:tabs>
              <w:jc w:val="center"/>
              <w:rPr>
                <w:rFonts w:eastAsia="Calibri"/>
                <w:i/>
                <w:szCs w:val="24"/>
              </w:rPr>
            </w:pPr>
            <w:r w:rsidRPr="00A03D14">
              <w:rPr>
                <w:rFonts w:eastAsia="Calibri"/>
                <w:i/>
                <w:szCs w:val="24"/>
              </w:rPr>
              <w:t>50</w:t>
            </w:r>
          </w:p>
        </w:tc>
      </w:tr>
      <w:tr w:rsidR="00BF67F2" w:rsidRPr="00A03D14" w14:paraId="2CBCC4F1" w14:textId="77777777" w:rsidTr="00CA13A1">
        <w:trPr>
          <w:trHeight w:val="408"/>
        </w:trPr>
        <w:tc>
          <w:tcPr>
            <w:tcW w:w="2513" w:type="pct"/>
            <w:vMerge/>
            <w:shd w:val="clear" w:color="auto" w:fill="auto"/>
          </w:tcPr>
          <w:p w14:paraId="2975F699" w14:textId="77777777" w:rsidR="00BF67F2" w:rsidRPr="00A03D14" w:rsidRDefault="00BF67F2" w:rsidP="00CA13A1">
            <w:pPr>
              <w:tabs>
                <w:tab w:val="left" w:pos="1741"/>
              </w:tabs>
              <w:jc w:val="both"/>
              <w:rPr>
                <w:rFonts w:eastAsia="Calibri"/>
                <w:b/>
                <w:i/>
                <w:iCs/>
                <w:szCs w:val="24"/>
              </w:rPr>
            </w:pPr>
          </w:p>
        </w:tc>
        <w:tc>
          <w:tcPr>
            <w:tcW w:w="346" w:type="pct"/>
            <w:shd w:val="clear" w:color="auto" w:fill="auto"/>
            <w:vAlign w:val="center"/>
          </w:tcPr>
          <w:p w14:paraId="2D821ED4" w14:textId="77777777" w:rsidR="00BF67F2" w:rsidRPr="00A03D14" w:rsidRDefault="00BF67F2" w:rsidP="00CA13A1">
            <w:pPr>
              <w:tabs>
                <w:tab w:val="left" w:pos="1741"/>
              </w:tabs>
              <w:jc w:val="center"/>
              <w:rPr>
                <w:rFonts w:eastAsia="Calibri"/>
                <w:i/>
                <w:szCs w:val="24"/>
              </w:rPr>
            </w:pPr>
            <w:r w:rsidRPr="00A03D14">
              <w:rPr>
                <w:rFonts w:eastAsia="Calibri"/>
                <w:i/>
                <w:szCs w:val="24"/>
              </w:rPr>
              <w:t>Faktas</w:t>
            </w:r>
          </w:p>
        </w:tc>
        <w:tc>
          <w:tcPr>
            <w:tcW w:w="1585" w:type="pct"/>
            <w:gridSpan w:val="3"/>
            <w:shd w:val="clear" w:color="auto" w:fill="auto"/>
            <w:vAlign w:val="center"/>
          </w:tcPr>
          <w:p w14:paraId="73E57D49" w14:textId="77777777" w:rsidR="00BF67F2" w:rsidRPr="00A03D14" w:rsidRDefault="00BF67F2" w:rsidP="00CA13A1">
            <w:pPr>
              <w:tabs>
                <w:tab w:val="left" w:pos="1741"/>
              </w:tabs>
              <w:jc w:val="center"/>
              <w:rPr>
                <w:rFonts w:eastAsia="Calibri"/>
                <w:i/>
                <w:szCs w:val="24"/>
              </w:rPr>
            </w:pPr>
            <w:r w:rsidRPr="00A03D14">
              <w:rPr>
                <w:rFonts w:eastAsia="Calibri"/>
                <w:i/>
                <w:szCs w:val="24"/>
              </w:rPr>
              <w:t>49,5</w:t>
            </w:r>
          </w:p>
        </w:tc>
        <w:tc>
          <w:tcPr>
            <w:tcW w:w="556" w:type="pct"/>
            <w:shd w:val="clear" w:color="auto" w:fill="auto"/>
            <w:vAlign w:val="center"/>
          </w:tcPr>
          <w:p w14:paraId="4604444B" w14:textId="77777777" w:rsidR="00BF67F2" w:rsidRPr="00A03D14" w:rsidRDefault="00BF67F2" w:rsidP="00CA13A1">
            <w:pPr>
              <w:tabs>
                <w:tab w:val="left" w:pos="1741"/>
              </w:tabs>
              <w:jc w:val="center"/>
              <w:rPr>
                <w:rFonts w:eastAsia="Calibri"/>
                <w:i/>
                <w:szCs w:val="24"/>
              </w:rPr>
            </w:pPr>
            <w:r w:rsidRPr="00A03D14">
              <w:rPr>
                <w:rFonts w:eastAsia="Calibri"/>
                <w:i/>
                <w:szCs w:val="24"/>
              </w:rPr>
              <w:t>–</w:t>
            </w:r>
          </w:p>
        </w:tc>
      </w:tr>
      <w:tr w:rsidR="00BF67F2" w:rsidRPr="00A03D14" w14:paraId="54B19CA9" w14:textId="77777777" w:rsidTr="00CA13A1">
        <w:trPr>
          <w:trHeight w:val="275"/>
        </w:trPr>
        <w:tc>
          <w:tcPr>
            <w:tcW w:w="2513" w:type="pct"/>
            <w:vMerge w:val="restart"/>
            <w:shd w:val="clear" w:color="auto" w:fill="auto"/>
          </w:tcPr>
          <w:p w14:paraId="60DC2744" w14:textId="77777777" w:rsidR="00BF67F2" w:rsidRPr="00A03D14" w:rsidRDefault="00BF67F2" w:rsidP="00CA13A1">
            <w:pPr>
              <w:tabs>
                <w:tab w:val="left" w:pos="1741"/>
              </w:tabs>
              <w:jc w:val="both"/>
              <w:rPr>
                <w:rFonts w:eastAsia="Calibri"/>
                <w:b/>
                <w:i/>
                <w:iCs/>
                <w:szCs w:val="24"/>
              </w:rPr>
            </w:pPr>
            <w:r w:rsidRPr="00A03D14">
              <w:rPr>
                <w:rFonts w:eastAsia="Calibri"/>
                <w:b/>
                <w:i/>
                <w:iCs/>
                <w:szCs w:val="24"/>
              </w:rPr>
              <w:t xml:space="preserve">Asmenų, vidurinio išsilavinimo siekiančių profesinėse mokyklose, dalis, proc. </w:t>
            </w:r>
          </w:p>
        </w:tc>
        <w:tc>
          <w:tcPr>
            <w:tcW w:w="346" w:type="pct"/>
            <w:shd w:val="clear" w:color="auto" w:fill="BDD6EE"/>
            <w:vAlign w:val="center"/>
          </w:tcPr>
          <w:p w14:paraId="78DB541C" w14:textId="77777777" w:rsidR="00BF67F2" w:rsidRPr="00A03D14" w:rsidRDefault="00BF67F2" w:rsidP="00CA13A1">
            <w:pPr>
              <w:tabs>
                <w:tab w:val="left" w:pos="1741"/>
              </w:tabs>
              <w:jc w:val="center"/>
              <w:rPr>
                <w:rFonts w:eastAsia="Calibri"/>
                <w:i/>
                <w:szCs w:val="24"/>
              </w:rPr>
            </w:pPr>
            <w:r w:rsidRPr="00A03D14">
              <w:rPr>
                <w:rFonts w:eastAsia="Calibri"/>
                <w:i/>
                <w:szCs w:val="24"/>
              </w:rPr>
              <w:t>Planas</w:t>
            </w:r>
          </w:p>
        </w:tc>
        <w:tc>
          <w:tcPr>
            <w:tcW w:w="547" w:type="pct"/>
            <w:shd w:val="clear" w:color="auto" w:fill="BDD6EE"/>
            <w:vAlign w:val="center"/>
          </w:tcPr>
          <w:p w14:paraId="1136B268" w14:textId="77777777" w:rsidR="00BF67F2" w:rsidRPr="00A03D14" w:rsidRDefault="00BF67F2" w:rsidP="00CA13A1">
            <w:pPr>
              <w:tabs>
                <w:tab w:val="left" w:pos="1741"/>
              </w:tabs>
              <w:jc w:val="center"/>
              <w:rPr>
                <w:rFonts w:eastAsia="Calibri"/>
                <w:i/>
                <w:szCs w:val="24"/>
              </w:rPr>
            </w:pPr>
            <w:r w:rsidRPr="00A03D14">
              <w:rPr>
                <w:rFonts w:eastAsia="Calibri"/>
                <w:i/>
                <w:szCs w:val="24"/>
              </w:rPr>
              <w:t>27,9</w:t>
            </w:r>
          </w:p>
        </w:tc>
        <w:tc>
          <w:tcPr>
            <w:tcW w:w="518" w:type="pct"/>
            <w:shd w:val="clear" w:color="auto" w:fill="BDD6EE"/>
            <w:vAlign w:val="center"/>
          </w:tcPr>
          <w:p w14:paraId="7A66F98C" w14:textId="77777777" w:rsidR="00BF67F2" w:rsidRPr="00A03D14" w:rsidRDefault="00BF67F2" w:rsidP="00CA13A1">
            <w:pPr>
              <w:tabs>
                <w:tab w:val="left" w:pos="1741"/>
              </w:tabs>
              <w:jc w:val="center"/>
              <w:rPr>
                <w:rFonts w:eastAsia="Calibri"/>
                <w:i/>
                <w:szCs w:val="24"/>
              </w:rPr>
            </w:pPr>
            <w:r w:rsidRPr="00A03D14">
              <w:rPr>
                <w:rFonts w:eastAsia="Calibri"/>
                <w:i/>
                <w:szCs w:val="24"/>
              </w:rPr>
              <w:t>27</w:t>
            </w:r>
          </w:p>
        </w:tc>
        <w:tc>
          <w:tcPr>
            <w:tcW w:w="520" w:type="pct"/>
            <w:shd w:val="clear" w:color="auto" w:fill="BDD6EE"/>
            <w:vAlign w:val="center"/>
          </w:tcPr>
          <w:p w14:paraId="5B8071C9"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26,5</w:t>
            </w:r>
          </w:p>
        </w:tc>
        <w:tc>
          <w:tcPr>
            <w:tcW w:w="556" w:type="pct"/>
            <w:shd w:val="clear" w:color="auto" w:fill="BDD6EE"/>
            <w:vAlign w:val="center"/>
          </w:tcPr>
          <w:p w14:paraId="699A04A8"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27</w:t>
            </w:r>
          </w:p>
        </w:tc>
      </w:tr>
      <w:tr w:rsidR="00BF67F2" w:rsidRPr="00A03D14" w14:paraId="7487B704" w14:textId="77777777" w:rsidTr="00CA13A1">
        <w:trPr>
          <w:trHeight w:val="275"/>
        </w:trPr>
        <w:tc>
          <w:tcPr>
            <w:tcW w:w="2513" w:type="pct"/>
            <w:vMerge/>
            <w:shd w:val="clear" w:color="auto" w:fill="auto"/>
          </w:tcPr>
          <w:p w14:paraId="3CD3F45C" w14:textId="77777777" w:rsidR="00BF67F2" w:rsidRPr="00A03D14" w:rsidRDefault="00BF67F2" w:rsidP="00CA13A1">
            <w:pPr>
              <w:tabs>
                <w:tab w:val="left" w:pos="1741"/>
              </w:tabs>
              <w:jc w:val="both"/>
              <w:rPr>
                <w:rFonts w:eastAsia="Calibri"/>
                <w:b/>
                <w:i/>
                <w:iCs/>
                <w:szCs w:val="24"/>
              </w:rPr>
            </w:pPr>
          </w:p>
        </w:tc>
        <w:tc>
          <w:tcPr>
            <w:tcW w:w="346" w:type="pct"/>
            <w:shd w:val="clear" w:color="auto" w:fill="auto"/>
            <w:vAlign w:val="center"/>
          </w:tcPr>
          <w:p w14:paraId="2A5235A8" w14:textId="77777777" w:rsidR="00BF67F2" w:rsidRPr="00A03D14" w:rsidRDefault="00BF67F2" w:rsidP="00CA13A1">
            <w:pPr>
              <w:tabs>
                <w:tab w:val="left" w:pos="1741"/>
              </w:tabs>
              <w:jc w:val="center"/>
              <w:rPr>
                <w:rFonts w:eastAsia="Calibri"/>
                <w:i/>
                <w:szCs w:val="24"/>
              </w:rPr>
            </w:pPr>
            <w:r w:rsidRPr="00A03D14">
              <w:rPr>
                <w:rFonts w:eastAsia="Calibri"/>
                <w:i/>
                <w:szCs w:val="24"/>
              </w:rPr>
              <w:t>Faktas</w:t>
            </w:r>
          </w:p>
        </w:tc>
        <w:tc>
          <w:tcPr>
            <w:tcW w:w="547" w:type="pct"/>
            <w:shd w:val="clear" w:color="auto" w:fill="auto"/>
            <w:vAlign w:val="center"/>
          </w:tcPr>
          <w:p w14:paraId="2EE12568" w14:textId="77777777" w:rsidR="00BF67F2" w:rsidRPr="00A03D14" w:rsidRDefault="00BF67F2" w:rsidP="00CA13A1">
            <w:pPr>
              <w:tabs>
                <w:tab w:val="left" w:pos="1741"/>
              </w:tabs>
              <w:jc w:val="center"/>
              <w:rPr>
                <w:rFonts w:eastAsia="Calibri"/>
                <w:i/>
                <w:szCs w:val="24"/>
              </w:rPr>
            </w:pPr>
            <w:r w:rsidRPr="00A03D14">
              <w:rPr>
                <w:rFonts w:eastAsia="Calibri"/>
                <w:i/>
                <w:iCs/>
                <w:szCs w:val="24"/>
              </w:rPr>
              <w:t>26,8</w:t>
            </w:r>
          </w:p>
        </w:tc>
        <w:tc>
          <w:tcPr>
            <w:tcW w:w="518" w:type="pct"/>
            <w:shd w:val="clear" w:color="auto" w:fill="auto"/>
            <w:vAlign w:val="center"/>
          </w:tcPr>
          <w:p w14:paraId="0E64C32D" w14:textId="77777777" w:rsidR="00BF67F2" w:rsidRPr="00A03D14" w:rsidRDefault="00BF67F2" w:rsidP="00CA13A1">
            <w:pPr>
              <w:tabs>
                <w:tab w:val="left" w:pos="1741"/>
              </w:tabs>
              <w:jc w:val="center"/>
              <w:rPr>
                <w:rFonts w:eastAsia="Calibri"/>
                <w:i/>
                <w:szCs w:val="24"/>
              </w:rPr>
            </w:pPr>
            <w:r w:rsidRPr="00A03D14">
              <w:rPr>
                <w:rFonts w:eastAsia="Calibri"/>
                <w:i/>
                <w:iCs/>
                <w:szCs w:val="24"/>
              </w:rPr>
              <w:t>-</w:t>
            </w:r>
          </w:p>
        </w:tc>
        <w:tc>
          <w:tcPr>
            <w:tcW w:w="520" w:type="pct"/>
            <w:shd w:val="clear" w:color="auto" w:fill="auto"/>
            <w:vAlign w:val="center"/>
          </w:tcPr>
          <w:p w14:paraId="4AA05842" w14:textId="77777777" w:rsidR="00BF67F2" w:rsidRPr="00A03D14" w:rsidRDefault="00BF67F2" w:rsidP="00CA13A1">
            <w:pPr>
              <w:tabs>
                <w:tab w:val="left" w:pos="1741"/>
              </w:tabs>
              <w:jc w:val="center"/>
              <w:rPr>
                <w:rFonts w:eastAsia="Calibri"/>
                <w:i/>
                <w:szCs w:val="24"/>
              </w:rPr>
            </w:pPr>
            <w:r w:rsidRPr="00A03D14">
              <w:rPr>
                <w:rFonts w:eastAsia="Calibri"/>
                <w:i/>
                <w:iCs/>
                <w:szCs w:val="24"/>
              </w:rPr>
              <w:t>–</w:t>
            </w:r>
          </w:p>
        </w:tc>
        <w:tc>
          <w:tcPr>
            <w:tcW w:w="556" w:type="pct"/>
            <w:shd w:val="clear" w:color="auto" w:fill="auto"/>
            <w:vAlign w:val="center"/>
          </w:tcPr>
          <w:p w14:paraId="0466BDB0"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r>
      <w:tr w:rsidR="00BF67F2" w:rsidRPr="00A03D14" w14:paraId="5DE1A557" w14:textId="77777777" w:rsidTr="00CA13A1">
        <w:trPr>
          <w:trHeight w:val="275"/>
        </w:trPr>
        <w:tc>
          <w:tcPr>
            <w:tcW w:w="2513" w:type="pct"/>
            <w:vMerge w:val="restart"/>
            <w:shd w:val="clear" w:color="auto" w:fill="auto"/>
          </w:tcPr>
          <w:p w14:paraId="1585097E" w14:textId="55D35179" w:rsidR="00BF67F2" w:rsidRPr="00A03D14" w:rsidRDefault="00C6560C" w:rsidP="00CA13A1">
            <w:pPr>
              <w:tabs>
                <w:tab w:val="left" w:pos="1741"/>
              </w:tabs>
              <w:jc w:val="both"/>
              <w:rPr>
                <w:rFonts w:eastAsia="Calibri"/>
                <w:b/>
                <w:iCs/>
                <w:szCs w:val="24"/>
              </w:rPr>
            </w:pPr>
            <w:r w:rsidRPr="00A03D14">
              <w:rPr>
                <w:rFonts w:eastAsia="Calibri"/>
                <w:b/>
                <w:i/>
                <w:szCs w:val="24"/>
              </w:rPr>
              <w:lastRenderedPageBreak/>
              <w:t>Suaugusiųjų gebėjimai naudotis informacinėmis komunikaci</w:t>
            </w:r>
            <w:r>
              <w:rPr>
                <w:rFonts w:eastAsia="Calibri"/>
                <w:b/>
                <w:i/>
                <w:szCs w:val="24"/>
              </w:rPr>
              <w:t>jos</w:t>
            </w:r>
            <w:r w:rsidRPr="00A03D14">
              <w:rPr>
                <w:rFonts w:eastAsia="Calibri"/>
                <w:b/>
                <w:i/>
                <w:szCs w:val="24"/>
              </w:rPr>
              <w:t xml:space="preserve"> technologijomis (problemų sprendimo</w:t>
            </w:r>
            <w:r>
              <w:rPr>
                <w:rFonts w:eastAsia="Calibri"/>
                <w:b/>
                <w:i/>
                <w:szCs w:val="24"/>
              </w:rPr>
              <w:t xml:space="preserve"> naudojantis</w:t>
            </w:r>
            <w:r w:rsidRPr="00A03D14">
              <w:rPr>
                <w:rFonts w:eastAsia="Calibri"/>
                <w:b/>
                <w:i/>
                <w:szCs w:val="24"/>
              </w:rPr>
              <w:t xml:space="preserve"> technologij</w:t>
            </w:r>
            <w:r>
              <w:rPr>
                <w:rFonts w:eastAsia="Calibri"/>
                <w:b/>
                <w:i/>
                <w:szCs w:val="24"/>
              </w:rPr>
              <w:t>omis</w:t>
            </w:r>
            <w:r w:rsidRPr="00A03D14">
              <w:rPr>
                <w:rFonts w:eastAsia="Calibri"/>
                <w:b/>
                <w:i/>
                <w:szCs w:val="24"/>
              </w:rPr>
              <w:t xml:space="preserve"> srities rezultatai (dalis pasiekusiųjų 2-ąjį arba 3-iąjį lygmenį, proc.) (PIAAC)(kito tyrimo rezultatai numatomi 2023 m.)</w:t>
            </w:r>
          </w:p>
        </w:tc>
        <w:tc>
          <w:tcPr>
            <w:tcW w:w="346" w:type="pct"/>
            <w:shd w:val="clear" w:color="auto" w:fill="9CC2E5"/>
            <w:vAlign w:val="center"/>
          </w:tcPr>
          <w:p w14:paraId="2BC9F620" w14:textId="77777777" w:rsidR="00BF67F2" w:rsidRPr="00A03D14" w:rsidRDefault="00BF67F2" w:rsidP="00CA13A1">
            <w:pPr>
              <w:tabs>
                <w:tab w:val="left" w:pos="1741"/>
              </w:tabs>
              <w:jc w:val="center"/>
              <w:rPr>
                <w:rFonts w:eastAsia="Calibri"/>
                <w:i/>
                <w:szCs w:val="24"/>
              </w:rPr>
            </w:pPr>
            <w:r w:rsidRPr="00A03D14">
              <w:rPr>
                <w:rFonts w:eastAsia="Calibri"/>
                <w:i/>
                <w:szCs w:val="24"/>
              </w:rPr>
              <w:t>Planas</w:t>
            </w:r>
          </w:p>
        </w:tc>
        <w:tc>
          <w:tcPr>
            <w:tcW w:w="547" w:type="pct"/>
            <w:shd w:val="clear" w:color="auto" w:fill="9CC2E5"/>
            <w:vAlign w:val="center"/>
          </w:tcPr>
          <w:p w14:paraId="7DF3EACF" w14:textId="77777777" w:rsidR="00BF67F2" w:rsidRPr="00A03D14" w:rsidRDefault="00BF67F2" w:rsidP="00CA13A1">
            <w:pPr>
              <w:jc w:val="center"/>
              <w:rPr>
                <w:rFonts w:eastAsia="Calibri"/>
                <w:szCs w:val="24"/>
              </w:rPr>
            </w:pPr>
            <w:r w:rsidRPr="00A03D14">
              <w:rPr>
                <w:rFonts w:eastAsia="Calibri"/>
                <w:szCs w:val="24"/>
              </w:rPr>
              <w:t>Ne mažiau nei EBPO šalių vidurkis</w:t>
            </w:r>
          </w:p>
        </w:tc>
        <w:tc>
          <w:tcPr>
            <w:tcW w:w="518" w:type="pct"/>
            <w:shd w:val="clear" w:color="auto" w:fill="9CC2E5"/>
            <w:vAlign w:val="center"/>
          </w:tcPr>
          <w:p w14:paraId="11840874" w14:textId="77777777" w:rsidR="00BF67F2" w:rsidRPr="00A03D14" w:rsidRDefault="00BF67F2" w:rsidP="00CA13A1">
            <w:pPr>
              <w:jc w:val="center"/>
              <w:rPr>
                <w:rFonts w:eastAsia="Calibri"/>
                <w:szCs w:val="24"/>
              </w:rPr>
            </w:pPr>
            <w:r w:rsidRPr="00A03D14">
              <w:rPr>
                <w:rFonts w:eastAsia="Calibri"/>
                <w:szCs w:val="24"/>
              </w:rPr>
              <w:t>Ne mažiau nei EBPO šalių vidurkis</w:t>
            </w:r>
          </w:p>
        </w:tc>
        <w:tc>
          <w:tcPr>
            <w:tcW w:w="520" w:type="pct"/>
            <w:shd w:val="clear" w:color="auto" w:fill="9CC2E5"/>
            <w:vAlign w:val="center"/>
          </w:tcPr>
          <w:p w14:paraId="11450A5B" w14:textId="77777777" w:rsidR="00BF67F2" w:rsidRPr="00A03D14" w:rsidRDefault="00BF67F2" w:rsidP="00CA13A1">
            <w:pPr>
              <w:jc w:val="center"/>
              <w:rPr>
                <w:rFonts w:eastAsia="Calibri"/>
                <w:szCs w:val="24"/>
              </w:rPr>
            </w:pPr>
            <w:r w:rsidRPr="00A03D14">
              <w:rPr>
                <w:rFonts w:eastAsia="Calibri"/>
                <w:szCs w:val="24"/>
              </w:rPr>
              <w:t>Ne mažiau nei EBPO šalių vidurkis</w:t>
            </w:r>
          </w:p>
        </w:tc>
        <w:tc>
          <w:tcPr>
            <w:tcW w:w="556" w:type="pct"/>
            <w:shd w:val="clear" w:color="auto" w:fill="9CC2E5"/>
            <w:vAlign w:val="center"/>
          </w:tcPr>
          <w:p w14:paraId="20AB1216" w14:textId="77777777" w:rsidR="00BF67F2" w:rsidRPr="00A03D14" w:rsidRDefault="00BF67F2" w:rsidP="00CA13A1">
            <w:pPr>
              <w:jc w:val="center"/>
              <w:rPr>
                <w:rFonts w:eastAsia="Calibri"/>
                <w:szCs w:val="24"/>
              </w:rPr>
            </w:pPr>
            <w:r w:rsidRPr="00A03D14">
              <w:rPr>
                <w:rFonts w:eastAsia="Calibri"/>
                <w:szCs w:val="24"/>
              </w:rPr>
              <w:t>Ne mažiau nei EBPO šalių vidurkis</w:t>
            </w:r>
          </w:p>
        </w:tc>
      </w:tr>
      <w:tr w:rsidR="00BF67F2" w:rsidRPr="00A03D14" w14:paraId="2DA3C3A5" w14:textId="77777777" w:rsidTr="00CA13A1">
        <w:trPr>
          <w:trHeight w:val="275"/>
        </w:trPr>
        <w:tc>
          <w:tcPr>
            <w:tcW w:w="2513" w:type="pct"/>
            <w:vMerge/>
            <w:shd w:val="clear" w:color="auto" w:fill="auto"/>
          </w:tcPr>
          <w:p w14:paraId="3490E228" w14:textId="77777777" w:rsidR="00BF67F2" w:rsidRPr="00A03D14" w:rsidRDefault="00BF67F2" w:rsidP="00CA13A1">
            <w:pPr>
              <w:tabs>
                <w:tab w:val="left" w:pos="1741"/>
              </w:tabs>
              <w:jc w:val="both"/>
              <w:rPr>
                <w:rFonts w:eastAsia="Calibri"/>
                <w:b/>
                <w:iCs/>
                <w:szCs w:val="24"/>
              </w:rPr>
            </w:pPr>
          </w:p>
        </w:tc>
        <w:tc>
          <w:tcPr>
            <w:tcW w:w="346" w:type="pct"/>
            <w:shd w:val="clear" w:color="auto" w:fill="auto"/>
            <w:vAlign w:val="center"/>
          </w:tcPr>
          <w:p w14:paraId="3540F36C" w14:textId="77777777" w:rsidR="00BF67F2" w:rsidRPr="00A03D14" w:rsidRDefault="00BF67F2" w:rsidP="00CA13A1">
            <w:pPr>
              <w:tabs>
                <w:tab w:val="left" w:pos="1741"/>
              </w:tabs>
              <w:jc w:val="center"/>
              <w:rPr>
                <w:rFonts w:eastAsia="Calibri"/>
                <w:i/>
                <w:szCs w:val="24"/>
              </w:rPr>
            </w:pPr>
            <w:r w:rsidRPr="00A03D14">
              <w:rPr>
                <w:rFonts w:eastAsia="Calibri"/>
                <w:i/>
                <w:szCs w:val="24"/>
              </w:rPr>
              <w:t>Faktas</w:t>
            </w:r>
          </w:p>
        </w:tc>
        <w:tc>
          <w:tcPr>
            <w:tcW w:w="547" w:type="pct"/>
            <w:shd w:val="clear" w:color="auto" w:fill="auto"/>
            <w:vAlign w:val="center"/>
          </w:tcPr>
          <w:p w14:paraId="17C73660"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c>
          <w:tcPr>
            <w:tcW w:w="518" w:type="pct"/>
            <w:shd w:val="clear" w:color="auto" w:fill="auto"/>
            <w:vAlign w:val="center"/>
          </w:tcPr>
          <w:p w14:paraId="507DC6EF"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c>
          <w:tcPr>
            <w:tcW w:w="520" w:type="pct"/>
            <w:shd w:val="clear" w:color="auto" w:fill="auto"/>
            <w:vAlign w:val="center"/>
          </w:tcPr>
          <w:p w14:paraId="0445924C"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c>
          <w:tcPr>
            <w:tcW w:w="556" w:type="pct"/>
            <w:shd w:val="clear" w:color="auto" w:fill="auto"/>
            <w:vAlign w:val="center"/>
          </w:tcPr>
          <w:p w14:paraId="7C0A2E6B"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r>
      <w:tr w:rsidR="00BF67F2" w:rsidRPr="00A03D14" w14:paraId="24D39A04" w14:textId="77777777" w:rsidTr="00CA13A1">
        <w:trPr>
          <w:trHeight w:val="275"/>
        </w:trPr>
        <w:tc>
          <w:tcPr>
            <w:tcW w:w="2513" w:type="pct"/>
            <w:vMerge w:val="restart"/>
            <w:shd w:val="clear" w:color="auto" w:fill="auto"/>
          </w:tcPr>
          <w:p w14:paraId="7E9565AF" w14:textId="77777777" w:rsidR="00BF67F2" w:rsidRPr="00A03D14" w:rsidRDefault="00BF67F2" w:rsidP="00CA13A1">
            <w:pPr>
              <w:tabs>
                <w:tab w:val="left" w:pos="1741"/>
              </w:tabs>
              <w:jc w:val="both"/>
              <w:rPr>
                <w:rFonts w:eastAsia="Calibri"/>
                <w:b/>
                <w:i/>
                <w:iCs/>
                <w:szCs w:val="24"/>
              </w:rPr>
            </w:pPr>
            <w:r w:rsidRPr="00A03D14">
              <w:rPr>
                <w:rFonts w:eastAsia="Calibri"/>
                <w:b/>
                <w:i/>
                <w:iCs/>
                <w:szCs w:val="24"/>
              </w:rPr>
              <w:t>Studijuojančių STEM srityse asmenų dalis, palyginti su visais studijuojančiais, proc.</w:t>
            </w:r>
          </w:p>
        </w:tc>
        <w:tc>
          <w:tcPr>
            <w:tcW w:w="346" w:type="pct"/>
            <w:shd w:val="clear" w:color="auto" w:fill="9CC2E5"/>
            <w:vAlign w:val="center"/>
          </w:tcPr>
          <w:p w14:paraId="446AD51F" w14:textId="77777777" w:rsidR="00BF67F2" w:rsidRPr="00A03D14" w:rsidRDefault="00BF67F2" w:rsidP="00CA13A1">
            <w:pPr>
              <w:tabs>
                <w:tab w:val="left" w:pos="1741"/>
              </w:tabs>
              <w:jc w:val="center"/>
              <w:rPr>
                <w:rFonts w:eastAsia="Calibri"/>
                <w:i/>
                <w:szCs w:val="24"/>
              </w:rPr>
            </w:pPr>
            <w:r w:rsidRPr="00A03D14">
              <w:rPr>
                <w:rFonts w:eastAsia="Calibri"/>
                <w:i/>
                <w:szCs w:val="24"/>
              </w:rPr>
              <w:t>Planas</w:t>
            </w:r>
          </w:p>
        </w:tc>
        <w:tc>
          <w:tcPr>
            <w:tcW w:w="547" w:type="pct"/>
            <w:shd w:val="clear" w:color="auto" w:fill="9CC2E5"/>
            <w:vAlign w:val="center"/>
          </w:tcPr>
          <w:p w14:paraId="517EEB7D"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c>
          <w:tcPr>
            <w:tcW w:w="518" w:type="pct"/>
            <w:shd w:val="clear" w:color="auto" w:fill="9CC2E5"/>
            <w:vAlign w:val="center"/>
          </w:tcPr>
          <w:p w14:paraId="0D1D0377"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28,4</w:t>
            </w:r>
          </w:p>
        </w:tc>
        <w:tc>
          <w:tcPr>
            <w:tcW w:w="520" w:type="pct"/>
            <w:shd w:val="clear" w:color="auto" w:fill="9CC2E5"/>
            <w:vAlign w:val="center"/>
          </w:tcPr>
          <w:p w14:paraId="2D1A92AC"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28,6</w:t>
            </w:r>
          </w:p>
        </w:tc>
        <w:tc>
          <w:tcPr>
            <w:tcW w:w="556" w:type="pct"/>
            <w:shd w:val="clear" w:color="auto" w:fill="9CC2E5"/>
            <w:vAlign w:val="center"/>
          </w:tcPr>
          <w:p w14:paraId="6F798AED"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28,8</w:t>
            </w:r>
          </w:p>
        </w:tc>
      </w:tr>
      <w:tr w:rsidR="00BF67F2" w:rsidRPr="00A03D14" w14:paraId="1374DDB2" w14:textId="77777777" w:rsidTr="00CA13A1">
        <w:trPr>
          <w:trHeight w:val="275"/>
        </w:trPr>
        <w:tc>
          <w:tcPr>
            <w:tcW w:w="2513" w:type="pct"/>
            <w:vMerge/>
            <w:shd w:val="clear" w:color="auto" w:fill="auto"/>
          </w:tcPr>
          <w:p w14:paraId="64C83EED" w14:textId="77777777" w:rsidR="00BF67F2" w:rsidRPr="00A03D14" w:rsidRDefault="00BF67F2" w:rsidP="00CA13A1">
            <w:pPr>
              <w:tabs>
                <w:tab w:val="left" w:pos="1741"/>
              </w:tabs>
              <w:rPr>
                <w:rFonts w:eastAsia="Calibri"/>
                <w:b/>
                <w:iCs/>
                <w:color w:val="C45911"/>
                <w:szCs w:val="24"/>
              </w:rPr>
            </w:pPr>
          </w:p>
        </w:tc>
        <w:tc>
          <w:tcPr>
            <w:tcW w:w="346" w:type="pct"/>
            <w:shd w:val="clear" w:color="auto" w:fill="auto"/>
            <w:vAlign w:val="center"/>
          </w:tcPr>
          <w:p w14:paraId="71230221" w14:textId="77777777" w:rsidR="00BF67F2" w:rsidRPr="00A03D14" w:rsidRDefault="00BF67F2" w:rsidP="00CA13A1">
            <w:pPr>
              <w:tabs>
                <w:tab w:val="left" w:pos="1741"/>
              </w:tabs>
              <w:jc w:val="center"/>
              <w:rPr>
                <w:rFonts w:eastAsia="Calibri"/>
                <w:i/>
                <w:szCs w:val="24"/>
              </w:rPr>
            </w:pPr>
            <w:r w:rsidRPr="00A03D14">
              <w:rPr>
                <w:rFonts w:eastAsia="Calibri"/>
                <w:i/>
                <w:szCs w:val="24"/>
              </w:rPr>
              <w:t>Faktas</w:t>
            </w:r>
          </w:p>
        </w:tc>
        <w:tc>
          <w:tcPr>
            <w:tcW w:w="547" w:type="pct"/>
            <w:shd w:val="clear" w:color="auto" w:fill="auto"/>
            <w:vAlign w:val="center"/>
          </w:tcPr>
          <w:p w14:paraId="6715ABBD"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28,3</w:t>
            </w:r>
          </w:p>
        </w:tc>
        <w:tc>
          <w:tcPr>
            <w:tcW w:w="518" w:type="pct"/>
            <w:shd w:val="clear" w:color="auto" w:fill="auto"/>
            <w:vAlign w:val="center"/>
          </w:tcPr>
          <w:p w14:paraId="456A6653"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c>
          <w:tcPr>
            <w:tcW w:w="520" w:type="pct"/>
            <w:shd w:val="clear" w:color="auto" w:fill="auto"/>
            <w:vAlign w:val="center"/>
          </w:tcPr>
          <w:p w14:paraId="1DE450E0"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c>
          <w:tcPr>
            <w:tcW w:w="556" w:type="pct"/>
            <w:shd w:val="clear" w:color="auto" w:fill="auto"/>
            <w:vAlign w:val="center"/>
          </w:tcPr>
          <w:p w14:paraId="5AFF693B" w14:textId="77777777" w:rsidR="00BF67F2" w:rsidRPr="00A03D14" w:rsidRDefault="00BF67F2" w:rsidP="00CA13A1">
            <w:pPr>
              <w:tabs>
                <w:tab w:val="left" w:pos="1741"/>
              </w:tabs>
              <w:jc w:val="center"/>
              <w:rPr>
                <w:rFonts w:eastAsia="Calibri"/>
                <w:i/>
                <w:iCs/>
                <w:szCs w:val="24"/>
              </w:rPr>
            </w:pPr>
            <w:r w:rsidRPr="00A03D14">
              <w:rPr>
                <w:rFonts w:eastAsia="Calibri"/>
                <w:i/>
                <w:iCs/>
                <w:szCs w:val="24"/>
              </w:rPr>
              <w:t>–</w:t>
            </w:r>
          </w:p>
        </w:tc>
      </w:tr>
    </w:tbl>
    <w:p w14:paraId="0569A04D" w14:textId="77777777" w:rsidR="00BF67F2" w:rsidRPr="00A03D14" w:rsidRDefault="00BF67F2" w:rsidP="00BF67F2">
      <w:pPr>
        <w:tabs>
          <w:tab w:val="left" w:pos="1741"/>
        </w:tabs>
        <w:rPr>
          <w:szCs w:val="24"/>
        </w:rPr>
      </w:pPr>
    </w:p>
    <w:p w14:paraId="40376B03" w14:textId="77777777" w:rsidR="00BF67F2" w:rsidRPr="00A03D14" w:rsidRDefault="00BF67F2" w:rsidP="00BF67F2">
      <w:pPr>
        <w:rPr>
          <w:szCs w:val="24"/>
        </w:rPr>
      </w:pPr>
      <w:r w:rsidRPr="00A03D14">
        <w:rPr>
          <w:b/>
          <w:szCs w:val="24"/>
        </w:rPr>
        <w:t>Atsakingos institucijos</w:t>
      </w:r>
      <w:r w:rsidRPr="00A03D14">
        <w:rPr>
          <w:szCs w:val="24"/>
        </w:rPr>
        <w:t>: Lietuvos Respublikos socialinės apsaugos ir darbo ministerija, Lietuvos Respublikos švietimo, mokslo ir sporto ministerija, Lietuvos Respublikos kultūros ministerija, Lietuvos Respublikos sveikatos apsaugos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C6560C" w:rsidRPr="00C6560C" w14:paraId="744A4541" w14:textId="77777777" w:rsidTr="002624F5">
        <w:trPr>
          <w:trHeight w:val="23"/>
          <w:tblHeader/>
        </w:trPr>
        <w:tc>
          <w:tcPr>
            <w:tcW w:w="928" w:type="pct"/>
            <w:shd w:val="clear" w:color="auto" w:fill="1F4E79"/>
            <w:vAlign w:val="center"/>
          </w:tcPr>
          <w:p w14:paraId="172EBA1D" w14:textId="77777777" w:rsidR="00C6560C" w:rsidRPr="00C6560C" w:rsidRDefault="00C6560C" w:rsidP="00C6560C">
            <w:pPr>
              <w:jc w:val="center"/>
              <w:rPr>
                <w:b/>
                <w:color w:val="FFFFFF"/>
                <w:szCs w:val="24"/>
              </w:rPr>
            </w:pPr>
            <w:r w:rsidRPr="00C6560C">
              <w:rPr>
                <w:b/>
                <w:color w:val="FFFFFF"/>
                <w:szCs w:val="24"/>
              </w:rPr>
              <w:t>Tikslas</w:t>
            </w:r>
          </w:p>
        </w:tc>
        <w:tc>
          <w:tcPr>
            <w:tcW w:w="4072" w:type="pct"/>
            <w:shd w:val="clear" w:color="auto" w:fill="B4C6E7"/>
            <w:vAlign w:val="center"/>
          </w:tcPr>
          <w:p w14:paraId="76A6B3BD" w14:textId="77777777" w:rsidR="00C6560C" w:rsidRPr="00C6560C" w:rsidRDefault="00C6560C" w:rsidP="00C6560C">
            <w:pPr>
              <w:jc w:val="center"/>
              <w:rPr>
                <w:b/>
                <w:szCs w:val="24"/>
              </w:rPr>
            </w:pPr>
            <w:r w:rsidRPr="00C6560C">
              <w:rPr>
                <w:b/>
                <w:szCs w:val="24"/>
              </w:rPr>
              <w:t>Poveikis Tarybos rekomendacijos įgyvendinimui</w:t>
            </w:r>
          </w:p>
        </w:tc>
      </w:tr>
      <w:tr w:rsidR="00C6560C" w:rsidRPr="00C6560C" w14:paraId="1A97F088" w14:textId="77777777" w:rsidTr="002624F5">
        <w:trPr>
          <w:trHeight w:val="23"/>
        </w:trPr>
        <w:tc>
          <w:tcPr>
            <w:tcW w:w="928" w:type="pct"/>
          </w:tcPr>
          <w:p w14:paraId="604FC885" w14:textId="77777777" w:rsidR="00C6560C" w:rsidRPr="00C6560C" w:rsidRDefault="00C6560C" w:rsidP="00C6560C">
            <w:pPr>
              <w:rPr>
                <w:b/>
                <w:szCs w:val="24"/>
              </w:rPr>
            </w:pPr>
            <w:r w:rsidRPr="00C6560C">
              <w:rPr>
                <w:b/>
                <w:szCs w:val="24"/>
                <w:u w:val="single"/>
              </w:rPr>
              <w:t>6 tikslas.</w:t>
            </w:r>
            <w:r w:rsidRPr="00C6560C">
              <w:rPr>
                <w:szCs w:val="24"/>
              </w:rPr>
              <w:t xml:space="preserve">  </w:t>
            </w:r>
            <w:r w:rsidRPr="00C6560C">
              <w:rPr>
                <w:b/>
                <w:szCs w:val="24"/>
              </w:rPr>
              <w:t>Užtikrinti minimalios socialinės apsaugos sistemos aprėptį bei adekvatumą ir padidinti mokesčių ir socialinių išmokų sistemos veiksmingumą apsaugant nuo skurdo</w:t>
            </w:r>
          </w:p>
          <w:p w14:paraId="6FCC8489" w14:textId="77777777" w:rsidR="00C6560C" w:rsidRPr="00C6560C" w:rsidRDefault="00C6560C" w:rsidP="00C6560C">
            <w:pPr>
              <w:ind w:left="29"/>
              <w:rPr>
                <w:i/>
                <w:szCs w:val="24"/>
              </w:rPr>
            </w:pPr>
            <w:r w:rsidRPr="00C6560C">
              <w:rPr>
                <w:b/>
                <w:szCs w:val="24"/>
              </w:rPr>
              <w:t>(įgyvendina struktūrinę socialinio draudimo (pensijų) reformą)</w:t>
            </w:r>
          </w:p>
        </w:tc>
        <w:tc>
          <w:tcPr>
            <w:tcW w:w="4072" w:type="pct"/>
          </w:tcPr>
          <w:p w14:paraId="14055D08" w14:textId="77777777" w:rsidR="00C6560C" w:rsidRPr="00C6560C" w:rsidRDefault="00C6560C" w:rsidP="00C6560C">
            <w:pPr>
              <w:jc w:val="both"/>
              <w:rPr>
                <w:bCs/>
                <w:szCs w:val="24"/>
              </w:rPr>
            </w:pPr>
            <w:r w:rsidRPr="00C6560C">
              <w:rPr>
                <w:bCs/>
                <w:szCs w:val="24"/>
              </w:rPr>
              <w:t>Tikslo buvo siekiama įgyvendinant šias priemones:</w:t>
            </w:r>
          </w:p>
          <w:p w14:paraId="2CCEA6B1" w14:textId="77777777" w:rsidR="00C6560C" w:rsidRPr="00C6560C" w:rsidRDefault="00C6560C" w:rsidP="00C6560C">
            <w:pPr>
              <w:jc w:val="both"/>
              <w:rPr>
                <w:b/>
                <w:szCs w:val="24"/>
              </w:rPr>
            </w:pPr>
            <w:r w:rsidRPr="00C6560C">
              <w:rPr>
                <w:b/>
                <w:szCs w:val="24"/>
              </w:rPr>
              <w:t>Institucinei globai alternatyvių vaiko globos (rūpybos) formų plėtra.</w:t>
            </w:r>
          </w:p>
          <w:p w14:paraId="0EDDA347" w14:textId="77777777" w:rsidR="00C6560C" w:rsidRPr="00C6560C" w:rsidRDefault="00C6560C" w:rsidP="00C6560C">
            <w:pPr>
              <w:numPr>
                <w:ilvl w:val="0"/>
                <w:numId w:val="4"/>
              </w:numPr>
              <w:ind w:left="336" w:hanging="270"/>
              <w:jc w:val="both"/>
              <w:rPr>
                <w:rFonts w:eastAsia="Calibri"/>
                <w:iCs/>
                <w:szCs w:val="24"/>
                <w:lang w:eastAsia="en-US"/>
              </w:rPr>
            </w:pPr>
            <w:r w:rsidRPr="00C6560C">
              <w:rPr>
                <w:rFonts w:eastAsia="Calibri"/>
                <w:iCs/>
                <w:szCs w:val="24"/>
                <w:lang w:eastAsia="en-US"/>
              </w:rPr>
              <w:t>Parengtas socialinės apsaugos ir darbo ministro 2018 m. sausio 19 d. įsakymo Nr. A1-28 „Dėl Globos centro veiklos ir vaiko budinčio globotojo vykdomos priežiūros organizavimo ir kokybės priežiūros tvarkos aprašo patvirtinimo“ pakeitimas. Globos centro teikiamos paslaugos bus orientuotos ne tik į vaiką, bet ir į patį globėją, budintį globotoją, įtėvį,  kartu su jais gyvenančius artimuosius,  nes  tik dirbant su visa šeima galima pasiekti  gerų  rezultatų.   Globėjai,  budintys globotojai  gali</w:t>
            </w:r>
          </w:p>
          <w:p w14:paraId="67CD9F80" w14:textId="77777777" w:rsidR="00C6560C" w:rsidRPr="00C6560C" w:rsidRDefault="00C6560C" w:rsidP="00C6560C">
            <w:pPr>
              <w:ind w:left="336"/>
              <w:jc w:val="both"/>
              <w:rPr>
                <w:rFonts w:eastAsia="Calibri"/>
                <w:iCs/>
                <w:szCs w:val="24"/>
                <w:lang w:eastAsia="en-US"/>
              </w:rPr>
            </w:pPr>
            <w:r w:rsidRPr="00C6560C">
              <w:rPr>
                <w:rFonts w:eastAsia="Calibri"/>
                <w:iCs/>
                <w:szCs w:val="24"/>
                <w:lang w:eastAsia="en-US"/>
              </w:rPr>
              <w:t xml:space="preserve"> kreiptis dėl vaiko priežiūros paslaugų (1-4 valandų), atsiranda galimybė analizuoti mokymų poreikius  ir  organizuoti visoms tikslinėms globos centro gavėjų grupėms. Taip pat aiškiau apibrėžiamas laikino atokvėpio organizavimas, atsiranda galimybė budintiems globotojams imti atokvėpį darbingumui atkurti po to kai vaikas  perduodamas globėjams arba grąžinamas į šeimą ir t.t.</w:t>
            </w:r>
          </w:p>
          <w:p w14:paraId="566CE0FE" w14:textId="77777777" w:rsidR="00C6560C" w:rsidRPr="00C6560C" w:rsidRDefault="00C6560C" w:rsidP="00C6560C">
            <w:pPr>
              <w:numPr>
                <w:ilvl w:val="0"/>
                <w:numId w:val="4"/>
              </w:numPr>
              <w:ind w:left="336" w:hanging="270"/>
              <w:jc w:val="both"/>
              <w:rPr>
                <w:rFonts w:eastAsia="Calibri"/>
                <w:iCs/>
                <w:szCs w:val="24"/>
                <w:lang w:eastAsia="en-US"/>
              </w:rPr>
            </w:pPr>
            <w:r w:rsidRPr="00C6560C">
              <w:rPr>
                <w:rFonts w:eastAsia="Calibri"/>
                <w:iCs/>
                <w:szCs w:val="24"/>
                <w:lang w:eastAsia="en-US"/>
              </w:rPr>
              <w:t xml:space="preserve">Įgyvendinant projektą „Vaikų gerovės ir saugumo didinimas, paslaugų šeimai, globėjams (rūpintojams) kokybės didinimas bei prieinamumo plėtra“ Nr. 08.4.1-ESFA-V-405-02-0001, per 2020 m. buvo  rengiami  susitikimai su globos centrais siekiant juos </w:t>
            </w:r>
            <w:proofErr w:type="spellStart"/>
            <w:r w:rsidRPr="00C6560C">
              <w:rPr>
                <w:rFonts w:eastAsia="Calibri"/>
                <w:iCs/>
                <w:szCs w:val="24"/>
                <w:lang w:eastAsia="en-US"/>
              </w:rPr>
              <w:t>įveiklinti</w:t>
            </w:r>
            <w:proofErr w:type="spellEnd"/>
            <w:r w:rsidRPr="00C6560C">
              <w:rPr>
                <w:rFonts w:eastAsia="Calibri"/>
                <w:iCs/>
                <w:szCs w:val="24"/>
                <w:lang w:eastAsia="en-US"/>
              </w:rPr>
              <w:t xml:space="preserve">.  Globos centrų darbuotojams surengti 5 susitikimai, kuriuose iš viso dalyvavo 671 darbuotojas. Patys globos centrai  surengė 1 433 susitikimus organizuodami mokymus pagal GIMK programą, parašė 484 teigiamas išvadas, 452 rekomendacijas. Psichologo paslaugas globos centre gavo 5 066 gavėjai, socialinio darbuotojo pagalbą – 2 734 gavėjai,  sudaryti 2 462 individualus pagalbos vaikui / šeimai planai ir t.t. </w:t>
            </w:r>
          </w:p>
          <w:p w14:paraId="2A0054E7" w14:textId="77777777" w:rsidR="00C6560C" w:rsidRPr="00C6560C" w:rsidRDefault="00C6560C" w:rsidP="00C6560C">
            <w:pPr>
              <w:numPr>
                <w:ilvl w:val="0"/>
                <w:numId w:val="4"/>
              </w:numPr>
              <w:ind w:left="336" w:hanging="270"/>
              <w:jc w:val="both"/>
              <w:rPr>
                <w:rFonts w:eastAsia="Calibri"/>
                <w:iCs/>
                <w:szCs w:val="24"/>
                <w:lang w:eastAsia="en-US"/>
              </w:rPr>
            </w:pPr>
            <w:r w:rsidRPr="00C6560C">
              <w:rPr>
                <w:rFonts w:eastAsia="Calibri"/>
                <w:iCs/>
                <w:szCs w:val="24"/>
                <w:lang w:eastAsia="en-US"/>
              </w:rPr>
              <w:t xml:space="preserve">Taip pat buvo organizuojami 3 mokymai mobiliosioms komandoms, kuriuose dalyvavo 49 darbuotojai,  papildomai suorganizuotos 8 individualios </w:t>
            </w:r>
            <w:proofErr w:type="spellStart"/>
            <w:r w:rsidRPr="00C6560C">
              <w:rPr>
                <w:rFonts w:eastAsia="Calibri"/>
                <w:iCs/>
                <w:szCs w:val="24"/>
                <w:lang w:eastAsia="en-US"/>
              </w:rPr>
              <w:t>supervizijos</w:t>
            </w:r>
            <w:proofErr w:type="spellEnd"/>
            <w:r w:rsidRPr="00C6560C">
              <w:rPr>
                <w:rFonts w:eastAsia="Calibri"/>
                <w:iCs/>
                <w:szCs w:val="24"/>
                <w:lang w:eastAsia="en-US"/>
              </w:rPr>
              <w:t xml:space="preserve">, 26 komandinės </w:t>
            </w:r>
            <w:proofErr w:type="spellStart"/>
            <w:r w:rsidRPr="00C6560C">
              <w:rPr>
                <w:rFonts w:eastAsia="Calibri"/>
                <w:iCs/>
                <w:szCs w:val="24"/>
                <w:lang w:eastAsia="en-US"/>
              </w:rPr>
              <w:t>supervizijos</w:t>
            </w:r>
            <w:proofErr w:type="spellEnd"/>
            <w:r w:rsidRPr="00C6560C">
              <w:rPr>
                <w:rFonts w:eastAsia="Calibri"/>
                <w:iCs/>
                <w:szCs w:val="24"/>
                <w:lang w:eastAsia="en-US"/>
              </w:rPr>
              <w:t xml:space="preserve"> ir 17 grupinių </w:t>
            </w:r>
            <w:proofErr w:type="spellStart"/>
            <w:r w:rsidRPr="00C6560C">
              <w:rPr>
                <w:rFonts w:eastAsia="Calibri"/>
                <w:iCs/>
                <w:szCs w:val="24"/>
                <w:lang w:eastAsia="en-US"/>
              </w:rPr>
              <w:t>supervizijų</w:t>
            </w:r>
            <w:proofErr w:type="spellEnd"/>
            <w:r w:rsidRPr="00C6560C">
              <w:rPr>
                <w:rFonts w:eastAsia="Calibri"/>
                <w:iCs/>
                <w:szCs w:val="24"/>
                <w:lang w:eastAsia="en-US"/>
              </w:rPr>
              <w:t xml:space="preserve"> mobiliosios komandos nariams.</w:t>
            </w:r>
          </w:p>
          <w:p w14:paraId="69C5F995" w14:textId="77777777" w:rsidR="00C6560C" w:rsidRPr="00C6560C" w:rsidRDefault="00C6560C" w:rsidP="00C6560C">
            <w:pPr>
              <w:numPr>
                <w:ilvl w:val="0"/>
                <w:numId w:val="4"/>
              </w:numPr>
              <w:ind w:left="336" w:hanging="270"/>
              <w:jc w:val="both"/>
              <w:rPr>
                <w:rFonts w:eastAsia="Calibri"/>
                <w:iCs/>
                <w:szCs w:val="24"/>
                <w:lang w:eastAsia="en-US"/>
              </w:rPr>
            </w:pPr>
            <w:r w:rsidRPr="00C6560C">
              <w:rPr>
                <w:rFonts w:eastAsia="Calibri"/>
                <w:iCs/>
                <w:szCs w:val="24"/>
                <w:lang w:eastAsia="en-US"/>
              </w:rPr>
              <w:t xml:space="preserve">Pradėjo savo veiklą skambučių linija „Viskas apie globą“. Profesionalūs konsultantai suteiks </w:t>
            </w:r>
            <w:proofErr w:type="spellStart"/>
            <w:r w:rsidRPr="00C6560C">
              <w:rPr>
                <w:rFonts w:eastAsia="Calibri"/>
                <w:iCs/>
                <w:szCs w:val="24"/>
                <w:lang w:eastAsia="en-US"/>
              </w:rPr>
              <w:t>reikaliamą</w:t>
            </w:r>
            <w:proofErr w:type="spellEnd"/>
            <w:r w:rsidRPr="00C6560C">
              <w:rPr>
                <w:rFonts w:eastAsia="Calibri"/>
                <w:iCs/>
                <w:szCs w:val="24"/>
                <w:lang w:eastAsia="en-US"/>
              </w:rPr>
              <w:t xml:space="preserve"> informaciją  ir  konsultuos rūpimais klausimais, susijusiais su globa, budinčio globotojo veikla, įvaikinimu. Paslauga nemokamai galės naudotis  visi šalies globėjai, budintys globotojai, įtėviai ar asmenys, ketinantys tapti globėjais, budinčiais globotojais, įtėviais,  taip pat asmenys, kurie domisi  globa ir įvaikinimu .</w:t>
            </w:r>
          </w:p>
          <w:p w14:paraId="6B04B6E6" w14:textId="77777777" w:rsidR="00C6560C" w:rsidRPr="00C6560C" w:rsidRDefault="00C6560C" w:rsidP="00C6560C">
            <w:pPr>
              <w:numPr>
                <w:ilvl w:val="0"/>
                <w:numId w:val="4"/>
              </w:numPr>
              <w:ind w:left="336" w:hanging="270"/>
              <w:jc w:val="both"/>
              <w:rPr>
                <w:rFonts w:eastAsia="Calibri"/>
                <w:iCs/>
                <w:szCs w:val="24"/>
                <w:lang w:eastAsia="en-US"/>
              </w:rPr>
            </w:pPr>
            <w:r w:rsidRPr="00C6560C">
              <w:rPr>
                <w:rFonts w:eastAsia="Calibri"/>
                <w:iCs/>
                <w:szCs w:val="24"/>
                <w:lang w:eastAsia="en-US"/>
              </w:rPr>
              <w:t xml:space="preserve">Parengtas  Bendruomeninių vaikų globos namų veiklos aprašas, patvirtintas socialinės apsaugos ir darbo ministro 2021 m. sausio 13 d. įsakymu Nr. A1-24.  Reglamentuota  Bendruomeninių vaikų globos namų (toliau – BVGN) veikla, kurios tikslas </w:t>
            </w:r>
            <w:r w:rsidRPr="00C6560C">
              <w:rPr>
                <w:rFonts w:eastAsia="Calibri"/>
                <w:iCs/>
                <w:szCs w:val="24"/>
                <w:lang w:eastAsia="en-US"/>
              </w:rPr>
              <w:lastRenderedPageBreak/>
              <w:t>–  organizuoti vaikų globą (priežiūrą) taip, kad BVGN aplinka maksimaliai priartėtų prie šeimai artimos aplinkos, būtų užtikrinta juose augančių vaikų integracija į bendruomenę, vaikai būtų parengti grįžti į biologinę šeimą ar būti globojami (rūpinami) šeimoje ar  įvaikinti. Apraše nustatyti socialinių paslaugų įstaigos –  BVGN – tikslai ir funkcijos, teisės ir pareigos, veiklos organizavimas, likusio be tėvų globos vaiko, socialinę riziką patiriančio vaiko ar vaiko su negalia apgyvendinimas BVGN, finansavimas bei teikiamos globos (rūpybos) kokybės užtikrinimas. Lietuvoje veiklą vykdo 130 BVGN, kuriuose globojami 676 vaikai.</w:t>
            </w:r>
          </w:p>
          <w:p w14:paraId="2EE9735E" w14:textId="77777777" w:rsidR="00C6560C" w:rsidRPr="00C6560C" w:rsidRDefault="00C6560C" w:rsidP="00C6560C">
            <w:pPr>
              <w:numPr>
                <w:ilvl w:val="0"/>
                <w:numId w:val="4"/>
              </w:numPr>
              <w:ind w:left="336" w:hanging="270"/>
              <w:jc w:val="both"/>
              <w:rPr>
                <w:rFonts w:eastAsia="Calibri"/>
                <w:iCs/>
                <w:szCs w:val="24"/>
                <w:lang w:eastAsia="en-US"/>
              </w:rPr>
            </w:pPr>
            <w:r w:rsidRPr="00C6560C">
              <w:rPr>
                <w:rFonts w:eastAsia="Calibri"/>
                <w:iCs/>
                <w:szCs w:val="24"/>
                <w:lang w:eastAsia="en-US"/>
              </w:rPr>
              <w:t xml:space="preserve"> Per pirmąjį institucinės pertvarkos  etapą  palydimoji paslauga sėkmingai buvo suteikta 254 jaunuoliams. Socialinės apsaugos ir darbo ministerija  skatina it toliau teikti palydimąją paslaugą  jaunuoliams, kad būtų palengvinta jų socialinė integracija bendruomenėje. Socialinės apsaugos ir darbo ministro 2020 m. lapkričio 30 d. įsakymu Nr. A1-1174 patvirtintas Socialinių paslaugų katalogas,  papildytas socialinių paslaugų gavėjų grupėmis, kurioms turi būti teikiama visuma tarpusavyje susijusių socialinių paslaugų, kurios sudaro palydimąją paslaugą. Socialinių paslaugų kataloge nustatyta, kad likusiems be tėvų globos vaikams (nuo 16 m.) ar sulaukusiems pilnametystės asmenims (24 m.), kuriems buvo teikta vaiko socialinė globa (rūpyba) ar kurie gyveno socialinę riziką patiriančiose šeimose, atsižvelgiant į asmens individualius poreikius, gali būti teikiamos socialinių įgūdžių ugdymo, palaikymo ir (ar) atkūrimo, apgyvendinimo savarankiško gyvenimo namuose, intensyvios krizių įveikimo pagalbos bei psichosocialinės pagalbos paslaugos, o sulaukusiems pilnametystės asmenims (24 m.), kuriems buvo teikta vaiko socialinė globa (rūpyba) ar kurie gyveno socialinę riziką patiriančiose šeimose, gali būti teikiama ir apgyvendinimo apsaugotame būste paslauga. Taip pat yra parengtas socialinės apsaugos ir darbo ministro įsakymo „Dėl Palydimosios paslaugos jaunuoliams organizavimo ir kokybės priežiūros aprašo patvirtinimo“ projektas.</w:t>
            </w:r>
          </w:p>
          <w:p w14:paraId="4CFBA082" w14:textId="77777777" w:rsidR="00C6560C" w:rsidRPr="00C6560C" w:rsidRDefault="00C6560C" w:rsidP="00C6560C">
            <w:pPr>
              <w:jc w:val="both"/>
              <w:rPr>
                <w:b/>
                <w:iCs/>
                <w:szCs w:val="24"/>
              </w:rPr>
            </w:pPr>
            <w:r w:rsidRPr="00C6560C">
              <w:rPr>
                <w:b/>
                <w:iCs/>
                <w:szCs w:val="24"/>
              </w:rPr>
              <w:t>Asmenų su negalia integracijos sistemos tobulinimas švietimo, kultūros, socialinės apsaugos ir užimtumo srityse ir naujų bendruomeninių paslaugų neįgaliajam ir jo šeimai (apsaugotas būstas, socialinė reabilitacija po ilgalaikės institucinės globos ar hospitalizacijos, asmeninio asistento, savarankiško gyvenimo namų, atokvėpio paslaugų) sukūrimas ir plėtra, skatinant žmonių su negalia savarankiškumą ir  įgalinimą.</w:t>
            </w:r>
          </w:p>
          <w:p w14:paraId="6C498061"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Pakeistas Socialinių paslaugų įstatymas – nuo 2020 m. liepos 1 d. nustatant asmens finansines galimybes mokėti už socialines paslaugas įskaitomos su darbo ar tarnybos santykiais susijusios pajamos, įskaitant išeitines išmokas ir kompensacijas, išskyrus asmenų su negalia gaunamas su darbo santykiais susijusias pajamas, kai jos neviršija Vyriausybės nustatytos minimaliosios mėnesinės algos. Tikėtina, kad tai turėtų paskatinti žmones su negalia kreiptis dėl paslaugų, o asmenis, kurie gyvena bendruomeninėse socialinių paslaugų įstaigose, siekti įsidarbinti.</w:t>
            </w:r>
          </w:p>
          <w:p w14:paraId="5ACEEB51"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Papildomai  Socialinių paslaugų įstatymo 38 straipsnis  papildytas 4</w:t>
            </w:r>
            <w:r w:rsidRPr="00C6560C">
              <w:rPr>
                <w:rFonts w:eastAsia="Calibri"/>
                <w:iCs/>
                <w:szCs w:val="24"/>
                <w:vertAlign w:val="superscript"/>
                <w:lang w:eastAsia="en-US"/>
              </w:rPr>
              <w:t>1</w:t>
            </w:r>
            <w:r w:rsidRPr="00C6560C">
              <w:rPr>
                <w:rFonts w:eastAsia="Calibri"/>
                <w:iCs/>
                <w:szCs w:val="24"/>
                <w:lang w:eastAsia="en-US"/>
              </w:rPr>
              <w:t xml:space="preserve"> dalimi, nustatančia, kad ne tik ilgalaikė socialinė globa, bet visos socialinės paslaugos senyvo amžiaus asmenims, suaugusiems asmenims su negalia, vaikams su negalia, iki 2007 m. sausio 1 d. pradėjusiems gauti ilgalaikę socialinę globą apskričių viršininkų socialinių paslaugų įstaigose ir toliau nepertraukiamai ją gaunantiems, finansuojamos iš valstybės biudžeto lėšų, netaikant Socialinių paslaugų įstatymo aštuntojo skirsnio nuostatų, nes  įgyvendinant institucinės globos pertvarką kuriamos bendruomeninės socialinės paslaugos (apgyvendinimas apsaugotame būste, apgyvendinimas savarankiško gyvenimo namuose) nėra ilgalaikė socialinė globa ir pagal iki pakeitimų galiojantį įstatymą negalėtų būti finansuojamos iš valstybės biudžeto lėšų.</w:t>
            </w:r>
          </w:p>
          <w:p w14:paraId="4F2679C9"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lastRenderedPageBreak/>
              <w:t>Socialinės apsaugos ir darbo ministro  2020 m. gegužės 25 d. įsakymu Nr. A1-444 patvirtintas Laikino atokvėpio paslaugos vaikams su negalia, suaugusiems asmenims su negalia ir senyvo amžiaus asmenims teikimo ir organizavimo tvarkos  aprašas nustato  laikino atokvėpio paslaugos teikimo vaikams su negalia, suaugusiems asmenims su negalia ir senyvo amžiaus asmenims tvarką, būdus ir trukmę, gavėjus, laikino atokvėpio paslaugą teikiančius subjektus, laikino atokvėpio paslaugos nustatymo tvarką, jos teikimo terminus ir prioritetus, taip pat prašymų ir dokumentų laikino atokvėpio paslaugai gauti pateikimo tvarką.</w:t>
            </w:r>
          </w:p>
          <w:p w14:paraId="121AFB6C"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 xml:space="preserve">Pakeistas socialinės apsaugos ir darbo ministro 2014  m. vasario 14 d.  įsakymas Nr. A1-83 „Dėl Perėjimo nuo institucinės globos prie šeimoje ir bendruomenėje teikiamų paslaugų neįgaliesiems ir likusiems be tėvų globos vaikams 2014–2020 metų veiksmų plano patvirtinimo“– jo galiojimas pratęsiamas  iki 2023 m., numatomos vertinimo kriterijų 2023 m. reikšmės , viena iš jų –   neįgaliųjų, gaunančių bendruomenines paslaugas, dalis iš visų  neįgaliųjų, gaunančių socialines paslaugas,  padaugės nuo 83 proc. 2020 m. padidės iki 87 proc. 2023 m. </w:t>
            </w:r>
          </w:p>
          <w:p w14:paraId="302C2B30"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Įgyvendinant projektą „Tvaraus perėjimo nuo institucinės globos prie šeimoje ir bendruomenėje teikiamų paslaugų sistemos sąlygų sukūrimas Lietuvoje”,  paslaugas, teikiamas bendruomenėje, gavo  354 asmenys (iš jų 22 asmenys  apgyvendinti apsaugotame būste, 244 asmenims suteiktas laikinas atokvėpis, 9 asmenims taikyta atvejo vadyba, 53  suteikta asmeninio asistento pagalba, 26 asmenys įdarbinti su pagalba).</w:t>
            </w:r>
          </w:p>
          <w:p w14:paraId="298198D2"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Plėtojami socialinės globos namai, kurių savininko teises ir pareigas įgyvendina Socialinės apsaugos ir darbo ministerija, 2016–2020 m. įsteigtos 273 vietos grupinio gyvenimo namuose.</w:t>
            </w:r>
          </w:p>
          <w:p w14:paraId="6BD07598"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 xml:space="preserve">Vyriausybės  2019 birželio 27 d.  nutarimu Nr. 619 „Dėl  Lietuvos Respublikos Vyriausybės 2012 m. lapkričio 21 d. nutarimo Nr. 1408 „Dėl Nacionalinės neįgaliųjų socialinės integracijos 2013–2019 metų programos patvirtinimo“ pakeitimo“ iki 2020 m. pratęsta  Nacionalinė neįgaliųjų socialinės integracijos 2013–2019 metų programa. </w:t>
            </w:r>
          </w:p>
          <w:p w14:paraId="373C4919"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 xml:space="preserve">Parengtas Nacionalinės neįgaliųjų socialinės integracijos 2013–2020 metų programos 2020 metų veiksmų planas. </w:t>
            </w:r>
          </w:p>
          <w:p w14:paraId="1ECD07BF"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color w:val="000000"/>
                <w:szCs w:val="24"/>
                <w:lang w:eastAsia="en-US"/>
              </w:rPr>
              <w:t>2020 m. lapkričio 3 d. Seimui pateiktas Mokslo ir studijų įstatymo  Nr. XI-242 76, 82, 82</w:t>
            </w:r>
            <w:r w:rsidRPr="00C6560C">
              <w:rPr>
                <w:rFonts w:eastAsia="Calibri"/>
                <w:color w:val="000000"/>
                <w:szCs w:val="24"/>
                <w:vertAlign w:val="superscript"/>
                <w:lang w:eastAsia="en-US"/>
              </w:rPr>
              <w:t>1</w:t>
            </w:r>
            <w:r w:rsidRPr="00C6560C">
              <w:rPr>
                <w:rFonts w:eastAsia="Calibri"/>
                <w:color w:val="000000"/>
                <w:szCs w:val="24"/>
                <w:lang w:eastAsia="en-US"/>
              </w:rPr>
              <w:t xml:space="preserve"> straipsnių pakeitimo ir papildymo 82</w:t>
            </w:r>
            <w:r w:rsidRPr="00C6560C">
              <w:rPr>
                <w:rFonts w:eastAsia="Calibri"/>
                <w:color w:val="000000"/>
                <w:szCs w:val="24"/>
                <w:vertAlign w:val="superscript"/>
                <w:lang w:eastAsia="en-US"/>
              </w:rPr>
              <w:t>2</w:t>
            </w:r>
            <w:r w:rsidRPr="00C6560C">
              <w:rPr>
                <w:rFonts w:eastAsia="Calibri"/>
                <w:color w:val="000000"/>
                <w:szCs w:val="24"/>
                <w:lang w:eastAsia="en-US"/>
              </w:rPr>
              <w:t xml:space="preserve"> straipsniu įstatymo projektas  (registracijos Nr. 2020-22871). Pritarus Įstatymo projektui, studentui būtų mokama viena išmoka – stipendija neįgaliajam, kurią administruotų viena įstaiga – Valstybinis studijų fondas. Įstatymo projekte siūloma nustatyti stipendijos neįgaliajam dydį – 13,33 BSI per mėnesį (519,87 euro). Ši suma gaunama sudėjus visų keturių neįgaliesiems studentams šiuo metu mokamų išmokų dydžius. Taip būtų palengvinta administracinė našta, tenkanti studentui; visą skirtą paramą asmuo gautų vienu metu, kreipęsis į vieną instituciją, todėl parama taptų  </w:t>
            </w:r>
            <w:proofErr w:type="spellStart"/>
            <w:r w:rsidRPr="00C6560C">
              <w:rPr>
                <w:rFonts w:eastAsia="Calibri"/>
                <w:color w:val="000000"/>
                <w:szCs w:val="24"/>
                <w:lang w:eastAsia="en-US"/>
              </w:rPr>
              <w:t>prieinamesnė</w:t>
            </w:r>
            <w:proofErr w:type="spellEnd"/>
            <w:r w:rsidRPr="00C6560C">
              <w:rPr>
                <w:rFonts w:eastAsia="Calibri"/>
                <w:color w:val="000000"/>
                <w:szCs w:val="24"/>
                <w:lang w:eastAsia="en-US"/>
              </w:rPr>
              <w:t>.</w:t>
            </w:r>
          </w:p>
          <w:p w14:paraId="3AAEDEB0"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 xml:space="preserve">Teikiama asmeninio asistento paslauga asmenims per 2014–2020 metų Europos Sąjungos fondų investicijų veiksmų programos priemonę „Kompleksinės paslaugos šeimai“. Asmeninė pagalba teikiama 58 savivaldybėse. </w:t>
            </w:r>
          </w:p>
          <w:p w14:paraId="61A1D788"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t>2020 m. birželio 26 d. Seimui pateiktas Neįgaliųjų socialinės integracijos įstatymo Nr. I-2044 2, 16, 18 ir 201 straipsnių pakeitimo ir Įstatymo papildymo 25ˡ straipsniu įstatymo projektas, kuriuo siekiama sudaryti sąlygas teikti asmeninę pagalbą neįgaliesiems ir taip užtikrinti jiems galimybę visapusiškai dalyvauti visuomenės gyvenime bei darbo rinkoje.</w:t>
            </w:r>
          </w:p>
          <w:p w14:paraId="18D67532" w14:textId="77777777" w:rsidR="00C6560C" w:rsidRPr="00C6560C" w:rsidRDefault="00C6560C" w:rsidP="00C6560C">
            <w:pPr>
              <w:numPr>
                <w:ilvl w:val="0"/>
                <w:numId w:val="5"/>
              </w:numPr>
              <w:ind w:left="336" w:hanging="270"/>
              <w:jc w:val="both"/>
              <w:rPr>
                <w:rFonts w:eastAsia="Calibri"/>
                <w:iCs/>
                <w:szCs w:val="24"/>
                <w:lang w:eastAsia="en-US"/>
              </w:rPr>
            </w:pPr>
            <w:r w:rsidRPr="00C6560C">
              <w:rPr>
                <w:rFonts w:eastAsia="Calibri"/>
                <w:iCs/>
                <w:szCs w:val="24"/>
                <w:lang w:eastAsia="en-US"/>
              </w:rPr>
              <w:lastRenderedPageBreak/>
              <w:t>ES fondų  lėšomis 2020 m. per Pertvarkos projektą buvo teikiamos  bandomosios paslaugos neįgaliesiems: apsaugoto būsto paslaugą gavo 145 asmenys, įdarbinimo su pagalba paslaugą – 140 asmenų, socialinės dirbtuvės paslaugą – 447 asmenys, pagalbą priimant sprendimus – 323 asmenys.</w:t>
            </w:r>
          </w:p>
          <w:p w14:paraId="765AAB25" w14:textId="59A681B6" w:rsidR="00C6560C" w:rsidRPr="00C6560C" w:rsidRDefault="00C6560C" w:rsidP="00C6560C">
            <w:pPr>
              <w:jc w:val="both"/>
              <w:rPr>
                <w:iCs/>
                <w:szCs w:val="24"/>
              </w:rPr>
            </w:pPr>
            <w:r w:rsidRPr="00C6560C">
              <w:rPr>
                <w:b/>
                <w:iCs/>
                <w:szCs w:val="24"/>
              </w:rPr>
              <w:t xml:space="preserve">Padidinta universali išmoka vaikui . </w:t>
            </w:r>
            <w:r w:rsidRPr="00C6560C">
              <w:rPr>
                <w:iCs/>
                <w:szCs w:val="24"/>
              </w:rPr>
              <w:t>Siekiant mažinti vaikų skurdą ir socialinę atskirtį, 2020 m. gruodžio 23 d. priimtas Išmokų vaikams įstatymo Nr. I-621 2, 6, 10, 15, 17, 18, 20 ir 21 straipsnių pakeitimo įstatymo Nr. XIII-2693 2 straipsnio pakeitimo įstatymas Nr. XIV-129, kuriuo nuo 2021 m. sausio 1 d. universali išmoka vaikui padidinta nuo 1,54 BSI (60,06 euro) iki 1,75 BSI  (70 eurų). Didesnę finansinę paramą gaus šeimos, auginančios ir (ar) globojančios vaikus, ir tėvų globos netekę vaikai. Išmoką vaikui 2020 m. vidutiniškai per mėnesį gavo apie 518 tūkst. asmenų.</w:t>
            </w:r>
          </w:p>
          <w:p w14:paraId="0F649C30" w14:textId="77777777" w:rsidR="00C6560C" w:rsidRPr="00C6560C" w:rsidRDefault="00C6560C" w:rsidP="00C6560C">
            <w:pPr>
              <w:jc w:val="both"/>
              <w:rPr>
                <w:iCs/>
                <w:szCs w:val="24"/>
              </w:rPr>
            </w:pPr>
            <w:r w:rsidRPr="00C6560C">
              <w:rPr>
                <w:b/>
                <w:iCs/>
                <w:szCs w:val="24"/>
              </w:rPr>
              <w:t xml:space="preserve">Sudarytos palankesnės sąlygos gauti papildomai skiriamą išmoką vaikui. </w:t>
            </w:r>
            <w:r w:rsidRPr="00C6560C">
              <w:rPr>
                <w:iCs/>
                <w:szCs w:val="24"/>
              </w:rPr>
              <w:t>2020 m. gegužės 7 d. priimtas Išmokų vaikams įstatymo Nr. I-621 17 ir 18 straipsnių pakeitimo įstatymas, kuriuo nuo 2020 m. gegužės 22 d. įtvirtinta laikino galiojimo nuostata, pagal kurią nuo įstatymo įsigaliojimo ir 6 mėnesius po Vyriausybės 2020 m. vasario 26 d. nutarimu Nr. 152 „Dėl valstybės lygio ekstremaliosios situacijos paskelbimo“ paskelbtos ekstremaliosios situacijos ir Vyriausybės 2020 m. kovo 14 d. nutarimu Nr. 207 „Dėl karantino Lietuvos Respublikos teritorijoje paskelbimo“ paskelbto karantino atšaukimo, papildomai skiriant išmoką vaikui nepasiturinčioms šeimoms, auginančioms 1 ar 2 vaikus, kurių pajamos sumažėjo, vidutinės mėnesio pajamos apskaičiuojamos ne pagal praėjusių 12 kalendorinių mėnesių iki kreipimosi ar teisės gauti išmoką atsiradimo dienos pajamas, o vertinant trumpesnio laikotarpio pajamas, t. y. iki 2020 m. birželio 30 d. vertinamos pajamos, gautos nuo 2020 m. balandžio 1 d., o nuo 2020 m. liepos 1 d. – praėjusių 3 kalendorinių mėnesių iki kreipimosi ar teisės gauti išmoką atsiradimo dienos pajamos.</w:t>
            </w:r>
          </w:p>
          <w:p w14:paraId="21C886BA" w14:textId="77777777" w:rsidR="00C6560C" w:rsidRPr="00C6560C" w:rsidRDefault="00C6560C" w:rsidP="00C6560C">
            <w:pPr>
              <w:jc w:val="both"/>
              <w:rPr>
                <w:iCs/>
                <w:szCs w:val="24"/>
              </w:rPr>
            </w:pPr>
            <w:r w:rsidRPr="00C6560C">
              <w:rPr>
                <w:iCs/>
                <w:szCs w:val="24"/>
              </w:rPr>
              <w:t>Sudarytos palankesnės sąlygos gauti papildomai skiriamą išmoką vaikui</w:t>
            </w:r>
            <w:r w:rsidRPr="00C6560C" w:rsidDel="008C17DF">
              <w:rPr>
                <w:iCs/>
                <w:szCs w:val="24"/>
              </w:rPr>
              <w:t xml:space="preserve"> </w:t>
            </w:r>
            <w:r w:rsidRPr="00C6560C">
              <w:rPr>
                <w:iCs/>
                <w:szCs w:val="24"/>
              </w:rPr>
              <w:t xml:space="preserve">nepasiturinčioms šeimoms, auginančioms ir (ar) globojančioms 1 ar 2 vaikus, kurių pajamos dėl </w:t>
            </w:r>
            <w:proofErr w:type="spellStart"/>
            <w:r w:rsidRPr="00C6560C">
              <w:rPr>
                <w:iCs/>
                <w:szCs w:val="24"/>
              </w:rPr>
              <w:t>koronaviruso</w:t>
            </w:r>
            <w:proofErr w:type="spellEnd"/>
            <w:r w:rsidRPr="00C6560C">
              <w:rPr>
                <w:iCs/>
                <w:szCs w:val="24"/>
              </w:rPr>
              <w:t xml:space="preserve"> (COVID-19) pandemijos plitimo grėsmės paskelbtos ekstremaliosios situacijos ir karantino sukeltų padarinių – prastovų, atleidimų, iš darbo gaunamų pajamų mažinimo, sumažėjo arba kurie neteko darbo.</w:t>
            </w:r>
          </w:p>
          <w:p w14:paraId="24E54445" w14:textId="77777777" w:rsidR="00C6560C" w:rsidRPr="00C6560C" w:rsidRDefault="00C6560C" w:rsidP="00C6560C">
            <w:pPr>
              <w:jc w:val="both"/>
              <w:rPr>
                <w:iCs/>
                <w:szCs w:val="24"/>
              </w:rPr>
            </w:pPr>
            <w:r w:rsidRPr="00C6560C">
              <w:rPr>
                <w:iCs/>
                <w:szCs w:val="24"/>
              </w:rPr>
              <w:t xml:space="preserve">2020 m. papildomai skiriamą išmoką vaikui, mokamą vaikams, auginamiems ir (ar) globojamiems gausiose ir nepasiturinčiose šeimose, bei neįgaliems vaikams, gavo 143,46 tūkst. vaikų, iš kurių 34,4 tūkst. vaikų (2019 m. – 29,7 tūkst. vaikų) iš nepasiturinčių šeimų, auginančių  ir (ar) globojančių 1 ar 2 vaikus. </w:t>
            </w:r>
          </w:p>
          <w:p w14:paraId="0A78D579" w14:textId="51387AF3" w:rsidR="00C6560C" w:rsidRPr="00C6560C" w:rsidRDefault="00C6560C" w:rsidP="00C6560C">
            <w:pPr>
              <w:jc w:val="both"/>
              <w:rPr>
                <w:iCs/>
                <w:szCs w:val="24"/>
              </w:rPr>
            </w:pPr>
            <w:r w:rsidRPr="00C6560C">
              <w:rPr>
                <w:b/>
                <w:iCs/>
                <w:szCs w:val="24"/>
              </w:rPr>
              <w:t>Vaikams</w:t>
            </w:r>
            <w:r w:rsidR="009904D5">
              <w:rPr>
                <w:b/>
                <w:iCs/>
                <w:szCs w:val="24"/>
              </w:rPr>
              <w:t xml:space="preserve"> (asmenims)</w:t>
            </w:r>
            <w:r w:rsidRPr="00C6560C">
              <w:rPr>
                <w:b/>
                <w:iCs/>
                <w:szCs w:val="24"/>
              </w:rPr>
              <w:t xml:space="preserve"> skirta vienkartinė išmoka </w:t>
            </w:r>
            <w:proofErr w:type="spellStart"/>
            <w:r w:rsidRPr="00C6560C">
              <w:rPr>
                <w:b/>
                <w:iCs/>
                <w:szCs w:val="24"/>
              </w:rPr>
              <w:t>koronaviruso</w:t>
            </w:r>
            <w:proofErr w:type="spellEnd"/>
            <w:r w:rsidRPr="00C6560C">
              <w:rPr>
                <w:b/>
                <w:iCs/>
                <w:szCs w:val="24"/>
              </w:rPr>
              <w:t xml:space="preserve">  (COVID-19)  pandemijos padariniams mažinti. </w:t>
            </w:r>
            <w:r w:rsidRPr="00C6560C">
              <w:rPr>
                <w:iCs/>
                <w:szCs w:val="24"/>
              </w:rPr>
              <w:t>2020 m. birželio 9 d. priimtas Vienkartinės išmokos vaikams, skirtos COVID-19 (</w:t>
            </w:r>
            <w:proofErr w:type="spellStart"/>
            <w:r w:rsidRPr="00C6560C">
              <w:rPr>
                <w:iCs/>
                <w:szCs w:val="24"/>
              </w:rPr>
              <w:t>koronaviruso</w:t>
            </w:r>
            <w:proofErr w:type="spellEnd"/>
            <w:r w:rsidRPr="00C6560C">
              <w:rPr>
                <w:iCs/>
                <w:szCs w:val="24"/>
              </w:rPr>
              <w:t xml:space="preserve"> infekcijos) pandemijos padariniams mažinti, įstatymas, kuris įsigaliojo 2020 m. birželio 12 d. ir galioja iki 2022 m. vasario 25 d. Kiekvienam vaikui</w:t>
            </w:r>
            <w:r w:rsidR="009904D5">
              <w:rPr>
                <w:iCs/>
                <w:szCs w:val="24"/>
              </w:rPr>
              <w:t xml:space="preserve"> (asmeniui)</w:t>
            </w:r>
            <w:r w:rsidRPr="00C6560C">
              <w:rPr>
                <w:iCs/>
                <w:szCs w:val="24"/>
              </w:rPr>
              <w:t>, kuriam pagal Išmokų vaikams įstatymą skiriama ir mokama universali išmoka vaikui, skiriama 120 eurų vienkartinė išmoka. Kiekvienam vaikui</w:t>
            </w:r>
            <w:r w:rsidR="009904D5">
              <w:rPr>
                <w:iCs/>
                <w:szCs w:val="24"/>
              </w:rPr>
              <w:t xml:space="preserve"> (asmeniui)</w:t>
            </w:r>
            <w:r w:rsidRPr="00C6560C">
              <w:rPr>
                <w:iCs/>
                <w:szCs w:val="24"/>
              </w:rPr>
              <w:t>, kuriam pagal Išmokų vaikams įstatymą papildomai skiriama ir mokama išmoka vaikui, papildomai skiriama 80 eurų vienkartinė išmoka.</w:t>
            </w:r>
            <w:r w:rsidR="009904D5">
              <w:rPr>
                <w:iCs/>
                <w:szCs w:val="24"/>
              </w:rPr>
              <w:t xml:space="preserve"> </w:t>
            </w:r>
            <w:r w:rsidRPr="00C6560C">
              <w:rPr>
                <w:iCs/>
                <w:szCs w:val="24"/>
              </w:rPr>
              <w:t>Taigi gausių (auginančių 3 ir daugiau vaikų) ir nepasiturinčių šeimų vaikai, neįgalūs vaikai iš viso turi teisę gauti 200 eurų dydžio vienkartinę išmoką.</w:t>
            </w:r>
          </w:p>
          <w:p w14:paraId="58A24498" w14:textId="43287780" w:rsidR="00C6560C" w:rsidRPr="00C6560C" w:rsidRDefault="00C6560C" w:rsidP="00C6560C">
            <w:pPr>
              <w:jc w:val="both"/>
              <w:rPr>
                <w:iCs/>
                <w:szCs w:val="24"/>
              </w:rPr>
            </w:pPr>
            <w:r w:rsidRPr="00C6560C">
              <w:rPr>
                <w:iCs/>
                <w:szCs w:val="24"/>
              </w:rPr>
              <w:t>Teisę į vienkartinę išmoką vaikams turi vaikai</w:t>
            </w:r>
            <w:r w:rsidR="009904D5">
              <w:rPr>
                <w:iCs/>
                <w:szCs w:val="24"/>
              </w:rPr>
              <w:t xml:space="preserve"> (asmenys)</w:t>
            </w:r>
            <w:r w:rsidRPr="00C6560C">
              <w:rPr>
                <w:iCs/>
                <w:szCs w:val="24"/>
              </w:rPr>
              <w:t>, kuriems nuo 2020 m. kovo 16 d. iki 2020 m. gruodžio 31 d. buvo (yra) skirta išmoka vaikui ar  kurie turi teisę už nurodytą laikotarpį gauti išmoką vaikui. Didesnė finansinė parama suteikta šeimoms, auginančioms vaikus, ir tėvų globos netekusiems vaikams. Visa tai  teigiamai veikia gyventojų lūkesčius, kurie dėl COVID-19 krizės smarkiai  pablogėjo. 2020 m.  vienkartinę išmoką vaikams gavo 531,4 tūkst. vaikų.</w:t>
            </w:r>
          </w:p>
          <w:p w14:paraId="642E598D" w14:textId="77777777" w:rsidR="00C6560C" w:rsidRPr="00C6560C" w:rsidRDefault="00C6560C" w:rsidP="00C6560C">
            <w:pPr>
              <w:jc w:val="both"/>
              <w:rPr>
                <w:iCs/>
                <w:spacing w:val="3"/>
                <w:szCs w:val="24"/>
                <w:shd w:val="clear" w:color="auto" w:fill="FFFFFF"/>
              </w:rPr>
            </w:pPr>
            <w:r w:rsidRPr="00C6560C">
              <w:rPr>
                <w:b/>
                <w:iCs/>
                <w:szCs w:val="24"/>
              </w:rPr>
              <w:lastRenderedPageBreak/>
              <w:t xml:space="preserve">Išmokėta vienkartinė išmoka socialinio draudimo pensijų ir šalpos išmokų gavėjams. </w:t>
            </w:r>
            <w:r w:rsidRPr="00C6560C">
              <w:rPr>
                <w:iCs/>
                <w:spacing w:val="3"/>
                <w:szCs w:val="24"/>
                <w:shd w:val="clear" w:color="auto" w:fill="FFFFFF"/>
              </w:rPr>
              <w:t>872 823 asmenys gavo vienkartines išmokas, panaudota 174,6 mln. eurų.</w:t>
            </w:r>
          </w:p>
          <w:p w14:paraId="612E6A5C" w14:textId="77777777" w:rsidR="00C6560C" w:rsidRPr="00C6560C" w:rsidRDefault="00C6560C" w:rsidP="00C6560C">
            <w:pPr>
              <w:jc w:val="both"/>
              <w:rPr>
                <w:iCs/>
                <w:szCs w:val="24"/>
              </w:rPr>
            </w:pPr>
            <w:r w:rsidRPr="00C6560C">
              <w:rPr>
                <w:b/>
                <w:iCs/>
                <w:szCs w:val="24"/>
              </w:rPr>
              <w:t xml:space="preserve">Siekiant sudaryti palankesnes sąlygas nepasiturintiems gyventojams gauti piniginę socialinę paramą ir užtikrinti jos gavimą, didinti piniginės socialinės paramos aprėptį ir adekvatumą, motyvuoti darbingo amžiaus darbingus paramos gavėjus aktyviai integruotis į darbo rinką, </w:t>
            </w:r>
            <w:r w:rsidRPr="00C6560C">
              <w:rPr>
                <w:iCs/>
                <w:szCs w:val="24"/>
              </w:rPr>
              <w:t>2020 m. gegužės 7 d. priimtas Piniginės socialinės paramos nepasiturintiems gyventojams įstatymo Nr. IX-1675 3, 6, 7, 9, 10, 11, 15, 17, 21 ir 23 straipsnių pakeitimo įstatymas.</w:t>
            </w:r>
          </w:p>
          <w:p w14:paraId="4CB33A17" w14:textId="77777777" w:rsidR="00C6560C" w:rsidRPr="00C6560C" w:rsidRDefault="00C6560C" w:rsidP="00C6560C">
            <w:pPr>
              <w:jc w:val="both"/>
              <w:rPr>
                <w:iCs/>
                <w:szCs w:val="24"/>
              </w:rPr>
            </w:pPr>
            <w:r w:rsidRPr="00C6560C">
              <w:rPr>
                <w:b/>
                <w:iCs/>
                <w:szCs w:val="24"/>
              </w:rPr>
              <w:t xml:space="preserve">Išplėstas asmenų, kurie gali gauti piniginę socialinę paramą (socialinę pašalpą, būsto šildymo ir vandens išlaidų kompensacijas), skaičius. </w:t>
            </w:r>
            <w:r w:rsidRPr="00C6560C">
              <w:rPr>
                <w:iCs/>
                <w:szCs w:val="24"/>
              </w:rPr>
              <w:t>Nuo 2020 m. gegužės 21 d. įsigaliojo laikino galiojimo nuostata, pagal kurią nuo minėto įstatymo įsigaliojimo ir 6 mėnesius po Vyriausybės 2020 m. vasario 26 d. nutarimu Nr. 152 „Dėl valstybės lygio ekstremaliosios situacijos paskelbimo“ paskelbtos ekstremaliosios situacijos ir Vyriausybės 2020 m. kovo 14 d. nutarimu Nr. 207 „Dėl karantino Lietuvos Respublikos teritorijoje paskelbimo“ paskelbto karantino atšaukimo, nustatant teisę į piniginę socialinę paramą, bendrai gyvenantiems asmenims arba vienam gyvenančiam asmeniui nuosavybės teise turimas turtas nevertinamas. Pasibaigus laikino galiojimo nuostatai, įsigalios nuolatinė nuostata – nustatant teisę į piniginę socialinę paramą, tuo atveju, jeigu asmens (bendrai gyvenančių asmenų) nuosavybės teise turimo turto vertė viršija turto vertės normatyvą, į turtą 3 mėnesius bus neatsižvelgiama, kai dėl piniginės socialinės paramos kreiptasi pirmą kartą arba praėjus 24 mėnesiams po paramos gavimo.</w:t>
            </w:r>
          </w:p>
          <w:p w14:paraId="12C86910" w14:textId="77777777" w:rsidR="00C6560C" w:rsidRPr="00C6560C" w:rsidRDefault="00C6560C" w:rsidP="00C6560C">
            <w:pPr>
              <w:jc w:val="both"/>
              <w:rPr>
                <w:iCs/>
                <w:szCs w:val="24"/>
              </w:rPr>
            </w:pPr>
            <w:r w:rsidRPr="00C6560C">
              <w:rPr>
                <w:iCs/>
                <w:szCs w:val="24"/>
              </w:rPr>
              <w:t>Nuo 2020 m. birželio 1 d. padidinta vertinamų pajamų riba teisei į socialinę pašalpą nustatyti nuo 1 iki 1,1 valstybės remiamų pajamų dydžio (t. y. 137,5 euro, 2021 – 140,8 euro). Taip pat sudarytos palankesnės sąlygos nepasiturintiems gyventojams gauti piniginę socialinę paramą, siekiant užtikrinti piniginės socialinės paramos aprėptį.</w:t>
            </w:r>
          </w:p>
          <w:p w14:paraId="2D734316" w14:textId="77777777" w:rsidR="00C6560C" w:rsidRPr="00C6560C" w:rsidRDefault="00C6560C" w:rsidP="00C6560C">
            <w:pPr>
              <w:jc w:val="both"/>
              <w:rPr>
                <w:iCs/>
                <w:szCs w:val="24"/>
              </w:rPr>
            </w:pPr>
            <w:r w:rsidRPr="00C6560C">
              <w:rPr>
                <w:b/>
                <w:iCs/>
                <w:szCs w:val="24"/>
              </w:rPr>
              <w:t xml:space="preserve">Padidintas socialinės pašalpos dydis, kompensuojama didesnė būsto šildymo išlaidų dalis vienam gyvenančiam asmeniui. </w:t>
            </w:r>
            <w:r w:rsidRPr="00C6560C">
              <w:rPr>
                <w:iCs/>
                <w:szCs w:val="24"/>
              </w:rPr>
              <w:t xml:space="preserve">Nuo 2020 m. birželio 1 d. padidintas socialinės pašalpos dydis tiek šeimai, tiek vienam gyvenančiam asmeniui. Vienam gyvenančiam asmeniui  socialinės pašalpos dydis diferencijuojamas, atsižvelgiant į jos mokėjimo trukmę. Vienam gyvenančiam asmeniui socialinės pašalpos dydis sudaro: </w:t>
            </w:r>
          </w:p>
          <w:p w14:paraId="39E16647" w14:textId="77777777" w:rsidR="00C6560C" w:rsidRPr="00C6560C" w:rsidRDefault="00C6560C" w:rsidP="00C6560C">
            <w:pPr>
              <w:numPr>
                <w:ilvl w:val="0"/>
                <w:numId w:val="6"/>
              </w:numPr>
              <w:ind w:left="246" w:hanging="246"/>
              <w:jc w:val="both"/>
              <w:rPr>
                <w:iCs/>
                <w:szCs w:val="24"/>
              </w:rPr>
            </w:pPr>
            <w:r w:rsidRPr="00C6560C">
              <w:rPr>
                <w:iCs/>
                <w:szCs w:val="24"/>
              </w:rPr>
              <w:t xml:space="preserve">1–6 socialinės pašalpos mokėjimo mėnesį – skirtumą tarp 1,4 VRP dydžio ir vidutinių asmens pajamų per mėnesį; </w:t>
            </w:r>
          </w:p>
          <w:p w14:paraId="171D8FFB" w14:textId="77777777" w:rsidR="00C6560C" w:rsidRPr="00C6560C" w:rsidRDefault="00C6560C" w:rsidP="00C6560C">
            <w:pPr>
              <w:numPr>
                <w:ilvl w:val="0"/>
                <w:numId w:val="6"/>
              </w:numPr>
              <w:ind w:left="246" w:hanging="246"/>
              <w:jc w:val="both"/>
              <w:rPr>
                <w:iCs/>
                <w:szCs w:val="24"/>
              </w:rPr>
            </w:pPr>
            <w:r w:rsidRPr="00C6560C">
              <w:rPr>
                <w:iCs/>
                <w:szCs w:val="24"/>
              </w:rPr>
              <w:t xml:space="preserve">7–12 socialinės pašalpos  mokėjimo mėnesį – skirtumą tarp 1,2 VRP dydžio ir vidutinių asmens pajamų per mėnesį; </w:t>
            </w:r>
          </w:p>
          <w:p w14:paraId="64295005" w14:textId="77777777" w:rsidR="00C6560C" w:rsidRPr="00C6560C" w:rsidRDefault="00C6560C" w:rsidP="00C6560C">
            <w:pPr>
              <w:numPr>
                <w:ilvl w:val="0"/>
                <w:numId w:val="6"/>
              </w:numPr>
              <w:ind w:left="246" w:hanging="246"/>
              <w:jc w:val="both"/>
              <w:rPr>
                <w:iCs/>
                <w:szCs w:val="24"/>
              </w:rPr>
            </w:pPr>
            <w:r w:rsidRPr="00C6560C">
              <w:rPr>
                <w:iCs/>
                <w:szCs w:val="24"/>
              </w:rPr>
              <w:t>kai socialinė pašalpa mokama ilgiau kaip 12 mėnesių – skirtumą tarp 1,1 VRP dydžio ir vidutinių asmens pajamų per mėnesį.</w:t>
            </w:r>
          </w:p>
          <w:p w14:paraId="1FEFC6BB" w14:textId="77777777" w:rsidR="00C6560C" w:rsidRPr="00C6560C" w:rsidRDefault="00C6560C" w:rsidP="00C6560C">
            <w:pPr>
              <w:jc w:val="both"/>
              <w:rPr>
                <w:iCs/>
                <w:szCs w:val="24"/>
              </w:rPr>
            </w:pPr>
            <w:r w:rsidRPr="00C6560C">
              <w:rPr>
                <w:iCs/>
                <w:szCs w:val="24"/>
              </w:rPr>
              <w:t xml:space="preserve">Bendrai gyvenantiems asmenims socialinės pašalpos dydis sudaro: </w:t>
            </w:r>
          </w:p>
          <w:p w14:paraId="4CA7B186" w14:textId="77777777" w:rsidR="00C6560C" w:rsidRPr="00C6560C" w:rsidRDefault="00C6560C" w:rsidP="00C6560C">
            <w:pPr>
              <w:numPr>
                <w:ilvl w:val="0"/>
                <w:numId w:val="7"/>
              </w:numPr>
              <w:ind w:left="246" w:hanging="246"/>
              <w:jc w:val="both"/>
              <w:rPr>
                <w:iCs/>
                <w:szCs w:val="24"/>
              </w:rPr>
            </w:pPr>
            <w:r w:rsidRPr="00C6560C">
              <w:rPr>
                <w:iCs/>
                <w:szCs w:val="24"/>
              </w:rPr>
              <w:t xml:space="preserve">pirmam nariui – skirtumą tarp 1,1 VRP dydžio vienam iš bendrai gyvenančių asmenų ir vidutinių bendrai gyvenančių asmenų pajamų vienam iš bendrai gyvenančių asmenų per mėnesį; </w:t>
            </w:r>
          </w:p>
          <w:p w14:paraId="5852475B" w14:textId="77777777" w:rsidR="00C6560C" w:rsidRPr="00C6560C" w:rsidRDefault="00C6560C" w:rsidP="00C6560C">
            <w:pPr>
              <w:numPr>
                <w:ilvl w:val="0"/>
                <w:numId w:val="7"/>
              </w:numPr>
              <w:ind w:left="246" w:hanging="246"/>
              <w:jc w:val="both"/>
              <w:rPr>
                <w:iCs/>
                <w:szCs w:val="24"/>
              </w:rPr>
            </w:pPr>
            <w:r w:rsidRPr="00C6560C">
              <w:rPr>
                <w:iCs/>
                <w:szCs w:val="24"/>
              </w:rPr>
              <w:t xml:space="preserve">antram nariui – 90 proc. skirtumo tarp 1,1 VRP dydžio ir vidutinių pajamų vienam iš bendrai gyvenančių asmenų per mėnesį; </w:t>
            </w:r>
          </w:p>
          <w:p w14:paraId="67885A8D" w14:textId="63CAFFA7" w:rsidR="00C6560C" w:rsidRPr="00C6560C" w:rsidRDefault="00C6560C" w:rsidP="00C6560C">
            <w:pPr>
              <w:numPr>
                <w:ilvl w:val="0"/>
                <w:numId w:val="7"/>
              </w:numPr>
              <w:ind w:left="246" w:hanging="246"/>
              <w:jc w:val="both"/>
              <w:rPr>
                <w:iCs/>
                <w:szCs w:val="24"/>
              </w:rPr>
            </w:pPr>
            <w:r w:rsidRPr="00C6560C">
              <w:rPr>
                <w:iCs/>
                <w:szCs w:val="24"/>
              </w:rPr>
              <w:t xml:space="preserve">trečiam ir </w:t>
            </w:r>
            <w:proofErr w:type="spellStart"/>
            <w:r w:rsidR="009904D5" w:rsidRPr="00C6560C">
              <w:rPr>
                <w:iCs/>
                <w:szCs w:val="24"/>
              </w:rPr>
              <w:t>paskesn</w:t>
            </w:r>
            <w:r w:rsidR="009904D5">
              <w:rPr>
                <w:iCs/>
                <w:szCs w:val="24"/>
              </w:rPr>
              <w:t>ie</w:t>
            </w:r>
            <w:r w:rsidR="009904D5" w:rsidRPr="00C6560C">
              <w:rPr>
                <w:iCs/>
                <w:szCs w:val="24"/>
              </w:rPr>
              <w:t>ms</w:t>
            </w:r>
            <w:proofErr w:type="spellEnd"/>
            <w:r w:rsidR="009904D5">
              <w:rPr>
                <w:iCs/>
                <w:szCs w:val="24"/>
              </w:rPr>
              <w:t xml:space="preserve"> bendrai gyvenantiems asmenims</w:t>
            </w:r>
            <w:r w:rsidRPr="00C6560C">
              <w:rPr>
                <w:iCs/>
                <w:szCs w:val="24"/>
              </w:rPr>
              <w:t xml:space="preserve"> – 70 procentų skirtumo tarp 1,1 VRP dydžio ir vidutinių pajamų vienam iš bendrai gyvenančių asmenų per mėnesį.</w:t>
            </w:r>
          </w:p>
          <w:p w14:paraId="7506D405" w14:textId="77777777" w:rsidR="00C6560C" w:rsidRPr="00C6560C" w:rsidRDefault="00C6560C" w:rsidP="00C6560C">
            <w:pPr>
              <w:jc w:val="both"/>
              <w:rPr>
                <w:iCs/>
                <w:szCs w:val="24"/>
              </w:rPr>
            </w:pPr>
            <w:r w:rsidRPr="00C6560C">
              <w:rPr>
                <w:iCs/>
                <w:szCs w:val="24"/>
              </w:rPr>
              <w:t>Socialinės pašalpos dydis priklauso ir nuo gaunamų pajamų dydžio.</w:t>
            </w:r>
          </w:p>
          <w:p w14:paraId="2200CD3D" w14:textId="77777777" w:rsidR="00C6560C" w:rsidRPr="00C6560C" w:rsidRDefault="00C6560C" w:rsidP="00C6560C">
            <w:pPr>
              <w:jc w:val="both"/>
              <w:rPr>
                <w:iCs/>
                <w:szCs w:val="24"/>
              </w:rPr>
            </w:pPr>
            <w:r w:rsidRPr="00C6560C">
              <w:rPr>
                <w:iCs/>
                <w:szCs w:val="24"/>
              </w:rPr>
              <w:t>Maksimalus socialinės pašalpos dydis neturintiems pajamų:</w:t>
            </w:r>
          </w:p>
          <w:p w14:paraId="13CE55BC" w14:textId="77777777" w:rsidR="00C6560C" w:rsidRPr="00C6560C" w:rsidRDefault="00C6560C" w:rsidP="00C6560C">
            <w:pPr>
              <w:numPr>
                <w:ilvl w:val="0"/>
                <w:numId w:val="8"/>
              </w:numPr>
              <w:tabs>
                <w:tab w:val="left" w:pos="0"/>
              </w:tabs>
              <w:ind w:left="156" w:hanging="180"/>
              <w:jc w:val="both"/>
              <w:rPr>
                <w:iCs/>
                <w:szCs w:val="24"/>
              </w:rPr>
            </w:pPr>
            <w:r w:rsidRPr="00C6560C">
              <w:rPr>
                <w:iCs/>
                <w:szCs w:val="24"/>
              </w:rPr>
              <w:lastRenderedPageBreak/>
              <w:t>vienam gyvenančiam asmeniui: 1–6 socialinės pašalpos mokėjimo mėnesį – 175 eurai (2021 m. – 179,2 euro), 7–12 mėnesį</w:t>
            </w:r>
            <w:r w:rsidRPr="00C6560C" w:rsidDel="005E67DD">
              <w:rPr>
                <w:iCs/>
                <w:szCs w:val="24"/>
              </w:rPr>
              <w:t xml:space="preserve"> </w:t>
            </w:r>
            <w:r w:rsidRPr="00C6560C">
              <w:rPr>
                <w:iCs/>
                <w:szCs w:val="24"/>
              </w:rPr>
              <w:t>– 150 eurų (2021 m. – 156 eurai), kai socialinės pašalpa mokama ilgiau kaip 12 mėn. – 137,5 euro (2021 m. – 140,8 euro),</w:t>
            </w:r>
          </w:p>
          <w:p w14:paraId="6DBBC617" w14:textId="12A7EE4E" w:rsidR="00C6560C" w:rsidRPr="00C6560C" w:rsidRDefault="00C6560C" w:rsidP="00C6560C">
            <w:pPr>
              <w:numPr>
                <w:ilvl w:val="0"/>
                <w:numId w:val="8"/>
              </w:numPr>
              <w:tabs>
                <w:tab w:val="left" w:pos="0"/>
              </w:tabs>
              <w:ind w:left="156" w:hanging="180"/>
              <w:jc w:val="both"/>
              <w:rPr>
                <w:iCs/>
                <w:szCs w:val="24"/>
              </w:rPr>
            </w:pPr>
            <w:r w:rsidRPr="00C6560C">
              <w:rPr>
                <w:iCs/>
                <w:szCs w:val="24"/>
              </w:rPr>
              <w:t xml:space="preserve">bendrai gyvenantiems asmenims: pirmam asmeniui – 137,5 euro (2021 m. – 140,8 euro), antram asmeniui – 123,75 euro (2021 m. – 126,72 euro), trečiam ir </w:t>
            </w:r>
            <w:proofErr w:type="spellStart"/>
            <w:r w:rsidR="009904D5" w:rsidRPr="00C6560C">
              <w:rPr>
                <w:iCs/>
                <w:szCs w:val="24"/>
              </w:rPr>
              <w:t>paskesni</w:t>
            </w:r>
            <w:r w:rsidR="009904D5">
              <w:rPr>
                <w:iCs/>
                <w:szCs w:val="24"/>
              </w:rPr>
              <w:t>e</w:t>
            </w:r>
            <w:r w:rsidR="009904D5" w:rsidRPr="00C6560C">
              <w:rPr>
                <w:iCs/>
                <w:szCs w:val="24"/>
              </w:rPr>
              <w:t>ms</w:t>
            </w:r>
            <w:proofErr w:type="spellEnd"/>
            <w:r w:rsidR="009904D5" w:rsidRPr="00C6560C">
              <w:rPr>
                <w:iCs/>
                <w:szCs w:val="24"/>
              </w:rPr>
              <w:t xml:space="preserve"> </w:t>
            </w:r>
            <w:r w:rsidR="009904D5">
              <w:rPr>
                <w:iCs/>
                <w:szCs w:val="24"/>
              </w:rPr>
              <w:t>bendrai gyvenantiems asmenims</w:t>
            </w:r>
            <w:r w:rsidRPr="00C6560C">
              <w:rPr>
                <w:iCs/>
                <w:szCs w:val="24"/>
              </w:rPr>
              <w:t xml:space="preserve"> – 96,25 euro (2021 m. – 98,56 euro). </w:t>
            </w:r>
          </w:p>
          <w:p w14:paraId="57AB546B" w14:textId="4F6DDBC2" w:rsidR="00C6560C" w:rsidRPr="00C6560C" w:rsidRDefault="00C6560C" w:rsidP="00C6560C">
            <w:pPr>
              <w:tabs>
                <w:tab w:val="left" w:pos="0"/>
              </w:tabs>
              <w:jc w:val="both"/>
              <w:rPr>
                <w:iCs/>
                <w:szCs w:val="24"/>
              </w:rPr>
            </w:pPr>
            <w:r w:rsidRPr="00C6560C">
              <w:rPr>
                <w:iCs/>
                <w:szCs w:val="24"/>
              </w:rPr>
              <w:t xml:space="preserve">Apskaičiuojant vidutines mėnesio pajamas piniginei socialinei paramai gauti, 5 proc. punktais padidinta neįskaitytinų darbo pajamų procentinė dalis (atsižvelgiant į šeimos sudėtį ir vaikų skaičių – nuo 20 iki 40 proc.). Taip pat  tiek pat procentų kaip ir </w:t>
            </w:r>
            <w:r w:rsidR="00944497">
              <w:rPr>
                <w:iCs/>
                <w:szCs w:val="24"/>
              </w:rPr>
              <w:t xml:space="preserve">darbo </w:t>
            </w:r>
            <w:r w:rsidRPr="00C6560C">
              <w:rPr>
                <w:iCs/>
                <w:szCs w:val="24"/>
              </w:rPr>
              <w:t>pajamų į gaunamas pajamas neįskaitoma nedarbo socialinio draudimo išmokos, mokamos pagal Nedarbo socialinio drausimo įstatymą,  bei darbo paieškos išmokos, mokamos pagal Užimtumo įstatymą.</w:t>
            </w:r>
          </w:p>
          <w:p w14:paraId="62D274A5" w14:textId="44948EDF" w:rsidR="00C6560C" w:rsidRPr="00C6560C" w:rsidRDefault="00C6560C" w:rsidP="00C6560C">
            <w:pPr>
              <w:tabs>
                <w:tab w:val="left" w:pos="0"/>
              </w:tabs>
              <w:jc w:val="both"/>
              <w:rPr>
                <w:iCs/>
                <w:szCs w:val="24"/>
              </w:rPr>
            </w:pPr>
            <w:r w:rsidRPr="00C6560C">
              <w:rPr>
                <w:iCs/>
                <w:szCs w:val="24"/>
              </w:rPr>
              <w:t xml:space="preserve">Įstatyme įtvirtinta, kad vienam gyvenančiam asmeniui kompensuojama didesnė būsto šildymo išlaidų dalis, padidinant VRP dalį nuo 1 iki 1,5 , t. y. nustatyta, kad vienam gyvenančiam asmeniui kompensuojama būsto šildymo išlaidų dalis, viršijanti 10 proc. skirtumo </w:t>
            </w:r>
            <w:r w:rsidR="009456B0">
              <w:rPr>
                <w:iCs/>
                <w:szCs w:val="24"/>
              </w:rPr>
              <w:t xml:space="preserve">tarp asmens vidutinių </w:t>
            </w:r>
            <w:r w:rsidR="009456B0" w:rsidRPr="00C6560C">
              <w:rPr>
                <w:iCs/>
                <w:szCs w:val="24"/>
              </w:rPr>
              <w:t xml:space="preserve">pajamų </w:t>
            </w:r>
            <w:r w:rsidR="009456B0">
              <w:rPr>
                <w:iCs/>
                <w:szCs w:val="24"/>
              </w:rPr>
              <w:t xml:space="preserve">per mėnesį </w:t>
            </w:r>
            <w:r w:rsidRPr="00C6560C">
              <w:rPr>
                <w:iCs/>
                <w:szCs w:val="24"/>
              </w:rPr>
              <w:t>ir 1,5 VRP dydžio (187,5 euro, 2021 m. – 192 eurų).</w:t>
            </w:r>
          </w:p>
          <w:p w14:paraId="3ED1CDBC" w14:textId="79FBB11A" w:rsidR="00C6560C" w:rsidRPr="00C6560C" w:rsidRDefault="00C6560C" w:rsidP="00C6560C">
            <w:pPr>
              <w:jc w:val="both"/>
              <w:rPr>
                <w:iCs/>
                <w:szCs w:val="24"/>
              </w:rPr>
            </w:pPr>
            <w:r w:rsidRPr="00C6560C">
              <w:rPr>
                <w:iCs/>
                <w:szCs w:val="24"/>
              </w:rPr>
              <w:t xml:space="preserve">Priemonė turi įtakos piniginės socialinės paramos adekvatumo didinimui (ypač </w:t>
            </w:r>
            <w:r w:rsidR="009456B0">
              <w:rPr>
                <w:iCs/>
                <w:szCs w:val="24"/>
              </w:rPr>
              <w:t>vieniems gyvenantiems</w:t>
            </w:r>
            <w:r w:rsidRPr="00C6560C">
              <w:rPr>
                <w:iCs/>
                <w:szCs w:val="24"/>
              </w:rPr>
              <w:t xml:space="preserve"> paramos gavėjams). 2020 m., palyginti su 2019 m., vidutinis socialinės pašalpos dydis </w:t>
            </w:r>
            <w:r w:rsidR="009456B0" w:rsidRPr="00C6560C">
              <w:rPr>
                <w:iCs/>
                <w:szCs w:val="24"/>
              </w:rPr>
              <w:t xml:space="preserve">vienam asmeniui </w:t>
            </w:r>
            <w:r w:rsidRPr="00C6560C">
              <w:rPr>
                <w:iCs/>
                <w:szCs w:val="24"/>
              </w:rPr>
              <w:t>per mėnesį padidėjo 6,7 proc. (nuo 81,7 euro iki 87,2 euro).</w:t>
            </w:r>
          </w:p>
          <w:p w14:paraId="11CE7F70" w14:textId="77777777" w:rsidR="00C6560C" w:rsidRPr="00C6560C" w:rsidRDefault="00C6560C" w:rsidP="00C6560C">
            <w:pPr>
              <w:jc w:val="both"/>
              <w:rPr>
                <w:iCs/>
                <w:szCs w:val="24"/>
              </w:rPr>
            </w:pPr>
            <w:r w:rsidRPr="00C6560C">
              <w:rPr>
                <w:b/>
                <w:szCs w:val="24"/>
              </w:rPr>
              <w:t xml:space="preserve">Padidintas papildomai skiriamos socialinės pašalpos įsidarbinus dydis. </w:t>
            </w:r>
            <w:r w:rsidRPr="00C6560C">
              <w:rPr>
                <w:iCs/>
                <w:szCs w:val="24"/>
              </w:rPr>
              <w:t xml:space="preserve">Nuo 2020 m. birželio 1 d. padidintas papildomai skiriamos socialinės pašalpos įsidarbinus dydis,  diferencijuojamas atsižvelgiant į mokėjimo trukmę, sudaro: </w:t>
            </w:r>
          </w:p>
          <w:p w14:paraId="39FBB2DF" w14:textId="77777777" w:rsidR="00C6560C" w:rsidRPr="00C6560C" w:rsidRDefault="00C6560C" w:rsidP="00C6560C">
            <w:pPr>
              <w:jc w:val="both"/>
              <w:rPr>
                <w:iCs/>
                <w:szCs w:val="24"/>
              </w:rPr>
            </w:pPr>
            <w:r w:rsidRPr="00C6560C">
              <w:rPr>
                <w:iCs/>
                <w:szCs w:val="24"/>
              </w:rPr>
              <w:t xml:space="preserve">1) 1–3 papildomai mokamos socialinės pašalpos mokėjimo mėnesį – 100 proc. socialinės pašalpos, mokėtos per praėjusius 6 mėnesius iki įsidarbinimo, vidutinio dydžio; </w:t>
            </w:r>
          </w:p>
          <w:p w14:paraId="0809DDEC" w14:textId="77777777" w:rsidR="00C6560C" w:rsidRPr="00C6560C" w:rsidRDefault="00C6560C" w:rsidP="00C6560C">
            <w:pPr>
              <w:jc w:val="both"/>
              <w:rPr>
                <w:iCs/>
                <w:szCs w:val="24"/>
              </w:rPr>
            </w:pPr>
            <w:r w:rsidRPr="00C6560C">
              <w:rPr>
                <w:iCs/>
                <w:szCs w:val="24"/>
              </w:rPr>
              <w:t xml:space="preserve">2) 4–6 papildomai mokamos socialinės pašalpos mokėjimo mėnesį – 80 proc. socialinės pašalpos, mokėtos per praėjusius 6 mėnesius iki įsidarbinimo, vidutinio dydžio; </w:t>
            </w:r>
          </w:p>
          <w:p w14:paraId="7D935017" w14:textId="77777777" w:rsidR="00C6560C" w:rsidRPr="00C6560C" w:rsidRDefault="00C6560C" w:rsidP="00C6560C">
            <w:pPr>
              <w:jc w:val="both"/>
              <w:rPr>
                <w:iCs/>
                <w:szCs w:val="24"/>
              </w:rPr>
            </w:pPr>
            <w:r w:rsidRPr="00C6560C">
              <w:rPr>
                <w:iCs/>
                <w:szCs w:val="24"/>
              </w:rPr>
              <w:t>3) 7–12 papildomai mokamos socialinės pašalpos mokėjimo mėnesį – 50 proc. socialinės pašalpos, mokėtos per praėjusius 6 mėnesius iki įsidarbinimo, vidutinio dydžio.</w:t>
            </w:r>
          </w:p>
          <w:p w14:paraId="17748CC0" w14:textId="77777777" w:rsidR="00C6560C" w:rsidRPr="00C6560C" w:rsidRDefault="00C6560C" w:rsidP="00C6560C">
            <w:pPr>
              <w:jc w:val="both"/>
              <w:rPr>
                <w:iCs/>
                <w:szCs w:val="24"/>
              </w:rPr>
            </w:pPr>
            <w:r w:rsidRPr="00C6560C">
              <w:rPr>
                <w:iCs/>
                <w:szCs w:val="24"/>
              </w:rPr>
              <w:t>Tai priemonė,  skatinanti  darbingo amžiaus darbingus piniginės socialinės paramos gavėjus  aktyviau integruotis į darbo rinką. 2020 m. 2 493 asmenys gavo papildomai skiriamą socialinę pašalpą įsidarbinus (2019 m. – 2 297 asmenys).</w:t>
            </w:r>
          </w:p>
          <w:p w14:paraId="6D48681B" w14:textId="77777777" w:rsidR="00C6560C" w:rsidRPr="00C6560C" w:rsidRDefault="00C6560C" w:rsidP="00C6560C">
            <w:pPr>
              <w:jc w:val="both"/>
              <w:rPr>
                <w:iCs/>
                <w:szCs w:val="24"/>
              </w:rPr>
            </w:pPr>
            <w:r w:rsidRPr="00C6560C">
              <w:rPr>
                <w:b/>
                <w:szCs w:val="24"/>
              </w:rPr>
              <w:t xml:space="preserve">Būsto nuomos mokesčio dalies kompensacijos dydžio padidinimas. Vyriausybės </w:t>
            </w:r>
            <w:r w:rsidRPr="00C6560C">
              <w:rPr>
                <w:iCs/>
                <w:szCs w:val="24"/>
              </w:rPr>
              <w:t xml:space="preserve">2020 m. liepos 29 d.  nutarimu Nr. 838 </w:t>
            </w:r>
            <w:r w:rsidRPr="00C6560C">
              <w:rPr>
                <w:bCs/>
                <w:iCs/>
                <w:szCs w:val="24"/>
              </w:rPr>
              <w:t xml:space="preserve">„Dėl Vyriausybės 2001 m. balandžio 25 d. nutarimo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pakeitimo“ </w:t>
            </w:r>
            <w:r w:rsidRPr="00C6560C">
              <w:rPr>
                <w:iCs/>
                <w:szCs w:val="24"/>
              </w:rPr>
              <w:t>patvirtinti nauji nuo 2020 m. liepos 1 d. taikomi būsto nuomos mokesčio dalies kompensacijos dydžio perskaičiavimo koeficientai, nustatyti pagal vidutines būsto nuomos rinkos kainas ir šeimos narių skaičių. Taip pat patvirtintas minimalus bazinis būsto nuomos mokesčio dalies kompensacijos dydis – 2,32 euro už 1 kv. m būsto naudingojo ploto per mėnesį. Dėl šio pakeitimo bazinis kompensacijos dydis padidėjo 52 iš 60 savivaldybių.</w:t>
            </w:r>
          </w:p>
          <w:p w14:paraId="0DCEC328" w14:textId="77777777" w:rsidR="00C6560C" w:rsidRPr="00C6560C" w:rsidRDefault="00C6560C" w:rsidP="00C6560C">
            <w:pPr>
              <w:jc w:val="both"/>
              <w:rPr>
                <w:iCs/>
                <w:szCs w:val="24"/>
              </w:rPr>
            </w:pPr>
            <w:r w:rsidRPr="00C6560C">
              <w:rPr>
                <w:b/>
                <w:szCs w:val="24"/>
              </w:rPr>
              <w:t xml:space="preserve">Pagalba likusiems be tėvų globos asmenims apsirūpinant socialiniu būstu. </w:t>
            </w:r>
            <w:r w:rsidRPr="00C6560C">
              <w:rPr>
                <w:iCs/>
                <w:szCs w:val="24"/>
              </w:rPr>
              <w:t xml:space="preserve">Nuo 2020 m. liepos 1 d. įsigaliojus Paramos būstui įsigyti ar išsinuomoti įstatymo pakeitimams, įtvirtinta galimybė likusiems be tėvų globos asmenims, palikusiems socialinės </w:t>
            </w:r>
            <w:r w:rsidRPr="00C6560C">
              <w:rPr>
                <w:iCs/>
                <w:szCs w:val="24"/>
              </w:rPr>
              <w:lastRenderedPageBreak/>
              <w:t>globos, grupinio gyvenimo ir (ar) savarankiško gyvenimo namus (jeigu jie Lietuvos Respublikoje nuosavybės teise neturi kito būsto), socialinį būstą savivaldybės nustatyta tvarka išnuomoti nesilaikant eiliškumo.</w:t>
            </w:r>
          </w:p>
          <w:p w14:paraId="50218602" w14:textId="77777777" w:rsidR="00C6560C" w:rsidRPr="00C6560C" w:rsidRDefault="00C6560C" w:rsidP="00C6560C">
            <w:pPr>
              <w:jc w:val="both"/>
              <w:rPr>
                <w:szCs w:val="24"/>
              </w:rPr>
            </w:pPr>
            <w:r w:rsidRPr="00C6560C">
              <w:rPr>
                <w:b/>
                <w:bCs/>
                <w:color w:val="000000"/>
                <w:szCs w:val="24"/>
              </w:rPr>
              <w:t xml:space="preserve">Meno kūrėjų socialinės apsaugos programa. </w:t>
            </w:r>
            <w:r w:rsidRPr="00C6560C">
              <w:rPr>
                <w:szCs w:val="24"/>
              </w:rPr>
              <w:t>Vykdant Meno kūrėjų socialinės apsaugos programą ir toliau buvo siekiama meno kūrėjams užtikrinti tinkamą  socialinę apsaugą  ir sudaryti geresnes  meno kūrybos, jos rezultatų sklaidos ir skatinimo sąlygas. Paskelbus ekstremalią padėtį ir karantiną, Vyriausybė pakeitė Meno kūrėjų socialinės apsaugos programos reglamentavimą sudarydama sąlygas mokėti daugiau kūrybinių prastovų išmokų negalintiems dirbti meno kūrėjams. 2020 m. kūrybinės prastovos išmoka skirta 457 meno kūrėjams, kuriems iš viso buvo paskirstyta 737 223 eurų.</w:t>
            </w:r>
          </w:p>
          <w:p w14:paraId="311EE893" w14:textId="77777777" w:rsidR="00C6560C" w:rsidRPr="00C6560C" w:rsidRDefault="00C6560C" w:rsidP="00C6560C">
            <w:pPr>
              <w:jc w:val="both"/>
              <w:rPr>
                <w:szCs w:val="24"/>
              </w:rPr>
            </w:pPr>
            <w:bookmarkStart w:id="50" w:name="part_ccd1afb44bbe41bfaf25c88ba04b3026"/>
            <w:bookmarkEnd w:id="50"/>
            <w:r w:rsidRPr="00C6560C">
              <w:rPr>
                <w:b/>
                <w:bCs/>
                <w:szCs w:val="24"/>
              </w:rPr>
              <w:t xml:space="preserve">Lėšų, skiriamų meno ar kultūros kūrėjų stipendijoms, didinimas. </w:t>
            </w:r>
            <w:r w:rsidRPr="00C6560C">
              <w:rPr>
                <w:szCs w:val="24"/>
              </w:rPr>
              <w:t xml:space="preserve">2020 m. Lietuvos kultūros taryba meno ar kultūros kūrėjų stipendijoms paskirstė 5,1 mln. eurų, įskaitant papildomas lėšas, skirtas įgyvendinant Ekonomikos skatinimo ir </w:t>
            </w:r>
            <w:proofErr w:type="spellStart"/>
            <w:r w:rsidRPr="00C6560C">
              <w:rPr>
                <w:szCs w:val="24"/>
              </w:rPr>
              <w:t>koronaviruso</w:t>
            </w:r>
            <w:proofErr w:type="spellEnd"/>
            <w:r w:rsidRPr="00C6560C">
              <w:rPr>
                <w:szCs w:val="24"/>
              </w:rPr>
              <w:t xml:space="preserve"> (COVID-19) plitimo sukeltų pasekmių mažinimo priemonių planą. Stipendijas gavo  2 408 </w:t>
            </w:r>
            <w:proofErr w:type="spellStart"/>
            <w:r w:rsidRPr="00C6560C">
              <w:rPr>
                <w:szCs w:val="24"/>
              </w:rPr>
              <w:t>kūręjai</w:t>
            </w:r>
            <w:proofErr w:type="spellEnd"/>
            <w:r w:rsidRPr="00C6560C">
              <w:rPr>
                <w:szCs w:val="24"/>
              </w:rPr>
              <w:t xml:space="preserve">.  Lietuvos kino centras 2020 m. kino kūrėjams paskyrė 85 stipendijas, tam skirta 206 267 eurų, įskaitant papildomas lėšas, skirtas įgyvendinant Ekonomikos skatinimo ir </w:t>
            </w:r>
            <w:proofErr w:type="spellStart"/>
            <w:r w:rsidRPr="00C6560C">
              <w:rPr>
                <w:szCs w:val="24"/>
              </w:rPr>
              <w:t>koronaviruso</w:t>
            </w:r>
            <w:proofErr w:type="spellEnd"/>
            <w:r w:rsidRPr="00C6560C">
              <w:rPr>
                <w:szCs w:val="24"/>
              </w:rPr>
              <w:t xml:space="preserve"> (COVID-19) plitimo sukeltų pasekmių mažinimo priemonių planą. Šios stipendijos sudarė sąlygas menininkams šį sudėtingą laiką būti produktyviems – kurti naujus kultūros ir meno kūrinius, kurie būtų pristatyti publikai karantinui ir ekstremaliai situacijai pasibaigus. Pažymėtina, kad siekiant mažinti </w:t>
            </w:r>
            <w:proofErr w:type="spellStart"/>
            <w:r w:rsidRPr="00C6560C">
              <w:rPr>
                <w:szCs w:val="24"/>
              </w:rPr>
              <w:t>koronaviruso</w:t>
            </w:r>
            <w:proofErr w:type="spellEnd"/>
            <w:r w:rsidRPr="00C6560C">
              <w:rPr>
                <w:szCs w:val="24"/>
              </w:rPr>
              <w:t xml:space="preserve"> (COVID-19) sukeltų pasekmių, be stipendijų, 799 kūrėjus pasiekė vienkartinės kompensacinės išmokos, skirtos s</w:t>
            </w:r>
            <w:r w:rsidRPr="00C6560C">
              <w:rPr>
                <w:szCs w:val="24"/>
                <w:shd w:val="clear" w:color="auto" w:fill="FFFFFF"/>
              </w:rPr>
              <w:t xml:space="preserve">avarankiškai dirbantiems kūrėjams, kuriomis buvo iš dalies kompensuojami muzikos, scenos menų ir kino kūrėjų  prarastos dėl </w:t>
            </w:r>
            <w:proofErr w:type="spellStart"/>
            <w:r w:rsidRPr="00C6560C">
              <w:rPr>
                <w:szCs w:val="24"/>
                <w:shd w:val="clear" w:color="auto" w:fill="FFFFFF"/>
              </w:rPr>
              <w:t>koronaviruso</w:t>
            </w:r>
            <w:proofErr w:type="spellEnd"/>
            <w:r w:rsidRPr="00C6560C">
              <w:rPr>
                <w:szCs w:val="24"/>
                <w:shd w:val="clear" w:color="auto" w:fill="FFFFFF"/>
              </w:rPr>
              <w:t xml:space="preserve"> (COVID-19) plitimo ir šalyje paskelbto karantino pajamos </w:t>
            </w:r>
            <w:r w:rsidRPr="00C6560C">
              <w:rPr>
                <w:szCs w:val="24"/>
              </w:rPr>
              <w:t xml:space="preserve">(iš viso šiuo tikslu paskirstyta 750 tūkst. eurų). </w:t>
            </w:r>
          </w:p>
          <w:p w14:paraId="09CD0DD2" w14:textId="77777777" w:rsidR="00C6560C" w:rsidRPr="00C6560C" w:rsidRDefault="00C6560C" w:rsidP="00C6560C">
            <w:pPr>
              <w:jc w:val="both"/>
              <w:rPr>
                <w:iCs/>
                <w:szCs w:val="24"/>
              </w:rPr>
            </w:pPr>
            <w:r w:rsidRPr="00C6560C">
              <w:rPr>
                <w:szCs w:val="24"/>
              </w:rPr>
              <w:t>Taip pat baigiamas atlikti menininkų socialinės ir kūrybinės būklės tyrimas,  per kurį  buvo vertinama esama kūrėjų socialinė ir kūrybinė situacija. 2021 m. bus pateikti pasiūlymai, kaip  situaciją gerinti.</w:t>
            </w:r>
          </w:p>
        </w:tc>
      </w:tr>
    </w:tbl>
    <w:p w14:paraId="51F35092" w14:textId="77777777" w:rsidR="00C6560C" w:rsidRPr="00C6560C" w:rsidRDefault="00C6560C" w:rsidP="00C6560C">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1240"/>
        <w:gridCol w:w="2394"/>
        <w:gridCol w:w="2484"/>
        <w:gridCol w:w="2394"/>
        <w:gridCol w:w="2333"/>
      </w:tblGrid>
      <w:tr w:rsidR="00C6560C" w:rsidRPr="00C6560C" w14:paraId="0C54C952" w14:textId="77777777" w:rsidTr="002624F5">
        <w:trPr>
          <w:trHeight w:val="217"/>
        </w:trPr>
        <w:tc>
          <w:tcPr>
            <w:tcW w:w="1476" w:type="pct"/>
            <w:shd w:val="clear" w:color="auto" w:fill="1F4E79"/>
            <w:vAlign w:val="center"/>
          </w:tcPr>
          <w:p w14:paraId="7E66CF98" w14:textId="77777777" w:rsidR="00C6560C" w:rsidRPr="00C6560C" w:rsidRDefault="00C6560C" w:rsidP="00C6560C">
            <w:pPr>
              <w:rPr>
                <w:b/>
                <w:i/>
                <w:color w:val="FFFFFF"/>
                <w:szCs w:val="24"/>
              </w:rPr>
            </w:pPr>
            <w:r w:rsidRPr="00C6560C">
              <w:rPr>
                <w:b/>
                <w:i/>
                <w:color w:val="FFFFFF"/>
                <w:szCs w:val="24"/>
              </w:rPr>
              <w:t>Rodikliai</w:t>
            </w:r>
          </w:p>
        </w:tc>
        <w:tc>
          <w:tcPr>
            <w:tcW w:w="403" w:type="pct"/>
            <w:shd w:val="clear" w:color="auto" w:fill="1F4E79"/>
            <w:vAlign w:val="center"/>
          </w:tcPr>
          <w:p w14:paraId="49370343" w14:textId="77777777" w:rsidR="00C6560C" w:rsidRPr="00C6560C" w:rsidRDefault="00C6560C" w:rsidP="00C6560C">
            <w:pPr>
              <w:jc w:val="center"/>
              <w:rPr>
                <w:b/>
                <w:bCs/>
                <w:i/>
                <w:color w:val="FFFFFF"/>
                <w:szCs w:val="24"/>
              </w:rPr>
            </w:pPr>
          </w:p>
        </w:tc>
        <w:tc>
          <w:tcPr>
            <w:tcW w:w="778" w:type="pct"/>
            <w:shd w:val="clear" w:color="auto" w:fill="1F4E79"/>
            <w:vAlign w:val="center"/>
          </w:tcPr>
          <w:p w14:paraId="5E8503B8" w14:textId="77777777" w:rsidR="00C6560C" w:rsidRPr="00C6560C" w:rsidRDefault="00C6560C" w:rsidP="00C6560C">
            <w:pPr>
              <w:jc w:val="center"/>
              <w:rPr>
                <w:b/>
                <w:i/>
                <w:color w:val="FFFFFF"/>
                <w:szCs w:val="24"/>
              </w:rPr>
            </w:pPr>
            <w:r w:rsidRPr="00C6560C">
              <w:rPr>
                <w:b/>
                <w:i/>
                <w:color w:val="FFFFFF"/>
                <w:szCs w:val="24"/>
              </w:rPr>
              <w:t>2018</w:t>
            </w:r>
          </w:p>
        </w:tc>
        <w:tc>
          <w:tcPr>
            <w:tcW w:w="807" w:type="pct"/>
            <w:shd w:val="clear" w:color="auto" w:fill="1F4E79"/>
            <w:vAlign w:val="center"/>
          </w:tcPr>
          <w:p w14:paraId="2FEC96A4" w14:textId="77777777" w:rsidR="00C6560C" w:rsidRPr="00C6560C" w:rsidRDefault="00C6560C" w:rsidP="00C6560C">
            <w:pPr>
              <w:jc w:val="center"/>
              <w:rPr>
                <w:b/>
                <w:i/>
                <w:color w:val="FFFFFF"/>
                <w:szCs w:val="24"/>
              </w:rPr>
            </w:pPr>
            <w:r w:rsidRPr="00C6560C">
              <w:rPr>
                <w:b/>
                <w:i/>
                <w:color w:val="FFFFFF"/>
                <w:szCs w:val="24"/>
              </w:rPr>
              <w:t>2019</w:t>
            </w:r>
          </w:p>
        </w:tc>
        <w:tc>
          <w:tcPr>
            <w:tcW w:w="778" w:type="pct"/>
            <w:shd w:val="clear" w:color="auto" w:fill="1F4E79"/>
            <w:vAlign w:val="center"/>
          </w:tcPr>
          <w:p w14:paraId="225BE187" w14:textId="77777777" w:rsidR="00C6560C" w:rsidRPr="00C6560C" w:rsidRDefault="00C6560C" w:rsidP="00C6560C">
            <w:pPr>
              <w:jc w:val="center"/>
              <w:rPr>
                <w:b/>
                <w:i/>
                <w:color w:val="FFFFFF"/>
                <w:szCs w:val="24"/>
              </w:rPr>
            </w:pPr>
            <w:r w:rsidRPr="00C6560C">
              <w:rPr>
                <w:b/>
                <w:i/>
                <w:color w:val="FFFFFF"/>
                <w:szCs w:val="24"/>
              </w:rPr>
              <w:t>2020</w:t>
            </w:r>
          </w:p>
        </w:tc>
        <w:tc>
          <w:tcPr>
            <w:tcW w:w="758" w:type="pct"/>
            <w:shd w:val="clear" w:color="auto" w:fill="1F4E79"/>
          </w:tcPr>
          <w:p w14:paraId="39E7CA9D" w14:textId="77777777" w:rsidR="00C6560C" w:rsidRPr="00C6560C" w:rsidRDefault="00C6560C" w:rsidP="00C6560C">
            <w:pPr>
              <w:jc w:val="center"/>
              <w:rPr>
                <w:b/>
                <w:i/>
                <w:color w:val="FFFFFF"/>
                <w:szCs w:val="24"/>
              </w:rPr>
            </w:pPr>
            <w:r w:rsidRPr="00C6560C">
              <w:rPr>
                <w:b/>
                <w:i/>
                <w:color w:val="FFFFFF"/>
                <w:szCs w:val="24"/>
              </w:rPr>
              <w:t>2021</w:t>
            </w:r>
          </w:p>
        </w:tc>
      </w:tr>
      <w:tr w:rsidR="00C6560C" w:rsidRPr="00C6560C" w14:paraId="0C4B612C" w14:textId="77777777" w:rsidTr="002624F5">
        <w:trPr>
          <w:trHeight w:val="428"/>
        </w:trPr>
        <w:tc>
          <w:tcPr>
            <w:tcW w:w="1476" w:type="pct"/>
            <w:vMerge w:val="restart"/>
            <w:shd w:val="clear" w:color="auto" w:fill="auto"/>
            <w:vAlign w:val="center"/>
          </w:tcPr>
          <w:p w14:paraId="2BBC11ED" w14:textId="77777777" w:rsidR="00C6560C" w:rsidRPr="00C6560C" w:rsidRDefault="00C6560C" w:rsidP="00C6560C">
            <w:pPr>
              <w:jc w:val="both"/>
              <w:rPr>
                <w:b/>
                <w:i/>
                <w:iCs/>
                <w:szCs w:val="24"/>
              </w:rPr>
            </w:pPr>
            <w:r w:rsidRPr="00C6560C">
              <w:rPr>
                <w:b/>
                <w:i/>
                <w:iCs/>
                <w:szCs w:val="24"/>
              </w:rPr>
              <w:t>Atsižvelgiant į augančią ekonomiką ir didėjantį darbo užmokesčio fondą indeksuotos vidutinės senatvės pensijos augimas, proc. (palyginti su 2016 m.)</w:t>
            </w:r>
          </w:p>
        </w:tc>
        <w:tc>
          <w:tcPr>
            <w:tcW w:w="403" w:type="pct"/>
            <w:shd w:val="clear" w:color="auto" w:fill="B4C6E7"/>
            <w:vAlign w:val="center"/>
          </w:tcPr>
          <w:p w14:paraId="69088158" w14:textId="77777777" w:rsidR="00C6560C" w:rsidRPr="00C6560C" w:rsidRDefault="00C6560C" w:rsidP="00C6560C">
            <w:pPr>
              <w:jc w:val="center"/>
              <w:rPr>
                <w:i/>
                <w:szCs w:val="24"/>
              </w:rPr>
            </w:pPr>
            <w:r w:rsidRPr="00C6560C">
              <w:rPr>
                <w:i/>
                <w:szCs w:val="24"/>
              </w:rPr>
              <w:t>Planas</w:t>
            </w:r>
          </w:p>
        </w:tc>
        <w:tc>
          <w:tcPr>
            <w:tcW w:w="778" w:type="pct"/>
            <w:shd w:val="clear" w:color="auto" w:fill="B4C6E7"/>
            <w:vAlign w:val="center"/>
          </w:tcPr>
          <w:p w14:paraId="0656FB6B" w14:textId="77777777" w:rsidR="00C6560C" w:rsidRPr="00C6560C" w:rsidRDefault="00C6560C" w:rsidP="00C6560C">
            <w:pPr>
              <w:jc w:val="center"/>
              <w:rPr>
                <w:i/>
                <w:iCs/>
                <w:szCs w:val="24"/>
              </w:rPr>
            </w:pPr>
            <w:r w:rsidRPr="00C6560C">
              <w:rPr>
                <w:i/>
                <w:iCs/>
                <w:szCs w:val="24"/>
              </w:rPr>
              <w:t>14,0</w:t>
            </w:r>
          </w:p>
        </w:tc>
        <w:tc>
          <w:tcPr>
            <w:tcW w:w="807" w:type="pct"/>
            <w:shd w:val="clear" w:color="auto" w:fill="B4C6E7"/>
            <w:vAlign w:val="center"/>
          </w:tcPr>
          <w:p w14:paraId="51F7E14E" w14:textId="77777777" w:rsidR="00C6560C" w:rsidRPr="00C6560C" w:rsidRDefault="00C6560C" w:rsidP="00C6560C">
            <w:pPr>
              <w:jc w:val="center"/>
              <w:rPr>
                <w:i/>
                <w:iCs/>
                <w:szCs w:val="24"/>
              </w:rPr>
            </w:pPr>
            <w:r w:rsidRPr="00C6560C">
              <w:rPr>
                <w:i/>
                <w:iCs/>
                <w:szCs w:val="24"/>
              </w:rPr>
              <w:t>21,0</w:t>
            </w:r>
          </w:p>
        </w:tc>
        <w:tc>
          <w:tcPr>
            <w:tcW w:w="778" w:type="pct"/>
            <w:shd w:val="clear" w:color="auto" w:fill="B4C6E7"/>
            <w:vAlign w:val="center"/>
          </w:tcPr>
          <w:p w14:paraId="2D8B5856" w14:textId="77777777" w:rsidR="00C6560C" w:rsidRPr="00C6560C" w:rsidRDefault="00C6560C" w:rsidP="00C6560C">
            <w:pPr>
              <w:jc w:val="center"/>
              <w:rPr>
                <w:i/>
                <w:iCs/>
                <w:szCs w:val="24"/>
              </w:rPr>
            </w:pPr>
            <w:r w:rsidRPr="00C6560C">
              <w:rPr>
                <w:i/>
                <w:iCs/>
                <w:szCs w:val="24"/>
              </w:rPr>
              <w:t>27,5</w:t>
            </w:r>
          </w:p>
        </w:tc>
        <w:tc>
          <w:tcPr>
            <w:tcW w:w="758" w:type="pct"/>
            <w:shd w:val="clear" w:color="auto" w:fill="B4C6E7"/>
            <w:vAlign w:val="center"/>
          </w:tcPr>
          <w:p w14:paraId="55C89D67" w14:textId="77777777" w:rsidR="00C6560C" w:rsidRPr="00C6560C" w:rsidRDefault="00C6560C" w:rsidP="00C6560C">
            <w:pPr>
              <w:jc w:val="center"/>
              <w:rPr>
                <w:i/>
                <w:iCs/>
                <w:szCs w:val="24"/>
              </w:rPr>
            </w:pPr>
            <w:r w:rsidRPr="00C6560C">
              <w:rPr>
                <w:i/>
                <w:iCs/>
                <w:szCs w:val="24"/>
              </w:rPr>
              <w:t>–</w:t>
            </w:r>
          </w:p>
        </w:tc>
      </w:tr>
      <w:tr w:rsidR="00C6560C" w:rsidRPr="00C6560C" w14:paraId="449AC011" w14:textId="77777777" w:rsidTr="002624F5">
        <w:trPr>
          <w:trHeight w:val="406"/>
        </w:trPr>
        <w:tc>
          <w:tcPr>
            <w:tcW w:w="1476" w:type="pct"/>
            <w:vMerge/>
            <w:shd w:val="clear" w:color="auto" w:fill="auto"/>
            <w:vAlign w:val="center"/>
          </w:tcPr>
          <w:p w14:paraId="42DB85EA" w14:textId="77777777" w:rsidR="00C6560C" w:rsidRPr="00C6560C" w:rsidRDefault="00C6560C" w:rsidP="00C6560C">
            <w:pPr>
              <w:jc w:val="both"/>
              <w:rPr>
                <w:b/>
                <w:i/>
                <w:iCs/>
                <w:szCs w:val="24"/>
              </w:rPr>
            </w:pPr>
          </w:p>
        </w:tc>
        <w:tc>
          <w:tcPr>
            <w:tcW w:w="403" w:type="pct"/>
            <w:shd w:val="clear" w:color="auto" w:fill="auto"/>
            <w:vAlign w:val="center"/>
          </w:tcPr>
          <w:p w14:paraId="7AAD2CEF" w14:textId="77777777" w:rsidR="00C6560C" w:rsidRPr="00C6560C" w:rsidRDefault="00C6560C" w:rsidP="00C6560C">
            <w:pPr>
              <w:jc w:val="center"/>
              <w:rPr>
                <w:i/>
                <w:szCs w:val="24"/>
              </w:rPr>
            </w:pPr>
            <w:r w:rsidRPr="00C6560C">
              <w:rPr>
                <w:i/>
                <w:szCs w:val="24"/>
              </w:rPr>
              <w:t xml:space="preserve">Faktas </w:t>
            </w:r>
          </w:p>
        </w:tc>
        <w:tc>
          <w:tcPr>
            <w:tcW w:w="778" w:type="pct"/>
            <w:shd w:val="clear" w:color="auto" w:fill="auto"/>
            <w:vAlign w:val="center"/>
          </w:tcPr>
          <w:p w14:paraId="60A1BF3D" w14:textId="77777777" w:rsidR="00C6560C" w:rsidRPr="00C6560C" w:rsidRDefault="00C6560C" w:rsidP="00C6560C">
            <w:pPr>
              <w:jc w:val="center"/>
              <w:rPr>
                <w:i/>
                <w:iCs/>
                <w:szCs w:val="24"/>
              </w:rPr>
            </w:pPr>
            <w:r w:rsidRPr="00C6560C">
              <w:rPr>
                <w:i/>
                <w:iCs/>
                <w:szCs w:val="24"/>
              </w:rPr>
              <w:t>25,1</w:t>
            </w:r>
          </w:p>
        </w:tc>
        <w:tc>
          <w:tcPr>
            <w:tcW w:w="807" w:type="pct"/>
            <w:shd w:val="clear" w:color="auto" w:fill="auto"/>
            <w:vAlign w:val="center"/>
          </w:tcPr>
          <w:p w14:paraId="38326F16" w14:textId="77777777" w:rsidR="00C6560C" w:rsidRPr="00C6560C" w:rsidRDefault="00C6560C" w:rsidP="00C6560C">
            <w:pPr>
              <w:jc w:val="center"/>
              <w:rPr>
                <w:i/>
                <w:iCs/>
                <w:szCs w:val="24"/>
              </w:rPr>
            </w:pPr>
            <w:r w:rsidRPr="00C6560C">
              <w:rPr>
                <w:i/>
                <w:iCs/>
                <w:szCs w:val="24"/>
              </w:rPr>
              <w:t>34</w:t>
            </w:r>
          </w:p>
        </w:tc>
        <w:tc>
          <w:tcPr>
            <w:tcW w:w="778" w:type="pct"/>
            <w:shd w:val="clear" w:color="auto" w:fill="auto"/>
            <w:vAlign w:val="center"/>
          </w:tcPr>
          <w:p w14:paraId="01DC765D" w14:textId="77777777" w:rsidR="00C6560C" w:rsidRPr="00C6560C" w:rsidRDefault="00C6560C" w:rsidP="00C6560C">
            <w:pPr>
              <w:jc w:val="center"/>
              <w:rPr>
                <w:i/>
                <w:iCs/>
                <w:szCs w:val="24"/>
              </w:rPr>
            </w:pPr>
            <w:r w:rsidRPr="00C6560C">
              <w:rPr>
                <w:i/>
                <w:iCs/>
                <w:szCs w:val="24"/>
              </w:rPr>
              <w:t>47,3</w:t>
            </w:r>
          </w:p>
          <w:p w14:paraId="01B57953" w14:textId="77777777" w:rsidR="00C6560C" w:rsidRPr="00C6560C" w:rsidRDefault="00C6560C" w:rsidP="00C6560C">
            <w:pPr>
              <w:jc w:val="center"/>
              <w:rPr>
                <w:i/>
                <w:iCs/>
                <w:szCs w:val="24"/>
              </w:rPr>
            </w:pPr>
          </w:p>
        </w:tc>
        <w:tc>
          <w:tcPr>
            <w:tcW w:w="758" w:type="pct"/>
            <w:shd w:val="clear" w:color="auto" w:fill="auto"/>
            <w:vAlign w:val="center"/>
          </w:tcPr>
          <w:p w14:paraId="29FC06B9" w14:textId="77777777" w:rsidR="00C6560C" w:rsidRPr="00C6560C" w:rsidRDefault="00C6560C" w:rsidP="00C6560C">
            <w:pPr>
              <w:jc w:val="center"/>
              <w:rPr>
                <w:i/>
                <w:iCs/>
                <w:szCs w:val="24"/>
              </w:rPr>
            </w:pPr>
            <w:r w:rsidRPr="00C6560C">
              <w:rPr>
                <w:i/>
                <w:iCs/>
                <w:szCs w:val="24"/>
              </w:rPr>
              <w:t>–</w:t>
            </w:r>
          </w:p>
        </w:tc>
      </w:tr>
      <w:tr w:rsidR="00C6560C" w:rsidRPr="00C6560C" w14:paraId="37E89F2A" w14:textId="77777777" w:rsidTr="002624F5">
        <w:trPr>
          <w:trHeight w:val="411"/>
        </w:trPr>
        <w:tc>
          <w:tcPr>
            <w:tcW w:w="1476" w:type="pct"/>
            <w:vMerge w:val="restart"/>
            <w:shd w:val="clear" w:color="auto" w:fill="auto"/>
            <w:vAlign w:val="center"/>
          </w:tcPr>
          <w:p w14:paraId="7FC72EB4" w14:textId="77777777" w:rsidR="00C6560C" w:rsidRPr="00C6560C" w:rsidRDefault="00C6560C" w:rsidP="00C6560C">
            <w:pPr>
              <w:jc w:val="both"/>
              <w:rPr>
                <w:b/>
                <w:i/>
                <w:iCs/>
                <w:szCs w:val="24"/>
              </w:rPr>
            </w:pPr>
            <w:r w:rsidRPr="00C6560C">
              <w:rPr>
                <w:b/>
                <w:i/>
                <w:iCs/>
                <w:szCs w:val="24"/>
              </w:rPr>
              <w:t>Asmenų, patiriančių skurdo riziką ar socialinę atskirtį, dalis</w:t>
            </w:r>
          </w:p>
        </w:tc>
        <w:tc>
          <w:tcPr>
            <w:tcW w:w="403" w:type="pct"/>
            <w:shd w:val="clear" w:color="auto" w:fill="B4C6E7"/>
            <w:vAlign w:val="center"/>
          </w:tcPr>
          <w:p w14:paraId="1757AA20" w14:textId="77777777" w:rsidR="00C6560C" w:rsidRPr="00C6560C" w:rsidRDefault="00C6560C" w:rsidP="00C6560C">
            <w:pPr>
              <w:jc w:val="center"/>
              <w:rPr>
                <w:i/>
                <w:iCs/>
                <w:szCs w:val="24"/>
              </w:rPr>
            </w:pPr>
            <w:r w:rsidRPr="00C6560C">
              <w:rPr>
                <w:i/>
                <w:iCs/>
                <w:szCs w:val="24"/>
              </w:rPr>
              <w:t>Planas</w:t>
            </w:r>
          </w:p>
        </w:tc>
        <w:tc>
          <w:tcPr>
            <w:tcW w:w="778" w:type="pct"/>
            <w:shd w:val="clear" w:color="auto" w:fill="B4C6E7"/>
            <w:vAlign w:val="center"/>
          </w:tcPr>
          <w:p w14:paraId="1926557C" w14:textId="77777777" w:rsidR="00C6560C" w:rsidRPr="00C6560C" w:rsidRDefault="00C6560C" w:rsidP="00C6560C">
            <w:pPr>
              <w:jc w:val="center"/>
              <w:rPr>
                <w:i/>
                <w:szCs w:val="24"/>
              </w:rPr>
            </w:pPr>
            <w:r w:rsidRPr="00C6560C">
              <w:rPr>
                <w:i/>
                <w:szCs w:val="24"/>
              </w:rPr>
              <w:t>27,4</w:t>
            </w:r>
          </w:p>
        </w:tc>
        <w:tc>
          <w:tcPr>
            <w:tcW w:w="807" w:type="pct"/>
            <w:shd w:val="clear" w:color="auto" w:fill="B4C6E7"/>
            <w:vAlign w:val="center"/>
          </w:tcPr>
          <w:p w14:paraId="6EAA30F0" w14:textId="77777777" w:rsidR="00C6560C" w:rsidRPr="00C6560C" w:rsidRDefault="00C6560C" w:rsidP="00C6560C">
            <w:pPr>
              <w:jc w:val="center"/>
              <w:rPr>
                <w:i/>
                <w:szCs w:val="24"/>
              </w:rPr>
            </w:pPr>
            <w:r w:rsidRPr="00C6560C">
              <w:rPr>
                <w:i/>
                <w:szCs w:val="24"/>
              </w:rPr>
              <w:t>26,0</w:t>
            </w:r>
          </w:p>
        </w:tc>
        <w:tc>
          <w:tcPr>
            <w:tcW w:w="778" w:type="pct"/>
            <w:shd w:val="clear" w:color="auto" w:fill="B4C6E7"/>
            <w:vAlign w:val="center"/>
          </w:tcPr>
          <w:p w14:paraId="12245E8D" w14:textId="77777777" w:rsidR="00C6560C" w:rsidRPr="00C6560C" w:rsidRDefault="00C6560C" w:rsidP="00C6560C">
            <w:pPr>
              <w:jc w:val="center"/>
              <w:rPr>
                <w:i/>
                <w:szCs w:val="24"/>
              </w:rPr>
            </w:pPr>
            <w:r w:rsidRPr="00C6560C">
              <w:rPr>
                <w:i/>
                <w:szCs w:val="24"/>
              </w:rPr>
              <w:t>24,0</w:t>
            </w:r>
          </w:p>
        </w:tc>
        <w:tc>
          <w:tcPr>
            <w:tcW w:w="758" w:type="pct"/>
            <w:shd w:val="clear" w:color="auto" w:fill="B4C6E7"/>
            <w:vAlign w:val="center"/>
          </w:tcPr>
          <w:p w14:paraId="184C0857" w14:textId="77777777" w:rsidR="00C6560C" w:rsidRPr="00C6560C" w:rsidRDefault="00C6560C" w:rsidP="00C6560C">
            <w:pPr>
              <w:jc w:val="center"/>
              <w:rPr>
                <w:i/>
                <w:szCs w:val="24"/>
              </w:rPr>
            </w:pPr>
            <w:r w:rsidRPr="00C6560C">
              <w:rPr>
                <w:i/>
                <w:szCs w:val="24"/>
              </w:rPr>
              <w:t>24,0</w:t>
            </w:r>
          </w:p>
        </w:tc>
      </w:tr>
      <w:tr w:rsidR="00C6560C" w:rsidRPr="00C6560C" w14:paraId="05E564D1" w14:textId="77777777" w:rsidTr="002624F5">
        <w:trPr>
          <w:trHeight w:val="416"/>
        </w:trPr>
        <w:tc>
          <w:tcPr>
            <w:tcW w:w="1476" w:type="pct"/>
            <w:vMerge/>
            <w:shd w:val="clear" w:color="auto" w:fill="auto"/>
            <w:vAlign w:val="center"/>
          </w:tcPr>
          <w:p w14:paraId="722ED284" w14:textId="77777777" w:rsidR="00C6560C" w:rsidRPr="00C6560C" w:rsidRDefault="00C6560C" w:rsidP="00C6560C">
            <w:pPr>
              <w:jc w:val="both"/>
              <w:rPr>
                <w:b/>
                <w:i/>
                <w:iCs/>
                <w:szCs w:val="24"/>
              </w:rPr>
            </w:pPr>
          </w:p>
        </w:tc>
        <w:tc>
          <w:tcPr>
            <w:tcW w:w="403" w:type="pct"/>
            <w:shd w:val="clear" w:color="auto" w:fill="auto"/>
            <w:vAlign w:val="center"/>
          </w:tcPr>
          <w:p w14:paraId="094EFE01" w14:textId="77777777" w:rsidR="00C6560C" w:rsidRPr="00C6560C" w:rsidRDefault="00C6560C" w:rsidP="00C6560C">
            <w:pPr>
              <w:jc w:val="center"/>
              <w:rPr>
                <w:i/>
                <w:iCs/>
                <w:szCs w:val="24"/>
              </w:rPr>
            </w:pPr>
            <w:r w:rsidRPr="00C6560C">
              <w:rPr>
                <w:i/>
                <w:iCs/>
                <w:szCs w:val="24"/>
              </w:rPr>
              <w:t>Faktas</w:t>
            </w:r>
          </w:p>
        </w:tc>
        <w:tc>
          <w:tcPr>
            <w:tcW w:w="778" w:type="pct"/>
            <w:shd w:val="clear" w:color="auto" w:fill="auto"/>
            <w:vAlign w:val="center"/>
          </w:tcPr>
          <w:p w14:paraId="36731D24" w14:textId="77777777" w:rsidR="00C6560C" w:rsidRPr="00C6560C" w:rsidRDefault="00C6560C" w:rsidP="00C6560C">
            <w:pPr>
              <w:jc w:val="center"/>
              <w:rPr>
                <w:i/>
                <w:szCs w:val="24"/>
              </w:rPr>
            </w:pPr>
            <w:r w:rsidRPr="00C6560C">
              <w:rPr>
                <w:i/>
                <w:szCs w:val="24"/>
              </w:rPr>
              <w:t>28,3</w:t>
            </w:r>
          </w:p>
        </w:tc>
        <w:tc>
          <w:tcPr>
            <w:tcW w:w="807" w:type="pct"/>
            <w:shd w:val="clear" w:color="auto" w:fill="auto"/>
            <w:vAlign w:val="center"/>
          </w:tcPr>
          <w:p w14:paraId="7931D16E" w14:textId="77777777" w:rsidR="00C6560C" w:rsidRPr="00C6560C" w:rsidRDefault="00C6560C" w:rsidP="00C6560C">
            <w:pPr>
              <w:jc w:val="center"/>
              <w:rPr>
                <w:i/>
                <w:szCs w:val="24"/>
              </w:rPr>
            </w:pPr>
            <w:r w:rsidRPr="00C6560C">
              <w:rPr>
                <w:i/>
                <w:szCs w:val="24"/>
              </w:rPr>
              <w:t>26,3</w:t>
            </w:r>
          </w:p>
        </w:tc>
        <w:tc>
          <w:tcPr>
            <w:tcW w:w="778" w:type="pct"/>
            <w:shd w:val="clear" w:color="auto" w:fill="auto"/>
            <w:vAlign w:val="center"/>
          </w:tcPr>
          <w:p w14:paraId="073C639F" w14:textId="77777777" w:rsidR="00C6560C" w:rsidRPr="00C6560C" w:rsidRDefault="00C6560C" w:rsidP="00C6560C">
            <w:pPr>
              <w:jc w:val="center"/>
              <w:rPr>
                <w:i/>
                <w:szCs w:val="24"/>
              </w:rPr>
            </w:pPr>
            <w:r w:rsidRPr="00C6560C">
              <w:rPr>
                <w:i/>
                <w:szCs w:val="24"/>
              </w:rPr>
              <w:t>–</w:t>
            </w:r>
          </w:p>
        </w:tc>
        <w:tc>
          <w:tcPr>
            <w:tcW w:w="758" w:type="pct"/>
            <w:shd w:val="clear" w:color="auto" w:fill="auto"/>
            <w:vAlign w:val="center"/>
          </w:tcPr>
          <w:p w14:paraId="32C68B93" w14:textId="77777777" w:rsidR="00C6560C" w:rsidRPr="00C6560C" w:rsidRDefault="00C6560C" w:rsidP="00C6560C">
            <w:pPr>
              <w:jc w:val="center"/>
              <w:rPr>
                <w:i/>
                <w:szCs w:val="24"/>
              </w:rPr>
            </w:pPr>
            <w:r w:rsidRPr="00C6560C">
              <w:rPr>
                <w:i/>
                <w:szCs w:val="24"/>
              </w:rPr>
              <w:t>–</w:t>
            </w:r>
          </w:p>
        </w:tc>
      </w:tr>
      <w:tr w:rsidR="00C6560C" w:rsidRPr="00C6560C" w14:paraId="0E3068CE" w14:textId="77777777" w:rsidTr="002624F5">
        <w:trPr>
          <w:trHeight w:val="435"/>
        </w:trPr>
        <w:tc>
          <w:tcPr>
            <w:tcW w:w="1476" w:type="pct"/>
            <w:vMerge w:val="restart"/>
            <w:shd w:val="clear" w:color="auto" w:fill="auto"/>
            <w:vAlign w:val="center"/>
          </w:tcPr>
          <w:p w14:paraId="4C59544E" w14:textId="77777777" w:rsidR="00C6560C" w:rsidRPr="00C6560C" w:rsidRDefault="00C6560C" w:rsidP="00C6560C">
            <w:pPr>
              <w:jc w:val="both"/>
              <w:rPr>
                <w:b/>
                <w:i/>
                <w:iCs/>
                <w:szCs w:val="24"/>
              </w:rPr>
            </w:pPr>
            <w:r w:rsidRPr="00C6560C">
              <w:rPr>
                <w:b/>
                <w:i/>
                <w:iCs/>
                <w:szCs w:val="24"/>
              </w:rPr>
              <w:t>Pajamų pasiskirstymo koeficientas</w:t>
            </w:r>
          </w:p>
        </w:tc>
        <w:tc>
          <w:tcPr>
            <w:tcW w:w="403" w:type="pct"/>
            <w:shd w:val="clear" w:color="auto" w:fill="B4C6E7"/>
            <w:vAlign w:val="center"/>
          </w:tcPr>
          <w:p w14:paraId="1A041EE3" w14:textId="77777777" w:rsidR="00C6560C" w:rsidRPr="00C6560C" w:rsidRDefault="00C6560C" w:rsidP="00C6560C">
            <w:pPr>
              <w:jc w:val="center"/>
              <w:rPr>
                <w:i/>
                <w:szCs w:val="24"/>
              </w:rPr>
            </w:pPr>
            <w:r w:rsidRPr="00C6560C">
              <w:rPr>
                <w:i/>
                <w:szCs w:val="24"/>
              </w:rPr>
              <w:t>Planas</w:t>
            </w:r>
          </w:p>
        </w:tc>
        <w:tc>
          <w:tcPr>
            <w:tcW w:w="778" w:type="pct"/>
            <w:shd w:val="clear" w:color="auto" w:fill="B4C6E7"/>
            <w:vAlign w:val="center"/>
          </w:tcPr>
          <w:p w14:paraId="2B21A92E" w14:textId="77777777" w:rsidR="00C6560C" w:rsidRPr="00C6560C" w:rsidRDefault="00C6560C" w:rsidP="00C6560C">
            <w:pPr>
              <w:jc w:val="center"/>
              <w:rPr>
                <w:i/>
                <w:szCs w:val="24"/>
              </w:rPr>
            </w:pPr>
            <w:r w:rsidRPr="00C6560C">
              <w:rPr>
                <w:i/>
                <w:szCs w:val="24"/>
              </w:rPr>
              <w:t>6,8</w:t>
            </w:r>
          </w:p>
        </w:tc>
        <w:tc>
          <w:tcPr>
            <w:tcW w:w="807" w:type="pct"/>
            <w:shd w:val="clear" w:color="auto" w:fill="B4C6E7"/>
            <w:vAlign w:val="center"/>
          </w:tcPr>
          <w:p w14:paraId="456424D3" w14:textId="77777777" w:rsidR="00C6560C" w:rsidRPr="00C6560C" w:rsidRDefault="00C6560C" w:rsidP="00C6560C">
            <w:pPr>
              <w:jc w:val="center"/>
              <w:rPr>
                <w:i/>
                <w:szCs w:val="24"/>
              </w:rPr>
            </w:pPr>
            <w:r w:rsidRPr="00C6560C">
              <w:rPr>
                <w:i/>
                <w:szCs w:val="24"/>
              </w:rPr>
              <w:t>6</w:t>
            </w:r>
          </w:p>
        </w:tc>
        <w:tc>
          <w:tcPr>
            <w:tcW w:w="778" w:type="pct"/>
            <w:shd w:val="clear" w:color="auto" w:fill="B4C6E7"/>
            <w:vAlign w:val="center"/>
          </w:tcPr>
          <w:p w14:paraId="2DE587B3" w14:textId="77777777" w:rsidR="00C6560C" w:rsidRPr="00C6560C" w:rsidRDefault="00C6560C" w:rsidP="00C6560C">
            <w:pPr>
              <w:jc w:val="center"/>
              <w:rPr>
                <w:i/>
                <w:szCs w:val="24"/>
              </w:rPr>
            </w:pPr>
            <w:r w:rsidRPr="00C6560C">
              <w:rPr>
                <w:i/>
                <w:szCs w:val="24"/>
              </w:rPr>
              <w:t xml:space="preserve">6,3 </w:t>
            </w:r>
          </w:p>
        </w:tc>
        <w:tc>
          <w:tcPr>
            <w:tcW w:w="758" w:type="pct"/>
            <w:shd w:val="clear" w:color="auto" w:fill="B4C6E7"/>
            <w:vAlign w:val="center"/>
          </w:tcPr>
          <w:p w14:paraId="599397B9" w14:textId="77777777" w:rsidR="00C6560C" w:rsidRPr="00C6560C" w:rsidRDefault="00C6560C" w:rsidP="00C6560C">
            <w:pPr>
              <w:jc w:val="center"/>
              <w:rPr>
                <w:i/>
                <w:szCs w:val="24"/>
              </w:rPr>
            </w:pPr>
            <w:r w:rsidRPr="00C6560C">
              <w:rPr>
                <w:i/>
                <w:szCs w:val="24"/>
              </w:rPr>
              <w:t xml:space="preserve">6,1 </w:t>
            </w:r>
          </w:p>
        </w:tc>
      </w:tr>
      <w:tr w:rsidR="00C6560C" w:rsidRPr="00C6560C" w14:paraId="6B82C758" w14:textId="77777777" w:rsidTr="002624F5">
        <w:trPr>
          <w:trHeight w:val="397"/>
        </w:trPr>
        <w:tc>
          <w:tcPr>
            <w:tcW w:w="1476" w:type="pct"/>
            <w:vMerge/>
            <w:shd w:val="clear" w:color="auto" w:fill="auto"/>
            <w:vAlign w:val="center"/>
          </w:tcPr>
          <w:p w14:paraId="72315D15" w14:textId="77777777" w:rsidR="00C6560C" w:rsidRPr="00C6560C" w:rsidRDefault="00C6560C" w:rsidP="00C6560C">
            <w:pPr>
              <w:jc w:val="both"/>
              <w:rPr>
                <w:b/>
                <w:i/>
                <w:iCs/>
                <w:szCs w:val="24"/>
              </w:rPr>
            </w:pPr>
          </w:p>
        </w:tc>
        <w:tc>
          <w:tcPr>
            <w:tcW w:w="403" w:type="pct"/>
            <w:shd w:val="clear" w:color="auto" w:fill="auto"/>
            <w:vAlign w:val="center"/>
          </w:tcPr>
          <w:p w14:paraId="6ACCDBF2" w14:textId="77777777" w:rsidR="00C6560C" w:rsidRPr="00C6560C" w:rsidRDefault="00C6560C" w:rsidP="00C6560C">
            <w:pPr>
              <w:jc w:val="center"/>
              <w:rPr>
                <w:i/>
                <w:szCs w:val="24"/>
              </w:rPr>
            </w:pPr>
            <w:r w:rsidRPr="00C6560C">
              <w:rPr>
                <w:i/>
                <w:szCs w:val="24"/>
              </w:rPr>
              <w:t>Faktas</w:t>
            </w:r>
          </w:p>
        </w:tc>
        <w:tc>
          <w:tcPr>
            <w:tcW w:w="778" w:type="pct"/>
            <w:shd w:val="clear" w:color="auto" w:fill="auto"/>
            <w:vAlign w:val="center"/>
          </w:tcPr>
          <w:p w14:paraId="501ED3B7" w14:textId="77777777" w:rsidR="00C6560C" w:rsidRPr="00C6560C" w:rsidRDefault="00C6560C" w:rsidP="00C6560C">
            <w:pPr>
              <w:jc w:val="center"/>
              <w:rPr>
                <w:i/>
                <w:szCs w:val="24"/>
              </w:rPr>
            </w:pPr>
            <w:r w:rsidRPr="00C6560C">
              <w:rPr>
                <w:i/>
                <w:szCs w:val="24"/>
              </w:rPr>
              <w:t>7,1</w:t>
            </w:r>
          </w:p>
        </w:tc>
        <w:tc>
          <w:tcPr>
            <w:tcW w:w="807" w:type="pct"/>
            <w:shd w:val="clear" w:color="auto" w:fill="auto"/>
            <w:vAlign w:val="center"/>
          </w:tcPr>
          <w:p w14:paraId="49ACF69C" w14:textId="77777777" w:rsidR="00C6560C" w:rsidRPr="00C6560C" w:rsidRDefault="00C6560C" w:rsidP="00C6560C">
            <w:pPr>
              <w:jc w:val="center"/>
              <w:rPr>
                <w:i/>
                <w:szCs w:val="24"/>
              </w:rPr>
            </w:pPr>
            <w:r w:rsidRPr="00C6560C">
              <w:rPr>
                <w:i/>
                <w:szCs w:val="24"/>
              </w:rPr>
              <w:t>6,4</w:t>
            </w:r>
          </w:p>
        </w:tc>
        <w:tc>
          <w:tcPr>
            <w:tcW w:w="778" w:type="pct"/>
            <w:shd w:val="clear" w:color="auto" w:fill="auto"/>
            <w:vAlign w:val="center"/>
          </w:tcPr>
          <w:p w14:paraId="0B7DA46E" w14:textId="77777777" w:rsidR="00C6560C" w:rsidRPr="00C6560C" w:rsidRDefault="00C6560C" w:rsidP="00C6560C">
            <w:pPr>
              <w:jc w:val="center"/>
              <w:rPr>
                <w:i/>
                <w:szCs w:val="24"/>
              </w:rPr>
            </w:pPr>
            <w:r w:rsidRPr="00C6560C">
              <w:rPr>
                <w:i/>
                <w:szCs w:val="24"/>
              </w:rPr>
              <w:t>SADM prognozė 6,2</w:t>
            </w:r>
          </w:p>
        </w:tc>
        <w:tc>
          <w:tcPr>
            <w:tcW w:w="758" w:type="pct"/>
            <w:shd w:val="clear" w:color="auto" w:fill="auto"/>
            <w:vAlign w:val="center"/>
          </w:tcPr>
          <w:p w14:paraId="6E19B6B2" w14:textId="77777777" w:rsidR="00C6560C" w:rsidRPr="00C6560C" w:rsidRDefault="00C6560C" w:rsidP="00C6560C">
            <w:pPr>
              <w:jc w:val="center"/>
              <w:rPr>
                <w:i/>
                <w:szCs w:val="24"/>
              </w:rPr>
            </w:pPr>
            <w:r w:rsidRPr="00C6560C">
              <w:rPr>
                <w:i/>
                <w:szCs w:val="24"/>
              </w:rPr>
              <w:t>SADM prognozė 5,9</w:t>
            </w:r>
          </w:p>
        </w:tc>
      </w:tr>
      <w:tr w:rsidR="00C6560C" w:rsidRPr="00C6560C" w14:paraId="33FE25F3" w14:textId="77777777" w:rsidTr="002624F5">
        <w:trPr>
          <w:trHeight w:val="435"/>
        </w:trPr>
        <w:tc>
          <w:tcPr>
            <w:tcW w:w="1476" w:type="pct"/>
            <w:vMerge w:val="restart"/>
            <w:shd w:val="clear" w:color="auto" w:fill="auto"/>
          </w:tcPr>
          <w:p w14:paraId="13265E67" w14:textId="77777777" w:rsidR="00C6560C" w:rsidRPr="00C6560C" w:rsidRDefault="00C6560C" w:rsidP="00C6560C">
            <w:pPr>
              <w:jc w:val="both"/>
              <w:rPr>
                <w:b/>
                <w:i/>
                <w:iCs/>
                <w:szCs w:val="24"/>
              </w:rPr>
            </w:pPr>
            <w:r w:rsidRPr="00C6560C">
              <w:rPr>
                <w:b/>
                <w:i/>
                <w:iCs/>
                <w:szCs w:val="24"/>
              </w:rPr>
              <w:t>Mokesčių pleištas (samdomų darbuotojų)</w:t>
            </w:r>
          </w:p>
        </w:tc>
        <w:tc>
          <w:tcPr>
            <w:tcW w:w="403" w:type="pct"/>
            <w:shd w:val="clear" w:color="auto" w:fill="B4C6E7"/>
            <w:vAlign w:val="center"/>
          </w:tcPr>
          <w:p w14:paraId="42004A64" w14:textId="77777777" w:rsidR="00C6560C" w:rsidRPr="00C6560C" w:rsidRDefault="00C6560C" w:rsidP="00C6560C">
            <w:pPr>
              <w:jc w:val="center"/>
              <w:rPr>
                <w:i/>
                <w:szCs w:val="24"/>
              </w:rPr>
            </w:pPr>
            <w:r w:rsidRPr="00C6560C">
              <w:rPr>
                <w:i/>
                <w:szCs w:val="24"/>
              </w:rPr>
              <w:t>Planas</w:t>
            </w:r>
          </w:p>
        </w:tc>
        <w:tc>
          <w:tcPr>
            <w:tcW w:w="778" w:type="pct"/>
            <w:shd w:val="clear" w:color="auto" w:fill="B4C6E7"/>
            <w:vAlign w:val="center"/>
          </w:tcPr>
          <w:p w14:paraId="2032C847" w14:textId="77777777" w:rsidR="00C6560C" w:rsidRPr="00C6560C" w:rsidRDefault="00C6560C" w:rsidP="00C6560C">
            <w:pPr>
              <w:jc w:val="center"/>
              <w:rPr>
                <w:i/>
                <w:szCs w:val="24"/>
              </w:rPr>
            </w:pPr>
            <w:r w:rsidRPr="00C6560C">
              <w:rPr>
                <w:i/>
                <w:szCs w:val="24"/>
              </w:rPr>
              <w:t>–</w:t>
            </w:r>
          </w:p>
        </w:tc>
        <w:tc>
          <w:tcPr>
            <w:tcW w:w="807" w:type="pct"/>
            <w:shd w:val="clear" w:color="auto" w:fill="B4C6E7"/>
            <w:vAlign w:val="center"/>
          </w:tcPr>
          <w:p w14:paraId="573A1F7D" w14:textId="77777777" w:rsidR="00C6560C" w:rsidRPr="00C6560C" w:rsidRDefault="00C6560C" w:rsidP="00C6560C">
            <w:pPr>
              <w:jc w:val="center"/>
              <w:rPr>
                <w:i/>
                <w:szCs w:val="24"/>
              </w:rPr>
            </w:pPr>
            <w:r w:rsidRPr="00C6560C">
              <w:rPr>
                <w:i/>
                <w:szCs w:val="24"/>
              </w:rPr>
              <w:t>0,5 VDU – 31,6 proc.</w:t>
            </w:r>
          </w:p>
          <w:p w14:paraId="6BD6D420" w14:textId="77777777" w:rsidR="00C6560C" w:rsidRPr="00C6560C" w:rsidRDefault="00C6560C" w:rsidP="00C6560C">
            <w:pPr>
              <w:jc w:val="center"/>
              <w:rPr>
                <w:i/>
                <w:szCs w:val="24"/>
              </w:rPr>
            </w:pPr>
            <w:r w:rsidRPr="00C6560C">
              <w:rPr>
                <w:i/>
                <w:szCs w:val="24"/>
              </w:rPr>
              <w:t>1 VDU – 37,5 proc.</w:t>
            </w:r>
          </w:p>
          <w:p w14:paraId="2B94C809" w14:textId="77777777" w:rsidR="00C6560C" w:rsidRPr="00C6560C" w:rsidRDefault="00C6560C" w:rsidP="00C6560C">
            <w:pPr>
              <w:jc w:val="center"/>
              <w:rPr>
                <w:i/>
                <w:szCs w:val="24"/>
              </w:rPr>
            </w:pPr>
            <w:r w:rsidRPr="00C6560C">
              <w:rPr>
                <w:i/>
                <w:szCs w:val="24"/>
              </w:rPr>
              <w:t>1,67 VDU – 39,8 proc.</w:t>
            </w:r>
          </w:p>
        </w:tc>
        <w:tc>
          <w:tcPr>
            <w:tcW w:w="778" w:type="pct"/>
            <w:shd w:val="clear" w:color="auto" w:fill="B4C6E7"/>
            <w:vAlign w:val="center"/>
          </w:tcPr>
          <w:p w14:paraId="05CAD737" w14:textId="77777777" w:rsidR="00C6560C" w:rsidRPr="00C6560C" w:rsidRDefault="00C6560C" w:rsidP="00C6560C">
            <w:pPr>
              <w:jc w:val="center"/>
              <w:rPr>
                <w:i/>
                <w:szCs w:val="24"/>
              </w:rPr>
            </w:pPr>
            <w:r w:rsidRPr="00C6560C">
              <w:rPr>
                <w:i/>
                <w:szCs w:val="24"/>
              </w:rPr>
              <w:t>0,5 VDU – 29,3 proc.</w:t>
            </w:r>
          </w:p>
          <w:p w14:paraId="51AF1991" w14:textId="77777777" w:rsidR="00C6560C" w:rsidRPr="00C6560C" w:rsidRDefault="00C6560C" w:rsidP="00C6560C">
            <w:pPr>
              <w:jc w:val="center"/>
              <w:rPr>
                <w:i/>
                <w:szCs w:val="24"/>
              </w:rPr>
            </w:pPr>
            <w:r w:rsidRPr="00C6560C">
              <w:rPr>
                <w:i/>
                <w:szCs w:val="24"/>
              </w:rPr>
              <w:t>1 VDU – 36,8 proc.</w:t>
            </w:r>
          </w:p>
          <w:p w14:paraId="4574BF8B" w14:textId="77777777" w:rsidR="00C6560C" w:rsidRPr="00C6560C" w:rsidRDefault="00C6560C" w:rsidP="00C6560C">
            <w:pPr>
              <w:jc w:val="center"/>
              <w:rPr>
                <w:i/>
                <w:szCs w:val="24"/>
              </w:rPr>
            </w:pPr>
            <w:r w:rsidRPr="00C6560C">
              <w:rPr>
                <w:i/>
                <w:szCs w:val="24"/>
              </w:rPr>
              <w:t>1,67 VDU – 39,8 proc.</w:t>
            </w:r>
          </w:p>
        </w:tc>
        <w:tc>
          <w:tcPr>
            <w:tcW w:w="758" w:type="pct"/>
            <w:shd w:val="clear" w:color="auto" w:fill="B4C6E7"/>
          </w:tcPr>
          <w:p w14:paraId="2AE5189B" w14:textId="77777777" w:rsidR="00C6560C" w:rsidRPr="00C6560C" w:rsidRDefault="00C6560C" w:rsidP="00C6560C">
            <w:pPr>
              <w:jc w:val="center"/>
              <w:rPr>
                <w:i/>
                <w:szCs w:val="24"/>
              </w:rPr>
            </w:pPr>
            <w:r w:rsidRPr="00C6560C">
              <w:rPr>
                <w:i/>
                <w:szCs w:val="24"/>
              </w:rPr>
              <w:t>0,5 VDU – 30,1 proc.</w:t>
            </w:r>
          </w:p>
          <w:p w14:paraId="31EDB55F" w14:textId="77777777" w:rsidR="00C6560C" w:rsidRPr="00C6560C" w:rsidRDefault="00C6560C" w:rsidP="00C6560C">
            <w:pPr>
              <w:jc w:val="center"/>
              <w:rPr>
                <w:i/>
                <w:szCs w:val="24"/>
              </w:rPr>
            </w:pPr>
            <w:r w:rsidRPr="00C6560C">
              <w:rPr>
                <w:i/>
                <w:szCs w:val="24"/>
              </w:rPr>
              <w:t>1 VDU – 37,2 proc.</w:t>
            </w:r>
          </w:p>
          <w:p w14:paraId="0753C6CC" w14:textId="77777777" w:rsidR="00C6560C" w:rsidRPr="00C6560C" w:rsidRDefault="00C6560C" w:rsidP="00C6560C">
            <w:pPr>
              <w:jc w:val="center"/>
              <w:rPr>
                <w:i/>
                <w:szCs w:val="24"/>
              </w:rPr>
            </w:pPr>
            <w:r w:rsidRPr="00C6560C">
              <w:rPr>
                <w:i/>
                <w:szCs w:val="24"/>
              </w:rPr>
              <w:t>1,67 VDU – 40 proc.</w:t>
            </w:r>
          </w:p>
        </w:tc>
      </w:tr>
      <w:tr w:rsidR="00C6560C" w:rsidRPr="00C6560C" w14:paraId="2540DEBF" w14:textId="77777777" w:rsidTr="002624F5">
        <w:trPr>
          <w:trHeight w:val="1007"/>
        </w:trPr>
        <w:tc>
          <w:tcPr>
            <w:tcW w:w="1476" w:type="pct"/>
            <w:vMerge/>
            <w:shd w:val="clear" w:color="auto" w:fill="auto"/>
          </w:tcPr>
          <w:p w14:paraId="3802AAB4" w14:textId="77777777" w:rsidR="00C6560C" w:rsidRPr="00C6560C" w:rsidRDefault="00C6560C" w:rsidP="00C6560C">
            <w:pPr>
              <w:jc w:val="both"/>
              <w:rPr>
                <w:b/>
                <w:i/>
                <w:iCs/>
                <w:szCs w:val="24"/>
              </w:rPr>
            </w:pPr>
          </w:p>
        </w:tc>
        <w:tc>
          <w:tcPr>
            <w:tcW w:w="403" w:type="pct"/>
            <w:shd w:val="clear" w:color="auto" w:fill="auto"/>
            <w:vAlign w:val="center"/>
          </w:tcPr>
          <w:p w14:paraId="595B838C" w14:textId="77777777" w:rsidR="00C6560C" w:rsidRPr="00C6560C" w:rsidRDefault="00C6560C" w:rsidP="00C6560C">
            <w:pPr>
              <w:jc w:val="center"/>
              <w:rPr>
                <w:i/>
                <w:szCs w:val="24"/>
              </w:rPr>
            </w:pPr>
            <w:r w:rsidRPr="00C6560C">
              <w:rPr>
                <w:i/>
                <w:szCs w:val="24"/>
              </w:rPr>
              <w:t>Faktas</w:t>
            </w:r>
          </w:p>
        </w:tc>
        <w:tc>
          <w:tcPr>
            <w:tcW w:w="778" w:type="pct"/>
            <w:shd w:val="clear" w:color="auto" w:fill="auto"/>
            <w:vAlign w:val="center"/>
          </w:tcPr>
          <w:p w14:paraId="26D268A1" w14:textId="77777777" w:rsidR="00C6560C" w:rsidRPr="00C6560C" w:rsidRDefault="00C6560C" w:rsidP="00C6560C">
            <w:pPr>
              <w:jc w:val="center"/>
              <w:rPr>
                <w:i/>
                <w:szCs w:val="24"/>
              </w:rPr>
            </w:pPr>
            <w:r w:rsidRPr="00C6560C">
              <w:rPr>
                <w:i/>
                <w:szCs w:val="24"/>
              </w:rPr>
              <w:t>0,5 VDU – 33,5 proc.</w:t>
            </w:r>
          </w:p>
          <w:p w14:paraId="7104A900" w14:textId="77777777" w:rsidR="00C6560C" w:rsidRPr="00C6560C" w:rsidRDefault="00C6560C" w:rsidP="00C6560C">
            <w:pPr>
              <w:jc w:val="center"/>
              <w:rPr>
                <w:i/>
                <w:szCs w:val="24"/>
              </w:rPr>
            </w:pPr>
            <w:r w:rsidRPr="00C6560C">
              <w:rPr>
                <w:i/>
                <w:szCs w:val="24"/>
              </w:rPr>
              <w:t>1 VDU – 40,6 proc.</w:t>
            </w:r>
          </w:p>
          <w:p w14:paraId="5AD44DE6" w14:textId="77777777" w:rsidR="00C6560C" w:rsidRPr="00C6560C" w:rsidRDefault="00C6560C" w:rsidP="00C6560C">
            <w:pPr>
              <w:jc w:val="center"/>
              <w:rPr>
                <w:i/>
                <w:szCs w:val="24"/>
              </w:rPr>
            </w:pPr>
            <w:r w:rsidRPr="00C6560C">
              <w:rPr>
                <w:i/>
                <w:szCs w:val="24"/>
              </w:rPr>
              <w:t>1,67 VDU – 42,1 proc.</w:t>
            </w:r>
          </w:p>
        </w:tc>
        <w:tc>
          <w:tcPr>
            <w:tcW w:w="807" w:type="pct"/>
            <w:shd w:val="clear" w:color="auto" w:fill="auto"/>
            <w:vAlign w:val="center"/>
          </w:tcPr>
          <w:p w14:paraId="1DBD55C9" w14:textId="77777777" w:rsidR="00C6560C" w:rsidRPr="00C6560C" w:rsidRDefault="00C6560C" w:rsidP="00C6560C">
            <w:pPr>
              <w:jc w:val="center"/>
              <w:rPr>
                <w:i/>
                <w:szCs w:val="24"/>
              </w:rPr>
            </w:pPr>
            <w:r w:rsidRPr="00C6560C">
              <w:rPr>
                <w:i/>
                <w:szCs w:val="24"/>
              </w:rPr>
              <w:t>0,5 VDU – 31,8 proc.</w:t>
            </w:r>
          </w:p>
          <w:p w14:paraId="0390C2B6" w14:textId="77777777" w:rsidR="00C6560C" w:rsidRPr="00C6560C" w:rsidRDefault="00C6560C" w:rsidP="00C6560C">
            <w:pPr>
              <w:jc w:val="center"/>
              <w:rPr>
                <w:i/>
                <w:szCs w:val="24"/>
              </w:rPr>
            </w:pPr>
            <w:r w:rsidRPr="00C6560C">
              <w:rPr>
                <w:i/>
                <w:szCs w:val="24"/>
              </w:rPr>
              <w:t>1 VDU – 37,7 proc.</w:t>
            </w:r>
          </w:p>
          <w:p w14:paraId="638A668E" w14:textId="77777777" w:rsidR="00C6560C" w:rsidRPr="00C6560C" w:rsidRDefault="00C6560C" w:rsidP="00C6560C">
            <w:pPr>
              <w:jc w:val="center"/>
              <w:rPr>
                <w:i/>
                <w:szCs w:val="24"/>
              </w:rPr>
            </w:pPr>
            <w:r w:rsidRPr="00C6560C">
              <w:rPr>
                <w:i/>
                <w:szCs w:val="24"/>
              </w:rPr>
              <w:t>1,67 VDU – 40 proc.</w:t>
            </w:r>
          </w:p>
        </w:tc>
        <w:tc>
          <w:tcPr>
            <w:tcW w:w="778" w:type="pct"/>
            <w:shd w:val="clear" w:color="auto" w:fill="auto"/>
            <w:vAlign w:val="center"/>
          </w:tcPr>
          <w:p w14:paraId="4F8D3665" w14:textId="77777777" w:rsidR="00C6560C" w:rsidRPr="00C6560C" w:rsidRDefault="00C6560C" w:rsidP="00C6560C">
            <w:pPr>
              <w:jc w:val="center"/>
              <w:rPr>
                <w:i/>
                <w:szCs w:val="24"/>
              </w:rPr>
            </w:pPr>
            <w:r w:rsidRPr="00C6560C">
              <w:rPr>
                <w:i/>
                <w:szCs w:val="24"/>
              </w:rPr>
              <w:t>0,5 VDU – 30,0 proc.</w:t>
            </w:r>
          </w:p>
          <w:p w14:paraId="776C8E3D" w14:textId="77777777" w:rsidR="00C6560C" w:rsidRPr="00C6560C" w:rsidRDefault="00C6560C" w:rsidP="00C6560C">
            <w:pPr>
              <w:jc w:val="center"/>
              <w:rPr>
                <w:i/>
                <w:szCs w:val="24"/>
              </w:rPr>
            </w:pPr>
            <w:r w:rsidRPr="00C6560C">
              <w:rPr>
                <w:i/>
                <w:szCs w:val="24"/>
              </w:rPr>
              <w:t>1 VDU – 37,2 proc.</w:t>
            </w:r>
          </w:p>
          <w:p w14:paraId="1A99BA4A" w14:textId="77777777" w:rsidR="00C6560C" w:rsidRPr="00C6560C" w:rsidRDefault="00C6560C" w:rsidP="00C6560C">
            <w:pPr>
              <w:jc w:val="center"/>
              <w:rPr>
                <w:i/>
                <w:szCs w:val="24"/>
              </w:rPr>
            </w:pPr>
            <w:r w:rsidRPr="00C6560C">
              <w:rPr>
                <w:i/>
                <w:szCs w:val="24"/>
              </w:rPr>
              <w:t>1,67 VDU – 40 proc.</w:t>
            </w:r>
          </w:p>
        </w:tc>
        <w:tc>
          <w:tcPr>
            <w:tcW w:w="758" w:type="pct"/>
            <w:shd w:val="clear" w:color="auto" w:fill="auto"/>
            <w:vAlign w:val="center"/>
          </w:tcPr>
          <w:p w14:paraId="168C73BD" w14:textId="77777777" w:rsidR="00C6560C" w:rsidRPr="00C6560C" w:rsidRDefault="00C6560C" w:rsidP="00C6560C">
            <w:pPr>
              <w:jc w:val="center"/>
              <w:rPr>
                <w:i/>
                <w:szCs w:val="24"/>
              </w:rPr>
            </w:pPr>
            <w:r w:rsidRPr="00C6560C">
              <w:rPr>
                <w:i/>
                <w:szCs w:val="24"/>
              </w:rPr>
              <w:t>–</w:t>
            </w:r>
          </w:p>
        </w:tc>
      </w:tr>
    </w:tbl>
    <w:p w14:paraId="44AE0AFF" w14:textId="77777777" w:rsidR="00C6560C" w:rsidRPr="00C6560C" w:rsidRDefault="00C6560C" w:rsidP="00C6560C">
      <w:pPr>
        <w:tabs>
          <w:tab w:val="left" w:pos="1741"/>
        </w:tabs>
        <w:jc w:val="both"/>
        <w:rPr>
          <w:b/>
          <w:i/>
          <w:szCs w:val="24"/>
          <w:u w:val="single"/>
        </w:rPr>
      </w:pPr>
    </w:p>
    <w:p w14:paraId="63E8A8A9" w14:textId="77777777" w:rsidR="00C6560C" w:rsidRPr="00C6560C" w:rsidRDefault="00C6560C" w:rsidP="00C6560C">
      <w:pPr>
        <w:tabs>
          <w:tab w:val="left" w:pos="1741"/>
        </w:tabs>
        <w:jc w:val="both"/>
        <w:rPr>
          <w:b/>
          <w:i/>
          <w:szCs w:val="24"/>
        </w:rPr>
      </w:pPr>
      <w:r w:rsidRPr="00C6560C">
        <w:rPr>
          <w:b/>
          <w:i/>
          <w:szCs w:val="24"/>
          <w:u w:val="single"/>
        </w:rPr>
        <w:t>3 rekomendacija.</w:t>
      </w:r>
      <w:r w:rsidRPr="00C6560C">
        <w:rPr>
          <w:b/>
          <w:i/>
          <w:szCs w:val="24"/>
        </w:rPr>
        <w:t xml:space="preserve"> Palaikyti įmonių, visų pirma mažųjų ir vidutinių įmonių ir į eksportą orientuotų sektorių, likvidumą. Siekiant paremti ekonomikos atsigavimą, paankstinti brandžių viešųjų investicinių projektų įgyvendinimą ir skatinti privačiąsias investicijas. Investicijas sutelkti į žaliąją ir skaitmeninę pertvarką, visų pirma į labai didelio pajėgumo plačiajuosčio ryšio aprėptį ir </w:t>
      </w:r>
      <w:proofErr w:type="spellStart"/>
      <w:r w:rsidRPr="00C6560C">
        <w:rPr>
          <w:b/>
          <w:i/>
          <w:szCs w:val="24"/>
        </w:rPr>
        <w:t>skverbtį</w:t>
      </w:r>
      <w:proofErr w:type="spellEnd"/>
      <w:r w:rsidRPr="00C6560C">
        <w:rPr>
          <w:b/>
          <w:i/>
          <w:szCs w:val="24"/>
        </w:rPr>
        <w:t>, švarią ir efektyvią energijos gamybą bei vartojimą ir darnųjį transportą. Skatinti technologines inovacijas mažosiose ir vidutinėse įmonėse</w:t>
      </w:r>
    </w:p>
    <w:p w14:paraId="6F9B34EE" w14:textId="77777777" w:rsidR="00C6560C" w:rsidRPr="00C6560C" w:rsidRDefault="00C6560C" w:rsidP="00C6560C">
      <w:pPr>
        <w:tabs>
          <w:tab w:val="left" w:pos="1741"/>
        </w:tabs>
        <w:jc w:val="both"/>
        <w:rPr>
          <w:b/>
          <w:i/>
          <w:szCs w:val="24"/>
        </w:rPr>
      </w:pPr>
    </w:p>
    <w:p w14:paraId="304A90FD" w14:textId="77777777" w:rsidR="00C6560C" w:rsidRPr="00C6560C" w:rsidRDefault="00C6560C" w:rsidP="00C6560C">
      <w:pPr>
        <w:jc w:val="both"/>
        <w:rPr>
          <w:szCs w:val="24"/>
        </w:rPr>
      </w:pPr>
      <w:r w:rsidRPr="00C6560C">
        <w:rPr>
          <w:b/>
          <w:szCs w:val="24"/>
        </w:rPr>
        <w:t>Atsakingos institucijos</w:t>
      </w:r>
      <w:r w:rsidRPr="00C6560C">
        <w:rPr>
          <w:szCs w:val="24"/>
        </w:rPr>
        <w:t>: Lietuvos Respublikos žemės ūkio ministerija, Lietuvos Respublikos ekonomikos ir inovacijų ministerija, Lietuvos Respublikos finansų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C6560C" w:rsidRPr="00C6560C" w14:paraId="57FF5EFD" w14:textId="77777777" w:rsidTr="002624F5">
        <w:trPr>
          <w:trHeight w:val="23"/>
          <w:tblHeader/>
        </w:trPr>
        <w:tc>
          <w:tcPr>
            <w:tcW w:w="928" w:type="pct"/>
            <w:shd w:val="clear" w:color="auto" w:fill="1F4E79"/>
            <w:vAlign w:val="center"/>
          </w:tcPr>
          <w:p w14:paraId="37A8FD92" w14:textId="77777777" w:rsidR="00C6560C" w:rsidRPr="00C6560C" w:rsidRDefault="00C6560C" w:rsidP="00C6560C">
            <w:pPr>
              <w:jc w:val="center"/>
              <w:rPr>
                <w:b/>
                <w:color w:val="FFFFFF"/>
                <w:szCs w:val="24"/>
              </w:rPr>
            </w:pPr>
            <w:r w:rsidRPr="00C6560C">
              <w:rPr>
                <w:b/>
                <w:color w:val="FFFFFF"/>
                <w:szCs w:val="24"/>
              </w:rPr>
              <w:t>Tikslas</w:t>
            </w:r>
          </w:p>
        </w:tc>
        <w:tc>
          <w:tcPr>
            <w:tcW w:w="4072" w:type="pct"/>
            <w:shd w:val="clear" w:color="auto" w:fill="B4C6E7"/>
            <w:vAlign w:val="center"/>
          </w:tcPr>
          <w:p w14:paraId="6914A4B3" w14:textId="77777777" w:rsidR="00C6560C" w:rsidRPr="00C6560C" w:rsidRDefault="00C6560C" w:rsidP="00C6560C">
            <w:pPr>
              <w:jc w:val="center"/>
              <w:rPr>
                <w:b/>
                <w:szCs w:val="24"/>
              </w:rPr>
            </w:pPr>
            <w:r w:rsidRPr="00C6560C">
              <w:rPr>
                <w:b/>
                <w:szCs w:val="24"/>
              </w:rPr>
              <w:t>Poveikis Tarybos rekomendacijos įgyvendinimui</w:t>
            </w:r>
          </w:p>
        </w:tc>
      </w:tr>
      <w:tr w:rsidR="00C6560C" w:rsidRPr="00C6560C" w14:paraId="0C096792" w14:textId="77777777" w:rsidTr="002624F5">
        <w:trPr>
          <w:trHeight w:val="23"/>
        </w:trPr>
        <w:tc>
          <w:tcPr>
            <w:tcW w:w="928" w:type="pct"/>
          </w:tcPr>
          <w:p w14:paraId="7AEBE254" w14:textId="77777777" w:rsidR="00C6560C" w:rsidRPr="00C6560C" w:rsidRDefault="00C6560C" w:rsidP="00C6560C">
            <w:pPr>
              <w:rPr>
                <w:b/>
                <w:i/>
                <w:szCs w:val="24"/>
              </w:rPr>
            </w:pPr>
            <w:r w:rsidRPr="00C6560C">
              <w:rPr>
                <w:rFonts w:eastAsia="Calibri"/>
                <w:b/>
                <w:szCs w:val="24"/>
                <w:u w:val="single"/>
              </w:rPr>
              <w:t>7 tikslas.</w:t>
            </w:r>
            <w:r w:rsidRPr="00C6560C">
              <w:rPr>
                <w:rFonts w:eastAsia="Calibri"/>
                <w:b/>
                <w:szCs w:val="24"/>
              </w:rPr>
              <w:t xml:space="preserve"> Palaikyti įmonių, visų pirma mažųjų ir vidutinių įmonių ir į eksportą orientuotų sektorių, likvidumą</w:t>
            </w:r>
          </w:p>
        </w:tc>
        <w:tc>
          <w:tcPr>
            <w:tcW w:w="4072" w:type="pct"/>
          </w:tcPr>
          <w:p w14:paraId="4656A93A" w14:textId="77777777" w:rsidR="00C6560C" w:rsidRPr="00C6560C" w:rsidRDefault="00C6560C" w:rsidP="00C6560C">
            <w:pPr>
              <w:jc w:val="both"/>
              <w:rPr>
                <w:szCs w:val="24"/>
              </w:rPr>
            </w:pPr>
            <w:r w:rsidRPr="00C6560C">
              <w:rPr>
                <w:b/>
                <w:bCs/>
                <w:szCs w:val="24"/>
              </w:rPr>
              <w:t>Teikiamos lengvatinės paskolos, užtikrinančios ūkio subjektų, veikiančių žemės ūkio ir žuvininkystės produktų gamybos, perdirbimo ir prekybos srityse, likvidumą.</w:t>
            </w:r>
            <w:r w:rsidRPr="00C6560C">
              <w:rPr>
                <w:szCs w:val="24"/>
              </w:rPr>
              <w:t xml:space="preserve">  Siekiama, kad paskolas gautų:</w:t>
            </w:r>
          </w:p>
          <w:p w14:paraId="05A6E187" w14:textId="77777777" w:rsidR="00C6560C" w:rsidRPr="00C6560C" w:rsidRDefault="00C6560C" w:rsidP="00C6560C">
            <w:pPr>
              <w:numPr>
                <w:ilvl w:val="0"/>
                <w:numId w:val="9"/>
              </w:numPr>
              <w:ind w:left="246" w:hanging="246"/>
              <w:jc w:val="both"/>
              <w:rPr>
                <w:szCs w:val="24"/>
              </w:rPr>
            </w:pPr>
            <w:r w:rsidRPr="00C6560C">
              <w:rPr>
                <w:szCs w:val="24"/>
              </w:rPr>
              <w:t xml:space="preserve">kaimo vietovėje veikiantys ūkio subjektai, užsiimantys pirmine gamyba, savo pagamintų produktų perdirbimu ir realizavimu; </w:t>
            </w:r>
          </w:p>
          <w:p w14:paraId="6E26A825" w14:textId="77777777" w:rsidR="00C6560C" w:rsidRPr="00C6560C" w:rsidRDefault="00C6560C" w:rsidP="00C6560C">
            <w:pPr>
              <w:numPr>
                <w:ilvl w:val="0"/>
                <w:numId w:val="9"/>
              </w:numPr>
              <w:ind w:left="246" w:hanging="246"/>
              <w:jc w:val="both"/>
              <w:rPr>
                <w:szCs w:val="24"/>
              </w:rPr>
            </w:pPr>
            <w:r w:rsidRPr="00C6560C">
              <w:rPr>
                <w:szCs w:val="24"/>
              </w:rPr>
              <w:t>ūkio subjektai, užsiimantys akvakultūros produktų gamyba, savo pagamintų produktų perdirbimu ir realizavimu;</w:t>
            </w:r>
          </w:p>
          <w:p w14:paraId="5C0D84CE" w14:textId="77777777" w:rsidR="00C6560C" w:rsidRPr="00C6560C" w:rsidRDefault="00C6560C" w:rsidP="00C6560C">
            <w:pPr>
              <w:numPr>
                <w:ilvl w:val="0"/>
                <w:numId w:val="9"/>
              </w:numPr>
              <w:ind w:left="246" w:hanging="246"/>
              <w:jc w:val="both"/>
              <w:rPr>
                <w:szCs w:val="24"/>
              </w:rPr>
            </w:pPr>
            <w:r w:rsidRPr="00C6560C">
              <w:rPr>
                <w:szCs w:val="24"/>
              </w:rPr>
              <w:t>nustatytus reikalavimus atitinkančios kooperatinės bendrovės, užsiimančioms žemės ūkio produktų perdirbimu ir (ar) prekyba; nepatyrusios sunkumų (2019-12-31).</w:t>
            </w:r>
          </w:p>
          <w:p w14:paraId="0DACCC4C" w14:textId="77777777" w:rsidR="00C6560C" w:rsidRPr="00C6560C" w:rsidRDefault="00C6560C" w:rsidP="00C6560C">
            <w:pPr>
              <w:jc w:val="both"/>
              <w:rPr>
                <w:szCs w:val="24"/>
              </w:rPr>
            </w:pPr>
            <w:r w:rsidRPr="00C6560C">
              <w:rPr>
                <w:szCs w:val="24"/>
              </w:rPr>
              <w:t>Paskolos teikiamos apyvartiniam kapitalui finansuoti vadovaujantis žemės ūkio ministro 2020 m. liepos 16 d. įsakymu Nr. 3D-539 „Dėl s</w:t>
            </w:r>
            <w:r w:rsidRPr="00C6560C">
              <w:rPr>
                <w:spacing w:val="-1"/>
                <w:szCs w:val="24"/>
              </w:rPr>
              <w:t>katinamosios finansinės priemonės ,,Paskolos ūkio subjektų, veikiančių žemės ūkio ir žuvininkystės produktų gamybos, perdirbimo ir prekybos srityse, likvidumui užtikrinti COVID-19 ligos protrūkio laikotarpiu</w:t>
            </w:r>
            <w:r w:rsidRPr="00C6560C">
              <w:rPr>
                <w:szCs w:val="24"/>
              </w:rPr>
              <w:t>“ schemos patvirtinimo“.  2020 m. gruodžio 31 d. duomenimis  672 paskolų gavėjams suteikta  88,5 mln. Eurų paskolų.</w:t>
            </w:r>
          </w:p>
          <w:p w14:paraId="392643F2" w14:textId="77777777" w:rsidR="00C6560C" w:rsidRPr="00C6560C" w:rsidRDefault="00C6560C" w:rsidP="00C6560C">
            <w:pPr>
              <w:tabs>
                <w:tab w:val="left" w:pos="458"/>
              </w:tabs>
              <w:jc w:val="both"/>
              <w:rPr>
                <w:szCs w:val="24"/>
              </w:rPr>
            </w:pPr>
            <w:r w:rsidRPr="00C6560C">
              <w:rPr>
                <w:b/>
                <w:szCs w:val="24"/>
              </w:rPr>
              <w:t xml:space="preserve">Subsidijos </w:t>
            </w:r>
            <w:proofErr w:type="spellStart"/>
            <w:r w:rsidRPr="00C6560C">
              <w:rPr>
                <w:b/>
                <w:szCs w:val="24"/>
              </w:rPr>
              <w:t>mikroįmonėms</w:t>
            </w:r>
            <w:proofErr w:type="spellEnd"/>
            <w:r w:rsidRPr="00C6560C">
              <w:rPr>
                <w:szCs w:val="24"/>
              </w:rPr>
              <w:t xml:space="preserve"> buvo patvirtintos 2020 m. gegužės 11 d. Kvietimai teikti paraiškas išsiųsti 41,6 tūkst. </w:t>
            </w:r>
            <w:proofErr w:type="spellStart"/>
            <w:r w:rsidRPr="00C6560C">
              <w:rPr>
                <w:szCs w:val="24"/>
              </w:rPr>
              <w:t>mikro</w:t>
            </w:r>
            <w:proofErr w:type="spellEnd"/>
            <w:r w:rsidRPr="00C6560C">
              <w:rPr>
                <w:szCs w:val="24"/>
              </w:rPr>
              <w:t xml:space="preserve"> įmonių, kuriose dirba nuo 1 iki 9 darbuotojų ir kurias paveikė COVID-19 pandemija. Subsidijuota beveik 37 tūkst. paraiškų, kurių vertė –  99 mln. eurų. Mokėjimai atlikti per 1–2 darbo dienas</w:t>
            </w:r>
          </w:p>
        </w:tc>
      </w:tr>
    </w:tbl>
    <w:p w14:paraId="5FD6F88B" w14:textId="77777777" w:rsidR="00C6560C" w:rsidRPr="00C6560C" w:rsidRDefault="00C6560C" w:rsidP="00C6560C">
      <w:pPr>
        <w:tabs>
          <w:tab w:val="left" w:pos="1741"/>
        </w:tabs>
        <w:rPr>
          <w:szCs w:val="24"/>
        </w:rPr>
      </w:pPr>
    </w:p>
    <w:p w14:paraId="5509E8A7" w14:textId="77777777" w:rsidR="00C6560C" w:rsidRPr="00C6560C" w:rsidRDefault="00C6560C" w:rsidP="00C6560C">
      <w:pPr>
        <w:jc w:val="both"/>
        <w:rPr>
          <w:szCs w:val="24"/>
        </w:rPr>
      </w:pPr>
      <w:r w:rsidRPr="00C6560C">
        <w:rPr>
          <w:b/>
          <w:szCs w:val="24"/>
        </w:rPr>
        <w:t>Atsakingos institucijos</w:t>
      </w:r>
      <w:r w:rsidRPr="00C6560C">
        <w:rPr>
          <w:szCs w:val="24"/>
        </w:rPr>
        <w:t>: Lietuvos Respublikos finansų ministerija, Lietuvos Respublikos ekonomikos ir inovacijų ministerija, Lietuvos Respublikos Vyriausybės kanceliarija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2532"/>
      </w:tblGrid>
      <w:tr w:rsidR="00C6560C" w:rsidRPr="00C6560C" w14:paraId="09BAC83A" w14:textId="77777777" w:rsidTr="002624F5">
        <w:trPr>
          <w:trHeight w:val="23"/>
          <w:tblHeader/>
        </w:trPr>
        <w:tc>
          <w:tcPr>
            <w:tcW w:w="928" w:type="pct"/>
            <w:shd w:val="clear" w:color="auto" w:fill="1F4E79"/>
            <w:vAlign w:val="center"/>
          </w:tcPr>
          <w:p w14:paraId="782F27AE" w14:textId="77777777" w:rsidR="00C6560C" w:rsidRPr="00C6560C" w:rsidRDefault="00C6560C" w:rsidP="00C6560C">
            <w:pPr>
              <w:jc w:val="center"/>
              <w:rPr>
                <w:b/>
                <w:color w:val="FFFFFF"/>
                <w:szCs w:val="24"/>
              </w:rPr>
            </w:pPr>
            <w:r w:rsidRPr="00C6560C">
              <w:rPr>
                <w:b/>
                <w:color w:val="FFFFFF"/>
                <w:szCs w:val="24"/>
              </w:rPr>
              <w:t>Tikslas</w:t>
            </w:r>
          </w:p>
        </w:tc>
        <w:tc>
          <w:tcPr>
            <w:tcW w:w="4072" w:type="pct"/>
            <w:shd w:val="clear" w:color="auto" w:fill="B4C6E7"/>
            <w:vAlign w:val="center"/>
          </w:tcPr>
          <w:p w14:paraId="44123652" w14:textId="77777777" w:rsidR="00C6560C" w:rsidRPr="00C6560C" w:rsidRDefault="00C6560C" w:rsidP="00C6560C">
            <w:pPr>
              <w:jc w:val="center"/>
              <w:rPr>
                <w:b/>
                <w:szCs w:val="24"/>
              </w:rPr>
            </w:pPr>
            <w:r w:rsidRPr="00C6560C">
              <w:rPr>
                <w:b/>
                <w:szCs w:val="24"/>
              </w:rPr>
              <w:t>Poveikis Tarybos rekomendacijos įgyvendinimui</w:t>
            </w:r>
          </w:p>
        </w:tc>
      </w:tr>
      <w:tr w:rsidR="00C6560C" w:rsidRPr="00C6560C" w14:paraId="199E329D" w14:textId="77777777" w:rsidTr="002624F5">
        <w:trPr>
          <w:trHeight w:val="23"/>
        </w:trPr>
        <w:tc>
          <w:tcPr>
            <w:tcW w:w="928" w:type="pct"/>
          </w:tcPr>
          <w:p w14:paraId="5DA003C7" w14:textId="77777777" w:rsidR="00C6560C" w:rsidRPr="00C6560C" w:rsidRDefault="00C6560C" w:rsidP="00C6560C">
            <w:pPr>
              <w:rPr>
                <w:b/>
                <w:i/>
                <w:szCs w:val="24"/>
              </w:rPr>
            </w:pPr>
            <w:r w:rsidRPr="00C6560C">
              <w:rPr>
                <w:b/>
                <w:szCs w:val="24"/>
                <w:u w:val="single"/>
              </w:rPr>
              <w:t>8 tikslas.</w:t>
            </w:r>
            <w:r w:rsidRPr="00C6560C">
              <w:rPr>
                <w:b/>
                <w:szCs w:val="24"/>
              </w:rPr>
              <w:t xml:space="preserve"> Siekiant paremti ekonomikos atsigavimą, paankstinti brandžių viešųjų investicinių projektų </w:t>
            </w:r>
            <w:r w:rsidRPr="00C6560C">
              <w:rPr>
                <w:b/>
                <w:szCs w:val="24"/>
              </w:rPr>
              <w:lastRenderedPageBreak/>
              <w:t>įgyvendinimą ir skatinti privačiąsias investicijas</w:t>
            </w:r>
          </w:p>
        </w:tc>
        <w:tc>
          <w:tcPr>
            <w:tcW w:w="4072" w:type="pct"/>
          </w:tcPr>
          <w:p w14:paraId="5EBDD7A9" w14:textId="77777777" w:rsidR="00C6560C" w:rsidRPr="00C6560C" w:rsidRDefault="00C6560C" w:rsidP="00C6560C">
            <w:pPr>
              <w:jc w:val="both"/>
              <w:rPr>
                <w:szCs w:val="24"/>
              </w:rPr>
            </w:pPr>
            <w:r w:rsidRPr="00C6560C">
              <w:rPr>
                <w:b/>
                <w:bCs/>
                <w:iCs/>
                <w:szCs w:val="24"/>
              </w:rPr>
              <w:lastRenderedPageBreak/>
              <w:t xml:space="preserve">Peržiūrėti valstybės investicijų planavimo procesus, nustatyti investicinių projektų atrankos, finansavimo ir valdymo principus, taikomus visiems finansavimo šaltiniams. </w:t>
            </w:r>
            <w:r w:rsidRPr="00C6560C">
              <w:rPr>
                <w:szCs w:val="24"/>
              </w:rPr>
              <w:t>Parengta nauja valstybės investicijų valdymo tvarka, integruojanti visus finansavimo šaltinius, valstybės investicijų planavimas susietas su valstybės strateginio planavimo procesais. Seimas 2020 m. birželio 25 d. priėmė Strateginio valdymo įstatymą ir jo lydimuosius teisės aktus. Strateginio valdymo įstatymo įgyvendinamasis teisės aktas – Strateginio valdymo metodika – pateikta institucijoms išvadoms gauti, planuojama, kad ji bus patvirtinta iki 2021 m. balandžio mėn.</w:t>
            </w:r>
          </w:p>
          <w:p w14:paraId="34075D97" w14:textId="77777777" w:rsidR="00C6560C" w:rsidRPr="00C6560C" w:rsidRDefault="00C6560C" w:rsidP="00C6560C">
            <w:pPr>
              <w:ind w:left="29"/>
              <w:jc w:val="both"/>
              <w:rPr>
                <w:szCs w:val="24"/>
              </w:rPr>
            </w:pPr>
            <w:r w:rsidRPr="00C6560C">
              <w:rPr>
                <w:b/>
                <w:szCs w:val="24"/>
              </w:rPr>
              <w:lastRenderedPageBreak/>
              <w:t xml:space="preserve">Laisvųjų ekonominių zonų (LEZ), pramonės parkų ir kitose pramoninėse teritorijose esančių sklypų plėtra  (infrastruktūra, įskaitant vandens tiekimo ir nuotekų valymo infrastruktūrą). </w:t>
            </w:r>
            <w:r w:rsidRPr="00C6560C">
              <w:rPr>
                <w:bCs/>
                <w:szCs w:val="24"/>
              </w:rPr>
              <w:t>R</w:t>
            </w:r>
            <w:r w:rsidRPr="00C6560C">
              <w:rPr>
                <w:szCs w:val="24"/>
              </w:rPr>
              <w:t xml:space="preserve">engiamos teisės aktų pataisos, leisiančios įgyvendinti  teritorijų, sklypų ir pastatų plėtros investicines priemones. </w:t>
            </w:r>
          </w:p>
        </w:tc>
      </w:tr>
    </w:tbl>
    <w:p w14:paraId="650872D2" w14:textId="77777777" w:rsidR="00C6560C" w:rsidRPr="00C6560C" w:rsidRDefault="00C6560C" w:rsidP="00C6560C">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1240"/>
        <w:gridCol w:w="1419"/>
        <w:gridCol w:w="1687"/>
        <w:gridCol w:w="1687"/>
        <w:gridCol w:w="1711"/>
      </w:tblGrid>
      <w:tr w:rsidR="00C6560C" w:rsidRPr="00C6560C" w14:paraId="77D6DD76" w14:textId="77777777" w:rsidTr="002624F5">
        <w:trPr>
          <w:trHeight w:val="146"/>
        </w:trPr>
        <w:tc>
          <w:tcPr>
            <w:tcW w:w="2484" w:type="pct"/>
            <w:shd w:val="clear" w:color="auto" w:fill="1F4E79"/>
          </w:tcPr>
          <w:p w14:paraId="1029CE90" w14:textId="77777777" w:rsidR="00C6560C" w:rsidRPr="00C6560C" w:rsidRDefault="00C6560C" w:rsidP="00C6560C">
            <w:pPr>
              <w:tabs>
                <w:tab w:val="left" w:pos="1741"/>
              </w:tabs>
              <w:rPr>
                <w:b/>
                <w:i/>
                <w:color w:val="FFFFFF"/>
                <w:szCs w:val="24"/>
              </w:rPr>
            </w:pPr>
            <w:r w:rsidRPr="00C6560C">
              <w:rPr>
                <w:b/>
                <w:i/>
                <w:color w:val="FFFFFF"/>
                <w:szCs w:val="24"/>
              </w:rPr>
              <w:t>Rodikliai</w:t>
            </w:r>
          </w:p>
        </w:tc>
        <w:tc>
          <w:tcPr>
            <w:tcW w:w="403" w:type="pct"/>
            <w:shd w:val="clear" w:color="auto" w:fill="1F4E79"/>
            <w:vAlign w:val="center"/>
          </w:tcPr>
          <w:p w14:paraId="2EE62FD9" w14:textId="77777777" w:rsidR="00C6560C" w:rsidRPr="00C6560C" w:rsidRDefault="00C6560C" w:rsidP="00C6560C">
            <w:pPr>
              <w:tabs>
                <w:tab w:val="left" w:pos="1741"/>
              </w:tabs>
              <w:jc w:val="center"/>
              <w:rPr>
                <w:b/>
                <w:i/>
                <w:color w:val="FFFFFF"/>
                <w:szCs w:val="24"/>
              </w:rPr>
            </w:pPr>
          </w:p>
        </w:tc>
        <w:tc>
          <w:tcPr>
            <w:tcW w:w="461" w:type="pct"/>
            <w:shd w:val="clear" w:color="auto" w:fill="1F4E79"/>
            <w:vAlign w:val="center"/>
          </w:tcPr>
          <w:p w14:paraId="4FC660E3" w14:textId="77777777" w:rsidR="00C6560C" w:rsidRPr="00C6560C" w:rsidRDefault="00C6560C" w:rsidP="00C6560C">
            <w:pPr>
              <w:tabs>
                <w:tab w:val="left" w:pos="1741"/>
              </w:tabs>
              <w:jc w:val="center"/>
              <w:rPr>
                <w:b/>
                <w:i/>
                <w:color w:val="FFFFFF"/>
                <w:szCs w:val="24"/>
              </w:rPr>
            </w:pPr>
            <w:r w:rsidRPr="00C6560C">
              <w:rPr>
                <w:b/>
                <w:i/>
                <w:color w:val="FFFFFF"/>
                <w:szCs w:val="24"/>
              </w:rPr>
              <w:t>2018</w:t>
            </w:r>
          </w:p>
        </w:tc>
        <w:tc>
          <w:tcPr>
            <w:tcW w:w="548" w:type="pct"/>
            <w:shd w:val="clear" w:color="auto" w:fill="1F4E79"/>
            <w:vAlign w:val="center"/>
          </w:tcPr>
          <w:p w14:paraId="087FC221" w14:textId="77777777" w:rsidR="00C6560C" w:rsidRPr="00C6560C" w:rsidRDefault="00C6560C" w:rsidP="00C6560C">
            <w:pPr>
              <w:tabs>
                <w:tab w:val="left" w:pos="1741"/>
              </w:tabs>
              <w:jc w:val="center"/>
              <w:rPr>
                <w:b/>
                <w:i/>
                <w:color w:val="FFFFFF"/>
                <w:szCs w:val="24"/>
              </w:rPr>
            </w:pPr>
            <w:r w:rsidRPr="00C6560C">
              <w:rPr>
                <w:b/>
                <w:i/>
                <w:color w:val="FFFFFF"/>
                <w:szCs w:val="24"/>
              </w:rPr>
              <w:t>2019</w:t>
            </w:r>
          </w:p>
        </w:tc>
        <w:tc>
          <w:tcPr>
            <w:tcW w:w="548" w:type="pct"/>
            <w:shd w:val="clear" w:color="auto" w:fill="1F4E79"/>
            <w:vAlign w:val="center"/>
          </w:tcPr>
          <w:p w14:paraId="2847216A" w14:textId="77777777" w:rsidR="00C6560C" w:rsidRPr="00C6560C" w:rsidRDefault="00C6560C" w:rsidP="00C6560C">
            <w:pPr>
              <w:tabs>
                <w:tab w:val="left" w:pos="1741"/>
              </w:tabs>
              <w:jc w:val="center"/>
              <w:rPr>
                <w:b/>
                <w:i/>
                <w:color w:val="FFFFFF"/>
                <w:szCs w:val="24"/>
              </w:rPr>
            </w:pPr>
            <w:r w:rsidRPr="00C6560C">
              <w:rPr>
                <w:b/>
                <w:i/>
                <w:color w:val="FFFFFF"/>
                <w:szCs w:val="24"/>
              </w:rPr>
              <w:t>2020</w:t>
            </w:r>
          </w:p>
        </w:tc>
        <w:tc>
          <w:tcPr>
            <w:tcW w:w="556" w:type="pct"/>
            <w:shd w:val="clear" w:color="auto" w:fill="1F4E79"/>
            <w:vAlign w:val="center"/>
          </w:tcPr>
          <w:p w14:paraId="4BD9A68A" w14:textId="77777777" w:rsidR="00C6560C" w:rsidRPr="00C6560C" w:rsidRDefault="00C6560C" w:rsidP="00C6560C">
            <w:pPr>
              <w:tabs>
                <w:tab w:val="left" w:pos="1741"/>
              </w:tabs>
              <w:jc w:val="center"/>
              <w:rPr>
                <w:b/>
                <w:i/>
                <w:color w:val="FFFFFF"/>
                <w:szCs w:val="24"/>
              </w:rPr>
            </w:pPr>
            <w:r w:rsidRPr="00C6560C">
              <w:rPr>
                <w:b/>
                <w:i/>
                <w:color w:val="FFFFFF"/>
                <w:szCs w:val="24"/>
              </w:rPr>
              <w:t>2021</w:t>
            </w:r>
          </w:p>
        </w:tc>
      </w:tr>
      <w:tr w:rsidR="00C6560C" w:rsidRPr="00C6560C" w14:paraId="3B03A3F5" w14:textId="77777777" w:rsidTr="002624F5">
        <w:trPr>
          <w:trHeight w:val="302"/>
        </w:trPr>
        <w:tc>
          <w:tcPr>
            <w:tcW w:w="2484" w:type="pct"/>
            <w:vMerge w:val="restart"/>
            <w:shd w:val="clear" w:color="auto" w:fill="auto"/>
          </w:tcPr>
          <w:p w14:paraId="08FAF633" w14:textId="77777777" w:rsidR="00C6560C" w:rsidRPr="00C6560C" w:rsidRDefault="00C6560C" w:rsidP="00C6560C">
            <w:pPr>
              <w:tabs>
                <w:tab w:val="left" w:pos="1741"/>
              </w:tabs>
              <w:jc w:val="both"/>
              <w:rPr>
                <w:b/>
                <w:i/>
                <w:iCs/>
                <w:szCs w:val="24"/>
              </w:rPr>
            </w:pPr>
            <w:r w:rsidRPr="00C6560C">
              <w:rPr>
                <w:b/>
                <w:i/>
                <w:iCs/>
                <w:szCs w:val="24"/>
              </w:rPr>
              <w:t xml:space="preserve">Lietuvos biudžeto skaidrumo indekso reikšmė </w:t>
            </w:r>
            <w:proofErr w:type="spellStart"/>
            <w:r w:rsidRPr="00C6560C">
              <w:rPr>
                <w:b/>
                <w:i/>
                <w:iCs/>
                <w:szCs w:val="24"/>
              </w:rPr>
              <w:t>dešimtbalėje</w:t>
            </w:r>
            <w:proofErr w:type="spellEnd"/>
            <w:r w:rsidRPr="00C6560C">
              <w:rPr>
                <w:b/>
                <w:i/>
                <w:iCs/>
                <w:szCs w:val="24"/>
              </w:rPr>
              <w:t xml:space="preserve"> sistemoje (tyrimas atliekamas kas dvejus metus)</w:t>
            </w:r>
          </w:p>
        </w:tc>
        <w:tc>
          <w:tcPr>
            <w:tcW w:w="403" w:type="pct"/>
            <w:shd w:val="clear" w:color="auto" w:fill="B4C6E7"/>
            <w:vAlign w:val="center"/>
          </w:tcPr>
          <w:p w14:paraId="1EC3BF99" w14:textId="77777777" w:rsidR="00C6560C" w:rsidRPr="00C6560C" w:rsidRDefault="00C6560C" w:rsidP="00C6560C">
            <w:pPr>
              <w:tabs>
                <w:tab w:val="left" w:pos="1741"/>
              </w:tabs>
              <w:jc w:val="center"/>
              <w:rPr>
                <w:i/>
                <w:szCs w:val="24"/>
              </w:rPr>
            </w:pPr>
            <w:r w:rsidRPr="00C6560C">
              <w:rPr>
                <w:i/>
                <w:szCs w:val="24"/>
              </w:rPr>
              <w:t>Planas</w:t>
            </w:r>
          </w:p>
        </w:tc>
        <w:tc>
          <w:tcPr>
            <w:tcW w:w="461" w:type="pct"/>
            <w:shd w:val="clear" w:color="auto" w:fill="B4C6E7"/>
            <w:vAlign w:val="center"/>
          </w:tcPr>
          <w:p w14:paraId="569A057B" w14:textId="77777777" w:rsidR="00C6560C" w:rsidRPr="00C6560C" w:rsidRDefault="00C6560C" w:rsidP="00C6560C">
            <w:pPr>
              <w:tabs>
                <w:tab w:val="left" w:pos="1741"/>
              </w:tabs>
              <w:jc w:val="center"/>
              <w:rPr>
                <w:i/>
                <w:szCs w:val="24"/>
              </w:rPr>
            </w:pPr>
            <w:r w:rsidRPr="00C6560C">
              <w:rPr>
                <w:i/>
                <w:szCs w:val="24"/>
              </w:rPr>
              <w:t>–</w:t>
            </w:r>
          </w:p>
        </w:tc>
        <w:tc>
          <w:tcPr>
            <w:tcW w:w="548" w:type="pct"/>
            <w:shd w:val="clear" w:color="auto" w:fill="B4C6E7"/>
            <w:vAlign w:val="center"/>
          </w:tcPr>
          <w:p w14:paraId="6DD122A9" w14:textId="77777777" w:rsidR="00C6560C" w:rsidRPr="00C6560C" w:rsidRDefault="00C6560C" w:rsidP="00C6560C">
            <w:pPr>
              <w:tabs>
                <w:tab w:val="left" w:pos="1741"/>
              </w:tabs>
              <w:jc w:val="center"/>
              <w:rPr>
                <w:i/>
                <w:szCs w:val="24"/>
              </w:rPr>
            </w:pPr>
            <w:r w:rsidRPr="00C6560C">
              <w:rPr>
                <w:i/>
                <w:szCs w:val="24"/>
              </w:rPr>
              <w:t>6,5</w:t>
            </w:r>
          </w:p>
        </w:tc>
        <w:tc>
          <w:tcPr>
            <w:tcW w:w="548" w:type="pct"/>
            <w:shd w:val="clear" w:color="auto" w:fill="B4C6E7"/>
            <w:vAlign w:val="center"/>
          </w:tcPr>
          <w:p w14:paraId="0B2BAB94" w14:textId="77777777" w:rsidR="00C6560C" w:rsidRPr="00C6560C" w:rsidRDefault="00C6560C" w:rsidP="00C6560C">
            <w:pPr>
              <w:tabs>
                <w:tab w:val="left" w:pos="1741"/>
              </w:tabs>
              <w:rPr>
                <w:i/>
                <w:szCs w:val="24"/>
              </w:rPr>
            </w:pPr>
            <w:r w:rsidRPr="00C6560C">
              <w:rPr>
                <w:i/>
                <w:szCs w:val="24"/>
              </w:rPr>
              <w:t xml:space="preserve">         6,5</w:t>
            </w:r>
          </w:p>
        </w:tc>
        <w:tc>
          <w:tcPr>
            <w:tcW w:w="556" w:type="pct"/>
            <w:shd w:val="clear" w:color="auto" w:fill="B4C6E7"/>
            <w:vAlign w:val="center"/>
          </w:tcPr>
          <w:p w14:paraId="2561FBBF" w14:textId="77777777" w:rsidR="00C6560C" w:rsidRPr="00C6560C" w:rsidRDefault="00C6560C" w:rsidP="00C6560C">
            <w:pPr>
              <w:tabs>
                <w:tab w:val="left" w:pos="1741"/>
              </w:tabs>
              <w:jc w:val="center"/>
              <w:rPr>
                <w:i/>
                <w:szCs w:val="24"/>
              </w:rPr>
            </w:pPr>
            <w:r w:rsidRPr="00C6560C">
              <w:rPr>
                <w:i/>
                <w:szCs w:val="24"/>
              </w:rPr>
              <w:t>7,5</w:t>
            </w:r>
          </w:p>
        </w:tc>
      </w:tr>
      <w:tr w:rsidR="00C6560C" w:rsidRPr="00C6560C" w14:paraId="743C19A3" w14:textId="77777777" w:rsidTr="002624F5">
        <w:trPr>
          <w:trHeight w:val="293"/>
        </w:trPr>
        <w:tc>
          <w:tcPr>
            <w:tcW w:w="2484" w:type="pct"/>
            <w:vMerge/>
            <w:shd w:val="clear" w:color="auto" w:fill="auto"/>
          </w:tcPr>
          <w:p w14:paraId="15B5B21E" w14:textId="77777777" w:rsidR="00C6560C" w:rsidRPr="00C6560C" w:rsidRDefault="00C6560C" w:rsidP="00C6560C">
            <w:pPr>
              <w:tabs>
                <w:tab w:val="left" w:pos="1741"/>
              </w:tabs>
              <w:jc w:val="both"/>
              <w:rPr>
                <w:b/>
                <w:i/>
                <w:iCs/>
                <w:szCs w:val="24"/>
              </w:rPr>
            </w:pPr>
          </w:p>
        </w:tc>
        <w:tc>
          <w:tcPr>
            <w:tcW w:w="403" w:type="pct"/>
            <w:shd w:val="clear" w:color="auto" w:fill="auto"/>
            <w:vAlign w:val="center"/>
          </w:tcPr>
          <w:p w14:paraId="767EE0A4" w14:textId="77777777" w:rsidR="00C6560C" w:rsidRPr="00C6560C" w:rsidRDefault="00C6560C" w:rsidP="00C6560C">
            <w:pPr>
              <w:tabs>
                <w:tab w:val="left" w:pos="1741"/>
              </w:tabs>
              <w:jc w:val="center"/>
              <w:rPr>
                <w:i/>
                <w:szCs w:val="24"/>
              </w:rPr>
            </w:pPr>
            <w:r w:rsidRPr="00C6560C">
              <w:rPr>
                <w:i/>
                <w:szCs w:val="24"/>
              </w:rPr>
              <w:t>Faktas</w:t>
            </w:r>
          </w:p>
        </w:tc>
        <w:tc>
          <w:tcPr>
            <w:tcW w:w="461" w:type="pct"/>
            <w:shd w:val="clear" w:color="auto" w:fill="auto"/>
            <w:vAlign w:val="center"/>
          </w:tcPr>
          <w:p w14:paraId="7C7CF92C" w14:textId="77777777" w:rsidR="00C6560C" w:rsidRPr="00C6560C" w:rsidRDefault="00C6560C" w:rsidP="00C6560C">
            <w:pPr>
              <w:tabs>
                <w:tab w:val="left" w:pos="1741"/>
              </w:tabs>
              <w:jc w:val="center"/>
              <w:rPr>
                <w:i/>
                <w:szCs w:val="24"/>
              </w:rPr>
            </w:pPr>
            <w:r w:rsidRPr="00C6560C">
              <w:rPr>
                <w:i/>
                <w:szCs w:val="24"/>
              </w:rPr>
              <w:t>–</w:t>
            </w:r>
          </w:p>
        </w:tc>
        <w:tc>
          <w:tcPr>
            <w:tcW w:w="548" w:type="pct"/>
            <w:shd w:val="clear" w:color="auto" w:fill="auto"/>
            <w:vAlign w:val="center"/>
          </w:tcPr>
          <w:p w14:paraId="61700817" w14:textId="77777777" w:rsidR="00C6560C" w:rsidRPr="00C6560C" w:rsidRDefault="00C6560C" w:rsidP="00C6560C">
            <w:pPr>
              <w:tabs>
                <w:tab w:val="left" w:pos="1741"/>
              </w:tabs>
              <w:jc w:val="center"/>
              <w:rPr>
                <w:i/>
                <w:szCs w:val="24"/>
              </w:rPr>
            </w:pPr>
            <w:r w:rsidRPr="00C6560C">
              <w:rPr>
                <w:i/>
                <w:szCs w:val="24"/>
              </w:rPr>
              <w:t>5,93</w:t>
            </w:r>
          </w:p>
        </w:tc>
        <w:tc>
          <w:tcPr>
            <w:tcW w:w="548" w:type="pct"/>
            <w:shd w:val="clear" w:color="auto" w:fill="auto"/>
            <w:vAlign w:val="center"/>
          </w:tcPr>
          <w:p w14:paraId="21F344FB" w14:textId="77777777" w:rsidR="00C6560C" w:rsidRPr="00C6560C" w:rsidRDefault="00C6560C" w:rsidP="00C6560C">
            <w:pPr>
              <w:tabs>
                <w:tab w:val="left" w:pos="1741"/>
              </w:tabs>
              <w:jc w:val="center"/>
              <w:rPr>
                <w:i/>
                <w:szCs w:val="24"/>
              </w:rPr>
            </w:pPr>
            <w:r w:rsidRPr="00C6560C">
              <w:rPr>
                <w:i/>
                <w:szCs w:val="24"/>
              </w:rPr>
              <w:t>–</w:t>
            </w:r>
          </w:p>
        </w:tc>
        <w:tc>
          <w:tcPr>
            <w:tcW w:w="556" w:type="pct"/>
            <w:shd w:val="clear" w:color="auto" w:fill="auto"/>
          </w:tcPr>
          <w:p w14:paraId="0CAA16DF" w14:textId="77777777" w:rsidR="00C6560C" w:rsidRPr="00C6560C" w:rsidRDefault="00C6560C" w:rsidP="00C6560C">
            <w:pPr>
              <w:tabs>
                <w:tab w:val="left" w:pos="1741"/>
              </w:tabs>
              <w:jc w:val="center"/>
              <w:rPr>
                <w:i/>
                <w:szCs w:val="24"/>
              </w:rPr>
            </w:pPr>
            <w:r w:rsidRPr="00C6560C">
              <w:rPr>
                <w:i/>
                <w:szCs w:val="24"/>
              </w:rPr>
              <w:t>–</w:t>
            </w:r>
          </w:p>
        </w:tc>
      </w:tr>
      <w:tr w:rsidR="00C6560C" w:rsidRPr="00C6560C" w14:paraId="7D1BD578" w14:textId="77777777" w:rsidTr="002624F5">
        <w:trPr>
          <w:trHeight w:val="293"/>
        </w:trPr>
        <w:tc>
          <w:tcPr>
            <w:tcW w:w="2484" w:type="pct"/>
            <w:vMerge w:val="restart"/>
            <w:shd w:val="clear" w:color="auto" w:fill="auto"/>
          </w:tcPr>
          <w:p w14:paraId="40B07DFF" w14:textId="77777777" w:rsidR="00C6560C" w:rsidRPr="00C6560C" w:rsidRDefault="00C6560C" w:rsidP="00C6560C">
            <w:pPr>
              <w:tabs>
                <w:tab w:val="left" w:pos="1741"/>
              </w:tabs>
              <w:jc w:val="both"/>
              <w:rPr>
                <w:b/>
                <w:i/>
                <w:iCs/>
                <w:szCs w:val="24"/>
              </w:rPr>
            </w:pPr>
            <w:r w:rsidRPr="00C6560C">
              <w:rPr>
                <w:b/>
                <w:i/>
                <w:iCs/>
                <w:szCs w:val="24"/>
              </w:rPr>
              <w:t>Lietuvos strateginio pajėgumo indeksas</w:t>
            </w:r>
          </w:p>
        </w:tc>
        <w:tc>
          <w:tcPr>
            <w:tcW w:w="403" w:type="pct"/>
            <w:shd w:val="clear" w:color="auto" w:fill="B4C6E7"/>
            <w:vAlign w:val="center"/>
          </w:tcPr>
          <w:p w14:paraId="4DDE7C2C" w14:textId="77777777" w:rsidR="00C6560C" w:rsidRPr="00C6560C" w:rsidRDefault="00C6560C" w:rsidP="00C6560C">
            <w:pPr>
              <w:tabs>
                <w:tab w:val="left" w:pos="1741"/>
              </w:tabs>
              <w:jc w:val="center"/>
              <w:rPr>
                <w:i/>
                <w:szCs w:val="24"/>
              </w:rPr>
            </w:pPr>
            <w:r w:rsidRPr="00C6560C">
              <w:rPr>
                <w:i/>
                <w:szCs w:val="24"/>
              </w:rPr>
              <w:t>Planas</w:t>
            </w:r>
          </w:p>
        </w:tc>
        <w:tc>
          <w:tcPr>
            <w:tcW w:w="461" w:type="pct"/>
            <w:shd w:val="clear" w:color="auto" w:fill="B4C6E7"/>
            <w:vAlign w:val="center"/>
          </w:tcPr>
          <w:p w14:paraId="6B4E8A56" w14:textId="77777777" w:rsidR="00C6560C" w:rsidRPr="00C6560C" w:rsidRDefault="00C6560C" w:rsidP="00C6560C">
            <w:pPr>
              <w:tabs>
                <w:tab w:val="left" w:pos="1741"/>
              </w:tabs>
              <w:jc w:val="center"/>
              <w:rPr>
                <w:i/>
                <w:szCs w:val="24"/>
              </w:rPr>
            </w:pPr>
            <w:r w:rsidRPr="00C6560C">
              <w:rPr>
                <w:i/>
                <w:szCs w:val="24"/>
              </w:rPr>
              <w:t>–</w:t>
            </w:r>
          </w:p>
        </w:tc>
        <w:tc>
          <w:tcPr>
            <w:tcW w:w="548" w:type="pct"/>
            <w:shd w:val="clear" w:color="auto" w:fill="B4C6E7"/>
            <w:vAlign w:val="center"/>
          </w:tcPr>
          <w:p w14:paraId="3F1DE3BA" w14:textId="77777777" w:rsidR="00C6560C" w:rsidRPr="00C6560C" w:rsidRDefault="00C6560C" w:rsidP="00C6560C">
            <w:pPr>
              <w:tabs>
                <w:tab w:val="left" w:pos="1741"/>
              </w:tabs>
              <w:jc w:val="center"/>
              <w:rPr>
                <w:i/>
                <w:szCs w:val="24"/>
              </w:rPr>
            </w:pPr>
            <w:r w:rsidRPr="00C6560C">
              <w:rPr>
                <w:i/>
                <w:szCs w:val="24"/>
              </w:rPr>
              <w:t>–</w:t>
            </w:r>
          </w:p>
        </w:tc>
        <w:tc>
          <w:tcPr>
            <w:tcW w:w="548" w:type="pct"/>
            <w:shd w:val="clear" w:color="auto" w:fill="B4C6E7"/>
            <w:vAlign w:val="center"/>
          </w:tcPr>
          <w:p w14:paraId="78B6325B" w14:textId="77777777" w:rsidR="00C6560C" w:rsidRPr="00C6560C" w:rsidRDefault="00C6560C" w:rsidP="00C6560C">
            <w:pPr>
              <w:tabs>
                <w:tab w:val="left" w:pos="1741"/>
              </w:tabs>
              <w:jc w:val="center"/>
              <w:rPr>
                <w:i/>
                <w:szCs w:val="24"/>
              </w:rPr>
            </w:pPr>
            <w:r w:rsidRPr="00C6560C">
              <w:rPr>
                <w:i/>
                <w:szCs w:val="24"/>
              </w:rPr>
              <w:t>8</w:t>
            </w:r>
          </w:p>
        </w:tc>
        <w:tc>
          <w:tcPr>
            <w:tcW w:w="556" w:type="pct"/>
            <w:shd w:val="clear" w:color="auto" w:fill="B4C6E7"/>
          </w:tcPr>
          <w:p w14:paraId="00B6BA75" w14:textId="77777777" w:rsidR="00C6560C" w:rsidRPr="00C6560C" w:rsidRDefault="00C6560C" w:rsidP="00C6560C">
            <w:pPr>
              <w:tabs>
                <w:tab w:val="left" w:pos="1741"/>
              </w:tabs>
              <w:jc w:val="center"/>
              <w:rPr>
                <w:i/>
                <w:szCs w:val="24"/>
              </w:rPr>
            </w:pPr>
            <w:r w:rsidRPr="00C6560C">
              <w:rPr>
                <w:i/>
                <w:szCs w:val="24"/>
              </w:rPr>
              <w:t>8</w:t>
            </w:r>
          </w:p>
        </w:tc>
      </w:tr>
      <w:tr w:rsidR="00C6560C" w:rsidRPr="00C6560C" w14:paraId="41EC53E6" w14:textId="77777777" w:rsidTr="002624F5">
        <w:trPr>
          <w:trHeight w:val="293"/>
        </w:trPr>
        <w:tc>
          <w:tcPr>
            <w:tcW w:w="2484" w:type="pct"/>
            <w:vMerge/>
            <w:shd w:val="clear" w:color="auto" w:fill="auto"/>
          </w:tcPr>
          <w:p w14:paraId="2FD95AED" w14:textId="77777777" w:rsidR="00C6560C" w:rsidRPr="00C6560C" w:rsidRDefault="00C6560C" w:rsidP="00C6560C">
            <w:pPr>
              <w:tabs>
                <w:tab w:val="left" w:pos="1741"/>
              </w:tabs>
              <w:jc w:val="both"/>
              <w:rPr>
                <w:b/>
                <w:i/>
                <w:iCs/>
                <w:szCs w:val="24"/>
              </w:rPr>
            </w:pPr>
          </w:p>
        </w:tc>
        <w:tc>
          <w:tcPr>
            <w:tcW w:w="403" w:type="pct"/>
            <w:shd w:val="clear" w:color="auto" w:fill="auto"/>
            <w:vAlign w:val="center"/>
          </w:tcPr>
          <w:p w14:paraId="4081FE8E" w14:textId="77777777" w:rsidR="00C6560C" w:rsidRPr="00C6560C" w:rsidRDefault="00C6560C" w:rsidP="00C6560C">
            <w:pPr>
              <w:tabs>
                <w:tab w:val="left" w:pos="1741"/>
              </w:tabs>
              <w:jc w:val="center"/>
              <w:rPr>
                <w:i/>
                <w:szCs w:val="24"/>
              </w:rPr>
            </w:pPr>
            <w:r w:rsidRPr="00C6560C">
              <w:rPr>
                <w:i/>
                <w:szCs w:val="24"/>
              </w:rPr>
              <w:t>Faktas</w:t>
            </w:r>
          </w:p>
        </w:tc>
        <w:tc>
          <w:tcPr>
            <w:tcW w:w="461" w:type="pct"/>
            <w:shd w:val="clear" w:color="auto" w:fill="auto"/>
            <w:vAlign w:val="center"/>
          </w:tcPr>
          <w:p w14:paraId="560F59DD" w14:textId="77777777" w:rsidR="00C6560C" w:rsidRPr="00C6560C" w:rsidRDefault="00C6560C" w:rsidP="00C6560C">
            <w:pPr>
              <w:tabs>
                <w:tab w:val="left" w:pos="1741"/>
              </w:tabs>
              <w:jc w:val="center"/>
              <w:rPr>
                <w:i/>
                <w:szCs w:val="24"/>
              </w:rPr>
            </w:pPr>
            <w:r w:rsidRPr="00C6560C">
              <w:rPr>
                <w:i/>
                <w:szCs w:val="24"/>
              </w:rPr>
              <w:t>–</w:t>
            </w:r>
          </w:p>
        </w:tc>
        <w:tc>
          <w:tcPr>
            <w:tcW w:w="548" w:type="pct"/>
            <w:shd w:val="clear" w:color="auto" w:fill="auto"/>
            <w:vAlign w:val="center"/>
          </w:tcPr>
          <w:p w14:paraId="25F749AE" w14:textId="77777777" w:rsidR="00C6560C" w:rsidRPr="00C6560C" w:rsidRDefault="00C6560C" w:rsidP="00C6560C">
            <w:pPr>
              <w:tabs>
                <w:tab w:val="left" w:pos="1741"/>
              </w:tabs>
              <w:jc w:val="center"/>
              <w:rPr>
                <w:i/>
                <w:szCs w:val="24"/>
              </w:rPr>
            </w:pPr>
            <w:r w:rsidRPr="00C6560C">
              <w:rPr>
                <w:i/>
                <w:szCs w:val="24"/>
              </w:rPr>
              <w:t>–</w:t>
            </w:r>
          </w:p>
        </w:tc>
        <w:tc>
          <w:tcPr>
            <w:tcW w:w="548" w:type="pct"/>
            <w:shd w:val="clear" w:color="auto" w:fill="auto"/>
            <w:vAlign w:val="center"/>
          </w:tcPr>
          <w:p w14:paraId="1AD25C40" w14:textId="77777777" w:rsidR="00C6560C" w:rsidRPr="00C6560C" w:rsidRDefault="00C6560C" w:rsidP="00C6560C">
            <w:pPr>
              <w:tabs>
                <w:tab w:val="left" w:pos="1741"/>
              </w:tabs>
              <w:jc w:val="center"/>
              <w:rPr>
                <w:i/>
                <w:szCs w:val="24"/>
              </w:rPr>
            </w:pPr>
            <w:r w:rsidRPr="00C6560C">
              <w:rPr>
                <w:i/>
                <w:szCs w:val="24"/>
              </w:rPr>
              <w:t>7</w:t>
            </w:r>
          </w:p>
        </w:tc>
        <w:tc>
          <w:tcPr>
            <w:tcW w:w="556" w:type="pct"/>
            <w:shd w:val="clear" w:color="auto" w:fill="auto"/>
          </w:tcPr>
          <w:p w14:paraId="1329B408" w14:textId="77777777" w:rsidR="00C6560C" w:rsidRPr="00C6560C" w:rsidRDefault="00C6560C" w:rsidP="00C6560C">
            <w:pPr>
              <w:tabs>
                <w:tab w:val="left" w:pos="1741"/>
              </w:tabs>
              <w:jc w:val="center"/>
              <w:rPr>
                <w:i/>
                <w:szCs w:val="24"/>
              </w:rPr>
            </w:pPr>
            <w:r w:rsidRPr="00C6560C">
              <w:rPr>
                <w:i/>
                <w:szCs w:val="24"/>
              </w:rPr>
              <w:t>–</w:t>
            </w:r>
          </w:p>
        </w:tc>
      </w:tr>
    </w:tbl>
    <w:p w14:paraId="225B72DA" w14:textId="77777777" w:rsidR="00C6560C" w:rsidRPr="00C6560C" w:rsidRDefault="00C6560C" w:rsidP="00C6560C">
      <w:pPr>
        <w:jc w:val="center"/>
        <w:rPr>
          <w:b/>
          <w:szCs w:val="24"/>
        </w:rPr>
      </w:pPr>
    </w:p>
    <w:p w14:paraId="2951D5EF" w14:textId="77777777" w:rsidR="00C6560C" w:rsidRPr="00C6560C" w:rsidRDefault="00C6560C" w:rsidP="00C6560C">
      <w:pPr>
        <w:tabs>
          <w:tab w:val="left" w:pos="0"/>
        </w:tabs>
        <w:jc w:val="both"/>
        <w:rPr>
          <w:szCs w:val="24"/>
        </w:rPr>
      </w:pPr>
      <w:r w:rsidRPr="00C6560C">
        <w:rPr>
          <w:b/>
          <w:szCs w:val="24"/>
        </w:rPr>
        <w:t>Atsakingos institucijos</w:t>
      </w:r>
      <w:r w:rsidRPr="00C6560C">
        <w:rPr>
          <w:szCs w:val="24"/>
        </w:rPr>
        <w:t>: Lietuvos Respublikos energetikos ministerija, Lietuvos Respublikos aplinkos ministerija, Lietuvos Respublikos vidaus reikalų ministerija, Lietuvos Respublikos žemės ūkio ministerija, Lietuvos Respublikos susisiekimo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2630"/>
      </w:tblGrid>
      <w:tr w:rsidR="00C6560C" w:rsidRPr="00C6560C" w14:paraId="4713FAD9" w14:textId="77777777" w:rsidTr="002624F5">
        <w:trPr>
          <w:trHeight w:val="23"/>
          <w:tblHeader/>
        </w:trPr>
        <w:tc>
          <w:tcPr>
            <w:tcW w:w="896" w:type="pct"/>
            <w:shd w:val="clear" w:color="auto" w:fill="1F4E79"/>
            <w:vAlign w:val="center"/>
          </w:tcPr>
          <w:p w14:paraId="43890944" w14:textId="77777777" w:rsidR="00C6560C" w:rsidRPr="00C6560C" w:rsidRDefault="00C6560C" w:rsidP="00C6560C">
            <w:pPr>
              <w:jc w:val="center"/>
              <w:rPr>
                <w:b/>
                <w:color w:val="FFFFFF"/>
                <w:szCs w:val="24"/>
              </w:rPr>
            </w:pPr>
            <w:r w:rsidRPr="00C6560C">
              <w:rPr>
                <w:b/>
                <w:color w:val="FFFFFF"/>
                <w:szCs w:val="24"/>
              </w:rPr>
              <w:t>Tikslas</w:t>
            </w:r>
          </w:p>
        </w:tc>
        <w:tc>
          <w:tcPr>
            <w:tcW w:w="4104" w:type="pct"/>
            <w:shd w:val="clear" w:color="auto" w:fill="B4C6E7"/>
            <w:vAlign w:val="center"/>
          </w:tcPr>
          <w:p w14:paraId="7B354E91" w14:textId="77777777" w:rsidR="00C6560C" w:rsidRPr="00C6560C" w:rsidRDefault="00C6560C" w:rsidP="00C6560C">
            <w:pPr>
              <w:jc w:val="center"/>
              <w:rPr>
                <w:b/>
                <w:szCs w:val="24"/>
              </w:rPr>
            </w:pPr>
            <w:r w:rsidRPr="00C6560C">
              <w:rPr>
                <w:b/>
                <w:szCs w:val="24"/>
              </w:rPr>
              <w:t>Poveikis Tarybos rekomendacijos įgyvendinimui</w:t>
            </w:r>
          </w:p>
        </w:tc>
      </w:tr>
      <w:tr w:rsidR="00C6560C" w:rsidRPr="00C6560C" w14:paraId="63053044" w14:textId="77777777" w:rsidTr="002624F5">
        <w:trPr>
          <w:trHeight w:val="23"/>
        </w:trPr>
        <w:tc>
          <w:tcPr>
            <w:tcW w:w="896" w:type="pct"/>
          </w:tcPr>
          <w:p w14:paraId="648B3F81" w14:textId="77777777" w:rsidR="00C6560C" w:rsidRPr="00C6560C" w:rsidRDefault="00C6560C" w:rsidP="00C6560C">
            <w:pPr>
              <w:rPr>
                <w:i/>
                <w:szCs w:val="24"/>
              </w:rPr>
            </w:pPr>
            <w:r w:rsidRPr="00C6560C">
              <w:rPr>
                <w:b/>
                <w:szCs w:val="24"/>
                <w:u w:val="single"/>
              </w:rPr>
              <w:t xml:space="preserve">9 tikslas. </w:t>
            </w:r>
            <w:r w:rsidRPr="00C6560C">
              <w:rPr>
                <w:b/>
                <w:szCs w:val="24"/>
              </w:rPr>
              <w:t xml:space="preserve">Investicijas sutelkti į žaliąją ir skaitmeninę pertvarką, visų pirma į labai didelio pajėgumo plačiajuosčio ryšio aprėptį ir </w:t>
            </w:r>
            <w:proofErr w:type="spellStart"/>
            <w:r w:rsidRPr="00C6560C">
              <w:rPr>
                <w:b/>
                <w:szCs w:val="24"/>
              </w:rPr>
              <w:t>skverbtį</w:t>
            </w:r>
            <w:proofErr w:type="spellEnd"/>
            <w:r w:rsidRPr="00C6560C">
              <w:rPr>
                <w:b/>
                <w:szCs w:val="24"/>
              </w:rPr>
              <w:t>, švarią ir efektyvią energijos gamybą bei vartojimą ir darnųjį transportą</w:t>
            </w:r>
          </w:p>
        </w:tc>
        <w:tc>
          <w:tcPr>
            <w:tcW w:w="4104" w:type="pct"/>
          </w:tcPr>
          <w:p w14:paraId="4D102E8D" w14:textId="77777777" w:rsidR="00C6560C" w:rsidRPr="00A32B5F" w:rsidRDefault="00C6560C" w:rsidP="00C6560C">
            <w:pPr>
              <w:jc w:val="both"/>
              <w:rPr>
                <w:b/>
                <w:szCs w:val="24"/>
              </w:rPr>
            </w:pPr>
            <w:r w:rsidRPr="00C6560C">
              <w:rPr>
                <w:b/>
                <w:szCs w:val="24"/>
              </w:rPr>
              <w:t xml:space="preserve">Sinchronizacija su kontinentinės Europos elektros tinklais (KET). </w:t>
            </w:r>
            <w:r w:rsidRPr="00C6560C">
              <w:rPr>
                <w:szCs w:val="24"/>
              </w:rPr>
              <w:t xml:space="preserve">Pakankamas Lietuvos ir Baltijos šalių energetinio saugumo lygis ir visapusiška integracija į ES rinkas bus užtikrinti </w:t>
            </w:r>
            <w:proofErr w:type="spellStart"/>
            <w:r w:rsidRPr="00C6560C">
              <w:rPr>
                <w:szCs w:val="24"/>
              </w:rPr>
              <w:t>desinchronizavus</w:t>
            </w:r>
            <w:proofErr w:type="spellEnd"/>
            <w:r w:rsidRPr="00C6560C">
              <w:rPr>
                <w:szCs w:val="24"/>
              </w:rPr>
              <w:t xml:space="preserve"> elektros energetikos sistemą nuo IPS/UPS ir sujungus su žemyninės Europos elektros tinklais veikti  sinchroniniu režimu.  Sinchronizacijos projektas atitinka Tarybos rekomendacijų siūlymą teikti prioritetą investicijoms į ES Bendro intereso projektų įgyvendinimą taip užtikrinant sklandų ES bendros energijos rinkos funkcionavimą.</w:t>
            </w:r>
          </w:p>
          <w:p w14:paraId="00D6A647" w14:textId="77777777" w:rsidR="00C6560C" w:rsidRPr="00C6560C" w:rsidRDefault="00C6560C" w:rsidP="00C6560C">
            <w:pPr>
              <w:ind w:left="22"/>
              <w:jc w:val="both"/>
              <w:rPr>
                <w:b/>
                <w:szCs w:val="24"/>
              </w:rPr>
            </w:pPr>
            <w:r w:rsidRPr="00C6560C">
              <w:rPr>
                <w:b/>
                <w:szCs w:val="24"/>
              </w:rPr>
              <w:t xml:space="preserve">Lietuvos ir Lenkijos dujotiekių jungties (toliau - GIPL) statybų projekto įgyvendinimas. </w:t>
            </w:r>
            <w:r w:rsidRPr="00C6560C">
              <w:rPr>
                <w:rFonts w:eastAsia="Calibri"/>
                <w:bCs/>
                <w:szCs w:val="24"/>
              </w:rPr>
              <w:t>Projektas atveria duris Lietuvos ir Baltijos valstybių gamtinių dujų perdavimo sistemų integracijai į bendrą Europos dujų rinką, užtikrina dar vieną alternatyvų energijos tiekimo šaltinį, didesnę ekonominę naudą bei energetinį saugumą visiems projekto partneriams. Kuriamos naujos sąlygos atsirasti konkurencingesnėms gamtinių dujų kainoms šalies rinkoje.  Energetinių jungčių plėtra Tarybos rekomendacijose įvardijama kaip viena iš prioritetinių investicijų sričių Lietuvai.  Jungtis su bendra Europos energijos rinka užtikrins integraciją ir tiekimo saugumą.</w:t>
            </w:r>
          </w:p>
          <w:p w14:paraId="45B5971B" w14:textId="77777777" w:rsidR="00C6560C" w:rsidRPr="00C6560C" w:rsidRDefault="00C6560C" w:rsidP="00C6560C">
            <w:pPr>
              <w:jc w:val="both"/>
              <w:rPr>
                <w:b/>
                <w:szCs w:val="24"/>
              </w:rPr>
            </w:pPr>
            <w:r w:rsidRPr="00C6560C">
              <w:rPr>
                <w:b/>
                <w:szCs w:val="24"/>
              </w:rPr>
              <w:t xml:space="preserve">Energijos vartojimo efektyvumo didinimas. </w:t>
            </w:r>
            <w:r w:rsidRPr="00C6560C">
              <w:rPr>
                <w:bCs/>
                <w:szCs w:val="24"/>
              </w:rPr>
              <w:t>Siekiama, kad energijos vartojimo efektyvumo didinimas ir atsinaujinančių energijos išteklių naudojimas taptų kasdiene kiekvieno buitinio vartotojo, verslo ar pramonės, įsigyjančios elektrą, dujas, biokurą ar kitą kurą arba žaliavas, veiklos dalimi. Energijos vartojimo efektyvumo didinimas svariai prisidės prie tikslų energetikos ir klimato srityse pasiekimo, taip pat gerins valstybės gyventojų finansinę būklę, didins verslo konkurencingumą, mažins išmetamų šiltnamio efektą sukeliančių dujų ir aplinkos oro teršalų kiekį, gerins aplinkos oro kokybę.</w:t>
            </w:r>
          </w:p>
          <w:p w14:paraId="6272D22E" w14:textId="77777777" w:rsidR="00C6560C" w:rsidRPr="00C6560C" w:rsidRDefault="00C6560C" w:rsidP="00C6560C">
            <w:pPr>
              <w:jc w:val="both"/>
              <w:rPr>
                <w:szCs w:val="24"/>
              </w:rPr>
            </w:pPr>
            <w:r w:rsidRPr="00C6560C">
              <w:rPr>
                <w:b/>
                <w:szCs w:val="24"/>
              </w:rPr>
              <w:t xml:space="preserve">Vidaus energijos gamybos </w:t>
            </w:r>
            <w:proofErr w:type="spellStart"/>
            <w:r w:rsidRPr="00C6560C">
              <w:rPr>
                <w:b/>
                <w:szCs w:val="24"/>
              </w:rPr>
              <w:t>didinimasnaudojant</w:t>
            </w:r>
            <w:proofErr w:type="spellEnd"/>
            <w:r w:rsidRPr="00C6560C">
              <w:rPr>
                <w:b/>
                <w:szCs w:val="24"/>
              </w:rPr>
              <w:t xml:space="preserve"> vietinius ir atsinaujinančius energijos išteklius. </w:t>
            </w:r>
            <w:r w:rsidRPr="00C6560C">
              <w:rPr>
                <w:bCs/>
                <w:szCs w:val="24"/>
              </w:rPr>
              <w:t>Planuojama intensyvi saulės energiją gaminančių vartotojų plėtra. Sudarytos sąlygos plėtoti mažos galios elektrines . Parengiamieji  jūrinio vėjo energetikos plėtros darbai užtikrins, kad Lietuva pasieks ambicingus tikslus atsinaujinančių energijos išteklių srityje. Planuojama, kad iki 2030 m. įrengus 700 MW instaliuotos galios jūrinio vėjo parką, jis galėtų patenkinti 25 proc.  Lietuvos elektros energijos poreikio.</w:t>
            </w:r>
          </w:p>
          <w:p w14:paraId="69F61F2D" w14:textId="77777777" w:rsidR="00C6560C" w:rsidRPr="00C6560C" w:rsidRDefault="00C6560C" w:rsidP="00C6560C">
            <w:pPr>
              <w:jc w:val="both"/>
              <w:rPr>
                <w:bCs/>
                <w:szCs w:val="24"/>
              </w:rPr>
            </w:pPr>
            <w:r w:rsidRPr="00C6560C">
              <w:rPr>
                <w:bCs/>
                <w:szCs w:val="24"/>
              </w:rPr>
              <w:lastRenderedPageBreak/>
              <w:t xml:space="preserve">Priemonių įgyvendinimas svariai prisidės  prie tikslo mažinti šiltnamio efektą sukeliančių dujų išmetimą pasiekimo, vietinė generacija garantuos didesnį energetinį saugumą, sudarys sąlygas plėtoti   atsinaujinančių išteklių </w:t>
            </w:r>
            <w:proofErr w:type="spellStart"/>
            <w:r w:rsidRPr="00C6560C">
              <w:rPr>
                <w:bCs/>
                <w:szCs w:val="24"/>
              </w:rPr>
              <w:t>pramonį</w:t>
            </w:r>
            <w:proofErr w:type="spellEnd"/>
            <w:r w:rsidRPr="00C6560C">
              <w:rPr>
                <w:bCs/>
                <w:szCs w:val="24"/>
              </w:rPr>
              <w:t xml:space="preserve"> ir inovacijas į  šią sritį .</w:t>
            </w:r>
          </w:p>
          <w:p w14:paraId="2216F3D7" w14:textId="77777777" w:rsidR="00C6560C" w:rsidRPr="00C6560C" w:rsidRDefault="00C6560C" w:rsidP="00C6560C">
            <w:pPr>
              <w:shd w:val="clear" w:color="auto" w:fill="FFFFFF"/>
              <w:spacing w:line="230" w:lineRule="atLeast"/>
              <w:jc w:val="both"/>
              <w:rPr>
                <w:color w:val="000000"/>
                <w:szCs w:val="24"/>
                <w:bdr w:val="none" w:sz="0" w:space="0" w:color="auto" w:frame="1"/>
                <w:lang w:eastAsia="en-GB"/>
              </w:rPr>
            </w:pPr>
            <w:r w:rsidRPr="00C6560C">
              <w:rPr>
                <w:b/>
                <w:bCs/>
                <w:color w:val="000000"/>
                <w:szCs w:val="24"/>
                <w:bdr w:val="none" w:sz="0" w:space="0" w:color="auto" w:frame="1"/>
                <w:lang w:eastAsia="en-GB"/>
              </w:rPr>
              <w:t>Įgyvendinamos priemonės „</w:t>
            </w:r>
            <w:r w:rsidRPr="00C6560C">
              <w:rPr>
                <w:b/>
                <w:bCs/>
                <w:iCs/>
                <w:color w:val="000000"/>
                <w:szCs w:val="24"/>
                <w:bdr w:val="none" w:sz="0" w:space="0" w:color="auto" w:frame="1"/>
                <w:lang w:eastAsia="en-GB"/>
              </w:rPr>
              <w:t>Aplinkai palankių transporto priemonių ir infrastruktūros skatinimas siekiant išmetamų į atmosferą šiltnamio efektą sukeliančių dujų kiekio mažinimo</w:t>
            </w:r>
            <w:r w:rsidRPr="00C6560C">
              <w:rPr>
                <w:b/>
                <w:bCs/>
                <w:iCs/>
                <w:color w:val="000000"/>
                <w:szCs w:val="24"/>
                <w:bdr w:val="none" w:sz="0" w:space="0" w:color="auto" w:frame="1"/>
                <w:shd w:val="clear" w:color="auto" w:fill="FFFFFF"/>
                <w:lang w:eastAsia="en-GB"/>
              </w:rPr>
              <w:t>“</w:t>
            </w:r>
            <w:r w:rsidRPr="00C6560C">
              <w:rPr>
                <w:b/>
                <w:bCs/>
                <w:iCs/>
                <w:color w:val="000000"/>
                <w:szCs w:val="24"/>
                <w:bdr w:val="none" w:sz="0" w:space="0" w:color="auto" w:frame="1"/>
                <w:lang w:eastAsia="en-GB"/>
              </w:rPr>
              <w:t>,</w:t>
            </w:r>
            <w:r w:rsidRPr="00C6560C">
              <w:rPr>
                <w:b/>
                <w:bCs/>
                <w:color w:val="000000"/>
                <w:szCs w:val="24"/>
                <w:bdr w:val="none" w:sz="0" w:space="0" w:color="auto" w:frame="1"/>
                <w:lang w:eastAsia="en-GB"/>
              </w:rPr>
              <w:t xml:space="preserve"> </w:t>
            </w:r>
            <w:r w:rsidRPr="00C6560C">
              <w:rPr>
                <w:b/>
                <w:bCs/>
                <w:iCs/>
                <w:color w:val="000000"/>
                <w:szCs w:val="24"/>
                <w:bdr w:val="none" w:sz="0" w:space="0" w:color="auto" w:frame="1"/>
                <w:lang w:eastAsia="en-GB"/>
              </w:rPr>
              <w:t>„Atsinaujinančių energijos išteklių panaudojimas įvairios paskirties pastatuose, priklausančiuose viešiesiems ir privatiems subjektams“, „Taršių technologijų keitimo mažiau taršiomis skatinimas ES Apyvartinių taršos leidimų prekybos sistemoje dalyvaujančiose įmonėse</w:t>
            </w:r>
            <w:r w:rsidRPr="00C6560C">
              <w:rPr>
                <w:b/>
                <w:bCs/>
                <w:color w:val="000000"/>
                <w:szCs w:val="24"/>
                <w:bdr w:val="none" w:sz="0" w:space="0" w:color="auto" w:frame="1"/>
                <w:lang w:eastAsia="en-GB"/>
              </w:rPr>
              <w:t>“</w:t>
            </w:r>
            <w:r w:rsidRPr="00C6560C">
              <w:rPr>
                <w:color w:val="000000"/>
                <w:szCs w:val="24"/>
                <w:bdr w:val="none" w:sz="0" w:space="0" w:color="auto" w:frame="1"/>
                <w:lang w:eastAsia="en-GB"/>
              </w:rPr>
              <w:t>, finansuojamos Klimato kaitos programos lėšomis, Aplinkos projektų valdymo agentūra vertino (pagal patvirtintus kriterijus) 2020 m. gautas paraiškas, su pareiškėjais pasirašė finansavimo sutartis. 2021 m. iš Klimato kaitos programos lėšų planuojama tęsti investicijas į atsinaujinančią energetiką, skatinti aplinkai palankių transporto priemonių įsigijimą ir infrastruktūros sukūrimą ar plėtrą, taip pat skatinti taršių technologijų pakeitimą į mažiau taršias.</w:t>
            </w:r>
          </w:p>
          <w:p w14:paraId="6595478F" w14:textId="77777777" w:rsidR="00C6560C" w:rsidRPr="00C6560C" w:rsidRDefault="00C6560C" w:rsidP="00C6560C">
            <w:pPr>
              <w:jc w:val="both"/>
              <w:rPr>
                <w:color w:val="000000"/>
                <w:szCs w:val="24"/>
                <w:bdr w:val="none" w:sz="0" w:space="0" w:color="auto" w:frame="1"/>
                <w:lang w:eastAsia="en-GB"/>
              </w:rPr>
            </w:pPr>
            <w:r w:rsidRPr="00C6560C">
              <w:rPr>
                <w:b/>
                <w:bCs/>
                <w:color w:val="000000"/>
                <w:szCs w:val="24"/>
                <w:lang w:eastAsia="en-GB"/>
              </w:rPr>
              <w:t>Parengtas atliekų tvarkymo įstatymo Nr. VIII-787 pakeitimas, perkeliantis ES žiedinės ekonomikos direktyvų nuostatas.</w:t>
            </w:r>
            <w:r w:rsidRPr="00C6560C">
              <w:rPr>
                <w:color w:val="000000"/>
                <w:szCs w:val="24"/>
                <w:bdr w:val="none" w:sz="0" w:space="0" w:color="auto" w:frame="1"/>
                <w:lang w:eastAsia="en-GB"/>
              </w:rPr>
              <w:t xml:space="preserve"> 2021 m. sausio 8 d. Atliekų tvarkymo įstatymo, Pakuočių ir pakuočių atliekų tvarkymo įstatymų projektai pateikti Seimui. Įstatymų pakeitimai padės Lietuvos ekonomikai palaipsniui tapti žiedine – sudarys sąlygas lengviau pereiti prie žiedinės ekonomikos, užtikrinant, kad atliekos virstų ištekliais ir maksimaliai mažėtų jų kiekis.</w:t>
            </w:r>
          </w:p>
          <w:p w14:paraId="2AE72B97" w14:textId="77777777" w:rsidR="00C6560C" w:rsidRPr="00C6560C" w:rsidRDefault="00C6560C" w:rsidP="00C6560C">
            <w:pPr>
              <w:jc w:val="both"/>
              <w:rPr>
                <w:szCs w:val="24"/>
              </w:rPr>
            </w:pPr>
            <w:r w:rsidRPr="00C6560C">
              <w:rPr>
                <w:b/>
                <w:szCs w:val="24"/>
              </w:rPr>
              <w:t xml:space="preserve">Dalinis perėjimas prie elektromobilių naudojimo policijos reikmėms. </w:t>
            </w:r>
            <w:r w:rsidRPr="00C6560C">
              <w:rPr>
                <w:szCs w:val="24"/>
              </w:rPr>
              <w:t xml:space="preserve">Policijos departamento biudžete šiai priemonei lėšos  nenumatytos, todėl priemonė nepradėta įgyvendinti.  Pateiktas siūlymas finansuoti pagal DNR plane esančią Energetikos ministerijos  priemonę „Transporto priemonių, naudojančių elektrą, suslėgtas gamtines dujas, suskystintas gamtines dujas, </w:t>
            </w:r>
            <w:proofErr w:type="spellStart"/>
            <w:r w:rsidRPr="00C6560C">
              <w:rPr>
                <w:szCs w:val="24"/>
              </w:rPr>
              <w:t>biometaną</w:t>
            </w:r>
            <w:proofErr w:type="spellEnd"/>
            <w:r w:rsidRPr="00C6560C">
              <w:rPr>
                <w:szCs w:val="24"/>
              </w:rPr>
              <w:t>, vandenilį, įsigijimas ir joms reikalingos infrastruktūros sukūrimas ir (ar) plėtra, užtikrinant bazinį sukurtos infrastruktūros vartotoją (tęstinė Klimato kaitos programos lėšomis finansuojama priemonė)“ praplečiant pareiškėjų ratą. Policijos departamentas atliko rinkos analizę dėl techninių specifikacijų rengimo.</w:t>
            </w:r>
          </w:p>
          <w:p w14:paraId="01801640" w14:textId="77777777" w:rsidR="00C6560C" w:rsidRPr="00C6560C" w:rsidRDefault="00C6560C" w:rsidP="00C6560C">
            <w:pPr>
              <w:jc w:val="both"/>
              <w:rPr>
                <w:color w:val="000000"/>
                <w:szCs w:val="24"/>
                <w:bdr w:val="none" w:sz="0" w:space="0" w:color="auto" w:frame="1"/>
                <w:lang w:eastAsia="en-GB"/>
              </w:rPr>
            </w:pPr>
            <w:r w:rsidRPr="00C6560C">
              <w:rPr>
                <w:szCs w:val="24"/>
              </w:rPr>
              <w:t>Didinamas alternatyvių degalų naudojimo mastas ir kartu mažinamas neigiamas poveikis aplinkai. Diversifikuojamas policijos naudojamas transportas, siekiant plėtoti darnaus transporto principus.</w:t>
            </w:r>
          </w:p>
          <w:p w14:paraId="29E25949" w14:textId="77777777" w:rsidR="00C6560C" w:rsidRPr="00C6560C" w:rsidRDefault="00C6560C" w:rsidP="00C6560C">
            <w:pPr>
              <w:jc w:val="both"/>
              <w:rPr>
                <w:color w:val="000000"/>
                <w:szCs w:val="24"/>
                <w:bdr w:val="none" w:sz="0" w:space="0" w:color="auto" w:frame="1"/>
                <w:lang w:eastAsia="en-GB"/>
              </w:rPr>
            </w:pPr>
            <w:r w:rsidRPr="00C6560C">
              <w:rPr>
                <w:b/>
                <w:szCs w:val="24"/>
              </w:rPr>
              <w:t>Geležinkelių jungties „</w:t>
            </w:r>
            <w:proofErr w:type="spellStart"/>
            <w:r w:rsidRPr="00C6560C">
              <w:rPr>
                <w:b/>
                <w:szCs w:val="24"/>
              </w:rPr>
              <w:t>Rail</w:t>
            </w:r>
            <w:proofErr w:type="spellEnd"/>
            <w:r w:rsidRPr="00C6560C">
              <w:rPr>
                <w:b/>
                <w:szCs w:val="24"/>
              </w:rPr>
              <w:t xml:space="preserve"> </w:t>
            </w:r>
            <w:proofErr w:type="spellStart"/>
            <w:r w:rsidRPr="00C6560C">
              <w:rPr>
                <w:b/>
                <w:szCs w:val="24"/>
              </w:rPr>
              <w:t>Baltica</w:t>
            </w:r>
            <w:proofErr w:type="spellEnd"/>
            <w:r w:rsidRPr="00C6560C">
              <w:rPr>
                <w:b/>
                <w:szCs w:val="24"/>
              </w:rPr>
              <w:t xml:space="preserve">“ plėtra. Automobilių kelių jungties „Via </w:t>
            </w:r>
            <w:proofErr w:type="spellStart"/>
            <w:r w:rsidRPr="00C6560C">
              <w:rPr>
                <w:b/>
                <w:szCs w:val="24"/>
              </w:rPr>
              <w:t>Baltica</w:t>
            </w:r>
            <w:proofErr w:type="spellEnd"/>
            <w:r w:rsidRPr="00C6560C">
              <w:rPr>
                <w:b/>
                <w:szCs w:val="24"/>
              </w:rPr>
              <w:t>“ plėtra. Uostų, oro uostų ir susijusios infrastruktūros saugos, saugumo ir konkurencingumo užtikrinimas didinant jų pajėgumus.</w:t>
            </w:r>
          </w:p>
          <w:p w14:paraId="6B881CA9" w14:textId="77777777" w:rsidR="00C6560C" w:rsidRPr="00C6560C" w:rsidRDefault="00C6560C" w:rsidP="00C6560C">
            <w:pPr>
              <w:jc w:val="both"/>
              <w:rPr>
                <w:bCs/>
                <w:szCs w:val="24"/>
              </w:rPr>
            </w:pPr>
            <w:r w:rsidRPr="00C6560C">
              <w:rPr>
                <w:b/>
                <w:szCs w:val="24"/>
              </w:rPr>
              <w:t>„</w:t>
            </w:r>
            <w:proofErr w:type="spellStart"/>
            <w:r w:rsidRPr="00C6560C">
              <w:rPr>
                <w:b/>
                <w:szCs w:val="24"/>
              </w:rPr>
              <w:t>Rail</w:t>
            </w:r>
            <w:proofErr w:type="spellEnd"/>
            <w:r w:rsidRPr="00C6560C">
              <w:rPr>
                <w:b/>
                <w:szCs w:val="24"/>
              </w:rPr>
              <w:t xml:space="preserve"> </w:t>
            </w:r>
            <w:proofErr w:type="spellStart"/>
            <w:r w:rsidRPr="00C6560C">
              <w:rPr>
                <w:b/>
                <w:szCs w:val="24"/>
              </w:rPr>
              <w:t>Baltica</w:t>
            </w:r>
            <w:proofErr w:type="spellEnd"/>
            <w:r w:rsidRPr="00C6560C">
              <w:rPr>
                <w:b/>
                <w:szCs w:val="24"/>
              </w:rPr>
              <w:t xml:space="preserve">“. </w:t>
            </w:r>
            <w:r w:rsidRPr="00C6560C">
              <w:rPr>
                <w:bCs/>
                <w:szCs w:val="24"/>
              </w:rPr>
              <w:t xml:space="preserve">2020 m. spalio 5 d. baigtas tiesti 1 435 mm pločio vėžės kelias nuo Kauno geležinkelio stoties iki Kauno </w:t>
            </w:r>
            <w:proofErr w:type="spellStart"/>
            <w:r w:rsidRPr="00C6560C">
              <w:rPr>
                <w:bCs/>
                <w:szCs w:val="24"/>
              </w:rPr>
              <w:t>intermodalinio</w:t>
            </w:r>
            <w:proofErr w:type="spellEnd"/>
            <w:r w:rsidRPr="00C6560C">
              <w:rPr>
                <w:bCs/>
                <w:szCs w:val="24"/>
              </w:rPr>
              <w:t xml:space="preserve"> terminalo Palemone (9,1 km). Atliekami tvarkomieji darbai. </w:t>
            </w:r>
            <w:bookmarkStart w:id="51" w:name="_Hlk57383780"/>
            <w:r w:rsidRPr="00C6560C">
              <w:rPr>
                <w:bCs/>
                <w:szCs w:val="24"/>
              </w:rPr>
              <w:t>Vykdomi kiti numatyti  „</w:t>
            </w:r>
            <w:proofErr w:type="spellStart"/>
            <w:r w:rsidRPr="00C6560C">
              <w:rPr>
                <w:bCs/>
                <w:szCs w:val="24"/>
              </w:rPr>
              <w:t>Rail</w:t>
            </w:r>
            <w:proofErr w:type="spellEnd"/>
            <w:r w:rsidRPr="00C6560C">
              <w:rPr>
                <w:bCs/>
                <w:szCs w:val="24"/>
              </w:rPr>
              <w:t xml:space="preserve"> </w:t>
            </w:r>
            <w:proofErr w:type="spellStart"/>
            <w:r w:rsidRPr="00C6560C">
              <w:rPr>
                <w:bCs/>
                <w:szCs w:val="24"/>
              </w:rPr>
              <w:t>Baltica</w:t>
            </w:r>
            <w:proofErr w:type="spellEnd"/>
            <w:r w:rsidRPr="00C6560C">
              <w:rPr>
                <w:bCs/>
                <w:szCs w:val="24"/>
              </w:rPr>
              <w:t xml:space="preserve">“ plėtros darbai – geležinkelio linijos ruože „Kaunas–Lietuvos ir Latvijos valstybių siena“ baigtas žemės paėmimas visuomenės poreikiams – geležinkelio linijai tiesti, </w:t>
            </w:r>
            <w:r w:rsidRPr="00C6560C">
              <w:rPr>
                <w:szCs w:val="24"/>
              </w:rPr>
              <w:t xml:space="preserve"> </w:t>
            </w:r>
            <w:r w:rsidRPr="00C6560C">
              <w:rPr>
                <w:bCs/>
                <w:szCs w:val="24"/>
              </w:rPr>
              <w:t xml:space="preserve">rengiamas techninis projektas,  vykdomi </w:t>
            </w:r>
            <w:r w:rsidRPr="00C6560C">
              <w:rPr>
                <w:szCs w:val="24"/>
              </w:rPr>
              <w:t xml:space="preserve"> </w:t>
            </w:r>
            <w:r w:rsidRPr="00C6560C">
              <w:rPr>
                <w:bCs/>
                <w:szCs w:val="24"/>
              </w:rPr>
              <w:t>statybos darbų  viešieji pirkimai, kitose geografinėse atkarpose vyksta teritorinio planavimo darbai.</w:t>
            </w:r>
          </w:p>
          <w:bookmarkEnd w:id="51"/>
          <w:p w14:paraId="5FC06E40" w14:textId="77777777" w:rsidR="00C6560C" w:rsidRPr="00C6560C" w:rsidRDefault="00C6560C" w:rsidP="00C6560C">
            <w:pPr>
              <w:jc w:val="both"/>
              <w:rPr>
                <w:bCs/>
                <w:szCs w:val="24"/>
              </w:rPr>
            </w:pPr>
            <w:r w:rsidRPr="00C6560C">
              <w:rPr>
                <w:b/>
                <w:szCs w:val="24"/>
              </w:rPr>
              <w:t xml:space="preserve">„Via </w:t>
            </w:r>
            <w:proofErr w:type="spellStart"/>
            <w:r w:rsidRPr="00C6560C">
              <w:rPr>
                <w:b/>
                <w:szCs w:val="24"/>
              </w:rPr>
              <w:t>Baltica</w:t>
            </w:r>
            <w:proofErr w:type="spellEnd"/>
            <w:r w:rsidRPr="00C6560C">
              <w:rPr>
                <w:b/>
                <w:szCs w:val="24"/>
              </w:rPr>
              <w:t>“.</w:t>
            </w:r>
            <w:r w:rsidRPr="00C6560C">
              <w:rPr>
                <w:bCs/>
                <w:szCs w:val="24"/>
              </w:rPr>
              <w:t xml:space="preserve"> </w:t>
            </w:r>
            <w:r w:rsidRPr="00C6560C">
              <w:rPr>
                <w:szCs w:val="24"/>
              </w:rPr>
              <w:t xml:space="preserve"> </w:t>
            </w:r>
            <w:r w:rsidRPr="00C6560C">
              <w:rPr>
                <w:bCs/>
                <w:szCs w:val="24"/>
              </w:rPr>
              <w:t xml:space="preserve">Numatyti automobilių kelių jungties „Via </w:t>
            </w:r>
            <w:proofErr w:type="spellStart"/>
            <w:r w:rsidRPr="00C6560C">
              <w:rPr>
                <w:bCs/>
                <w:szCs w:val="24"/>
              </w:rPr>
              <w:t>Baltica</w:t>
            </w:r>
            <w:proofErr w:type="spellEnd"/>
            <w:r w:rsidRPr="00C6560C">
              <w:rPr>
                <w:bCs/>
                <w:szCs w:val="24"/>
              </w:rPr>
              <w:t xml:space="preserve">“ plėtros </w:t>
            </w:r>
            <w:bookmarkStart w:id="52" w:name="_Hlk62563871"/>
            <w:r w:rsidRPr="00C6560C">
              <w:rPr>
                <w:bCs/>
                <w:szCs w:val="24"/>
              </w:rPr>
              <w:t>infrastruktūros projektai užbaigti 2019 m</w:t>
            </w:r>
            <w:bookmarkEnd w:id="52"/>
            <w:r w:rsidRPr="00C6560C">
              <w:rPr>
                <w:bCs/>
                <w:szCs w:val="24"/>
              </w:rPr>
              <w:t xml:space="preserve">., rekonstruota 77,54 km kelio. 2020 m.  buvo vykdomi parengiamieji darbai, skirti  tolesnei automobilių kelių jungties „Via </w:t>
            </w:r>
            <w:proofErr w:type="spellStart"/>
            <w:r w:rsidRPr="00C6560C">
              <w:rPr>
                <w:bCs/>
                <w:szCs w:val="24"/>
              </w:rPr>
              <w:t>Baltica</w:t>
            </w:r>
            <w:proofErr w:type="spellEnd"/>
            <w:r w:rsidRPr="00C6560C">
              <w:rPr>
                <w:bCs/>
                <w:szCs w:val="24"/>
              </w:rPr>
              <w:t>“ plėtrai – atliekama žemės paėmimo visuomenės poreikiams – valstybinės reikšmės magistralinio kelio A5 Kaunas–Marijampolė–Suvalkai ruožui nuo 56,83 iki 97,06 km rekonstruoti –   procedūra pagal specialiojo teritorijų planavimo dokumentą</w:t>
            </w:r>
            <w:r w:rsidRPr="00C6560C">
              <w:rPr>
                <w:szCs w:val="24"/>
              </w:rPr>
              <w:t xml:space="preserve"> </w:t>
            </w:r>
            <w:r w:rsidRPr="00C6560C">
              <w:rPr>
                <w:bCs/>
                <w:szCs w:val="24"/>
              </w:rPr>
              <w:t xml:space="preserve">ir rengiamas šio kelio </w:t>
            </w:r>
            <w:r w:rsidRPr="00C6560C">
              <w:rPr>
                <w:bCs/>
                <w:szCs w:val="24"/>
              </w:rPr>
              <w:lastRenderedPageBreak/>
              <w:t>ruožo nuo sankryžos su krašto keliu Nr. 130 Kaunas–Prienai–Alytus iki Kauno rajono savivaldybės teritorijos ribos susisiekimo komunikacijų inžinerinės infrastruktūros  plėtros  plano teritorijų planavimo dokumentas .</w:t>
            </w:r>
          </w:p>
          <w:p w14:paraId="7452703A" w14:textId="77777777" w:rsidR="00C6560C" w:rsidRPr="00C6560C" w:rsidRDefault="00C6560C" w:rsidP="00C6560C">
            <w:pPr>
              <w:jc w:val="both"/>
              <w:rPr>
                <w:bCs/>
                <w:color w:val="000000"/>
                <w:szCs w:val="24"/>
                <w:bdr w:val="none" w:sz="0" w:space="0" w:color="auto" w:frame="1"/>
                <w:lang w:eastAsia="en-GB"/>
              </w:rPr>
            </w:pPr>
            <w:r w:rsidRPr="00C6560C">
              <w:rPr>
                <w:bCs/>
                <w:szCs w:val="24"/>
              </w:rPr>
              <w:t xml:space="preserve">Tęsiami </w:t>
            </w:r>
            <w:r w:rsidRPr="00C6560C">
              <w:rPr>
                <w:b/>
                <w:szCs w:val="24"/>
              </w:rPr>
              <w:t>jūrų uosto ir oro uostų</w:t>
            </w:r>
            <w:r w:rsidRPr="00C6560C">
              <w:rPr>
                <w:bCs/>
                <w:szCs w:val="24"/>
              </w:rPr>
              <w:t xml:space="preserve"> infrastruktūros modernizavimo ir rekonstrukcijos darbai, kurie padės didinti krovinių ir keleivių junglumą su kitomis valstybėmis.</w:t>
            </w:r>
          </w:p>
          <w:p w14:paraId="19A85F41" w14:textId="77777777" w:rsidR="00C6560C" w:rsidRPr="00C6560C" w:rsidRDefault="00C6560C" w:rsidP="00C6560C">
            <w:pPr>
              <w:jc w:val="both"/>
              <w:rPr>
                <w:szCs w:val="24"/>
              </w:rPr>
            </w:pPr>
            <w:r w:rsidRPr="00C6560C">
              <w:rPr>
                <w:bCs/>
                <w:szCs w:val="24"/>
              </w:rPr>
              <w:t>Į</w:t>
            </w:r>
            <w:r w:rsidRPr="00C6560C">
              <w:rPr>
                <w:szCs w:val="24"/>
              </w:rPr>
              <w:t>gyvendinamos priemonės pagerins Lietuvos junglumą su bendrąja Europos rinka.</w:t>
            </w:r>
          </w:p>
          <w:p w14:paraId="6B5AEF97" w14:textId="775534BD" w:rsidR="00C6560C" w:rsidRPr="00C6560C" w:rsidRDefault="00C6560C" w:rsidP="00C6560C">
            <w:pPr>
              <w:jc w:val="both"/>
              <w:rPr>
                <w:bCs/>
                <w:szCs w:val="24"/>
              </w:rPr>
            </w:pPr>
            <w:r w:rsidRPr="00C6560C">
              <w:rPr>
                <w:b/>
                <w:bCs/>
                <w:szCs w:val="24"/>
              </w:rPr>
              <w:t>Energijos vartojimo efektyvumo didinimo transporto sektoriuje skatinimas.</w:t>
            </w:r>
            <w:bookmarkStart w:id="53" w:name="_Hlk63667647"/>
            <w:r w:rsidRPr="00C6560C">
              <w:rPr>
                <w:b/>
                <w:bCs/>
                <w:szCs w:val="24"/>
              </w:rPr>
              <w:t xml:space="preserve"> </w:t>
            </w:r>
            <w:r w:rsidRPr="00C6560C">
              <w:rPr>
                <w:bCs/>
                <w:szCs w:val="24"/>
              </w:rPr>
              <w:t>Siekiant sumažinti neigiamą poveikį aplinkai ir skatinti energijos vartojimo efektyvumą, 2014–2020 m. naudojant ES fondų investicijas vietinio (miesto ir priemiestinio) viešojo transporto priemonių parkas atnaujinimas ekologiškomis transporto priemonėmis (iki 2020 m. pabaigos įsigyta 141 vnt.), plėtojama elektromobilių įkrovimo infrastruktūra (automagistralėse Vilnius–Klaipėda, Vilnius–Panevėžys ir šalia kitų valstybinės reikšmės kelių įrengtos 26 greito įkrovimo stotelės, 17-ikoje Lietuvos savivaldybių – 33 didelės ir 23 įprastos galios įkrovimo stotelės), rekonstruojami ir plėtojami  dviračių ir / ar pėsčiųjų takai ir / ar trasos  (</w:t>
            </w:r>
            <w:r w:rsidRPr="00C6560C">
              <w:rPr>
                <w:color w:val="000000"/>
                <w:szCs w:val="24"/>
              </w:rPr>
              <w:t xml:space="preserve">2016–2020 m. laikotarpiu </w:t>
            </w:r>
            <w:r w:rsidRPr="00C6560C">
              <w:rPr>
                <w:szCs w:val="24"/>
              </w:rPr>
              <w:t xml:space="preserve"> prie </w:t>
            </w:r>
            <w:r w:rsidRPr="00C6560C">
              <w:rPr>
                <w:color w:val="000000"/>
                <w:szCs w:val="24"/>
              </w:rPr>
              <w:t xml:space="preserve">valstybinės ir vietinės reikšmės kelių įrengta </w:t>
            </w:r>
            <w:r w:rsidRPr="00C6560C">
              <w:rPr>
                <w:bCs/>
                <w:szCs w:val="24"/>
              </w:rPr>
              <w:t xml:space="preserve">118,6 km, įgyvendinant savivaldybių projektus, </w:t>
            </w:r>
            <w:r w:rsidRPr="00C6560C">
              <w:rPr>
                <w:rFonts w:eastAsia="Calibri"/>
                <w:szCs w:val="24"/>
              </w:rPr>
              <w:t>finansuojamus ES fondų investicijomis</w:t>
            </w:r>
            <w:r w:rsidRPr="00C6560C">
              <w:rPr>
                <w:bCs/>
                <w:szCs w:val="24"/>
              </w:rPr>
              <w:t xml:space="preserve"> – 49,83 km). </w:t>
            </w:r>
            <w:r w:rsidR="0002580A">
              <w:rPr>
                <w:bCs/>
                <w:szCs w:val="24"/>
              </w:rPr>
              <w:t>EK</w:t>
            </w:r>
            <w:r w:rsidRPr="00C6560C">
              <w:rPr>
                <w:bCs/>
                <w:szCs w:val="24"/>
              </w:rPr>
              <w:t xml:space="preserve"> pateiktas Lietuvos Respublikos nacionalinis energetikos ir klimato srities veiksmų planas 2021–2030 m., kuriame  numatytos priemonės, prisidedančios prie energijos vartojimo efektyvumo didinimo transporto sektoriuje skatinimo</w:t>
            </w:r>
            <w:bookmarkEnd w:id="53"/>
            <w:r w:rsidRPr="00C6560C">
              <w:rPr>
                <w:bCs/>
                <w:szCs w:val="24"/>
              </w:rPr>
              <w:t>.</w:t>
            </w:r>
          </w:p>
          <w:p w14:paraId="1AA66FCA" w14:textId="77777777" w:rsidR="00C6560C" w:rsidRPr="00C6560C" w:rsidRDefault="00C6560C" w:rsidP="00C6560C">
            <w:pPr>
              <w:jc w:val="both"/>
              <w:rPr>
                <w:szCs w:val="24"/>
              </w:rPr>
            </w:pPr>
            <w:r w:rsidRPr="00C6560C">
              <w:rPr>
                <w:bCs/>
                <w:szCs w:val="24"/>
              </w:rPr>
              <w:t>S</w:t>
            </w:r>
            <w:r w:rsidRPr="00C6560C">
              <w:rPr>
                <w:szCs w:val="24"/>
              </w:rPr>
              <w:t>utelkti su investicijomis susijusią ekonominę politiką tvaraus transporto srityje. Įgyvendinant šią priemonę, mažinamas neigiamas poveikis aplinkai, didinamas alternatyvių degalų naudojimo mastas.</w:t>
            </w:r>
          </w:p>
          <w:p w14:paraId="7E1B5CA4" w14:textId="77777777" w:rsidR="00C6560C" w:rsidRPr="00C6560C" w:rsidRDefault="00C6560C" w:rsidP="00C6560C">
            <w:pPr>
              <w:ind w:left="22"/>
              <w:jc w:val="both"/>
              <w:rPr>
                <w:bCs/>
                <w:color w:val="000000"/>
                <w:szCs w:val="24"/>
                <w:bdr w:val="none" w:sz="0" w:space="0" w:color="auto" w:frame="1"/>
                <w:lang w:eastAsia="en-GB"/>
              </w:rPr>
            </w:pPr>
            <w:r w:rsidRPr="00C6560C">
              <w:rPr>
                <w:b/>
                <w:bCs/>
                <w:szCs w:val="24"/>
              </w:rPr>
              <w:t xml:space="preserve">Įgyvendinimas projektas „Naujos kartos interneto prieigos infrastruktūros plėtra“. </w:t>
            </w:r>
            <w:r w:rsidRPr="00C6560C">
              <w:rPr>
                <w:szCs w:val="24"/>
              </w:rPr>
              <w:t>Vykdant projektą planuojama pastatyti apie 50 ryšio bokštų ir nutiesti apie 1 210 km šviesolaidinių kabelių linijų. Jau paklota 778 km šviesolaidinių linijų,  prijungti 226 esami ryšio infrastruktūros objektai, gauti 25-ių ryšio bokštų statybą leidžiantys dokumentai, vyksta tolesni linijų klojimo, ryšio bokštų projektavimo ir įrengimo, elektros generatorių diegimo ir kiti numatyti darbai. Teritorijose, kuriose nėra galimybių suprojektuoti ryšio bokštų, planuojama įrengti pasyvaus šviesolaidinio tinklo (angl.</w:t>
            </w:r>
            <w:r w:rsidRPr="00C6560C">
              <w:rPr>
                <w:i/>
                <w:iCs/>
                <w:szCs w:val="24"/>
              </w:rPr>
              <w:t xml:space="preserve"> </w:t>
            </w:r>
            <w:proofErr w:type="spellStart"/>
            <w:r w:rsidRPr="00C6560C">
              <w:rPr>
                <w:i/>
                <w:iCs/>
                <w:szCs w:val="24"/>
              </w:rPr>
              <w:t>Gigabit</w:t>
            </w:r>
            <w:proofErr w:type="spellEnd"/>
            <w:r w:rsidRPr="00C6560C">
              <w:rPr>
                <w:i/>
                <w:iCs/>
                <w:szCs w:val="24"/>
              </w:rPr>
              <w:t xml:space="preserve"> </w:t>
            </w:r>
            <w:proofErr w:type="spellStart"/>
            <w:r w:rsidRPr="00C6560C">
              <w:rPr>
                <w:i/>
                <w:iCs/>
                <w:szCs w:val="24"/>
              </w:rPr>
              <w:t>Passive</w:t>
            </w:r>
            <w:proofErr w:type="spellEnd"/>
            <w:r w:rsidRPr="00C6560C">
              <w:rPr>
                <w:i/>
                <w:iCs/>
                <w:szCs w:val="24"/>
              </w:rPr>
              <w:t xml:space="preserve"> </w:t>
            </w:r>
            <w:proofErr w:type="spellStart"/>
            <w:r w:rsidRPr="00C6560C">
              <w:rPr>
                <w:i/>
                <w:iCs/>
                <w:szCs w:val="24"/>
              </w:rPr>
              <w:t>Optical</w:t>
            </w:r>
            <w:proofErr w:type="spellEnd"/>
            <w:r w:rsidRPr="00C6560C">
              <w:rPr>
                <w:i/>
                <w:iCs/>
                <w:szCs w:val="24"/>
              </w:rPr>
              <w:t xml:space="preserve"> Network</w:t>
            </w:r>
            <w:r w:rsidRPr="00C6560C">
              <w:rPr>
                <w:szCs w:val="24"/>
              </w:rPr>
              <w:t xml:space="preserve"> (GPON) tankinimo infrastruktūrą, įrengiant apie 8 500 prisijungimo taškų. Sukurtas tinklas praplės viešosios įstaigos „Plačiajuostis internetas“ valdomą šviesolaidinį tinklą ir užtikrins galimybes operatoriams teikti sparčias naujos kartos interneto prieigos paslaugas galutiniams vartotojams.</w:t>
            </w:r>
          </w:p>
          <w:p w14:paraId="7ABDEB9F" w14:textId="77777777" w:rsidR="00C6560C" w:rsidRPr="00C6560C" w:rsidRDefault="00C6560C" w:rsidP="00C6560C">
            <w:pPr>
              <w:jc w:val="both"/>
              <w:rPr>
                <w:szCs w:val="24"/>
              </w:rPr>
            </w:pPr>
            <w:r w:rsidRPr="00C6560C">
              <w:rPr>
                <w:bCs/>
                <w:szCs w:val="24"/>
              </w:rPr>
              <w:t>Į</w:t>
            </w:r>
            <w:r w:rsidRPr="00C6560C">
              <w:rPr>
                <w:szCs w:val="24"/>
              </w:rPr>
              <w:t>gyvendinta priemonė leis plačiau padengti  Lietuvos teritoriją  naujos kartos interneto ryšiu.</w:t>
            </w:r>
          </w:p>
        </w:tc>
      </w:tr>
    </w:tbl>
    <w:p w14:paraId="59198422" w14:textId="77777777" w:rsidR="00C6560C" w:rsidRPr="00C6560C" w:rsidRDefault="00C6560C" w:rsidP="00C6560C">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3"/>
        <w:gridCol w:w="1687"/>
        <w:gridCol w:w="1508"/>
        <w:gridCol w:w="1419"/>
        <w:gridCol w:w="1508"/>
        <w:gridCol w:w="1533"/>
      </w:tblGrid>
      <w:tr w:rsidR="00C6560C" w:rsidRPr="00C6560C" w14:paraId="162E95F8" w14:textId="77777777" w:rsidTr="002624F5">
        <w:trPr>
          <w:trHeight w:val="146"/>
        </w:trPr>
        <w:tc>
          <w:tcPr>
            <w:tcW w:w="2513" w:type="pct"/>
            <w:shd w:val="clear" w:color="auto" w:fill="1F4E79"/>
          </w:tcPr>
          <w:p w14:paraId="42EEE79D" w14:textId="77777777" w:rsidR="00C6560C" w:rsidRPr="00C6560C" w:rsidRDefault="00C6560C" w:rsidP="00C6560C">
            <w:pPr>
              <w:tabs>
                <w:tab w:val="left" w:pos="1741"/>
              </w:tabs>
              <w:rPr>
                <w:b/>
                <w:i/>
                <w:color w:val="FFFFFF"/>
                <w:szCs w:val="24"/>
              </w:rPr>
            </w:pPr>
            <w:r w:rsidRPr="00C6560C">
              <w:rPr>
                <w:b/>
                <w:i/>
                <w:color w:val="FFFFFF"/>
                <w:szCs w:val="24"/>
              </w:rPr>
              <w:t>Rodikliai</w:t>
            </w:r>
          </w:p>
        </w:tc>
        <w:tc>
          <w:tcPr>
            <w:tcW w:w="548" w:type="pct"/>
            <w:shd w:val="clear" w:color="auto" w:fill="1F4E79"/>
            <w:vAlign w:val="center"/>
          </w:tcPr>
          <w:p w14:paraId="62385503" w14:textId="77777777" w:rsidR="00C6560C" w:rsidRPr="00C6560C" w:rsidRDefault="00C6560C" w:rsidP="00C6560C">
            <w:pPr>
              <w:tabs>
                <w:tab w:val="left" w:pos="1741"/>
              </w:tabs>
              <w:jc w:val="center"/>
              <w:rPr>
                <w:b/>
                <w:i/>
                <w:color w:val="FFFFFF"/>
                <w:szCs w:val="24"/>
              </w:rPr>
            </w:pPr>
          </w:p>
        </w:tc>
        <w:tc>
          <w:tcPr>
            <w:tcW w:w="490" w:type="pct"/>
            <w:shd w:val="clear" w:color="auto" w:fill="1F4E79"/>
            <w:vAlign w:val="center"/>
          </w:tcPr>
          <w:p w14:paraId="26225245" w14:textId="77777777" w:rsidR="00C6560C" w:rsidRPr="00C6560C" w:rsidRDefault="00C6560C" w:rsidP="00C6560C">
            <w:pPr>
              <w:tabs>
                <w:tab w:val="left" w:pos="1741"/>
              </w:tabs>
              <w:jc w:val="center"/>
              <w:rPr>
                <w:b/>
                <w:i/>
                <w:color w:val="FFFFFF"/>
                <w:szCs w:val="24"/>
              </w:rPr>
            </w:pPr>
            <w:r w:rsidRPr="00C6560C">
              <w:rPr>
                <w:b/>
                <w:i/>
                <w:color w:val="FFFFFF"/>
                <w:szCs w:val="24"/>
              </w:rPr>
              <w:t>2018</w:t>
            </w:r>
          </w:p>
        </w:tc>
        <w:tc>
          <w:tcPr>
            <w:tcW w:w="461" w:type="pct"/>
            <w:shd w:val="clear" w:color="auto" w:fill="1F4E79"/>
            <w:vAlign w:val="center"/>
          </w:tcPr>
          <w:p w14:paraId="0DBAF66A" w14:textId="77777777" w:rsidR="00C6560C" w:rsidRPr="00C6560C" w:rsidRDefault="00C6560C" w:rsidP="00C6560C">
            <w:pPr>
              <w:tabs>
                <w:tab w:val="left" w:pos="1741"/>
              </w:tabs>
              <w:jc w:val="center"/>
              <w:rPr>
                <w:b/>
                <w:i/>
                <w:color w:val="FFFFFF"/>
                <w:szCs w:val="24"/>
              </w:rPr>
            </w:pPr>
            <w:r w:rsidRPr="00C6560C">
              <w:rPr>
                <w:b/>
                <w:i/>
                <w:color w:val="FFFFFF"/>
                <w:szCs w:val="24"/>
              </w:rPr>
              <w:t>2019</w:t>
            </w:r>
          </w:p>
        </w:tc>
        <w:tc>
          <w:tcPr>
            <w:tcW w:w="490" w:type="pct"/>
            <w:shd w:val="clear" w:color="auto" w:fill="1F4E79"/>
            <w:vAlign w:val="center"/>
          </w:tcPr>
          <w:p w14:paraId="588BEFB6" w14:textId="77777777" w:rsidR="00C6560C" w:rsidRPr="00C6560C" w:rsidRDefault="00C6560C" w:rsidP="00C6560C">
            <w:pPr>
              <w:tabs>
                <w:tab w:val="left" w:pos="1741"/>
              </w:tabs>
              <w:jc w:val="center"/>
              <w:rPr>
                <w:b/>
                <w:i/>
                <w:color w:val="FFFFFF"/>
                <w:szCs w:val="24"/>
              </w:rPr>
            </w:pPr>
            <w:r w:rsidRPr="00C6560C">
              <w:rPr>
                <w:b/>
                <w:i/>
                <w:color w:val="FFFFFF"/>
                <w:szCs w:val="24"/>
              </w:rPr>
              <w:t>2020</w:t>
            </w:r>
          </w:p>
        </w:tc>
        <w:tc>
          <w:tcPr>
            <w:tcW w:w="498" w:type="pct"/>
            <w:shd w:val="clear" w:color="auto" w:fill="1F4E79"/>
            <w:vAlign w:val="center"/>
          </w:tcPr>
          <w:p w14:paraId="0B780398" w14:textId="77777777" w:rsidR="00C6560C" w:rsidRPr="00C6560C" w:rsidRDefault="00C6560C" w:rsidP="00C6560C">
            <w:pPr>
              <w:tabs>
                <w:tab w:val="left" w:pos="1741"/>
              </w:tabs>
              <w:jc w:val="center"/>
              <w:rPr>
                <w:b/>
                <w:i/>
                <w:color w:val="FFFFFF"/>
                <w:szCs w:val="24"/>
              </w:rPr>
            </w:pPr>
            <w:r w:rsidRPr="00C6560C">
              <w:rPr>
                <w:b/>
                <w:i/>
                <w:color w:val="FFFFFF"/>
                <w:szCs w:val="24"/>
              </w:rPr>
              <w:t>2021</w:t>
            </w:r>
          </w:p>
        </w:tc>
      </w:tr>
      <w:tr w:rsidR="00C6560C" w:rsidRPr="00C6560C" w14:paraId="1C358FC7" w14:textId="77777777" w:rsidTr="002624F5">
        <w:trPr>
          <w:trHeight w:val="293"/>
        </w:trPr>
        <w:tc>
          <w:tcPr>
            <w:tcW w:w="2513" w:type="pct"/>
            <w:vMerge w:val="restart"/>
            <w:shd w:val="clear" w:color="auto" w:fill="auto"/>
          </w:tcPr>
          <w:p w14:paraId="143C03F8" w14:textId="77777777" w:rsidR="00C6560C" w:rsidRPr="00C6560C" w:rsidRDefault="00C6560C" w:rsidP="00C6560C">
            <w:pPr>
              <w:tabs>
                <w:tab w:val="left" w:pos="1741"/>
              </w:tabs>
              <w:jc w:val="both"/>
              <w:rPr>
                <w:b/>
                <w:i/>
                <w:iCs/>
                <w:szCs w:val="24"/>
              </w:rPr>
            </w:pPr>
            <w:r w:rsidRPr="00C6560C">
              <w:rPr>
                <w:b/>
                <w:i/>
                <w:iCs/>
                <w:szCs w:val="24"/>
              </w:rPr>
              <w:t>Įgyvendinta sinchronizacijos su kontinentinės Europos elektros tinklais (KET) projekto dalis, proc.</w:t>
            </w:r>
          </w:p>
        </w:tc>
        <w:tc>
          <w:tcPr>
            <w:tcW w:w="548" w:type="pct"/>
            <w:shd w:val="clear" w:color="auto" w:fill="B4C6E7"/>
            <w:vAlign w:val="center"/>
          </w:tcPr>
          <w:p w14:paraId="5D70EF66" w14:textId="77777777" w:rsidR="00C6560C" w:rsidRPr="00C6560C" w:rsidRDefault="00C6560C" w:rsidP="00C6560C">
            <w:pPr>
              <w:tabs>
                <w:tab w:val="left" w:pos="1741"/>
              </w:tabs>
              <w:jc w:val="center"/>
              <w:rPr>
                <w:i/>
                <w:szCs w:val="24"/>
              </w:rPr>
            </w:pPr>
            <w:r w:rsidRPr="00C6560C">
              <w:rPr>
                <w:i/>
                <w:szCs w:val="24"/>
              </w:rPr>
              <w:t>Planas</w:t>
            </w:r>
          </w:p>
        </w:tc>
        <w:tc>
          <w:tcPr>
            <w:tcW w:w="490" w:type="pct"/>
            <w:shd w:val="clear" w:color="auto" w:fill="B4C6E7"/>
            <w:vAlign w:val="center"/>
          </w:tcPr>
          <w:p w14:paraId="509CFFA2" w14:textId="77777777" w:rsidR="00C6560C" w:rsidRPr="00C6560C" w:rsidRDefault="00C6560C" w:rsidP="00C6560C">
            <w:pPr>
              <w:tabs>
                <w:tab w:val="left" w:pos="1741"/>
              </w:tabs>
              <w:jc w:val="center"/>
              <w:rPr>
                <w:i/>
                <w:szCs w:val="24"/>
              </w:rPr>
            </w:pPr>
            <w:r w:rsidRPr="00C6560C">
              <w:rPr>
                <w:i/>
                <w:szCs w:val="24"/>
              </w:rPr>
              <w:t>35</w:t>
            </w:r>
          </w:p>
        </w:tc>
        <w:tc>
          <w:tcPr>
            <w:tcW w:w="461" w:type="pct"/>
            <w:shd w:val="clear" w:color="auto" w:fill="B4C6E7"/>
            <w:vAlign w:val="center"/>
          </w:tcPr>
          <w:p w14:paraId="3207D30D" w14:textId="77777777" w:rsidR="00C6560C" w:rsidRPr="00C6560C" w:rsidRDefault="00C6560C" w:rsidP="00C6560C">
            <w:pPr>
              <w:tabs>
                <w:tab w:val="left" w:pos="1741"/>
              </w:tabs>
              <w:jc w:val="center"/>
              <w:rPr>
                <w:i/>
                <w:szCs w:val="24"/>
              </w:rPr>
            </w:pPr>
            <w:r w:rsidRPr="00C6560C">
              <w:rPr>
                <w:i/>
                <w:szCs w:val="24"/>
              </w:rPr>
              <w:t>40</w:t>
            </w:r>
          </w:p>
        </w:tc>
        <w:tc>
          <w:tcPr>
            <w:tcW w:w="490" w:type="pct"/>
            <w:shd w:val="clear" w:color="auto" w:fill="B4C6E7"/>
            <w:vAlign w:val="center"/>
          </w:tcPr>
          <w:p w14:paraId="71387475" w14:textId="77777777" w:rsidR="00C6560C" w:rsidRPr="00C6560C" w:rsidRDefault="00C6560C" w:rsidP="00C6560C">
            <w:pPr>
              <w:tabs>
                <w:tab w:val="left" w:pos="1741"/>
              </w:tabs>
              <w:jc w:val="center"/>
              <w:rPr>
                <w:i/>
                <w:szCs w:val="24"/>
              </w:rPr>
            </w:pPr>
            <w:r w:rsidRPr="00C6560C">
              <w:rPr>
                <w:i/>
                <w:szCs w:val="24"/>
              </w:rPr>
              <w:t>45</w:t>
            </w:r>
          </w:p>
        </w:tc>
        <w:tc>
          <w:tcPr>
            <w:tcW w:w="498" w:type="pct"/>
            <w:shd w:val="clear" w:color="auto" w:fill="B4C6E7"/>
            <w:vAlign w:val="center"/>
          </w:tcPr>
          <w:p w14:paraId="1DD8AB6F" w14:textId="77777777" w:rsidR="00C6560C" w:rsidRPr="00C6560C" w:rsidRDefault="00C6560C" w:rsidP="00C6560C">
            <w:pPr>
              <w:tabs>
                <w:tab w:val="left" w:pos="1741"/>
              </w:tabs>
              <w:jc w:val="center"/>
              <w:rPr>
                <w:i/>
                <w:szCs w:val="24"/>
              </w:rPr>
            </w:pPr>
            <w:r w:rsidRPr="00C6560C">
              <w:rPr>
                <w:i/>
                <w:szCs w:val="24"/>
              </w:rPr>
              <w:t>50</w:t>
            </w:r>
          </w:p>
        </w:tc>
      </w:tr>
      <w:tr w:rsidR="00C6560C" w:rsidRPr="00C6560C" w14:paraId="72E9319D" w14:textId="77777777" w:rsidTr="002624F5">
        <w:trPr>
          <w:trHeight w:val="293"/>
        </w:trPr>
        <w:tc>
          <w:tcPr>
            <w:tcW w:w="2513" w:type="pct"/>
            <w:vMerge/>
            <w:shd w:val="clear" w:color="auto" w:fill="auto"/>
          </w:tcPr>
          <w:p w14:paraId="4DD97F96" w14:textId="77777777" w:rsidR="00C6560C" w:rsidRPr="00C6560C" w:rsidRDefault="00C6560C" w:rsidP="00C6560C">
            <w:pPr>
              <w:tabs>
                <w:tab w:val="left" w:pos="1741"/>
              </w:tabs>
              <w:jc w:val="both"/>
              <w:rPr>
                <w:b/>
                <w:i/>
                <w:iCs/>
                <w:szCs w:val="24"/>
              </w:rPr>
            </w:pPr>
          </w:p>
        </w:tc>
        <w:tc>
          <w:tcPr>
            <w:tcW w:w="548" w:type="pct"/>
            <w:shd w:val="clear" w:color="auto" w:fill="auto"/>
            <w:vAlign w:val="center"/>
          </w:tcPr>
          <w:p w14:paraId="2C008379" w14:textId="77777777" w:rsidR="00C6560C" w:rsidRPr="00C6560C" w:rsidRDefault="00C6560C" w:rsidP="00C6560C">
            <w:pPr>
              <w:tabs>
                <w:tab w:val="left" w:pos="1741"/>
              </w:tabs>
              <w:jc w:val="center"/>
              <w:rPr>
                <w:i/>
                <w:szCs w:val="24"/>
              </w:rPr>
            </w:pPr>
            <w:r w:rsidRPr="00C6560C">
              <w:rPr>
                <w:i/>
                <w:szCs w:val="24"/>
              </w:rPr>
              <w:t>Faktas</w:t>
            </w:r>
          </w:p>
        </w:tc>
        <w:tc>
          <w:tcPr>
            <w:tcW w:w="490" w:type="pct"/>
            <w:shd w:val="clear" w:color="auto" w:fill="auto"/>
            <w:vAlign w:val="center"/>
          </w:tcPr>
          <w:p w14:paraId="2AC0749A" w14:textId="77777777" w:rsidR="00C6560C" w:rsidRPr="00C6560C" w:rsidRDefault="00C6560C" w:rsidP="00C6560C">
            <w:pPr>
              <w:tabs>
                <w:tab w:val="left" w:pos="1741"/>
              </w:tabs>
              <w:jc w:val="center"/>
              <w:rPr>
                <w:i/>
                <w:szCs w:val="24"/>
              </w:rPr>
            </w:pPr>
            <w:r w:rsidRPr="00C6560C">
              <w:rPr>
                <w:i/>
                <w:szCs w:val="24"/>
              </w:rPr>
              <w:t>35</w:t>
            </w:r>
          </w:p>
        </w:tc>
        <w:tc>
          <w:tcPr>
            <w:tcW w:w="461" w:type="pct"/>
            <w:shd w:val="clear" w:color="auto" w:fill="auto"/>
            <w:vAlign w:val="center"/>
          </w:tcPr>
          <w:p w14:paraId="344601E7" w14:textId="77777777" w:rsidR="00C6560C" w:rsidRPr="00C6560C" w:rsidRDefault="00C6560C" w:rsidP="00C6560C">
            <w:pPr>
              <w:tabs>
                <w:tab w:val="left" w:pos="1741"/>
              </w:tabs>
              <w:jc w:val="center"/>
              <w:rPr>
                <w:i/>
                <w:szCs w:val="24"/>
              </w:rPr>
            </w:pPr>
            <w:r w:rsidRPr="00C6560C">
              <w:rPr>
                <w:i/>
                <w:szCs w:val="24"/>
              </w:rPr>
              <w:t>40</w:t>
            </w:r>
          </w:p>
        </w:tc>
        <w:tc>
          <w:tcPr>
            <w:tcW w:w="490" w:type="pct"/>
            <w:shd w:val="clear" w:color="auto" w:fill="auto"/>
            <w:vAlign w:val="center"/>
          </w:tcPr>
          <w:p w14:paraId="7CC3B91B" w14:textId="77777777" w:rsidR="00C6560C" w:rsidRPr="00C6560C" w:rsidRDefault="00C6560C" w:rsidP="00C6560C">
            <w:pPr>
              <w:tabs>
                <w:tab w:val="left" w:pos="1741"/>
              </w:tabs>
              <w:jc w:val="center"/>
              <w:rPr>
                <w:i/>
                <w:szCs w:val="24"/>
              </w:rPr>
            </w:pPr>
            <w:r w:rsidRPr="00C6560C">
              <w:rPr>
                <w:i/>
                <w:szCs w:val="24"/>
              </w:rPr>
              <w:t>–</w:t>
            </w:r>
            <w:r w:rsidRPr="00C6560C">
              <w:rPr>
                <w:i/>
                <w:szCs w:val="24"/>
                <w:vertAlign w:val="superscript"/>
              </w:rPr>
              <w:footnoteReference w:id="21"/>
            </w:r>
          </w:p>
        </w:tc>
        <w:tc>
          <w:tcPr>
            <w:tcW w:w="498" w:type="pct"/>
            <w:shd w:val="clear" w:color="auto" w:fill="auto"/>
            <w:vAlign w:val="center"/>
          </w:tcPr>
          <w:p w14:paraId="7BA137DE" w14:textId="77777777" w:rsidR="00C6560C" w:rsidRPr="00C6560C" w:rsidRDefault="00C6560C" w:rsidP="00C6560C">
            <w:pPr>
              <w:tabs>
                <w:tab w:val="left" w:pos="1741"/>
              </w:tabs>
              <w:jc w:val="center"/>
              <w:rPr>
                <w:i/>
                <w:szCs w:val="24"/>
              </w:rPr>
            </w:pPr>
            <w:r w:rsidRPr="00C6560C">
              <w:rPr>
                <w:i/>
                <w:szCs w:val="24"/>
              </w:rPr>
              <w:t>–</w:t>
            </w:r>
          </w:p>
        </w:tc>
      </w:tr>
      <w:tr w:rsidR="00C6560C" w:rsidRPr="00C6560C" w14:paraId="2D403355" w14:textId="77777777" w:rsidTr="002624F5">
        <w:trPr>
          <w:trHeight w:val="293"/>
        </w:trPr>
        <w:tc>
          <w:tcPr>
            <w:tcW w:w="2513" w:type="pct"/>
            <w:vMerge w:val="restart"/>
            <w:shd w:val="clear" w:color="auto" w:fill="auto"/>
          </w:tcPr>
          <w:p w14:paraId="77213883" w14:textId="77777777" w:rsidR="00C6560C" w:rsidRPr="00C6560C" w:rsidRDefault="00C6560C" w:rsidP="00C6560C">
            <w:pPr>
              <w:tabs>
                <w:tab w:val="left" w:pos="1741"/>
              </w:tabs>
              <w:jc w:val="both"/>
              <w:rPr>
                <w:b/>
                <w:i/>
                <w:iCs/>
                <w:szCs w:val="24"/>
              </w:rPr>
            </w:pPr>
            <w:r w:rsidRPr="00C6560C">
              <w:rPr>
                <w:b/>
                <w:i/>
                <w:iCs/>
                <w:szCs w:val="24"/>
              </w:rPr>
              <w:t>Lietuvos ir Lenkijos dujotiekių jungties projekto (GIPL) įgyvendinimas, proc.</w:t>
            </w:r>
          </w:p>
        </w:tc>
        <w:tc>
          <w:tcPr>
            <w:tcW w:w="548" w:type="pct"/>
            <w:shd w:val="clear" w:color="auto" w:fill="B4C6E7"/>
          </w:tcPr>
          <w:p w14:paraId="5081E9C2" w14:textId="77777777" w:rsidR="00C6560C" w:rsidRPr="00C6560C" w:rsidRDefault="00C6560C" w:rsidP="00C6560C">
            <w:pPr>
              <w:tabs>
                <w:tab w:val="left" w:pos="1741"/>
              </w:tabs>
              <w:jc w:val="center"/>
              <w:rPr>
                <w:i/>
                <w:szCs w:val="24"/>
              </w:rPr>
            </w:pPr>
            <w:r w:rsidRPr="00C6560C">
              <w:rPr>
                <w:i/>
                <w:szCs w:val="24"/>
              </w:rPr>
              <w:t>Planas</w:t>
            </w:r>
          </w:p>
        </w:tc>
        <w:tc>
          <w:tcPr>
            <w:tcW w:w="490" w:type="pct"/>
            <w:shd w:val="clear" w:color="auto" w:fill="B4C6E7"/>
          </w:tcPr>
          <w:p w14:paraId="22F18E2C" w14:textId="77777777" w:rsidR="00C6560C" w:rsidRPr="00C6560C" w:rsidRDefault="00C6560C" w:rsidP="00C6560C">
            <w:pPr>
              <w:tabs>
                <w:tab w:val="left" w:pos="1741"/>
              </w:tabs>
              <w:jc w:val="center"/>
              <w:rPr>
                <w:i/>
                <w:szCs w:val="24"/>
              </w:rPr>
            </w:pPr>
            <w:r w:rsidRPr="00C6560C">
              <w:rPr>
                <w:i/>
                <w:szCs w:val="24"/>
              </w:rPr>
              <w:t>37</w:t>
            </w:r>
          </w:p>
        </w:tc>
        <w:tc>
          <w:tcPr>
            <w:tcW w:w="461" w:type="pct"/>
            <w:shd w:val="clear" w:color="auto" w:fill="B4C6E7"/>
          </w:tcPr>
          <w:p w14:paraId="27E7E788" w14:textId="77777777" w:rsidR="00C6560C" w:rsidRPr="00C6560C" w:rsidRDefault="00C6560C" w:rsidP="00C6560C">
            <w:pPr>
              <w:tabs>
                <w:tab w:val="left" w:pos="1741"/>
              </w:tabs>
              <w:jc w:val="center"/>
              <w:rPr>
                <w:i/>
                <w:szCs w:val="24"/>
              </w:rPr>
            </w:pPr>
            <w:r w:rsidRPr="00C6560C">
              <w:rPr>
                <w:i/>
                <w:szCs w:val="24"/>
              </w:rPr>
              <w:t>65</w:t>
            </w:r>
          </w:p>
        </w:tc>
        <w:tc>
          <w:tcPr>
            <w:tcW w:w="490" w:type="pct"/>
            <w:shd w:val="clear" w:color="auto" w:fill="B4C6E7"/>
          </w:tcPr>
          <w:p w14:paraId="06AA1311" w14:textId="77777777" w:rsidR="00C6560C" w:rsidRPr="00C6560C" w:rsidRDefault="00C6560C" w:rsidP="00C6560C">
            <w:pPr>
              <w:tabs>
                <w:tab w:val="left" w:pos="1741"/>
              </w:tabs>
              <w:jc w:val="center"/>
              <w:rPr>
                <w:i/>
                <w:szCs w:val="24"/>
              </w:rPr>
            </w:pPr>
            <w:r w:rsidRPr="00C6560C">
              <w:rPr>
                <w:i/>
                <w:szCs w:val="24"/>
              </w:rPr>
              <w:t>86</w:t>
            </w:r>
          </w:p>
        </w:tc>
        <w:tc>
          <w:tcPr>
            <w:tcW w:w="498" w:type="pct"/>
            <w:shd w:val="clear" w:color="auto" w:fill="B4C6E7"/>
          </w:tcPr>
          <w:p w14:paraId="45AA31AA" w14:textId="77777777" w:rsidR="00C6560C" w:rsidRPr="00C6560C" w:rsidRDefault="00C6560C" w:rsidP="00C6560C">
            <w:pPr>
              <w:tabs>
                <w:tab w:val="left" w:pos="1741"/>
              </w:tabs>
              <w:jc w:val="center"/>
              <w:rPr>
                <w:i/>
                <w:szCs w:val="24"/>
              </w:rPr>
            </w:pPr>
            <w:r w:rsidRPr="00C6560C">
              <w:rPr>
                <w:i/>
                <w:szCs w:val="24"/>
              </w:rPr>
              <w:t>100</w:t>
            </w:r>
          </w:p>
        </w:tc>
      </w:tr>
      <w:tr w:rsidR="00C6560C" w:rsidRPr="00C6560C" w14:paraId="7510EFBB" w14:textId="77777777" w:rsidTr="002624F5">
        <w:trPr>
          <w:trHeight w:val="293"/>
        </w:trPr>
        <w:tc>
          <w:tcPr>
            <w:tcW w:w="2513" w:type="pct"/>
            <w:vMerge/>
            <w:shd w:val="clear" w:color="auto" w:fill="auto"/>
          </w:tcPr>
          <w:p w14:paraId="12FDFEED" w14:textId="77777777" w:rsidR="00C6560C" w:rsidRPr="00C6560C" w:rsidRDefault="00C6560C" w:rsidP="00C6560C">
            <w:pPr>
              <w:tabs>
                <w:tab w:val="left" w:pos="1741"/>
              </w:tabs>
              <w:jc w:val="both"/>
              <w:rPr>
                <w:b/>
                <w:i/>
                <w:iCs/>
                <w:szCs w:val="24"/>
              </w:rPr>
            </w:pPr>
          </w:p>
        </w:tc>
        <w:tc>
          <w:tcPr>
            <w:tcW w:w="548" w:type="pct"/>
            <w:shd w:val="clear" w:color="auto" w:fill="auto"/>
          </w:tcPr>
          <w:p w14:paraId="352982AB" w14:textId="77777777" w:rsidR="00C6560C" w:rsidRPr="00C6560C" w:rsidRDefault="00C6560C" w:rsidP="00C6560C">
            <w:pPr>
              <w:tabs>
                <w:tab w:val="left" w:pos="1741"/>
              </w:tabs>
              <w:jc w:val="center"/>
              <w:rPr>
                <w:i/>
                <w:szCs w:val="24"/>
              </w:rPr>
            </w:pPr>
            <w:r w:rsidRPr="00C6560C">
              <w:rPr>
                <w:i/>
                <w:szCs w:val="24"/>
              </w:rPr>
              <w:t>Faktas</w:t>
            </w:r>
          </w:p>
        </w:tc>
        <w:tc>
          <w:tcPr>
            <w:tcW w:w="490" w:type="pct"/>
            <w:shd w:val="clear" w:color="auto" w:fill="auto"/>
          </w:tcPr>
          <w:p w14:paraId="1486B948" w14:textId="77777777" w:rsidR="00C6560C" w:rsidRPr="00C6560C" w:rsidRDefault="00C6560C" w:rsidP="00C6560C">
            <w:pPr>
              <w:tabs>
                <w:tab w:val="left" w:pos="1741"/>
              </w:tabs>
              <w:jc w:val="center"/>
              <w:rPr>
                <w:i/>
                <w:szCs w:val="24"/>
              </w:rPr>
            </w:pPr>
            <w:r w:rsidRPr="00C6560C">
              <w:rPr>
                <w:i/>
                <w:szCs w:val="24"/>
              </w:rPr>
              <w:t>18</w:t>
            </w:r>
          </w:p>
        </w:tc>
        <w:tc>
          <w:tcPr>
            <w:tcW w:w="461" w:type="pct"/>
            <w:shd w:val="clear" w:color="auto" w:fill="auto"/>
          </w:tcPr>
          <w:p w14:paraId="0F7ECCDC" w14:textId="77777777" w:rsidR="00C6560C" w:rsidRPr="00C6560C" w:rsidRDefault="00C6560C" w:rsidP="00C6560C">
            <w:pPr>
              <w:tabs>
                <w:tab w:val="left" w:pos="1741"/>
              </w:tabs>
              <w:jc w:val="center"/>
              <w:rPr>
                <w:i/>
                <w:szCs w:val="24"/>
              </w:rPr>
            </w:pPr>
            <w:r w:rsidRPr="00C6560C">
              <w:rPr>
                <w:i/>
                <w:szCs w:val="24"/>
              </w:rPr>
              <w:t>22</w:t>
            </w:r>
          </w:p>
        </w:tc>
        <w:tc>
          <w:tcPr>
            <w:tcW w:w="490" w:type="pct"/>
            <w:shd w:val="clear" w:color="auto" w:fill="auto"/>
          </w:tcPr>
          <w:p w14:paraId="0E85D543" w14:textId="77777777" w:rsidR="00C6560C" w:rsidRPr="00C6560C" w:rsidRDefault="00C6560C" w:rsidP="00C6560C">
            <w:pPr>
              <w:tabs>
                <w:tab w:val="left" w:pos="1741"/>
              </w:tabs>
              <w:jc w:val="center"/>
              <w:rPr>
                <w:i/>
                <w:szCs w:val="24"/>
              </w:rPr>
            </w:pPr>
            <w:r w:rsidRPr="00C6560C">
              <w:rPr>
                <w:i/>
                <w:szCs w:val="24"/>
              </w:rPr>
              <w:t>61</w:t>
            </w:r>
          </w:p>
        </w:tc>
        <w:tc>
          <w:tcPr>
            <w:tcW w:w="498" w:type="pct"/>
            <w:shd w:val="clear" w:color="auto" w:fill="auto"/>
          </w:tcPr>
          <w:p w14:paraId="3F532DCD" w14:textId="77777777" w:rsidR="00C6560C" w:rsidRPr="00C6560C" w:rsidRDefault="00C6560C" w:rsidP="00C6560C">
            <w:pPr>
              <w:tabs>
                <w:tab w:val="left" w:pos="1741"/>
              </w:tabs>
              <w:jc w:val="center"/>
              <w:rPr>
                <w:i/>
                <w:szCs w:val="24"/>
              </w:rPr>
            </w:pPr>
            <w:r w:rsidRPr="00C6560C">
              <w:rPr>
                <w:i/>
                <w:szCs w:val="24"/>
              </w:rPr>
              <w:t>–</w:t>
            </w:r>
          </w:p>
        </w:tc>
      </w:tr>
      <w:tr w:rsidR="00C6560C" w:rsidRPr="00C6560C" w14:paraId="39F44857" w14:textId="77777777" w:rsidTr="002624F5">
        <w:trPr>
          <w:trHeight w:val="293"/>
        </w:trPr>
        <w:tc>
          <w:tcPr>
            <w:tcW w:w="2513" w:type="pct"/>
            <w:vMerge w:val="restart"/>
            <w:shd w:val="clear" w:color="auto" w:fill="auto"/>
          </w:tcPr>
          <w:p w14:paraId="25C9C61B" w14:textId="77777777" w:rsidR="00C6560C" w:rsidRPr="00C6560C" w:rsidRDefault="00C6560C" w:rsidP="00C6560C">
            <w:pPr>
              <w:tabs>
                <w:tab w:val="left" w:pos="1741"/>
              </w:tabs>
              <w:jc w:val="both"/>
              <w:rPr>
                <w:b/>
                <w:i/>
                <w:iCs/>
                <w:szCs w:val="24"/>
              </w:rPr>
            </w:pPr>
            <w:r w:rsidRPr="00C6560C">
              <w:rPr>
                <w:b/>
                <w:i/>
                <w:iCs/>
                <w:szCs w:val="24"/>
              </w:rPr>
              <w:t xml:space="preserve">Sutaupytas suminis galutinės energijos kiekis nuo 2013 m., </w:t>
            </w:r>
            <w:proofErr w:type="spellStart"/>
            <w:r w:rsidRPr="00C6560C">
              <w:rPr>
                <w:b/>
                <w:i/>
                <w:iCs/>
                <w:szCs w:val="24"/>
              </w:rPr>
              <w:t>GWh</w:t>
            </w:r>
            <w:proofErr w:type="spellEnd"/>
          </w:p>
        </w:tc>
        <w:tc>
          <w:tcPr>
            <w:tcW w:w="548" w:type="pct"/>
            <w:shd w:val="clear" w:color="auto" w:fill="B4C6E7"/>
            <w:vAlign w:val="center"/>
          </w:tcPr>
          <w:p w14:paraId="48C1C64F" w14:textId="77777777" w:rsidR="00C6560C" w:rsidRPr="00C6560C" w:rsidRDefault="00C6560C" w:rsidP="00C6560C">
            <w:pPr>
              <w:tabs>
                <w:tab w:val="left" w:pos="1741"/>
              </w:tabs>
              <w:jc w:val="center"/>
              <w:rPr>
                <w:i/>
                <w:szCs w:val="24"/>
              </w:rPr>
            </w:pPr>
            <w:r w:rsidRPr="00C6560C">
              <w:rPr>
                <w:i/>
                <w:szCs w:val="24"/>
              </w:rPr>
              <w:t>Planas</w:t>
            </w:r>
          </w:p>
        </w:tc>
        <w:tc>
          <w:tcPr>
            <w:tcW w:w="490" w:type="pct"/>
            <w:shd w:val="clear" w:color="auto" w:fill="B4C6E7"/>
            <w:vAlign w:val="center"/>
          </w:tcPr>
          <w:p w14:paraId="4CE1AFFF" w14:textId="77777777" w:rsidR="00C6560C" w:rsidRPr="00C6560C" w:rsidRDefault="00C6560C" w:rsidP="00C6560C">
            <w:pPr>
              <w:tabs>
                <w:tab w:val="left" w:pos="1741"/>
              </w:tabs>
              <w:jc w:val="center"/>
              <w:rPr>
                <w:i/>
                <w:szCs w:val="24"/>
              </w:rPr>
            </w:pPr>
            <w:r w:rsidRPr="00C6560C">
              <w:rPr>
                <w:i/>
                <w:szCs w:val="24"/>
              </w:rPr>
              <w:t>2 700</w:t>
            </w:r>
          </w:p>
        </w:tc>
        <w:tc>
          <w:tcPr>
            <w:tcW w:w="461" w:type="pct"/>
            <w:shd w:val="clear" w:color="auto" w:fill="B4C6E7"/>
            <w:vAlign w:val="center"/>
          </w:tcPr>
          <w:p w14:paraId="0929A7AD" w14:textId="77777777" w:rsidR="00C6560C" w:rsidRPr="00C6560C" w:rsidRDefault="00C6560C" w:rsidP="00C6560C">
            <w:pPr>
              <w:tabs>
                <w:tab w:val="left" w:pos="1741"/>
              </w:tabs>
              <w:jc w:val="center"/>
              <w:rPr>
                <w:i/>
                <w:szCs w:val="24"/>
              </w:rPr>
            </w:pPr>
            <w:r w:rsidRPr="00C6560C">
              <w:rPr>
                <w:i/>
                <w:szCs w:val="24"/>
              </w:rPr>
              <w:t>2 800</w:t>
            </w:r>
          </w:p>
        </w:tc>
        <w:tc>
          <w:tcPr>
            <w:tcW w:w="490" w:type="pct"/>
            <w:shd w:val="clear" w:color="auto" w:fill="B4C6E7"/>
            <w:vAlign w:val="center"/>
          </w:tcPr>
          <w:p w14:paraId="1E1249C1" w14:textId="77777777" w:rsidR="00C6560C" w:rsidRPr="00C6560C" w:rsidRDefault="00C6560C" w:rsidP="00C6560C">
            <w:pPr>
              <w:tabs>
                <w:tab w:val="left" w:pos="1741"/>
              </w:tabs>
              <w:jc w:val="center"/>
              <w:rPr>
                <w:i/>
                <w:szCs w:val="24"/>
              </w:rPr>
            </w:pPr>
            <w:r w:rsidRPr="00C6560C">
              <w:rPr>
                <w:i/>
                <w:szCs w:val="24"/>
              </w:rPr>
              <w:t>2 900</w:t>
            </w:r>
          </w:p>
        </w:tc>
        <w:tc>
          <w:tcPr>
            <w:tcW w:w="498" w:type="pct"/>
            <w:shd w:val="clear" w:color="auto" w:fill="B4C6E7"/>
            <w:vAlign w:val="center"/>
          </w:tcPr>
          <w:p w14:paraId="3EA4238A" w14:textId="77777777" w:rsidR="00C6560C" w:rsidRPr="00C6560C" w:rsidRDefault="00C6560C" w:rsidP="00C6560C">
            <w:pPr>
              <w:tabs>
                <w:tab w:val="left" w:pos="1741"/>
              </w:tabs>
              <w:jc w:val="center"/>
              <w:rPr>
                <w:i/>
                <w:szCs w:val="24"/>
              </w:rPr>
            </w:pPr>
            <w:r w:rsidRPr="00C6560C">
              <w:rPr>
                <w:i/>
                <w:szCs w:val="24"/>
              </w:rPr>
              <w:t>2 900</w:t>
            </w:r>
          </w:p>
        </w:tc>
      </w:tr>
      <w:tr w:rsidR="00C6560C" w:rsidRPr="00C6560C" w14:paraId="685E20BD" w14:textId="77777777" w:rsidTr="002624F5">
        <w:trPr>
          <w:trHeight w:val="293"/>
        </w:trPr>
        <w:tc>
          <w:tcPr>
            <w:tcW w:w="2513" w:type="pct"/>
            <w:vMerge/>
            <w:shd w:val="clear" w:color="auto" w:fill="auto"/>
          </w:tcPr>
          <w:p w14:paraId="6B87F7F6" w14:textId="77777777" w:rsidR="00C6560C" w:rsidRPr="00C6560C" w:rsidRDefault="00C6560C" w:rsidP="00C6560C">
            <w:pPr>
              <w:tabs>
                <w:tab w:val="left" w:pos="1741"/>
              </w:tabs>
              <w:jc w:val="both"/>
              <w:rPr>
                <w:b/>
                <w:i/>
                <w:iCs/>
                <w:szCs w:val="24"/>
              </w:rPr>
            </w:pPr>
          </w:p>
        </w:tc>
        <w:tc>
          <w:tcPr>
            <w:tcW w:w="548" w:type="pct"/>
            <w:shd w:val="clear" w:color="auto" w:fill="auto"/>
            <w:vAlign w:val="center"/>
          </w:tcPr>
          <w:p w14:paraId="5A4087B6" w14:textId="77777777" w:rsidR="00C6560C" w:rsidRPr="00C6560C" w:rsidRDefault="00C6560C" w:rsidP="00C6560C">
            <w:pPr>
              <w:tabs>
                <w:tab w:val="left" w:pos="1741"/>
              </w:tabs>
              <w:jc w:val="center"/>
              <w:rPr>
                <w:i/>
                <w:szCs w:val="24"/>
              </w:rPr>
            </w:pPr>
            <w:r w:rsidRPr="00C6560C">
              <w:rPr>
                <w:i/>
                <w:szCs w:val="24"/>
              </w:rPr>
              <w:t>Faktas</w:t>
            </w:r>
          </w:p>
        </w:tc>
        <w:tc>
          <w:tcPr>
            <w:tcW w:w="490" w:type="pct"/>
            <w:shd w:val="clear" w:color="auto" w:fill="auto"/>
            <w:vAlign w:val="center"/>
          </w:tcPr>
          <w:p w14:paraId="78A327F5" w14:textId="77777777" w:rsidR="00C6560C" w:rsidRPr="00C6560C" w:rsidRDefault="00C6560C" w:rsidP="00C6560C">
            <w:pPr>
              <w:tabs>
                <w:tab w:val="left" w:pos="1741"/>
              </w:tabs>
              <w:jc w:val="center"/>
              <w:rPr>
                <w:i/>
                <w:szCs w:val="24"/>
              </w:rPr>
            </w:pPr>
            <w:r w:rsidRPr="00C6560C">
              <w:rPr>
                <w:i/>
                <w:szCs w:val="24"/>
              </w:rPr>
              <w:t>2 764</w:t>
            </w:r>
          </w:p>
        </w:tc>
        <w:tc>
          <w:tcPr>
            <w:tcW w:w="461" w:type="pct"/>
            <w:shd w:val="clear" w:color="auto" w:fill="auto"/>
            <w:vAlign w:val="center"/>
          </w:tcPr>
          <w:p w14:paraId="2640CFDA" w14:textId="77777777" w:rsidR="00C6560C" w:rsidRPr="00C6560C" w:rsidRDefault="00C6560C" w:rsidP="00C6560C">
            <w:pPr>
              <w:tabs>
                <w:tab w:val="left" w:pos="1741"/>
              </w:tabs>
              <w:jc w:val="center"/>
              <w:rPr>
                <w:i/>
                <w:szCs w:val="24"/>
              </w:rPr>
            </w:pPr>
            <w:r w:rsidRPr="00C6560C">
              <w:rPr>
                <w:i/>
                <w:szCs w:val="24"/>
              </w:rPr>
              <w:t>–</w:t>
            </w:r>
            <w:r w:rsidRPr="00C6560C">
              <w:rPr>
                <w:i/>
                <w:szCs w:val="24"/>
                <w:vertAlign w:val="superscript"/>
              </w:rPr>
              <w:footnoteReference w:id="22"/>
            </w:r>
          </w:p>
        </w:tc>
        <w:tc>
          <w:tcPr>
            <w:tcW w:w="490" w:type="pct"/>
            <w:shd w:val="clear" w:color="auto" w:fill="auto"/>
            <w:vAlign w:val="center"/>
          </w:tcPr>
          <w:p w14:paraId="1F729CC3" w14:textId="77777777" w:rsidR="00C6560C" w:rsidRPr="00C6560C" w:rsidRDefault="00C6560C" w:rsidP="00C6560C">
            <w:pPr>
              <w:tabs>
                <w:tab w:val="left" w:pos="1741"/>
              </w:tabs>
              <w:jc w:val="center"/>
              <w:rPr>
                <w:i/>
                <w:szCs w:val="24"/>
              </w:rPr>
            </w:pPr>
            <w:r w:rsidRPr="00C6560C">
              <w:rPr>
                <w:i/>
                <w:szCs w:val="24"/>
              </w:rPr>
              <w:t>–</w:t>
            </w:r>
          </w:p>
        </w:tc>
        <w:tc>
          <w:tcPr>
            <w:tcW w:w="498" w:type="pct"/>
            <w:shd w:val="clear" w:color="auto" w:fill="auto"/>
            <w:vAlign w:val="center"/>
          </w:tcPr>
          <w:p w14:paraId="0AF4B205" w14:textId="77777777" w:rsidR="00C6560C" w:rsidRPr="00C6560C" w:rsidRDefault="00C6560C" w:rsidP="00C6560C">
            <w:pPr>
              <w:tabs>
                <w:tab w:val="left" w:pos="1741"/>
              </w:tabs>
              <w:jc w:val="center"/>
              <w:rPr>
                <w:i/>
                <w:szCs w:val="24"/>
              </w:rPr>
            </w:pPr>
            <w:r w:rsidRPr="00C6560C">
              <w:rPr>
                <w:i/>
                <w:szCs w:val="24"/>
              </w:rPr>
              <w:t>–</w:t>
            </w:r>
          </w:p>
        </w:tc>
      </w:tr>
      <w:tr w:rsidR="00C6560C" w:rsidRPr="00C6560C" w14:paraId="20A4A364" w14:textId="77777777" w:rsidTr="002624F5">
        <w:trPr>
          <w:trHeight w:val="293"/>
        </w:trPr>
        <w:tc>
          <w:tcPr>
            <w:tcW w:w="2513" w:type="pct"/>
            <w:vMerge w:val="restart"/>
            <w:shd w:val="clear" w:color="auto" w:fill="auto"/>
          </w:tcPr>
          <w:p w14:paraId="7E1AD1F7" w14:textId="77777777" w:rsidR="00C6560C" w:rsidRPr="00C6560C" w:rsidRDefault="00C6560C" w:rsidP="00C6560C">
            <w:pPr>
              <w:tabs>
                <w:tab w:val="left" w:pos="1741"/>
              </w:tabs>
              <w:jc w:val="both"/>
              <w:rPr>
                <w:b/>
                <w:i/>
                <w:iCs/>
                <w:szCs w:val="24"/>
              </w:rPr>
            </w:pPr>
            <w:r w:rsidRPr="00C6560C">
              <w:rPr>
                <w:b/>
                <w:i/>
                <w:iCs/>
                <w:szCs w:val="24"/>
              </w:rPr>
              <w:lastRenderedPageBreak/>
              <w:t>Atsinaujinančių energijos išteklių dalis galutinės energijos balanse, proc.</w:t>
            </w:r>
          </w:p>
        </w:tc>
        <w:tc>
          <w:tcPr>
            <w:tcW w:w="548" w:type="pct"/>
            <w:shd w:val="clear" w:color="auto" w:fill="B4C6E7"/>
            <w:vAlign w:val="center"/>
          </w:tcPr>
          <w:p w14:paraId="65F5F2BB" w14:textId="77777777" w:rsidR="00C6560C" w:rsidRPr="00C6560C" w:rsidRDefault="00C6560C" w:rsidP="00C6560C">
            <w:pPr>
              <w:tabs>
                <w:tab w:val="left" w:pos="1741"/>
              </w:tabs>
              <w:jc w:val="center"/>
              <w:rPr>
                <w:i/>
                <w:szCs w:val="24"/>
              </w:rPr>
            </w:pPr>
            <w:r w:rsidRPr="00C6560C">
              <w:rPr>
                <w:i/>
                <w:szCs w:val="24"/>
              </w:rPr>
              <w:t>Planas</w:t>
            </w:r>
          </w:p>
        </w:tc>
        <w:tc>
          <w:tcPr>
            <w:tcW w:w="490" w:type="pct"/>
            <w:shd w:val="clear" w:color="auto" w:fill="B4C6E7"/>
            <w:vAlign w:val="center"/>
          </w:tcPr>
          <w:p w14:paraId="276DCF78" w14:textId="77777777" w:rsidR="00C6560C" w:rsidRPr="00C6560C" w:rsidRDefault="00C6560C" w:rsidP="00C6560C">
            <w:pPr>
              <w:tabs>
                <w:tab w:val="left" w:pos="1741"/>
              </w:tabs>
              <w:jc w:val="center"/>
              <w:rPr>
                <w:i/>
                <w:szCs w:val="24"/>
              </w:rPr>
            </w:pPr>
            <w:r w:rsidRPr="00C6560C">
              <w:rPr>
                <w:i/>
                <w:szCs w:val="24"/>
              </w:rPr>
              <w:t>27</w:t>
            </w:r>
          </w:p>
        </w:tc>
        <w:tc>
          <w:tcPr>
            <w:tcW w:w="461" w:type="pct"/>
            <w:shd w:val="clear" w:color="auto" w:fill="B4C6E7"/>
            <w:vAlign w:val="center"/>
          </w:tcPr>
          <w:p w14:paraId="3ABCF8C6" w14:textId="77777777" w:rsidR="00C6560C" w:rsidRPr="00C6560C" w:rsidRDefault="00C6560C" w:rsidP="00C6560C">
            <w:pPr>
              <w:tabs>
                <w:tab w:val="left" w:pos="1741"/>
              </w:tabs>
              <w:jc w:val="center"/>
              <w:rPr>
                <w:i/>
                <w:szCs w:val="24"/>
              </w:rPr>
            </w:pPr>
            <w:r w:rsidRPr="00C6560C">
              <w:rPr>
                <w:i/>
                <w:szCs w:val="24"/>
              </w:rPr>
              <w:t>27</w:t>
            </w:r>
          </w:p>
        </w:tc>
        <w:tc>
          <w:tcPr>
            <w:tcW w:w="490" w:type="pct"/>
            <w:shd w:val="clear" w:color="auto" w:fill="B4C6E7"/>
            <w:vAlign w:val="center"/>
          </w:tcPr>
          <w:p w14:paraId="7EA09706" w14:textId="77777777" w:rsidR="00C6560C" w:rsidRPr="00C6560C" w:rsidRDefault="00C6560C" w:rsidP="00C6560C">
            <w:pPr>
              <w:tabs>
                <w:tab w:val="left" w:pos="1741"/>
              </w:tabs>
              <w:jc w:val="center"/>
              <w:rPr>
                <w:i/>
                <w:szCs w:val="24"/>
              </w:rPr>
            </w:pPr>
            <w:r w:rsidRPr="00C6560C">
              <w:rPr>
                <w:i/>
                <w:szCs w:val="24"/>
              </w:rPr>
              <w:t>27</w:t>
            </w:r>
          </w:p>
        </w:tc>
        <w:tc>
          <w:tcPr>
            <w:tcW w:w="498" w:type="pct"/>
            <w:shd w:val="clear" w:color="auto" w:fill="B4C6E7"/>
            <w:vAlign w:val="center"/>
          </w:tcPr>
          <w:p w14:paraId="71CEABE0" w14:textId="77777777" w:rsidR="00C6560C" w:rsidRPr="00C6560C" w:rsidRDefault="00C6560C" w:rsidP="00C6560C">
            <w:pPr>
              <w:tabs>
                <w:tab w:val="left" w:pos="1741"/>
              </w:tabs>
              <w:jc w:val="center"/>
              <w:rPr>
                <w:i/>
                <w:szCs w:val="24"/>
              </w:rPr>
            </w:pPr>
            <w:r w:rsidRPr="00C6560C">
              <w:rPr>
                <w:i/>
                <w:szCs w:val="24"/>
              </w:rPr>
              <w:t>29</w:t>
            </w:r>
          </w:p>
        </w:tc>
      </w:tr>
      <w:tr w:rsidR="00C6560C" w:rsidRPr="00C6560C" w14:paraId="383E333C" w14:textId="77777777" w:rsidTr="002624F5">
        <w:trPr>
          <w:trHeight w:val="293"/>
        </w:trPr>
        <w:tc>
          <w:tcPr>
            <w:tcW w:w="2513" w:type="pct"/>
            <w:vMerge/>
            <w:shd w:val="clear" w:color="auto" w:fill="auto"/>
          </w:tcPr>
          <w:p w14:paraId="671D0646" w14:textId="77777777" w:rsidR="00C6560C" w:rsidRPr="00C6560C" w:rsidRDefault="00C6560C" w:rsidP="00C6560C">
            <w:pPr>
              <w:tabs>
                <w:tab w:val="left" w:pos="1741"/>
              </w:tabs>
              <w:jc w:val="both"/>
              <w:rPr>
                <w:b/>
                <w:i/>
                <w:iCs/>
                <w:szCs w:val="24"/>
              </w:rPr>
            </w:pPr>
          </w:p>
        </w:tc>
        <w:tc>
          <w:tcPr>
            <w:tcW w:w="548" w:type="pct"/>
            <w:shd w:val="clear" w:color="auto" w:fill="auto"/>
            <w:vAlign w:val="center"/>
          </w:tcPr>
          <w:p w14:paraId="5F868830" w14:textId="77777777" w:rsidR="00C6560C" w:rsidRPr="00C6560C" w:rsidRDefault="00C6560C" w:rsidP="00C6560C">
            <w:pPr>
              <w:tabs>
                <w:tab w:val="left" w:pos="1741"/>
              </w:tabs>
              <w:jc w:val="center"/>
              <w:rPr>
                <w:i/>
                <w:szCs w:val="24"/>
              </w:rPr>
            </w:pPr>
            <w:r w:rsidRPr="00C6560C">
              <w:rPr>
                <w:i/>
                <w:szCs w:val="24"/>
              </w:rPr>
              <w:t>Faktas</w:t>
            </w:r>
          </w:p>
        </w:tc>
        <w:tc>
          <w:tcPr>
            <w:tcW w:w="490" w:type="pct"/>
            <w:shd w:val="clear" w:color="auto" w:fill="auto"/>
            <w:vAlign w:val="center"/>
          </w:tcPr>
          <w:p w14:paraId="472394B2" w14:textId="77777777" w:rsidR="00C6560C" w:rsidRPr="00C6560C" w:rsidRDefault="00C6560C" w:rsidP="00C6560C">
            <w:pPr>
              <w:tabs>
                <w:tab w:val="left" w:pos="1741"/>
              </w:tabs>
              <w:jc w:val="center"/>
              <w:rPr>
                <w:i/>
                <w:szCs w:val="24"/>
              </w:rPr>
            </w:pPr>
            <w:r w:rsidRPr="00C6560C">
              <w:rPr>
                <w:i/>
                <w:szCs w:val="24"/>
              </w:rPr>
              <w:t>25,5</w:t>
            </w:r>
          </w:p>
        </w:tc>
        <w:tc>
          <w:tcPr>
            <w:tcW w:w="461" w:type="pct"/>
            <w:shd w:val="clear" w:color="auto" w:fill="auto"/>
            <w:vAlign w:val="center"/>
          </w:tcPr>
          <w:p w14:paraId="3B0C42C9" w14:textId="77777777" w:rsidR="00C6560C" w:rsidRPr="00C6560C" w:rsidRDefault="00C6560C" w:rsidP="00C6560C">
            <w:pPr>
              <w:tabs>
                <w:tab w:val="left" w:pos="1741"/>
              </w:tabs>
              <w:jc w:val="center"/>
              <w:rPr>
                <w:i/>
                <w:szCs w:val="24"/>
              </w:rPr>
            </w:pPr>
            <w:r w:rsidRPr="00C6560C">
              <w:rPr>
                <w:i/>
                <w:szCs w:val="24"/>
              </w:rPr>
              <w:t>25,5</w:t>
            </w:r>
          </w:p>
        </w:tc>
        <w:tc>
          <w:tcPr>
            <w:tcW w:w="490" w:type="pct"/>
            <w:shd w:val="clear" w:color="auto" w:fill="auto"/>
            <w:vAlign w:val="center"/>
          </w:tcPr>
          <w:p w14:paraId="606AF5DB" w14:textId="77777777" w:rsidR="00C6560C" w:rsidRPr="00C6560C" w:rsidRDefault="00C6560C" w:rsidP="00C6560C">
            <w:pPr>
              <w:tabs>
                <w:tab w:val="left" w:pos="1741"/>
              </w:tabs>
              <w:jc w:val="center"/>
              <w:rPr>
                <w:i/>
                <w:szCs w:val="24"/>
              </w:rPr>
            </w:pPr>
            <w:r w:rsidRPr="00C6560C">
              <w:rPr>
                <w:i/>
                <w:szCs w:val="24"/>
              </w:rPr>
              <w:t>–</w:t>
            </w:r>
          </w:p>
        </w:tc>
        <w:tc>
          <w:tcPr>
            <w:tcW w:w="498" w:type="pct"/>
            <w:shd w:val="clear" w:color="auto" w:fill="auto"/>
            <w:vAlign w:val="center"/>
          </w:tcPr>
          <w:p w14:paraId="0266AE6D" w14:textId="77777777" w:rsidR="00C6560C" w:rsidRPr="00C6560C" w:rsidRDefault="00C6560C" w:rsidP="00C6560C">
            <w:pPr>
              <w:tabs>
                <w:tab w:val="left" w:pos="1741"/>
              </w:tabs>
              <w:jc w:val="center"/>
              <w:rPr>
                <w:i/>
                <w:szCs w:val="24"/>
              </w:rPr>
            </w:pPr>
            <w:r w:rsidRPr="00C6560C">
              <w:rPr>
                <w:i/>
                <w:szCs w:val="24"/>
              </w:rPr>
              <w:t>–</w:t>
            </w:r>
          </w:p>
        </w:tc>
      </w:tr>
      <w:tr w:rsidR="00C6560C" w:rsidRPr="00C6560C" w14:paraId="3FFA9943" w14:textId="77777777" w:rsidTr="002624F5">
        <w:trPr>
          <w:trHeight w:val="293"/>
        </w:trPr>
        <w:tc>
          <w:tcPr>
            <w:tcW w:w="2513" w:type="pct"/>
            <w:vMerge w:val="restart"/>
            <w:shd w:val="clear" w:color="auto" w:fill="auto"/>
          </w:tcPr>
          <w:p w14:paraId="45406203" w14:textId="77777777" w:rsidR="00C6560C" w:rsidRPr="00C6560C" w:rsidRDefault="00C6560C" w:rsidP="00C6560C">
            <w:pPr>
              <w:tabs>
                <w:tab w:val="left" w:pos="1741"/>
              </w:tabs>
              <w:jc w:val="both"/>
              <w:rPr>
                <w:b/>
                <w:i/>
                <w:iCs/>
                <w:szCs w:val="24"/>
              </w:rPr>
            </w:pPr>
            <w:r w:rsidRPr="00C6560C">
              <w:rPr>
                <w:b/>
                <w:i/>
                <w:iCs/>
                <w:szCs w:val="24"/>
              </w:rPr>
              <w:t xml:space="preserve">Rekonstruota „Via </w:t>
            </w:r>
            <w:proofErr w:type="spellStart"/>
            <w:r w:rsidRPr="00C6560C">
              <w:rPr>
                <w:b/>
                <w:i/>
                <w:iCs/>
                <w:szCs w:val="24"/>
              </w:rPr>
              <w:t>Baltica</w:t>
            </w:r>
            <w:proofErr w:type="spellEnd"/>
            <w:r w:rsidRPr="00C6560C">
              <w:rPr>
                <w:b/>
                <w:i/>
                <w:iCs/>
                <w:szCs w:val="24"/>
              </w:rPr>
              <w:t>“ kelio, km</w:t>
            </w:r>
          </w:p>
        </w:tc>
        <w:tc>
          <w:tcPr>
            <w:tcW w:w="548" w:type="pct"/>
            <w:shd w:val="clear" w:color="auto" w:fill="B4C6E7"/>
            <w:vAlign w:val="center"/>
          </w:tcPr>
          <w:p w14:paraId="51FCD612" w14:textId="77777777" w:rsidR="00C6560C" w:rsidRPr="00C6560C" w:rsidRDefault="00C6560C" w:rsidP="00C6560C">
            <w:pPr>
              <w:tabs>
                <w:tab w:val="left" w:pos="1741"/>
              </w:tabs>
              <w:jc w:val="center"/>
              <w:rPr>
                <w:i/>
                <w:szCs w:val="24"/>
              </w:rPr>
            </w:pPr>
            <w:r w:rsidRPr="00C6560C">
              <w:rPr>
                <w:i/>
                <w:szCs w:val="24"/>
              </w:rPr>
              <w:t>Planas</w:t>
            </w:r>
          </w:p>
        </w:tc>
        <w:tc>
          <w:tcPr>
            <w:tcW w:w="490" w:type="pct"/>
            <w:shd w:val="clear" w:color="auto" w:fill="B4C6E7"/>
            <w:vAlign w:val="center"/>
          </w:tcPr>
          <w:p w14:paraId="6BAD473B" w14:textId="77777777" w:rsidR="00C6560C" w:rsidRPr="00C6560C" w:rsidRDefault="00C6560C" w:rsidP="00C6560C">
            <w:pPr>
              <w:tabs>
                <w:tab w:val="left" w:pos="1741"/>
              </w:tabs>
              <w:jc w:val="center"/>
              <w:rPr>
                <w:i/>
                <w:szCs w:val="24"/>
              </w:rPr>
            </w:pPr>
            <w:r w:rsidRPr="00C6560C">
              <w:rPr>
                <w:i/>
                <w:szCs w:val="24"/>
              </w:rPr>
              <w:t>34,21</w:t>
            </w:r>
          </w:p>
        </w:tc>
        <w:tc>
          <w:tcPr>
            <w:tcW w:w="461" w:type="pct"/>
            <w:shd w:val="clear" w:color="auto" w:fill="B4C6E7"/>
            <w:vAlign w:val="center"/>
          </w:tcPr>
          <w:p w14:paraId="71928257" w14:textId="77777777" w:rsidR="00C6560C" w:rsidRPr="00C6560C" w:rsidRDefault="00C6560C" w:rsidP="00C6560C">
            <w:pPr>
              <w:tabs>
                <w:tab w:val="left" w:pos="1741"/>
              </w:tabs>
              <w:jc w:val="center"/>
              <w:rPr>
                <w:i/>
                <w:szCs w:val="24"/>
              </w:rPr>
            </w:pPr>
            <w:r w:rsidRPr="00C6560C">
              <w:rPr>
                <w:i/>
                <w:szCs w:val="24"/>
              </w:rPr>
              <w:t>11,53</w:t>
            </w:r>
          </w:p>
        </w:tc>
        <w:tc>
          <w:tcPr>
            <w:tcW w:w="490" w:type="pct"/>
            <w:shd w:val="clear" w:color="auto" w:fill="B4C6E7"/>
            <w:vAlign w:val="center"/>
          </w:tcPr>
          <w:p w14:paraId="1C9F30A1" w14:textId="77777777" w:rsidR="00C6560C" w:rsidRPr="00C6560C" w:rsidRDefault="00C6560C" w:rsidP="00C6560C">
            <w:pPr>
              <w:tabs>
                <w:tab w:val="left" w:pos="1741"/>
              </w:tabs>
              <w:jc w:val="center"/>
              <w:rPr>
                <w:i/>
                <w:szCs w:val="24"/>
              </w:rPr>
            </w:pPr>
            <w:r w:rsidRPr="00C6560C">
              <w:rPr>
                <w:i/>
                <w:szCs w:val="24"/>
              </w:rPr>
              <w:t>20,73</w:t>
            </w:r>
          </w:p>
        </w:tc>
        <w:tc>
          <w:tcPr>
            <w:tcW w:w="498" w:type="pct"/>
            <w:shd w:val="clear" w:color="auto" w:fill="B4C6E7"/>
            <w:vAlign w:val="center"/>
          </w:tcPr>
          <w:p w14:paraId="22194F0E" w14:textId="77777777" w:rsidR="00C6560C" w:rsidRPr="00C6560C" w:rsidRDefault="00C6560C" w:rsidP="00C6560C">
            <w:pPr>
              <w:tabs>
                <w:tab w:val="left" w:pos="1741"/>
              </w:tabs>
              <w:jc w:val="center"/>
              <w:rPr>
                <w:i/>
                <w:szCs w:val="24"/>
              </w:rPr>
            </w:pPr>
            <w:r w:rsidRPr="00C6560C">
              <w:rPr>
                <w:i/>
                <w:iCs/>
                <w:smallCaps/>
                <w:szCs w:val="24"/>
              </w:rPr>
              <w:t>4,1</w:t>
            </w:r>
          </w:p>
        </w:tc>
      </w:tr>
      <w:tr w:rsidR="00C6560C" w:rsidRPr="00C6560C" w14:paraId="50DAC4D8" w14:textId="77777777" w:rsidTr="002624F5">
        <w:trPr>
          <w:trHeight w:val="293"/>
        </w:trPr>
        <w:tc>
          <w:tcPr>
            <w:tcW w:w="2513" w:type="pct"/>
            <w:vMerge/>
            <w:shd w:val="clear" w:color="auto" w:fill="auto"/>
            <w:vAlign w:val="center"/>
          </w:tcPr>
          <w:p w14:paraId="0BD67CA1" w14:textId="77777777" w:rsidR="00C6560C" w:rsidRPr="00C6560C" w:rsidRDefault="00C6560C" w:rsidP="00C6560C">
            <w:pPr>
              <w:tabs>
                <w:tab w:val="left" w:pos="1741"/>
              </w:tabs>
              <w:jc w:val="both"/>
              <w:rPr>
                <w:b/>
                <w:i/>
                <w:iCs/>
                <w:szCs w:val="24"/>
              </w:rPr>
            </w:pPr>
          </w:p>
        </w:tc>
        <w:tc>
          <w:tcPr>
            <w:tcW w:w="548" w:type="pct"/>
            <w:shd w:val="clear" w:color="auto" w:fill="auto"/>
            <w:vAlign w:val="center"/>
          </w:tcPr>
          <w:p w14:paraId="3E77E56F" w14:textId="77777777" w:rsidR="00C6560C" w:rsidRPr="00C6560C" w:rsidRDefault="00C6560C" w:rsidP="00C6560C">
            <w:pPr>
              <w:tabs>
                <w:tab w:val="left" w:pos="1741"/>
              </w:tabs>
              <w:jc w:val="center"/>
              <w:rPr>
                <w:i/>
                <w:szCs w:val="24"/>
              </w:rPr>
            </w:pPr>
            <w:r w:rsidRPr="00C6560C">
              <w:rPr>
                <w:i/>
                <w:szCs w:val="24"/>
              </w:rPr>
              <w:t>Faktas</w:t>
            </w:r>
          </w:p>
        </w:tc>
        <w:tc>
          <w:tcPr>
            <w:tcW w:w="490" w:type="pct"/>
            <w:shd w:val="clear" w:color="auto" w:fill="auto"/>
            <w:vAlign w:val="center"/>
          </w:tcPr>
          <w:p w14:paraId="18A9AEF7" w14:textId="77777777" w:rsidR="00C6560C" w:rsidRPr="00C6560C" w:rsidRDefault="00C6560C" w:rsidP="00C6560C">
            <w:pPr>
              <w:tabs>
                <w:tab w:val="left" w:pos="1741"/>
              </w:tabs>
              <w:jc w:val="center"/>
              <w:rPr>
                <w:i/>
                <w:szCs w:val="24"/>
              </w:rPr>
            </w:pPr>
            <w:r w:rsidRPr="00C6560C">
              <w:rPr>
                <w:i/>
                <w:szCs w:val="24"/>
              </w:rPr>
              <w:t>34,21</w:t>
            </w:r>
          </w:p>
        </w:tc>
        <w:tc>
          <w:tcPr>
            <w:tcW w:w="461" w:type="pct"/>
            <w:shd w:val="clear" w:color="auto" w:fill="auto"/>
            <w:vAlign w:val="center"/>
          </w:tcPr>
          <w:p w14:paraId="40A9F2D3" w14:textId="77777777" w:rsidR="00C6560C" w:rsidRPr="00C6560C" w:rsidRDefault="00C6560C" w:rsidP="00C6560C">
            <w:pPr>
              <w:tabs>
                <w:tab w:val="left" w:pos="1741"/>
              </w:tabs>
              <w:jc w:val="center"/>
              <w:rPr>
                <w:i/>
                <w:szCs w:val="24"/>
              </w:rPr>
            </w:pPr>
            <w:r w:rsidRPr="00C6560C">
              <w:rPr>
                <w:i/>
                <w:szCs w:val="24"/>
              </w:rPr>
              <w:t>11,53</w:t>
            </w:r>
          </w:p>
        </w:tc>
        <w:tc>
          <w:tcPr>
            <w:tcW w:w="490" w:type="pct"/>
            <w:shd w:val="clear" w:color="auto" w:fill="auto"/>
            <w:vAlign w:val="center"/>
          </w:tcPr>
          <w:p w14:paraId="52D5723A" w14:textId="77777777" w:rsidR="00C6560C" w:rsidRPr="00C6560C" w:rsidRDefault="00C6560C" w:rsidP="00C6560C">
            <w:pPr>
              <w:tabs>
                <w:tab w:val="left" w:pos="1741"/>
              </w:tabs>
              <w:jc w:val="center"/>
              <w:rPr>
                <w:i/>
                <w:szCs w:val="24"/>
              </w:rPr>
            </w:pPr>
            <w:r w:rsidRPr="00C6560C">
              <w:rPr>
                <w:i/>
                <w:szCs w:val="24"/>
              </w:rPr>
              <w:t>0</w:t>
            </w:r>
            <w:r w:rsidRPr="00C6560C">
              <w:rPr>
                <w:i/>
                <w:szCs w:val="24"/>
                <w:vertAlign w:val="superscript"/>
              </w:rPr>
              <w:footnoteReference w:id="23"/>
            </w:r>
          </w:p>
        </w:tc>
        <w:tc>
          <w:tcPr>
            <w:tcW w:w="498" w:type="pct"/>
            <w:shd w:val="clear" w:color="auto" w:fill="auto"/>
            <w:vAlign w:val="center"/>
          </w:tcPr>
          <w:p w14:paraId="618BF249" w14:textId="77777777" w:rsidR="00C6560C" w:rsidRPr="00C6560C" w:rsidRDefault="00C6560C" w:rsidP="00C6560C">
            <w:pPr>
              <w:tabs>
                <w:tab w:val="left" w:pos="1741"/>
              </w:tabs>
              <w:jc w:val="center"/>
              <w:rPr>
                <w:i/>
                <w:iCs/>
                <w:smallCaps/>
                <w:szCs w:val="24"/>
              </w:rPr>
            </w:pPr>
            <w:r w:rsidRPr="00C6560C">
              <w:rPr>
                <w:i/>
                <w:szCs w:val="24"/>
              </w:rPr>
              <w:t>–</w:t>
            </w:r>
          </w:p>
        </w:tc>
      </w:tr>
      <w:tr w:rsidR="00C6560C" w:rsidRPr="00C6560C" w14:paraId="6BA2CF8D" w14:textId="77777777" w:rsidTr="002624F5">
        <w:trPr>
          <w:trHeight w:val="293"/>
        </w:trPr>
        <w:tc>
          <w:tcPr>
            <w:tcW w:w="2513" w:type="pct"/>
            <w:vMerge w:val="restart"/>
            <w:shd w:val="clear" w:color="auto" w:fill="auto"/>
          </w:tcPr>
          <w:p w14:paraId="73BE62A4" w14:textId="77777777" w:rsidR="00C6560C" w:rsidRPr="00C6560C" w:rsidRDefault="00C6560C" w:rsidP="00C6560C">
            <w:pPr>
              <w:tabs>
                <w:tab w:val="left" w:pos="1741"/>
              </w:tabs>
              <w:jc w:val="both"/>
              <w:rPr>
                <w:b/>
                <w:i/>
                <w:iCs/>
                <w:szCs w:val="24"/>
              </w:rPr>
            </w:pPr>
            <w:r w:rsidRPr="00C6560C">
              <w:rPr>
                <w:b/>
                <w:i/>
                <w:iCs/>
                <w:szCs w:val="24"/>
              </w:rPr>
              <w:t>Padidintas Lietuvos oro uostų keleivių aptarnavimo pralaidumo pajėgumas, mln. keleivių</w:t>
            </w:r>
          </w:p>
        </w:tc>
        <w:tc>
          <w:tcPr>
            <w:tcW w:w="548" w:type="pct"/>
            <w:shd w:val="clear" w:color="auto" w:fill="B4C6E7"/>
            <w:vAlign w:val="center"/>
          </w:tcPr>
          <w:p w14:paraId="69DB150D" w14:textId="77777777" w:rsidR="00C6560C" w:rsidRPr="00C6560C" w:rsidRDefault="00C6560C" w:rsidP="00C6560C">
            <w:pPr>
              <w:tabs>
                <w:tab w:val="left" w:pos="1741"/>
              </w:tabs>
              <w:jc w:val="center"/>
              <w:rPr>
                <w:i/>
                <w:szCs w:val="24"/>
              </w:rPr>
            </w:pPr>
            <w:r w:rsidRPr="00C6560C">
              <w:rPr>
                <w:i/>
                <w:szCs w:val="24"/>
              </w:rPr>
              <w:t>Planas</w:t>
            </w:r>
          </w:p>
        </w:tc>
        <w:tc>
          <w:tcPr>
            <w:tcW w:w="490" w:type="pct"/>
            <w:shd w:val="clear" w:color="auto" w:fill="B4C6E7"/>
            <w:vAlign w:val="center"/>
          </w:tcPr>
          <w:p w14:paraId="14C38E15" w14:textId="77777777" w:rsidR="00C6560C" w:rsidRPr="00C6560C" w:rsidRDefault="00C6560C" w:rsidP="00C6560C">
            <w:pPr>
              <w:tabs>
                <w:tab w:val="left" w:pos="1741"/>
              </w:tabs>
              <w:jc w:val="center"/>
              <w:rPr>
                <w:i/>
                <w:szCs w:val="24"/>
              </w:rPr>
            </w:pPr>
            <w:r w:rsidRPr="00C6560C">
              <w:rPr>
                <w:i/>
                <w:szCs w:val="24"/>
              </w:rPr>
              <w:t>5,04</w:t>
            </w:r>
          </w:p>
        </w:tc>
        <w:tc>
          <w:tcPr>
            <w:tcW w:w="461" w:type="pct"/>
            <w:shd w:val="clear" w:color="auto" w:fill="B4C6E7"/>
            <w:vAlign w:val="center"/>
          </w:tcPr>
          <w:p w14:paraId="2D2E86DC" w14:textId="77777777" w:rsidR="00C6560C" w:rsidRPr="00C6560C" w:rsidRDefault="00C6560C" w:rsidP="00C6560C">
            <w:pPr>
              <w:tabs>
                <w:tab w:val="left" w:pos="1741"/>
              </w:tabs>
              <w:jc w:val="center"/>
              <w:rPr>
                <w:i/>
                <w:szCs w:val="24"/>
              </w:rPr>
            </w:pPr>
            <w:r w:rsidRPr="00C6560C">
              <w:rPr>
                <w:i/>
                <w:szCs w:val="24"/>
              </w:rPr>
              <w:t>5,11</w:t>
            </w:r>
          </w:p>
        </w:tc>
        <w:tc>
          <w:tcPr>
            <w:tcW w:w="490" w:type="pct"/>
            <w:shd w:val="clear" w:color="auto" w:fill="B4C6E7"/>
            <w:vAlign w:val="center"/>
          </w:tcPr>
          <w:p w14:paraId="6CF8677B" w14:textId="77777777" w:rsidR="00C6560C" w:rsidRPr="00C6560C" w:rsidRDefault="00C6560C" w:rsidP="00C6560C">
            <w:pPr>
              <w:tabs>
                <w:tab w:val="left" w:pos="1741"/>
              </w:tabs>
              <w:jc w:val="center"/>
              <w:rPr>
                <w:i/>
                <w:szCs w:val="24"/>
              </w:rPr>
            </w:pPr>
            <w:r w:rsidRPr="00C6560C">
              <w:rPr>
                <w:i/>
                <w:szCs w:val="24"/>
              </w:rPr>
              <w:t>5,15</w:t>
            </w:r>
          </w:p>
        </w:tc>
        <w:tc>
          <w:tcPr>
            <w:tcW w:w="498" w:type="pct"/>
            <w:shd w:val="clear" w:color="auto" w:fill="B4C6E7"/>
            <w:vAlign w:val="center"/>
          </w:tcPr>
          <w:p w14:paraId="10A6D76B" w14:textId="77777777" w:rsidR="00C6560C" w:rsidRPr="00C6560C" w:rsidRDefault="00C6560C" w:rsidP="00C6560C">
            <w:pPr>
              <w:tabs>
                <w:tab w:val="left" w:pos="1741"/>
              </w:tabs>
              <w:jc w:val="center"/>
              <w:rPr>
                <w:i/>
                <w:szCs w:val="24"/>
              </w:rPr>
            </w:pPr>
            <w:r w:rsidRPr="00C6560C">
              <w:rPr>
                <w:i/>
                <w:szCs w:val="24"/>
              </w:rPr>
              <w:t>3,55</w:t>
            </w:r>
          </w:p>
        </w:tc>
      </w:tr>
      <w:tr w:rsidR="00C6560C" w:rsidRPr="00C6560C" w14:paraId="5CF4FE68" w14:textId="77777777" w:rsidTr="002624F5">
        <w:trPr>
          <w:trHeight w:val="293"/>
        </w:trPr>
        <w:tc>
          <w:tcPr>
            <w:tcW w:w="2513" w:type="pct"/>
            <w:vMerge/>
            <w:shd w:val="clear" w:color="auto" w:fill="auto"/>
            <w:vAlign w:val="center"/>
          </w:tcPr>
          <w:p w14:paraId="60015074" w14:textId="77777777" w:rsidR="00C6560C" w:rsidRPr="00C6560C" w:rsidRDefault="00C6560C" w:rsidP="00C6560C">
            <w:pPr>
              <w:tabs>
                <w:tab w:val="left" w:pos="1741"/>
              </w:tabs>
              <w:jc w:val="both"/>
              <w:rPr>
                <w:b/>
                <w:i/>
                <w:iCs/>
                <w:szCs w:val="24"/>
              </w:rPr>
            </w:pPr>
          </w:p>
        </w:tc>
        <w:tc>
          <w:tcPr>
            <w:tcW w:w="548" w:type="pct"/>
            <w:shd w:val="clear" w:color="auto" w:fill="auto"/>
            <w:vAlign w:val="center"/>
          </w:tcPr>
          <w:p w14:paraId="2D785246" w14:textId="77777777" w:rsidR="00C6560C" w:rsidRPr="00C6560C" w:rsidRDefault="00C6560C" w:rsidP="00C6560C">
            <w:pPr>
              <w:tabs>
                <w:tab w:val="left" w:pos="1741"/>
              </w:tabs>
              <w:jc w:val="center"/>
              <w:rPr>
                <w:i/>
                <w:szCs w:val="24"/>
              </w:rPr>
            </w:pPr>
            <w:r w:rsidRPr="00C6560C">
              <w:rPr>
                <w:i/>
                <w:szCs w:val="24"/>
              </w:rPr>
              <w:t>Faktas</w:t>
            </w:r>
          </w:p>
        </w:tc>
        <w:tc>
          <w:tcPr>
            <w:tcW w:w="490" w:type="pct"/>
            <w:shd w:val="clear" w:color="auto" w:fill="auto"/>
            <w:vAlign w:val="center"/>
          </w:tcPr>
          <w:p w14:paraId="7BF922FD" w14:textId="77777777" w:rsidR="00C6560C" w:rsidRPr="00C6560C" w:rsidRDefault="00C6560C" w:rsidP="00C6560C">
            <w:pPr>
              <w:tabs>
                <w:tab w:val="left" w:pos="1741"/>
              </w:tabs>
              <w:jc w:val="center"/>
              <w:rPr>
                <w:i/>
                <w:szCs w:val="24"/>
              </w:rPr>
            </w:pPr>
            <w:r w:rsidRPr="00C6560C">
              <w:rPr>
                <w:i/>
                <w:szCs w:val="24"/>
              </w:rPr>
              <w:t>6,2</w:t>
            </w:r>
          </w:p>
        </w:tc>
        <w:tc>
          <w:tcPr>
            <w:tcW w:w="461" w:type="pct"/>
            <w:shd w:val="clear" w:color="auto" w:fill="auto"/>
            <w:vAlign w:val="center"/>
          </w:tcPr>
          <w:p w14:paraId="1FC042C4" w14:textId="77777777" w:rsidR="00C6560C" w:rsidRPr="00C6560C" w:rsidRDefault="00C6560C" w:rsidP="00C6560C">
            <w:pPr>
              <w:tabs>
                <w:tab w:val="left" w:pos="1741"/>
              </w:tabs>
              <w:jc w:val="center"/>
              <w:rPr>
                <w:i/>
                <w:szCs w:val="24"/>
              </w:rPr>
            </w:pPr>
            <w:r w:rsidRPr="00C6560C">
              <w:rPr>
                <w:i/>
                <w:szCs w:val="24"/>
              </w:rPr>
              <w:t>6,5</w:t>
            </w:r>
          </w:p>
        </w:tc>
        <w:tc>
          <w:tcPr>
            <w:tcW w:w="490" w:type="pct"/>
            <w:shd w:val="clear" w:color="auto" w:fill="auto"/>
            <w:vAlign w:val="center"/>
          </w:tcPr>
          <w:p w14:paraId="2DCE209C" w14:textId="77777777" w:rsidR="00C6560C" w:rsidRPr="00C6560C" w:rsidRDefault="00C6560C" w:rsidP="00C6560C">
            <w:pPr>
              <w:tabs>
                <w:tab w:val="left" w:pos="1741"/>
              </w:tabs>
              <w:jc w:val="center"/>
              <w:rPr>
                <w:i/>
                <w:szCs w:val="24"/>
              </w:rPr>
            </w:pPr>
            <w:r w:rsidRPr="00C6560C">
              <w:rPr>
                <w:i/>
                <w:szCs w:val="24"/>
              </w:rPr>
              <w:t>1,8</w:t>
            </w:r>
            <w:r w:rsidRPr="00C6560C">
              <w:rPr>
                <w:i/>
                <w:szCs w:val="24"/>
                <w:vertAlign w:val="superscript"/>
              </w:rPr>
              <w:footnoteReference w:id="24"/>
            </w:r>
          </w:p>
        </w:tc>
        <w:tc>
          <w:tcPr>
            <w:tcW w:w="498" w:type="pct"/>
            <w:shd w:val="clear" w:color="auto" w:fill="auto"/>
            <w:vAlign w:val="center"/>
          </w:tcPr>
          <w:p w14:paraId="57C5DE7B" w14:textId="77777777" w:rsidR="00C6560C" w:rsidRPr="00C6560C" w:rsidRDefault="00C6560C" w:rsidP="00C6560C">
            <w:pPr>
              <w:tabs>
                <w:tab w:val="left" w:pos="1741"/>
              </w:tabs>
              <w:jc w:val="center"/>
              <w:rPr>
                <w:i/>
                <w:iCs/>
                <w:smallCaps/>
                <w:szCs w:val="24"/>
              </w:rPr>
            </w:pPr>
            <w:r w:rsidRPr="00C6560C">
              <w:rPr>
                <w:i/>
                <w:szCs w:val="24"/>
              </w:rPr>
              <w:t>–</w:t>
            </w:r>
          </w:p>
        </w:tc>
      </w:tr>
      <w:tr w:rsidR="00C6560C" w:rsidRPr="00C6560C" w14:paraId="719E4C18" w14:textId="77777777" w:rsidTr="002624F5">
        <w:trPr>
          <w:trHeight w:val="293"/>
        </w:trPr>
        <w:tc>
          <w:tcPr>
            <w:tcW w:w="2513" w:type="pct"/>
            <w:vMerge w:val="restart"/>
            <w:shd w:val="clear" w:color="auto" w:fill="auto"/>
            <w:vAlign w:val="center"/>
          </w:tcPr>
          <w:p w14:paraId="3DD0C0EF" w14:textId="77777777" w:rsidR="00C6560C" w:rsidRPr="00C6560C" w:rsidRDefault="00C6560C" w:rsidP="00C6560C">
            <w:pPr>
              <w:tabs>
                <w:tab w:val="left" w:pos="1741"/>
              </w:tabs>
              <w:jc w:val="both"/>
              <w:rPr>
                <w:b/>
                <w:i/>
                <w:iCs/>
                <w:szCs w:val="24"/>
              </w:rPr>
            </w:pPr>
            <w:r w:rsidRPr="00C6560C">
              <w:rPr>
                <w:b/>
                <w:i/>
                <w:iCs/>
                <w:szCs w:val="24"/>
              </w:rPr>
              <w:t>Įgyvendinta projekto „Naujos kartos interneto prieigos infrastruktūros plėtra“ dalis, proc.</w:t>
            </w:r>
          </w:p>
        </w:tc>
        <w:tc>
          <w:tcPr>
            <w:tcW w:w="548" w:type="pct"/>
            <w:shd w:val="clear" w:color="auto" w:fill="B4C6E7"/>
            <w:vAlign w:val="center"/>
          </w:tcPr>
          <w:p w14:paraId="0C8672E9" w14:textId="77777777" w:rsidR="00C6560C" w:rsidRPr="00C6560C" w:rsidRDefault="00C6560C" w:rsidP="00C6560C">
            <w:pPr>
              <w:tabs>
                <w:tab w:val="left" w:pos="1741"/>
              </w:tabs>
              <w:jc w:val="center"/>
              <w:rPr>
                <w:i/>
                <w:szCs w:val="24"/>
              </w:rPr>
            </w:pPr>
            <w:r w:rsidRPr="00C6560C">
              <w:rPr>
                <w:i/>
                <w:szCs w:val="24"/>
              </w:rPr>
              <w:t>Planas</w:t>
            </w:r>
          </w:p>
        </w:tc>
        <w:tc>
          <w:tcPr>
            <w:tcW w:w="490" w:type="pct"/>
            <w:shd w:val="clear" w:color="auto" w:fill="B4C6E7"/>
            <w:vAlign w:val="center"/>
          </w:tcPr>
          <w:p w14:paraId="1CF2FF35" w14:textId="77777777" w:rsidR="00C6560C" w:rsidRPr="00C6560C" w:rsidRDefault="00C6560C" w:rsidP="00C6560C">
            <w:pPr>
              <w:tabs>
                <w:tab w:val="left" w:pos="1741"/>
              </w:tabs>
              <w:jc w:val="center"/>
              <w:rPr>
                <w:i/>
                <w:szCs w:val="24"/>
              </w:rPr>
            </w:pPr>
            <w:r w:rsidRPr="00C6560C">
              <w:rPr>
                <w:i/>
                <w:szCs w:val="24"/>
              </w:rPr>
              <w:t>28</w:t>
            </w:r>
          </w:p>
        </w:tc>
        <w:tc>
          <w:tcPr>
            <w:tcW w:w="461" w:type="pct"/>
            <w:shd w:val="clear" w:color="auto" w:fill="B4C6E7"/>
            <w:vAlign w:val="center"/>
          </w:tcPr>
          <w:p w14:paraId="31354E53" w14:textId="77777777" w:rsidR="00C6560C" w:rsidRPr="00C6560C" w:rsidRDefault="00C6560C" w:rsidP="00C6560C">
            <w:pPr>
              <w:tabs>
                <w:tab w:val="left" w:pos="1741"/>
              </w:tabs>
              <w:jc w:val="center"/>
              <w:rPr>
                <w:i/>
                <w:szCs w:val="24"/>
              </w:rPr>
            </w:pPr>
            <w:r w:rsidRPr="00C6560C">
              <w:rPr>
                <w:i/>
                <w:szCs w:val="24"/>
              </w:rPr>
              <w:t>39</w:t>
            </w:r>
          </w:p>
        </w:tc>
        <w:tc>
          <w:tcPr>
            <w:tcW w:w="490" w:type="pct"/>
            <w:shd w:val="clear" w:color="auto" w:fill="B4C6E7"/>
            <w:vAlign w:val="center"/>
          </w:tcPr>
          <w:p w14:paraId="650A9739" w14:textId="77777777" w:rsidR="00C6560C" w:rsidRPr="00C6560C" w:rsidRDefault="00C6560C" w:rsidP="00C6560C">
            <w:pPr>
              <w:tabs>
                <w:tab w:val="left" w:pos="1741"/>
              </w:tabs>
              <w:jc w:val="center"/>
              <w:rPr>
                <w:i/>
                <w:szCs w:val="24"/>
              </w:rPr>
            </w:pPr>
            <w:r w:rsidRPr="00C6560C">
              <w:rPr>
                <w:i/>
                <w:szCs w:val="24"/>
              </w:rPr>
              <w:t>70</w:t>
            </w:r>
          </w:p>
        </w:tc>
        <w:tc>
          <w:tcPr>
            <w:tcW w:w="498" w:type="pct"/>
            <w:shd w:val="clear" w:color="auto" w:fill="B4C6E7"/>
            <w:vAlign w:val="center"/>
          </w:tcPr>
          <w:p w14:paraId="62585413" w14:textId="77777777" w:rsidR="00C6560C" w:rsidRPr="00C6560C" w:rsidRDefault="00C6560C" w:rsidP="00C6560C">
            <w:pPr>
              <w:tabs>
                <w:tab w:val="left" w:pos="1741"/>
              </w:tabs>
              <w:jc w:val="center"/>
              <w:rPr>
                <w:i/>
                <w:szCs w:val="24"/>
              </w:rPr>
            </w:pPr>
            <w:r w:rsidRPr="00C6560C">
              <w:rPr>
                <w:i/>
                <w:szCs w:val="24"/>
              </w:rPr>
              <w:t>85</w:t>
            </w:r>
          </w:p>
        </w:tc>
      </w:tr>
      <w:tr w:rsidR="00C6560C" w:rsidRPr="00C6560C" w14:paraId="24A912FC" w14:textId="77777777" w:rsidTr="002624F5">
        <w:trPr>
          <w:trHeight w:val="293"/>
        </w:trPr>
        <w:tc>
          <w:tcPr>
            <w:tcW w:w="2513" w:type="pct"/>
            <w:vMerge/>
            <w:shd w:val="clear" w:color="auto" w:fill="auto"/>
            <w:vAlign w:val="center"/>
          </w:tcPr>
          <w:p w14:paraId="60DA23D6" w14:textId="77777777" w:rsidR="00C6560C" w:rsidRPr="00C6560C" w:rsidRDefault="00C6560C" w:rsidP="00C6560C">
            <w:pPr>
              <w:tabs>
                <w:tab w:val="left" w:pos="1741"/>
              </w:tabs>
              <w:jc w:val="both"/>
              <w:rPr>
                <w:b/>
                <w:i/>
                <w:iCs/>
                <w:szCs w:val="24"/>
              </w:rPr>
            </w:pPr>
          </w:p>
        </w:tc>
        <w:tc>
          <w:tcPr>
            <w:tcW w:w="548" w:type="pct"/>
            <w:shd w:val="clear" w:color="auto" w:fill="auto"/>
            <w:vAlign w:val="center"/>
          </w:tcPr>
          <w:p w14:paraId="2B9DB0F8" w14:textId="77777777" w:rsidR="00C6560C" w:rsidRPr="00C6560C" w:rsidRDefault="00C6560C" w:rsidP="00C6560C">
            <w:pPr>
              <w:tabs>
                <w:tab w:val="left" w:pos="1741"/>
              </w:tabs>
              <w:jc w:val="center"/>
              <w:rPr>
                <w:i/>
                <w:szCs w:val="24"/>
              </w:rPr>
            </w:pPr>
            <w:r w:rsidRPr="00C6560C">
              <w:rPr>
                <w:i/>
                <w:szCs w:val="24"/>
              </w:rPr>
              <w:t>Faktas</w:t>
            </w:r>
          </w:p>
        </w:tc>
        <w:tc>
          <w:tcPr>
            <w:tcW w:w="490" w:type="pct"/>
            <w:shd w:val="clear" w:color="auto" w:fill="auto"/>
            <w:vAlign w:val="center"/>
          </w:tcPr>
          <w:p w14:paraId="5B9AE6F8" w14:textId="77777777" w:rsidR="00C6560C" w:rsidRPr="00C6560C" w:rsidRDefault="00C6560C" w:rsidP="00C6560C">
            <w:pPr>
              <w:tabs>
                <w:tab w:val="left" w:pos="1741"/>
              </w:tabs>
              <w:jc w:val="center"/>
              <w:rPr>
                <w:i/>
                <w:szCs w:val="24"/>
              </w:rPr>
            </w:pPr>
            <w:r w:rsidRPr="00C6560C">
              <w:rPr>
                <w:i/>
                <w:szCs w:val="24"/>
              </w:rPr>
              <w:t>28</w:t>
            </w:r>
          </w:p>
        </w:tc>
        <w:tc>
          <w:tcPr>
            <w:tcW w:w="461" w:type="pct"/>
            <w:shd w:val="clear" w:color="auto" w:fill="auto"/>
            <w:vAlign w:val="center"/>
          </w:tcPr>
          <w:p w14:paraId="609B9FDE" w14:textId="77777777" w:rsidR="00C6560C" w:rsidRPr="00C6560C" w:rsidRDefault="00C6560C" w:rsidP="00C6560C">
            <w:pPr>
              <w:tabs>
                <w:tab w:val="left" w:pos="1741"/>
              </w:tabs>
              <w:jc w:val="center"/>
              <w:rPr>
                <w:i/>
                <w:szCs w:val="24"/>
              </w:rPr>
            </w:pPr>
            <w:r w:rsidRPr="00C6560C">
              <w:rPr>
                <w:i/>
                <w:szCs w:val="24"/>
              </w:rPr>
              <w:t>39</w:t>
            </w:r>
          </w:p>
        </w:tc>
        <w:tc>
          <w:tcPr>
            <w:tcW w:w="490" w:type="pct"/>
            <w:shd w:val="clear" w:color="auto" w:fill="auto"/>
            <w:vAlign w:val="center"/>
          </w:tcPr>
          <w:p w14:paraId="4D50F771" w14:textId="77777777" w:rsidR="00C6560C" w:rsidRPr="00C6560C" w:rsidRDefault="00C6560C" w:rsidP="00C6560C">
            <w:pPr>
              <w:tabs>
                <w:tab w:val="left" w:pos="1741"/>
              </w:tabs>
              <w:jc w:val="center"/>
              <w:rPr>
                <w:i/>
                <w:szCs w:val="24"/>
              </w:rPr>
            </w:pPr>
            <w:r w:rsidRPr="00C6560C">
              <w:rPr>
                <w:i/>
                <w:szCs w:val="24"/>
              </w:rPr>
              <w:t>73</w:t>
            </w:r>
          </w:p>
        </w:tc>
        <w:tc>
          <w:tcPr>
            <w:tcW w:w="498" w:type="pct"/>
            <w:shd w:val="clear" w:color="auto" w:fill="auto"/>
            <w:vAlign w:val="center"/>
          </w:tcPr>
          <w:p w14:paraId="36318431" w14:textId="77777777" w:rsidR="00C6560C" w:rsidRPr="00C6560C" w:rsidRDefault="00C6560C" w:rsidP="00C6560C">
            <w:pPr>
              <w:tabs>
                <w:tab w:val="left" w:pos="1741"/>
              </w:tabs>
              <w:jc w:val="center"/>
              <w:rPr>
                <w:i/>
                <w:szCs w:val="24"/>
              </w:rPr>
            </w:pPr>
            <w:r w:rsidRPr="00C6560C">
              <w:rPr>
                <w:i/>
                <w:szCs w:val="24"/>
              </w:rPr>
              <w:t>–</w:t>
            </w:r>
          </w:p>
        </w:tc>
      </w:tr>
    </w:tbl>
    <w:p w14:paraId="054A1675" w14:textId="77777777" w:rsidR="00C6560C" w:rsidRPr="00C6560C" w:rsidRDefault="00C6560C" w:rsidP="00C6560C">
      <w:pPr>
        <w:tabs>
          <w:tab w:val="left" w:pos="0"/>
        </w:tabs>
        <w:jc w:val="center"/>
        <w:rPr>
          <w:b/>
          <w:szCs w:val="24"/>
        </w:rPr>
      </w:pPr>
    </w:p>
    <w:p w14:paraId="064C2FDE" w14:textId="77777777" w:rsidR="00C6560C" w:rsidRPr="00C6560C" w:rsidRDefault="00C6560C" w:rsidP="00C6560C">
      <w:pPr>
        <w:tabs>
          <w:tab w:val="left" w:pos="0"/>
        </w:tabs>
        <w:jc w:val="both"/>
        <w:rPr>
          <w:szCs w:val="24"/>
        </w:rPr>
      </w:pPr>
      <w:r w:rsidRPr="00C6560C">
        <w:rPr>
          <w:b/>
          <w:szCs w:val="24"/>
        </w:rPr>
        <w:t>Atsakingos institucijos</w:t>
      </w:r>
      <w:r w:rsidRPr="00C6560C">
        <w:rPr>
          <w:szCs w:val="24"/>
        </w:rPr>
        <w:t>: Lietuvos Respublikos švietimo, mokslo ir sporto ministerija, Lietuvos Respublikos ekonomikos ir inovacijų ministerija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2975"/>
      </w:tblGrid>
      <w:tr w:rsidR="00C6560C" w:rsidRPr="00C6560C" w14:paraId="53992A21" w14:textId="77777777" w:rsidTr="002624F5">
        <w:trPr>
          <w:trHeight w:val="23"/>
          <w:tblHeader/>
        </w:trPr>
        <w:tc>
          <w:tcPr>
            <w:tcW w:w="784" w:type="pct"/>
            <w:shd w:val="clear" w:color="auto" w:fill="1F4E79"/>
            <w:vAlign w:val="center"/>
          </w:tcPr>
          <w:p w14:paraId="33D51551" w14:textId="77777777" w:rsidR="00C6560C" w:rsidRPr="00C6560C" w:rsidRDefault="00C6560C" w:rsidP="00C6560C">
            <w:pPr>
              <w:jc w:val="center"/>
              <w:rPr>
                <w:b/>
                <w:color w:val="FFFFFF"/>
                <w:szCs w:val="24"/>
              </w:rPr>
            </w:pPr>
            <w:r w:rsidRPr="00C6560C">
              <w:rPr>
                <w:b/>
                <w:color w:val="FFFFFF"/>
                <w:szCs w:val="24"/>
              </w:rPr>
              <w:t>Tikslas</w:t>
            </w:r>
          </w:p>
        </w:tc>
        <w:tc>
          <w:tcPr>
            <w:tcW w:w="4216" w:type="pct"/>
            <w:shd w:val="clear" w:color="auto" w:fill="B4C6E7"/>
            <w:vAlign w:val="center"/>
          </w:tcPr>
          <w:p w14:paraId="109F8AB6" w14:textId="77777777" w:rsidR="00C6560C" w:rsidRPr="00C6560C" w:rsidRDefault="00C6560C" w:rsidP="00C6560C">
            <w:pPr>
              <w:jc w:val="center"/>
              <w:rPr>
                <w:b/>
                <w:szCs w:val="24"/>
              </w:rPr>
            </w:pPr>
            <w:r w:rsidRPr="00C6560C">
              <w:rPr>
                <w:b/>
                <w:szCs w:val="24"/>
              </w:rPr>
              <w:t>Poveikis Tarybos rekomendacijos įgyvendinimui</w:t>
            </w:r>
          </w:p>
        </w:tc>
      </w:tr>
      <w:tr w:rsidR="00C6560C" w:rsidRPr="00C6560C" w14:paraId="186E3DE5" w14:textId="77777777" w:rsidTr="002624F5">
        <w:trPr>
          <w:trHeight w:val="23"/>
        </w:trPr>
        <w:tc>
          <w:tcPr>
            <w:tcW w:w="784" w:type="pct"/>
          </w:tcPr>
          <w:p w14:paraId="35F20ECD" w14:textId="77777777" w:rsidR="00C6560C" w:rsidRPr="00C6560C" w:rsidRDefault="00C6560C" w:rsidP="00C6560C">
            <w:pPr>
              <w:jc w:val="both"/>
              <w:rPr>
                <w:b/>
                <w:szCs w:val="24"/>
              </w:rPr>
            </w:pPr>
            <w:r w:rsidRPr="00C6560C">
              <w:rPr>
                <w:b/>
                <w:szCs w:val="24"/>
                <w:u w:val="single"/>
              </w:rPr>
              <w:t>10 tikslas.</w:t>
            </w:r>
            <w:r w:rsidRPr="00C6560C">
              <w:rPr>
                <w:b/>
                <w:szCs w:val="24"/>
              </w:rPr>
              <w:t xml:space="preserve"> Skatinti technologines inovacijas mažosiose ir vidutinėse įmonėse</w:t>
            </w:r>
          </w:p>
          <w:p w14:paraId="222EAE02" w14:textId="77777777" w:rsidR="00C6560C" w:rsidRPr="00C6560C" w:rsidRDefault="00C6560C" w:rsidP="00C6560C">
            <w:pPr>
              <w:jc w:val="both"/>
              <w:rPr>
                <w:i/>
                <w:szCs w:val="24"/>
              </w:rPr>
            </w:pPr>
            <w:r w:rsidRPr="00C6560C">
              <w:rPr>
                <w:b/>
                <w:szCs w:val="24"/>
              </w:rPr>
              <w:t>(įgyvendina struktūrinę inovacijų reformą</w:t>
            </w:r>
            <w:r w:rsidRPr="00C6560C">
              <w:rPr>
                <w:b/>
                <w:szCs w:val="24"/>
                <w:vertAlign w:val="superscript"/>
              </w:rPr>
              <w:t>1</w:t>
            </w:r>
            <w:r w:rsidRPr="00C6560C">
              <w:rPr>
                <w:b/>
                <w:szCs w:val="24"/>
              </w:rPr>
              <w:t>)</w:t>
            </w:r>
          </w:p>
        </w:tc>
        <w:tc>
          <w:tcPr>
            <w:tcW w:w="4216" w:type="pct"/>
          </w:tcPr>
          <w:p w14:paraId="73D64CE7" w14:textId="77777777" w:rsidR="00C6560C" w:rsidRPr="00C6560C" w:rsidRDefault="00C6560C" w:rsidP="00C6560C">
            <w:pPr>
              <w:jc w:val="both"/>
              <w:textAlignment w:val="baseline"/>
              <w:rPr>
                <w:szCs w:val="24"/>
                <w:lang w:eastAsia="en-GB"/>
              </w:rPr>
            </w:pPr>
            <w:r w:rsidRPr="00C6560C">
              <w:rPr>
                <w:b/>
                <w:bCs/>
                <w:szCs w:val="24"/>
                <w:lang w:eastAsia="en-GB"/>
              </w:rPr>
              <w:t>Įgyvendinta priemonė „</w:t>
            </w:r>
            <w:proofErr w:type="spellStart"/>
            <w:r w:rsidRPr="00C6560C">
              <w:rPr>
                <w:b/>
                <w:bCs/>
                <w:szCs w:val="24"/>
                <w:lang w:eastAsia="en-GB"/>
              </w:rPr>
              <w:t>Komercinti</w:t>
            </w:r>
            <w:proofErr w:type="spellEnd"/>
            <w:r w:rsidRPr="00C6560C">
              <w:rPr>
                <w:b/>
                <w:bCs/>
                <w:szCs w:val="24"/>
                <w:lang w:eastAsia="en-GB"/>
              </w:rPr>
              <w:t xml:space="preserve"> mokslo ir studijų institucijų kuriamų </w:t>
            </w:r>
            <w:proofErr w:type="spellStart"/>
            <w:r w:rsidRPr="00C6560C">
              <w:rPr>
                <w:b/>
                <w:bCs/>
                <w:szCs w:val="24"/>
                <w:lang w:eastAsia="en-GB"/>
              </w:rPr>
              <w:t>atžalinių</w:t>
            </w:r>
            <w:proofErr w:type="spellEnd"/>
            <w:r w:rsidRPr="00C6560C">
              <w:rPr>
                <w:b/>
                <w:bCs/>
                <w:szCs w:val="24"/>
                <w:lang w:eastAsia="en-GB"/>
              </w:rPr>
              <w:t xml:space="preserve"> (angl. </w:t>
            </w:r>
            <w:proofErr w:type="spellStart"/>
            <w:r w:rsidRPr="00C6560C">
              <w:rPr>
                <w:b/>
                <w:bCs/>
                <w:i/>
                <w:iCs/>
                <w:szCs w:val="24"/>
                <w:lang w:eastAsia="en-GB"/>
              </w:rPr>
              <w:t>spin-off</w:t>
            </w:r>
            <w:proofErr w:type="spellEnd"/>
            <w:r w:rsidRPr="00C6560C">
              <w:rPr>
                <w:b/>
                <w:bCs/>
                <w:szCs w:val="24"/>
                <w:lang w:eastAsia="en-GB"/>
              </w:rPr>
              <w:t>) įmonių MTEP rezultatus“.</w:t>
            </w:r>
          </w:p>
          <w:p w14:paraId="7F513360" w14:textId="77777777" w:rsidR="00C6560C" w:rsidRPr="00C6560C" w:rsidRDefault="00C6560C" w:rsidP="00C6560C">
            <w:pPr>
              <w:jc w:val="both"/>
              <w:textAlignment w:val="baseline"/>
              <w:rPr>
                <w:szCs w:val="24"/>
                <w:lang w:eastAsia="en-GB"/>
              </w:rPr>
            </w:pPr>
            <w:r w:rsidRPr="00C6560C">
              <w:rPr>
                <w:color w:val="000000"/>
                <w:szCs w:val="24"/>
                <w:lang w:eastAsia="en-GB"/>
              </w:rPr>
              <w:t xml:space="preserve">Mokslo ir studijų institucijų kuriamoms </w:t>
            </w:r>
            <w:proofErr w:type="spellStart"/>
            <w:r w:rsidRPr="00C6560C">
              <w:rPr>
                <w:color w:val="000000"/>
                <w:szCs w:val="24"/>
                <w:lang w:eastAsia="en-GB"/>
              </w:rPr>
              <w:t>atžalinėms</w:t>
            </w:r>
            <w:proofErr w:type="spellEnd"/>
            <w:r w:rsidRPr="00C6560C">
              <w:rPr>
                <w:color w:val="000000"/>
                <w:szCs w:val="24"/>
                <w:lang w:eastAsia="en-GB"/>
              </w:rPr>
              <w:t xml:space="preserve"> (angl. </w:t>
            </w:r>
            <w:proofErr w:type="spellStart"/>
            <w:r w:rsidRPr="00C6560C">
              <w:rPr>
                <w:i/>
                <w:iCs/>
                <w:color w:val="000000"/>
                <w:szCs w:val="24"/>
                <w:lang w:eastAsia="en-GB"/>
              </w:rPr>
              <w:t>spin-off</w:t>
            </w:r>
            <w:proofErr w:type="spellEnd"/>
            <w:r w:rsidRPr="00C6560C">
              <w:rPr>
                <w:color w:val="000000"/>
                <w:szCs w:val="24"/>
                <w:lang w:eastAsia="en-GB"/>
              </w:rPr>
              <w:t>) įmonėms</w:t>
            </w:r>
            <w:r w:rsidRPr="00C6560C">
              <w:rPr>
                <w:b/>
                <w:bCs/>
                <w:color w:val="548235"/>
                <w:szCs w:val="24"/>
                <w:lang w:eastAsia="en-GB"/>
              </w:rPr>
              <w:t>, </w:t>
            </w:r>
            <w:r w:rsidRPr="00C6560C">
              <w:rPr>
                <w:color w:val="000000"/>
                <w:szCs w:val="24"/>
                <w:lang w:eastAsia="en-GB"/>
              </w:rPr>
              <w:t xml:space="preserve">gaminančioms produktus, sukurtus </w:t>
            </w:r>
            <w:proofErr w:type="spellStart"/>
            <w:r w:rsidRPr="00C6560C">
              <w:rPr>
                <w:color w:val="000000"/>
                <w:szCs w:val="24"/>
                <w:lang w:eastAsia="en-GB"/>
              </w:rPr>
              <w:t>komercinant</w:t>
            </w:r>
            <w:proofErr w:type="spellEnd"/>
            <w:r w:rsidRPr="00C6560C">
              <w:rPr>
                <w:color w:val="000000"/>
                <w:szCs w:val="24"/>
                <w:lang w:eastAsia="en-GB"/>
              </w:rPr>
              <w:t xml:space="preserve"> MTEP rezultatus, skatinti skirta 2014–2020 metų Europos Sąjungos fondų investicijų veiksmų programos (toliau – Veiksmų programa) 1 prioriteto „Mokslinių tyrimų, eksperimentinės plėtros ir inovacijų skatinimas“ priemonės 01.2.2-MITA-K-702 „MTEP rezultatų </w:t>
            </w:r>
            <w:proofErr w:type="spellStart"/>
            <w:r w:rsidRPr="00C6560C">
              <w:rPr>
                <w:color w:val="000000"/>
                <w:szCs w:val="24"/>
                <w:lang w:eastAsia="en-GB"/>
              </w:rPr>
              <w:t>komercinimo</w:t>
            </w:r>
            <w:proofErr w:type="spellEnd"/>
            <w:r w:rsidRPr="00C6560C">
              <w:rPr>
                <w:color w:val="000000"/>
                <w:szCs w:val="24"/>
                <w:lang w:eastAsia="en-GB"/>
              </w:rPr>
              <w:t xml:space="preserve"> ir tarptautiškumo skatinimas“ (toliau – Priemonė) veikla „MTEP rezultatų </w:t>
            </w:r>
            <w:proofErr w:type="spellStart"/>
            <w:r w:rsidRPr="00C6560C">
              <w:rPr>
                <w:color w:val="000000"/>
                <w:szCs w:val="24"/>
                <w:lang w:eastAsia="en-GB"/>
              </w:rPr>
              <w:t>komercinimas</w:t>
            </w:r>
            <w:proofErr w:type="spellEnd"/>
            <w:r w:rsidRPr="00C6560C">
              <w:rPr>
                <w:color w:val="000000"/>
                <w:szCs w:val="24"/>
                <w:lang w:eastAsia="en-GB"/>
              </w:rPr>
              <w:t xml:space="preserve">“. Pagal šią priemonę remiamos veiklos – mokslo ir studijų institucijoje sukurto prototipo išvystymas,  išbandymas, demonstravimas, bandomosios partijos gamyba ir sukurto naujo produkto įvertinimas. Skatinant mokslo ir studijų institucijų </w:t>
            </w:r>
            <w:proofErr w:type="spellStart"/>
            <w:r w:rsidRPr="00C6560C">
              <w:rPr>
                <w:color w:val="000000"/>
                <w:szCs w:val="24"/>
                <w:lang w:eastAsia="en-GB"/>
              </w:rPr>
              <w:t>atžalinių</w:t>
            </w:r>
            <w:proofErr w:type="spellEnd"/>
            <w:r w:rsidRPr="00C6560C">
              <w:rPr>
                <w:color w:val="000000"/>
                <w:szCs w:val="24"/>
                <w:lang w:eastAsia="en-GB"/>
              </w:rPr>
              <w:t xml:space="preserve"> įmonių kūrimą ir jų MTEP rezultatų (MTEP grįstų inovacijų) </w:t>
            </w:r>
            <w:proofErr w:type="spellStart"/>
            <w:r w:rsidRPr="00C6560C">
              <w:rPr>
                <w:color w:val="000000"/>
                <w:szCs w:val="24"/>
                <w:lang w:eastAsia="en-GB"/>
              </w:rPr>
              <w:t>komercinimą</w:t>
            </w:r>
            <w:proofErr w:type="spellEnd"/>
            <w:r w:rsidRPr="00C6560C">
              <w:rPr>
                <w:color w:val="000000"/>
                <w:szCs w:val="24"/>
                <w:lang w:eastAsia="en-GB"/>
              </w:rPr>
              <w:t xml:space="preserve">, iš viso </w:t>
            </w:r>
            <w:r w:rsidRPr="00C6560C">
              <w:rPr>
                <w:szCs w:val="24"/>
                <w:lang w:eastAsia="en-GB"/>
              </w:rPr>
              <w:t xml:space="preserve">2017–2020 m. buvo paskelbti 5 kvietimai teikti paraiškas finansuoti </w:t>
            </w:r>
            <w:proofErr w:type="spellStart"/>
            <w:r w:rsidRPr="00C6560C">
              <w:rPr>
                <w:szCs w:val="24"/>
                <w:lang w:eastAsia="en-GB"/>
              </w:rPr>
              <w:t>atžalinių</w:t>
            </w:r>
            <w:proofErr w:type="spellEnd"/>
            <w:r w:rsidRPr="00C6560C">
              <w:rPr>
                <w:szCs w:val="24"/>
                <w:lang w:eastAsia="en-GB"/>
              </w:rPr>
              <w:t xml:space="preserve"> įmonių veiklos projektus, kurių bendras finansavimas (įskaitant ir 2021 m. skirtą finansavimą) – 8,79 mln. eurų. Iš viso per visus kvietimus  gautos 145 paraiškos . Sudarytos 62 sutartys. Šiuo metu vertinamos 2020 m. III </w:t>
            </w:r>
            <w:proofErr w:type="spellStart"/>
            <w:r w:rsidRPr="00C6560C">
              <w:rPr>
                <w:szCs w:val="24"/>
                <w:lang w:eastAsia="en-GB"/>
              </w:rPr>
              <w:t>ketv</w:t>
            </w:r>
            <w:proofErr w:type="spellEnd"/>
            <w:r w:rsidRPr="00C6560C">
              <w:rPr>
                <w:szCs w:val="24"/>
                <w:lang w:eastAsia="en-GB"/>
              </w:rPr>
              <w:t>, paskelbto kvietimo metu gautos 48 paraiškos: vertinamas 31 pareiškėja</w:t>
            </w:r>
            <w:r w:rsidRPr="00C6560C">
              <w:rPr>
                <w:strike/>
                <w:szCs w:val="24"/>
                <w:lang w:eastAsia="en-GB"/>
              </w:rPr>
              <w:t>i</w:t>
            </w:r>
            <w:r w:rsidRPr="00C6560C">
              <w:rPr>
                <w:szCs w:val="24"/>
                <w:lang w:eastAsia="en-GB"/>
              </w:rPr>
              <w:t>s, kurie yra potencialūs paramos gavėjai (jeigu su jais visais bus pasirašytos sutartys,   iš viso bus 93 tokios sutartys).</w:t>
            </w:r>
          </w:p>
          <w:p w14:paraId="692CD4A5" w14:textId="77777777" w:rsidR="00C6560C" w:rsidRPr="00C6560C" w:rsidRDefault="00C6560C" w:rsidP="00C6560C">
            <w:pPr>
              <w:jc w:val="both"/>
            </w:pPr>
            <w:bookmarkStart w:id="54" w:name="_Hlk62717166"/>
            <w:bookmarkStart w:id="55" w:name="_Hlk62723541"/>
            <w:r w:rsidRPr="00C6560C">
              <w:rPr>
                <w:b/>
                <w:bCs/>
              </w:rPr>
              <w:t>Įgyvendinta priemonė „</w:t>
            </w:r>
            <w:r w:rsidRPr="00C6560C">
              <w:rPr>
                <w:b/>
                <w:bCs/>
                <w:color w:val="000000"/>
                <w:szCs w:val="24"/>
              </w:rPr>
              <w:t>Didinti technologijų ir inovacijų politiką įgyvendinančių agentūrų sąveikumą įsteigiant vieną langelį, vieną kontaktų centrą visoms institucijoms“.</w:t>
            </w:r>
            <w:bookmarkStart w:id="56" w:name="_Hlk62717861"/>
            <w:r w:rsidRPr="00C6560C">
              <w:rPr>
                <w:szCs w:val="24"/>
              </w:rPr>
              <w:t xml:space="preserve"> 2020 m. lapkričio 30 d.  pasirašyta paslaugų pirkimo sutartis, pagal kurią iki 2020 m. pabaigos </w:t>
            </w:r>
            <w:bookmarkEnd w:id="54"/>
            <w:bookmarkEnd w:id="56"/>
            <w:r w:rsidRPr="00C6560C">
              <w:rPr>
                <w:szCs w:val="24"/>
              </w:rPr>
              <w:t xml:space="preserve">  parengtas santykių su klientais valdymo su integruotu skambučių centru programinės įrangos funkcinių reikalavimų dokumentas, leidžiantis išgryninti su inovacijų politikos įgyvendinimu susijusių agentūrų techninius pajėgumus ir galimybes integruotis į bendrą  santykių su klientais valdymo platformą. </w:t>
            </w:r>
            <w:r w:rsidRPr="00C6560C">
              <w:t>Atsižvelgiant į  Vyriausybės  programos nuostatas, iš dalies pasikeitė inovacijų reformos tikslai ir atitinkamai priemonės – numatyta nebesteigti vieno langelio, o konsoliduoti inovacinės veiklos skatinimo funkcijas.</w:t>
            </w:r>
            <w:bookmarkEnd w:id="55"/>
          </w:p>
          <w:p w14:paraId="77E6B7FF" w14:textId="77777777" w:rsidR="00C6560C" w:rsidRPr="00C6560C" w:rsidRDefault="00C6560C" w:rsidP="00C6560C">
            <w:pPr>
              <w:jc w:val="both"/>
            </w:pPr>
            <w:r w:rsidRPr="00C6560C">
              <w:rPr>
                <w:b/>
                <w:bCs/>
                <w:szCs w:val="24"/>
              </w:rPr>
              <w:t>Įgyvendinama tęstinė inovacinių čekių programa,</w:t>
            </w:r>
            <w:r w:rsidRPr="00C6560C">
              <w:rPr>
                <w:color w:val="444444"/>
                <w:spacing w:val="2"/>
                <w:szCs w:val="24"/>
                <w:shd w:val="clear" w:color="auto" w:fill="FFFFFF"/>
              </w:rPr>
              <w:t xml:space="preserve"> </w:t>
            </w:r>
            <w:r w:rsidRPr="00C6560C">
              <w:rPr>
                <w:b/>
                <w:bCs/>
                <w:color w:val="000000"/>
                <w:szCs w:val="24"/>
              </w:rPr>
              <w:t>skatinanti įmones aktyviau vykdyti inovacinę veiklą  ir pasinaudoti mokslo ir verslo bendradarbiavimo teikiamomis galimybėmis.</w:t>
            </w:r>
            <w:r w:rsidRPr="00C6560C">
              <w:rPr>
                <w:szCs w:val="24"/>
              </w:rPr>
              <w:t xml:space="preserve"> Įgyvendinant „</w:t>
            </w:r>
            <w:proofErr w:type="spellStart"/>
            <w:r w:rsidRPr="00C6560C">
              <w:rPr>
                <w:szCs w:val="24"/>
              </w:rPr>
              <w:t>Inočekių</w:t>
            </w:r>
            <w:proofErr w:type="spellEnd"/>
            <w:r w:rsidRPr="00C6560C">
              <w:rPr>
                <w:szCs w:val="24"/>
              </w:rPr>
              <w:t xml:space="preserve">“ priemonę, privačios investicijos, atitinkančios </w:t>
            </w:r>
            <w:r w:rsidRPr="00C6560C">
              <w:rPr>
                <w:szCs w:val="24"/>
              </w:rPr>
              <w:lastRenderedPageBreak/>
              <w:t xml:space="preserve">valstybės paramą inovacijoms ar MTEP projektams, siekia 1,7 mln. eurų. Subsidijas gavo 125 įmonės, 112 įmonių bendradarbiauja su mokslo institucijomis, 14  vykdo kokybės ženklo „Kompetencijos antspaudas“ veiklą. Priemonei skirtas finansavimas – 7,5 mln. eurų. 2020 m. sausio 17 d.  paskelbtas 120 tūkst. eurų vertės kvietimas teikti CERN projektų paraiškas, šiuo metu rengiamos 3 šios veiklos sutartys, kurių vertė –  119,9 tūkst. eurų. </w:t>
            </w:r>
            <w:r w:rsidRPr="00C6560C">
              <w:t>2014–2020 m. programavimo laikotarpio lėšos bus investuojamos iki 2023 m. pabaigos.</w:t>
            </w:r>
          </w:p>
          <w:p w14:paraId="692DADB7" w14:textId="77777777" w:rsidR="00C6560C" w:rsidRPr="00C6560C" w:rsidRDefault="00C6560C" w:rsidP="00C6560C">
            <w:pPr>
              <w:jc w:val="both"/>
            </w:pPr>
            <w:r w:rsidRPr="00C6560C">
              <w:rPr>
                <w:b/>
                <w:bCs/>
                <w:color w:val="000000"/>
                <w:szCs w:val="24"/>
              </w:rPr>
              <w:t xml:space="preserve">Skatinamas verslo ir mokslo bendradarbiavimas MTEP srityje, skatinamas naujų, inovatyviomis veiklomis užsiimančių smulkaus ir vidutinio verslo subjektų (toliau – SVV) </w:t>
            </w:r>
            <w:proofErr w:type="spellStart"/>
            <w:r w:rsidRPr="00C6560C">
              <w:rPr>
                <w:b/>
                <w:bCs/>
                <w:color w:val="000000"/>
                <w:szCs w:val="24"/>
              </w:rPr>
              <w:t>steigimąsis</w:t>
            </w:r>
            <w:proofErr w:type="spellEnd"/>
            <w:r w:rsidRPr="00C6560C">
              <w:rPr>
                <w:b/>
                <w:bCs/>
                <w:color w:val="000000"/>
                <w:szCs w:val="24"/>
              </w:rPr>
              <w:t xml:space="preserve"> ir jų sukurtų produktų plėtojimas. </w:t>
            </w:r>
            <w:r w:rsidRPr="00C6560C">
              <w:rPr>
                <w:szCs w:val="24"/>
              </w:rPr>
              <w:t>Įgyvendintos priemonės: „Intelektas. Bendri mokslo ir verslo projektai“ ir „</w:t>
            </w:r>
            <w:proofErr w:type="spellStart"/>
            <w:r w:rsidRPr="00C6560C">
              <w:rPr>
                <w:szCs w:val="24"/>
              </w:rPr>
              <w:t>Inostartas</w:t>
            </w:r>
            <w:proofErr w:type="spellEnd"/>
            <w:r w:rsidRPr="00C6560C">
              <w:rPr>
                <w:szCs w:val="24"/>
              </w:rPr>
              <w:t xml:space="preserve">“. 2020 m. rezultatai: subsidijas gavo 338 įmonės, skaičiuojama, kad baigiant projektus  bus apie 450 tokių įmonių; su mokslo institucijomis bendradarbiauja daugiau kaip 60 įmonių  ; investicijas gavusios įmonės sukūrė daugiau kaip 370 vnt. produktų, paslaugų ar procesų prototipų (koncepcijų) ; numatoma sukurti  apie 880 vnt. tokių  produktų, paslaugų ar procesų prototipų (koncepcijų)  ; projektai, privačios investicijos, atitinkančios valstybės paramą inovacijoms, arba mokslinių tyrimų ir plėtros projektai pagal „Intelektas. Bendri mokslo ir verslo projektai “ – 93 mln. eurų. Manoma, kad baigus projektus tokių investicijų suma viršys 125 mln. eurų. </w:t>
            </w:r>
            <w:r w:rsidRPr="00C6560C">
              <w:t xml:space="preserve">Priemonės „Eksperimentas“ tikslas – paskatinti įmones investuoti į mokslinius tyrimus ir plėtrą, reikalingą inovatyviems produktams, paslaugoms ar procesams kurti; 216 projektų </w:t>
            </w:r>
            <w:proofErr w:type="spellStart"/>
            <w:r w:rsidRPr="00C6560C">
              <w:t>sutarčių,kurių</w:t>
            </w:r>
            <w:proofErr w:type="spellEnd"/>
            <w:r w:rsidRPr="00C6560C">
              <w:t xml:space="preserve"> vertė –  146 mln. eurų. Pirmieji projektų rezultatai bus 2021 m.</w:t>
            </w:r>
          </w:p>
        </w:tc>
      </w:tr>
    </w:tbl>
    <w:p w14:paraId="584929B2" w14:textId="77777777" w:rsidR="00C6560C" w:rsidRPr="00C6560C" w:rsidRDefault="00C6560C" w:rsidP="00C6560C">
      <w:pPr>
        <w:rPr>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065"/>
        <w:gridCol w:w="1508"/>
        <w:gridCol w:w="1419"/>
        <w:gridCol w:w="1508"/>
        <w:gridCol w:w="1443"/>
      </w:tblGrid>
      <w:tr w:rsidR="00C6560C" w:rsidRPr="00C6560C" w14:paraId="5B49E482" w14:textId="77777777" w:rsidTr="002624F5">
        <w:trPr>
          <w:trHeight w:val="156"/>
        </w:trPr>
        <w:tc>
          <w:tcPr>
            <w:tcW w:w="2744" w:type="pct"/>
            <w:shd w:val="clear" w:color="auto" w:fill="1F4E79"/>
          </w:tcPr>
          <w:p w14:paraId="09D171A7" w14:textId="77777777" w:rsidR="00C6560C" w:rsidRPr="00C6560C" w:rsidRDefault="00C6560C" w:rsidP="00C6560C">
            <w:pPr>
              <w:rPr>
                <w:b/>
                <w:i/>
                <w:color w:val="FFFFFF"/>
                <w:szCs w:val="24"/>
              </w:rPr>
            </w:pPr>
            <w:r w:rsidRPr="00C6560C">
              <w:rPr>
                <w:b/>
                <w:i/>
                <w:color w:val="FFFFFF"/>
                <w:szCs w:val="24"/>
              </w:rPr>
              <w:t>Rodikliai</w:t>
            </w:r>
          </w:p>
        </w:tc>
        <w:tc>
          <w:tcPr>
            <w:tcW w:w="346" w:type="pct"/>
            <w:shd w:val="clear" w:color="auto" w:fill="1F4E79"/>
            <w:vAlign w:val="center"/>
          </w:tcPr>
          <w:p w14:paraId="4301BAEE" w14:textId="77777777" w:rsidR="00C6560C" w:rsidRPr="00C6560C" w:rsidRDefault="00C6560C" w:rsidP="00C6560C">
            <w:pPr>
              <w:jc w:val="center"/>
              <w:rPr>
                <w:b/>
                <w:bCs/>
                <w:i/>
                <w:color w:val="FFFFFF"/>
                <w:szCs w:val="24"/>
              </w:rPr>
            </w:pPr>
          </w:p>
        </w:tc>
        <w:tc>
          <w:tcPr>
            <w:tcW w:w="490" w:type="pct"/>
            <w:shd w:val="clear" w:color="auto" w:fill="1F4E79"/>
            <w:vAlign w:val="center"/>
          </w:tcPr>
          <w:p w14:paraId="346D1D32" w14:textId="77777777" w:rsidR="00C6560C" w:rsidRPr="00C6560C" w:rsidRDefault="00C6560C" w:rsidP="00C6560C">
            <w:pPr>
              <w:jc w:val="center"/>
              <w:rPr>
                <w:b/>
                <w:i/>
                <w:color w:val="FFFFFF"/>
                <w:szCs w:val="24"/>
              </w:rPr>
            </w:pPr>
            <w:r w:rsidRPr="00C6560C">
              <w:rPr>
                <w:b/>
                <w:i/>
                <w:color w:val="FFFFFF"/>
                <w:szCs w:val="24"/>
              </w:rPr>
              <w:t xml:space="preserve">2018 </w:t>
            </w:r>
          </w:p>
        </w:tc>
        <w:tc>
          <w:tcPr>
            <w:tcW w:w="461" w:type="pct"/>
            <w:shd w:val="clear" w:color="auto" w:fill="1F4E79"/>
            <w:vAlign w:val="center"/>
          </w:tcPr>
          <w:p w14:paraId="5905CDBF" w14:textId="77777777" w:rsidR="00C6560C" w:rsidRPr="00C6560C" w:rsidRDefault="00C6560C" w:rsidP="00C6560C">
            <w:pPr>
              <w:jc w:val="center"/>
              <w:rPr>
                <w:b/>
                <w:i/>
                <w:color w:val="FFFFFF"/>
                <w:szCs w:val="24"/>
              </w:rPr>
            </w:pPr>
            <w:r w:rsidRPr="00C6560C">
              <w:rPr>
                <w:b/>
                <w:i/>
                <w:color w:val="FFFFFF"/>
                <w:szCs w:val="24"/>
              </w:rPr>
              <w:t>2019</w:t>
            </w:r>
          </w:p>
        </w:tc>
        <w:tc>
          <w:tcPr>
            <w:tcW w:w="490" w:type="pct"/>
            <w:shd w:val="clear" w:color="auto" w:fill="1F4E79"/>
            <w:vAlign w:val="center"/>
          </w:tcPr>
          <w:p w14:paraId="4EB2F645" w14:textId="77777777" w:rsidR="00C6560C" w:rsidRPr="00C6560C" w:rsidRDefault="00C6560C" w:rsidP="00C6560C">
            <w:pPr>
              <w:jc w:val="center"/>
              <w:rPr>
                <w:b/>
                <w:i/>
                <w:color w:val="FFFFFF"/>
                <w:szCs w:val="24"/>
              </w:rPr>
            </w:pPr>
            <w:r w:rsidRPr="00C6560C">
              <w:rPr>
                <w:b/>
                <w:i/>
                <w:color w:val="FFFFFF"/>
                <w:szCs w:val="24"/>
              </w:rPr>
              <w:t>2020</w:t>
            </w:r>
          </w:p>
        </w:tc>
        <w:tc>
          <w:tcPr>
            <w:tcW w:w="469" w:type="pct"/>
            <w:shd w:val="clear" w:color="auto" w:fill="1F4E79"/>
            <w:vAlign w:val="center"/>
          </w:tcPr>
          <w:p w14:paraId="429EA5C2" w14:textId="77777777" w:rsidR="00C6560C" w:rsidRPr="00C6560C" w:rsidRDefault="00C6560C" w:rsidP="00C6560C">
            <w:pPr>
              <w:jc w:val="center"/>
              <w:rPr>
                <w:b/>
                <w:i/>
                <w:color w:val="FFFFFF"/>
                <w:szCs w:val="24"/>
              </w:rPr>
            </w:pPr>
            <w:r w:rsidRPr="00C6560C">
              <w:rPr>
                <w:b/>
                <w:i/>
                <w:color w:val="FFFFFF"/>
                <w:szCs w:val="24"/>
              </w:rPr>
              <w:t>2021</w:t>
            </w:r>
          </w:p>
        </w:tc>
      </w:tr>
      <w:tr w:rsidR="00C6560C" w:rsidRPr="00C6560C" w14:paraId="69AC2CAB" w14:textId="77777777" w:rsidTr="002624F5">
        <w:trPr>
          <w:trHeight w:val="139"/>
        </w:trPr>
        <w:tc>
          <w:tcPr>
            <w:tcW w:w="2744" w:type="pct"/>
            <w:vMerge w:val="restart"/>
            <w:shd w:val="clear" w:color="auto" w:fill="auto"/>
            <w:vAlign w:val="center"/>
          </w:tcPr>
          <w:p w14:paraId="3CD031AF" w14:textId="77777777" w:rsidR="00C6560C" w:rsidRPr="00C6560C" w:rsidRDefault="00C6560C" w:rsidP="00C6560C">
            <w:pPr>
              <w:jc w:val="both"/>
              <w:rPr>
                <w:b/>
                <w:i/>
                <w:iCs/>
                <w:szCs w:val="24"/>
              </w:rPr>
            </w:pPr>
            <w:r w:rsidRPr="00C6560C">
              <w:rPr>
                <w:b/>
                <w:i/>
                <w:iCs/>
                <w:szCs w:val="24"/>
              </w:rPr>
              <w:t>Pasaulio inovacijų indeksas, vieta</w:t>
            </w:r>
          </w:p>
        </w:tc>
        <w:tc>
          <w:tcPr>
            <w:tcW w:w="346" w:type="pct"/>
            <w:shd w:val="clear" w:color="auto" w:fill="B4C6E7"/>
            <w:vAlign w:val="center"/>
          </w:tcPr>
          <w:p w14:paraId="1A0ED3FA" w14:textId="77777777" w:rsidR="00C6560C" w:rsidRPr="00C6560C" w:rsidRDefault="00C6560C" w:rsidP="00C6560C">
            <w:pPr>
              <w:jc w:val="center"/>
              <w:rPr>
                <w:i/>
                <w:szCs w:val="24"/>
              </w:rPr>
            </w:pPr>
            <w:r w:rsidRPr="00C6560C">
              <w:rPr>
                <w:i/>
                <w:szCs w:val="24"/>
              </w:rPr>
              <w:t>Planas</w:t>
            </w:r>
          </w:p>
        </w:tc>
        <w:tc>
          <w:tcPr>
            <w:tcW w:w="490" w:type="pct"/>
            <w:shd w:val="clear" w:color="auto" w:fill="B4C6E7"/>
            <w:vAlign w:val="center"/>
          </w:tcPr>
          <w:p w14:paraId="45E6E9A6" w14:textId="77777777" w:rsidR="00C6560C" w:rsidRPr="00C6560C" w:rsidRDefault="00C6560C" w:rsidP="00C6560C">
            <w:pPr>
              <w:jc w:val="center"/>
              <w:rPr>
                <w:i/>
                <w:szCs w:val="24"/>
              </w:rPr>
            </w:pPr>
            <w:r w:rsidRPr="00C6560C">
              <w:rPr>
                <w:i/>
                <w:szCs w:val="24"/>
              </w:rPr>
              <w:t>34</w:t>
            </w:r>
          </w:p>
        </w:tc>
        <w:tc>
          <w:tcPr>
            <w:tcW w:w="461" w:type="pct"/>
            <w:shd w:val="clear" w:color="auto" w:fill="B4C6E7"/>
            <w:vAlign w:val="center"/>
          </w:tcPr>
          <w:p w14:paraId="469E5840" w14:textId="77777777" w:rsidR="00C6560C" w:rsidRPr="00C6560C" w:rsidRDefault="00C6560C" w:rsidP="00C6560C">
            <w:pPr>
              <w:jc w:val="center"/>
              <w:rPr>
                <w:i/>
                <w:szCs w:val="24"/>
              </w:rPr>
            </w:pPr>
            <w:r w:rsidRPr="00C6560C">
              <w:rPr>
                <w:i/>
                <w:szCs w:val="24"/>
              </w:rPr>
              <w:t>33</w:t>
            </w:r>
          </w:p>
        </w:tc>
        <w:tc>
          <w:tcPr>
            <w:tcW w:w="490" w:type="pct"/>
            <w:shd w:val="clear" w:color="auto" w:fill="B4C6E7"/>
            <w:vAlign w:val="center"/>
          </w:tcPr>
          <w:p w14:paraId="43AC6C03" w14:textId="77777777" w:rsidR="00C6560C" w:rsidRPr="00C6560C" w:rsidRDefault="00C6560C" w:rsidP="00C6560C">
            <w:pPr>
              <w:jc w:val="center"/>
              <w:rPr>
                <w:i/>
                <w:szCs w:val="24"/>
              </w:rPr>
            </w:pPr>
            <w:r w:rsidRPr="00C6560C">
              <w:rPr>
                <w:i/>
                <w:szCs w:val="24"/>
              </w:rPr>
              <w:t>28</w:t>
            </w:r>
          </w:p>
        </w:tc>
        <w:tc>
          <w:tcPr>
            <w:tcW w:w="469" w:type="pct"/>
            <w:shd w:val="clear" w:color="auto" w:fill="B4C6E7"/>
            <w:vAlign w:val="center"/>
          </w:tcPr>
          <w:p w14:paraId="48B883FC" w14:textId="77777777" w:rsidR="00C6560C" w:rsidRPr="00C6560C" w:rsidRDefault="00C6560C" w:rsidP="00C6560C">
            <w:pPr>
              <w:jc w:val="center"/>
              <w:rPr>
                <w:i/>
                <w:szCs w:val="24"/>
              </w:rPr>
            </w:pPr>
            <w:r w:rsidRPr="00C6560C">
              <w:rPr>
                <w:i/>
                <w:szCs w:val="24"/>
              </w:rPr>
              <w:t>28</w:t>
            </w:r>
          </w:p>
        </w:tc>
      </w:tr>
      <w:tr w:rsidR="00C6560C" w:rsidRPr="00C6560C" w14:paraId="026C7374" w14:textId="77777777" w:rsidTr="002624F5">
        <w:trPr>
          <w:trHeight w:val="139"/>
        </w:trPr>
        <w:tc>
          <w:tcPr>
            <w:tcW w:w="2744" w:type="pct"/>
            <w:vMerge/>
            <w:shd w:val="clear" w:color="auto" w:fill="auto"/>
            <w:vAlign w:val="center"/>
          </w:tcPr>
          <w:p w14:paraId="0D3A78F6" w14:textId="77777777" w:rsidR="00C6560C" w:rsidRPr="00C6560C" w:rsidRDefault="00C6560C" w:rsidP="00C6560C">
            <w:pPr>
              <w:jc w:val="both"/>
              <w:rPr>
                <w:b/>
                <w:i/>
                <w:iCs/>
                <w:szCs w:val="24"/>
              </w:rPr>
            </w:pPr>
          </w:p>
        </w:tc>
        <w:tc>
          <w:tcPr>
            <w:tcW w:w="346" w:type="pct"/>
            <w:shd w:val="clear" w:color="auto" w:fill="auto"/>
            <w:vAlign w:val="center"/>
          </w:tcPr>
          <w:p w14:paraId="173F2ADE" w14:textId="77777777" w:rsidR="00C6560C" w:rsidRPr="00C6560C" w:rsidRDefault="00C6560C" w:rsidP="00C6560C">
            <w:pPr>
              <w:jc w:val="center"/>
              <w:rPr>
                <w:i/>
                <w:szCs w:val="24"/>
              </w:rPr>
            </w:pPr>
            <w:r w:rsidRPr="00C6560C">
              <w:rPr>
                <w:i/>
                <w:szCs w:val="24"/>
              </w:rPr>
              <w:t>Faktas</w:t>
            </w:r>
          </w:p>
        </w:tc>
        <w:tc>
          <w:tcPr>
            <w:tcW w:w="490" w:type="pct"/>
            <w:shd w:val="clear" w:color="auto" w:fill="auto"/>
            <w:vAlign w:val="center"/>
          </w:tcPr>
          <w:p w14:paraId="6D5C54A5" w14:textId="77777777" w:rsidR="00C6560C" w:rsidRPr="00C6560C" w:rsidRDefault="00C6560C" w:rsidP="00C6560C">
            <w:pPr>
              <w:jc w:val="center"/>
              <w:rPr>
                <w:i/>
                <w:szCs w:val="24"/>
              </w:rPr>
            </w:pPr>
            <w:r w:rsidRPr="00C6560C">
              <w:rPr>
                <w:i/>
                <w:szCs w:val="24"/>
              </w:rPr>
              <w:t>40</w:t>
            </w:r>
          </w:p>
        </w:tc>
        <w:tc>
          <w:tcPr>
            <w:tcW w:w="461" w:type="pct"/>
            <w:shd w:val="clear" w:color="auto" w:fill="auto"/>
            <w:vAlign w:val="center"/>
          </w:tcPr>
          <w:p w14:paraId="0A284185" w14:textId="77777777" w:rsidR="00C6560C" w:rsidRPr="00C6560C" w:rsidRDefault="00C6560C" w:rsidP="00C6560C">
            <w:pPr>
              <w:jc w:val="center"/>
              <w:rPr>
                <w:i/>
                <w:szCs w:val="24"/>
              </w:rPr>
            </w:pPr>
            <w:r w:rsidRPr="00C6560C">
              <w:rPr>
                <w:i/>
                <w:szCs w:val="24"/>
              </w:rPr>
              <w:t>38</w:t>
            </w:r>
          </w:p>
        </w:tc>
        <w:tc>
          <w:tcPr>
            <w:tcW w:w="490" w:type="pct"/>
            <w:shd w:val="clear" w:color="auto" w:fill="auto"/>
            <w:vAlign w:val="center"/>
          </w:tcPr>
          <w:p w14:paraId="45663D4B" w14:textId="77777777" w:rsidR="00C6560C" w:rsidRPr="00C6560C" w:rsidRDefault="00C6560C" w:rsidP="00C6560C">
            <w:pPr>
              <w:jc w:val="center"/>
              <w:rPr>
                <w:i/>
                <w:szCs w:val="24"/>
              </w:rPr>
            </w:pPr>
            <w:r w:rsidRPr="00C6560C">
              <w:rPr>
                <w:i/>
                <w:szCs w:val="24"/>
              </w:rPr>
              <w:t>40</w:t>
            </w:r>
          </w:p>
        </w:tc>
        <w:tc>
          <w:tcPr>
            <w:tcW w:w="469" w:type="pct"/>
            <w:shd w:val="clear" w:color="auto" w:fill="auto"/>
            <w:vAlign w:val="center"/>
          </w:tcPr>
          <w:p w14:paraId="7E4A4600" w14:textId="77777777" w:rsidR="00C6560C" w:rsidRPr="00C6560C" w:rsidRDefault="00C6560C" w:rsidP="00C6560C">
            <w:pPr>
              <w:jc w:val="center"/>
              <w:rPr>
                <w:i/>
                <w:szCs w:val="24"/>
              </w:rPr>
            </w:pPr>
            <w:r w:rsidRPr="00C6560C">
              <w:rPr>
                <w:i/>
                <w:szCs w:val="24"/>
              </w:rPr>
              <w:t>–</w:t>
            </w:r>
          </w:p>
        </w:tc>
      </w:tr>
      <w:tr w:rsidR="00C6560C" w:rsidRPr="00C6560C" w14:paraId="651792B9" w14:textId="77777777" w:rsidTr="002624F5">
        <w:trPr>
          <w:trHeight w:val="279"/>
        </w:trPr>
        <w:tc>
          <w:tcPr>
            <w:tcW w:w="2744" w:type="pct"/>
            <w:vMerge w:val="restart"/>
            <w:shd w:val="clear" w:color="auto" w:fill="auto"/>
          </w:tcPr>
          <w:p w14:paraId="1595C996" w14:textId="77777777" w:rsidR="00C6560C" w:rsidRPr="00C6560C" w:rsidRDefault="00C6560C" w:rsidP="00C6560C">
            <w:pPr>
              <w:jc w:val="both"/>
              <w:rPr>
                <w:b/>
                <w:i/>
                <w:iCs/>
                <w:szCs w:val="24"/>
              </w:rPr>
            </w:pPr>
            <w:r w:rsidRPr="00C6560C">
              <w:rPr>
                <w:b/>
                <w:i/>
                <w:iCs/>
                <w:szCs w:val="24"/>
              </w:rPr>
              <w:t>Inovacinę veiklą vykdžiusių įmonių dalis tarp visų įmonių, proc.</w:t>
            </w:r>
          </w:p>
        </w:tc>
        <w:tc>
          <w:tcPr>
            <w:tcW w:w="346" w:type="pct"/>
            <w:shd w:val="clear" w:color="auto" w:fill="B4C6E7"/>
            <w:vAlign w:val="center"/>
          </w:tcPr>
          <w:p w14:paraId="2E634BEC" w14:textId="77777777" w:rsidR="00C6560C" w:rsidRPr="00C6560C" w:rsidRDefault="00C6560C" w:rsidP="00C6560C">
            <w:pPr>
              <w:jc w:val="center"/>
              <w:rPr>
                <w:i/>
                <w:szCs w:val="24"/>
              </w:rPr>
            </w:pPr>
            <w:r w:rsidRPr="00C6560C">
              <w:rPr>
                <w:i/>
                <w:szCs w:val="24"/>
              </w:rPr>
              <w:t>Planas</w:t>
            </w:r>
          </w:p>
        </w:tc>
        <w:tc>
          <w:tcPr>
            <w:tcW w:w="490" w:type="pct"/>
            <w:shd w:val="clear" w:color="auto" w:fill="B4C6E7"/>
            <w:vAlign w:val="center"/>
          </w:tcPr>
          <w:p w14:paraId="326471B4" w14:textId="77777777" w:rsidR="00C6560C" w:rsidRPr="00C6560C" w:rsidRDefault="00C6560C" w:rsidP="00C6560C">
            <w:pPr>
              <w:jc w:val="center"/>
              <w:rPr>
                <w:i/>
                <w:szCs w:val="24"/>
              </w:rPr>
            </w:pPr>
            <w:r w:rsidRPr="00C6560C">
              <w:rPr>
                <w:i/>
                <w:szCs w:val="24"/>
              </w:rPr>
              <w:t>45</w:t>
            </w:r>
          </w:p>
        </w:tc>
        <w:tc>
          <w:tcPr>
            <w:tcW w:w="461" w:type="pct"/>
            <w:shd w:val="clear" w:color="auto" w:fill="B4C6E7"/>
            <w:vAlign w:val="center"/>
          </w:tcPr>
          <w:p w14:paraId="526ADF7B" w14:textId="77777777" w:rsidR="00C6560C" w:rsidRPr="00C6560C" w:rsidRDefault="00C6560C" w:rsidP="00C6560C">
            <w:pPr>
              <w:jc w:val="center"/>
              <w:rPr>
                <w:i/>
                <w:szCs w:val="24"/>
              </w:rPr>
            </w:pPr>
            <w:r w:rsidRPr="00C6560C">
              <w:rPr>
                <w:i/>
                <w:szCs w:val="24"/>
              </w:rPr>
              <w:t>50</w:t>
            </w:r>
          </w:p>
        </w:tc>
        <w:tc>
          <w:tcPr>
            <w:tcW w:w="490" w:type="pct"/>
            <w:shd w:val="clear" w:color="auto" w:fill="B4C6E7"/>
            <w:vAlign w:val="center"/>
          </w:tcPr>
          <w:p w14:paraId="690C4A66" w14:textId="77777777" w:rsidR="00C6560C" w:rsidRPr="00C6560C" w:rsidRDefault="00C6560C" w:rsidP="00C6560C">
            <w:pPr>
              <w:jc w:val="center"/>
              <w:rPr>
                <w:i/>
                <w:szCs w:val="24"/>
              </w:rPr>
            </w:pPr>
            <w:r w:rsidRPr="00C6560C">
              <w:rPr>
                <w:i/>
                <w:iCs/>
                <w:szCs w:val="24"/>
              </w:rPr>
              <w:t>53</w:t>
            </w:r>
          </w:p>
        </w:tc>
        <w:tc>
          <w:tcPr>
            <w:tcW w:w="469" w:type="pct"/>
            <w:shd w:val="clear" w:color="auto" w:fill="B4C6E7"/>
            <w:vAlign w:val="center"/>
          </w:tcPr>
          <w:p w14:paraId="178F074B" w14:textId="77777777" w:rsidR="00C6560C" w:rsidRPr="00C6560C" w:rsidRDefault="00C6560C" w:rsidP="00C6560C">
            <w:pPr>
              <w:jc w:val="center"/>
              <w:rPr>
                <w:i/>
                <w:iCs/>
                <w:szCs w:val="24"/>
              </w:rPr>
            </w:pPr>
            <w:r w:rsidRPr="00C6560C">
              <w:rPr>
                <w:i/>
                <w:iCs/>
                <w:szCs w:val="24"/>
              </w:rPr>
              <w:t>53</w:t>
            </w:r>
          </w:p>
        </w:tc>
      </w:tr>
      <w:tr w:rsidR="00C6560C" w:rsidRPr="00C6560C" w14:paraId="6557C9F9" w14:textId="77777777" w:rsidTr="002624F5">
        <w:trPr>
          <w:trHeight w:val="279"/>
        </w:trPr>
        <w:tc>
          <w:tcPr>
            <w:tcW w:w="2744" w:type="pct"/>
            <w:vMerge/>
            <w:shd w:val="clear" w:color="auto" w:fill="auto"/>
          </w:tcPr>
          <w:p w14:paraId="5464B22D" w14:textId="77777777" w:rsidR="00C6560C" w:rsidRPr="00C6560C" w:rsidRDefault="00C6560C" w:rsidP="00C6560C">
            <w:pPr>
              <w:jc w:val="both"/>
              <w:rPr>
                <w:b/>
                <w:i/>
                <w:iCs/>
                <w:szCs w:val="24"/>
              </w:rPr>
            </w:pPr>
          </w:p>
        </w:tc>
        <w:tc>
          <w:tcPr>
            <w:tcW w:w="346" w:type="pct"/>
            <w:shd w:val="clear" w:color="auto" w:fill="auto"/>
            <w:vAlign w:val="center"/>
          </w:tcPr>
          <w:p w14:paraId="36144290" w14:textId="77777777" w:rsidR="00C6560C" w:rsidRPr="00C6560C" w:rsidRDefault="00C6560C" w:rsidP="00C6560C">
            <w:pPr>
              <w:jc w:val="center"/>
              <w:rPr>
                <w:i/>
                <w:szCs w:val="24"/>
              </w:rPr>
            </w:pPr>
            <w:r w:rsidRPr="00C6560C">
              <w:rPr>
                <w:i/>
                <w:szCs w:val="24"/>
              </w:rPr>
              <w:t>Faktas</w:t>
            </w:r>
          </w:p>
        </w:tc>
        <w:tc>
          <w:tcPr>
            <w:tcW w:w="490" w:type="pct"/>
            <w:shd w:val="clear" w:color="auto" w:fill="auto"/>
            <w:vAlign w:val="center"/>
          </w:tcPr>
          <w:p w14:paraId="424A5C77" w14:textId="77777777" w:rsidR="00C6560C" w:rsidRPr="00C6560C" w:rsidRDefault="00C6560C" w:rsidP="00C6560C">
            <w:pPr>
              <w:jc w:val="center"/>
              <w:rPr>
                <w:i/>
                <w:szCs w:val="24"/>
              </w:rPr>
            </w:pPr>
            <w:r w:rsidRPr="00C6560C">
              <w:rPr>
                <w:i/>
                <w:szCs w:val="24"/>
              </w:rPr>
              <w:t>46,9</w:t>
            </w:r>
          </w:p>
        </w:tc>
        <w:tc>
          <w:tcPr>
            <w:tcW w:w="461" w:type="pct"/>
            <w:shd w:val="clear" w:color="auto" w:fill="auto"/>
            <w:vAlign w:val="center"/>
          </w:tcPr>
          <w:p w14:paraId="39CA0604" w14:textId="77777777" w:rsidR="00C6560C" w:rsidRPr="00C6560C" w:rsidRDefault="00C6560C" w:rsidP="00C6560C">
            <w:pPr>
              <w:jc w:val="center"/>
              <w:rPr>
                <w:i/>
                <w:szCs w:val="24"/>
              </w:rPr>
            </w:pPr>
            <w:r w:rsidRPr="00C6560C">
              <w:rPr>
                <w:i/>
                <w:szCs w:val="24"/>
              </w:rPr>
              <w:t>–</w:t>
            </w:r>
          </w:p>
        </w:tc>
        <w:tc>
          <w:tcPr>
            <w:tcW w:w="490" w:type="pct"/>
            <w:shd w:val="clear" w:color="auto" w:fill="auto"/>
            <w:vAlign w:val="center"/>
          </w:tcPr>
          <w:p w14:paraId="1655978E" w14:textId="77777777" w:rsidR="00C6560C" w:rsidRPr="00C6560C" w:rsidRDefault="00C6560C" w:rsidP="00C6560C">
            <w:pPr>
              <w:jc w:val="center"/>
              <w:rPr>
                <w:i/>
                <w:iCs/>
                <w:szCs w:val="24"/>
              </w:rPr>
            </w:pPr>
            <w:r w:rsidRPr="00C6560C">
              <w:rPr>
                <w:i/>
                <w:szCs w:val="24"/>
              </w:rPr>
              <w:t>–</w:t>
            </w:r>
          </w:p>
        </w:tc>
        <w:tc>
          <w:tcPr>
            <w:tcW w:w="469" w:type="pct"/>
            <w:shd w:val="clear" w:color="auto" w:fill="auto"/>
            <w:vAlign w:val="center"/>
          </w:tcPr>
          <w:p w14:paraId="6CA3DCBA" w14:textId="77777777" w:rsidR="00C6560C" w:rsidRPr="00C6560C" w:rsidRDefault="00C6560C" w:rsidP="00C6560C">
            <w:pPr>
              <w:jc w:val="center"/>
              <w:rPr>
                <w:i/>
                <w:szCs w:val="24"/>
              </w:rPr>
            </w:pPr>
            <w:r w:rsidRPr="00C6560C">
              <w:rPr>
                <w:i/>
                <w:szCs w:val="24"/>
              </w:rPr>
              <w:t>–</w:t>
            </w:r>
          </w:p>
        </w:tc>
      </w:tr>
      <w:tr w:rsidR="00C6560C" w:rsidRPr="00C6560C" w14:paraId="59E71741" w14:textId="77777777" w:rsidTr="002624F5">
        <w:trPr>
          <w:trHeight w:val="279"/>
        </w:trPr>
        <w:tc>
          <w:tcPr>
            <w:tcW w:w="2744" w:type="pct"/>
            <w:vMerge w:val="restart"/>
            <w:shd w:val="clear" w:color="auto" w:fill="auto"/>
            <w:vAlign w:val="center"/>
          </w:tcPr>
          <w:p w14:paraId="73EC3FC7" w14:textId="77777777" w:rsidR="00C6560C" w:rsidRPr="00C6560C" w:rsidRDefault="00C6560C" w:rsidP="00C6560C">
            <w:pPr>
              <w:jc w:val="both"/>
              <w:rPr>
                <w:b/>
                <w:i/>
                <w:szCs w:val="24"/>
                <w:lang w:bidi="lt-LT"/>
              </w:rPr>
            </w:pPr>
            <w:r w:rsidRPr="00C6560C">
              <w:rPr>
                <w:b/>
                <w:i/>
                <w:szCs w:val="24"/>
                <w:lang w:bidi="lt-LT"/>
              </w:rPr>
              <w:t>Universitetų ir pramonės bendradarbiavimas MTEP srityje, Pasaulio inovacijų indeksas, vieta</w:t>
            </w:r>
          </w:p>
        </w:tc>
        <w:tc>
          <w:tcPr>
            <w:tcW w:w="346" w:type="pct"/>
            <w:shd w:val="clear" w:color="auto" w:fill="B4C6E7"/>
            <w:vAlign w:val="center"/>
          </w:tcPr>
          <w:p w14:paraId="4957ABD4" w14:textId="77777777" w:rsidR="00C6560C" w:rsidRPr="00C6560C" w:rsidRDefault="00C6560C" w:rsidP="00C6560C">
            <w:pPr>
              <w:jc w:val="center"/>
              <w:rPr>
                <w:i/>
                <w:szCs w:val="24"/>
                <w:lang w:bidi="lt-LT"/>
              </w:rPr>
            </w:pPr>
            <w:r w:rsidRPr="00C6560C">
              <w:rPr>
                <w:i/>
                <w:szCs w:val="24"/>
                <w:lang w:bidi="lt-LT"/>
              </w:rPr>
              <w:t>Planas</w:t>
            </w:r>
          </w:p>
        </w:tc>
        <w:tc>
          <w:tcPr>
            <w:tcW w:w="490" w:type="pct"/>
            <w:shd w:val="clear" w:color="auto" w:fill="B4C6E7"/>
            <w:vAlign w:val="center"/>
          </w:tcPr>
          <w:p w14:paraId="4367CBA4" w14:textId="77777777" w:rsidR="00C6560C" w:rsidRPr="00C6560C" w:rsidRDefault="00C6560C" w:rsidP="00C6560C">
            <w:pPr>
              <w:jc w:val="center"/>
              <w:rPr>
                <w:i/>
                <w:szCs w:val="24"/>
                <w:lang w:bidi="lt-LT"/>
              </w:rPr>
            </w:pPr>
            <w:r w:rsidRPr="00C6560C">
              <w:rPr>
                <w:i/>
                <w:szCs w:val="24"/>
                <w:lang w:bidi="lt-LT"/>
              </w:rPr>
              <w:t>36</w:t>
            </w:r>
          </w:p>
        </w:tc>
        <w:tc>
          <w:tcPr>
            <w:tcW w:w="461" w:type="pct"/>
            <w:shd w:val="clear" w:color="auto" w:fill="B4C6E7"/>
            <w:vAlign w:val="center"/>
          </w:tcPr>
          <w:p w14:paraId="7FFC346E" w14:textId="77777777" w:rsidR="00C6560C" w:rsidRPr="00C6560C" w:rsidRDefault="00C6560C" w:rsidP="00C6560C">
            <w:pPr>
              <w:jc w:val="center"/>
              <w:rPr>
                <w:i/>
                <w:szCs w:val="24"/>
                <w:lang w:bidi="lt-LT"/>
              </w:rPr>
            </w:pPr>
            <w:r w:rsidRPr="00C6560C">
              <w:rPr>
                <w:i/>
                <w:szCs w:val="24"/>
                <w:lang w:bidi="lt-LT"/>
              </w:rPr>
              <w:t>33</w:t>
            </w:r>
          </w:p>
        </w:tc>
        <w:tc>
          <w:tcPr>
            <w:tcW w:w="490" w:type="pct"/>
            <w:shd w:val="clear" w:color="auto" w:fill="B4C6E7"/>
            <w:vAlign w:val="center"/>
          </w:tcPr>
          <w:p w14:paraId="097468B5" w14:textId="77777777" w:rsidR="00C6560C" w:rsidRPr="00C6560C" w:rsidRDefault="00C6560C" w:rsidP="00C6560C">
            <w:pPr>
              <w:jc w:val="center"/>
              <w:rPr>
                <w:i/>
                <w:szCs w:val="24"/>
                <w:lang w:bidi="lt-LT"/>
              </w:rPr>
            </w:pPr>
            <w:r w:rsidRPr="00C6560C">
              <w:rPr>
                <w:i/>
                <w:szCs w:val="24"/>
                <w:lang w:bidi="lt-LT"/>
              </w:rPr>
              <w:t>35</w:t>
            </w:r>
          </w:p>
        </w:tc>
        <w:tc>
          <w:tcPr>
            <w:tcW w:w="469" w:type="pct"/>
            <w:shd w:val="clear" w:color="auto" w:fill="B4C6E7"/>
            <w:vAlign w:val="center"/>
          </w:tcPr>
          <w:p w14:paraId="51E1AE43" w14:textId="77777777" w:rsidR="00C6560C" w:rsidRPr="00C6560C" w:rsidRDefault="00C6560C" w:rsidP="00C6560C">
            <w:pPr>
              <w:jc w:val="center"/>
              <w:rPr>
                <w:i/>
                <w:szCs w:val="24"/>
              </w:rPr>
            </w:pPr>
            <w:r w:rsidRPr="00C6560C">
              <w:rPr>
                <w:i/>
                <w:szCs w:val="24"/>
              </w:rPr>
              <w:t>33</w:t>
            </w:r>
          </w:p>
        </w:tc>
      </w:tr>
      <w:tr w:rsidR="00C6560C" w:rsidRPr="00C6560C" w14:paraId="10962D2E" w14:textId="77777777" w:rsidTr="002624F5">
        <w:trPr>
          <w:trHeight w:val="279"/>
        </w:trPr>
        <w:tc>
          <w:tcPr>
            <w:tcW w:w="2744" w:type="pct"/>
            <w:vMerge/>
            <w:shd w:val="clear" w:color="auto" w:fill="auto"/>
            <w:vAlign w:val="center"/>
          </w:tcPr>
          <w:p w14:paraId="11740D6E" w14:textId="77777777" w:rsidR="00C6560C" w:rsidRPr="00C6560C" w:rsidRDefault="00C6560C" w:rsidP="00C6560C">
            <w:pPr>
              <w:rPr>
                <w:b/>
                <w:i/>
                <w:szCs w:val="24"/>
                <w:lang w:bidi="lt-LT"/>
              </w:rPr>
            </w:pPr>
          </w:p>
        </w:tc>
        <w:tc>
          <w:tcPr>
            <w:tcW w:w="346" w:type="pct"/>
            <w:shd w:val="clear" w:color="auto" w:fill="auto"/>
            <w:vAlign w:val="center"/>
          </w:tcPr>
          <w:p w14:paraId="2C33EF42" w14:textId="77777777" w:rsidR="00C6560C" w:rsidRPr="00C6560C" w:rsidRDefault="00C6560C" w:rsidP="00C6560C">
            <w:pPr>
              <w:jc w:val="center"/>
              <w:rPr>
                <w:i/>
                <w:szCs w:val="24"/>
                <w:lang w:bidi="lt-LT"/>
              </w:rPr>
            </w:pPr>
            <w:r w:rsidRPr="00C6560C">
              <w:rPr>
                <w:i/>
                <w:szCs w:val="24"/>
                <w:lang w:bidi="lt-LT"/>
              </w:rPr>
              <w:t>Faktas</w:t>
            </w:r>
          </w:p>
        </w:tc>
        <w:tc>
          <w:tcPr>
            <w:tcW w:w="490" w:type="pct"/>
            <w:shd w:val="clear" w:color="auto" w:fill="auto"/>
            <w:vAlign w:val="center"/>
          </w:tcPr>
          <w:p w14:paraId="5F6E7697" w14:textId="77777777" w:rsidR="00C6560C" w:rsidRPr="00C6560C" w:rsidRDefault="00C6560C" w:rsidP="00C6560C">
            <w:pPr>
              <w:jc w:val="center"/>
              <w:rPr>
                <w:i/>
                <w:szCs w:val="24"/>
                <w:lang w:bidi="lt-LT"/>
              </w:rPr>
            </w:pPr>
            <w:r w:rsidRPr="00C6560C">
              <w:rPr>
                <w:i/>
                <w:iCs/>
                <w:szCs w:val="24"/>
                <w:lang w:bidi="lt-LT"/>
              </w:rPr>
              <w:t>36</w:t>
            </w:r>
          </w:p>
        </w:tc>
        <w:tc>
          <w:tcPr>
            <w:tcW w:w="461" w:type="pct"/>
            <w:shd w:val="clear" w:color="auto" w:fill="auto"/>
            <w:vAlign w:val="center"/>
          </w:tcPr>
          <w:p w14:paraId="2BC860DD" w14:textId="77777777" w:rsidR="00C6560C" w:rsidRPr="00C6560C" w:rsidRDefault="00C6560C" w:rsidP="00C6560C">
            <w:pPr>
              <w:jc w:val="center"/>
              <w:rPr>
                <w:i/>
                <w:szCs w:val="24"/>
                <w:lang w:bidi="lt-LT"/>
              </w:rPr>
            </w:pPr>
            <w:r w:rsidRPr="00C6560C">
              <w:rPr>
                <w:i/>
                <w:iCs/>
                <w:szCs w:val="24"/>
                <w:lang w:bidi="lt-LT"/>
              </w:rPr>
              <w:t>37</w:t>
            </w:r>
          </w:p>
        </w:tc>
        <w:tc>
          <w:tcPr>
            <w:tcW w:w="490" w:type="pct"/>
            <w:shd w:val="clear" w:color="auto" w:fill="auto"/>
            <w:vAlign w:val="center"/>
          </w:tcPr>
          <w:p w14:paraId="4138C83D" w14:textId="77777777" w:rsidR="00C6560C" w:rsidRPr="00C6560C" w:rsidRDefault="00C6560C" w:rsidP="00C6560C">
            <w:pPr>
              <w:jc w:val="center"/>
              <w:rPr>
                <w:i/>
                <w:szCs w:val="24"/>
              </w:rPr>
            </w:pPr>
            <w:r w:rsidRPr="00C6560C">
              <w:rPr>
                <w:i/>
                <w:szCs w:val="24"/>
              </w:rPr>
              <w:t>34</w:t>
            </w:r>
          </w:p>
        </w:tc>
        <w:tc>
          <w:tcPr>
            <w:tcW w:w="469" w:type="pct"/>
            <w:shd w:val="clear" w:color="auto" w:fill="auto"/>
            <w:vAlign w:val="center"/>
          </w:tcPr>
          <w:p w14:paraId="3A66B0B7" w14:textId="77777777" w:rsidR="00C6560C" w:rsidRPr="00C6560C" w:rsidRDefault="00C6560C" w:rsidP="00C6560C">
            <w:pPr>
              <w:jc w:val="center"/>
              <w:rPr>
                <w:i/>
                <w:szCs w:val="24"/>
              </w:rPr>
            </w:pPr>
            <w:r w:rsidRPr="00C6560C">
              <w:rPr>
                <w:i/>
                <w:szCs w:val="24"/>
              </w:rPr>
              <w:t>–</w:t>
            </w:r>
          </w:p>
        </w:tc>
      </w:tr>
    </w:tbl>
    <w:p w14:paraId="06968930" w14:textId="77777777" w:rsidR="005F0039" w:rsidRDefault="005F0039" w:rsidP="007B2FAD">
      <w:pPr>
        <w:spacing w:line="276" w:lineRule="auto"/>
        <w:jc w:val="center"/>
        <w:sectPr w:rsidR="005F0039" w:rsidSect="00B6758D">
          <w:pgSz w:w="16838" w:h="11906" w:orient="landscape"/>
          <w:pgMar w:top="720" w:right="720" w:bottom="720" w:left="720" w:header="567" w:footer="567" w:gutter="0"/>
          <w:cols w:space="1296"/>
          <w:docGrid w:linePitch="326"/>
        </w:sectPr>
      </w:pPr>
    </w:p>
    <w:p w14:paraId="346E242D" w14:textId="77509D6A" w:rsidR="005F0039" w:rsidRPr="007B2FAD" w:rsidRDefault="005809AF" w:rsidP="00B44A7D">
      <w:pPr>
        <w:pStyle w:val="Antrat1"/>
        <w:rPr>
          <w:color w:val="17365D" w:themeColor="text2" w:themeShade="BF"/>
        </w:rPr>
      </w:pPr>
      <w:bookmarkStart w:id="57" w:name="_Toc68079190"/>
      <w:r>
        <w:rPr>
          <w:color w:val="17365D" w:themeColor="text2" w:themeShade="BF"/>
        </w:rPr>
        <w:lastRenderedPageBreak/>
        <w:t>4</w:t>
      </w:r>
      <w:r w:rsidR="005F0039" w:rsidRPr="007B2FAD">
        <w:rPr>
          <w:color w:val="17365D" w:themeColor="text2" w:themeShade="BF"/>
        </w:rPr>
        <w:t xml:space="preserve"> PRIEDAS</w:t>
      </w:r>
      <w:r w:rsidR="005F0039">
        <w:rPr>
          <w:color w:val="17365D" w:themeColor="text2" w:themeShade="BF"/>
        </w:rPr>
        <w:t>.</w:t>
      </w:r>
      <w:r w:rsidR="005F0039" w:rsidRPr="007B2FAD">
        <w:rPr>
          <w:color w:val="17365D" w:themeColor="text2" w:themeShade="BF"/>
        </w:rPr>
        <w:t xml:space="preserve"> </w:t>
      </w:r>
      <w:r w:rsidR="00A4660B" w:rsidRPr="00A4660B">
        <w:rPr>
          <w:color w:val="17365D" w:themeColor="text2" w:themeShade="BF"/>
        </w:rPr>
        <w:t>NACIONALINIO SAUGUMO BŪKLĖS IR PLĖTROS ATASKAITA</w:t>
      </w:r>
      <w:bookmarkEnd w:id="57"/>
    </w:p>
    <w:p w14:paraId="742C25D3" w14:textId="5E31464A" w:rsidR="0057172F" w:rsidRDefault="0057172F" w:rsidP="00B44A7D">
      <w:pPr>
        <w:spacing w:line="276" w:lineRule="auto"/>
        <w:ind w:firstLine="709"/>
        <w:jc w:val="center"/>
      </w:pPr>
    </w:p>
    <w:p w14:paraId="072D2D99" w14:textId="77777777" w:rsidR="008B10FF" w:rsidRPr="00FA7B26" w:rsidRDefault="008B10FF" w:rsidP="00B44A7D">
      <w:pPr>
        <w:pStyle w:val="Betarp"/>
        <w:spacing w:line="250" w:lineRule="auto"/>
        <w:ind w:firstLine="709"/>
        <w:jc w:val="both"/>
        <w:rPr>
          <w:rFonts w:ascii="Times New Roman" w:hAnsi="Times New Roman"/>
          <w:color w:val="000000"/>
          <w:sz w:val="24"/>
          <w:szCs w:val="24"/>
          <w:lang w:val="lt-LT"/>
        </w:rPr>
      </w:pPr>
      <w:r>
        <w:rPr>
          <w:rFonts w:ascii="Times New Roman" w:hAnsi="Times New Roman"/>
          <w:sz w:val="24"/>
          <w:szCs w:val="24"/>
          <w:lang w:val="lt-LT"/>
        </w:rPr>
        <w:t xml:space="preserve">Šiame </w:t>
      </w:r>
      <w:r w:rsidRPr="00FA7B26">
        <w:rPr>
          <w:rFonts w:ascii="Times New Roman" w:hAnsi="Times New Roman"/>
          <w:sz w:val="24"/>
          <w:szCs w:val="24"/>
          <w:lang w:val="lt-LT"/>
        </w:rPr>
        <w:t xml:space="preserve">Ataskaitos </w:t>
      </w:r>
      <w:r>
        <w:rPr>
          <w:rFonts w:ascii="Times New Roman" w:hAnsi="Times New Roman"/>
          <w:sz w:val="24"/>
          <w:szCs w:val="24"/>
          <w:lang w:val="lt-LT"/>
        </w:rPr>
        <w:t>pried</w:t>
      </w:r>
      <w:r w:rsidRPr="00FA7B26">
        <w:rPr>
          <w:rFonts w:ascii="Times New Roman" w:hAnsi="Times New Roman"/>
          <w:sz w:val="24"/>
          <w:szCs w:val="24"/>
          <w:lang w:val="lt-LT"/>
        </w:rPr>
        <w:t xml:space="preserve">e </w:t>
      </w:r>
      <w:r w:rsidRPr="00FA7B26">
        <w:rPr>
          <w:rFonts w:ascii="Times New Roman" w:hAnsi="Times New Roman"/>
          <w:color w:val="000000"/>
          <w:sz w:val="24"/>
          <w:szCs w:val="24"/>
          <w:lang w:val="lt-LT"/>
        </w:rPr>
        <w:t xml:space="preserve">pateikiama informacija apie Nacionalinio saugumo pagrindų įstatymo, Nacionalinio saugumo strategijos ir ilgalaikių valstybinių saugumo stiprinimo programų įgyvendinimą, tarptautinės ir vidaus saugumo aplinkos pokyčius, rizikos veiksnių, pavojų ir grėsmių Lietuvos Respublikos nacionaliniam saugumui, kaip jos apibrėžtos Nacionalinio saugumo strategijoje, vystymąsi </w:t>
      </w:r>
      <w:r>
        <w:rPr>
          <w:rFonts w:ascii="Times New Roman" w:hAnsi="Times New Roman"/>
          <w:color w:val="000000"/>
          <w:sz w:val="24"/>
          <w:szCs w:val="24"/>
          <w:lang w:val="lt-LT"/>
        </w:rPr>
        <w:t>ir</w:t>
      </w:r>
      <w:r w:rsidRPr="00FA7B26">
        <w:rPr>
          <w:rFonts w:ascii="Times New Roman" w:hAnsi="Times New Roman"/>
          <w:color w:val="000000"/>
          <w:sz w:val="24"/>
          <w:szCs w:val="24"/>
          <w:lang w:val="lt-LT"/>
        </w:rPr>
        <w:t xml:space="preserve"> įgyvendinamas šių rizikos veiksnių, pavojų ir grėsmių neutralizavimo priemones.</w:t>
      </w:r>
    </w:p>
    <w:p w14:paraId="6B3B0405" w14:textId="77777777" w:rsidR="008B10FF" w:rsidRPr="00FA7B26" w:rsidRDefault="008B10FF" w:rsidP="008B10FF">
      <w:pPr>
        <w:pStyle w:val="Betarp"/>
        <w:spacing w:line="250" w:lineRule="auto"/>
        <w:ind w:firstLine="851"/>
        <w:jc w:val="both"/>
        <w:rPr>
          <w:rFonts w:ascii="Times New Roman" w:hAnsi="Times New Roman"/>
          <w:color w:val="000000"/>
          <w:sz w:val="24"/>
          <w:szCs w:val="24"/>
          <w:lang w:val="lt-LT"/>
        </w:rPr>
      </w:pPr>
    </w:p>
    <w:p w14:paraId="521631EC" w14:textId="77777777" w:rsidR="008B10FF" w:rsidRPr="007C0FDB" w:rsidRDefault="008B10FF" w:rsidP="00E660EB">
      <w:pPr>
        <w:keepNext/>
        <w:keepLines/>
        <w:shd w:val="clear" w:color="auto" w:fill="FFFFFF" w:themeFill="background1"/>
        <w:spacing w:line="250" w:lineRule="auto"/>
        <w:ind w:firstLine="709"/>
        <w:jc w:val="both"/>
        <w:outlineLvl w:val="1"/>
        <w:rPr>
          <w:b/>
          <w:sz w:val="26"/>
          <w:szCs w:val="26"/>
        </w:rPr>
      </w:pPr>
      <w:bookmarkStart w:id="58" w:name="_Toc508921167"/>
      <w:bookmarkStart w:id="59" w:name="_Hlk508383571"/>
      <w:r w:rsidRPr="007C0FDB">
        <w:rPr>
          <w:b/>
          <w:sz w:val="26"/>
          <w:szCs w:val="26"/>
        </w:rPr>
        <w:t>1. Rizikos veiksniai, pavojai ir grėsmės nacionaliniam saugumui</w:t>
      </w:r>
      <w:bookmarkEnd w:id="58"/>
    </w:p>
    <w:p w14:paraId="3885F92F" w14:textId="77777777" w:rsidR="008B10FF" w:rsidRPr="00A95018" w:rsidRDefault="008B10FF" w:rsidP="00E660EB">
      <w:pPr>
        <w:pStyle w:val="Antrat5"/>
        <w:spacing w:before="0" w:line="250" w:lineRule="auto"/>
        <w:ind w:firstLine="709"/>
        <w:rPr>
          <w:rFonts w:ascii="Times New Roman" w:hAnsi="Times New Roman"/>
          <w:b/>
          <w:bCs/>
          <w:color w:val="17365D" w:themeColor="text2" w:themeShade="BF"/>
        </w:rPr>
      </w:pPr>
      <w:bookmarkStart w:id="60" w:name="_Hlk34299734"/>
      <w:r w:rsidRPr="00A95018">
        <w:rPr>
          <w:rFonts w:ascii="Times New Roman" w:hAnsi="Times New Roman"/>
          <w:b/>
          <w:bCs/>
          <w:color w:val="17365D" w:themeColor="text2" w:themeShade="BF"/>
        </w:rPr>
        <w:t xml:space="preserve">Konvencinės karinės grėsmės </w:t>
      </w:r>
    </w:p>
    <w:bookmarkEnd w:id="60"/>
    <w:p w14:paraId="06B560BC" w14:textId="77777777" w:rsidR="008B10FF" w:rsidRPr="00336A86" w:rsidRDefault="008B10FF" w:rsidP="00E660EB">
      <w:pPr>
        <w:spacing w:line="250" w:lineRule="auto"/>
        <w:ind w:firstLine="709"/>
        <w:contextualSpacing/>
        <w:jc w:val="both"/>
        <w:rPr>
          <w:szCs w:val="24"/>
        </w:rPr>
      </w:pPr>
      <w:r w:rsidRPr="00396A9D">
        <w:rPr>
          <w:szCs w:val="24"/>
        </w:rPr>
        <w:t xml:space="preserve">Didžiausią konvencinę karinę grėsmę Lietuvai kelia Rusija. 2020 m. vasarą įsigaliojusios Rusijos </w:t>
      </w:r>
      <w:r>
        <w:rPr>
          <w:szCs w:val="24"/>
        </w:rPr>
        <w:t>k</w:t>
      </w:r>
      <w:r w:rsidRPr="00396A9D">
        <w:rPr>
          <w:szCs w:val="24"/>
        </w:rPr>
        <w:t xml:space="preserve">onstitucijos pataisos dar labiau sustiprino jau du dešimtmečius šalį valdantį autoritarinį režimą. Rusijos prezidentas </w:t>
      </w:r>
      <w:r>
        <w:rPr>
          <w:szCs w:val="24"/>
        </w:rPr>
        <w:t>k</w:t>
      </w:r>
      <w:r w:rsidRPr="00396A9D">
        <w:rPr>
          <w:szCs w:val="24"/>
        </w:rPr>
        <w:t xml:space="preserve">onstitucijoje įtvirtino savo viršenybę </w:t>
      </w:r>
      <w:r>
        <w:rPr>
          <w:szCs w:val="24"/>
        </w:rPr>
        <w:t>p</w:t>
      </w:r>
      <w:r w:rsidRPr="00396A9D">
        <w:rPr>
          <w:szCs w:val="24"/>
        </w:rPr>
        <w:t xml:space="preserve">arlamento, </w:t>
      </w:r>
      <w:r>
        <w:rPr>
          <w:szCs w:val="24"/>
        </w:rPr>
        <w:t>v</w:t>
      </w:r>
      <w:r w:rsidRPr="00396A9D">
        <w:rPr>
          <w:szCs w:val="24"/>
        </w:rPr>
        <w:t xml:space="preserve">yriausybės ir teismų atžvilgiu ir dar labiau sustiprino savo galimybes kontroliuoti vidaus ir užsienio politikos procesus. Šie pokyčiai atspindi </w:t>
      </w:r>
      <w:r w:rsidRPr="00336A86">
        <w:rPr>
          <w:szCs w:val="24"/>
        </w:rPr>
        <w:t>Kremliaus gebėjimą vienašališkai ir greitai priimti bei įgyvendinti sprendimus, remiantis savo poreikius atitinkančia nacionalinių interesų interpretacija, mažina tokių sprendimų nuspėjamumą ateityje.</w:t>
      </w:r>
      <w:r>
        <w:rPr>
          <w:szCs w:val="24"/>
        </w:rPr>
        <w:t xml:space="preserve"> </w:t>
      </w:r>
    </w:p>
    <w:p w14:paraId="774CCBE8" w14:textId="77777777" w:rsidR="008B10FF" w:rsidRPr="00396A9D" w:rsidRDefault="008B10FF" w:rsidP="00E660EB">
      <w:pPr>
        <w:spacing w:line="250" w:lineRule="auto"/>
        <w:ind w:firstLine="709"/>
        <w:contextualSpacing/>
        <w:jc w:val="both"/>
        <w:rPr>
          <w:szCs w:val="24"/>
        </w:rPr>
      </w:pPr>
      <w:r w:rsidRPr="00336A86">
        <w:rPr>
          <w:szCs w:val="24"/>
        </w:rPr>
        <w:t>Kremliaus režimo interesai ir grėsmių samprata lemia ir Rusijos užsienio politiką. Maskva</w:t>
      </w:r>
      <w:r w:rsidRPr="00396A9D">
        <w:rPr>
          <w:szCs w:val="24"/>
        </w:rPr>
        <w:t xml:space="preserve"> tarptautinius santykius suvokia kaip didžiųjų valstybių ar jų aljansų geopolitinės konkurencijos areną, kurioje būtina plėsti savo įtaką </w:t>
      </w:r>
      <w:r>
        <w:rPr>
          <w:szCs w:val="24"/>
        </w:rPr>
        <w:t xml:space="preserve">pasinaudojant </w:t>
      </w:r>
      <w:r w:rsidRPr="00396A9D">
        <w:rPr>
          <w:szCs w:val="24"/>
        </w:rPr>
        <w:t>oponent</w:t>
      </w:r>
      <w:r>
        <w:rPr>
          <w:szCs w:val="24"/>
        </w:rPr>
        <w:t>ais</w:t>
      </w:r>
      <w:r w:rsidRPr="00396A9D">
        <w:rPr>
          <w:szCs w:val="24"/>
        </w:rPr>
        <w:t>. Realizuodama šį uždavinį</w:t>
      </w:r>
      <w:r>
        <w:rPr>
          <w:szCs w:val="24"/>
        </w:rPr>
        <w:t>,</w:t>
      </w:r>
      <w:r w:rsidRPr="00396A9D">
        <w:rPr>
          <w:szCs w:val="24"/>
        </w:rPr>
        <w:t xml:space="preserve"> Rusija greitai ir efektyviai </w:t>
      </w:r>
      <w:r>
        <w:rPr>
          <w:szCs w:val="24"/>
        </w:rPr>
        <w:t>taiko</w:t>
      </w:r>
      <w:r w:rsidRPr="00396A9D">
        <w:rPr>
          <w:szCs w:val="24"/>
        </w:rPr>
        <w:t xml:space="preserve"> karinę galią, jeigu įvertina, kad žengus</w:t>
      </w:r>
      <w:r>
        <w:rPr>
          <w:szCs w:val="24"/>
        </w:rPr>
        <w:t>i</w:t>
      </w:r>
      <w:r w:rsidRPr="00396A9D">
        <w:rPr>
          <w:szCs w:val="24"/>
        </w:rPr>
        <w:t xml:space="preserve"> šį žingsnį nepatirs nepriimtinų nuostolių. Taip Rusija pasielgė okupuodama dalį </w:t>
      </w:r>
      <w:proofErr w:type="spellStart"/>
      <w:r>
        <w:rPr>
          <w:szCs w:val="24"/>
        </w:rPr>
        <w:t>Sakartvelo</w:t>
      </w:r>
      <w:proofErr w:type="spellEnd"/>
      <w:r w:rsidRPr="00396A9D">
        <w:rPr>
          <w:szCs w:val="24"/>
        </w:rPr>
        <w:t xml:space="preserve">, Ukrainos, įtvirtindama karinį buvimą Sirijoje, siųsdama karinius patarėjus, instruktorius ir privačių karinių kompanijų personalą į kitus krizių regionus. 2020 m. rudenį Rusija pasinaudojo karinių veiksmų tarp Azerbaidžano ir Armėnijos suaktyvėjimu ir dislokavo savo karinį kontingentą šiaurinėje Kalnų </w:t>
      </w:r>
      <w:proofErr w:type="spellStart"/>
      <w:r w:rsidRPr="00396A9D">
        <w:rPr>
          <w:szCs w:val="24"/>
        </w:rPr>
        <w:t>Karabacho</w:t>
      </w:r>
      <w:proofErr w:type="spellEnd"/>
      <w:r w:rsidRPr="00396A9D">
        <w:rPr>
          <w:szCs w:val="24"/>
        </w:rPr>
        <w:t xml:space="preserve"> dalyje. Taip </w:t>
      </w:r>
      <w:r w:rsidRPr="00BA598C">
        <w:rPr>
          <w:szCs w:val="24"/>
        </w:rPr>
        <w:t>Maskva</w:t>
      </w:r>
      <w:r w:rsidRPr="00396A9D">
        <w:rPr>
          <w:szCs w:val="24"/>
        </w:rPr>
        <w:t xml:space="preserve"> įgijo svarbų </w:t>
      </w:r>
      <w:r>
        <w:rPr>
          <w:szCs w:val="24"/>
        </w:rPr>
        <w:t>tolesnės konflikto dinamikos</w:t>
      </w:r>
      <w:r w:rsidRPr="00396A9D">
        <w:rPr>
          <w:szCs w:val="24"/>
        </w:rPr>
        <w:t xml:space="preserve"> svertą.</w:t>
      </w:r>
    </w:p>
    <w:p w14:paraId="58378BA6" w14:textId="77777777" w:rsidR="008B10FF" w:rsidRPr="00396A9D" w:rsidRDefault="008B10FF" w:rsidP="00E660EB">
      <w:pPr>
        <w:spacing w:line="250" w:lineRule="auto"/>
        <w:ind w:firstLine="709"/>
        <w:contextualSpacing/>
        <w:jc w:val="both"/>
        <w:rPr>
          <w:szCs w:val="24"/>
        </w:rPr>
      </w:pPr>
      <w:r w:rsidRPr="00396A9D">
        <w:rPr>
          <w:szCs w:val="24"/>
        </w:rPr>
        <w:t>Rusija toliau stiprina karinius pajėgumus</w:t>
      </w:r>
      <w:r w:rsidRPr="00A06524">
        <w:rPr>
          <w:szCs w:val="24"/>
        </w:rPr>
        <w:t xml:space="preserve"> </w:t>
      </w:r>
      <w:r w:rsidRPr="00396A9D">
        <w:rPr>
          <w:szCs w:val="24"/>
        </w:rPr>
        <w:t>Lietuvos kryptimi. Rusijos ginkluotųjų pajėgų brigadose ir pulkuose komplektuojamos 700–800 karių bataliono taktinės grupės, kurios geba pradėti vykdyti užduotis per 24–48 val. nuo gauto įsakymo. Rusijos gebėjimas greitai sutelkti pajėgas ir ypač greitas bei centralizuotas sprendimų priėmimo procesas leistų įgyti (bent pradiniame konflikto etape) akivaizdžią persvarą prieš kaimynines valstybes.</w:t>
      </w:r>
    </w:p>
    <w:p w14:paraId="65F54F9F" w14:textId="77777777" w:rsidR="008B10FF" w:rsidRPr="00396A9D" w:rsidRDefault="008B10FF" w:rsidP="00E660EB">
      <w:pPr>
        <w:spacing w:line="250" w:lineRule="auto"/>
        <w:ind w:firstLine="709"/>
        <w:contextualSpacing/>
        <w:jc w:val="both"/>
        <w:rPr>
          <w:bCs/>
          <w:szCs w:val="24"/>
        </w:rPr>
      </w:pPr>
      <w:r w:rsidRPr="00396A9D">
        <w:rPr>
          <w:szCs w:val="24"/>
        </w:rPr>
        <w:t>Rusijos ginkluotosiose pajėgose besitęsiantys vystymosi procesai atsispindi ir Kaliningrado srityje</w:t>
      </w:r>
      <w:r>
        <w:rPr>
          <w:szCs w:val="24"/>
        </w:rPr>
        <w:t xml:space="preserve"> dislokuotuose kariniuose daliniuose</w:t>
      </w:r>
      <w:r w:rsidRPr="00396A9D">
        <w:rPr>
          <w:szCs w:val="24"/>
        </w:rPr>
        <w:t xml:space="preserve">. </w:t>
      </w:r>
      <w:r>
        <w:rPr>
          <w:szCs w:val="24"/>
        </w:rPr>
        <w:t>Ten</w:t>
      </w:r>
      <w:r w:rsidRPr="00396A9D">
        <w:rPr>
          <w:szCs w:val="24"/>
        </w:rPr>
        <w:t xml:space="preserve"> jau keletą metų didinamas tankų skaičius, kuriama ir komplektuojama nauja moto</w:t>
      </w:r>
      <w:r>
        <w:rPr>
          <w:szCs w:val="24"/>
        </w:rPr>
        <w:t xml:space="preserve">rizuotųjų </w:t>
      </w:r>
      <w:r w:rsidRPr="00396A9D">
        <w:rPr>
          <w:szCs w:val="24"/>
        </w:rPr>
        <w:t>šaulių divizija, n</w:t>
      </w:r>
      <w:r w:rsidRPr="00396A9D">
        <w:rPr>
          <w:bCs/>
          <w:szCs w:val="24"/>
        </w:rPr>
        <w:t>uosekliai didinamas laivų, galinčių nešti sparnuotąsias raketas „</w:t>
      </w:r>
      <w:proofErr w:type="spellStart"/>
      <w:r w:rsidRPr="00396A9D">
        <w:rPr>
          <w:bCs/>
          <w:szCs w:val="24"/>
        </w:rPr>
        <w:t>Kalibr</w:t>
      </w:r>
      <w:proofErr w:type="spellEnd"/>
      <w:r w:rsidRPr="00396A9D">
        <w:rPr>
          <w:bCs/>
          <w:szCs w:val="24"/>
        </w:rPr>
        <w:t xml:space="preserve">“, skaičius. </w:t>
      </w:r>
      <w:r>
        <w:rPr>
          <w:bCs/>
          <w:szCs w:val="24"/>
        </w:rPr>
        <w:t>Pasinaudodama šiomis</w:t>
      </w:r>
      <w:r w:rsidRPr="00396A9D">
        <w:rPr>
          <w:bCs/>
          <w:szCs w:val="24"/>
        </w:rPr>
        <w:t xml:space="preserve"> raketų sistemomis</w:t>
      </w:r>
      <w:r>
        <w:rPr>
          <w:bCs/>
          <w:szCs w:val="24"/>
        </w:rPr>
        <w:t>,</w:t>
      </w:r>
      <w:r w:rsidRPr="00396A9D">
        <w:rPr>
          <w:bCs/>
          <w:szCs w:val="24"/>
        </w:rPr>
        <w:t xml:space="preserve"> Rusija gali suduoti smūgį potencialaus priešininko kritinės infrastruktūros objektams d</w:t>
      </w:r>
      <w:r>
        <w:rPr>
          <w:bCs/>
          <w:szCs w:val="24"/>
        </w:rPr>
        <w:t>idesniu</w:t>
      </w:r>
      <w:r w:rsidRPr="00396A9D">
        <w:rPr>
          <w:bCs/>
          <w:szCs w:val="24"/>
        </w:rPr>
        <w:t xml:space="preserve"> nei 2 tūkst. kilometrų atstumu. Kaliningrade vyksta ilgalaikis šių pajėgumų stiprinimas</w:t>
      </w:r>
      <w:r w:rsidRPr="00396A9D">
        <w:rPr>
          <w:szCs w:val="24"/>
        </w:rPr>
        <w:t xml:space="preserve">: 2016–2019 m. čia buvo </w:t>
      </w:r>
      <w:r>
        <w:rPr>
          <w:szCs w:val="24"/>
        </w:rPr>
        <w:t xml:space="preserve">perkelti </w:t>
      </w:r>
      <w:r w:rsidRPr="00396A9D">
        <w:rPr>
          <w:szCs w:val="24"/>
        </w:rPr>
        <w:t xml:space="preserve">keturi laivai, </w:t>
      </w:r>
      <w:r>
        <w:rPr>
          <w:szCs w:val="24"/>
        </w:rPr>
        <w:t xml:space="preserve">o </w:t>
      </w:r>
      <w:r w:rsidRPr="00396A9D">
        <w:rPr>
          <w:szCs w:val="24"/>
        </w:rPr>
        <w:t>penktasis raketomis „</w:t>
      </w:r>
      <w:proofErr w:type="spellStart"/>
      <w:r w:rsidRPr="00396A9D">
        <w:rPr>
          <w:szCs w:val="24"/>
        </w:rPr>
        <w:t>Kalibr</w:t>
      </w:r>
      <w:proofErr w:type="spellEnd"/>
      <w:r w:rsidRPr="00396A9D">
        <w:rPr>
          <w:szCs w:val="24"/>
        </w:rPr>
        <w:t xml:space="preserve">“ ginkluotas laivas </w:t>
      </w:r>
      <w:r>
        <w:rPr>
          <w:szCs w:val="24"/>
        </w:rPr>
        <w:t>atvyko</w:t>
      </w:r>
      <w:r w:rsidRPr="00396A9D">
        <w:rPr>
          <w:szCs w:val="24"/>
        </w:rPr>
        <w:t xml:space="preserve"> 2020 m. Stiprindama šiuos pajėgumus </w:t>
      </w:r>
      <w:r w:rsidRPr="00396A9D">
        <w:rPr>
          <w:bCs/>
          <w:szCs w:val="24"/>
        </w:rPr>
        <w:t>Lietuvos kaimynystėje</w:t>
      </w:r>
      <w:r>
        <w:rPr>
          <w:bCs/>
          <w:szCs w:val="24"/>
        </w:rPr>
        <w:t>,</w:t>
      </w:r>
      <w:r w:rsidRPr="00396A9D">
        <w:rPr>
          <w:bCs/>
          <w:szCs w:val="24"/>
        </w:rPr>
        <w:t xml:space="preserve"> Rusija kuria </w:t>
      </w:r>
      <w:r w:rsidRPr="00396A9D">
        <w:rPr>
          <w:szCs w:val="24"/>
        </w:rPr>
        <w:t>atkirtimo ir izoliavimo, vadinamąjį A2 / AD (</w:t>
      </w:r>
      <w:r w:rsidRPr="00396A9D">
        <w:rPr>
          <w:bCs/>
          <w:szCs w:val="24"/>
        </w:rPr>
        <w:t xml:space="preserve">angl. </w:t>
      </w:r>
      <w:proofErr w:type="spellStart"/>
      <w:r w:rsidRPr="00396A9D">
        <w:rPr>
          <w:bCs/>
          <w:i/>
          <w:szCs w:val="24"/>
        </w:rPr>
        <w:t>Anti</w:t>
      </w:r>
      <w:proofErr w:type="spellEnd"/>
      <w:r w:rsidRPr="00396A9D">
        <w:rPr>
          <w:bCs/>
          <w:i/>
          <w:szCs w:val="24"/>
        </w:rPr>
        <w:t xml:space="preserve">-Access / </w:t>
      </w:r>
      <w:proofErr w:type="spellStart"/>
      <w:r w:rsidRPr="00396A9D">
        <w:rPr>
          <w:bCs/>
          <w:i/>
          <w:szCs w:val="24"/>
        </w:rPr>
        <w:t>Area</w:t>
      </w:r>
      <w:proofErr w:type="spellEnd"/>
      <w:r w:rsidRPr="00396A9D">
        <w:rPr>
          <w:bCs/>
          <w:i/>
          <w:szCs w:val="24"/>
        </w:rPr>
        <w:t xml:space="preserve"> </w:t>
      </w:r>
      <w:proofErr w:type="spellStart"/>
      <w:r w:rsidRPr="00396A9D">
        <w:rPr>
          <w:bCs/>
          <w:i/>
          <w:szCs w:val="24"/>
        </w:rPr>
        <w:t>Denial</w:t>
      </w:r>
      <w:proofErr w:type="spellEnd"/>
      <w:r w:rsidRPr="00396A9D">
        <w:rPr>
          <w:bCs/>
          <w:szCs w:val="24"/>
        </w:rPr>
        <w:t>)</w:t>
      </w:r>
      <w:r w:rsidRPr="00396A9D">
        <w:rPr>
          <w:szCs w:val="24"/>
        </w:rPr>
        <w:t xml:space="preserve">, efektą, kuriuo siekiama </w:t>
      </w:r>
      <w:r w:rsidRPr="00396A9D">
        <w:rPr>
          <w:bCs/>
          <w:szCs w:val="24"/>
        </w:rPr>
        <w:t xml:space="preserve">maksimaliai apriboti </w:t>
      </w:r>
      <w:r>
        <w:rPr>
          <w:szCs w:val="24"/>
        </w:rPr>
        <w:t>Šiaurės Atlanto Sutarties Organizacijos (toliau – NATO) p</w:t>
      </w:r>
      <w:r w:rsidRPr="00396A9D">
        <w:rPr>
          <w:bCs/>
          <w:szCs w:val="24"/>
        </w:rPr>
        <w:t xml:space="preserve">ajėgų atvykimo galimybes kilus konfliktui. </w:t>
      </w:r>
      <w:r w:rsidRPr="00396A9D">
        <w:rPr>
          <w:szCs w:val="24"/>
        </w:rPr>
        <w:t>Kaliningrado srityje Rusija išlaiko taktinio branduolinio ginklo pajėgumus.</w:t>
      </w:r>
    </w:p>
    <w:p w14:paraId="0EFC6B52" w14:textId="77777777" w:rsidR="008B10FF" w:rsidRDefault="008B10FF" w:rsidP="00E660EB">
      <w:pPr>
        <w:spacing w:line="250" w:lineRule="auto"/>
        <w:ind w:firstLine="709"/>
        <w:contextualSpacing/>
        <w:jc w:val="both"/>
        <w:outlineLvl w:val="0"/>
        <w:rPr>
          <w:szCs w:val="24"/>
        </w:rPr>
      </w:pPr>
      <w:bookmarkStart w:id="61" w:name="_Toc67996451"/>
      <w:bookmarkStart w:id="62" w:name="_Toc68004814"/>
      <w:bookmarkStart w:id="63" w:name="_Toc68039025"/>
      <w:bookmarkStart w:id="64" w:name="_Toc68079191"/>
      <w:r w:rsidRPr="00396A9D">
        <w:rPr>
          <w:bCs/>
          <w:szCs w:val="24"/>
        </w:rPr>
        <w:t xml:space="preserve">Karinis aktyvumas ypač intensyvus šalia Lietuvos sienos (ties Kudirkos Naumiesčiu) esančiame </w:t>
      </w:r>
      <w:proofErr w:type="spellStart"/>
      <w:r w:rsidRPr="00396A9D">
        <w:rPr>
          <w:bCs/>
          <w:szCs w:val="24"/>
        </w:rPr>
        <w:t>Dobrovolsko</w:t>
      </w:r>
      <w:proofErr w:type="spellEnd"/>
      <w:r w:rsidRPr="00396A9D">
        <w:rPr>
          <w:bCs/>
          <w:szCs w:val="24"/>
        </w:rPr>
        <w:t xml:space="preserve"> poligone, kuriame treniruojasi Kaliningrade dislokuoto 11-ojo armijos korpuso padaliniai ir Baltijos laivyno jūrų aviacijos orlaiviai. Rusijos ginkluotųjų pajėgų dalinių aktyvumas pasienyje neigiamai veikia Lietuvos saugumo aplinką, taip pat didina netyčinių incidentų riziką. Labai tikėtina, kad tokių incidentų rizika padidės 2021 m. rugsėjį, kai </w:t>
      </w:r>
      <w:r w:rsidRPr="00396A9D">
        <w:rPr>
          <w:szCs w:val="24"/>
        </w:rPr>
        <w:t>vyks strateginiai mokymai „</w:t>
      </w:r>
      <w:proofErr w:type="spellStart"/>
      <w:r w:rsidRPr="00396A9D">
        <w:rPr>
          <w:szCs w:val="24"/>
        </w:rPr>
        <w:t>Zapad</w:t>
      </w:r>
      <w:proofErr w:type="spellEnd"/>
      <w:r w:rsidRPr="00396A9D">
        <w:rPr>
          <w:szCs w:val="24"/>
        </w:rPr>
        <w:t>“ („Vakarai“).</w:t>
      </w:r>
      <w:bookmarkEnd w:id="61"/>
      <w:bookmarkEnd w:id="62"/>
      <w:bookmarkEnd w:id="63"/>
      <w:bookmarkEnd w:id="64"/>
    </w:p>
    <w:p w14:paraId="04ADD321" w14:textId="77777777" w:rsidR="008B10FF" w:rsidRPr="00A95018" w:rsidRDefault="008B10FF" w:rsidP="00E660EB">
      <w:pPr>
        <w:pStyle w:val="Antrat5"/>
        <w:spacing w:before="0" w:line="250" w:lineRule="auto"/>
        <w:ind w:firstLine="709"/>
        <w:rPr>
          <w:rFonts w:ascii="Times New Roman" w:hAnsi="Times New Roman"/>
          <w:b/>
          <w:bCs/>
          <w:color w:val="17365D" w:themeColor="text2" w:themeShade="BF"/>
        </w:rPr>
      </w:pPr>
      <w:r w:rsidRPr="00A95018">
        <w:rPr>
          <w:rFonts w:ascii="Times New Roman" w:hAnsi="Times New Roman"/>
          <w:b/>
          <w:bCs/>
          <w:color w:val="17365D" w:themeColor="text2" w:themeShade="BF"/>
        </w:rPr>
        <w:t xml:space="preserve">Užmaskuotos karinės ir žvalgybos priemonės </w:t>
      </w:r>
    </w:p>
    <w:p w14:paraId="1B893E28" w14:textId="77777777" w:rsidR="008B10FF" w:rsidRDefault="008B10FF" w:rsidP="00E660EB">
      <w:pPr>
        <w:keepNext/>
        <w:spacing w:line="250" w:lineRule="auto"/>
        <w:ind w:firstLine="709"/>
        <w:jc w:val="both"/>
        <w:rPr>
          <w:szCs w:val="24"/>
        </w:rPr>
      </w:pPr>
      <w:r w:rsidRPr="00A63D1E">
        <w:rPr>
          <w:szCs w:val="24"/>
        </w:rPr>
        <w:t xml:space="preserve">Rusijos žvalgybos ir saugumo tarnybos, palyginti su kitų valstybių </w:t>
      </w:r>
      <w:r>
        <w:rPr>
          <w:szCs w:val="24"/>
        </w:rPr>
        <w:t>tarnybomis</w:t>
      </w:r>
      <w:r w:rsidRPr="00A63D1E">
        <w:rPr>
          <w:szCs w:val="24"/>
        </w:rPr>
        <w:t>, 2020 m. kėlė didžiausią grėsmę Lietuvos nacionaliniam saugumui. Rusijos tarnybos renka informaciją, reikalingą Rusijos kariniam planavimui, t. y. nuolat renka informacij</w:t>
      </w:r>
      <w:r>
        <w:rPr>
          <w:szCs w:val="24"/>
        </w:rPr>
        <w:t>ą</w:t>
      </w:r>
      <w:r w:rsidRPr="00A63D1E">
        <w:rPr>
          <w:szCs w:val="24"/>
        </w:rPr>
        <w:t xml:space="preserve"> apie Lietuvos kariuomenės infrastruktūrą, šalies ir NATO šalių karines pajėgas Lietuvoje, taip pat strategiškai svarbius šalies objektus. Renkama ne tik įslaptinta, bet ir neįslaptinta, </w:t>
      </w:r>
      <w:r>
        <w:rPr>
          <w:szCs w:val="24"/>
        </w:rPr>
        <w:t>tačiau</w:t>
      </w:r>
      <w:r w:rsidRPr="00A63D1E">
        <w:rPr>
          <w:szCs w:val="24"/>
        </w:rPr>
        <w:t xml:space="preserve"> viešai neskelbtina informacija. Šiems tikslams pasiekti naudojama tiek agentūrinė žvalgyba (HUMINT), tiek skirtingos techninės priemonės. Nors per COVID-19 pandemiją Rusijos žvalgybos </w:t>
      </w:r>
      <w:r w:rsidRPr="00A63D1E">
        <w:rPr>
          <w:szCs w:val="24"/>
        </w:rPr>
        <w:lastRenderedPageBreak/>
        <w:t>ir saugumo tarnybos sumažino agentūrinės žvalgybos mastą, techninių priemonių naudojimas ir kibernetinis šnipinėjimas išliko intensyvus.</w:t>
      </w:r>
      <w:r>
        <w:rPr>
          <w:szCs w:val="24"/>
        </w:rPr>
        <w:t xml:space="preserve"> </w:t>
      </w:r>
    </w:p>
    <w:p w14:paraId="7B223B9A" w14:textId="77777777" w:rsidR="008B10FF" w:rsidRDefault="008B10FF" w:rsidP="00E660EB">
      <w:pPr>
        <w:keepNext/>
        <w:spacing w:line="250" w:lineRule="auto"/>
        <w:ind w:firstLine="709"/>
        <w:jc w:val="both"/>
      </w:pPr>
      <w:r>
        <w:t xml:space="preserve">Rusija taip pat vykdo aktyvią žvalgybinę veiklą su Kaliningrado sritimi besiribojančiose Lietuvos pasienio savivaldybėse. Rusijos federalinė saugumo tarnyba ir Rusijos ginkluotųjų pajėgų Generalinio štabo Vyriausioji valdyba sistemingai renka žvalgybos informaciją apie Lietuvos ir Rusijos sieną reguliariai kertančius Lietuvos Respublikos piliečius ir ieško galimybių juos verbuoti – dažnai naudodamosi sienos kirtimo procedūromis. Rusijos žvalgybos tarnybos siekia paveikti politinius ir visuomeninius procesus pasienio savivaldybėse – Lietuvos spaudoje ir internetinėje žiniasklaidoje mėginama skelbti Kremliaus naratyvus atitinkančius straipsnius ir komentarus apie Lietuvos vidaus ir užsienio politiką ar pasienio savivaldybių aktualijas. </w:t>
      </w:r>
    </w:p>
    <w:p w14:paraId="6B557030" w14:textId="77777777" w:rsidR="008B10FF" w:rsidRPr="00A63D1E" w:rsidRDefault="008B10FF" w:rsidP="00E660EB">
      <w:pPr>
        <w:spacing w:line="250" w:lineRule="auto"/>
        <w:ind w:firstLine="709"/>
        <w:jc w:val="both"/>
        <w:rPr>
          <w:szCs w:val="24"/>
        </w:rPr>
      </w:pPr>
      <w:r w:rsidRPr="00A63D1E">
        <w:rPr>
          <w:szCs w:val="24"/>
        </w:rPr>
        <w:t>Svarbiausia Rusijos sąjungininkė vykdant žvalgybą prieš Lietuvą yra Baltarusija. Baltarusijos žvalgybos ir saugumo tarnybos aktyviai bendradarbiauja su Rusijos žvalgyba ir teikia pagalbą Rusijos operacijoms Baltarusijoje.</w:t>
      </w:r>
      <w:r w:rsidRPr="001931C1">
        <w:rPr>
          <w:bCs/>
        </w:rPr>
        <w:t xml:space="preserve"> </w:t>
      </w:r>
      <w:r>
        <w:rPr>
          <w:bCs/>
        </w:rPr>
        <w:t xml:space="preserve">Baltarusijos valstybės saugumo komitetas laiko Lietuvą vienu iš savo žvalgybinės veiklos prioritetų. Šio komiteto darbuotojų veikla su diplomatine priedanga Lietuvoje yra sėkmingai užkardoma, todėl </w:t>
      </w:r>
      <w:r>
        <w:t xml:space="preserve">aktyviausia žvalgybinė veikla prieš Lietuvos piliečius vykdoma Baltarusijos teritorijoje. </w:t>
      </w:r>
    </w:p>
    <w:p w14:paraId="47BDDB58" w14:textId="77777777" w:rsidR="008B10FF" w:rsidRPr="00A63D1E" w:rsidRDefault="008B10FF" w:rsidP="00E660EB">
      <w:pPr>
        <w:spacing w:line="250" w:lineRule="auto"/>
        <w:ind w:firstLine="709"/>
        <w:jc w:val="both"/>
        <w:rPr>
          <w:szCs w:val="24"/>
        </w:rPr>
      </w:pPr>
      <w:r w:rsidRPr="00A63D1E">
        <w:rPr>
          <w:szCs w:val="24"/>
        </w:rPr>
        <w:t>Verbuo</w:t>
      </w:r>
      <w:r>
        <w:rPr>
          <w:szCs w:val="24"/>
        </w:rPr>
        <w:t>damos</w:t>
      </w:r>
      <w:r w:rsidRPr="00A63D1E">
        <w:rPr>
          <w:szCs w:val="24"/>
        </w:rPr>
        <w:t xml:space="preserve"> asmenis</w:t>
      </w:r>
      <w:r>
        <w:rPr>
          <w:szCs w:val="24"/>
        </w:rPr>
        <w:t>,</w:t>
      </w:r>
      <w:r w:rsidRPr="00A63D1E">
        <w:rPr>
          <w:szCs w:val="24"/>
        </w:rPr>
        <w:t xml:space="preserve"> tiek Rusijos, tiek Baltarusijos žvalgybos ir saugumo tarnybos renka informaciją apie Lietuvos piliečius, turinčius įvairių ryšių su Rusija, Baltarusija ir kitomis N</w:t>
      </w:r>
      <w:r>
        <w:rPr>
          <w:szCs w:val="24"/>
        </w:rPr>
        <w:t>epriklausomų valstybių sandraugos</w:t>
      </w:r>
      <w:r w:rsidRPr="00A63D1E">
        <w:rPr>
          <w:szCs w:val="24"/>
        </w:rPr>
        <w:t xml:space="preserve"> šalimis. </w:t>
      </w:r>
      <w:r>
        <w:rPr>
          <w:bCs/>
        </w:rPr>
        <w:t>Baltarusijos valstybės saugumo komitetą</w:t>
      </w:r>
      <w:r>
        <w:t xml:space="preserve"> domina į Baltarusiją reguliariai vykstantys Lietuvos Respublikos policijos, Vadovybės apsaugos tarnybos, Valstybės sienos apsaugos tarnybos pareigūnai, teisėjai, taip pat </w:t>
      </w:r>
      <w:r>
        <w:rPr>
          <w:color w:val="000000"/>
        </w:rPr>
        <w:t xml:space="preserve">politikai, strateginių įmonių, valstybės institucijų bei savivaldybių darbuotojai, žurnalistai. </w:t>
      </w:r>
      <w:r w:rsidRPr="00A63D1E">
        <w:rPr>
          <w:szCs w:val="24"/>
        </w:rPr>
        <w:t xml:space="preserve">Rusijos ar Baltarusijos teritorijose šių valstybių </w:t>
      </w:r>
      <w:r>
        <w:rPr>
          <w:szCs w:val="24"/>
        </w:rPr>
        <w:t>tarnybos</w:t>
      </w:r>
      <w:r w:rsidRPr="00A63D1E">
        <w:rPr>
          <w:szCs w:val="24"/>
        </w:rPr>
        <w:t xml:space="preserve"> nevengia veikti agresyviai, todėl verbuo</w:t>
      </w:r>
      <w:r>
        <w:rPr>
          <w:szCs w:val="24"/>
        </w:rPr>
        <w:t>damos</w:t>
      </w:r>
      <w:r w:rsidRPr="00A63D1E">
        <w:rPr>
          <w:szCs w:val="24"/>
        </w:rPr>
        <w:t xml:space="preserve"> asmenis naudoja kompromituojančią informaciją</w:t>
      </w:r>
      <w:r>
        <w:rPr>
          <w:szCs w:val="24"/>
        </w:rPr>
        <w:t>,</w:t>
      </w:r>
      <w:r w:rsidRPr="00A63D1E">
        <w:rPr>
          <w:szCs w:val="24"/>
        </w:rPr>
        <w:t xml:space="preserve"> </w:t>
      </w:r>
      <w:r>
        <w:rPr>
          <w:szCs w:val="24"/>
        </w:rPr>
        <w:t xml:space="preserve">inscenizacijas ir </w:t>
      </w:r>
      <w:r w:rsidRPr="00A63D1E">
        <w:rPr>
          <w:szCs w:val="24"/>
        </w:rPr>
        <w:t xml:space="preserve">šantažą. </w:t>
      </w:r>
    </w:p>
    <w:p w14:paraId="5994AD30" w14:textId="77777777" w:rsidR="008B10FF" w:rsidRDefault="008B10FF" w:rsidP="00E660EB">
      <w:pPr>
        <w:keepNext/>
        <w:spacing w:line="250" w:lineRule="auto"/>
        <w:ind w:firstLine="709"/>
        <w:jc w:val="both"/>
        <w:rPr>
          <w:color w:val="000000"/>
        </w:rPr>
      </w:pPr>
      <w:r w:rsidRPr="00A63D1E">
        <w:rPr>
          <w:szCs w:val="24"/>
        </w:rPr>
        <w:t>Tiek artimoje, tiek ilgalaikėje perspektyvoje prieš Lietuvą nukreiptos Rusijos žvalgybos ir saugumo tarnybos veiklos intensyvumas nemažės, tai daro ir toliau darys didelę žalą Lietuvos nacionaliniam saugumui.</w:t>
      </w:r>
      <w:r w:rsidRPr="007C2F18">
        <w:t xml:space="preserve"> </w:t>
      </w:r>
      <w:r>
        <w:t xml:space="preserve">Tikėtina, kad 2021 m., pasibaigus COVID-19 pandemijai ir panaikinus sienos kirtimo ribojimus, Rusijos žvalgybos tarnybų veikla su Kaliningradu besiribojančiose Lietuvos savivaldybėse pasieks įprastą didelį mastą, o dėl aktyvaus Lietuvos vaidmens palaikant demokratinę </w:t>
      </w:r>
      <w:r>
        <w:rPr>
          <w:color w:val="000000"/>
        </w:rPr>
        <w:t>Baltarusijos opoziciją bei dėl Aleksandro Lukašenkos režimo kaltinimų Lietuvai, kad ši tariamai kursto protestus, artimoje perspektyvoje tikėtina dar agresyvesnė Baltarusijos žvalgybinė veikla Lietuvos Respublikos piliečių atžvilgiu.</w:t>
      </w:r>
    </w:p>
    <w:p w14:paraId="37C4EBB2" w14:textId="77777777" w:rsidR="008B10FF" w:rsidRPr="000E6492" w:rsidRDefault="008B10FF" w:rsidP="00E660EB">
      <w:pPr>
        <w:pStyle w:val="Antrat5"/>
        <w:spacing w:before="0" w:line="250" w:lineRule="auto"/>
        <w:ind w:firstLine="709"/>
        <w:rPr>
          <w:rFonts w:ascii="Times New Roman" w:hAnsi="Times New Roman"/>
          <w:b/>
          <w:bCs/>
          <w:color w:val="17365D" w:themeColor="text2" w:themeShade="BF"/>
        </w:rPr>
      </w:pPr>
      <w:r w:rsidRPr="000E6492">
        <w:rPr>
          <w:rFonts w:ascii="Times New Roman" w:hAnsi="Times New Roman"/>
          <w:b/>
          <w:bCs/>
          <w:color w:val="17365D" w:themeColor="text2" w:themeShade="BF"/>
        </w:rPr>
        <w:t xml:space="preserve">Grėsmės euroatlantinės bendrijos vienybei </w:t>
      </w:r>
    </w:p>
    <w:p w14:paraId="1892DCAA" w14:textId="77777777" w:rsidR="008B10FF" w:rsidRDefault="008B10FF" w:rsidP="00E660EB">
      <w:pPr>
        <w:spacing w:line="250" w:lineRule="auto"/>
        <w:ind w:firstLine="709"/>
        <w:jc w:val="both"/>
        <w:rPr>
          <w:szCs w:val="24"/>
        </w:rPr>
      </w:pPr>
      <w:r w:rsidRPr="007C7C4A">
        <w:rPr>
          <w:szCs w:val="24"/>
        </w:rPr>
        <w:t xml:space="preserve">Didžiausią grėsmę euroatlantinės bendrijos vienybei kelia Rusijos mėginimai silpninti </w:t>
      </w:r>
      <w:r>
        <w:rPr>
          <w:szCs w:val="24"/>
        </w:rPr>
        <w:t>ir diskredituoti NATO</w:t>
      </w:r>
      <w:r w:rsidRPr="007C7C4A">
        <w:rPr>
          <w:szCs w:val="24"/>
        </w:rPr>
        <w:t xml:space="preserve"> ir </w:t>
      </w:r>
      <w:r>
        <w:rPr>
          <w:szCs w:val="24"/>
        </w:rPr>
        <w:t>ES</w:t>
      </w:r>
      <w:r w:rsidRPr="007C7C4A">
        <w:rPr>
          <w:szCs w:val="24"/>
        </w:rPr>
        <w:t xml:space="preserve">, priešintis jų plėtrai, </w:t>
      </w:r>
      <w:r>
        <w:rPr>
          <w:szCs w:val="24"/>
        </w:rPr>
        <w:t xml:space="preserve">NATO gynybos ir atgrasymo tikslų įgyvendinimui, </w:t>
      </w:r>
      <w:r w:rsidRPr="007C7C4A">
        <w:rPr>
          <w:szCs w:val="24"/>
        </w:rPr>
        <w:t xml:space="preserve">stiprinti sąjungininkų tarpusavio prieštaravimus. </w:t>
      </w:r>
      <w:r>
        <w:rPr>
          <w:szCs w:val="24"/>
        </w:rPr>
        <w:t>T</w:t>
      </w:r>
      <w:r w:rsidRPr="007C7C4A">
        <w:rPr>
          <w:szCs w:val="24"/>
        </w:rPr>
        <w:t xml:space="preserve">eisės viršenybės principu ir sutartų taisyklių laikymusi pagrįstus tarptautinius santykius Rusija siekia pakeisti didžiųjų šalių geopolitiniais interesais ir užkulisiniais susitarimais grindžiama politika. </w:t>
      </w:r>
    </w:p>
    <w:p w14:paraId="552826CB" w14:textId="77777777" w:rsidR="008B10FF" w:rsidRDefault="008B10FF" w:rsidP="00E660EB">
      <w:pPr>
        <w:spacing w:line="250" w:lineRule="auto"/>
        <w:ind w:firstLine="709"/>
        <w:jc w:val="both"/>
        <w:rPr>
          <w:szCs w:val="24"/>
        </w:rPr>
      </w:pPr>
      <w:r w:rsidRPr="003F400A">
        <w:rPr>
          <w:rFonts w:eastAsia="PMingLiU"/>
          <w:szCs w:val="24"/>
        </w:rPr>
        <w:t xml:space="preserve">Rusija toliau vystė naujas, esamais ginklų kontrolės mechanizmais neapimamas branduolinių ginklų sistemas, vykdė didelio masto karines pratybas. Rusija atsisakė derėtis dėl pasiūlymų modernizuoti saugumo ir pasitikėjimo priemones Europoje, siekė diskredituoti Cheminio ginklo uždraudimo organizaciją, jos tyrimus apie cheminio ginklo panaudojimo atvejus. Skaldydama NATO vienybę ir sutartą politiką Rusijos atžvilgiu, Maskva tęsė geopolitiniais interesais </w:t>
      </w:r>
      <w:r>
        <w:rPr>
          <w:rFonts w:eastAsia="PMingLiU"/>
          <w:szCs w:val="24"/>
        </w:rPr>
        <w:t>bei</w:t>
      </w:r>
      <w:r w:rsidRPr="003F400A">
        <w:rPr>
          <w:rFonts w:eastAsia="PMingLiU"/>
          <w:szCs w:val="24"/>
        </w:rPr>
        <w:t xml:space="preserve"> užkulisiniais susitarimais grindžiamą politiką </w:t>
      </w:r>
      <w:r>
        <w:rPr>
          <w:rFonts w:eastAsia="PMingLiU"/>
          <w:szCs w:val="24"/>
        </w:rPr>
        <w:t>ir</w:t>
      </w:r>
      <w:r w:rsidRPr="003F400A">
        <w:rPr>
          <w:rFonts w:eastAsia="PMingLiU"/>
          <w:szCs w:val="24"/>
        </w:rPr>
        <w:t xml:space="preserve"> skatino interesais grįstą dvišalį ekonominį, energetinį, karinį bendradarbiavimą su atskiromis pavienėmis NATO šalimis.</w:t>
      </w:r>
      <w:r>
        <w:rPr>
          <w:rFonts w:eastAsia="PMingLiU"/>
          <w:szCs w:val="24"/>
        </w:rPr>
        <w:t xml:space="preserve"> </w:t>
      </w:r>
      <w:r w:rsidRPr="007C7C4A">
        <w:rPr>
          <w:szCs w:val="24"/>
        </w:rPr>
        <w:t>Kilus COVID-19 pandemijai</w:t>
      </w:r>
      <w:r>
        <w:rPr>
          <w:szCs w:val="24"/>
        </w:rPr>
        <w:t>,</w:t>
      </w:r>
      <w:r w:rsidRPr="007C7C4A">
        <w:rPr>
          <w:szCs w:val="24"/>
        </w:rPr>
        <w:t xml:space="preserve"> Rusija ėmė aktyviau siūlyti tariamai konstruktyvias tarptautinio </w:t>
      </w:r>
      <w:r w:rsidRPr="00C76482">
        <w:rPr>
          <w:szCs w:val="24"/>
        </w:rPr>
        <w:t>bendradarbiavimo iniciatyvas: gabeno medicinos priemonių ir įrangos siuntas Italijai, Jungtinėms A</w:t>
      </w:r>
      <w:r>
        <w:rPr>
          <w:szCs w:val="24"/>
        </w:rPr>
        <w:t>merik</w:t>
      </w:r>
      <w:r w:rsidRPr="00C76482">
        <w:rPr>
          <w:szCs w:val="24"/>
        </w:rPr>
        <w:t>os Valstijoms</w:t>
      </w:r>
      <w:r>
        <w:rPr>
          <w:szCs w:val="24"/>
        </w:rPr>
        <w:t xml:space="preserve"> (toliau – JAV)</w:t>
      </w:r>
      <w:r w:rsidRPr="00C76482">
        <w:rPr>
          <w:szCs w:val="24"/>
        </w:rPr>
        <w:t xml:space="preserve"> ir dar kelioms šalims; pateikė rezoliuciją Jungtinių Tautų Generalinei Asamblėjai,</w:t>
      </w:r>
      <w:r w:rsidRPr="007C7C4A">
        <w:rPr>
          <w:szCs w:val="24"/>
        </w:rPr>
        <w:t xml:space="preserve"> kurioje buvo siūloma dėl COVID-19 pandemijos panaikinti sankcijas ir kitus ekonominio bendradarbiavimo apribojimus; oficialiai deklaravo esanti pasirengusi rimtam pragmatiniam dialogui su NATO ir žadėjo nevykdyti karinių pratybų prie Aljanso sienų. Tokiais pasiūlymais Rusija siekia įtraukti atskiras NATO ir </w:t>
      </w:r>
      <w:r>
        <w:rPr>
          <w:szCs w:val="24"/>
        </w:rPr>
        <w:t>ES</w:t>
      </w:r>
      <w:r w:rsidRPr="007C7C4A">
        <w:rPr>
          <w:szCs w:val="24"/>
        </w:rPr>
        <w:t xml:space="preserve"> šalis į dialogą su Rusija, didinti prieštaras NATO ir </w:t>
      </w:r>
      <w:r>
        <w:rPr>
          <w:szCs w:val="24"/>
        </w:rPr>
        <w:t>ES</w:t>
      </w:r>
      <w:r w:rsidRPr="007C7C4A">
        <w:rPr>
          <w:szCs w:val="24"/>
        </w:rPr>
        <w:t xml:space="preserve"> viduje ir paskatinti keisti bendrą politiką Rusijos atžvilgiu.</w:t>
      </w:r>
      <w:r>
        <w:rPr>
          <w:szCs w:val="24"/>
        </w:rPr>
        <w:t xml:space="preserve"> </w:t>
      </w:r>
    </w:p>
    <w:p w14:paraId="00652D11" w14:textId="77777777" w:rsidR="008B10FF" w:rsidRDefault="008B10FF" w:rsidP="00E660EB">
      <w:pPr>
        <w:spacing w:line="250" w:lineRule="auto"/>
        <w:ind w:firstLine="709"/>
        <w:jc w:val="both"/>
        <w:rPr>
          <w:szCs w:val="24"/>
        </w:rPr>
      </w:pPr>
      <w:r w:rsidRPr="003F400A">
        <w:rPr>
          <w:rFonts w:eastAsia="PMingLiU"/>
          <w:szCs w:val="24"/>
        </w:rPr>
        <w:t>Tikėtina, kad ši politika nesikeis</w:t>
      </w:r>
      <w:r>
        <w:rPr>
          <w:rFonts w:eastAsia="PMingLiU"/>
          <w:szCs w:val="24"/>
        </w:rPr>
        <w:t>,</w:t>
      </w:r>
      <w:r w:rsidRPr="003F400A">
        <w:rPr>
          <w:rFonts w:eastAsia="PMingLiU"/>
          <w:szCs w:val="24"/>
        </w:rPr>
        <w:t xml:space="preserve"> – Rusija sieks toliau silpninti euroatlantinę bendriją, stiprins savo karinę galią, informacinius ir kibernetinius pajėgumus, vykdys dezinformacijos kampaniją</w:t>
      </w:r>
      <w:r>
        <w:rPr>
          <w:rFonts w:eastAsia="PMingLiU"/>
          <w:szCs w:val="24"/>
        </w:rPr>
        <w:t>,</w:t>
      </w:r>
      <w:r w:rsidRPr="003F400A">
        <w:rPr>
          <w:rFonts w:eastAsia="PMingLiU"/>
          <w:szCs w:val="24"/>
        </w:rPr>
        <w:t xml:space="preserve"> menkindama Aljansą, tam pasitelks energetinius, ekonominius, finansinius svertus ir žvalgybos pajėgumus. Pažymėtina, kad NATO šalys vieningai sutaria, jog Rusija yra grėsmė Aljansui. </w:t>
      </w:r>
      <w:r>
        <w:rPr>
          <w:rFonts w:eastAsia="PMingLiU"/>
          <w:szCs w:val="24"/>
        </w:rPr>
        <w:t xml:space="preserve">Vis dėlto, </w:t>
      </w:r>
      <w:r w:rsidRPr="00336A86">
        <w:rPr>
          <w:szCs w:val="24"/>
        </w:rPr>
        <w:t xml:space="preserve"> NATO ir </w:t>
      </w:r>
      <w:r>
        <w:rPr>
          <w:szCs w:val="24"/>
        </w:rPr>
        <w:t>ES</w:t>
      </w:r>
      <w:r w:rsidRPr="00336A86">
        <w:rPr>
          <w:szCs w:val="24"/>
        </w:rPr>
        <w:t xml:space="preserve"> sprendimai ir </w:t>
      </w:r>
      <w:r w:rsidRPr="00336A86">
        <w:rPr>
          <w:szCs w:val="24"/>
        </w:rPr>
        <w:lastRenderedPageBreak/>
        <w:t>laikysena Rusijos atžvilgiu (</w:t>
      </w:r>
      <w:r w:rsidRPr="00336A86">
        <w:rPr>
          <w:color w:val="000000" w:themeColor="text1"/>
          <w:szCs w:val="24"/>
        </w:rPr>
        <w:t xml:space="preserve">NATO priešakinių pajėgų </w:t>
      </w:r>
      <w:r w:rsidRPr="00336A86">
        <w:rPr>
          <w:szCs w:val="24"/>
        </w:rPr>
        <w:t xml:space="preserve">dislokavimas ir pratybos Baltijos šalyse ir Lenkijoje, </w:t>
      </w:r>
      <w:r>
        <w:rPr>
          <w:szCs w:val="24"/>
        </w:rPr>
        <w:t>ES</w:t>
      </w:r>
      <w:r w:rsidRPr="00336A86">
        <w:rPr>
          <w:szCs w:val="24"/>
        </w:rPr>
        <w:t xml:space="preserve"> sankcijų režimo išlaikymas) rodo, kad Maskvos pastangos griauti euroatlantinės bendrijos vienybę šiuo metu nedaro didelio poveikio šių organizacijų solidarumui ir sprendimų priėmimui</w:t>
      </w:r>
      <w:r>
        <w:rPr>
          <w:szCs w:val="24"/>
        </w:rPr>
        <w:t>.</w:t>
      </w:r>
    </w:p>
    <w:p w14:paraId="447E8731" w14:textId="77777777" w:rsidR="008B10FF" w:rsidRDefault="008B10FF" w:rsidP="00E660EB">
      <w:pPr>
        <w:spacing w:line="250" w:lineRule="auto"/>
        <w:ind w:firstLine="709"/>
        <w:jc w:val="both"/>
        <w:rPr>
          <w:rFonts w:eastAsia="PMingLiU"/>
          <w:szCs w:val="24"/>
        </w:rPr>
      </w:pPr>
      <w:r w:rsidRPr="003F400A">
        <w:rPr>
          <w:rFonts w:eastAsia="PMingLiU"/>
          <w:szCs w:val="24"/>
        </w:rPr>
        <w:t xml:space="preserve">Auganti Kinijos įtaka susilaukia vis daugiau NATO dėmesio. Tikėtina, kad dėl </w:t>
      </w:r>
      <w:r>
        <w:rPr>
          <w:rFonts w:eastAsia="PMingLiU"/>
          <w:szCs w:val="24"/>
        </w:rPr>
        <w:t>didėjančios</w:t>
      </w:r>
      <w:r w:rsidRPr="003F400A">
        <w:rPr>
          <w:rFonts w:eastAsia="PMingLiU"/>
          <w:szCs w:val="24"/>
        </w:rPr>
        <w:t xml:space="preserve"> Kinijos ir JAV priešprieš</w:t>
      </w:r>
      <w:r>
        <w:rPr>
          <w:rFonts w:eastAsia="PMingLiU"/>
          <w:szCs w:val="24"/>
        </w:rPr>
        <w:t>os</w:t>
      </w:r>
      <w:r w:rsidRPr="003F400A">
        <w:rPr>
          <w:rFonts w:eastAsia="PMingLiU"/>
          <w:szCs w:val="24"/>
        </w:rPr>
        <w:t xml:space="preserve">, vertybinių požiūrių skirtumo, dėl augančio Kinijos politinio ir ekonominio aktyvumo euroatlantinėje erdvėje NATO dėmesys Kinijai 2021 m. ir toliau </w:t>
      </w:r>
      <w:r>
        <w:rPr>
          <w:rFonts w:eastAsia="PMingLiU"/>
          <w:szCs w:val="24"/>
        </w:rPr>
        <w:t>didės</w:t>
      </w:r>
      <w:r w:rsidRPr="003F400A">
        <w:rPr>
          <w:rFonts w:eastAsia="PMingLiU"/>
          <w:szCs w:val="24"/>
        </w:rPr>
        <w:t xml:space="preserve">. NATO šalys turės toliau ieškoti būdų, kaip spręsti Kinijos iššūkį. </w:t>
      </w:r>
    </w:p>
    <w:p w14:paraId="45154E79" w14:textId="77777777" w:rsidR="008B10FF" w:rsidRDefault="008B10FF" w:rsidP="00E660EB">
      <w:pPr>
        <w:spacing w:line="250" w:lineRule="auto"/>
        <w:ind w:firstLine="709"/>
        <w:jc w:val="both"/>
        <w:rPr>
          <w:rFonts w:eastAsia="PMingLiU"/>
          <w:szCs w:val="24"/>
        </w:rPr>
      </w:pPr>
      <w:r w:rsidRPr="003F400A">
        <w:rPr>
          <w:rFonts w:eastAsia="PMingLiU"/>
          <w:szCs w:val="24"/>
        </w:rPr>
        <w:t>NATO sąjungininkų vienybei įtakos turės ir JAV naujosios administracijos veiksmai ir lyderystė, taip pat didžiųjų europinių NATO šalių požiūris į naštos pasidali</w:t>
      </w:r>
      <w:r>
        <w:rPr>
          <w:rFonts w:eastAsia="PMingLiU"/>
          <w:szCs w:val="24"/>
        </w:rPr>
        <w:t>j</w:t>
      </w:r>
      <w:r w:rsidRPr="003F400A">
        <w:rPr>
          <w:rFonts w:eastAsia="PMingLiU"/>
          <w:szCs w:val="24"/>
        </w:rPr>
        <w:t>imą ir JAV vaidmenį</w:t>
      </w:r>
      <w:r>
        <w:rPr>
          <w:rFonts w:eastAsia="PMingLiU"/>
          <w:szCs w:val="24"/>
        </w:rPr>
        <w:t>, užtikrinant</w:t>
      </w:r>
      <w:r w:rsidRPr="003F400A">
        <w:rPr>
          <w:rFonts w:eastAsia="PMingLiU"/>
          <w:szCs w:val="24"/>
        </w:rPr>
        <w:t xml:space="preserve"> Europos saugum</w:t>
      </w:r>
      <w:r>
        <w:rPr>
          <w:rFonts w:eastAsia="PMingLiU"/>
          <w:szCs w:val="24"/>
        </w:rPr>
        <w:t>ą</w:t>
      </w:r>
      <w:r w:rsidRPr="003F400A">
        <w:rPr>
          <w:rFonts w:eastAsia="PMingLiU"/>
          <w:szCs w:val="24"/>
        </w:rPr>
        <w:t>.</w:t>
      </w:r>
    </w:p>
    <w:p w14:paraId="5D7060DB"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bookmarkStart w:id="65" w:name="_Hlk33524609"/>
      <w:bookmarkStart w:id="66" w:name="_Hlk66883187"/>
      <w:r w:rsidRPr="00A91669">
        <w:rPr>
          <w:rFonts w:ascii="Times New Roman" w:hAnsi="Times New Roman"/>
          <w:b/>
          <w:bCs/>
          <w:color w:val="17365D" w:themeColor="text2" w:themeShade="BF"/>
        </w:rPr>
        <w:t>Nestabilumas regione ir pasaulyje</w:t>
      </w:r>
    </w:p>
    <w:p w14:paraId="3B4096CA" w14:textId="77777777" w:rsidR="008B10FF" w:rsidRDefault="008B10FF" w:rsidP="00E660EB">
      <w:pPr>
        <w:spacing w:line="250" w:lineRule="auto"/>
        <w:ind w:firstLine="709"/>
        <w:jc w:val="both"/>
        <w:rPr>
          <w:szCs w:val="24"/>
        </w:rPr>
      </w:pPr>
      <w:r w:rsidRPr="003F400A">
        <w:rPr>
          <w:color w:val="000000"/>
          <w:szCs w:val="24"/>
        </w:rPr>
        <w:t xml:space="preserve">2020 m. po Baltarusijos prezidento rinkimų kilę protestai ir režimo veiksmai prieš šalies piliečius sudarė prielaidas Baltarusijos nestabilumui ir Rusijos įtakos Baltarusijoje augimui. Rusija gali ir, tikėtina, sieks pasinaudoti trapia situacija, kad padidintų savo įtaką ir karinį buvimą Baltarusijoje. </w:t>
      </w:r>
      <w:r>
        <w:rPr>
          <w:color w:val="000000"/>
          <w:szCs w:val="24"/>
        </w:rPr>
        <w:t xml:space="preserve">Rusijos karinio potencialo didėjimas ir jos įtaka Baltarusijoje neigiamai veikia saugumo padėtį regione. </w:t>
      </w:r>
      <w:r w:rsidRPr="00336A86">
        <w:rPr>
          <w:szCs w:val="24"/>
        </w:rPr>
        <w:t>Kremlius remia A</w:t>
      </w:r>
      <w:r>
        <w:rPr>
          <w:szCs w:val="24"/>
        </w:rPr>
        <w:t xml:space="preserve">. </w:t>
      </w:r>
      <w:r w:rsidRPr="00336A86">
        <w:rPr>
          <w:szCs w:val="24"/>
        </w:rPr>
        <w:t>Lukašenkos režimą, Maskva ir Minskas kaltina Vakarų valstybes ir Lietuvą kurstant Baltarusijos gyventojų protestus, abiejų šalių ginkluotosios pajėgos vykdo bendras karines pratybas prie Lietuvos ir Lenkijos sienų. Tokios pat tendencijos tikėtinos ir ateityje</w:t>
      </w:r>
      <w:r>
        <w:rPr>
          <w:szCs w:val="24"/>
        </w:rPr>
        <w:t xml:space="preserve">, 2021 m. </w:t>
      </w:r>
      <w:r w:rsidRPr="00336A86">
        <w:rPr>
          <w:szCs w:val="24"/>
        </w:rPr>
        <w:t>Rusijos ir Baltarusijos bendrų mokymų ir kitų karinių renginių skaičius padidės trečdaliu. Šių valstybių karinio aktyvumo prie Lietuvos sienų augimas didina net ir netyčinių incidentų riziką.</w:t>
      </w:r>
      <w:r>
        <w:rPr>
          <w:szCs w:val="24"/>
        </w:rPr>
        <w:t xml:space="preserve"> </w:t>
      </w:r>
    </w:p>
    <w:p w14:paraId="37E58612" w14:textId="77777777" w:rsidR="008B10FF" w:rsidRPr="00C60277" w:rsidRDefault="008B10FF" w:rsidP="00E660EB">
      <w:pPr>
        <w:spacing w:line="250" w:lineRule="auto"/>
        <w:ind w:left="57" w:right="57" w:firstLine="709"/>
        <w:jc w:val="both"/>
        <w:rPr>
          <w:szCs w:val="24"/>
        </w:rPr>
      </w:pPr>
      <w:r w:rsidRPr="00C60277">
        <w:rPr>
          <w:szCs w:val="24"/>
        </w:rPr>
        <w:t xml:space="preserve">Įvykiai Baltarusijoje turėjo įtakos </w:t>
      </w:r>
      <w:r w:rsidRPr="00C60277">
        <w:rPr>
          <w:bCs/>
          <w:iCs/>
          <w:szCs w:val="24"/>
        </w:rPr>
        <w:t>2020 m. lapkričio–gruodžio mėn. išaugusiam neteisėtų migrantų, sulaikytų pasienio ruože su Baltarusija, skaičiui. Panašios tendencijos buvo stebimos ir Lenkijoje. Tikėtina, kad Baltarusijos valdžios institucijos, nebesulaikinėdamos neteisėtų migrantų Baltarusijos pusėje, t</w:t>
      </w:r>
      <w:r>
        <w:rPr>
          <w:bCs/>
          <w:iCs/>
          <w:szCs w:val="24"/>
        </w:rPr>
        <w:t>aip</w:t>
      </w:r>
      <w:r w:rsidRPr="00C60277">
        <w:rPr>
          <w:bCs/>
          <w:iCs/>
          <w:szCs w:val="24"/>
        </w:rPr>
        <w:t xml:space="preserve"> reiškia nepasitenkinimą Lietuvos (ir Lenkijos) aktyvia pozicija Baltarusijai jautriais klausimais. Situacijai Baltarusijoje nesikeičiant ir sumažinus ar atšaukus tarptautinių kelionių ribojimus, susijusius su COVID-19 pandemija, tiek ES, tiek Baltarusijoje ir Rusijoje, 2021 m. gali didėti neteisėtos migracijos į Lietuvą per sieną su Baltarusija masta</w:t>
      </w:r>
      <w:r>
        <w:rPr>
          <w:bCs/>
          <w:iCs/>
          <w:szCs w:val="24"/>
        </w:rPr>
        <w:t>s</w:t>
      </w:r>
      <w:r w:rsidRPr="00C60277">
        <w:rPr>
          <w:bCs/>
          <w:iCs/>
          <w:szCs w:val="24"/>
        </w:rPr>
        <w:t xml:space="preserve">. </w:t>
      </w:r>
      <w:r>
        <w:rPr>
          <w:bCs/>
          <w:iCs/>
          <w:szCs w:val="24"/>
        </w:rPr>
        <w:t>Nors d</w:t>
      </w:r>
      <w:r w:rsidRPr="00C60277">
        <w:rPr>
          <w:bCs/>
          <w:color w:val="000000"/>
          <w:szCs w:val="24"/>
        </w:rPr>
        <w:t xml:space="preserve">ėl COVID-19 </w:t>
      </w:r>
      <w:r>
        <w:rPr>
          <w:bCs/>
          <w:color w:val="000000"/>
          <w:szCs w:val="24"/>
        </w:rPr>
        <w:t xml:space="preserve">ligos sukeltos </w:t>
      </w:r>
      <w:r w:rsidRPr="00C60277">
        <w:rPr>
          <w:bCs/>
          <w:color w:val="000000"/>
          <w:szCs w:val="24"/>
        </w:rPr>
        <w:t xml:space="preserve">pandemijos taikytų </w:t>
      </w:r>
      <w:r w:rsidRPr="00C60277">
        <w:rPr>
          <w:szCs w:val="24"/>
        </w:rPr>
        <w:t>keliavimo suvaržymų 2020 m. Lietuvoje daugiau nei perpus, palyginti su 2019 m., sumažėjo bendras prieglobsčio prašytojų skaičius</w:t>
      </w:r>
      <w:r>
        <w:rPr>
          <w:szCs w:val="24"/>
        </w:rPr>
        <w:t>. P</w:t>
      </w:r>
      <w:r w:rsidRPr="00C60277">
        <w:rPr>
          <w:szCs w:val="24"/>
        </w:rPr>
        <w:t>rieglobsčio prašytojų, į Lietuvą atvykstančių iš Baltarusijos dėl šios šalies valdžios smurtinio atsako į antivyriausybinius protestus</w:t>
      </w:r>
      <w:r>
        <w:rPr>
          <w:szCs w:val="24"/>
        </w:rPr>
        <w:t>, p</w:t>
      </w:r>
      <w:r w:rsidRPr="00C60277">
        <w:rPr>
          <w:szCs w:val="24"/>
        </w:rPr>
        <w:t>adaugėjo (2019 m. – 4, 2020 m. – 78</w:t>
      </w:r>
      <w:r>
        <w:rPr>
          <w:szCs w:val="24"/>
        </w:rPr>
        <w:t xml:space="preserve"> prašymai</w:t>
      </w:r>
      <w:r w:rsidRPr="00C60277">
        <w:rPr>
          <w:szCs w:val="24"/>
        </w:rPr>
        <w:t>). Nesiliaujant protestams Baltarusijoje, tikėtinas prieglobsčio prašytojų iš šios šalies skaičiaus didėjimas ir 2021 metais.</w:t>
      </w:r>
    </w:p>
    <w:p w14:paraId="7B552D56" w14:textId="77777777" w:rsidR="008B10FF" w:rsidRDefault="008B10FF" w:rsidP="00E660EB">
      <w:pPr>
        <w:spacing w:line="250" w:lineRule="auto"/>
        <w:ind w:firstLine="709"/>
        <w:jc w:val="both"/>
      </w:pPr>
      <w:r>
        <w:t xml:space="preserve">Vienas iš svarbiausių ilgalaikių Rusijos užsienio politikos tikslų – išlaikyti Maskvos įtaką Baltarusijoje,  didinti šalies priklausomybę pasitelkiant įvairius integracinius projektus, visų pirma – Sąjunginės valstybės, išlaikyti įtaką kitose esamose ir buvusiose Nepriklausomų valstybių sandraugos (NVS) šalyse bei stabdyti jų suartėjimą su Vakarais. Traktuodamas šias šalis kaip išskirtinę savo interesų zoną, Kremlius siekia, kad jose vykstantys politiniai, ekonominiai ir kariniai procesai pirmiausia būtų naudingi Rusijai. </w:t>
      </w:r>
    </w:p>
    <w:p w14:paraId="0DB9436B" w14:textId="77777777" w:rsidR="008B10FF" w:rsidRDefault="008B10FF" w:rsidP="00E660EB">
      <w:pPr>
        <w:spacing w:line="250" w:lineRule="auto"/>
        <w:ind w:firstLine="709"/>
        <w:jc w:val="both"/>
      </w:pPr>
      <w:r>
        <w:t>Konstitucijos pataisomis ir vėliau priimtais konstituciniais įstatymais V. Putinas užsitikrino teisę būti prezidento poste bent iki 2036 metų ir mažai tikėtina, kad Kremlius artimoje perspektyvoje keis savo retoriką ir politiką. Vakarų susirūpinimą autoritarizmu bei žmogaus teisių pažeidimais režimas jau seniai atmeta kaip veidmainystę, kurios tikslas – silpninti Rusiją, o režimo kritiką šalies viduje traktuoja kaip parsidavimą Vakarams.</w:t>
      </w:r>
      <w:r>
        <w:rPr>
          <w:i/>
        </w:rPr>
        <w:t xml:space="preserve"> </w:t>
      </w:r>
      <w:r>
        <w:t>Pastaruoju metu</w:t>
      </w:r>
      <w:r>
        <w:rPr>
          <w:i/>
        </w:rPr>
        <w:t xml:space="preserve"> </w:t>
      </w:r>
      <w:r>
        <w:t xml:space="preserve">Rusijos retorikoje užsienio politikos klausimais kaip tik stiprėja </w:t>
      </w:r>
      <w:proofErr w:type="spellStart"/>
      <w:r>
        <w:t>izoliacionizmo</w:t>
      </w:r>
      <w:proofErr w:type="spellEnd"/>
      <w:r>
        <w:t xml:space="preserve"> tendencijos – esą jei Vakarai, ES, atskiros šalys nenori bendradarbiauti su Rusija jos nustatytomis sąlygomis, Rusija pati koreguos santykius su jais. Lietuvai, kaip artimai kaimynei, uždara ir dialogo galimybes neigianti Rusija keltų didesnę grėsmę nei iki šiol. Tikėtina, kad Rusijos prioritetu taps įtakos stiprinimas kaimyninėse valstybėse, siekiant neutralizuoti tariamas grėsmes, ir ją dar mažiau varžys ne tik tarptautinės normos, bet ir tarptautinė opinija.</w:t>
      </w:r>
    </w:p>
    <w:p w14:paraId="175C0710" w14:textId="77777777" w:rsidR="008B10FF" w:rsidRPr="00336A86" w:rsidRDefault="008B10FF" w:rsidP="00E660EB">
      <w:pPr>
        <w:spacing w:line="250" w:lineRule="auto"/>
        <w:ind w:left="57" w:right="57" w:firstLine="709"/>
        <w:jc w:val="both"/>
        <w:rPr>
          <w:szCs w:val="24"/>
        </w:rPr>
      </w:pPr>
      <w:r w:rsidRPr="003F400A">
        <w:rPr>
          <w:color w:val="000000"/>
          <w:szCs w:val="24"/>
        </w:rPr>
        <w:t>2020 m. toliau tęsėsi Rusijos vykdoma agresija prieš Ukrainą, įtvirtinama 2014 m. Rusijos įvykdyta neteisėta Krymo pusiasalio aneksija</w:t>
      </w:r>
      <w:r>
        <w:rPr>
          <w:color w:val="000000"/>
          <w:szCs w:val="24"/>
        </w:rPr>
        <w:t>,</w:t>
      </w:r>
      <w:r w:rsidRPr="003F400A">
        <w:rPr>
          <w:color w:val="000000"/>
          <w:szCs w:val="24"/>
        </w:rPr>
        <w:t xml:space="preserve"> nesibaigė karas </w:t>
      </w:r>
      <w:proofErr w:type="spellStart"/>
      <w:r w:rsidRPr="003F400A">
        <w:rPr>
          <w:color w:val="000000"/>
          <w:szCs w:val="24"/>
        </w:rPr>
        <w:t>Donbase</w:t>
      </w:r>
      <w:proofErr w:type="spellEnd"/>
      <w:r w:rsidRPr="003F400A">
        <w:rPr>
          <w:color w:val="000000"/>
          <w:szCs w:val="24"/>
        </w:rPr>
        <w:t xml:space="preserve">. 2020 m. liepos pabaigoje sutarus dėl papildomų priemonių paliauboms konflikto zonoje palaikyti, sumažėjo apšaudymų intensyvumas, tačiau paliaubų pažeidimai vyksta ir toliau, nėra jokios politinės pažangos dėl kitų praktinių konflikto sureguliavimo priemonių. </w:t>
      </w:r>
      <w:r w:rsidRPr="00336A86">
        <w:rPr>
          <w:szCs w:val="24"/>
        </w:rPr>
        <w:t xml:space="preserve">Okupuotose Ukrainos Donecko ir Luhansko sričių dalyse Rusija sukūrė dar vieną nestabilumo </w:t>
      </w:r>
      <w:r w:rsidRPr="00336A86">
        <w:rPr>
          <w:szCs w:val="24"/>
        </w:rPr>
        <w:lastRenderedPageBreak/>
        <w:t xml:space="preserve">židinį – </w:t>
      </w:r>
      <w:proofErr w:type="spellStart"/>
      <w:r w:rsidRPr="00336A86">
        <w:rPr>
          <w:szCs w:val="24"/>
        </w:rPr>
        <w:t>kvazivalstybinius</w:t>
      </w:r>
      <w:proofErr w:type="spellEnd"/>
      <w:r w:rsidRPr="00336A86">
        <w:rPr>
          <w:szCs w:val="24"/>
        </w:rPr>
        <w:t xml:space="preserve"> darinius, kuriuose gausu organizuoto nusikalstamumo reiškinių ir nelegalių ginklų. Šiose teritorijose veikia du Kremliui pavaldūs armijos korpusai (apie 30–35 tūkst. karių). Maskva turi galimybę didinti karinį spaudimą Kijevui</w:t>
      </w:r>
      <w:r>
        <w:rPr>
          <w:szCs w:val="24"/>
        </w:rPr>
        <w:t>,</w:t>
      </w:r>
      <w:r w:rsidRPr="00336A86">
        <w:rPr>
          <w:szCs w:val="24"/>
        </w:rPr>
        <w:t xml:space="preserve"> panaudodama šiuos nuo Rusijos visiškai priklausomus ir kontroliuojamus karinius darinius. Dalis kovos veiksmuose prieš Ukrainos ginkluotąsias pajėgas dalyvavusių ar korpusuose tarnavusių žmonių stoja į privačias karines kompanijas („</w:t>
      </w:r>
      <w:proofErr w:type="spellStart"/>
      <w:r w:rsidRPr="00336A86">
        <w:rPr>
          <w:szCs w:val="24"/>
        </w:rPr>
        <w:t>Wagner</w:t>
      </w:r>
      <w:proofErr w:type="spellEnd"/>
      <w:r w:rsidRPr="00336A86">
        <w:rPr>
          <w:szCs w:val="24"/>
        </w:rPr>
        <w:t xml:space="preserve">“ ir kt.) </w:t>
      </w:r>
      <w:r>
        <w:rPr>
          <w:szCs w:val="24"/>
        </w:rPr>
        <w:t>ir</w:t>
      </w:r>
      <w:r w:rsidRPr="00336A86">
        <w:rPr>
          <w:szCs w:val="24"/>
        </w:rPr>
        <w:t xml:space="preserve"> vykdo Kremliaus režimo ir jį remiančių oligarchų užduotis kituose konfliktuose (Sirijoje, Libijoje ir kt.).</w:t>
      </w:r>
    </w:p>
    <w:p w14:paraId="4087A437" w14:textId="77777777" w:rsidR="008B10FF" w:rsidRDefault="008B10FF" w:rsidP="00E660EB">
      <w:pPr>
        <w:spacing w:line="250" w:lineRule="auto"/>
        <w:ind w:firstLine="709"/>
        <w:jc w:val="both"/>
        <w:rPr>
          <w:color w:val="000000"/>
          <w:szCs w:val="24"/>
        </w:rPr>
      </w:pPr>
      <w:r w:rsidRPr="00336A86">
        <w:rPr>
          <w:szCs w:val="24"/>
        </w:rPr>
        <w:t xml:space="preserve">Rusija naudojasi krizėmis ir konfliktais Pietų Kaukaze, Vidurio Rytuose, Šiaurės Afrikoje ir Pietų Amerikoje, siekdama išplėsti savo įtaką. Įprastai Maskva palaiko ryšius su visomis, net tarpusavyje konfliktuojančiomis, </w:t>
      </w:r>
      <w:r>
        <w:rPr>
          <w:szCs w:val="24"/>
        </w:rPr>
        <w:t>šalim</w:t>
      </w:r>
      <w:r w:rsidRPr="00336A86">
        <w:rPr>
          <w:szCs w:val="24"/>
        </w:rPr>
        <w:t>is</w:t>
      </w:r>
      <w:r>
        <w:rPr>
          <w:szCs w:val="24"/>
        </w:rPr>
        <w:t>,</w:t>
      </w:r>
      <w:r w:rsidRPr="00336A86">
        <w:rPr>
          <w:szCs w:val="24"/>
        </w:rPr>
        <w:t xml:space="preserve"> mėgindama tarpininkauti ir pasiekti sau nauding</w:t>
      </w:r>
      <w:r>
        <w:rPr>
          <w:szCs w:val="24"/>
        </w:rPr>
        <w:t>ų</w:t>
      </w:r>
      <w:r w:rsidRPr="00336A86">
        <w:rPr>
          <w:szCs w:val="24"/>
        </w:rPr>
        <w:t xml:space="preserve"> susitarim</w:t>
      </w:r>
      <w:r>
        <w:rPr>
          <w:szCs w:val="24"/>
        </w:rPr>
        <w:t>ų</w:t>
      </w:r>
      <w:r w:rsidRPr="00336A86">
        <w:rPr>
          <w:szCs w:val="24"/>
        </w:rPr>
        <w:t>. Pavyzdžiui, 2020 m. lapkri</w:t>
      </w:r>
      <w:r>
        <w:rPr>
          <w:szCs w:val="24"/>
        </w:rPr>
        <w:t>tį</w:t>
      </w:r>
      <w:r w:rsidRPr="00336A86">
        <w:rPr>
          <w:szCs w:val="24"/>
        </w:rPr>
        <w:t xml:space="preserve"> Armėnija ir Azerbaidžanas, tarpininkaujant Rusijai, pasiekė paliaubų susitarimą, pagal kurį Rusija dislokavo konflikto zonoje apie 2 tūkst. karių. Taip Rusija padidino savo karinį buvimą regione ir įgijo svarbų </w:t>
      </w:r>
      <w:r>
        <w:rPr>
          <w:szCs w:val="24"/>
        </w:rPr>
        <w:t>tolesnės konflikto dinamikos</w:t>
      </w:r>
      <w:r w:rsidRPr="00336A86">
        <w:rPr>
          <w:szCs w:val="24"/>
        </w:rPr>
        <w:t xml:space="preserve"> svertą. Rusijos pajėgos kontroliuos strategiškai svarbų </w:t>
      </w:r>
      <w:proofErr w:type="spellStart"/>
      <w:r w:rsidRPr="00336A86">
        <w:rPr>
          <w:szCs w:val="24"/>
        </w:rPr>
        <w:t>Lačino</w:t>
      </w:r>
      <w:proofErr w:type="spellEnd"/>
      <w:r w:rsidRPr="00336A86">
        <w:rPr>
          <w:szCs w:val="24"/>
        </w:rPr>
        <w:t xml:space="preserve"> koridorių iš Kalnų </w:t>
      </w:r>
      <w:proofErr w:type="spellStart"/>
      <w:r w:rsidRPr="00336A86">
        <w:rPr>
          <w:szCs w:val="24"/>
        </w:rPr>
        <w:t>Karabacho</w:t>
      </w:r>
      <w:proofErr w:type="spellEnd"/>
      <w:r w:rsidRPr="00336A86">
        <w:rPr>
          <w:szCs w:val="24"/>
        </w:rPr>
        <w:t xml:space="preserve"> į Armėniją (per Azerbaidžaną) ir iš Azerbaidžano į </w:t>
      </w:r>
      <w:proofErr w:type="spellStart"/>
      <w:r w:rsidRPr="00336A86">
        <w:rPr>
          <w:szCs w:val="24"/>
        </w:rPr>
        <w:t>Nachičevanės</w:t>
      </w:r>
      <w:proofErr w:type="spellEnd"/>
      <w:r w:rsidRPr="00336A86">
        <w:rPr>
          <w:szCs w:val="24"/>
        </w:rPr>
        <w:t xml:space="preserve"> provinciją (per Armėnijos pietinę dalį). Nuo Rusijos priklausys Kalnų </w:t>
      </w:r>
      <w:proofErr w:type="spellStart"/>
      <w:r w:rsidRPr="00336A86">
        <w:rPr>
          <w:szCs w:val="24"/>
        </w:rPr>
        <w:t>Karabache</w:t>
      </w:r>
      <w:proofErr w:type="spellEnd"/>
      <w:r w:rsidRPr="00336A86">
        <w:rPr>
          <w:szCs w:val="24"/>
        </w:rPr>
        <w:t xml:space="preserve"> gyvenančių armėnų saugumas. Tai dar labiau padidins Armėnijos priklausomybę nuo Rusijos saugumo garantijų ir panaikins bet kokią Jerevano manevro laisvę užsienio ir saugumo politikoje.</w:t>
      </w:r>
      <w:r w:rsidRPr="00AE14B5">
        <w:rPr>
          <w:color w:val="000000"/>
          <w:szCs w:val="24"/>
        </w:rPr>
        <w:t xml:space="preserve"> </w:t>
      </w:r>
    </w:p>
    <w:p w14:paraId="2EB39CAF" w14:textId="77777777" w:rsidR="008B10FF" w:rsidRDefault="008B10FF" w:rsidP="00E660EB">
      <w:pPr>
        <w:spacing w:line="250" w:lineRule="auto"/>
        <w:ind w:firstLine="709"/>
        <w:jc w:val="both"/>
        <w:rPr>
          <w:color w:val="000000"/>
          <w:szCs w:val="24"/>
        </w:rPr>
      </w:pPr>
      <w:r w:rsidRPr="003F400A">
        <w:rPr>
          <w:color w:val="000000"/>
          <w:szCs w:val="24"/>
        </w:rPr>
        <w:t xml:space="preserve">Rusijos ginkluotosios pajėgos palaiko nuolatinę įtampą </w:t>
      </w:r>
      <w:proofErr w:type="spellStart"/>
      <w:r w:rsidRPr="003F400A">
        <w:rPr>
          <w:color w:val="000000"/>
          <w:szCs w:val="24"/>
        </w:rPr>
        <w:t>Sakartvele</w:t>
      </w:r>
      <w:proofErr w:type="spellEnd"/>
      <w:r w:rsidRPr="003F400A">
        <w:rPr>
          <w:color w:val="000000"/>
          <w:szCs w:val="24"/>
        </w:rPr>
        <w:t xml:space="preserve"> prie administracinių sienų su okupuotomis Abchazija ir Pietų Osetija, o politiniu lygmeniu Maskva nelaiko savęs konflikto su </w:t>
      </w:r>
      <w:proofErr w:type="spellStart"/>
      <w:r w:rsidRPr="003F400A">
        <w:rPr>
          <w:color w:val="000000"/>
          <w:szCs w:val="24"/>
        </w:rPr>
        <w:t>Sakartvelu</w:t>
      </w:r>
      <w:proofErr w:type="spellEnd"/>
      <w:r w:rsidRPr="003F400A">
        <w:rPr>
          <w:color w:val="000000"/>
          <w:szCs w:val="24"/>
        </w:rPr>
        <w:t xml:space="preserve"> dalyve. Maskva kryptingai tęsia laipsnišką okupuotų regionų integraciją, 2020 m. lapkričio 12 d. buvo pasirašytas Rusijos</w:t>
      </w:r>
      <w:r>
        <w:rPr>
          <w:color w:val="000000"/>
          <w:szCs w:val="24"/>
        </w:rPr>
        <w:t xml:space="preserve"> ir </w:t>
      </w:r>
      <w:r w:rsidRPr="003F400A">
        <w:rPr>
          <w:color w:val="000000"/>
          <w:szCs w:val="24"/>
        </w:rPr>
        <w:t>Abchazijos susitarimas sukurti bendrą Abchazijos socialinę ir ekonominę erdvę su Rusija.</w:t>
      </w:r>
      <w:r>
        <w:rPr>
          <w:color w:val="000000"/>
          <w:szCs w:val="24"/>
        </w:rPr>
        <w:t xml:space="preserve"> </w:t>
      </w:r>
    </w:p>
    <w:p w14:paraId="3B8EC316" w14:textId="77777777" w:rsidR="008B10FF" w:rsidRDefault="008B10FF" w:rsidP="00E660EB">
      <w:pPr>
        <w:spacing w:line="250" w:lineRule="auto"/>
        <w:ind w:firstLine="709"/>
        <w:jc w:val="both"/>
        <w:rPr>
          <w:color w:val="000000"/>
          <w:szCs w:val="24"/>
        </w:rPr>
      </w:pPr>
      <w:r w:rsidRPr="003F400A">
        <w:rPr>
          <w:color w:val="000000"/>
          <w:szCs w:val="24"/>
        </w:rPr>
        <w:t xml:space="preserve">2020 m. Rusija išliko aktyvi Moldovos vidaus politinių procesų dalyvė, toliau siekė įgyvendinti savo ilgalaikį interesą </w:t>
      </w:r>
      <w:bookmarkStart w:id="67" w:name="_Hlk67576334"/>
      <w:r w:rsidRPr="003F400A">
        <w:rPr>
          <w:color w:val="000000"/>
          <w:szCs w:val="24"/>
        </w:rPr>
        <w:t>–</w:t>
      </w:r>
      <w:bookmarkEnd w:id="67"/>
      <w:r w:rsidRPr="003F400A">
        <w:rPr>
          <w:color w:val="000000"/>
          <w:szCs w:val="24"/>
        </w:rPr>
        <w:t xml:space="preserve"> sustabdyti Moldovos europinę integraciją.</w:t>
      </w:r>
    </w:p>
    <w:p w14:paraId="6EDEF0D7" w14:textId="77777777" w:rsidR="008B10FF" w:rsidRDefault="008B10FF" w:rsidP="00E660EB">
      <w:pPr>
        <w:spacing w:line="250" w:lineRule="auto"/>
        <w:ind w:firstLine="709"/>
        <w:jc w:val="both"/>
        <w:rPr>
          <w:color w:val="000000"/>
          <w:szCs w:val="24"/>
        </w:rPr>
      </w:pPr>
      <w:r w:rsidRPr="00F42F91">
        <w:rPr>
          <w:color w:val="000000"/>
          <w:szCs w:val="24"/>
        </w:rPr>
        <w:t xml:space="preserve">Vidurio Rytuose, Afrikoje, Pietų Amerikoje Rusija nuosekliai tęsė oportunistinę politiką – išnaudojo krizes savo naudai. Maskvai sekasi </w:t>
      </w:r>
      <w:r>
        <w:rPr>
          <w:color w:val="000000"/>
          <w:szCs w:val="24"/>
        </w:rPr>
        <w:t>plėtoti</w:t>
      </w:r>
      <w:r w:rsidRPr="00F42F91">
        <w:rPr>
          <w:color w:val="000000"/>
          <w:szCs w:val="24"/>
        </w:rPr>
        <w:t xml:space="preserve"> ryšius su visomis, </w:t>
      </w:r>
      <w:r>
        <w:rPr>
          <w:color w:val="000000"/>
          <w:szCs w:val="24"/>
        </w:rPr>
        <w:t>taip pat</w:t>
      </w:r>
      <w:r w:rsidRPr="00F42F91">
        <w:rPr>
          <w:color w:val="000000"/>
          <w:szCs w:val="24"/>
        </w:rPr>
        <w:t xml:space="preserve"> ir tarpusavyje konfliktuojančiomis</w:t>
      </w:r>
      <w:r>
        <w:rPr>
          <w:color w:val="000000"/>
          <w:szCs w:val="24"/>
        </w:rPr>
        <w:t>,</w:t>
      </w:r>
      <w:r w:rsidRPr="00F42F91">
        <w:rPr>
          <w:color w:val="000000"/>
          <w:szCs w:val="24"/>
        </w:rPr>
        <w:t xml:space="preserve"> Vidurio Rytų valstybėmis, užimant iš pirmo žvilgsnio neutralaus tarpininko poziciją. Rusija toliau stiprino karinį-pramoninį bendradarbiavimą, prekybą ginklais ir keitimąsi žvalgybine informacija su autokratiniais režimais Pietų Amerikoje (Kuba, Venesuela, Nikaragva), Vidurio Rytuose (Libija, Sirija), Afrikoje (</w:t>
      </w:r>
      <w:r w:rsidRPr="00151FB3">
        <w:rPr>
          <w:color w:val="000000"/>
          <w:szCs w:val="24"/>
        </w:rPr>
        <w:t>C</w:t>
      </w:r>
      <w:r>
        <w:rPr>
          <w:color w:val="000000"/>
          <w:szCs w:val="24"/>
        </w:rPr>
        <w:t xml:space="preserve">entrinės Afrikos Respublika, </w:t>
      </w:r>
      <w:r w:rsidRPr="00F42F91">
        <w:rPr>
          <w:color w:val="000000"/>
          <w:szCs w:val="24"/>
        </w:rPr>
        <w:t xml:space="preserve"> Sudanas, Malis).</w:t>
      </w:r>
    </w:p>
    <w:p w14:paraId="79CA5DBD" w14:textId="77777777" w:rsidR="008B10FF" w:rsidRDefault="008B10FF" w:rsidP="00E660EB">
      <w:pPr>
        <w:spacing w:line="250" w:lineRule="auto"/>
        <w:ind w:firstLine="709"/>
        <w:jc w:val="both"/>
        <w:rPr>
          <w:szCs w:val="24"/>
        </w:rPr>
      </w:pPr>
      <w:r w:rsidRPr="003F400A">
        <w:rPr>
          <w:szCs w:val="24"/>
        </w:rPr>
        <w:t>Pastebima didėjanti trečiųjų šalių įtaka Vakarų Balkanuose, hibridiniai veiksmai</w:t>
      </w:r>
      <w:r>
        <w:rPr>
          <w:szCs w:val="24"/>
        </w:rPr>
        <w:t>,</w:t>
      </w:r>
      <w:r w:rsidRPr="003F400A">
        <w:rPr>
          <w:szCs w:val="24"/>
        </w:rPr>
        <w:t xml:space="preserve"> siekiant susilpninti demokratinius procesus, daryti įtaką šalių strateginei krypčiai, sumenkinti ES ir NATO vaidmenį, skatinti nacionalistines nuotaikas ir </w:t>
      </w:r>
      <w:proofErr w:type="spellStart"/>
      <w:r w:rsidRPr="003F400A">
        <w:rPr>
          <w:szCs w:val="24"/>
        </w:rPr>
        <w:t>dezintegracines</w:t>
      </w:r>
      <w:proofErr w:type="spellEnd"/>
      <w:r w:rsidRPr="003F400A">
        <w:rPr>
          <w:szCs w:val="24"/>
        </w:rPr>
        <w:t xml:space="preserve"> tendencijas, didinti vidinę ir tarpusavio šalių įtampą, pasitelkiant etnines mažumas ir religines bendruomenes, taip pat ir aukšto lygio politinį bei karinį bendradarbiavimą su trečiosiomis šalimis.</w:t>
      </w:r>
    </w:p>
    <w:p w14:paraId="637B22C1" w14:textId="77777777" w:rsidR="008B10FF" w:rsidRDefault="008B10FF" w:rsidP="00E660EB">
      <w:pPr>
        <w:tabs>
          <w:tab w:val="left" w:pos="567"/>
        </w:tabs>
        <w:spacing w:line="250" w:lineRule="auto"/>
        <w:ind w:firstLine="709"/>
        <w:jc w:val="both"/>
        <w:rPr>
          <w:color w:val="000000"/>
          <w:szCs w:val="24"/>
        </w:rPr>
      </w:pPr>
      <w:r w:rsidRPr="00103EAD">
        <w:rPr>
          <w:bCs/>
          <w:szCs w:val="24"/>
        </w:rPr>
        <w:t>Turkij</w:t>
      </w:r>
      <w:r>
        <w:rPr>
          <w:bCs/>
          <w:szCs w:val="24"/>
        </w:rPr>
        <w:t xml:space="preserve">os </w:t>
      </w:r>
      <w:r w:rsidRPr="003F400A">
        <w:rPr>
          <w:szCs w:val="24"/>
        </w:rPr>
        <w:t xml:space="preserve">užsienio politika vis labiau kirtosi su ES prioritetais </w:t>
      </w:r>
      <w:r>
        <w:rPr>
          <w:szCs w:val="24"/>
        </w:rPr>
        <w:t>ir</w:t>
      </w:r>
      <w:r w:rsidRPr="003F400A">
        <w:rPr>
          <w:szCs w:val="24"/>
        </w:rPr>
        <w:t xml:space="preserve"> strateginių sąjungininkų interesais. 2020 m. Europos Komisijos paskelbtoje Turkijos pažangos įvertinimo ataskaitoje pripažįstama, kad Turkijos vertybinis ir politinis atotrūkis nuo ES nuolat augo, deficitas demokratijos, įstatymų viršenybės, pamatinių teisių, teisinės sistemos nepriklausomumo srityse tik didėjo. ES dialogas su Turkija tęsėsi, visų pirma tokiose srityse kaip migracija</w:t>
      </w:r>
      <w:r>
        <w:rPr>
          <w:szCs w:val="24"/>
        </w:rPr>
        <w:t>,</w:t>
      </w:r>
      <w:r w:rsidRPr="003F400A">
        <w:rPr>
          <w:szCs w:val="24"/>
        </w:rPr>
        <w:t xml:space="preserve"> nepaisant Turkijos bandymų panaudoti migrantų srautus kaip politinio spaudimo priemonę. Dėl ekonominių problemų, didėjančio visuomenės nepasitenkinimo ir kitų vidaus ar užsienio politikos veiksnių susitarimas su ES dėl migracijos gali nutrūkti, o tai turėtų rimtų neigiamų pasekmių ir Lietuvai. Negebėjimas rasti būdų, kaip įtraukti Turkiją į Viduržemio jūros regione besiplėtojantį bendradarbiavimą energetinių resursų gavybos srityje</w:t>
      </w:r>
      <w:r>
        <w:rPr>
          <w:szCs w:val="24"/>
        </w:rPr>
        <w:t>,</w:t>
      </w:r>
      <w:r w:rsidRPr="003F400A">
        <w:rPr>
          <w:szCs w:val="24"/>
        </w:rPr>
        <w:t xml:space="preserve"> gali tapti dar vienu stabilumą silpninančiu faktoriumi. </w:t>
      </w:r>
      <w:bookmarkStart w:id="68" w:name="_Hlk67901988"/>
      <w:r w:rsidRPr="003F400A">
        <w:rPr>
          <w:szCs w:val="24"/>
        </w:rPr>
        <w:t>Didėjančių įtampų ir potencialaus konflikto šaltini</w:t>
      </w:r>
      <w:r>
        <w:rPr>
          <w:szCs w:val="24"/>
        </w:rPr>
        <w:t>s</w:t>
      </w:r>
      <w:r w:rsidRPr="003F400A">
        <w:rPr>
          <w:szCs w:val="24"/>
        </w:rPr>
        <w:t xml:space="preserve"> </w:t>
      </w:r>
      <w:r>
        <w:rPr>
          <w:szCs w:val="24"/>
        </w:rPr>
        <w:t>yra</w:t>
      </w:r>
      <w:r w:rsidRPr="003F400A">
        <w:rPr>
          <w:szCs w:val="24"/>
        </w:rPr>
        <w:t xml:space="preserve"> Kipro problem</w:t>
      </w:r>
      <w:r>
        <w:rPr>
          <w:szCs w:val="24"/>
        </w:rPr>
        <w:t xml:space="preserve">a, </w:t>
      </w:r>
      <w:r w:rsidRPr="003F400A">
        <w:rPr>
          <w:szCs w:val="24"/>
        </w:rPr>
        <w:t>kuri šiuo metu pasireiškia Turkijos deklaracijomis apie „dviejų valstybių“ sprendimo būtinybę. Rimt</w:t>
      </w:r>
      <w:r>
        <w:rPr>
          <w:szCs w:val="24"/>
        </w:rPr>
        <w:t>as</w:t>
      </w:r>
      <w:r w:rsidRPr="003F400A">
        <w:rPr>
          <w:szCs w:val="24"/>
        </w:rPr>
        <w:t xml:space="preserve"> rizikos faktoriu</w:t>
      </w:r>
      <w:r>
        <w:rPr>
          <w:szCs w:val="24"/>
        </w:rPr>
        <w:t>s</w:t>
      </w:r>
      <w:r w:rsidRPr="003F400A">
        <w:rPr>
          <w:szCs w:val="24"/>
        </w:rPr>
        <w:t xml:space="preserve">  </w:t>
      </w:r>
      <w:r>
        <w:rPr>
          <w:rFonts w:eastAsia="Calibri"/>
          <w:szCs w:val="24"/>
        </w:rPr>
        <w:t xml:space="preserve">– </w:t>
      </w:r>
      <w:r w:rsidRPr="003F400A">
        <w:rPr>
          <w:szCs w:val="24"/>
        </w:rPr>
        <w:t>Turkijos vienašališkos politikos tąsa Sirijoje, Libijoje</w:t>
      </w:r>
      <w:r>
        <w:rPr>
          <w:szCs w:val="24"/>
        </w:rPr>
        <w:t xml:space="preserve"> ir</w:t>
      </w:r>
      <w:r w:rsidRPr="003F400A">
        <w:rPr>
          <w:szCs w:val="24"/>
        </w:rPr>
        <w:t xml:space="preserve"> Irake. </w:t>
      </w:r>
      <w:r>
        <w:rPr>
          <w:szCs w:val="24"/>
        </w:rPr>
        <w:t>N</w:t>
      </w:r>
      <w:r w:rsidRPr="00F42F91">
        <w:rPr>
          <w:color w:val="000000"/>
          <w:szCs w:val="24"/>
        </w:rPr>
        <w:t>uosekl</w:t>
      </w:r>
      <w:r>
        <w:rPr>
          <w:color w:val="000000"/>
          <w:szCs w:val="24"/>
        </w:rPr>
        <w:t>iai</w:t>
      </w:r>
      <w:r w:rsidRPr="00F42F91">
        <w:rPr>
          <w:color w:val="000000"/>
          <w:szCs w:val="24"/>
        </w:rPr>
        <w:t xml:space="preserve"> </w:t>
      </w:r>
      <w:r>
        <w:rPr>
          <w:color w:val="000000"/>
          <w:szCs w:val="24"/>
        </w:rPr>
        <w:t xml:space="preserve">toldama </w:t>
      </w:r>
      <w:r w:rsidRPr="00F42F91">
        <w:rPr>
          <w:color w:val="000000"/>
          <w:szCs w:val="24"/>
        </w:rPr>
        <w:t>nuo Vakarų, Turkij</w:t>
      </w:r>
      <w:r>
        <w:rPr>
          <w:color w:val="000000"/>
          <w:szCs w:val="24"/>
        </w:rPr>
        <w:t>a</w:t>
      </w:r>
      <w:r w:rsidRPr="00F42F91">
        <w:rPr>
          <w:color w:val="000000"/>
          <w:szCs w:val="24"/>
        </w:rPr>
        <w:t xml:space="preserve"> savo interesus sieja su Iranu ir Rusija, ypač tokiose valstybėse kaip Sirija ir Libija. Šios trys šalys formuoja grėsming</w:t>
      </w:r>
      <w:r>
        <w:rPr>
          <w:color w:val="000000"/>
          <w:szCs w:val="24"/>
        </w:rPr>
        <w:t>ą</w:t>
      </w:r>
      <w:r w:rsidRPr="00F42F91">
        <w:rPr>
          <w:color w:val="000000"/>
          <w:szCs w:val="24"/>
        </w:rPr>
        <w:t xml:space="preserve"> bloką Viduriniuose Rytuose. </w:t>
      </w:r>
    </w:p>
    <w:bookmarkEnd w:id="68"/>
    <w:p w14:paraId="05F13323" w14:textId="77777777" w:rsidR="008B10FF" w:rsidRDefault="008B10FF" w:rsidP="00E660EB">
      <w:pPr>
        <w:spacing w:line="250" w:lineRule="auto"/>
        <w:ind w:firstLine="709"/>
        <w:jc w:val="both"/>
        <w:rPr>
          <w:szCs w:val="24"/>
        </w:rPr>
      </w:pPr>
      <w:r w:rsidRPr="00F42F91">
        <w:rPr>
          <w:color w:val="000000"/>
          <w:szCs w:val="24"/>
        </w:rPr>
        <w:t>Minėtame regione pagrindin</w:t>
      </w:r>
      <w:r>
        <w:rPr>
          <w:color w:val="000000"/>
          <w:szCs w:val="24"/>
        </w:rPr>
        <w:t>ė</w:t>
      </w:r>
      <w:r w:rsidRPr="00F42F91">
        <w:rPr>
          <w:color w:val="000000"/>
          <w:szCs w:val="24"/>
        </w:rPr>
        <w:t xml:space="preserve"> konfliktų a</w:t>
      </w:r>
      <w:r>
        <w:rPr>
          <w:color w:val="000000"/>
          <w:szCs w:val="24"/>
        </w:rPr>
        <w:t>šis vis dar yra</w:t>
      </w:r>
      <w:r w:rsidRPr="00F42F91">
        <w:rPr>
          <w:color w:val="000000"/>
          <w:szCs w:val="24"/>
        </w:rPr>
        <w:t xml:space="preserve"> Iranas, lemia</w:t>
      </w:r>
      <w:r>
        <w:rPr>
          <w:color w:val="000000"/>
          <w:szCs w:val="24"/>
        </w:rPr>
        <w:t>ntis</w:t>
      </w:r>
      <w:r w:rsidRPr="00F42F91">
        <w:rPr>
          <w:color w:val="000000"/>
          <w:szCs w:val="24"/>
        </w:rPr>
        <w:t xml:space="preserve"> regiono šalių geopolitiką. </w:t>
      </w:r>
      <w:r w:rsidRPr="003F400A">
        <w:rPr>
          <w:szCs w:val="24"/>
        </w:rPr>
        <w:t xml:space="preserve">Irano branduolinė programa ir toliau </w:t>
      </w:r>
      <w:r>
        <w:rPr>
          <w:szCs w:val="24"/>
        </w:rPr>
        <w:t>bus</w:t>
      </w:r>
      <w:r w:rsidRPr="003F400A">
        <w:rPr>
          <w:szCs w:val="24"/>
        </w:rPr>
        <w:t xml:space="preserve"> dideli</w:t>
      </w:r>
      <w:r>
        <w:rPr>
          <w:szCs w:val="24"/>
        </w:rPr>
        <w:t>s</w:t>
      </w:r>
      <w:r w:rsidRPr="003F400A">
        <w:rPr>
          <w:szCs w:val="24"/>
        </w:rPr>
        <w:t xml:space="preserve"> iššūki</w:t>
      </w:r>
      <w:r>
        <w:rPr>
          <w:szCs w:val="24"/>
        </w:rPr>
        <w:t>s</w:t>
      </w:r>
      <w:r w:rsidRPr="003F400A">
        <w:rPr>
          <w:szCs w:val="24"/>
        </w:rPr>
        <w:t xml:space="preserve"> ES ir JAV diplomatinei darbotvarkei. Po Irano branduolinių technologijų mokslininko M. </w:t>
      </w:r>
      <w:proofErr w:type="spellStart"/>
      <w:r w:rsidRPr="003F400A">
        <w:rPr>
          <w:szCs w:val="24"/>
        </w:rPr>
        <w:t>Fakhrizadeh</w:t>
      </w:r>
      <w:proofErr w:type="spellEnd"/>
      <w:r w:rsidRPr="003F400A">
        <w:rPr>
          <w:szCs w:val="24"/>
        </w:rPr>
        <w:t xml:space="preserve"> nužudymo (2020 m. lapkričio 27 d.) Irano parlamentas įstatymu įpareigojo Vyriausybę atsisakyti TATENA inspekcijų ir grįžti prie urano sodrinimo iki 20 proc., kaip </w:t>
      </w:r>
      <w:r w:rsidRPr="003F400A">
        <w:rPr>
          <w:szCs w:val="24"/>
        </w:rPr>
        <w:lastRenderedPageBreak/>
        <w:t xml:space="preserve">tai buvo daroma iki </w:t>
      </w:r>
      <w:r>
        <w:rPr>
          <w:szCs w:val="24"/>
        </w:rPr>
        <w:t>Irano branduolinio susitarimo</w:t>
      </w:r>
      <w:r w:rsidRPr="003F400A">
        <w:rPr>
          <w:szCs w:val="24"/>
        </w:rPr>
        <w:t xml:space="preserve">. Metų pradžioje Iranas ne tik pranešė apie didesnį sodrinimą, bet ir pradėjo </w:t>
      </w:r>
      <w:r>
        <w:rPr>
          <w:szCs w:val="24"/>
        </w:rPr>
        <w:t xml:space="preserve">gaminti </w:t>
      </w:r>
      <w:proofErr w:type="spellStart"/>
      <w:r w:rsidRPr="003F400A">
        <w:rPr>
          <w:szCs w:val="24"/>
        </w:rPr>
        <w:t>metališk</w:t>
      </w:r>
      <w:r>
        <w:rPr>
          <w:szCs w:val="24"/>
        </w:rPr>
        <w:t>ąjį</w:t>
      </w:r>
      <w:proofErr w:type="spellEnd"/>
      <w:r w:rsidRPr="003F400A">
        <w:rPr>
          <w:szCs w:val="24"/>
        </w:rPr>
        <w:t xml:space="preserve"> uran</w:t>
      </w:r>
      <w:r>
        <w:rPr>
          <w:szCs w:val="24"/>
        </w:rPr>
        <w:t>ą</w:t>
      </w:r>
      <w:r w:rsidRPr="003F400A">
        <w:rPr>
          <w:szCs w:val="24"/>
        </w:rPr>
        <w:t>, kuris neturi civilinės paskirties, bet gali būti panaudotas branduolini</w:t>
      </w:r>
      <w:r>
        <w:rPr>
          <w:szCs w:val="24"/>
        </w:rPr>
        <w:t>am</w:t>
      </w:r>
      <w:r w:rsidRPr="003F400A">
        <w:rPr>
          <w:szCs w:val="24"/>
        </w:rPr>
        <w:t xml:space="preserve"> ginkl</w:t>
      </w:r>
      <w:r>
        <w:rPr>
          <w:szCs w:val="24"/>
        </w:rPr>
        <w:t>ui</w:t>
      </w:r>
      <w:r w:rsidRPr="003F400A">
        <w:rPr>
          <w:szCs w:val="24"/>
        </w:rPr>
        <w:t xml:space="preserve"> k</w:t>
      </w:r>
      <w:r>
        <w:rPr>
          <w:szCs w:val="24"/>
        </w:rPr>
        <w:t>urt</w:t>
      </w:r>
      <w:r w:rsidRPr="003F400A">
        <w:rPr>
          <w:szCs w:val="24"/>
        </w:rPr>
        <w:t xml:space="preserve">i. </w:t>
      </w:r>
    </w:p>
    <w:p w14:paraId="11438435" w14:textId="77777777" w:rsidR="008B10FF" w:rsidRDefault="008B10FF" w:rsidP="00E660EB">
      <w:pPr>
        <w:spacing w:line="250" w:lineRule="auto"/>
        <w:ind w:firstLine="709"/>
        <w:jc w:val="both"/>
        <w:rPr>
          <w:color w:val="000000"/>
          <w:szCs w:val="24"/>
        </w:rPr>
      </w:pPr>
      <w:r w:rsidRPr="00336A86">
        <w:rPr>
          <w:szCs w:val="24"/>
        </w:rPr>
        <w:t>Kitose krizių regionų valstybėse tęsiasi ilgalaikiai konfliktai. Nepaisant taikos derybų</w:t>
      </w:r>
      <w:r w:rsidRPr="00567E95">
        <w:rPr>
          <w:szCs w:val="24"/>
        </w:rPr>
        <w:t xml:space="preserve">, Afganistane Talibanas didina karinį spaudimą šalies vyriausybei. Saugumo situacija prastėja Afrikos </w:t>
      </w:r>
      <w:proofErr w:type="spellStart"/>
      <w:r w:rsidRPr="00567E95">
        <w:rPr>
          <w:szCs w:val="24"/>
        </w:rPr>
        <w:t>Sahelio</w:t>
      </w:r>
      <w:proofErr w:type="spellEnd"/>
      <w:r w:rsidRPr="00567E95">
        <w:rPr>
          <w:szCs w:val="24"/>
        </w:rPr>
        <w:t xml:space="preserve"> regione, kur</w:t>
      </w:r>
      <w:r>
        <w:rPr>
          <w:szCs w:val="24"/>
        </w:rPr>
        <w:t>iame</w:t>
      </w:r>
      <w:r w:rsidRPr="00567E95">
        <w:rPr>
          <w:szCs w:val="24"/>
        </w:rPr>
        <w:t xml:space="preserve"> savo veiklą plečia radikalios kovotojų grupuotės. Sirijos konfliktas yra laikinai aprimęs, bet labai tikėtina, kad 2021 m. jis vėl įsi</w:t>
      </w:r>
      <w:r>
        <w:rPr>
          <w:szCs w:val="24"/>
        </w:rPr>
        <w:t>žiebs</w:t>
      </w:r>
      <w:r w:rsidRPr="00567E95">
        <w:rPr>
          <w:szCs w:val="24"/>
        </w:rPr>
        <w:t xml:space="preserve">. </w:t>
      </w:r>
      <w:r>
        <w:rPr>
          <w:szCs w:val="24"/>
        </w:rPr>
        <w:t>Islamo valstybės grupuotė (</w:t>
      </w:r>
      <w:r w:rsidRPr="00567E95">
        <w:rPr>
          <w:szCs w:val="24"/>
        </w:rPr>
        <w:t>ISIL</w:t>
      </w:r>
      <w:r>
        <w:rPr>
          <w:szCs w:val="24"/>
        </w:rPr>
        <w:t>)</w:t>
      </w:r>
      <w:r w:rsidRPr="00567E95">
        <w:rPr>
          <w:szCs w:val="24"/>
        </w:rPr>
        <w:t xml:space="preserve"> Sirijoje ir Irake vykdo agresyvią teroristinių išpuolių kampaniją. Libijoje galioja trapios paliaubos, bet išlieka konflikto atsinaujinimo rizika. </w:t>
      </w:r>
      <w:r w:rsidRPr="00F42F91">
        <w:rPr>
          <w:color w:val="000000"/>
          <w:szCs w:val="24"/>
        </w:rPr>
        <w:t xml:space="preserve">Alžyre, Irake, Libane ir Sudane piliečių nepasitenkinimas peraugo į plataus masto visuomenės protestus. Priešpriešos tarp dalies arabų valstybių ir Izraelio mažėjimas rodo, kad Viduriniai Rytai keičiasi. </w:t>
      </w:r>
      <w:r>
        <w:rPr>
          <w:color w:val="000000"/>
          <w:szCs w:val="24"/>
        </w:rPr>
        <w:t>Nepaisant to</w:t>
      </w:r>
      <w:r w:rsidRPr="00F42F91">
        <w:rPr>
          <w:color w:val="000000"/>
          <w:szCs w:val="24"/>
        </w:rPr>
        <w:t>, regione kyla nauji konfliktai, kai seni žaidėjai (JAV) traukiasi iš regiono, o susidariusį vakuumą užpildo Rusija, Iranas, Turkija ir JAE. Šie pokyčiai 2021 m. gali įgauti dar didesnį pagreitį.</w:t>
      </w:r>
    </w:p>
    <w:p w14:paraId="6633AB76" w14:textId="77777777" w:rsidR="008B10FF" w:rsidRDefault="008B10FF" w:rsidP="00E660EB">
      <w:pPr>
        <w:spacing w:line="250" w:lineRule="auto"/>
        <w:ind w:firstLine="709"/>
        <w:jc w:val="both"/>
        <w:rPr>
          <w:szCs w:val="24"/>
        </w:rPr>
      </w:pPr>
      <w:r w:rsidRPr="00F42F91">
        <w:rPr>
          <w:color w:val="000000"/>
          <w:szCs w:val="24"/>
        </w:rPr>
        <w:t xml:space="preserve">Pasauliniu mastu destabilizuojantys veiksniai 2020 m. buvo tebesitęsiantys konfliktai Vidurio Rytuose, Azijoje ir Afrikoje, Vakarų dėmesio jiems mažėjimas, didėjantys migracijos srautai į Europą, terorizmo ir smurtinio ekstremizmo grėsmės („Islamo valstybės kovotojai, Al </w:t>
      </w:r>
      <w:proofErr w:type="spellStart"/>
      <w:r w:rsidRPr="00F42F91">
        <w:rPr>
          <w:color w:val="000000"/>
          <w:szCs w:val="24"/>
        </w:rPr>
        <w:t>Qaeda</w:t>
      </w:r>
      <w:proofErr w:type="spellEnd"/>
      <w:r w:rsidRPr="00F42F91">
        <w:rPr>
          <w:color w:val="000000"/>
          <w:szCs w:val="24"/>
        </w:rPr>
        <w:t xml:space="preserve">, Al </w:t>
      </w:r>
      <w:proofErr w:type="spellStart"/>
      <w:r w:rsidRPr="00F42F91">
        <w:rPr>
          <w:color w:val="000000"/>
          <w:szCs w:val="24"/>
        </w:rPr>
        <w:t>Shabaab</w:t>
      </w:r>
      <w:proofErr w:type="spellEnd"/>
      <w:r w:rsidRPr="00F42F91">
        <w:rPr>
          <w:color w:val="000000"/>
          <w:szCs w:val="24"/>
        </w:rPr>
        <w:t xml:space="preserve">, </w:t>
      </w:r>
      <w:proofErr w:type="spellStart"/>
      <w:r w:rsidRPr="00F42F91">
        <w:rPr>
          <w:color w:val="000000"/>
          <w:szCs w:val="24"/>
        </w:rPr>
        <w:t>Boko</w:t>
      </w:r>
      <w:proofErr w:type="spellEnd"/>
      <w:r w:rsidRPr="00F42F91">
        <w:rPr>
          <w:color w:val="000000"/>
          <w:szCs w:val="24"/>
        </w:rPr>
        <w:t xml:space="preserve"> </w:t>
      </w:r>
      <w:proofErr w:type="spellStart"/>
      <w:r w:rsidRPr="00F42F91">
        <w:rPr>
          <w:color w:val="000000"/>
          <w:szCs w:val="24"/>
        </w:rPr>
        <w:t>Haram</w:t>
      </w:r>
      <w:proofErr w:type="spellEnd"/>
      <w:r w:rsidRPr="00F42F91">
        <w:rPr>
          <w:color w:val="000000"/>
          <w:szCs w:val="24"/>
        </w:rPr>
        <w:t xml:space="preserve"> ir kt.), žmogaus teisių pažeidimai. COVID-19 pandemija dar labiau paaštrino problemas. Kyla humanitarinės katastrofos grėsmė karinių konfliktų nualintose šalyse ir perpildytose pabėgėlių stovyklose.</w:t>
      </w:r>
      <w:r>
        <w:rPr>
          <w:color w:val="000000"/>
          <w:szCs w:val="24"/>
        </w:rPr>
        <w:t xml:space="preserve"> </w:t>
      </w:r>
      <w:r w:rsidRPr="00F42F91">
        <w:rPr>
          <w:color w:val="000000"/>
          <w:szCs w:val="24"/>
        </w:rPr>
        <w:t xml:space="preserve">Ekonominė krizė sukuria papildomas galimybes kitiems globaliems pasauliniams žaidėjams, pirmiausia Rusijai ir Kinijai, realizuoti savo ambicijas ir plėsti politinę, ekonominę ir </w:t>
      </w:r>
      <w:r>
        <w:rPr>
          <w:color w:val="000000"/>
          <w:szCs w:val="24"/>
        </w:rPr>
        <w:t>karinę įtaką šiuose regionuose.</w:t>
      </w:r>
      <w:r w:rsidRPr="002B42DB">
        <w:rPr>
          <w:szCs w:val="24"/>
        </w:rPr>
        <w:t xml:space="preserve"> </w:t>
      </w:r>
    </w:p>
    <w:p w14:paraId="6745AF46" w14:textId="77777777" w:rsidR="008B10FF" w:rsidRDefault="008B10FF" w:rsidP="00E660EB">
      <w:pPr>
        <w:spacing w:line="250" w:lineRule="auto"/>
        <w:ind w:firstLine="709"/>
        <w:jc w:val="both"/>
        <w:rPr>
          <w:color w:val="000000"/>
          <w:szCs w:val="24"/>
        </w:rPr>
      </w:pPr>
      <w:r w:rsidRPr="00F42F91">
        <w:rPr>
          <w:color w:val="000000"/>
          <w:szCs w:val="24"/>
        </w:rPr>
        <w:t>Tarptautinės krizės, konfliktai ir nestabilumas pasaulyje neigiamai veikia Lietuvos saugumą, nes menkina tarptautinės teisės principų reikšmę tarptautinių santykių srityje, didina karinės jėgos ir išteklių svarbą užsienio politikai, verčia NATO ir ES šalis skirti daugiau išteklių kompleksinėms tarptautinio saugumo problemoms spręsti, leidžia Rusijai manipuliuoti skirtingais NATO ir ES šalių saugumo interesais ir skatinti vidaus nesutarimus.</w:t>
      </w:r>
    </w:p>
    <w:p w14:paraId="7761EF5C" w14:textId="77777777" w:rsidR="008B10FF" w:rsidRPr="003F400A" w:rsidRDefault="008B10FF" w:rsidP="00E660EB">
      <w:pPr>
        <w:spacing w:line="250" w:lineRule="auto"/>
        <w:ind w:firstLine="709"/>
        <w:jc w:val="both"/>
        <w:rPr>
          <w:color w:val="000000"/>
          <w:szCs w:val="24"/>
        </w:rPr>
      </w:pPr>
      <w:r w:rsidRPr="003F400A">
        <w:rPr>
          <w:color w:val="000000"/>
          <w:szCs w:val="24"/>
        </w:rPr>
        <w:t>Užsienio politikoje Rusija toliau didelį dėmesį skirs šalims ir problemoms, kur</w:t>
      </w:r>
      <w:r>
        <w:rPr>
          <w:color w:val="000000"/>
          <w:szCs w:val="24"/>
        </w:rPr>
        <w:t>iose ji</w:t>
      </w:r>
      <w:r w:rsidRPr="003F400A">
        <w:rPr>
          <w:color w:val="000000"/>
          <w:szCs w:val="24"/>
        </w:rPr>
        <w:t xml:space="preserve"> turi tiesioginių įtakos interesų</w:t>
      </w:r>
      <w:r>
        <w:rPr>
          <w:color w:val="000000"/>
          <w:szCs w:val="24"/>
        </w:rPr>
        <w:t xml:space="preserve">, </w:t>
      </w:r>
      <w:r w:rsidRPr="003F400A">
        <w:rPr>
          <w:color w:val="000000"/>
          <w:szCs w:val="24"/>
        </w:rPr>
        <w:t xml:space="preserve">neatsisakys „selektyvaus eskalavimo“ taktikos </w:t>
      </w:r>
      <w:r>
        <w:rPr>
          <w:color w:val="000000"/>
          <w:szCs w:val="24"/>
        </w:rPr>
        <w:t>ir</w:t>
      </w:r>
      <w:r w:rsidRPr="003F400A">
        <w:rPr>
          <w:color w:val="000000"/>
          <w:szCs w:val="24"/>
        </w:rPr>
        <w:t xml:space="preserve"> naudosis ja kaip įrankiu</w:t>
      </w:r>
      <w:r>
        <w:rPr>
          <w:color w:val="000000"/>
          <w:szCs w:val="24"/>
        </w:rPr>
        <w:t>,</w:t>
      </w:r>
      <w:r w:rsidRPr="003F400A">
        <w:rPr>
          <w:color w:val="000000"/>
          <w:szCs w:val="24"/>
        </w:rPr>
        <w:t xml:space="preserve"> užsitikrin</w:t>
      </w:r>
      <w:r>
        <w:rPr>
          <w:color w:val="000000"/>
          <w:szCs w:val="24"/>
        </w:rPr>
        <w:t>dama</w:t>
      </w:r>
      <w:r w:rsidRPr="003F400A">
        <w:rPr>
          <w:color w:val="000000"/>
          <w:szCs w:val="24"/>
        </w:rPr>
        <w:t xml:space="preserve"> „globalaus žaidėjo“ statusą</w:t>
      </w:r>
      <w:r>
        <w:rPr>
          <w:color w:val="000000"/>
          <w:szCs w:val="24"/>
        </w:rPr>
        <w:t xml:space="preserve">, </w:t>
      </w:r>
      <w:r w:rsidRPr="003F400A">
        <w:rPr>
          <w:color w:val="000000"/>
          <w:szCs w:val="24"/>
        </w:rPr>
        <w:t>NATO bus laikoma Rusijos priešu,</w:t>
      </w:r>
      <w:r>
        <w:rPr>
          <w:color w:val="000000"/>
          <w:szCs w:val="24"/>
        </w:rPr>
        <w:t xml:space="preserve"> toliau bus bandoma</w:t>
      </w:r>
      <w:r w:rsidRPr="00E1457F">
        <w:rPr>
          <w:color w:val="000000"/>
          <w:szCs w:val="24"/>
        </w:rPr>
        <w:t xml:space="preserve"> </w:t>
      </w:r>
      <w:r w:rsidRPr="003F400A">
        <w:rPr>
          <w:color w:val="000000"/>
          <w:szCs w:val="24"/>
        </w:rPr>
        <w:t>tęsti ES skaldymo politiką</w:t>
      </w:r>
      <w:r>
        <w:rPr>
          <w:color w:val="000000"/>
          <w:szCs w:val="24"/>
        </w:rPr>
        <w:t xml:space="preserve"> </w:t>
      </w:r>
      <w:r w:rsidRPr="003F400A">
        <w:rPr>
          <w:color w:val="000000"/>
          <w:szCs w:val="24"/>
        </w:rPr>
        <w:t>hibridinėmis priemonėmis</w:t>
      </w:r>
      <w:r>
        <w:rPr>
          <w:color w:val="000000"/>
          <w:szCs w:val="24"/>
        </w:rPr>
        <w:t xml:space="preserve">. </w:t>
      </w:r>
      <w:r w:rsidRPr="003F400A">
        <w:rPr>
          <w:color w:val="000000"/>
          <w:szCs w:val="24"/>
        </w:rPr>
        <w:t>Turėtų ryškėti dar didesnis R</w:t>
      </w:r>
      <w:r>
        <w:rPr>
          <w:color w:val="000000"/>
          <w:szCs w:val="24"/>
        </w:rPr>
        <w:t xml:space="preserve">usijos </w:t>
      </w:r>
      <w:r w:rsidRPr="003F400A">
        <w:rPr>
          <w:color w:val="000000"/>
          <w:szCs w:val="24"/>
        </w:rPr>
        <w:t xml:space="preserve">izoliavimasis nuo demokratinės tarptautinės bendruomenės, </w:t>
      </w:r>
      <w:r>
        <w:rPr>
          <w:color w:val="000000"/>
          <w:szCs w:val="24"/>
        </w:rPr>
        <w:t>kartu</w:t>
      </w:r>
      <w:r w:rsidRPr="003F400A">
        <w:rPr>
          <w:color w:val="000000"/>
          <w:szCs w:val="24"/>
        </w:rPr>
        <w:t xml:space="preserve"> stiprinami ryšiai su autoritarinėmis valstybėmis.</w:t>
      </w:r>
    </w:p>
    <w:bookmarkEnd w:id="65"/>
    <w:bookmarkEnd w:id="66"/>
    <w:p w14:paraId="0328A1F3"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Terorizmas, ekstremizmas, </w:t>
      </w:r>
      <w:proofErr w:type="spellStart"/>
      <w:r w:rsidRPr="00A91669">
        <w:rPr>
          <w:rFonts w:ascii="Times New Roman" w:hAnsi="Times New Roman"/>
          <w:b/>
          <w:bCs/>
          <w:color w:val="17365D" w:themeColor="text2" w:themeShade="BF"/>
        </w:rPr>
        <w:t>radikalėjimas</w:t>
      </w:r>
      <w:proofErr w:type="spellEnd"/>
      <w:r w:rsidRPr="00A91669">
        <w:rPr>
          <w:rFonts w:ascii="Times New Roman" w:hAnsi="Times New Roman"/>
          <w:b/>
          <w:bCs/>
          <w:color w:val="17365D" w:themeColor="text2" w:themeShade="BF"/>
        </w:rPr>
        <w:t xml:space="preserve"> </w:t>
      </w:r>
    </w:p>
    <w:p w14:paraId="48D98EC4" w14:textId="77777777" w:rsidR="008B10FF" w:rsidRDefault="008B10FF" w:rsidP="00E660EB">
      <w:pPr>
        <w:spacing w:line="250" w:lineRule="auto"/>
        <w:ind w:firstLine="709"/>
        <w:jc w:val="both"/>
      </w:pPr>
      <w:r>
        <w:t>Lietuvoje teroro aktų grėsmės lygis išlieka žemas. 2020 m. Lietuvoje n</w:t>
      </w:r>
      <w:r>
        <w:rPr>
          <w:bCs/>
        </w:rPr>
        <w:t xml:space="preserve">ebuvo </w:t>
      </w:r>
      <w:r>
        <w:t xml:space="preserve">nustatyta politinio ir </w:t>
      </w:r>
      <w:r>
        <w:rPr>
          <w:bCs/>
        </w:rPr>
        <w:t>islamistinio ekstremizmo ideologijų</w:t>
      </w:r>
      <w:r>
        <w:t xml:space="preserve"> </w:t>
      </w:r>
      <w:r>
        <w:rPr>
          <w:bCs/>
        </w:rPr>
        <w:t>motyvuotų</w:t>
      </w:r>
      <w:r>
        <w:t xml:space="preserve"> </w:t>
      </w:r>
      <w:r>
        <w:rPr>
          <w:bCs/>
        </w:rPr>
        <w:t>organizuotų grupių</w:t>
      </w:r>
      <w:r>
        <w:t xml:space="preserve"> </w:t>
      </w:r>
      <w:r>
        <w:rPr>
          <w:bCs/>
        </w:rPr>
        <w:t>ir</w:t>
      </w:r>
      <w:r>
        <w:t xml:space="preserve"> p</w:t>
      </w:r>
      <w:r>
        <w:rPr>
          <w:bCs/>
        </w:rPr>
        <w:t>avienių ekstremistų, turinčių ketinimų ir pajėgumų rengti teroro aktus</w:t>
      </w:r>
      <w:r>
        <w:t>. N</w:t>
      </w:r>
      <w:r w:rsidRPr="00C60277">
        <w:t xml:space="preserve">ebuvo pradėta ikiteisminių tyrimų, susijusių su terorizmo ar ekstremizmo apraiškomis. </w:t>
      </w:r>
      <w:r>
        <w:t>Negauta duomenų apie grasinimus teroristiniais aktais prieš Lietuvą iš užsienyje veikiančių tarptautinių teroristinių organizacijų. Dėl pandemijos metu suvaržyto judėjimo tarp Europos šalių ir iš trečiųjų šalių sumažėjo galimybių radikalių pažiūrų asmenims atvykti į Lietuvą.</w:t>
      </w:r>
    </w:p>
    <w:p w14:paraId="5D46C47A" w14:textId="77777777" w:rsidR="008B10FF" w:rsidRDefault="008B10FF" w:rsidP="00E660EB">
      <w:pPr>
        <w:spacing w:line="250" w:lineRule="auto"/>
        <w:ind w:firstLine="709"/>
        <w:jc w:val="both"/>
      </w:pPr>
      <w:r>
        <w:t>Terorizmo tendencijos ES šalyse tiesioginio poveikio situacijai Lietuvoje neturi, tačiau islamistinių teroristinių organizacijų ir jų rėmėjų ketinimai rengti išpuolius prieš Vakarus kelia terorizmo riziką ir Lietuvai (</w:t>
      </w:r>
      <w:r w:rsidRPr="00022449">
        <w:rPr>
          <w:szCs w:val="24"/>
        </w:rPr>
        <w:t xml:space="preserve">2020 m. </w:t>
      </w:r>
      <w:r>
        <w:rPr>
          <w:szCs w:val="24"/>
        </w:rPr>
        <w:t>ES</w:t>
      </w:r>
      <w:r w:rsidRPr="00022449">
        <w:rPr>
          <w:szCs w:val="24"/>
        </w:rPr>
        <w:t xml:space="preserve"> šalyse įvykdyta 13 teroristinių ideologijų motyvuotų pavienių asmenų išpuolių</w:t>
      </w:r>
      <w:r>
        <w:rPr>
          <w:szCs w:val="24"/>
        </w:rPr>
        <w:t xml:space="preserve">, </w:t>
      </w:r>
      <w:r w:rsidRPr="00022449">
        <w:rPr>
          <w:szCs w:val="24"/>
        </w:rPr>
        <w:t xml:space="preserve">2019 m. – 5). </w:t>
      </w:r>
      <w:r>
        <w:t xml:space="preserve">Lietuvos piliečiai užsienyje gali tapti atsitiktinėmis teroristinių išpuolių aukomis. </w:t>
      </w:r>
    </w:p>
    <w:p w14:paraId="7EEC73E7" w14:textId="77777777" w:rsidR="008B10FF" w:rsidRDefault="008B10FF" w:rsidP="00E660EB">
      <w:pPr>
        <w:spacing w:line="250" w:lineRule="auto"/>
        <w:ind w:firstLine="709"/>
        <w:jc w:val="both"/>
      </w:pPr>
      <w:r>
        <w:t xml:space="preserve">Labai tikėtina, kad artimiausiu metu terorizmo grėsmė Lietuvoje bus maža. Išlieka rizikos, kad Lietuvoje veikia iki šiol nenustatyti radikalūs pavieniai asmenys, planuojantys ar vykdantys teroristinius nusikaltimus. Per pastaruosius dvejus metus daugelyje Vakarų valstybių padaugėjo vienos iš radikaliausių dešiniojo ekstremizmo ideologijų – </w:t>
      </w:r>
      <w:proofErr w:type="spellStart"/>
      <w:r>
        <w:t>akceleracionizmo</w:t>
      </w:r>
      <w:proofErr w:type="spellEnd"/>
      <w:r>
        <w:t xml:space="preserve"> rėmėjų. Lietuvos Respublikos pilietis 2019 m. aktyviai dalyvavo tarptautinės </w:t>
      </w:r>
      <w:proofErr w:type="spellStart"/>
      <w:r>
        <w:t>akceleracionizmo</w:t>
      </w:r>
      <w:proofErr w:type="spellEnd"/>
      <w:r>
        <w:t xml:space="preserve"> ideologijos rėmėjus vienijusios „</w:t>
      </w:r>
      <w:proofErr w:type="spellStart"/>
      <w:r>
        <w:t>Feuerkrieg</w:t>
      </w:r>
      <w:proofErr w:type="spellEnd"/>
      <w:r>
        <w:t xml:space="preserve"> </w:t>
      </w:r>
      <w:proofErr w:type="spellStart"/>
      <w:r>
        <w:t>Division</w:t>
      </w:r>
      <w:proofErr w:type="spellEnd"/>
      <w:r>
        <w:t xml:space="preserve">“ grupės veikloje, o 2020 m. teismo buvo pripažintas kaltu dėl bandymo įvykdyti teroro aktą, neteisėto disponavimo ginklais bei sprogmenimis ir nuteistas dvejų metų ir keturių mėnesių laisvės atėmimo bausme. </w:t>
      </w:r>
    </w:p>
    <w:p w14:paraId="50276139" w14:textId="77777777" w:rsidR="008B10FF" w:rsidRPr="00C60277" w:rsidRDefault="008B10FF" w:rsidP="00E660EB">
      <w:pPr>
        <w:pStyle w:val="Standard"/>
        <w:spacing w:line="250" w:lineRule="auto"/>
        <w:ind w:left="57" w:right="57" w:firstLine="709"/>
        <w:jc w:val="both"/>
      </w:pPr>
      <w:r w:rsidRPr="00C60277">
        <w:rPr>
          <w:rStyle w:val="tlid-translation"/>
        </w:rPr>
        <w:t>COVID-19 pandemijos socialinės ir ekonominės pasekmės,</w:t>
      </w:r>
      <w:r w:rsidRPr="00C60277">
        <w:rPr>
          <w:rStyle w:val="tlid-translation"/>
          <w:bCs/>
        </w:rPr>
        <w:t xml:space="preserve"> su pandemija susijusios </w:t>
      </w:r>
      <w:r w:rsidRPr="00C60277">
        <w:rPr>
          <w:rStyle w:val="tlid-translation"/>
        </w:rPr>
        <w:t xml:space="preserve">sąmokslo teorijos ir stiprėjančios antivyriausybinės nuotaikos gali paskatinti naujų smurto ar net terorizmo formų atsiradimą ir </w:t>
      </w:r>
      <w:r w:rsidRPr="00C60277">
        <w:t xml:space="preserve">asmenų, nepaisant jų ideologinių įsitikinimų, </w:t>
      </w:r>
      <w:proofErr w:type="spellStart"/>
      <w:r w:rsidRPr="00C60277">
        <w:t>radikalėjimą</w:t>
      </w:r>
      <w:proofErr w:type="spellEnd"/>
      <w:r>
        <w:t xml:space="preserve">, taip pat padidinti </w:t>
      </w:r>
      <w:r w:rsidRPr="00C60277">
        <w:rPr>
          <w:bCs/>
          <w:color w:val="000000"/>
        </w:rPr>
        <w:t>galimyb</w:t>
      </w:r>
      <w:r>
        <w:rPr>
          <w:bCs/>
          <w:color w:val="000000"/>
        </w:rPr>
        <w:t>e</w:t>
      </w:r>
      <w:r w:rsidRPr="00C60277">
        <w:rPr>
          <w:bCs/>
          <w:color w:val="000000"/>
        </w:rPr>
        <w:t>s ekstremistinei propagandai per internetinę erdvę pasiekti pažeidžiamus asmenis</w:t>
      </w:r>
      <w:r>
        <w:rPr>
          <w:bCs/>
          <w:color w:val="000000"/>
        </w:rPr>
        <w:t xml:space="preserve">. </w:t>
      </w:r>
      <w:r w:rsidRPr="00C60277">
        <w:rPr>
          <w:rFonts w:eastAsia="Times New Roman"/>
        </w:rPr>
        <w:t xml:space="preserve">Užsienio valstybėse </w:t>
      </w:r>
      <w:r w:rsidRPr="00C60277">
        <w:rPr>
          <w:rFonts w:eastAsia="Times New Roman"/>
        </w:rPr>
        <w:lastRenderedPageBreak/>
        <w:t>veikiančios teroristinės ir ekstremistinės grupės nuolat ir sistemingai naudojasi internetu, siekdamos pritraukti ir užverbuoti pasekėjų</w:t>
      </w:r>
      <w:r>
        <w:rPr>
          <w:rFonts w:eastAsia="Times New Roman"/>
        </w:rPr>
        <w:t>,</w:t>
      </w:r>
      <w:r w:rsidRPr="00C60277">
        <w:rPr>
          <w:rFonts w:eastAsia="Times New Roman"/>
        </w:rPr>
        <w:t xml:space="preserve"> įbauginti plačiąją visuomenę.</w:t>
      </w:r>
    </w:p>
    <w:p w14:paraId="11C9AEBD"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bookmarkStart w:id="69" w:name="_Hlk33534410"/>
      <w:bookmarkStart w:id="70" w:name="_Hlk67903753"/>
      <w:r w:rsidRPr="00A91669">
        <w:rPr>
          <w:rFonts w:ascii="Times New Roman" w:hAnsi="Times New Roman"/>
          <w:b/>
          <w:bCs/>
          <w:color w:val="17365D" w:themeColor="text2" w:themeShade="BF"/>
        </w:rPr>
        <w:t xml:space="preserve">Informacinės grėsmės </w:t>
      </w:r>
    </w:p>
    <w:p w14:paraId="014132C6" w14:textId="77777777" w:rsidR="008B10FF" w:rsidRDefault="008B10FF" w:rsidP="00E660EB">
      <w:pPr>
        <w:spacing w:line="250" w:lineRule="auto"/>
        <w:ind w:firstLine="709"/>
        <w:contextualSpacing/>
        <w:jc w:val="both"/>
        <w:rPr>
          <w:szCs w:val="24"/>
        </w:rPr>
      </w:pPr>
      <w:bookmarkStart w:id="71" w:name="_Hlk34292069"/>
      <w:bookmarkEnd w:id="69"/>
      <w:bookmarkEnd w:id="70"/>
      <w:r w:rsidRPr="00B35B53">
        <w:rPr>
          <w:szCs w:val="24"/>
        </w:rPr>
        <w:t xml:space="preserve">Lietuvos gyventojai 2020 m. susidūrė su intensyviu priešiškos informacijos srautu, kurį sudarė ir pavienės melagingos naujienos, ir ilgą laiką tikslingai platinami </w:t>
      </w:r>
      <w:r>
        <w:rPr>
          <w:szCs w:val="24"/>
        </w:rPr>
        <w:t xml:space="preserve">naratyvai </w:t>
      </w:r>
      <w:r w:rsidRPr="00B35B53">
        <w:rPr>
          <w:szCs w:val="24"/>
        </w:rPr>
        <w:t>prieš Lietuvą.</w:t>
      </w:r>
    </w:p>
    <w:p w14:paraId="3D458C8E" w14:textId="77777777" w:rsidR="008B10FF" w:rsidRDefault="008B10FF" w:rsidP="00E660EB">
      <w:pPr>
        <w:spacing w:line="250" w:lineRule="auto"/>
        <w:ind w:firstLine="709"/>
        <w:contextualSpacing/>
        <w:jc w:val="both"/>
        <w:rPr>
          <w:szCs w:val="24"/>
        </w:rPr>
      </w:pPr>
      <w:r w:rsidRPr="00B35B53">
        <w:rPr>
          <w:szCs w:val="24"/>
        </w:rPr>
        <w:t xml:space="preserve">2020 m. </w:t>
      </w:r>
      <w:r>
        <w:rPr>
          <w:szCs w:val="24"/>
        </w:rPr>
        <w:t xml:space="preserve">prieš Lietuvos nacionalinio saugumo interesus intensyviai naudotos informacinės-kibernetinės atakos. Jų metu, naudojantis </w:t>
      </w:r>
      <w:r w:rsidRPr="00B35B53">
        <w:rPr>
          <w:szCs w:val="24"/>
        </w:rPr>
        <w:t>kibernetinėmis priemonėmis (įsilaužimai į</w:t>
      </w:r>
      <w:r>
        <w:rPr>
          <w:szCs w:val="24"/>
        </w:rPr>
        <w:t xml:space="preserve"> naujienų tarnybų ar institucijų internetines svetaines</w:t>
      </w:r>
      <w:r w:rsidRPr="00B35B53">
        <w:rPr>
          <w:szCs w:val="24"/>
        </w:rPr>
        <w:t xml:space="preserve">, </w:t>
      </w:r>
      <w:r>
        <w:rPr>
          <w:szCs w:val="24"/>
        </w:rPr>
        <w:t xml:space="preserve">suklastotų Lietuvos institucijų internetinių svetainių kūrimas, </w:t>
      </w:r>
      <w:r w:rsidRPr="00B35B53">
        <w:rPr>
          <w:szCs w:val="24"/>
        </w:rPr>
        <w:t>suklastotų laiškų siunti</w:t>
      </w:r>
      <w:r>
        <w:rPr>
          <w:szCs w:val="24"/>
        </w:rPr>
        <w:t>mas,</w:t>
      </w:r>
      <w:r w:rsidRPr="00B35B53">
        <w:rPr>
          <w:szCs w:val="24"/>
        </w:rPr>
        <w:t xml:space="preserve"> apsimetant tikrais ar išgalvotais asmenimis)</w:t>
      </w:r>
      <w:r>
        <w:rPr>
          <w:szCs w:val="24"/>
        </w:rPr>
        <w:t>,</w:t>
      </w:r>
      <w:r w:rsidRPr="00B35B53">
        <w:rPr>
          <w:szCs w:val="24"/>
        </w:rPr>
        <w:t xml:space="preserve"> platinama melaginga informacija,</w:t>
      </w:r>
      <w:r>
        <w:rPr>
          <w:szCs w:val="24"/>
        </w:rPr>
        <w:t xml:space="preserve"> kuria </w:t>
      </w:r>
      <w:r w:rsidRPr="00457AC1">
        <w:rPr>
          <w:szCs w:val="24"/>
        </w:rPr>
        <w:t>siekiama sumenkinti Lietuvos, jos institucijų ir sąjungininkų reputaciją</w:t>
      </w:r>
      <w:r>
        <w:rPr>
          <w:szCs w:val="24"/>
        </w:rPr>
        <w:t xml:space="preserve">, </w:t>
      </w:r>
      <w:r w:rsidRPr="00457AC1">
        <w:rPr>
          <w:szCs w:val="24"/>
        </w:rPr>
        <w:t>susilpninti visuomenės pasitikėjimą</w:t>
      </w:r>
      <w:r>
        <w:rPr>
          <w:szCs w:val="24"/>
        </w:rPr>
        <w:t xml:space="preserve"> Lietuvos valstybe. 2020 m.</w:t>
      </w:r>
      <w:r w:rsidRPr="00457AC1">
        <w:rPr>
          <w:szCs w:val="24"/>
        </w:rPr>
        <w:t xml:space="preserve"> </w:t>
      </w:r>
      <w:r w:rsidRPr="00B35B53">
        <w:rPr>
          <w:szCs w:val="24"/>
        </w:rPr>
        <w:t xml:space="preserve">įvykdytos </w:t>
      </w:r>
      <w:r>
        <w:rPr>
          <w:szCs w:val="24"/>
        </w:rPr>
        <w:t>9</w:t>
      </w:r>
      <w:r w:rsidRPr="00B35B53">
        <w:rPr>
          <w:szCs w:val="24"/>
        </w:rPr>
        <w:t xml:space="preserve"> informacinės</w:t>
      </w:r>
      <w:r>
        <w:rPr>
          <w:szCs w:val="24"/>
        </w:rPr>
        <w:t xml:space="preserve"> </w:t>
      </w:r>
      <w:r w:rsidRPr="00B35B53">
        <w:rPr>
          <w:szCs w:val="24"/>
        </w:rPr>
        <w:t>kibernetinės operacijos – daugiau</w:t>
      </w:r>
      <w:r>
        <w:rPr>
          <w:szCs w:val="24"/>
        </w:rPr>
        <w:t>,</w:t>
      </w:r>
      <w:r w:rsidRPr="00B35B53">
        <w:rPr>
          <w:szCs w:val="24"/>
        </w:rPr>
        <w:t xml:space="preserve"> nei vidutiniškai fiksuota pastaruosius kelerius metus. Padidėjęs informacinių</w:t>
      </w:r>
      <w:r>
        <w:rPr>
          <w:szCs w:val="24"/>
        </w:rPr>
        <w:t xml:space="preserve"> </w:t>
      </w:r>
      <w:r w:rsidRPr="00B35B53">
        <w:rPr>
          <w:szCs w:val="24"/>
        </w:rPr>
        <w:t>kibernetinių operacijų kiekis rodo, kad piktybinių veiksmų planuotojai ir įgyvendintojai informacines manipuliacijas laiko patrauklia forma bandyti keisti Lietuvoje vykstančių aktualių diskusijų turinį.</w:t>
      </w:r>
    </w:p>
    <w:p w14:paraId="302DE706" w14:textId="77777777" w:rsidR="008B10FF" w:rsidRDefault="008B10FF" w:rsidP="00E660EB">
      <w:pPr>
        <w:spacing w:line="250" w:lineRule="auto"/>
        <w:ind w:firstLine="709"/>
        <w:contextualSpacing/>
        <w:jc w:val="both"/>
        <w:rPr>
          <w:szCs w:val="24"/>
        </w:rPr>
      </w:pPr>
      <w:r w:rsidRPr="00B35B53">
        <w:rPr>
          <w:szCs w:val="24"/>
        </w:rPr>
        <w:t>Operacijų įgyvendintoj</w:t>
      </w:r>
      <w:r>
        <w:rPr>
          <w:szCs w:val="24"/>
        </w:rPr>
        <w:t>ų</w:t>
      </w:r>
      <w:r w:rsidRPr="00B35B53">
        <w:rPr>
          <w:szCs w:val="24"/>
        </w:rPr>
        <w:t xml:space="preserve"> strategija ir tikslai nesikeičia</w:t>
      </w:r>
      <w:r>
        <w:rPr>
          <w:szCs w:val="24"/>
        </w:rPr>
        <w:t xml:space="preserve"> – </w:t>
      </w:r>
      <w:r w:rsidRPr="00B35B53">
        <w:rPr>
          <w:szCs w:val="24"/>
        </w:rPr>
        <w:t>siekiama silpninti transatlantinius ryšius, skaldyti visuomenę ir skatinti jos nepasitikėjimą institucijomis</w:t>
      </w:r>
      <w:r>
        <w:rPr>
          <w:szCs w:val="24"/>
        </w:rPr>
        <w:t xml:space="preserve">, tačiau </w:t>
      </w:r>
      <w:r w:rsidRPr="00B35B53">
        <w:rPr>
          <w:szCs w:val="24"/>
        </w:rPr>
        <w:t>operacijų tematika ir geografija išsiplėtė, apimdama ne tik Lietuvą, bet ir Lenkiją</w:t>
      </w:r>
      <w:r>
        <w:rPr>
          <w:szCs w:val="24"/>
        </w:rPr>
        <w:t xml:space="preserve"> (vien </w:t>
      </w:r>
      <w:r w:rsidRPr="003F400A">
        <w:rPr>
          <w:szCs w:val="24"/>
        </w:rPr>
        <w:t>2020 m. spal</w:t>
      </w:r>
      <w:r>
        <w:rPr>
          <w:szCs w:val="24"/>
        </w:rPr>
        <w:t>į–</w:t>
      </w:r>
      <w:r w:rsidRPr="003F400A">
        <w:rPr>
          <w:szCs w:val="24"/>
        </w:rPr>
        <w:t>gruod</w:t>
      </w:r>
      <w:r>
        <w:rPr>
          <w:szCs w:val="24"/>
        </w:rPr>
        <w:t>į</w:t>
      </w:r>
      <w:r w:rsidRPr="003F400A">
        <w:rPr>
          <w:szCs w:val="24"/>
        </w:rPr>
        <w:t xml:space="preserve"> buvo užfiksuotos </w:t>
      </w:r>
      <w:r>
        <w:rPr>
          <w:szCs w:val="24"/>
        </w:rPr>
        <w:t>3</w:t>
      </w:r>
      <w:r w:rsidRPr="003F400A">
        <w:rPr>
          <w:szCs w:val="24"/>
        </w:rPr>
        <w:t xml:space="preserve"> prieš Lietuvos</w:t>
      </w:r>
      <w:r>
        <w:rPr>
          <w:szCs w:val="24"/>
        </w:rPr>
        <w:t>–</w:t>
      </w:r>
      <w:r w:rsidRPr="003F400A">
        <w:rPr>
          <w:szCs w:val="24"/>
        </w:rPr>
        <w:t>Lenkijos santykius nukreiptos kompleksinės kibernetinės</w:t>
      </w:r>
      <w:r>
        <w:rPr>
          <w:szCs w:val="24"/>
        </w:rPr>
        <w:t>–</w:t>
      </w:r>
      <w:r w:rsidRPr="003F400A">
        <w:rPr>
          <w:szCs w:val="24"/>
        </w:rPr>
        <w:t>informacinės atakos</w:t>
      </w:r>
      <w:r>
        <w:rPr>
          <w:szCs w:val="24"/>
        </w:rPr>
        <w:t>).</w:t>
      </w:r>
    </w:p>
    <w:p w14:paraId="6C04A266" w14:textId="77777777" w:rsidR="008B10FF" w:rsidRDefault="008B10FF" w:rsidP="00E660EB">
      <w:pPr>
        <w:spacing w:line="250" w:lineRule="auto"/>
        <w:ind w:firstLine="709"/>
        <w:contextualSpacing/>
        <w:jc w:val="both"/>
        <w:rPr>
          <w:szCs w:val="24"/>
        </w:rPr>
      </w:pPr>
      <w:r>
        <w:rPr>
          <w:szCs w:val="24"/>
        </w:rPr>
        <w:t xml:space="preserve">Kartu veikla prieš Lietuvos nacionalinio saugumo interesus ir toliau vykdoma per užsienio valstybių (Rusija, Baltarusija) oficialią retoriką, kontroliuojamą žiniasklaidą ir socialinius tinklus. </w:t>
      </w:r>
    </w:p>
    <w:p w14:paraId="08D71F5D" w14:textId="77777777" w:rsidR="008B10FF" w:rsidRDefault="008B10FF" w:rsidP="00E660EB">
      <w:pPr>
        <w:spacing w:line="250" w:lineRule="auto"/>
        <w:ind w:right="-1" w:firstLine="709"/>
        <w:jc w:val="both"/>
      </w:pPr>
      <w:r>
        <w:t xml:space="preserve">Rusija ir toliau aktyviai vykdo istorinio revizionizmo politiką. Pagrindinis jos tikslas </w:t>
      </w:r>
      <w:r>
        <w:rPr>
          <w:szCs w:val="24"/>
        </w:rPr>
        <w:t>–</w:t>
      </w:r>
      <w:r>
        <w:t xml:space="preserve"> siekis neigti Sovietų Sąjungos vykdytą bendradarbiavimą su naciais ir agresyvią užsienio politiką Antrojo pasaulinio karo metais. Dėl šios priežasties sovietinės okupacijos neigimas ir antisovietinės rezistencijos judėjimų diskreditavimo kampanijos, labai tikėtina, išliks vienu iš svarbiausių Kremliaus istorijos politikos prioritetų Lietuvos atžvilgiu. Su Kremliumi siejamos organizacijos toliau vykdys aktyvią istorinio revizionizmo veiklą, skleis tikrovės neatitinkančią ir klaidinančią informaciją apie Lietuvos laisvės kovotojus, laisvės ir žmogaus teisių suvaržymus Lietuvoje ir kitose Baltijos šalyse, Vakarų demokratijos būklę. </w:t>
      </w:r>
    </w:p>
    <w:p w14:paraId="3FDAF373" w14:textId="77777777" w:rsidR="008B10FF" w:rsidRDefault="008B10FF" w:rsidP="00E660EB">
      <w:pPr>
        <w:spacing w:line="250" w:lineRule="auto"/>
        <w:ind w:right="-1" w:firstLine="709"/>
        <w:jc w:val="both"/>
      </w:pPr>
      <w:r>
        <w:t xml:space="preserve">Pastaruosius keletą metų Rusija vis agresyviau siekia </w:t>
      </w:r>
      <w:r w:rsidRPr="001C492A">
        <w:t xml:space="preserve">įgyvendinti istorijos </w:t>
      </w:r>
      <w:r>
        <w:t xml:space="preserve">traktavimo </w:t>
      </w:r>
      <w:r w:rsidRPr="001C492A">
        <w:t>politiką</w:t>
      </w:r>
      <w:r>
        <w:t xml:space="preserve"> užsienyje, kurios tikslas – neigti SSRS nusikaltimus ir iškraipyti istorinius faktus. 2020 m. balandį įsigaliojo Rusijos Federacijos baudžiamojo kodekso pataisos, numatančios baudžiamąją atsakomybę už sovietų karių kapų ir paminklų suniokojimą ar sunaikinimą. Įstatymo nuostatos galioja ir veiksmams, įvykdytiems už Rusijos teritorijos ribų, o jas įgyvendinti pavesta Rusijos Federacijos tyrimų komitetui. Ši institucija, remdamasi minėtomis pataisomis, jau yra pradėjusi keletą tyrimų prieš užsienio valstybių subjektus. Rusijos Federacijos tyrimų komitetas taip pat inicijuoja Lietuvos valstybės pareigūnų tarptautines paieškas. 2020 m. gruodį Rusijos Federacijos tyrimų komitetas už akių pateikė kaltinimus trims Vilniaus apygardos teisėjams, priėmusiems nuosprendį Sausio 13-osios byloje. Šiam veiksmui buvo iš anksto ruošiamasi – kelerius metus Rusija rinko su minėta byla susijusių pareigūnų asmens duomenis. Šiuos teisinius veiksmus Rusija naudoja prieš Lietuvos nacionalinio saugumo interesus nukreiptoje savo informacinėje politikoje. </w:t>
      </w:r>
    </w:p>
    <w:p w14:paraId="4DBA5340" w14:textId="77777777" w:rsidR="008B10FF" w:rsidRDefault="008B10FF" w:rsidP="00E660EB">
      <w:pPr>
        <w:spacing w:line="250" w:lineRule="auto"/>
        <w:ind w:right="-1" w:firstLine="709"/>
        <w:jc w:val="both"/>
        <w:rPr>
          <w:szCs w:val="24"/>
        </w:rPr>
      </w:pPr>
      <w:r>
        <w:rPr>
          <w:szCs w:val="24"/>
        </w:rPr>
        <w:t xml:space="preserve">Svarbu atkeipti dėmesį, kad </w:t>
      </w:r>
      <w:r w:rsidRPr="00B35B53">
        <w:rPr>
          <w:szCs w:val="24"/>
        </w:rPr>
        <w:t>krizė</w:t>
      </w:r>
      <w:r>
        <w:rPr>
          <w:szCs w:val="24"/>
        </w:rPr>
        <w:t>s</w:t>
      </w:r>
      <w:r w:rsidRPr="00B35B53">
        <w:rPr>
          <w:szCs w:val="24"/>
        </w:rPr>
        <w:t xml:space="preserve"> Baltarusijoje</w:t>
      </w:r>
      <w:r>
        <w:rPr>
          <w:szCs w:val="24"/>
        </w:rPr>
        <w:t xml:space="preserve"> metu jos </w:t>
      </w:r>
      <w:r w:rsidRPr="00EC5F9B">
        <w:rPr>
          <w:i/>
          <w:iCs/>
          <w:szCs w:val="24"/>
        </w:rPr>
        <w:t>de facto</w:t>
      </w:r>
      <w:r>
        <w:rPr>
          <w:szCs w:val="24"/>
        </w:rPr>
        <w:t xml:space="preserve"> politinė vadovybė kaltino Lietuvą kišantis į Baltarusijos vidaus reikalus ir rengiant karinę operaciją šioje šalyje. Tokia melaginga informacija režimas siekė pateisinti savo veiksmus prieš protestuotojus ir sutelkti jį palaikančius gyventojus</w:t>
      </w:r>
      <w:r w:rsidRPr="00B35B53">
        <w:rPr>
          <w:szCs w:val="24"/>
        </w:rPr>
        <w:t>.</w:t>
      </w:r>
      <w:r>
        <w:rPr>
          <w:szCs w:val="24"/>
        </w:rPr>
        <w:t xml:space="preserve"> K</w:t>
      </w:r>
      <w:r w:rsidRPr="003F400A">
        <w:rPr>
          <w:szCs w:val="24"/>
        </w:rPr>
        <w:t>laidinančios ar melagingos informacijos apie Lietuvos energetinį sektorių sklaidą</w:t>
      </w:r>
      <w:r>
        <w:t xml:space="preserve"> gali paskatinti pradėjusi veikti Baltarusijos </w:t>
      </w:r>
      <w:r w:rsidRPr="003F400A">
        <w:rPr>
          <w:szCs w:val="24"/>
        </w:rPr>
        <w:t>AE.</w:t>
      </w:r>
      <w:r>
        <w:rPr>
          <w:szCs w:val="24"/>
        </w:rPr>
        <w:t xml:space="preserve"> </w:t>
      </w:r>
      <w:r w:rsidRPr="00B35B53">
        <w:rPr>
          <w:szCs w:val="24"/>
        </w:rPr>
        <w:t>2021 m. naujos informacinės atakos prieš Lietuvą tikėtinos per NATO karines pratybas ir Rusijoje vykstant kariniams mokymams.</w:t>
      </w:r>
    </w:p>
    <w:p w14:paraId="00189B3E" w14:textId="77777777" w:rsidR="008B10FF" w:rsidRDefault="008B10FF" w:rsidP="00E660EB">
      <w:pPr>
        <w:spacing w:line="250" w:lineRule="auto"/>
        <w:ind w:right="-1" w:firstLine="709"/>
        <w:jc w:val="both"/>
        <w:rPr>
          <w:szCs w:val="24"/>
        </w:rPr>
      </w:pPr>
      <w:r w:rsidRPr="003F400A">
        <w:rPr>
          <w:szCs w:val="24"/>
        </w:rPr>
        <w:t xml:space="preserve">Atkreiptinas dėmesys į paaštrėjusį Kinijos politinės vadovybės toną demokratinių laisvių ir žmogaus teisių srityse ir </w:t>
      </w:r>
      <w:r>
        <w:rPr>
          <w:szCs w:val="24"/>
        </w:rPr>
        <w:t>naudojimąsi</w:t>
      </w:r>
      <w:r w:rsidRPr="003F400A">
        <w:rPr>
          <w:szCs w:val="24"/>
        </w:rPr>
        <w:t xml:space="preserve"> </w:t>
      </w:r>
      <w:proofErr w:type="spellStart"/>
      <w:r w:rsidRPr="003F400A">
        <w:rPr>
          <w:szCs w:val="24"/>
        </w:rPr>
        <w:t>pandemi</w:t>
      </w:r>
      <w:r>
        <w:rPr>
          <w:szCs w:val="24"/>
        </w:rPr>
        <w:t>ne</w:t>
      </w:r>
      <w:proofErr w:type="spellEnd"/>
      <w:r>
        <w:rPr>
          <w:szCs w:val="24"/>
        </w:rPr>
        <w:t xml:space="preserve"> situacija. </w:t>
      </w:r>
    </w:p>
    <w:p w14:paraId="4B083698" w14:textId="77777777" w:rsidR="008B10FF" w:rsidRDefault="008B10FF" w:rsidP="00E660EB">
      <w:pPr>
        <w:spacing w:line="250" w:lineRule="auto"/>
        <w:ind w:firstLine="709"/>
        <w:contextualSpacing/>
        <w:jc w:val="both"/>
      </w:pPr>
      <w:r w:rsidRPr="00C60277">
        <w:t>COVID-19 pandemijos metu policija registruoja įvykius, kurie rodo organizuotą sąmokslo teorijų skleidėjų veiklą. Socialiniuose tinkluose platinami melagingi komentarai apie pandemiją ir viešai kurstoma priešintis valdžios sprendimams suvaldyti viruso plitim</w:t>
      </w:r>
      <w:r>
        <w:t>ą</w:t>
      </w:r>
      <w:r w:rsidRPr="00C60277">
        <w:t xml:space="preserve">. 2020 m. antrąjį pusmetį </w:t>
      </w:r>
      <w:r>
        <w:t>šie</w:t>
      </w:r>
      <w:r w:rsidRPr="00C60277">
        <w:t xml:space="preserve"> reiškini</w:t>
      </w:r>
      <w:r>
        <w:t>ai</w:t>
      </w:r>
      <w:r w:rsidRPr="00C60277">
        <w:t xml:space="preserve"> suintensyvėj</w:t>
      </w:r>
      <w:r>
        <w:t>o</w:t>
      </w:r>
      <w:r w:rsidRPr="00C60277">
        <w:t xml:space="preserve">, </w:t>
      </w:r>
      <w:r>
        <w:t>tai</w:t>
      </w:r>
      <w:r w:rsidRPr="00C60277">
        <w:t xml:space="preserve"> </w:t>
      </w:r>
      <w:r>
        <w:t xml:space="preserve">paskatino kai kuriuos gyventojus dalyvauti </w:t>
      </w:r>
      <w:r w:rsidRPr="00C60277">
        <w:t>nesankcionuoto</w:t>
      </w:r>
      <w:r>
        <w:t>se</w:t>
      </w:r>
      <w:r w:rsidRPr="00C60277">
        <w:t xml:space="preserve"> protesto akcijo</w:t>
      </w:r>
      <w:r>
        <w:t>se</w:t>
      </w:r>
      <w:r w:rsidRPr="00C60277">
        <w:t xml:space="preserve">, </w:t>
      </w:r>
      <w:r>
        <w:t>kurių visuomenė nepalaikė</w:t>
      </w:r>
      <w:r w:rsidRPr="00C60277">
        <w:t xml:space="preserve">. Neatmestina, kad užsitęsę ekonominio ir socialinio gyvenimo suvaržymai, sudėtinga sergamumo situacija gali </w:t>
      </w:r>
      <w:r w:rsidRPr="00C60277">
        <w:lastRenderedPageBreak/>
        <w:t xml:space="preserve">turėti įtakos nepasitenkinimo </w:t>
      </w:r>
      <w:r>
        <w:t>didėjimui</w:t>
      </w:r>
      <w:r w:rsidRPr="00C60277">
        <w:t xml:space="preserve"> ir sąmokslo teorijų sekėjų aktyvesniam pasireiškimui</w:t>
      </w:r>
      <w:r>
        <w:t>,</w:t>
      </w:r>
      <w:r w:rsidRPr="00C60277">
        <w:t xml:space="preserve"> </w:t>
      </w:r>
      <w:r>
        <w:t>t</w:t>
      </w:r>
      <w:r w:rsidRPr="00C60277">
        <w:t xml:space="preserve">odėl </w:t>
      </w:r>
      <w:r>
        <w:t xml:space="preserve">kartu  </w:t>
      </w:r>
      <w:r w:rsidRPr="00C60277">
        <w:t xml:space="preserve">didėja </w:t>
      </w:r>
      <w:r>
        <w:t xml:space="preserve">ir </w:t>
      </w:r>
      <w:r w:rsidRPr="00C60277">
        <w:t>masinių neramumų tikimybė.</w:t>
      </w:r>
    </w:p>
    <w:p w14:paraId="15235158" w14:textId="77777777" w:rsidR="008B10FF" w:rsidRPr="00B35B53" w:rsidRDefault="008B10FF" w:rsidP="00E660EB">
      <w:pPr>
        <w:spacing w:line="250" w:lineRule="auto"/>
        <w:ind w:right="-1" w:firstLine="709"/>
        <w:jc w:val="both"/>
        <w:rPr>
          <w:szCs w:val="24"/>
        </w:rPr>
      </w:pPr>
      <w:r w:rsidRPr="00B35B53">
        <w:rPr>
          <w:szCs w:val="24"/>
        </w:rPr>
        <w:t>Labai tikėtina, kad artimoje perspektyvoje informacinių</w:t>
      </w:r>
      <w:r>
        <w:rPr>
          <w:szCs w:val="24"/>
        </w:rPr>
        <w:t xml:space="preserve"> </w:t>
      </w:r>
      <w:r w:rsidRPr="00B35B53">
        <w:rPr>
          <w:szCs w:val="24"/>
        </w:rPr>
        <w:t xml:space="preserve">kibernetinių </w:t>
      </w:r>
      <w:r>
        <w:rPr>
          <w:szCs w:val="24"/>
        </w:rPr>
        <w:t xml:space="preserve">atakų ir kitų informacinio poveikio priemonių </w:t>
      </w:r>
      <w:r w:rsidRPr="00B35B53">
        <w:rPr>
          <w:szCs w:val="24"/>
        </w:rPr>
        <w:t xml:space="preserve">Lietuvoje ir Baltijos </w:t>
      </w:r>
      <w:r>
        <w:rPr>
          <w:szCs w:val="24"/>
        </w:rPr>
        <w:t xml:space="preserve">jūros </w:t>
      </w:r>
      <w:r w:rsidRPr="00B35B53">
        <w:rPr>
          <w:szCs w:val="24"/>
        </w:rPr>
        <w:t>regione nemažės.</w:t>
      </w:r>
    </w:p>
    <w:p w14:paraId="06F46235"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Kibernetinės grėsmės </w:t>
      </w:r>
    </w:p>
    <w:p w14:paraId="6868386F" w14:textId="77777777" w:rsidR="008B10FF" w:rsidRDefault="008B10FF" w:rsidP="00E660EB">
      <w:pPr>
        <w:pStyle w:val="StyleItalicUnderlineJustified"/>
        <w:numPr>
          <w:ilvl w:val="0"/>
          <w:numId w:val="0"/>
        </w:numPr>
        <w:tabs>
          <w:tab w:val="left" w:pos="1296"/>
        </w:tabs>
        <w:spacing w:after="0" w:line="250" w:lineRule="auto"/>
        <w:ind w:firstLine="709"/>
      </w:pPr>
      <w:r>
        <w:t xml:space="preserve">Dėl COVID-19 pandemijos išaugę nuotolinio darbo mastai </w:t>
      </w:r>
      <w:r w:rsidRPr="00D6424D">
        <w:t xml:space="preserve">Lietuvoje, kaip ir visame pasaulyje, </w:t>
      </w:r>
      <w:r>
        <w:t>sukuria kibern</w:t>
      </w:r>
      <w:r w:rsidRPr="00D6424D">
        <w:t>etinio saugumo sprag</w:t>
      </w:r>
      <w:r>
        <w:t>ų</w:t>
      </w:r>
      <w:r w:rsidRPr="00D6424D">
        <w:t xml:space="preserve">, o priešiškų valstybių žvalgybos ir jų remiami </w:t>
      </w:r>
      <w:proofErr w:type="spellStart"/>
      <w:r w:rsidRPr="00D6424D">
        <w:t>programišiai</w:t>
      </w:r>
      <w:proofErr w:type="spellEnd"/>
      <w:r w:rsidRPr="00D6424D">
        <w:t xml:space="preserve"> ieško naujų galimybių kenk</w:t>
      </w:r>
      <w:r>
        <w:t>imo</w:t>
      </w:r>
      <w:r w:rsidRPr="00D6424D">
        <w:t xml:space="preserve"> veiklos efektyvumui didinti. </w:t>
      </w:r>
    </w:p>
    <w:p w14:paraId="0149E879" w14:textId="77777777" w:rsidR="008B10FF" w:rsidRDefault="008B10FF" w:rsidP="00E660EB">
      <w:pPr>
        <w:pStyle w:val="StyleItalicUnderlineJustified"/>
        <w:numPr>
          <w:ilvl w:val="0"/>
          <w:numId w:val="0"/>
        </w:numPr>
        <w:tabs>
          <w:tab w:val="left" w:pos="1296"/>
        </w:tabs>
        <w:spacing w:after="0" w:line="250" w:lineRule="auto"/>
        <w:ind w:firstLine="709"/>
      </w:pPr>
      <w:r w:rsidRPr="00D6424D">
        <w:t>Didžiausią grėsmę Lietuvos institucijoms kelia Rusijos žvalgy</w:t>
      </w:r>
      <w:r>
        <w:t>bos tarnybų koordinuojamos kibern</w:t>
      </w:r>
      <w:r w:rsidRPr="00D6424D">
        <w:t>etinio šnipinėjimo grupuotės. Tikėtina, kad Rusijos i</w:t>
      </w:r>
      <w:r>
        <w:t>r kitų priešiškų valstybių kibern</w:t>
      </w:r>
      <w:r w:rsidRPr="00D6424D">
        <w:t xml:space="preserve">etiniai pajėgumai dėl pandemijos nulemtų pokyčių tapo prioritetiniu įrankiu </w:t>
      </w:r>
      <w:r>
        <w:t>tikslinei informacijai</w:t>
      </w:r>
      <w:r w:rsidRPr="00D6424D">
        <w:t xml:space="preserve"> surinkti. </w:t>
      </w:r>
      <w:r>
        <w:t>2020 m. Rusijos žvalgybos tarnybų valdomos kibernetinės grupuotės Lietuvoje rengė kibernetines atakas prieš Lietuvos aukščiausias valdžios, užsienio politiką ir nacionalinį saugumą užtikrinančias institucijas, energetikos įmones bei švietimo įstaigas. Rusijos žvalgybos tarnybų valdomos grupuotės taip pat pasinaudojo Lietuvos informacinių technologijų paslaugų sektoriaus infrastruktūra kibernetinėms atakoms prieš taikinius Vakarų valstybėse. Pavyzdžiui, dalis 2020 m. liepą paviešintų Rusijos žvalgybos tarnybų kibernetinio šnipinėjimo grupuotės APT29 atakų prieš COVID-19 vakciną kuriančias organizacijas Vakaruose buvo vykdomos pasinaudojus Lietuvos IT infrastruktūra.</w:t>
      </w:r>
    </w:p>
    <w:p w14:paraId="0B681DE3" w14:textId="77777777" w:rsidR="008B10FF" w:rsidRPr="009147D8" w:rsidRDefault="008B10FF" w:rsidP="00E660EB">
      <w:pPr>
        <w:pStyle w:val="StyleItalicUnderlineJustified"/>
        <w:numPr>
          <w:ilvl w:val="0"/>
          <w:numId w:val="0"/>
        </w:numPr>
        <w:tabs>
          <w:tab w:val="left" w:pos="1296"/>
        </w:tabs>
        <w:spacing w:after="0" w:line="250" w:lineRule="auto"/>
        <w:ind w:firstLine="709"/>
      </w:pPr>
      <w:r w:rsidRPr="00D6424D">
        <w:t>2020 m. bendra</w:t>
      </w:r>
      <w:r>
        <w:t>s</w:t>
      </w:r>
      <w:r w:rsidRPr="00D6424D">
        <w:t xml:space="preserve"> kenk</w:t>
      </w:r>
      <w:r>
        <w:t>imo</w:t>
      </w:r>
      <w:r w:rsidRPr="00D6424D">
        <w:t xml:space="preserve"> veikl</w:t>
      </w:r>
      <w:r>
        <w:t>os mastas</w:t>
      </w:r>
      <w:r w:rsidRPr="00D6424D">
        <w:t xml:space="preserve"> kibernetinėje erdvėje </w:t>
      </w:r>
      <w:r>
        <w:t>labai</w:t>
      </w:r>
      <w:r w:rsidRPr="00D6424D">
        <w:t xml:space="preserve"> nepadidėjo, tačiau kei</w:t>
      </w:r>
      <w:r>
        <w:t>tė</w:t>
      </w:r>
      <w:r w:rsidRPr="00D6424D">
        <w:t xml:space="preserve">si taikiniai. Kriminalinio pasaulio </w:t>
      </w:r>
      <w:proofErr w:type="spellStart"/>
      <w:r w:rsidRPr="00D6424D">
        <w:t>programišiai</w:t>
      </w:r>
      <w:proofErr w:type="spellEnd"/>
      <w:r w:rsidRPr="00D6424D">
        <w:t xml:space="preserve"> aktyviau naudojasi duomenis šifruojančiomis ir už i</w:t>
      </w:r>
      <w:r>
        <w:t>ššifravimą išpirkos prašančiomis</w:t>
      </w:r>
      <w:r w:rsidRPr="00D6424D">
        <w:t xml:space="preserve"> </w:t>
      </w:r>
      <w:r>
        <w:t xml:space="preserve">(angl. </w:t>
      </w:r>
      <w:proofErr w:type="spellStart"/>
      <w:r w:rsidRPr="00D6424D">
        <w:rPr>
          <w:i/>
        </w:rPr>
        <w:t>ransomware</w:t>
      </w:r>
      <w:proofErr w:type="spellEnd"/>
      <w:r>
        <w:t>)</w:t>
      </w:r>
      <w:r w:rsidRPr="00D6424D">
        <w:t xml:space="preserve"> programomis prieš ligonines ir kitas sveikatos apsaugos institucijas. Labai tikėtina, kad </w:t>
      </w:r>
      <w:proofErr w:type="spellStart"/>
      <w:r w:rsidRPr="00D6424D">
        <w:t>programišius</w:t>
      </w:r>
      <w:proofErr w:type="spellEnd"/>
      <w:r w:rsidRPr="00D6424D">
        <w:t xml:space="preserve"> motyvuoja tikėjimas, kad šių įstaigų lūkestis greičiau atgauti prieigą prie pacientų gydymui kritiškai svarbių duomenų ir sistemų paskatins rizikuoti ir mokėti išpirką. Neatmestina, kad dalį šių išpuolių organizuoja priešiškų šalių valstybinės </w:t>
      </w:r>
      <w:r w:rsidRPr="009147D8">
        <w:t xml:space="preserve">kibernetinės grupuotės, siekiančios destabilizuoti situaciją valstybėse. Šios kibernetinės grupuotės, be įprastų taikinių, šnipinėjimo operacijas taip pat vykdo prieš organizacijas, turinčias informacijos apie kitose valstybėse taikomas pandemijos valdymo priemones, COVID-19 viruso tyrimus ir vakcinos kūrimo procesą. </w:t>
      </w:r>
    </w:p>
    <w:p w14:paraId="344F3C39" w14:textId="77777777" w:rsidR="008B10FF" w:rsidRPr="009147D8" w:rsidRDefault="008B10FF" w:rsidP="00E660EB">
      <w:pPr>
        <w:widowControl w:val="0"/>
        <w:shd w:val="clear" w:color="auto" w:fill="FFFFFF"/>
        <w:autoSpaceDE w:val="0"/>
        <w:autoSpaceDN w:val="0"/>
        <w:adjustRightInd w:val="0"/>
        <w:spacing w:line="250" w:lineRule="auto"/>
        <w:ind w:left="57" w:right="57" w:firstLine="709"/>
        <w:jc w:val="both"/>
        <w:rPr>
          <w:szCs w:val="24"/>
          <w:shd w:val="clear" w:color="auto" w:fill="FFFFFF"/>
        </w:rPr>
      </w:pPr>
      <w:r w:rsidRPr="009147D8">
        <w:rPr>
          <w:szCs w:val="24"/>
        </w:rPr>
        <w:t>2020 m. Lietuvoje didelę nusikalstamų veikų elektroninėje erdvėje dalį sudarė su</w:t>
      </w:r>
      <w:r w:rsidRPr="009147D8">
        <w:rPr>
          <w:szCs w:val="24"/>
          <w:shd w:val="clear" w:color="auto" w:fill="FFFFFF"/>
        </w:rPr>
        <w:t xml:space="preserve">kčiavimai, panaudojant įvairią socialinės inžinerijos techniką, kai reikalinga informacija išgaunama ne įsilaužiant į kompiuterinę sistemą, o tiesiogiai iš asmens. </w:t>
      </w:r>
      <w:r w:rsidRPr="009147D8">
        <w:rPr>
          <w:bCs/>
          <w:szCs w:val="24"/>
          <w:shd w:val="clear" w:color="auto" w:fill="FFFFFF"/>
        </w:rPr>
        <w:t>Lietuvos bankų asociacijos duomenimis, pernai dėl elektroninių sukčiavimų Lietuvos gyventojai patyrė daugiau kaip 4,5 mln. eurų žalą.</w:t>
      </w:r>
    </w:p>
    <w:p w14:paraId="5EC622DF" w14:textId="77777777" w:rsidR="008B10FF" w:rsidRPr="009147D8" w:rsidRDefault="008B10FF" w:rsidP="00E660EB">
      <w:pPr>
        <w:widowControl w:val="0"/>
        <w:shd w:val="clear" w:color="auto" w:fill="FFFFFF"/>
        <w:autoSpaceDE w:val="0"/>
        <w:autoSpaceDN w:val="0"/>
        <w:adjustRightInd w:val="0"/>
        <w:spacing w:line="250" w:lineRule="auto"/>
        <w:ind w:left="57" w:right="57" w:firstLine="709"/>
        <w:jc w:val="both"/>
      </w:pPr>
      <w:r w:rsidRPr="009147D8">
        <w:rPr>
          <w:szCs w:val="24"/>
        </w:rPr>
        <w:t>COVID-19 pandemijos metu suaktyvėjus elektroninių paslaugų plėtrai, tiek artimiausiu metu, tiek ir vėliau n</w:t>
      </w:r>
      <w:r w:rsidRPr="009147D8">
        <w:rPr>
          <w:spacing w:val="-4"/>
          <w:szCs w:val="24"/>
        </w:rPr>
        <w:t xml:space="preserve">usikalstamų veikų elektroninėje erdvėje grėsmė nemažės. </w:t>
      </w:r>
      <w:r w:rsidRPr="009147D8">
        <w:t xml:space="preserve">Neabejotina, kad naujų kibernetinių grėsmių prevencija išliks aktuali ir ilgalaikėje perspektyvoje, nes informacinių technologijų naudojimas didės net ir pasibaigus pandemijai. </w:t>
      </w:r>
    </w:p>
    <w:bookmarkEnd w:id="71"/>
    <w:p w14:paraId="7234A421"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Ekonominė ir energetinė priklausomybė, ekonomikos ir ūkio pažeidžiamumas </w:t>
      </w:r>
    </w:p>
    <w:p w14:paraId="688989B6" w14:textId="77777777" w:rsidR="008B10FF" w:rsidRDefault="008B10FF" w:rsidP="00E660EB">
      <w:pPr>
        <w:widowControl w:val="0"/>
        <w:autoSpaceDE w:val="0"/>
        <w:autoSpaceDN w:val="0"/>
        <w:adjustRightInd w:val="0"/>
        <w:spacing w:line="250" w:lineRule="auto"/>
        <w:ind w:right="-46" w:firstLine="709"/>
        <w:jc w:val="both"/>
        <w:rPr>
          <w:rFonts w:eastAsia="BatangChe"/>
          <w:szCs w:val="24"/>
        </w:rPr>
      </w:pPr>
      <w:r w:rsidRPr="00BC0A61">
        <w:rPr>
          <w:color w:val="000000"/>
          <w:szCs w:val="24"/>
        </w:rPr>
        <w:t>Pagrindinė  elektros energetikos sistemos patikimumui ir stabilumui kylanti grėsmė</w:t>
      </w:r>
      <w:r w:rsidRPr="00BC0A61">
        <w:rPr>
          <w:rFonts w:eastAsia="BatangChe"/>
          <w:szCs w:val="24"/>
        </w:rPr>
        <w:t xml:space="preserve"> – galimas vienašalis Baltijos šalių (Lietuvos) elektros energetikos sistemos atjungimas nuo IPS/UPS sistemos, Baltijos šalims dar nespėjus įgyvendinti elektros energetikos sistemos sujungimo su kontinentinės Europos elektros tinklais darbui sinchroniniu režimu projekto.</w:t>
      </w:r>
      <w:r>
        <w:rPr>
          <w:rFonts w:eastAsia="BatangChe"/>
          <w:szCs w:val="24"/>
        </w:rPr>
        <w:t xml:space="preserve"> </w:t>
      </w:r>
      <w:r w:rsidRPr="00BC0A61">
        <w:rPr>
          <w:rFonts w:eastAsia="BatangChe"/>
          <w:szCs w:val="24"/>
        </w:rPr>
        <w:t xml:space="preserve">Vienašalio Baltijos šalių (Lietuvos) elektros energetikos sistemos atjungimo nuo IPS/UPS sistemos atveju sumažėtų elektros energetikos sistemos patikimumas ir stabilumas. Dėl to padidėtų elektros tiekimo sutrikimų tikimybė, </w:t>
      </w:r>
      <w:r>
        <w:rPr>
          <w:rFonts w:eastAsia="BatangChe"/>
          <w:szCs w:val="24"/>
        </w:rPr>
        <w:t>galbūt ir</w:t>
      </w:r>
      <w:r w:rsidRPr="00BC0A61">
        <w:rPr>
          <w:rFonts w:eastAsia="BatangChe"/>
          <w:szCs w:val="24"/>
        </w:rPr>
        <w:t xml:space="preserve"> elektros kainos, neatmestina ir totali elektros energetikos sistemos avarija</w:t>
      </w:r>
      <w:r>
        <w:rPr>
          <w:rStyle w:val="Puslapioinaosnuoroda"/>
          <w:rFonts w:eastAsia="BatangChe"/>
          <w:szCs w:val="24"/>
        </w:rPr>
        <w:footnoteReference w:id="25"/>
      </w:r>
      <w:r w:rsidRPr="00BC0A61">
        <w:rPr>
          <w:rFonts w:eastAsia="BatangChe"/>
          <w:szCs w:val="24"/>
        </w:rPr>
        <w:t xml:space="preserve">. </w:t>
      </w:r>
    </w:p>
    <w:p w14:paraId="7F74F18A" w14:textId="77777777" w:rsidR="008B10FF" w:rsidRDefault="008B10FF" w:rsidP="00E660EB">
      <w:pPr>
        <w:spacing w:line="250" w:lineRule="auto"/>
        <w:ind w:firstLine="709"/>
        <w:jc w:val="both"/>
      </w:pPr>
      <w:r>
        <w:rPr>
          <w:color w:val="000000"/>
        </w:rPr>
        <w:t xml:space="preserve">2020 m. rizikų energetinio saugumo stiprinimui kėlė trečiųjų šalių interesai trukdyti įgyvendinti Baltijos šalių elektros sistemų sinchronizacijos su kontinentinės Europos tinklais (KET) projektą. Sėkmingai įgyvendintas projektas sumažintų galimybes Rusijai ir Baltarusijai vykdyti prekybą elektra, sumažėtų Rusijos ir Baltarusijos įmonių vaidmuo Baltijos valstybių energetikos sektoriuje. </w:t>
      </w:r>
      <w:r>
        <w:t xml:space="preserve">Baltijos šalių elektros sistemų sinchronizacijos su KET klausimas Rusijoje sulaukia aukščiausios valdžios dėmesio. Tikėtina, kad 2021 m. </w:t>
      </w:r>
      <w:r>
        <w:lastRenderedPageBreak/>
        <w:t>Rusija manipuliuos galimu išankstiniu Baltijos šalių atjungimu nuo BRELL žiedo ir vykdys lobistinę veiklą ES institucijose. Papildomų rizikų keltų pasirengimo Baltijos šalių elektros sistemų sinchronizacijai su KET vėlavimas.</w:t>
      </w:r>
    </w:p>
    <w:p w14:paraId="446346F3" w14:textId="77777777" w:rsidR="008B10FF" w:rsidRDefault="008B10FF" w:rsidP="00E660EB">
      <w:pPr>
        <w:widowControl w:val="0"/>
        <w:autoSpaceDE w:val="0"/>
        <w:autoSpaceDN w:val="0"/>
        <w:adjustRightInd w:val="0"/>
        <w:spacing w:line="250" w:lineRule="auto"/>
        <w:ind w:right="-46" w:firstLine="709"/>
        <w:jc w:val="both"/>
        <w:rPr>
          <w:szCs w:val="24"/>
        </w:rPr>
      </w:pPr>
      <w:r>
        <w:rPr>
          <w:szCs w:val="24"/>
        </w:rPr>
        <w:t>Pažymėtina, kad, į</w:t>
      </w:r>
      <w:r w:rsidRPr="00BC0A61">
        <w:rPr>
          <w:szCs w:val="24"/>
        </w:rPr>
        <w:t xml:space="preserve">gyvendinus energetinius infrastruktūros projektus, tokius kaip </w:t>
      </w:r>
      <w:r>
        <w:rPr>
          <w:szCs w:val="24"/>
        </w:rPr>
        <w:t>Lietuvos elektros jungtis su kaimynine Lenkija „</w:t>
      </w:r>
      <w:proofErr w:type="spellStart"/>
      <w:r w:rsidRPr="00BC0A61">
        <w:rPr>
          <w:szCs w:val="24"/>
        </w:rPr>
        <w:t>LitPol</w:t>
      </w:r>
      <w:proofErr w:type="spellEnd"/>
      <w:r w:rsidRPr="00BC0A61">
        <w:rPr>
          <w:szCs w:val="24"/>
        </w:rPr>
        <w:t xml:space="preserve"> Link</w:t>
      </w:r>
      <w:r>
        <w:rPr>
          <w:szCs w:val="24"/>
        </w:rPr>
        <w:t>“</w:t>
      </w:r>
      <w:r w:rsidRPr="00BC0A61">
        <w:rPr>
          <w:szCs w:val="24"/>
        </w:rPr>
        <w:t xml:space="preserve">, </w:t>
      </w:r>
      <w:r>
        <w:rPr>
          <w:szCs w:val="24"/>
        </w:rPr>
        <w:t>Lietuvos–Švedijos elektros tinklų jungtis „</w:t>
      </w:r>
      <w:proofErr w:type="spellStart"/>
      <w:r w:rsidRPr="00BC0A61">
        <w:rPr>
          <w:szCs w:val="24"/>
        </w:rPr>
        <w:t>NordBalt</w:t>
      </w:r>
      <w:proofErr w:type="spellEnd"/>
      <w:r>
        <w:rPr>
          <w:szCs w:val="24"/>
        </w:rPr>
        <w:t>“</w:t>
      </w:r>
      <w:r w:rsidRPr="00BC0A61">
        <w:rPr>
          <w:szCs w:val="24"/>
        </w:rPr>
        <w:t xml:space="preserve">, </w:t>
      </w:r>
      <w:r>
        <w:rPr>
          <w:szCs w:val="24"/>
        </w:rPr>
        <w:t xml:space="preserve">suskystintųjų gamtinių dujų </w:t>
      </w:r>
      <w:r w:rsidRPr="00BC0A61">
        <w:rPr>
          <w:szCs w:val="24"/>
        </w:rPr>
        <w:t>terminalas</w:t>
      </w:r>
      <w:r>
        <w:rPr>
          <w:szCs w:val="24"/>
        </w:rPr>
        <w:t xml:space="preserve"> Klaipėdoje</w:t>
      </w:r>
      <w:r w:rsidRPr="00BC0A61">
        <w:rPr>
          <w:szCs w:val="24"/>
        </w:rPr>
        <w:t xml:space="preserve">, </w:t>
      </w:r>
      <w:r>
        <w:rPr>
          <w:szCs w:val="24"/>
        </w:rPr>
        <w:t>dujotiekių jungtis tarp Estijos ir Suomijos „</w:t>
      </w:r>
      <w:proofErr w:type="spellStart"/>
      <w:r w:rsidRPr="00BC0A61">
        <w:rPr>
          <w:szCs w:val="24"/>
        </w:rPr>
        <w:t>Balticconnector</w:t>
      </w:r>
      <w:proofErr w:type="spellEnd"/>
      <w:r>
        <w:rPr>
          <w:szCs w:val="24"/>
        </w:rPr>
        <w:t>“</w:t>
      </w:r>
      <w:r w:rsidRPr="00BC0A61">
        <w:rPr>
          <w:szCs w:val="24"/>
        </w:rPr>
        <w:t xml:space="preserve">, buvo sudarytos sąlygos diversifikuoti elektros energijos, dujų tiekimą ir panaikino energetinę priklausomybę nuo vienintelio išorinio energijos išteklių tiekėjo. Padėtį regione, taip pat ir Lietuvoje, dar labiau stabilizuos 2020 m. startavę </w:t>
      </w:r>
      <w:r>
        <w:rPr>
          <w:szCs w:val="24"/>
        </w:rPr>
        <w:t>dujotiekių jungties tarp Lenkijos ir Lietuvos (</w:t>
      </w:r>
      <w:r w:rsidRPr="00BC0A61">
        <w:rPr>
          <w:szCs w:val="24"/>
        </w:rPr>
        <w:t>GIPL</w:t>
      </w:r>
      <w:r>
        <w:rPr>
          <w:szCs w:val="24"/>
        </w:rPr>
        <w:t>)</w:t>
      </w:r>
      <w:r w:rsidRPr="00BC0A61">
        <w:rPr>
          <w:szCs w:val="24"/>
        </w:rPr>
        <w:t xml:space="preserve"> ir </w:t>
      </w:r>
      <w:r>
        <w:rPr>
          <w:szCs w:val="24"/>
        </w:rPr>
        <w:t>tarpvalstybinės elektros jungties tarp Lietuvos ir Lenkijos „</w:t>
      </w:r>
      <w:proofErr w:type="spellStart"/>
      <w:r w:rsidRPr="00BC0A61">
        <w:rPr>
          <w:szCs w:val="24"/>
        </w:rPr>
        <w:t>Harmony</w:t>
      </w:r>
      <w:proofErr w:type="spellEnd"/>
      <w:r w:rsidRPr="00BC0A61">
        <w:rPr>
          <w:szCs w:val="24"/>
        </w:rPr>
        <w:t xml:space="preserve"> Link</w:t>
      </w:r>
      <w:r>
        <w:rPr>
          <w:szCs w:val="24"/>
        </w:rPr>
        <w:t>“</w:t>
      </w:r>
      <w:r w:rsidRPr="00BC0A61">
        <w:rPr>
          <w:szCs w:val="24"/>
        </w:rPr>
        <w:t xml:space="preserve"> projektai. Lietuva</w:t>
      </w:r>
      <w:r>
        <w:rPr>
          <w:szCs w:val="24"/>
        </w:rPr>
        <w:t xml:space="preserve"> taip pat</w:t>
      </w:r>
      <w:r w:rsidRPr="00BC0A61">
        <w:rPr>
          <w:szCs w:val="24"/>
        </w:rPr>
        <w:t xml:space="preserve"> turi visas technines galimybes diversifikuoti naftos ir jos produktų tiekimą – </w:t>
      </w:r>
      <w:r>
        <w:rPr>
          <w:szCs w:val="24"/>
        </w:rPr>
        <w:t>ji</w:t>
      </w:r>
      <w:r w:rsidRPr="00BC0A61">
        <w:rPr>
          <w:szCs w:val="24"/>
        </w:rPr>
        <w:t xml:space="preserve"> iš bet kurios šalies gali importuoti apie 9 mln. tonų naftos produktų per Klaipėdos terminalą (AB „Klaipėdos nafta“) ir 8 mln. tonų naftos per Būtingės terminalą. Be to, naftos produktams tiekti gali būti panaudotas geležinkelio arba automobilių transportas. </w:t>
      </w:r>
    </w:p>
    <w:p w14:paraId="2FA5B005" w14:textId="77777777" w:rsidR="008B10FF" w:rsidRDefault="008B10FF" w:rsidP="00E660EB">
      <w:pPr>
        <w:spacing w:line="250" w:lineRule="auto"/>
        <w:ind w:right="-1" w:firstLine="709"/>
        <w:jc w:val="both"/>
        <w:textAlignment w:val="baseline"/>
        <w:rPr>
          <w:szCs w:val="24"/>
        </w:rPr>
      </w:pPr>
      <w:r>
        <w:rPr>
          <w:szCs w:val="24"/>
        </w:rPr>
        <w:t xml:space="preserve">Ekonomikos ir inovacijų ministerija </w:t>
      </w:r>
      <w:r w:rsidRPr="009D6D82">
        <w:rPr>
          <w:szCs w:val="24"/>
        </w:rPr>
        <w:t>2020 m.</w:t>
      </w:r>
      <w:r>
        <w:rPr>
          <w:szCs w:val="24"/>
        </w:rPr>
        <w:t xml:space="preserve"> </w:t>
      </w:r>
      <w:r w:rsidRPr="009D6D82">
        <w:rPr>
          <w:szCs w:val="24"/>
        </w:rPr>
        <w:t>nenustat</w:t>
      </w:r>
      <w:r>
        <w:rPr>
          <w:szCs w:val="24"/>
        </w:rPr>
        <w:t>ė</w:t>
      </w:r>
      <w:r w:rsidRPr="009D6D82">
        <w:rPr>
          <w:szCs w:val="24"/>
        </w:rPr>
        <w:t xml:space="preserve"> pokyčių, kurie didintų</w:t>
      </w:r>
      <w:r>
        <w:rPr>
          <w:szCs w:val="24"/>
        </w:rPr>
        <w:t xml:space="preserve"> </w:t>
      </w:r>
      <w:r w:rsidRPr="009D6D82">
        <w:rPr>
          <w:szCs w:val="24"/>
        </w:rPr>
        <w:t>ekonomikos ir ūkio pažeidžiamumą, susijusį su</w:t>
      </w:r>
      <w:r>
        <w:rPr>
          <w:szCs w:val="24"/>
        </w:rPr>
        <w:t xml:space="preserve"> </w:t>
      </w:r>
      <w:r w:rsidRPr="009D6D82">
        <w:rPr>
          <w:szCs w:val="24"/>
        </w:rPr>
        <w:t>trečiųjų šalių</w:t>
      </w:r>
      <w:r>
        <w:rPr>
          <w:szCs w:val="24"/>
        </w:rPr>
        <w:t xml:space="preserve"> </w:t>
      </w:r>
      <w:r w:rsidRPr="009D6D82">
        <w:rPr>
          <w:szCs w:val="24"/>
        </w:rPr>
        <w:t>ar jų ūkio subjektų</w:t>
      </w:r>
      <w:r>
        <w:rPr>
          <w:szCs w:val="24"/>
        </w:rPr>
        <w:t xml:space="preserve"> </w:t>
      </w:r>
      <w:r w:rsidRPr="009D6D82">
        <w:rPr>
          <w:szCs w:val="24"/>
        </w:rPr>
        <w:t>siekiais</w:t>
      </w:r>
      <w:r>
        <w:rPr>
          <w:szCs w:val="24"/>
        </w:rPr>
        <w:t xml:space="preserve"> </w:t>
      </w:r>
      <w:r w:rsidRPr="009D6D82">
        <w:rPr>
          <w:szCs w:val="24"/>
        </w:rPr>
        <w:t>išlaikyti įtaką ar</w:t>
      </w:r>
      <w:r>
        <w:rPr>
          <w:szCs w:val="24"/>
        </w:rPr>
        <w:t xml:space="preserve"> </w:t>
      </w:r>
      <w:r w:rsidRPr="009D6D82">
        <w:rPr>
          <w:szCs w:val="24"/>
        </w:rPr>
        <w:t>įsitvirtinti Lietuvos nacionaliniam saugumui strategiškai svarbiuose ūkio sektoriuose</w:t>
      </w:r>
      <w:r>
        <w:rPr>
          <w:szCs w:val="24"/>
        </w:rPr>
        <w:t xml:space="preserve"> </w:t>
      </w:r>
      <w:r w:rsidRPr="009D6D82">
        <w:rPr>
          <w:szCs w:val="24"/>
        </w:rPr>
        <w:t>bei</w:t>
      </w:r>
      <w:r>
        <w:rPr>
          <w:szCs w:val="24"/>
        </w:rPr>
        <w:t xml:space="preserve"> </w:t>
      </w:r>
      <w:r w:rsidRPr="009D6D82">
        <w:rPr>
          <w:szCs w:val="24"/>
        </w:rPr>
        <w:t>ketinimais</w:t>
      </w:r>
      <w:r>
        <w:rPr>
          <w:szCs w:val="24"/>
        </w:rPr>
        <w:t xml:space="preserve"> </w:t>
      </w:r>
      <w:r w:rsidRPr="009D6D82">
        <w:rPr>
          <w:szCs w:val="24"/>
        </w:rPr>
        <w:t>perimti nacionaliniam saugumui strategiškai svarbių objektų kontrolę. Taip pat nenusta</w:t>
      </w:r>
      <w:r>
        <w:rPr>
          <w:szCs w:val="24"/>
        </w:rPr>
        <w:t>tyta</w:t>
      </w:r>
      <w:r w:rsidRPr="009D6D82">
        <w:rPr>
          <w:szCs w:val="24"/>
        </w:rPr>
        <w:t> esminių pokyčių eksporto, importo ir investicijų diversifikavim</w:t>
      </w:r>
      <w:r>
        <w:rPr>
          <w:szCs w:val="24"/>
        </w:rPr>
        <w:t>o srityje</w:t>
      </w:r>
      <w:r w:rsidRPr="009D6D82">
        <w:rPr>
          <w:szCs w:val="24"/>
        </w:rPr>
        <w:t>.</w:t>
      </w:r>
      <w:r>
        <w:rPr>
          <w:szCs w:val="24"/>
        </w:rPr>
        <w:t xml:space="preserve"> </w:t>
      </w:r>
      <w:r w:rsidRPr="009D6D82">
        <w:rPr>
          <w:szCs w:val="24"/>
        </w:rPr>
        <w:t>Užsienio prekybo</w:t>
      </w:r>
      <w:r>
        <w:rPr>
          <w:szCs w:val="24"/>
        </w:rPr>
        <w:t>s</w:t>
      </w:r>
      <w:r w:rsidRPr="009D6D82">
        <w:rPr>
          <w:szCs w:val="24"/>
        </w:rPr>
        <w:t xml:space="preserve"> ir investicijų srity</w:t>
      </w:r>
      <w:r>
        <w:rPr>
          <w:szCs w:val="24"/>
        </w:rPr>
        <w:t>s</w:t>
      </w:r>
      <w:r w:rsidRPr="009D6D82">
        <w:rPr>
          <w:szCs w:val="24"/>
        </w:rPr>
        <w:t>e Lietuvos priklausomumas nuo valstybių, galinčių kelti rizik</w:t>
      </w:r>
      <w:r>
        <w:rPr>
          <w:szCs w:val="24"/>
        </w:rPr>
        <w:t>ų</w:t>
      </w:r>
      <w:r w:rsidRPr="009D6D82">
        <w:rPr>
          <w:szCs w:val="24"/>
        </w:rPr>
        <w:t xml:space="preserve"> ar grėsm</w:t>
      </w:r>
      <w:r>
        <w:rPr>
          <w:szCs w:val="24"/>
        </w:rPr>
        <w:t>ių</w:t>
      </w:r>
      <w:r w:rsidRPr="009D6D82">
        <w:rPr>
          <w:szCs w:val="24"/>
        </w:rPr>
        <w:t xml:space="preserve"> Lietuvos ekonominiam saugumui, per 2020 m. nepadidėjo</w:t>
      </w:r>
      <w:r>
        <w:rPr>
          <w:rStyle w:val="Puslapioinaosnuoroda"/>
          <w:rFonts w:eastAsia="Calibri"/>
          <w:szCs w:val="24"/>
        </w:rPr>
        <w:footnoteReference w:id="26"/>
      </w:r>
      <w:r w:rsidRPr="009D6D82">
        <w:rPr>
          <w:szCs w:val="24"/>
        </w:rPr>
        <w:t>.</w:t>
      </w:r>
      <w:r>
        <w:rPr>
          <w:szCs w:val="24"/>
        </w:rPr>
        <w:t xml:space="preserve"> </w:t>
      </w:r>
    </w:p>
    <w:p w14:paraId="025E7E32" w14:textId="77777777" w:rsidR="008B10FF" w:rsidRDefault="008B10FF" w:rsidP="00E660EB">
      <w:pPr>
        <w:spacing w:line="250" w:lineRule="auto"/>
        <w:ind w:right="-1" w:firstLine="709"/>
        <w:jc w:val="both"/>
        <w:textAlignment w:val="baseline"/>
        <w:rPr>
          <w:iCs/>
          <w:szCs w:val="24"/>
        </w:rPr>
      </w:pPr>
      <w:r>
        <w:t>Lietuvos banko vertinimu, e</w:t>
      </w:r>
      <w:r w:rsidRPr="00FD1182">
        <w:t xml:space="preserve">sminės užsienio prekybos rizikos tebėra </w:t>
      </w:r>
      <w:r w:rsidRPr="00803ABE">
        <w:rPr>
          <w:iCs/>
          <w:szCs w:val="24"/>
        </w:rPr>
        <w:t>Europos Parlamento ir Tarybos 2020 m. liepos 31 d.</w:t>
      </w:r>
      <w:r>
        <w:rPr>
          <w:iCs/>
          <w:szCs w:val="24"/>
        </w:rPr>
        <w:t xml:space="preserve"> priimto Mobilumo paketo</w:t>
      </w:r>
      <w:r w:rsidRPr="00FD1182">
        <w:t xml:space="preserve"> poveikis Lietuvos transporto sektoriui, COVID-19 pandemijos poveikis pagrindinių Lietuvos eksporto rinkų raidai ir pasikeitusio prekybos santykių reglamentavimo tarp J</w:t>
      </w:r>
      <w:r>
        <w:t xml:space="preserve">ungtinės Karalystės (toliau – JK) ir </w:t>
      </w:r>
      <w:r w:rsidRPr="00FD1182">
        <w:t>ES poveikis.</w:t>
      </w:r>
      <w:r>
        <w:t xml:space="preserve"> </w:t>
      </w:r>
      <w:r w:rsidRPr="00803ABE">
        <w:rPr>
          <w:iCs/>
          <w:szCs w:val="24"/>
        </w:rPr>
        <w:t>Lietuva, reaguodama į galimas neigimas pasekmes transporto sektoriui</w:t>
      </w:r>
      <w:r>
        <w:rPr>
          <w:iCs/>
          <w:szCs w:val="24"/>
        </w:rPr>
        <w:t xml:space="preserve"> dėl Mobilumo paketo</w:t>
      </w:r>
      <w:r w:rsidRPr="00803ABE">
        <w:rPr>
          <w:iCs/>
          <w:szCs w:val="24"/>
        </w:rPr>
        <w:t xml:space="preserve">, pateikė </w:t>
      </w:r>
      <w:r>
        <w:rPr>
          <w:iCs/>
          <w:szCs w:val="24"/>
        </w:rPr>
        <w:t>du</w:t>
      </w:r>
      <w:r w:rsidRPr="00803ABE">
        <w:rPr>
          <w:iCs/>
          <w:szCs w:val="24"/>
        </w:rPr>
        <w:t xml:space="preserve"> ieškinius ES Teisingumo Teismui</w:t>
      </w:r>
      <w:r>
        <w:rPr>
          <w:iCs/>
          <w:szCs w:val="24"/>
        </w:rPr>
        <w:t xml:space="preserve">. </w:t>
      </w:r>
    </w:p>
    <w:p w14:paraId="7E1BF77D" w14:textId="77777777" w:rsidR="008B10FF" w:rsidRDefault="008B10FF" w:rsidP="00E660EB">
      <w:pPr>
        <w:spacing w:line="250" w:lineRule="auto"/>
        <w:ind w:right="-1" w:firstLine="709"/>
        <w:jc w:val="both"/>
        <w:textAlignment w:val="baseline"/>
        <w:rPr>
          <w:szCs w:val="24"/>
        </w:rPr>
      </w:pPr>
      <w:r>
        <w:rPr>
          <w:iCs/>
          <w:szCs w:val="24"/>
        </w:rPr>
        <w:t>N</w:t>
      </w:r>
      <w:r w:rsidRPr="00DF02B9">
        <w:rPr>
          <w:bCs/>
          <w:iCs/>
          <w:szCs w:val="24"/>
        </w:rPr>
        <w:t xml:space="preserve">auju rizikos veiksniu </w:t>
      </w:r>
      <w:r>
        <w:rPr>
          <w:iCs/>
          <w:szCs w:val="24"/>
        </w:rPr>
        <w:t xml:space="preserve">Susisiekimo ministerija </w:t>
      </w:r>
      <w:r>
        <w:rPr>
          <w:bCs/>
          <w:iCs/>
          <w:szCs w:val="24"/>
        </w:rPr>
        <w:t>nurodė</w:t>
      </w:r>
      <w:r w:rsidRPr="00DF02B9">
        <w:rPr>
          <w:bCs/>
          <w:iCs/>
          <w:szCs w:val="24"/>
        </w:rPr>
        <w:t xml:space="preserve"> Rusijos</w:t>
      </w:r>
      <w:r>
        <w:rPr>
          <w:bCs/>
          <w:iCs/>
          <w:szCs w:val="24"/>
        </w:rPr>
        <w:t xml:space="preserve"> ir</w:t>
      </w:r>
      <w:r w:rsidRPr="00DF02B9">
        <w:rPr>
          <w:bCs/>
          <w:iCs/>
          <w:szCs w:val="24"/>
        </w:rPr>
        <w:t xml:space="preserve"> Kazachstano veiksmus, susijusius su leidimų, skirtų tarptautini</w:t>
      </w:r>
      <w:r>
        <w:rPr>
          <w:bCs/>
          <w:iCs/>
          <w:szCs w:val="24"/>
        </w:rPr>
        <w:t>ams</w:t>
      </w:r>
      <w:r w:rsidRPr="00DF02B9">
        <w:rPr>
          <w:bCs/>
          <w:iCs/>
          <w:szCs w:val="24"/>
        </w:rPr>
        <w:t xml:space="preserve"> krovinių vežim</w:t>
      </w:r>
      <w:r>
        <w:rPr>
          <w:bCs/>
          <w:iCs/>
          <w:szCs w:val="24"/>
        </w:rPr>
        <w:t>am</w:t>
      </w:r>
      <w:r w:rsidRPr="00DF02B9">
        <w:rPr>
          <w:bCs/>
          <w:iCs/>
          <w:szCs w:val="24"/>
        </w:rPr>
        <w:t>s kelių transporto priemonėmis</w:t>
      </w:r>
      <w:r w:rsidRPr="00EF225F">
        <w:rPr>
          <w:bCs/>
          <w:iCs/>
          <w:szCs w:val="24"/>
        </w:rPr>
        <w:t xml:space="preserve"> </w:t>
      </w:r>
      <w:r w:rsidRPr="00DF02B9">
        <w:rPr>
          <w:bCs/>
          <w:iCs/>
          <w:szCs w:val="24"/>
        </w:rPr>
        <w:t>vykdyti, išdavimo politika</w:t>
      </w:r>
      <w:r>
        <w:rPr>
          <w:bCs/>
          <w:iCs/>
          <w:szCs w:val="24"/>
        </w:rPr>
        <w:t xml:space="preserve"> (šios valstybės nustato</w:t>
      </w:r>
      <w:r w:rsidRPr="00DF02B9">
        <w:rPr>
          <w:bCs/>
          <w:iCs/>
          <w:szCs w:val="24"/>
        </w:rPr>
        <w:t xml:space="preserve"> tarpvyriausybiniams susitarimams prieštarauja</w:t>
      </w:r>
      <w:r>
        <w:rPr>
          <w:bCs/>
          <w:iCs/>
          <w:szCs w:val="24"/>
        </w:rPr>
        <w:t>nčias</w:t>
      </w:r>
      <w:r w:rsidRPr="00DF02B9">
        <w:rPr>
          <w:bCs/>
          <w:iCs/>
          <w:szCs w:val="24"/>
        </w:rPr>
        <w:t xml:space="preserve"> reguliacines priemones, kuriomis ribojamas patekimas į jų šalių krovinių vežimo rinką</w:t>
      </w:r>
      <w:r>
        <w:rPr>
          <w:bCs/>
          <w:iCs/>
          <w:szCs w:val="24"/>
        </w:rPr>
        <w:t xml:space="preserve">). </w:t>
      </w:r>
      <w:r>
        <w:rPr>
          <w:bCs/>
          <w:szCs w:val="24"/>
        </w:rPr>
        <w:t xml:space="preserve">Taip pat išlieka rizikos dėl valstybės kontrolės ir interesų užtikrinimo valdant </w:t>
      </w:r>
      <w:r w:rsidRPr="00992AE0">
        <w:rPr>
          <w:bCs/>
          <w:szCs w:val="24"/>
        </w:rPr>
        <w:t>„</w:t>
      </w:r>
      <w:proofErr w:type="spellStart"/>
      <w:r w:rsidRPr="00992AE0">
        <w:rPr>
          <w:bCs/>
          <w:szCs w:val="24"/>
        </w:rPr>
        <w:t>Rail</w:t>
      </w:r>
      <w:proofErr w:type="spellEnd"/>
      <w:r w:rsidRPr="00992AE0">
        <w:rPr>
          <w:bCs/>
          <w:szCs w:val="24"/>
        </w:rPr>
        <w:t xml:space="preserve"> </w:t>
      </w:r>
      <w:proofErr w:type="spellStart"/>
      <w:r w:rsidRPr="00992AE0">
        <w:rPr>
          <w:bCs/>
          <w:szCs w:val="24"/>
        </w:rPr>
        <w:t>Baltica</w:t>
      </w:r>
      <w:proofErr w:type="spellEnd"/>
      <w:r w:rsidRPr="00992AE0">
        <w:rPr>
          <w:bCs/>
          <w:szCs w:val="24"/>
        </w:rPr>
        <w:t>“</w:t>
      </w:r>
      <w:r>
        <w:rPr>
          <w:bCs/>
          <w:szCs w:val="24"/>
        </w:rPr>
        <w:t xml:space="preserve"> infrastruktūrą ir šį projektą įgyvendinant</w:t>
      </w:r>
      <w:r>
        <w:rPr>
          <w:rStyle w:val="Puslapioinaosnuoroda"/>
          <w:szCs w:val="24"/>
        </w:rPr>
        <w:footnoteReference w:id="27"/>
      </w:r>
      <w:r>
        <w:rPr>
          <w:bCs/>
          <w:szCs w:val="24"/>
        </w:rPr>
        <w:t>. 2020 m. mažėjo krovinių vežimo geležinkeliais mastai (</w:t>
      </w:r>
      <w:r w:rsidRPr="00803ABE">
        <w:rPr>
          <w:bCs/>
          <w:szCs w:val="24"/>
        </w:rPr>
        <w:t xml:space="preserve">UAB „LTG </w:t>
      </w:r>
      <w:proofErr w:type="spellStart"/>
      <w:r w:rsidRPr="00803ABE">
        <w:rPr>
          <w:bCs/>
          <w:szCs w:val="24"/>
        </w:rPr>
        <w:t>Cargo</w:t>
      </w:r>
      <w:proofErr w:type="spellEnd"/>
      <w:r w:rsidRPr="00803ABE">
        <w:rPr>
          <w:bCs/>
          <w:szCs w:val="24"/>
        </w:rPr>
        <w:t xml:space="preserve">“ praėjusiais metais </w:t>
      </w:r>
      <w:r>
        <w:rPr>
          <w:bCs/>
          <w:szCs w:val="24"/>
        </w:rPr>
        <w:t>per</w:t>
      </w:r>
      <w:r w:rsidRPr="00803ABE">
        <w:rPr>
          <w:bCs/>
          <w:szCs w:val="24"/>
        </w:rPr>
        <w:t>vežė 3,3 proc. mažiau krovinių nei 2019</w:t>
      </w:r>
      <w:r>
        <w:rPr>
          <w:bCs/>
          <w:szCs w:val="24"/>
        </w:rPr>
        <w:t xml:space="preserve"> m.</w:t>
      </w:r>
      <w:r w:rsidRPr="00803ABE">
        <w:rPr>
          <w:bCs/>
          <w:szCs w:val="24"/>
        </w:rPr>
        <w:t>). Baltarusijos krovinių rinka paaštrėjo po prezidento rinkimų</w:t>
      </w:r>
      <w:r w:rsidRPr="00D369CA">
        <w:rPr>
          <w:bCs/>
          <w:szCs w:val="24"/>
        </w:rPr>
        <w:t xml:space="preserve"> </w:t>
      </w:r>
      <w:r w:rsidRPr="00803ABE">
        <w:rPr>
          <w:bCs/>
          <w:szCs w:val="24"/>
        </w:rPr>
        <w:t>Baltarusijo</w:t>
      </w:r>
      <w:r>
        <w:rPr>
          <w:bCs/>
          <w:szCs w:val="24"/>
        </w:rPr>
        <w:t xml:space="preserve">je. Ši šalis pranešė apie </w:t>
      </w:r>
      <w:r w:rsidRPr="00803ABE">
        <w:rPr>
          <w:bCs/>
          <w:szCs w:val="24"/>
        </w:rPr>
        <w:t>ketin</w:t>
      </w:r>
      <w:r>
        <w:rPr>
          <w:bCs/>
          <w:szCs w:val="24"/>
        </w:rPr>
        <w:t>imą</w:t>
      </w:r>
      <w:r w:rsidRPr="00803ABE">
        <w:rPr>
          <w:bCs/>
          <w:szCs w:val="24"/>
        </w:rPr>
        <w:t xml:space="preserve"> nutraukti naftos produktų, kurie sudaro </w:t>
      </w:r>
      <w:r>
        <w:rPr>
          <w:bCs/>
          <w:szCs w:val="24"/>
        </w:rPr>
        <w:t>didelį</w:t>
      </w:r>
      <w:r w:rsidRPr="00803ABE">
        <w:rPr>
          <w:bCs/>
          <w:szCs w:val="24"/>
        </w:rPr>
        <w:t xml:space="preserve"> geležinkeliais pervežtų krovinių kiekį</w:t>
      </w:r>
      <w:r>
        <w:rPr>
          <w:bCs/>
          <w:szCs w:val="24"/>
        </w:rPr>
        <w:t xml:space="preserve">, </w:t>
      </w:r>
      <w:r w:rsidRPr="00803ABE">
        <w:rPr>
          <w:bCs/>
          <w:szCs w:val="24"/>
        </w:rPr>
        <w:t>vežimą per Klaipėdos uostą</w:t>
      </w:r>
      <w:r>
        <w:rPr>
          <w:bCs/>
          <w:szCs w:val="24"/>
        </w:rPr>
        <w:t>.</w:t>
      </w:r>
      <w:r w:rsidRPr="00803ABE">
        <w:rPr>
          <w:bCs/>
          <w:szCs w:val="24"/>
        </w:rPr>
        <w:t xml:space="preserve"> </w:t>
      </w:r>
      <w:r w:rsidRPr="003F400A">
        <w:rPr>
          <w:szCs w:val="24"/>
        </w:rPr>
        <w:t>2020 m. preliminariais duomenimis, Baltarusijos kroviniai Klaipėdos uoste sudaro apie 40 proc. apyvartos</w:t>
      </w:r>
      <w:r>
        <w:rPr>
          <w:szCs w:val="24"/>
        </w:rPr>
        <w:t xml:space="preserve">, todėl tikėtinos Baltarusijos </w:t>
      </w:r>
      <w:r w:rsidRPr="003F400A">
        <w:rPr>
          <w:szCs w:val="24"/>
        </w:rPr>
        <w:t xml:space="preserve">politinio sprendimo </w:t>
      </w:r>
      <w:r>
        <w:rPr>
          <w:szCs w:val="24"/>
        </w:rPr>
        <w:t>sustabdyti</w:t>
      </w:r>
      <w:r w:rsidRPr="003F400A">
        <w:rPr>
          <w:szCs w:val="24"/>
        </w:rPr>
        <w:t xml:space="preserve"> srautus </w:t>
      </w:r>
      <w:r>
        <w:rPr>
          <w:szCs w:val="24"/>
        </w:rPr>
        <w:t>per</w:t>
      </w:r>
      <w:r w:rsidRPr="003F400A">
        <w:rPr>
          <w:szCs w:val="24"/>
        </w:rPr>
        <w:t xml:space="preserve"> Lietuv</w:t>
      </w:r>
      <w:r>
        <w:rPr>
          <w:szCs w:val="24"/>
        </w:rPr>
        <w:t>ą</w:t>
      </w:r>
      <w:r w:rsidRPr="003F400A">
        <w:rPr>
          <w:szCs w:val="24"/>
        </w:rPr>
        <w:t xml:space="preserve"> pasekmės</w:t>
      </w:r>
      <w:r>
        <w:rPr>
          <w:szCs w:val="24"/>
        </w:rPr>
        <w:t>.</w:t>
      </w:r>
    </w:p>
    <w:p w14:paraId="11F26084" w14:textId="77777777" w:rsidR="008B10FF" w:rsidRDefault="008B10FF" w:rsidP="00E660EB">
      <w:pPr>
        <w:spacing w:line="250" w:lineRule="auto"/>
        <w:ind w:firstLine="709"/>
        <w:jc w:val="both"/>
        <w:textAlignment w:val="baseline"/>
        <w:rPr>
          <w:szCs w:val="24"/>
        </w:rPr>
      </w:pPr>
      <w:r w:rsidRPr="003F400A">
        <w:rPr>
          <w:szCs w:val="24"/>
        </w:rPr>
        <w:t xml:space="preserve">COVID-19 krizė parodė neatidėliotiną poreikį užtikrinti nepertraukiamą kritinių prekių tiekimą į Lietuvą. </w:t>
      </w:r>
      <w:r>
        <w:rPr>
          <w:szCs w:val="24"/>
        </w:rPr>
        <w:t>S</w:t>
      </w:r>
      <w:r w:rsidRPr="003F400A">
        <w:rPr>
          <w:szCs w:val="24"/>
        </w:rPr>
        <w:t>trateginiu uždaviniu tampa priklausomybės nuo trečiųjų šalių mažinimas, ypač svarbiausiųjų medicinos prekių ir technologijų, asmens apsaugos priemonių, žaliavų, maisto, infrastruktūros importo</w:t>
      </w:r>
      <w:r>
        <w:rPr>
          <w:rStyle w:val="Puslapioinaosnuoroda"/>
          <w:rFonts w:eastAsia="Calibri"/>
          <w:szCs w:val="24"/>
        </w:rPr>
        <w:footnoteReference w:id="28"/>
      </w:r>
      <w:r>
        <w:rPr>
          <w:szCs w:val="24"/>
        </w:rPr>
        <w:t xml:space="preserve"> srityje. Taip pat būtina investuoti į maisto grandinės ir žemės ūkio sektoriaus atsparumo didinimą, fizinio maisto produktų rezervo formavimą, siekiant maisto ir žemės ūkio sektoriaus tvarumo ir apsirūpinimo maistu ateityje.</w:t>
      </w:r>
    </w:p>
    <w:p w14:paraId="1A6D53F0" w14:textId="77777777" w:rsidR="008B10FF" w:rsidRDefault="008B10FF" w:rsidP="00E660EB">
      <w:pPr>
        <w:spacing w:line="250" w:lineRule="auto"/>
        <w:ind w:firstLine="709"/>
        <w:jc w:val="both"/>
        <w:textAlignment w:val="baseline"/>
        <w:rPr>
          <w:szCs w:val="24"/>
        </w:rPr>
      </w:pPr>
      <w:r w:rsidRPr="003F400A">
        <w:rPr>
          <w:szCs w:val="24"/>
        </w:rPr>
        <w:lastRenderedPageBreak/>
        <w:t>2020 m. tikrinant investuotojų į kritinę infrastruktūrą ir strateginius sektorius atitiktį nacionaliniam saugumui</w:t>
      </w:r>
      <w:r>
        <w:rPr>
          <w:rStyle w:val="Puslapioinaosnuoroda"/>
          <w:rFonts w:eastAsia="Calibri"/>
          <w:szCs w:val="24"/>
        </w:rPr>
        <w:footnoteReference w:id="29"/>
      </w:r>
      <w:r w:rsidRPr="003F400A">
        <w:rPr>
          <w:szCs w:val="24"/>
        </w:rPr>
        <w:t xml:space="preserve">, daugiausiai dėmesio skirta investicijoms į finansinių technologijų įmones bei sandoriams, kuriuos sudaro strateginę reikšmę nacionaliniam saugumui turinčios įmonės. </w:t>
      </w:r>
      <w:r>
        <w:rPr>
          <w:szCs w:val="24"/>
        </w:rPr>
        <w:t xml:space="preserve">Į </w:t>
      </w:r>
      <w:r w:rsidRPr="003F400A">
        <w:rPr>
          <w:szCs w:val="24"/>
        </w:rPr>
        <w:t>Lietuvos kritinę infrastruktūrą siek</w:t>
      </w:r>
      <w:r>
        <w:rPr>
          <w:szCs w:val="24"/>
        </w:rPr>
        <w:t>ė</w:t>
      </w:r>
      <w:r w:rsidRPr="003F400A">
        <w:rPr>
          <w:szCs w:val="24"/>
        </w:rPr>
        <w:t xml:space="preserve"> įsilieti su kinišku kapitalu siejamos įmonės</w:t>
      </w:r>
      <w:r>
        <w:rPr>
          <w:szCs w:val="24"/>
        </w:rPr>
        <w:t>, d</w:t>
      </w:r>
      <w:r w:rsidRPr="003F400A">
        <w:rPr>
          <w:szCs w:val="24"/>
        </w:rPr>
        <w:t>ažniausiai dalyvau</w:t>
      </w:r>
      <w:r>
        <w:rPr>
          <w:szCs w:val="24"/>
        </w:rPr>
        <w:t xml:space="preserve">damos </w:t>
      </w:r>
      <w:r w:rsidRPr="003F400A">
        <w:rPr>
          <w:szCs w:val="24"/>
        </w:rPr>
        <w:t xml:space="preserve">konkursuose kartu su Lietuvos įmonėmis (kaip rangovai arba subrangovai). </w:t>
      </w:r>
      <w:r>
        <w:rPr>
          <w:szCs w:val="24"/>
        </w:rPr>
        <w:t xml:space="preserve">Taip pat egzistuoja rizika </w:t>
      </w:r>
      <w:r w:rsidRPr="003F400A">
        <w:rPr>
          <w:szCs w:val="24"/>
        </w:rPr>
        <w:t>atsidurti mažųjų technologijų spąstuose</w:t>
      </w:r>
      <w:r>
        <w:rPr>
          <w:szCs w:val="24"/>
        </w:rPr>
        <w:t xml:space="preserve">, </w:t>
      </w:r>
      <w:r w:rsidRPr="003F400A">
        <w:rPr>
          <w:szCs w:val="24"/>
        </w:rPr>
        <w:t>kai vieną kartą p</w:t>
      </w:r>
      <w:r>
        <w:rPr>
          <w:szCs w:val="24"/>
        </w:rPr>
        <w:t>atvirtinti</w:t>
      </w:r>
      <w:r w:rsidRPr="003F400A">
        <w:rPr>
          <w:szCs w:val="24"/>
        </w:rPr>
        <w:t xml:space="preserve"> technologiniai standartai (dėl mažiausios kainos nusipirkti įrenginiai, technologiniai sprendimai) gali turėti įtakos, kokius tiekėjus bus galima rinktis ateityje. </w:t>
      </w:r>
      <w:r>
        <w:rPr>
          <w:szCs w:val="24"/>
        </w:rPr>
        <w:t>E</w:t>
      </w:r>
      <w:r w:rsidRPr="003F400A">
        <w:rPr>
          <w:szCs w:val="24"/>
        </w:rPr>
        <w:t>gzistuoja grėsmės dėl jautrių duomenų rinkimo ir analizavimo</w:t>
      </w:r>
      <w:r>
        <w:rPr>
          <w:rStyle w:val="Puslapioinaosnuoroda"/>
          <w:szCs w:val="24"/>
        </w:rPr>
        <w:footnoteReference w:id="30"/>
      </w:r>
      <w:r>
        <w:rPr>
          <w:szCs w:val="24"/>
        </w:rPr>
        <w:t>.</w:t>
      </w:r>
      <w:r w:rsidRPr="003F400A">
        <w:rPr>
          <w:szCs w:val="24"/>
        </w:rPr>
        <w:t xml:space="preserve"> Sparti </w:t>
      </w:r>
      <w:r>
        <w:rPr>
          <w:szCs w:val="24"/>
        </w:rPr>
        <w:t xml:space="preserve">finansinių technologijų </w:t>
      </w:r>
      <w:r w:rsidRPr="003F400A">
        <w:rPr>
          <w:szCs w:val="24"/>
        </w:rPr>
        <w:t>sektoriaus plėtra Lietuvoje kelia iššūki</w:t>
      </w:r>
      <w:r>
        <w:rPr>
          <w:szCs w:val="24"/>
        </w:rPr>
        <w:t>ų</w:t>
      </w:r>
      <w:r w:rsidRPr="003F400A">
        <w:rPr>
          <w:szCs w:val="24"/>
        </w:rPr>
        <w:t xml:space="preserve"> – būtina šios srities įmonių stebėsena ir rizikų valdymo stiprinimas.</w:t>
      </w:r>
      <w:r>
        <w:rPr>
          <w:szCs w:val="24"/>
        </w:rPr>
        <w:t xml:space="preserve"> </w:t>
      </w:r>
    </w:p>
    <w:p w14:paraId="6F39E990" w14:textId="77777777" w:rsidR="008B10FF" w:rsidRDefault="008B10FF" w:rsidP="00E660EB">
      <w:pPr>
        <w:spacing w:line="250" w:lineRule="auto"/>
        <w:ind w:firstLine="709"/>
        <w:jc w:val="both"/>
        <w:rPr>
          <w:bCs/>
          <w:szCs w:val="24"/>
        </w:rPr>
      </w:pPr>
      <w:r>
        <w:t>Trečiosios šalys, kurioms taikomos tarptautinės sankcijos ir neplatinimo režimų apribojimai, ieško būdų juos apeiti. Per Lietuvą eksportuojamos technologijos ir įranga gali būti skirtos trečiųjų šalių karinės galios stiprinimui ar masinio naikinimo ginklų (branduolinių, cheminių ir biologinių ginklų bei jų paleidimo sistemų) kūrimo programoms. Rusija, kuriai taikomos ES ribojamosios priemonės dėl agresijos Ukrainoje, ir kitos trečiosios šalys, kurioms taikomi tarptautiniai neplatinimo režimai, draudžiantys gauti ginklų, atitinkamos įrangos ir technologijų, siekia įvairiais būdais tokius apribojimus apeiti ir ieško silpnų Lietuvos strateginių prekių judėjimo kontrolės vietų. Norėdamos nuslėpti įrangos ir technologijų įsigijimą, trečiosios šalys neretai jas įsigyja netiesiogiai, per tarpines kitose šalyse įkurtas bendroves, kurios gali neįtarti, kad jų produkcija bus modifikuota ir panaudota karinėms reikmėms.</w:t>
      </w:r>
    </w:p>
    <w:p w14:paraId="1BC22F2D"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Nesaugios branduolinės energetikos plėtojimas šalia Lietuvos Respublikos sienų</w:t>
      </w:r>
    </w:p>
    <w:p w14:paraId="0398A08D" w14:textId="77777777" w:rsidR="008B10FF" w:rsidRDefault="008B10FF" w:rsidP="00E660EB">
      <w:pPr>
        <w:widowControl w:val="0"/>
        <w:shd w:val="clear" w:color="auto" w:fill="FFFFFF"/>
        <w:autoSpaceDE w:val="0"/>
        <w:autoSpaceDN w:val="0"/>
        <w:adjustRightInd w:val="0"/>
        <w:spacing w:line="250" w:lineRule="auto"/>
        <w:ind w:right="320" w:firstLine="709"/>
        <w:jc w:val="both"/>
      </w:pPr>
      <w:r>
        <w:t>P</w:t>
      </w:r>
      <w:r w:rsidRPr="009E2494">
        <w:t xml:space="preserve">ažeisdama tarptautines konvencijas dėl poveikio aplinkai vertinimo ir </w:t>
      </w:r>
      <w:r>
        <w:t>b</w:t>
      </w:r>
      <w:r w:rsidRPr="009E2494">
        <w:t>randuolinės saugos</w:t>
      </w:r>
      <w:r>
        <w:t xml:space="preserve">, 2020 m. </w:t>
      </w:r>
      <w:r w:rsidRPr="009E2494">
        <w:t xml:space="preserve">Baltarusija ir toliau </w:t>
      </w:r>
      <w:r>
        <w:t>tęs</w:t>
      </w:r>
      <w:r w:rsidRPr="009E2494">
        <w:t xml:space="preserve">ė </w:t>
      </w:r>
      <w:r>
        <w:t>Baltarusijos A</w:t>
      </w:r>
      <w:r w:rsidRPr="009E2494">
        <w:t>E</w:t>
      </w:r>
      <w:r>
        <w:t xml:space="preserve"> projekto įgyvendinimo darbus. </w:t>
      </w:r>
      <w:r w:rsidRPr="003F400A">
        <w:rPr>
          <w:color w:val="000000"/>
          <w:szCs w:val="24"/>
        </w:rPr>
        <w:t xml:space="preserve">2020 m. nebuvo pasiekta esminės pažangos įgyvendinant saugos standartus Baltarusijos AE. </w:t>
      </w:r>
    </w:p>
    <w:p w14:paraId="1153F47A" w14:textId="77777777" w:rsidR="008B10FF" w:rsidRDefault="008B10FF" w:rsidP="00E660EB">
      <w:pPr>
        <w:numPr>
          <w:ilvl w:val="12"/>
          <w:numId w:val="0"/>
        </w:numPr>
        <w:tabs>
          <w:tab w:val="left" w:pos="1134"/>
        </w:tabs>
        <w:spacing w:line="250" w:lineRule="auto"/>
        <w:ind w:firstLine="709"/>
        <w:jc w:val="both"/>
        <w:rPr>
          <w:color w:val="000000"/>
        </w:rPr>
      </w:pPr>
      <w:r>
        <w:rPr>
          <w:color w:val="000000"/>
        </w:rPr>
        <w:t xml:space="preserve">2020 m. lapkričio 3 d. buvo pradėtas energetinis Baltarusijos AE paleidimas – pirmoji jėgainėje pagaminta elektra pasiekė elektros tinklus. Energetinis paleidimas buvo pradėtas paskubomis, tinkamai nepatikrinus reaktoriaus valdymui, saugiai eksploatacijai ir avarijų valdymui svarbių sistemų. Todėl ne tik didėja incidentų tikimybė, bet ir mažėja galimybės juos suvaldyti išvengiant neigiamų pasekmių. Pradėjus energetinį Baltarusijos AE paleidimo etapą, vien per lapkritį jėgainės veikla neplanuotai stabdyta </w:t>
      </w:r>
      <w:r>
        <w:rPr>
          <w:color w:val="000000"/>
          <w:lang w:val="en-GB"/>
        </w:rPr>
        <w:t>4</w:t>
      </w:r>
      <w:r>
        <w:rPr>
          <w:color w:val="000000"/>
        </w:rPr>
        <w:t xml:space="preserve"> kartus. Labai tikėtina, kad 2021 m. Baltarusijos AE neplanuotai bus stabdoma dar ne vieną kartą, tai gali sutrikdyti ne tik Baltarusijos, bet (dėl bendro veikimo BRELL žiede) ir Baltijos šalių elektros sistemų darbą. 2021 m., pradėjus komercinę Baltarusijos AE eksploataciją, radiologinės ar branduolinės avarijos rizika dar labiau padidės.</w:t>
      </w:r>
    </w:p>
    <w:p w14:paraId="5CD6A916" w14:textId="77777777" w:rsidR="008B10FF" w:rsidRPr="003F400A" w:rsidRDefault="008B10FF" w:rsidP="00E660EB">
      <w:pPr>
        <w:numPr>
          <w:ilvl w:val="12"/>
          <w:numId w:val="0"/>
        </w:numPr>
        <w:tabs>
          <w:tab w:val="left" w:pos="1134"/>
        </w:tabs>
        <w:spacing w:line="250" w:lineRule="auto"/>
        <w:ind w:firstLine="709"/>
        <w:jc w:val="both"/>
        <w:rPr>
          <w:color w:val="000000"/>
          <w:szCs w:val="24"/>
        </w:rPr>
      </w:pPr>
      <w:r w:rsidRPr="00682A5B">
        <w:t xml:space="preserve">Dėl </w:t>
      </w:r>
      <w:r>
        <w:t xml:space="preserve">mažo </w:t>
      </w:r>
      <w:r w:rsidRPr="00682A5B">
        <w:t xml:space="preserve">atstumo </w:t>
      </w:r>
      <w:r>
        <w:t>nuo</w:t>
      </w:r>
      <w:r w:rsidRPr="00682A5B">
        <w:t xml:space="preserve"> Baltarusijos AE aikštelės</w:t>
      </w:r>
      <w:r>
        <w:t xml:space="preserve"> </w:t>
      </w:r>
      <w:r w:rsidRPr="00682A5B">
        <w:t xml:space="preserve">sunkiosios avarijos Baltarusijos AE atveju 1/3 Lietuvos gyventojų (iki 100 km atstumu nuo Baltarusijos AE) galėtų patirti žalingą jonizuojančiosios spinduliuotės poveikį. </w:t>
      </w:r>
      <w:r>
        <w:t>Todėl būtina aktyviai didinti</w:t>
      </w:r>
      <w:r w:rsidRPr="003F400A">
        <w:rPr>
          <w:color w:val="000000"/>
          <w:szCs w:val="24"/>
        </w:rPr>
        <w:t xml:space="preserve"> </w:t>
      </w:r>
      <w:r>
        <w:rPr>
          <w:color w:val="000000"/>
          <w:szCs w:val="24"/>
        </w:rPr>
        <w:t xml:space="preserve">institucijų ir gyventojų </w:t>
      </w:r>
      <w:r w:rsidRPr="003F400A">
        <w:rPr>
          <w:color w:val="000000"/>
          <w:szCs w:val="24"/>
        </w:rPr>
        <w:t>pa</w:t>
      </w:r>
      <w:r>
        <w:rPr>
          <w:color w:val="000000"/>
          <w:szCs w:val="24"/>
        </w:rPr>
        <w:t>rengtį</w:t>
      </w:r>
      <w:r w:rsidRPr="003F400A">
        <w:rPr>
          <w:color w:val="000000"/>
          <w:szCs w:val="24"/>
        </w:rPr>
        <w:t xml:space="preserve"> galimai avarijai Baltarusijos AE.</w:t>
      </w:r>
    </w:p>
    <w:p w14:paraId="322196BF" w14:textId="77777777" w:rsidR="008B10FF" w:rsidRDefault="008B10FF" w:rsidP="00E660EB">
      <w:pPr>
        <w:keepNext/>
        <w:spacing w:line="250" w:lineRule="auto"/>
        <w:ind w:firstLine="709"/>
        <w:jc w:val="both"/>
        <w:rPr>
          <w:szCs w:val="24"/>
        </w:rPr>
      </w:pPr>
      <w:r>
        <w:rPr>
          <w:color w:val="000000"/>
        </w:rPr>
        <w:t xml:space="preserve">Baltarusija yra suinteresuota realizuoti Baltarusijos AE pagamintą elektrą regiono šalių rinkoje. Ieškodama būdų apeiti prekybos elektra ribojimus, Baltarusija derasi su Baltijos šalyse veikiančiais prekybos elektra tarpininkais ir Rusijos energetikos sektoriaus atstovais. </w:t>
      </w:r>
    </w:p>
    <w:p w14:paraId="4DA0EA7D" w14:textId="77777777" w:rsidR="008B10FF" w:rsidRPr="00692638" w:rsidRDefault="008B10FF" w:rsidP="00E660EB">
      <w:pPr>
        <w:pStyle w:val="Antrat5"/>
        <w:spacing w:before="0" w:line="250" w:lineRule="auto"/>
        <w:ind w:firstLine="709"/>
        <w:jc w:val="both"/>
        <w:rPr>
          <w:rFonts w:ascii="Times New Roman" w:hAnsi="Times New Roman"/>
          <w:color w:val="auto"/>
        </w:rPr>
      </w:pPr>
      <w:bookmarkStart w:id="72" w:name="_Hlk34228634"/>
      <w:r w:rsidRPr="00A91669">
        <w:rPr>
          <w:rFonts w:ascii="Times New Roman" w:hAnsi="Times New Roman"/>
          <w:b/>
          <w:bCs/>
          <w:color w:val="17365D" w:themeColor="text2" w:themeShade="BF"/>
        </w:rPr>
        <w:t>Socialinė ir regioninė atskirtis, skurdas</w:t>
      </w:r>
      <w:r>
        <w:rPr>
          <w:rFonts w:ascii="Times New Roman" w:hAnsi="Times New Roman"/>
          <w:b/>
          <w:bCs/>
          <w:color w:val="17365D" w:themeColor="text2" w:themeShade="BF"/>
        </w:rPr>
        <w:t xml:space="preserve">, demografinė situacija </w:t>
      </w:r>
      <w:r w:rsidRPr="00692638">
        <w:rPr>
          <w:rFonts w:ascii="Times New Roman" w:hAnsi="Times New Roman"/>
          <w:color w:val="auto"/>
        </w:rPr>
        <w:t xml:space="preserve">(informacija pateikta ataskaitos 2 </w:t>
      </w:r>
      <w:r>
        <w:rPr>
          <w:rFonts w:ascii="Times New Roman" w:hAnsi="Times New Roman"/>
          <w:color w:val="auto"/>
        </w:rPr>
        <w:t>dalyje</w:t>
      </w:r>
      <w:r w:rsidRPr="00692638">
        <w:rPr>
          <w:rFonts w:ascii="Times New Roman" w:hAnsi="Times New Roman"/>
          <w:color w:val="auto"/>
        </w:rPr>
        <w:t xml:space="preserve">) </w:t>
      </w:r>
    </w:p>
    <w:bookmarkEnd w:id="72"/>
    <w:p w14:paraId="315093BB" w14:textId="77777777" w:rsidR="008B10FF" w:rsidRPr="00A91669" w:rsidRDefault="008B10FF" w:rsidP="00E660EB">
      <w:pPr>
        <w:pStyle w:val="Antrat5"/>
        <w:spacing w:before="0" w:line="250" w:lineRule="auto"/>
        <w:ind w:firstLine="709"/>
        <w:rPr>
          <w:rFonts w:ascii="Times New Roman" w:hAnsi="Times New Roman"/>
          <w:b/>
          <w:bCs/>
        </w:rPr>
      </w:pPr>
      <w:r w:rsidRPr="00A91669">
        <w:rPr>
          <w:rFonts w:ascii="Times New Roman" w:hAnsi="Times New Roman"/>
          <w:b/>
          <w:bCs/>
          <w:color w:val="17365D" w:themeColor="text2" w:themeShade="BF"/>
        </w:rPr>
        <w:t>Korupcija</w:t>
      </w:r>
      <w:r w:rsidRPr="00A91669">
        <w:rPr>
          <w:rFonts w:ascii="Times New Roman" w:hAnsi="Times New Roman"/>
          <w:b/>
          <w:bCs/>
        </w:rPr>
        <w:t xml:space="preserve"> </w:t>
      </w:r>
    </w:p>
    <w:p w14:paraId="7B4029FF" w14:textId="77777777" w:rsidR="008B10FF" w:rsidRPr="00DC6E79" w:rsidRDefault="008B10FF" w:rsidP="00E660EB">
      <w:pPr>
        <w:spacing w:line="250" w:lineRule="auto"/>
        <w:ind w:firstLine="709"/>
        <w:jc w:val="both"/>
        <w:rPr>
          <w:rFonts w:eastAsia="SimSun"/>
        </w:rPr>
      </w:pPr>
      <w:r>
        <w:rPr>
          <w:rFonts w:eastAsia="SimSun"/>
        </w:rPr>
        <w:t>V</w:t>
      </w:r>
      <w:r w:rsidRPr="00DC6E79">
        <w:rPr>
          <w:rFonts w:eastAsia="SimSun"/>
        </w:rPr>
        <w:t>ertinant vis</w:t>
      </w:r>
      <w:r>
        <w:rPr>
          <w:rFonts w:eastAsia="SimSun"/>
        </w:rPr>
        <w:t>as</w:t>
      </w:r>
      <w:r w:rsidRPr="00DC6E79">
        <w:rPr>
          <w:rFonts w:eastAsia="SimSun"/>
        </w:rPr>
        <w:t xml:space="preserve"> 2020 m. užregistruot</w:t>
      </w:r>
      <w:r>
        <w:rPr>
          <w:rFonts w:eastAsia="SimSun"/>
        </w:rPr>
        <w:t>as</w:t>
      </w:r>
      <w:r w:rsidRPr="00DC6E79">
        <w:rPr>
          <w:rFonts w:eastAsia="SimSun"/>
        </w:rPr>
        <w:t xml:space="preserve"> nusikalstam</w:t>
      </w:r>
      <w:r>
        <w:rPr>
          <w:rFonts w:eastAsia="SimSun"/>
        </w:rPr>
        <w:t>as</w:t>
      </w:r>
      <w:r w:rsidRPr="00DC6E79">
        <w:rPr>
          <w:rFonts w:eastAsia="SimSun"/>
        </w:rPr>
        <w:t xml:space="preserve"> veik</w:t>
      </w:r>
      <w:r>
        <w:rPr>
          <w:rFonts w:eastAsia="SimSun"/>
        </w:rPr>
        <w:t>as</w:t>
      </w:r>
      <w:r w:rsidRPr="00DC6E79">
        <w:rPr>
          <w:rFonts w:eastAsia="SimSun"/>
        </w:rPr>
        <w:t xml:space="preserve"> valstybės tarnybai ir viešiesiems interesams</w:t>
      </w:r>
      <w:r>
        <w:rPr>
          <w:rFonts w:eastAsia="SimSun"/>
        </w:rPr>
        <w:t>,</w:t>
      </w:r>
      <w:r w:rsidRPr="00DC6E79">
        <w:rPr>
          <w:rFonts w:eastAsia="SimSun"/>
        </w:rPr>
        <w:t xml:space="preserve"> papirkimas išlieka dažniausiai registruojama veika, bet atvejų skaičius reikšmingai mažėja</w:t>
      </w:r>
      <w:r>
        <w:rPr>
          <w:rStyle w:val="Puslapioinaosnuoroda"/>
          <w:rFonts w:eastAsia="SimSun"/>
        </w:rPr>
        <w:footnoteReference w:id="31"/>
      </w:r>
      <w:r w:rsidRPr="00DC6E79">
        <w:rPr>
          <w:rFonts w:eastAsia="SimSun"/>
        </w:rPr>
        <w:t xml:space="preserve">. </w:t>
      </w:r>
      <w:r>
        <w:rPr>
          <w:rFonts w:eastAsia="SimSun"/>
        </w:rPr>
        <w:t>R</w:t>
      </w:r>
      <w:r w:rsidRPr="00DC6E79">
        <w:rPr>
          <w:rFonts w:eastAsia="SimSun"/>
        </w:rPr>
        <w:t xml:space="preserve">yškiausias mažėjimas </w:t>
      </w:r>
      <w:r>
        <w:rPr>
          <w:rFonts w:eastAsia="SimSun"/>
        </w:rPr>
        <w:t>j</w:t>
      </w:r>
      <w:r w:rsidRPr="00DC6E79">
        <w:rPr>
          <w:rFonts w:eastAsia="SimSun"/>
        </w:rPr>
        <w:t>au keletą metų iš eilės fiksuojamas tarp policijos užregistruotų papirkimo atvejų</w:t>
      </w:r>
      <w:r>
        <w:rPr>
          <w:rStyle w:val="Puslapioinaosnuoroda"/>
          <w:rFonts w:eastAsia="SimSun"/>
        </w:rPr>
        <w:footnoteReference w:id="32"/>
      </w:r>
      <w:r>
        <w:rPr>
          <w:rFonts w:eastAsia="SimSun"/>
        </w:rPr>
        <w:t xml:space="preserve">. </w:t>
      </w:r>
      <w:r>
        <w:rPr>
          <w:rFonts w:eastAsia="SimSun"/>
        </w:rPr>
        <w:lastRenderedPageBreak/>
        <w:t xml:space="preserve">Vis dėlto </w:t>
      </w:r>
      <w:r w:rsidRPr="00DC6E79">
        <w:rPr>
          <w:rFonts w:eastAsia="SimSun"/>
        </w:rPr>
        <w:t>2020 m. užregistruota 2 proc. daugiau</w:t>
      </w:r>
      <w:r>
        <w:rPr>
          <w:rFonts w:eastAsia="SimSun"/>
        </w:rPr>
        <w:t xml:space="preserve"> nei </w:t>
      </w:r>
      <w:r w:rsidRPr="00DC6E79">
        <w:rPr>
          <w:rFonts w:eastAsia="SimSun"/>
        </w:rPr>
        <w:t>2019 m. nusikaltimų ir baudžiamųjų nusižengimų valstybės tarnybai ir viešiesiems interesams (atitinkamai 525 ir 516)</w:t>
      </w:r>
      <w:r>
        <w:rPr>
          <w:rFonts w:eastAsia="SimSun"/>
        </w:rPr>
        <w:t>. Padidėjimas</w:t>
      </w:r>
      <w:r w:rsidRPr="00DC6E79">
        <w:rPr>
          <w:rFonts w:eastAsia="SimSun"/>
        </w:rPr>
        <w:t xml:space="preserve"> labiausiai susijęs su nuosekliai </w:t>
      </w:r>
      <w:r>
        <w:rPr>
          <w:rFonts w:eastAsia="SimSun"/>
        </w:rPr>
        <w:t>didėjančiu</w:t>
      </w:r>
      <w:r w:rsidRPr="00DC6E79">
        <w:rPr>
          <w:rFonts w:eastAsia="SimSun"/>
        </w:rPr>
        <w:t xml:space="preserve"> prekybos poveikiu atvejų registravimu ir </w:t>
      </w:r>
      <w:r>
        <w:rPr>
          <w:rFonts w:eastAsia="SimSun"/>
        </w:rPr>
        <w:t>padidėjusiu</w:t>
      </w:r>
      <w:r w:rsidRPr="00DC6E79">
        <w:rPr>
          <w:rFonts w:eastAsia="SimSun"/>
        </w:rPr>
        <w:t xml:space="preserve"> registruotu piktnaudžiavimo atvejų</w:t>
      </w:r>
      <w:r>
        <w:rPr>
          <w:rFonts w:eastAsia="SimSun"/>
        </w:rPr>
        <w:t xml:space="preserve"> </w:t>
      </w:r>
      <w:r w:rsidRPr="00DC6E79">
        <w:rPr>
          <w:rFonts w:eastAsia="SimSun"/>
        </w:rPr>
        <w:t>skaičiumi</w:t>
      </w:r>
      <w:r>
        <w:rPr>
          <w:rStyle w:val="Puslapioinaosnuoroda"/>
          <w:rFonts w:eastAsia="SimSun"/>
        </w:rPr>
        <w:footnoteReference w:id="33"/>
      </w:r>
      <w:r w:rsidRPr="00DC6E79">
        <w:rPr>
          <w:rFonts w:eastAsia="SimSun"/>
        </w:rPr>
        <w:t>.</w:t>
      </w:r>
    </w:p>
    <w:p w14:paraId="67981D43" w14:textId="77777777" w:rsidR="008B10FF" w:rsidRPr="00DC6E79" w:rsidRDefault="008B10FF" w:rsidP="00E660EB">
      <w:pPr>
        <w:spacing w:line="250" w:lineRule="auto"/>
        <w:ind w:firstLine="709"/>
        <w:jc w:val="both"/>
        <w:rPr>
          <w:rFonts w:eastAsia="SimSun"/>
          <w:bCs/>
        </w:rPr>
      </w:pPr>
      <w:r>
        <w:rPr>
          <w:rFonts w:eastAsia="SimSun"/>
        </w:rPr>
        <w:t>S</w:t>
      </w:r>
      <w:r w:rsidRPr="00DC6E79">
        <w:rPr>
          <w:rFonts w:eastAsia="SimSun"/>
        </w:rPr>
        <w:t xml:space="preserve">pecialiųjų tyrimų tarnybos inicijuojamo sociologinio antikorupcinės aplinkos stebėsenos tyrimo „Lietuvos korupcijos žemėlapis“ duomenimis, 2020 m. toliau mažėjo smulkiosios korupcijos patirtis, bet </w:t>
      </w:r>
      <w:r>
        <w:rPr>
          <w:rFonts w:eastAsia="SimSun"/>
        </w:rPr>
        <w:t>ir toliau</w:t>
      </w:r>
      <w:r w:rsidRPr="00DC6E79">
        <w:rPr>
          <w:rFonts w:eastAsia="SimSun"/>
        </w:rPr>
        <w:t xml:space="preserve"> korupcij</w:t>
      </w:r>
      <w:r>
        <w:rPr>
          <w:rFonts w:eastAsia="SimSun"/>
        </w:rPr>
        <w:t>a Lietuvoje suvokiama</w:t>
      </w:r>
      <w:r w:rsidRPr="00DC6E79">
        <w:rPr>
          <w:rFonts w:eastAsia="SimSun"/>
        </w:rPr>
        <w:t xml:space="preserve"> kaip rimt</w:t>
      </w:r>
      <w:r>
        <w:rPr>
          <w:rFonts w:eastAsia="SimSun"/>
        </w:rPr>
        <w:t>a</w:t>
      </w:r>
      <w:r w:rsidRPr="00DC6E79">
        <w:rPr>
          <w:rFonts w:eastAsia="SimSun"/>
        </w:rPr>
        <w:t xml:space="preserve"> problem</w:t>
      </w:r>
      <w:r>
        <w:rPr>
          <w:rFonts w:eastAsia="SimSun"/>
        </w:rPr>
        <w:t>a</w:t>
      </w:r>
      <w:r w:rsidRPr="00DC6E79">
        <w:rPr>
          <w:rFonts w:eastAsia="SimSun"/>
        </w:rPr>
        <w:t>.</w:t>
      </w:r>
      <w:r>
        <w:rPr>
          <w:rFonts w:eastAsia="SimSun"/>
        </w:rPr>
        <w:t xml:space="preserve"> </w:t>
      </w:r>
      <w:r w:rsidRPr="00DC6E79">
        <w:rPr>
          <w:rFonts w:eastAsia="SimSun"/>
        </w:rPr>
        <w:t xml:space="preserve">Korupciją kaip labai rimtą problemą Lietuvoje </w:t>
      </w:r>
      <w:r>
        <w:rPr>
          <w:rFonts w:eastAsia="SimSun"/>
        </w:rPr>
        <w:t>nurodė</w:t>
      </w:r>
      <w:r w:rsidRPr="00DC6E79">
        <w:rPr>
          <w:rFonts w:eastAsia="SimSun"/>
        </w:rPr>
        <w:t xml:space="preserve"> 35 proc. gyventojų – penktoje vietoje tarp kitų</w:t>
      </w:r>
      <w:r>
        <w:rPr>
          <w:rFonts w:eastAsia="SimSun"/>
        </w:rPr>
        <w:t xml:space="preserve"> Lietuvos</w:t>
      </w:r>
      <w:r w:rsidRPr="00DC6E79">
        <w:rPr>
          <w:rFonts w:eastAsia="SimSun"/>
        </w:rPr>
        <w:t xml:space="preserve"> problemų (2019 m. – 36 proc., 4 vieta). </w:t>
      </w:r>
      <w:r>
        <w:rPr>
          <w:rFonts w:eastAsia="SimSun"/>
        </w:rPr>
        <w:t>M</w:t>
      </w:r>
      <w:r w:rsidRPr="00DC6E79">
        <w:rPr>
          <w:rFonts w:eastAsia="SimSun"/>
          <w:bCs/>
        </w:rPr>
        <w:t>ažėja gyventojų tiesioginė korupcijos patirtis</w:t>
      </w:r>
      <w:r>
        <w:rPr>
          <w:rStyle w:val="Puslapioinaosnuoroda"/>
          <w:rFonts w:eastAsia="SimSun"/>
        </w:rPr>
        <w:footnoteReference w:id="34"/>
      </w:r>
      <w:r>
        <w:rPr>
          <w:rFonts w:eastAsia="SimSun"/>
          <w:bCs/>
        </w:rPr>
        <w:t>. S</w:t>
      </w:r>
      <w:r w:rsidRPr="00DC6E79">
        <w:rPr>
          <w:rFonts w:eastAsia="SimSun"/>
          <w:bCs/>
        </w:rPr>
        <w:t>veikatos apsaugos sektoriuje stebimas reikšmingas korupcinės patirties mažėjimas</w:t>
      </w:r>
      <w:r>
        <w:rPr>
          <w:rStyle w:val="Puslapioinaosnuoroda"/>
          <w:rFonts w:eastAsia="SimSun"/>
        </w:rPr>
        <w:footnoteReference w:id="35"/>
      </w:r>
      <w:r w:rsidRPr="00DC6E79">
        <w:rPr>
          <w:rFonts w:eastAsia="SimSun"/>
          <w:bCs/>
        </w:rPr>
        <w:t>.</w:t>
      </w:r>
    </w:p>
    <w:p w14:paraId="51A77678" w14:textId="77777777" w:rsidR="008B10FF" w:rsidRPr="00DC6E79" w:rsidRDefault="008B10FF" w:rsidP="00E660EB">
      <w:pPr>
        <w:shd w:val="clear" w:color="auto" w:fill="FFFFFF"/>
        <w:spacing w:line="250" w:lineRule="auto"/>
        <w:ind w:firstLine="709"/>
        <w:jc w:val="both"/>
        <w:rPr>
          <w:rFonts w:eastAsia="SimSun"/>
        </w:rPr>
      </w:pPr>
      <w:r w:rsidRPr="002B73C2">
        <w:rPr>
          <w:rFonts w:eastAsia="SimSun"/>
        </w:rPr>
        <w:t xml:space="preserve">Politinės korupcijos masto suvokimas </w:t>
      </w:r>
      <w:r>
        <w:rPr>
          <w:rFonts w:eastAsia="SimSun"/>
        </w:rPr>
        <w:t>vis dar</w:t>
      </w:r>
      <w:r w:rsidRPr="002B73C2">
        <w:rPr>
          <w:rFonts w:eastAsia="SimSun"/>
        </w:rPr>
        <w:t xml:space="preserve"> aukštas</w:t>
      </w:r>
      <w:r w:rsidRPr="00DC6E79">
        <w:rPr>
          <w:rFonts w:eastAsia="SimSun"/>
          <w:vertAlign w:val="superscript"/>
        </w:rPr>
        <w:footnoteReference w:id="36"/>
      </w:r>
      <w:r w:rsidRPr="00DC6E79">
        <w:rPr>
          <w:rFonts w:eastAsia="SimSun"/>
        </w:rPr>
        <w:t>.</w:t>
      </w:r>
      <w:r>
        <w:rPr>
          <w:rFonts w:eastAsia="SimSun"/>
        </w:rPr>
        <w:t xml:space="preserve"> </w:t>
      </w:r>
      <w:r w:rsidRPr="00DC6E79">
        <w:rPr>
          <w:rFonts w:eastAsia="SimSun"/>
        </w:rPr>
        <w:t>Tyrimo „Lietuvos korupcijos žemėlapis, 2020“ duomenimis, sprendimų priėmimo procesų atvirumo vertinimas liko to pa</w:t>
      </w:r>
      <w:r>
        <w:rPr>
          <w:rFonts w:eastAsia="SimSun"/>
        </w:rPr>
        <w:t>ties</w:t>
      </w:r>
      <w:r w:rsidRPr="00DC6E79">
        <w:rPr>
          <w:rFonts w:eastAsia="SimSun"/>
        </w:rPr>
        <w:t xml:space="preserve"> lyg</w:t>
      </w:r>
      <w:r>
        <w:rPr>
          <w:rFonts w:eastAsia="SimSun"/>
        </w:rPr>
        <w:t>io</w:t>
      </w:r>
      <w:r w:rsidRPr="00DC6E79">
        <w:rPr>
          <w:rFonts w:eastAsia="SimSun"/>
        </w:rPr>
        <w:t xml:space="preserve"> kaip ankstesniais metais – sprendimų priėmimą atviru Lietuvoje laiko kas dešimtas gyventojas (9 proc.) ir kas penktas valstybės tarnautojas (21 proc.). Korupcijos toleravimo indeksas Lietuvoje siekia 44 proc., ir nors šis rodiklis reikšmingai mažėja (2017 m. – 48 proc., 2013 m. – 71 proc.), bet </w:t>
      </w:r>
      <w:r>
        <w:rPr>
          <w:rFonts w:eastAsia="SimSun"/>
        </w:rPr>
        <w:t>jis vis dar</w:t>
      </w:r>
      <w:r w:rsidRPr="00DC6E79">
        <w:rPr>
          <w:rFonts w:eastAsia="SimSun"/>
        </w:rPr>
        <w:t xml:space="preserve"> 8 aukščiausias tarp ES valstybių. </w:t>
      </w:r>
      <w:r>
        <w:rPr>
          <w:rFonts w:eastAsia="SimSun"/>
        </w:rPr>
        <w:t>I</w:t>
      </w:r>
      <w:r w:rsidRPr="00DC6E79">
        <w:rPr>
          <w:rFonts w:eastAsia="SimSun"/>
        </w:rPr>
        <w:t xml:space="preserve">ki šiol mažėjusi gyventojų, manančių, kad kyšis padeda spręsti problemas, dalis per praėjusius metus išaugo 10 proc. ir siekia 71 proc. </w:t>
      </w:r>
      <w:r w:rsidRPr="00DC6E79">
        <w:rPr>
          <w:rFonts w:eastAsia="SimSun"/>
          <w:iCs/>
        </w:rPr>
        <w:t xml:space="preserve">Vertinant antikorupcinį potencialą, pastebėtina, kad visuomenės dalis, nusiteikusi pranešti apie korupciją, </w:t>
      </w:r>
      <w:r>
        <w:rPr>
          <w:rFonts w:eastAsia="SimSun"/>
          <w:iCs/>
        </w:rPr>
        <w:t>dar</w:t>
      </w:r>
      <w:r w:rsidRPr="00DC6E79">
        <w:rPr>
          <w:rFonts w:eastAsia="SimSun"/>
          <w:iCs/>
        </w:rPr>
        <w:t xml:space="preserve"> nepakankama</w:t>
      </w:r>
      <w:r>
        <w:rPr>
          <w:rFonts w:eastAsia="SimSun"/>
          <w:iCs/>
        </w:rPr>
        <w:t>i didelė,</w:t>
      </w:r>
      <w:r w:rsidRPr="00DC6E79">
        <w:rPr>
          <w:rFonts w:eastAsia="SimSun"/>
          <w:iCs/>
        </w:rPr>
        <w:t xml:space="preserve"> siekiant tvarios antikorupcinės aplinkos</w:t>
      </w:r>
      <w:r w:rsidRPr="00DC6E79">
        <w:rPr>
          <w:rFonts w:eastAsia="SimSun"/>
        </w:rPr>
        <w:t xml:space="preserve">. </w:t>
      </w:r>
    </w:p>
    <w:p w14:paraId="2078BF59" w14:textId="77777777" w:rsidR="008B10FF" w:rsidRPr="00DC6E79" w:rsidRDefault="008B10FF" w:rsidP="00E660EB">
      <w:pPr>
        <w:spacing w:line="250" w:lineRule="auto"/>
        <w:ind w:firstLine="709"/>
        <w:jc w:val="both"/>
        <w:rPr>
          <w:rFonts w:eastAsia="SimSun"/>
        </w:rPr>
      </w:pPr>
      <w:r w:rsidRPr="007D18B9">
        <w:rPr>
          <w:rFonts w:eastAsia="SimSun"/>
          <w:bCs/>
        </w:rPr>
        <w:t xml:space="preserve">Vertinant privataus sektoriaus antikorupcinę aplinką, atkreiptinas dėmesys į korupcijos, kaip kliūties verslui veikti Lietuvoje, mažėjimą, tačiau viešieji pirkimai </w:t>
      </w:r>
      <w:r w:rsidRPr="00DC6E79">
        <w:rPr>
          <w:rFonts w:eastAsia="SimSun"/>
        </w:rPr>
        <w:t>–</w:t>
      </w:r>
      <w:r w:rsidRPr="007D18B9">
        <w:rPr>
          <w:rFonts w:eastAsia="SimSun"/>
          <w:bCs/>
        </w:rPr>
        <w:t xml:space="preserve"> viena rizikingiausių sričių.</w:t>
      </w:r>
      <w:r w:rsidRPr="00DC6E79">
        <w:rPr>
          <w:rFonts w:eastAsia="SimSun"/>
        </w:rPr>
        <w:t xml:space="preserve"> </w:t>
      </w:r>
      <w:r>
        <w:rPr>
          <w:rFonts w:eastAsia="SimSun"/>
        </w:rPr>
        <w:t>D</w:t>
      </w:r>
      <w:r w:rsidRPr="00DC6E79">
        <w:rPr>
          <w:rFonts w:eastAsia="SimSun"/>
        </w:rPr>
        <w:t>auguma Lietuvos verslo atstovų korupcijos nelaiko kliūtimi plėtojant veiklą</w:t>
      </w:r>
      <w:r w:rsidRPr="00DC6E79">
        <w:rPr>
          <w:rFonts w:eastAsia="SimSun"/>
          <w:vertAlign w:val="superscript"/>
        </w:rPr>
        <w:footnoteReference w:id="37"/>
      </w:r>
      <w:r w:rsidRPr="00DC6E79">
        <w:rPr>
          <w:rFonts w:eastAsia="SimSun"/>
        </w:rPr>
        <w:t xml:space="preserve">. </w:t>
      </w:r>
      <w:r>
        <w:rPr>
          <w:rFonts w:eastAsia="SimSun"/>
        </w:rPr>
        <w:t>Tačiau d</w:t>
      </w:r>
      <w:r w:rsidRPr="00DC6E79">
        <w:rPr>
          <w:rFonts w:eastAsia="SimSun"/>
        </w:rPr>
        <w:t xml:space="preserve">augiau nei vienas iš </w:t>
      </w:r>
      <w:r>
        <w:rPr>
          <w:rFonts w:eastAsia="SimSun"/>
          <w:lang w:val="en-GB"/>
        </w:rPr>
        <w:t>3</w:t>
      </w:r>
      <w:r w:rsidRPr="00DC6E79">
        <w:rPr>
          <w:rFonts w:eastAsia="SimSun"/>
        </w:rPr>
        <w:t xml:space="preserve"> respondentų, kurių įmonės dalyvauja viešuosiuose pirkimuose, nurodė, kad per pastaruosius </w:t>
      </w:r>
      <w:r>
        <w:rPr>
          <w:rFonts w:eastAsia="SimSun"/>
          <w:lang w:val="en-GB"/>
        </w:rPr>
        <w:t>3</w:t>
      </w:r>
      <w:r w:rsidRPr="00DC6E79">
        <w:rPr>
          <w:rFonts w:eastAsia="SimSun"/>
        </w:rPr>
        <w:t xml:space="preserve"> metus korupcija jiems sukliudė laimėti viešąjį pirkimą</w:t>
      </w:r>
      <w:r w:rsidRPr="00DC6E79">
        <w:rPr>
          <w:rFonts w:eastAsia="SimSun"/>
          <w:vertAlign w:val="superscript"/>
        </w:rPr>
        <w:footnoteReference w:id="38"/>
      </w:r>
      <w:r w:rsidRPr="00DC6E79">
        <w:rPr>
          <w:rFonts w:eastAsia="SimSun"/>
        </w:rPr>
        <w:t xml:space="preserve">. </w:t>
      </w:r>
    </w:p>
    <w:p w14:paraId="5351866F" w14:textId="77777777" w:rsidR="008B10FF" w:rsidRPr="00DC6E79" w:rsidRDefault="008B10FF" w:rsidP="00E660EB">
      <w:pPr>
        <w:spacing w:line="250" w:lineRule="auto"/>
        <w:ind w:firstLine="709"/>
        <w:jc w:val="both"/>
        <w:rPr>
          <w:rFonts w:eastAsia="SimSun"/>
        </w:rPr>
      </w:pPr>
      <w:r w:rsidRPr="00DC6E79">
        <w:rPr>
          <w:rFonts w:eastAsia="SimSun"/>
          <w:bCs/>
        </w:rPr>
        <w:t xml:space="preserve">Pasauliniame kontekste rizika </w:t>
      </w:r>
      <w:r w:rsidRPr="00DC6E79">
        <w:rPr>
          <w:rFonts w:eastAsia="SimSun"/>
        </w:rPr>
        <w:t>verslui susidurti su kyšio reikalavimu vertinama kaip žema</w:t>
      </w:r>
      <w:r w:rsidRPr="00DC6E79">
        <w:rPr>
          <w:rFonts w:eastAsia="SimSun"/>
          <w:vertAlign w:val="superscript"/>
        </w:rPr>
        <w:footnoteReference w:id="39"/>
      </w:r>
      <w:r w:rsidRPr="00DC6E79">
        <w:rPr>
          <w:rFonts w:eastAsia="SimSun"/>
        </w:rPr>
        <w:t>, bet išlieka aukštesnė nei vidutiniškai ES valstybėse</w:t>
      </w:r>
      <w:r w:rsidRPr="00DC6E79">
        <w:rPr>
          <w:rFonts w:eastAsia="SimSun"/>
          <w:vertAlign w:val="superscript"/>
        </w:rPr>
        <w:footnoteReference w:id="40"/>
      </w:r>
      <w:r>
        <w:rPr>
          <w:rFonts w:eastAsia="SimSun"/>
        </w:rPr>
        <w:t>. Palyginti</w:t>
      </w:r>
      <w:r w:rsidRPr="00BB09F6">
        <w:rPr>
          <w:rFonts w:eastAsia="SimSun"/>
        </w:rPr>
        <w:t xml:space="preserve"> su ES valstybių – narių ir regiono lyderių rodikliais, </w:t>
      </w:r>
      <w:proofErr w:type="spellStart"/>
      <w:r w:rsidRPr="00BB09F6">
        <w:rPr>
          <w:rFonts w:eastAsia="SimSun"/>
        </w:rPr>
        <w:t>reputacinės</w:t>
      </w:r>
      <w:proofErr w:type="spellEnd"/>
      <w:r w:rsidRPr="00BB09F6">
        <w:rPr>
          <w:rFonts w:eastAsia="SimSun"/>
        </w:rPr>
        <w:t xml:space="preserve"> rizikos </w:t>
      </w:r>
      <w:r>
        <w:rPr>
          <w:rFonts w:eastAsia="SimSun"/>
        </w:rPr>
        <w:t>vis dar yra</w:t>
      </w:r>
      <w:r w:rsidRPr="00BB09F6">
        <w:rPr>
          <w:rFonts w:eastAsia="SimSun"/>
        </w:rPr>
        <w:t xml:space="preserve">. </w:t>
      </w:r>
      <w:proofErr w:type="spellStart"/>
      <w:r w:rsidRPr="00BB09F6">
        <w:rPr>
          <w:rFonts w:eastAsia="SimSun"/>
        </w:rPr>
        <w:t>Transparency</w:t>
      </w:r>
      <w:proofErr w:type="spellEnd"/>
      <w:r w:rsidRPr="00DC6E79">
        <w:rPr>
          <w:rFonts w:eastAsia="SimSun"/>
        </w:rPr>
        <w:t xml:space="preserve"> International tyrime „Korupcijos suvokimo </w:t>
      </w:r>
      <w:r>
        <w:rPr>
          <w:rFonts w:eastAsia="SimSun"/>
        </w:rPr>
        <w:t>indeksas, 20</w:t>
      </w:r>
      <w:r>
        <w:rPr>
          <w:rFonts w:eastAsia="SimSun"/>
          <w:lang w:val="en-US"/>
        </w:rPr>
        <w:t>20</w:t>
      </w:r>
      <w:r w:rsidRPr="00DC6E79">
        <w:rPr>
          <w:rFonts w:eastAsia="SimSun"/>
        </w:rPr>
        <w:t>“</w:t>
      </w:r>
      <w:r w:rsidRPr="00DC6E79">
        <w:rPr>
          <w:rFonts w:eastAsia="SimSun"/>
          <w:vertAlign w:val="superscript"/>
        </w:rPr>
        <w:footnoteReference w:id="41"/>
      </w:r>
      <w:r w:rsidRPr="00DC6E79">
        <w:rPr>
          <w:rFonts w:eastAsia="SimSun"/>
        </w:rPr>
        <w:t xml:space="preserve"> </w:t>
      </w:r>
      <w:r w:rsidRPr="00DC6E79">
        <w:rPr>
          <w:rFonts w:eastAsia="SimSun"/>
        </w:rPr>
        <w:lastRenderedPageBreak/>
        <w:t>L</w:t>
      </w:r>
      <w:r>
        <w:rPr>
          <w:rFonts w:eastAsia="SimSun"/>
        </w:rPr>
        <w:t>ietuvai skirta 60 balų iš 100, 35 vieta</w:t>
      </w:r>
      <w:r w:rsidRPr="00DC6E79">
        <w:rPr>
          <w:rFonts w:eastAsia="SimSun"/>
        </w:rPr>
        <w:t xml:space="preserve"> </w:t>
      </w:r>
      <w:r>
        <w:rPr>
          <w:rFonts w:eastAsia="SimSun"/>
        </w:rPr>
        <w:t>tarp vertinamų 180 valstybių ir 14 vieta</w:t>
      </w:r>
      <w:r w:rsidRPr="00DC6E79">
        <w:rPr>
          <w:rFonts w:eastAsia="SimSun"/>
        </w:rPr>
        <w:t xml:space="preserve"> tarp ES šalių</w:t>
      </w:r>
      <w:r>
        <w:rPr>
          <w:rStyle w:val="Puslapioinaosnuoroda"/>
          <w:rFonts w:eastAsia="SimSun"/>
        </w:rPr>
        <w:footnoteReference w:id="42"/>
      </w:r>
      <w:r w:rsidRPr="00DC6E79">
        <w:rPr>
          <w:rFonts w:eastAsia="SimSun"/>
        </w:rPr>
        <w:t xml:space="preserve">. Pasaulio banko tyrime 2019 m. korupcijos kontrolė Lietuvoje įvertinta 75 balais iš 100 galimų. Lietuvai skirta 14 pozicija tarp 27 ES valstybių narių. 2018 m. Lietuvos įvertis buvo </w:t>
      </w:r>
      <w:r>
        <w:rPr>
          <w:rFonts w:eastAsia="SimSun"/>
        </w:rPr>
        <w:t>daug</w:t>
      </w:r>
      <w:r w:rsidRPr="00DC6E79">
        <w:rPr>
          <w:rFonts w:eastAsia="SimSun"/>
        </w:rPr>
        <w:t xml:space="preserve"> žemesnis ir siekė 69 balus</w:t>
      </w:r>
      <w:r w:rsidRPr="00DC6E79">
        <w:rPr>
          <w:rFonts w:eastAsia="SimSun"/>
          <w:vertAlign w:val="superscript"/>
        </w:rPr>
        <w:footnoteReference w:id="43"/>
      </w:r>
      <w:r w:rsidRPr="00DC6E79">
        <w:rPr>
          <w:rFonts w:eastAsia="SimSun"/>
        </w:rPr>
        <w:t>.</w:t>
      </w:r>
    </w:p>
    <w:p w14:paraId="799F26A3" w14:textId="77777777" w:rsidR="008B10FF" w:rsidRDefault="008B10FF" w:rsidP="00E660EB">
      <w:pPr>
        <w:widowControl w:val="0"/>
        <w:autoSpaceDE w:val="0"/>
        <w:autoSpaceDN w:val="0"/>
        <w:adjustRightInd w:val="0"/>
        <w:spacing w:line="250" w:lineRule="auto"/>
        <w:ind w:firstLine="709"/>
        <w:jc w:val="both"/>
        <w:rPr>
          <w:rFonts w:eastAsia="SimSun"/>
        </w:rPr>
      </w:pPr>
      <w:r>
        <w:rPr>
          <w:rFonts w:eastAsia="PMingLiU"/>
        </w:rPr>
        <w:t>Specialių tyrimų tarnybos vertinimu, v</w:t>
      </w:r>
      <w:r w:rsidRPr="00DC6E79">
        <w:rPr>
          <w:rFonts w:eastAsia="SimSun"/>
        </w:rPr>
        <w:t>alstybės tarnautojų informuotumas apie tarptautinio papirkinėjimo rizik</w:t>
      </w:r>
      <w:r>
        <w:rPr>
          <w:rFonts w:eastAsia="SimSun"/>
        </w:rPr>
        <w:t>ą</w:t>
      </w:r>
      <w:r w:rsidRPr="00DC6E79">
        <w:rPr>
          <w:rFonts w:eastAsia="SimSun"/>
        </w:rPr>
        <w:t xml:space="preserve"> nesikeitė ir </w:t>
      </w:r>
      <w:r>
        <w:rPr>
          <w:rFonts w:eastAsia="SimSun"/>
        </w:rPr>
        <w:t>yra</w:t>
      </w:r>
      <w:r w:rsidRPr="00DC6E79">
        <w:rPr>
          <w:rFonts w:eastAsia="SimSun"/>
        </w:rPr>
        <w:t xml:space="preserve"> nepakankamas – apie rizik</w:t>
      </w:r>
      <w:r>
        <w:rPr>
          <w:rFonts w:eastAsia="SimSun"/>
        </w:rPr>
        <w:t>ą</w:t>
      </w:r>
      <w:r w:rsidRPr="00DC6E79">
        <w:rPr>
          <w:rFonts w:eastAsia="SimSun"/>
        </w:rPr>
        <w:t xml:space="preserve"> nurodė girdėję 21 proc., apie priemones kovojant su šiuo reiškiniu – 22 proc.</w:t>
      </w:r>
      <w:r>
        <w:rPr>
          <w:rFonts w:eastAsia="SimSun"/>
        </w:rPr>
        <w:t xml:space="preserve"> respondentų.</w:t>
      </w:r>
      <w:r w:rsidRPr="00DC6E79">
        <w:rPr>
          <w:rFonts w:eastAsia="SimSun"/>
        </w:rPr>
        <w:t xml:space="preserve"> </w:t>
      </w:r>
      <w:r w:rsidRPr="00066A5C">
        <w:rPr>
          <w:rFonts w:eastAsia="SimSun"/>
          <w:iCs/>
        </w:rPr>
        <w:t>Lietuvos institucijų atsparumui korupcijai rizik</w:t>
      </w:r>
      <w:r>
        <w:rPr>
          <w:rFonts w:eastAsia="SimSun"/>
          <w:iCs/>
        </w:rPr>
        <w:t>inga</w:t>
      </w:r>
      <w:r w:rsidRPr="00066A5C">
        <w:rPr>
          <w:rFonts w:eastAsia="SimSun"/>
          <w:iCs/>
        </w:rPr>
        <w:t xml:space="preserve"> neregistruota lobistinė veikla, įtraukiant ir trečiųjų šalių interesų atstovavimą.</w:t>
      </w:r>
      <w:r w:rsidRPr="00DC6E79">
        <w:rPr>
          <w:rFonts w:eastAsia="SimSun"/>
        </w:rPr>
        <w:t xml:space="preserve"> </w:t>
      </w:r>
    </w:p>
    <w:p w14:paraId="699A4501" w14:textId="77777777" w:rsidR="008B10FF" w:rsidRDefault="008B10FF" w:rsidP="00E660EB">
      <w:pPr>
        <w:spacing w:line="250" w:lineRule="auto"/>
        <w:ind w:firstLine="709"/>
        <w:jc w:val="both"/>
        <w:rPr>
          <w:rFonts w:eastAsia="SimSun"/>
        </w:rPr>
      </w:pPr>
      <w:r>
        <w:rPr>
          <w:rFonts w:eastAsia="PMingLiU"/>
        </w:rPr>
        <w:t>A</w:t>
      </w:r>
      <w:r w:rsidRPr="00DC6E79">
        <w:rPr>
          <w:rFonts w:eastAsia="SimSun"/>
        </w:rPr>
        <w:t xml:space="preserve">ktualus </w:t>
      </w:r>
      <w:r>
        <w:rPr>
          <w:rFonts w:eastAsia="SimSun"/>
        </w:rPr>
        <w:t>yra</w:t>
      </w:r>
      <w:r w:rsidRPr="00DC6E79">
        <w:rPr>
          <w:rFonts w:eastAsia="SimSun"/>
        </w:rPr>
        <w:t xml:space="preserve"> trečiųjų šalių siekis (veikiant tiesiogiai arba netiesiogiai – per tarpininkus) investuoti į strateginės reikšmės Lietuvos infrastruktūros objektus </w:t>
      </w:r>
      <w:r>
        <w:rPr>
          <w:rFonts w:eastAsia="SimSun"/>
        </w:rPr>
        <w:t>ir</w:t>
      </w:r>
      <w:r w:rsidRPr="00DC6E79">
        <w:rPr>
          <w:rFonts w:eastAsia="SimSun"/>
        </w:rPr>
        <w:t xml:space="preserve"> vykdyti didelio masto projektus</w:t>
      </w:r>
      <w:r>
        <w:rPr>
          <w:rFonts w:eastAsia="SimSun"/>
        </w:rPr>
        <w:t xml:space="preserve">. </w:t>
      </w:r>
      <w:r w:rsidRPr="00DC6E79">
        <w:rPr>
          <w:rFonts w:eastAsia="SimSun"/>
        </w:rPr>
        <w:t xml:space="preserve">Egzistuoja rizika, kad </w:t>
      </w:r>
      <w:r>
        <w:rPr>
          <w:rFonts w:eastAsia="SimSun"/>
        </w:rPr>
        <w:t>šių</w:t>
      </w:r>
      <w:r w:rsidRPr="00DC6E79">
        <w:rPr>
          <w:rFonts w:eastAsia="SimSun"/>
        </w:rPr>
        <w:t xml:space="preserve"> šalių investuotojai</w:t>
      </w:r>
      <w:r w:rsidRPr="00072AD4">
        <w:rPr>
          <w:rFonts w:eastAsia="SimSun"/>
        </w:rPr>
        <w:t xml:space="preserve"> </w:t>
      </w:r>
      <w:r w:rsidRPr="00DC6E79">
        <w:rPr>
          <w:rFonts w:eastAsia="SimSun"/>
        </w:rPr>
        <w:t>daro įtaką sau palankių sprendimų priėmimui, gal</w:t>
      </w:r>
      <w:r>
        <w:rPr>
          <w:rFonts w:eastAsia="SimSun"/>
        </w:rPr>
        <w:t>būt</w:t>
      </w:r>
      <w:r w:rsidRPr="00DC6E79">
        <w:rPr>
          <w:rFonts w:eastAsia="SimSun"/>
        </w:rPr>
        <w:t xml:space="preserve"> pasitelkdami neteisėto lobizmo schemas</w:t>
      </w:r>
      <w:r>
        <w:rPr>
          <w:rFonts w:eastAsia="SimSun"/>
        </w:rPr>
        <w:t>.</w:t>
      </w:r>
    </w:p>
    <w:p w14:paraId="5E563910" w14:textId="77777777" w:rsidR="008B10FF" w:rsidRDefault="008B10FF" w:rsidP="00E660EB">
      <w:pPr>
        <w:shd w:val="clear" w:color="auto" w:fill="FFFFFF"/>
        <w:spacing w:line="250" w:lineRule="auto"/>
        <w:ind w:firstLine="709"/>
        <w:jc w:val="both"/>
        <w:rPr>
          <w:rFonts w:eastAsia="SimSun"/>
        </w:rPr>
      </w:pPr>
      <w:r>
        <w:rPr>
          <w:rFonts w:eastAsia="PMingLiU"/>
        </w:rPr>
        <w:t>Specialiųjų tyrimų tarnybos</w:t>
      </w:r>
      <w:r w:rsidRPr="00DC6E79">
        <w:rPr>
          <w:rFonts w:eastAsia="SimSun"/>
        </w:rPr>
        <w:t xml:space="preserve"> </w:t>
      </w:r>
      <w:r>
        <w:rPr>
          <w:rFonts w:eastAsia="SimSun"/>
        </w:rPr>
        <w:t>duomenimis, C</w:t>
      </w:r>
      <w:r w:rsidRPr="00DC6E79">
        <w:rPr>
          <w:rFonts w:eastAsia="SimSun"/>
        </w:rPr>
        <w:t>OVID-19 pandemijos metu, organizuojant savarankiškai negalėjusių grįžti asmenų ir medicinos priemonių gabenimą į Lietuvą, pusė paslaugų teikimo sutarčių buvo sudaryta su įmonėmis, kurių akcininkai ir valdymo organų nariai gal</w:t>
      </w:r>
      <w:r>
        <w:rPr>
          <w:rFonts w:eastAsia="SimSun"/>
        </w:rPr>
        <w:t>ėjo</w:t>
      </w:r>
      <w:r w:rsidRPr="00DC6E79">
        <w:rPr>
          <w:rFonts w:eastAsia="SimSun"/>
        </w:rPr>
        <w:t xml:space="preserve"> turė</w:t>
      </w:r>
      <w:r>
        <w:rPr>
          <w:rFonts w:eastAsia="SimSun"/>
        </w:rPr>
        <w:t>ti</w:t>
      </w:r>
      <w:r w:rsidRPr="00DC6E79">
        <w:rPr>
          <w:rFonts w:eastAsia="SimSun"/>
        </w:rPr>
        <w:t xml:space="preserve"> nacionalinio saugumo požiūriu riziką keliančių ryšių su trečiosiomis valstybėmis. </w:t>
      </w:r>
    </w:p>
    <w:p w14:paraId="2CD804C3" w14:textId="77777777" w:rsidR="008B10FF"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Organizuotas nusikalstamumas</w:t>
      </w:r>
    </w:p>
    <w:p w14:paraId="763B8088" w14:textId="77777777" w:rsidR="008B10FF" w:rsidRPr="00CF0CD8" w:rsidRDefault="008B10FF" w:rsidP="00E660EB">
      <w:pPr>
        <w:pStyle w:val="Antrat5"/>
        <w:spacing w:before="0" w:line="250" w:lineRule="auto"/>
        <w:ind w:firstLine="709"/>
        <w:jc w:val="both"/>
        <w:rPr>
          <w:rFonts w:ascii="Times New Roman" w:hAnsi="Times New Roman"/>
          <w:b/>
          <w:bCs/>
          <w:color w:val="auto"/>
        </w:rPr>
      </w:pPr>
      <w:r w:rsidRPr="00CF0CD8">
        <w:rPr>
          <w:rFonts w:ascii="Times New Roman" w:hAnsi="Times New Roman"/>
          <w:color w:val="auto"/>
          <w:szCs w:val="24"/>
        </w:rPr>
        <w:t xml:space="preserve">Policijos duomenimis, situacija, susijusi su organizuotu nusikalstamumu, Lietuvoje iš esmės nesikeičia. Organizuotų nusikalstamų grupių pavojingumo didėjimo nepastebėta, grėsmės lygis vidutinis. Tokių grupių </w:t>
      </w:r>
      <w:r w:rsidRPr="00CF0CD8">
        <w:rPr>
          <w:rStyle w:val="tlid-translation"/>
          <w:rFonts w:ascii="Times New Roman" w:hAnsi="Times New Roman"/>
          <w:color w:val="auto"/>
          <w:szCs w:val="24"/>
        </w:rPr>
        <w:t>veiklos pagrindinės kryptys nepakito, nes šios grupės</w:t>
      </w:r>
      <w:r w:rsidRPr="00CF0CD8">
        <w:rPr>
          <w:rFonts w:ascii="Times New Roman" w:hAnsi="Times New Roman"/>
          <w:color w:val="auto"/>
          <w:szCs w:val="24"/>
        </w:rPr>
        <w:t xml:space="preserve"> generuoja didžiausias pajamas, tai neteisėta narkotinių ir psichotropinių medžiagų apyvarta, transporto vagystės užsienyje, akcizais apmokestinamų prekių kontrabanda, neteisėtas disponavimas šaunamaisiais ginklais, vagystės ir plėšimai užsienyje.</w:t>
      </w:r>
    </w:p>
    <w:p w14:paraId="63BEDD7C"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bookmarkStart w:id="73" w:name="_Hlk34205358"/>
      <w:bookmarkStart w:id="74" w:name="_Hlk34204805"/>
      <w:r w:rsidRPr="00A91669">
        <w:rPr>
          <w:rFonts w:ascii="Times New Roman" w:hAnsi="Times New Roman"/>
          <w:b/>
          <w:bCs/>
          <w:color w:val="17365D" w:themeColor="text2" w:themeShade="BF"/>
        </w:rPr>
        <w:t xml:space="preserve">Valstybės ir tarptautinio lygio ekstremaliosios situacijos </w:t>
      </w:r>
    </w:p>
    <w:p w14:paraId="2C43D675" w14:textId="77777777" w:rsidR="008B10FF" w:rsidRPr="00A91669" w:rsidRDefault="008B10FF" w:rsidP="00E660EB">
      <w:pPr>
        <w:pStyle w:val="Default"/>
        <w:spacing w:line="250" w:lineRule="auto"/>
        <w:ind w:left="57" w:right="57" w:firstLine="709"/>
        <w:jc w:val="both"/>
      </w:pPr>
      <w:r w:rsidRPr="00A91669">
        <w:t>2020 m. Lietuvoje paskelbta viena valstybės lygio ekstremalioji situacija – dėl COVID-19 pandemijos</w:t>
      </w:r>
      <w:r w:rsidRPr="00A91669">
        <w:rPr>
          <w:rStyle w:val="Puslapioinaosnuoroda"/>
        </w:rPr>
        <w:footnoteReference w:id="44"/>
      </w:r>
      <w:r w:rsidRPr="00A91669">
        <w:t xml:space="preserve">, kurios metu taip pat buvo </w:t>
      </w:r>
      <w:r>
        <w:t>paskelbtas</w:t>
      </w:r>
      <w:r w:rsidRPr="00A91669">
        <w:t xml:space="preserve"> karantinas, taikytos kitos epidemijos kontrolės priemonės, numatytos Užkrečiamųjų ligų kontrolės ir prevencijos įstatyme.</w:t>
      </w:r>
    </w:p>
    <w:p w14:paraId="41871C5F" w14:textId="77777777" w:rsidR="008B10FF" w:rsidRPr="00A91669" w:rsidRDefault="008B10FF" w:rsidP="00E660EB">
      <w:pPr>
        <w:pStyle w:val="Betarp"/>
        <w:spacing w:line="250" w:lineRule="auto"/>
        <w:ind w:firstLine="709"/>
        <w:jc w:val="both"/>
        <w:rPr>
          <w:rFonts w:ascii="Times New Roman" w:hAnsi="Times New Roman"/>
          <w:sz w:val="24"/>
          <w:szCs w:val="24"/>
          <w:lang w:val="lt-LT" w:eastAsia="lt-LT"/>
        </w:rPr>
      </w:pPr>
      <w:r w:rsidRPr="00A91669">
        <w:rPr>
          <w:rFonts w:ascii="Times New Roman" w:hAnsi="Times New Roman"/>
          <w:sz w:val="24"/>
          <w:szCs w:val="24"/>
          <w:lang w:val="lt-LT"/>
        </w:rPr>
        <w:t>Pasaulyje 2020 m. įvyko 100 ekstremaliųjų situacijų, kai prireikė tarptautinės pagalbos. Didžioji dalis iš jų – 85</w:t>
      </w:r>
      <w:r>
        <w:rPr>
          <w:rFonts w:ascii="Times New Roman" w:hAnsi="Times New Roman"/>
          <w:sz w:val="24"/>
          <w:szCs w:val="24"/>
          <w:lang w:val="lt-LT"/>
        </w:rPr>
        <w:t xml:space="preserve"> </w:t>
      </w:r>
      <w:r w:rsidRPr="00A91669">
        <w:rPr>
          <w:rFonts w:ascii="Times New Roman" w:hAnsi="Times New Roman"/>
          <w:sz w:val="24"/>
          <w:szCs w:val="24"/>
          <w:lang w:val="lt-LT"/>
        </w:rPr>
        <w:t xml:space="preserve">– dėl COVID-19 pandemijos. Kitos ekstremaliosios situacijos kilo dėl potvynių, miškų gaisrų, žemės nuošliaužų ir drebėjimų, audrų, pabėgėlių migracijos, trąšų sandėlio sprogimo. </w:t>
      </w:r>
      <w:r w:rsidRPr="00A91669">
        <w:rPr>
          <w:rFonts w:ascii="Times New Roman" w:hAnsi="Times New Roman"/>
          <w:sz w:val="24"/>
          <w:szCs w:val="24"/>
          <w:lang w:val="lt-LT" w:eastAsia="lt-LT"/>
        </w:rPr>
        <w:t xml:space="preserve">Pasaulyje vykstant </w:t>
      </w:r>
      <w:r>
        <w:rPr>
          <w:rFonts w:ascii="Times New Roman" w:hAnsi="Times New Roman"/>
          <w:sz w:val="24"/>
          <w:szCs w:val="24"/>
          <w:lang w:val="lt-LT" w:eastAsia="lt-LT"/>
        </w:rPr>
        <w:t>visuotinei</w:t>
      </w:r>
      <w:r w:rsidRPr="00A91669">
        <w:rPr>
          <w:rFonts w:ascii="Times New Roman" w:hAnsi="Times New Roman"/>
          <w:sz w:val="24"/>
          <w:szCs w:val="24"/>
          <w:lang w:val="lt-LT" w:eastAsia="lt-LT"/>
        </w:rPr>
        <w:t xml:space="preserve"> klimato kaitai</w:t>
      </w:r>
      <w:r>
        <w:rPr>
          <w:rFonts w:ascii="Times New Roman" w:hAnsi="Times New Roman"/>
          <w:sz w:val="24"/>
          <w:szCs w:val="24"/>
          <w:lang w:val="lt-LT" w:eastAsia="lt-LT"/>
        </w:rPr>
        <w:t>,</w:t>
      </w:r>
      <w:r w:rsidRPr="00A91669">
        <w:rPr>
          <w:rFonts w:ascii="Times New Roman" w:hAnsi="Times New Roman"/>
          <w:sz w:val="24"/>
          <w:szCs w:val="24"/>
          <w:lang w:val="lt-LT" w:eastAsia="lt-LT"/>
        </w:rPr>
        <w:t xml:space="preserve"> žemėje dažnėja ir intensyvėja įvairūs ekstremalūs meteorologiniai reiškiniai. Prognozuojama, kad 2021 m. globali oro temperatūra bus viena aukščiausių nuo industrializacijos pradžios. </w:t>
      </w:r>
    </w:p>
    <w:p w14:paraId="7758487E" w14:textId="77777777" w:rsidR="008B10FF" w:rsidRPr="00A91669" w:rsidRDefault="008B10FF" w:rsidP="00E660EB">
      <w:pPr>
        <w:pStyle w:val="Betarp"/>
        <w:spacing w:line="250" w:lineRule="auto"/>
        <w:ind w:firstLine="709"/>
        <w:jc w:val="both"/>
        <w:rPr>
          <w:rFonts w:ascii="Times New Roman" w:hAnsi="Times New Roman"/>
          <w:sz w:val="24"/>
          <w:szCs w:val="24"/>
          <w:lang w:val="lt-LT"/>
        </w:rPr>
      </w:pPr>
      <w:r w:rsidRPr="00A91669">
        <w:rPr>
          <w:rFonts w:ascii="Times New Roman" w:hAnsi="Times New Roman"/>
          <w:sz w:val="24"/>
          <w:szCs w:val="24"/>
          <w:lang w:val="lt-LT"/>
        </w:rPr>
        <w:t xml:space="preserve">2020 m. Lietuvoje užfiksuota 12 hidrometeorologinių reiškinių, pasiekusių </w:t>
      </w:r>
      <w:r w:rsidRPr="00A91669">
        <w:rPr>
          <w:rFonts w:ascii="Times New Roman" w:hAnsi="Times New Roman"/>
          <w:bCs/>
          <w:sz w:val="24"/>
          <w:szCs w:val="24"/>
          <w:lang w:val="lt-LT"/>
        </w:rPr>
        <w:t>stichinio meteorologinio reiškinio rodiklius</w:t>
      </w:r>
      <w:r w:rsidRPr="00A91669">
        <w:rPr>
          <w:rStyle w:val="Puslapioinaosnuoroda"/>
          <w:rFonts w:ascii="Times New Roman" w:eastAsia="Calibri" w:hAnsi="Times New Roman"/>
          <w:sz w:val="24"/>
          <w:szCs w:val="24"/>
          <w:lang w:val="lt-LT"/>
        </w:rPr>
        <w:footnoteReference w:id="45"/>
      </w:r>
      <w:r w:rsidRPr="00A91669">
        <w:rPr>
          <w:rFonts w:ascii="Times New Roman" w:hAnsi="Times New Roman"/>
          <w:bCs/>
          <w:sz w:val="24"/>
          <w:szCs w:val="24"/>
          <w:lang w:val="lt-LT"/>
        </w:rPr>
        <w:t xml:space="preserve">. Dėl </w:t>
      </w:r>
      <w:r w:rsidRPr="00A91669">
        <w:rPr>
          <w:rFonts w:ascii="Times New Roman" w:hAnsi="Times New Roman"/>
          <w:sz w:val="24"/>
          <w:szCs w:val="24"/>
          <w:lang w:val="lt-LT"/>
        </w:rPr>
        <w:t>smarkios liūties birželio 30 d., pasiekusios katastrofinio meteorologinio reiškinio kriterijų, ekstremalioji situacija buvo paskelbta Lazdijų savivaldybėje.</w:t>
      </w:r>
    </w:p>
    <w:p w14:paraId="10E1FDC4" w14:textId="77777777" w:rsidR="008B10FF" w:rsidRPr="00A91669" w:rsidRDefault="008B10FF" w:rsidP="00E660EB">
      <w:pPr>
        <w:pStyle w:val="Betarp"/>
        <w:spacing w:line="250" w:lineRule="auto"/>
        <w:ind w:firstLine="709"/>
        <w:jc w:val="both"/>
        <w:rPr>
          <w:rFonts w:ascii="Times New Roman" w:hAnsi="Times New Roman"/>
          <w:sz w:val="24"/>
          <w:szCs w:val="24"/>
          <w:lang w:val="lt-LT" w:eastAsia="lt-LT"/>
        </w:rPr>
      </w:pPr>
      <w:r w:rsidRPr="00A91669">
        <w:rPr>
          <w:rFonts w:ascii="Times New Roman" w:hAnsi="Times New Roman"/>
          <w:sz w:val="24"/>
          <w:szCs w:val="24"/>
          <w:lang w:val="lt-LT" w:eastAsia="lt-LT"/>
        </w:rPr>
        <w:t xml:space="preserve">2020 m. tapo šilčiausiais metais per visą meteorologinių stebėjimų istoriją. Vidutinė metinė oro temperatūra Lietuvoje buvo 9,2 °C, o tai yra net 2,3 °C daugiau nei vidutinė daugiametė (1981–2010 m. vidurkis) oro temperatūra. Pirmą kartą per meteorologinių stebėjimų istoriją vidutinė metinė šalies oro temperatūra peržengė 9 °C ribą. Aukščiausia vidutinė metinė oro temperatūra buvo registruota visose meteorologijos stotyse per visą jų stebėjimo laikotarpį. Tikėtina, </w:t>
      </w:r>
      <w:r>
        <w:rPr>
          <w:rFonts w:ascii="Times New Roman" w:hAnsi="Times New Roman"/>
          <w:sz w:val="24"/>
          <w:szCs w:val="24"/>
          <w:lang w:val="lt-LT" w:eastAsia="lt-LT"/>
        </w:rPr>
        <w:t>kad</w:t>
      </w:r>
      <w:r w:rsidRPr="00A91669">
        <w:rPr>
          <w:rFonts w:ascii="Times New Roman" w:hAnsi="Times New Roman"/>
          <w:sz w:val="24"/>
          <w:szCs w:val="24"/>
          <w:lang w:val="lt-LT" w:eastAsia="lt-LT"/>
        </w:rPr>
        <w:t xml:space="preserve"> žiemą susidariusi sniego danga tirpdama papildys ir atstatys gilesnių gruntinių vandenų atsargas, o pavasarinis upių potvynis atstatys upių vandeningumą, kuris per pastarąją hidrologinę sausrą buvo labai </w:t>
      </w:r>
      <w:r>
        <w:rPr>
          <w:rFonts w:ascii="Times New Roman" w:hAnsi="Times New Roman"/>
          <w:sz w:val="24"/>
          <w:szCs w:val="24"/>
          <w:lang w:val="lt-LT" w:eastAsia="lt-LT"/>
        </w:rPr>
        <w:t>sumažėjęs</w:t>
      </w:r>
      <w:r w:rsidRPr="00A91669">
        <w:rPr>
          <w:rFonts w:ascii="Times New Roman" w:hAnsi="Times New Roman"/>
          <w:sz w:val="24"/>
          <w:szCs w:val="24"/>
          <w:lang w:val="lt-LT" w:eastAsia="lt-LT"/>
        </w:rPr>
        <w:t xml:space="preserve">. </w:t>
      </w:r>
    </w:p>
    <w:p w14:paraId="48D10292" w14:textId="77777777" w:rsidR="008B10FF" w:rsidRPr="00A91669" w:rsidRDefault="008B10FF" w:rsidP="00E660EB">
      <w:pPr>
        <w:spacing w:line="250" w:lineRule="auto"/>
        <w:ind w:left="57" w:right="57" w:firstLine="709"/>
        <w:jc w:val="both"/>
        <w:rPr>
          <w:szCs w:val="24"/>
        </w:rPr>
      </w:pPr>
      <w:r w:rsidRPr="00A91669">
        <w:rPr>
          <w:szCs w:val="24"/>
        </w:rPr>
        <w:t xml:space="preserve">Lietuvai didžiausios su klimato kaita susijusios grėsmės – ekstremalūs gamtos reiškiniai, tokie kaip upių potvyniai, jūros lygio kilimas, </w:t>
      </w:r>
      <w:r>
        <w:rPr>
          <w:szCs w:val="24"/>
        </w:rPr>
        <w:t xml:space="preserve">kritinis </w:t>
      </w:r>
      <w:r w:rsidRPr="00A91669">
        <w:rPr>
          <w:szCs w:val="24"/>
        </w:rPr>
        <w:t>kritulių kieki</w:t>
      </w:r>
      <w:r>
        <w:rPr>
          <w:szCs w:val="24"/>
        </w:rPr>
        <w:t>s</w:t>
      </w:r>
      <w:r w:rsidRPr="00A91669">
        <w:rPr>
          <w:szCs w:val="24"/>
        </w:rPr>
        <w:t>, karščio ir šalčio bangos. Tikėtina, kad</w:t>
      </w:r>
      <w:r>
        <w:rPr>
          <w:szCs w:val="24"/>
        </w:rPr>
        <w:t>,</w:t>
      </w:r>
      <w:r w:rsidRPr="00A91669">
        <w:rPr>
          <w:szCs w:val="24"/>
        </w:rPr>
        <w:t xml:space="preserve"> stiprėjant </w:t>
      </w:r>
      <w:r w:rsidRPr="00A91669">
        <w:rPr>
          <w:szCs w:val="24"/>
        </w:rPr>
        <w:lastRenderedPageBreak/>
        <w:t xml:space="preserve">klimato kaitos poveikiui, staigių ir sunkiai prognozuojamų gamtos reiškinių gausės ir jų intensyvumas tik didės, </w:t>
      </w:r>
      <w:r>
        <w:rPr>
          <w:szCs w:val="24"/>
        </w:rPr>
        <w:t>o tai</w:t>
      </w:r>
      <w:r w:rsidRPr="00A91669">
        <w:rPr>
          <w:szCs w:val="24"/>
        </w:rPr>
        <w:t xml:space="preserve"> turės neigiamą poveikį aplinkai, žmogui, atneš nuostolių įvairiems ūkio sektoriams.</w:t>
      </w:r>
    </w:p>
    <w:p w14:paraId="155C87FD" w14:textId="77777777" w:rsidR="008B10FF" w:rsidRPr="00A91669" w:rsidRDefault="008B10FF" w:rsidP="00E660EB">
      <w:pPr>
        <w:pStyle w:val="Betarp"/>
        <w:spacing w:line="250" w:lineRule="auto"/>
        <w:ind w:firstLine="709"/>
        <w:jc w:val="both"/>
        <w:rPr>
          <w:rFonts w:ascii="Times New Roman" w:hAnsi="Times New Roman"/>
          <w:sz w:val="24"/>
          <w:szCs w:val="24"/>
          <w:lang w:val="lt-LT" w:eastAsia="en-GB"/>
        </w:rPr>
      </w:pPr>
      <w:r w:rsidRPr="00A91669">
        <w:rPr>
          <w:rFonts w:ascii="Times New Roman" w:hAnsi="Times New Roman"/>
          <w:sz w:val="24"/>
          <w:szCs w:val="24"/>
          <w:lang w:val="lt-LT" w:eastAsia="lt-LT"/>
        </w:rPr>
        <w:t>2020 m. savivaldybės lygmens ekstremaliosios situacijos buvo skelbiamos d</w:t>
      </w:r>
      <w:r w:rsidRPr="00A91669">
        <w:rPr>
          <w:rFonts w:ascii="Times New Roman" w:hAnsi="Times New Roman"/>
          <w:sz w:val="24"/>
          <w:szCs w:val="24"/>
          <w:lang w:val="lt-LT" w:eastAsia="en-GB"/>
        </w:rPr>
        <w:t xml:space="preserve">ėl </w:t>
      </w:r>
      <w:proofErr w:type="spellStart"/>
      <w:r w:rsidRPr="00A91669">
        <w:rPr>
          <w:rFonts w:ascii="Times New Roman" w:hAnsi="Times New Roman"/>
          <w:sz w:val="24"/>
          <w:szCs w:val="24"/>
          <w:lang w:val="lt-LT" w:eastAsia="en-GB"/>
        </w:rPr>
        <w:t>epizootijų</w:t>
      </w:r>
      <w:proofErr w:type="spellEnd"/>
      <w:r w:rsidRPr="00A91669">
        <w:rPr>
          <w:rFonts w:ascii="Times New Roman" w:hAnsi="Times New Roman"/>
          <w:sz w:val="24"/>
          <w:szCs w:val="24"/>
          <w:lang w:val="lt-LT" w:eastAsia="en-GB"/>
        </w:rPr>
        <w:t xml:space="preserve"> –  afrikinio kiaulių maro protrūkių (Molėtų ir Plungės raj.) ir nustatyto SARS-COV-2 viruso kailinių gyvūnų laikymo vietose</w:t>
      </w:r>
      <w:r w:rsidRPr="00A91669">
        <w:rPr>
          <w:rStyle w:val="Puslapioinaosnuoroda"/>
          <w:rFonts w:ascii="Times New Roman" w:eastAsia="Calibri" w:hAnsi="Times New Roman"/>
          <w:sz w:val="24"/>
          <w:szCs w:val="24"/>
          <w:lang w:val="lt-LT" w:eastAsia="en-GB"/>
        </w:rPr>
        <w:footnoteReference w:id="46"/>
      </w:r>
      <w:r w:rsidRPr="00A91669">
        <w:rPr>
          <w:rFonts w:ascii="Times New Roman" w:hAnsi="Times New Roman"/>
          <w:sz w:val="24"/>
          <w:szCs w:val="24"/>
          <w:lang w:val="lt-LT" w:eastAsia="en-GB"/>
        </w:rPr>
        <w:t xml:space="preserve"> (Jonavos ir Radviliškio raj.). </w:t>
      </w:r>
    </w:p>
    <w:p w14:paraId="19D9AC6F" w14:textId="77777777" w:rsidR="008B10FF" w:rsidRPr="00A91669" w:rsidRDefault="008B10FF" w:rsidP="00E660EB">
      <w:pPr>
        <w:pStyle w:val="Betarp"/>
        <w:spacing w:line="250" w:lineRule="auto"/>
        <w:ind w:firstLine="709"/>
        <w:jc w:val="both"/>
        <w:rPr>
          <w:rFonts w:ascii="Times New Roman" w:hAnsi="Times New Roman"/>
          <w:bCs/>
          <w:sz w:val="24"/>
          <w:szCs w:val="24"/>
          <w:lang w:val="lt-LT" w:eastAsia="en-GB"/>
        </w:rPr>
      </w:pPr>
      <w:r w:rsidRPr="00A91669">
        <w:rPr>
          <w:rFonts w:ascii="Times New Roman" w:hAnsi="Times New Roman"/>
          <w:bCs/>
          <w:sz w:val="24"/>
          <w:szCs w:val="24"/>
          <w:lang w:val="lt-LT" w:eastAsia="en-GB"/>
        </w:rPr>
        <w:t>Lietuvos paukštininkystės sektoriui kelia grėsmę paukščių gripo situacija Europoje</w:t>
      </w:r>
      <w:r w:rsidRPr="00A91669">
        <w:rPr>
          <w:rStyle w:val="Puslapioinaosnuoroda"/>
          <w:rFonts w:ascii="Times New Roman" w:eastAsia="Calibri" w:hAnsi="Times New Roman"/>
          <w:sz w:val="24"/>
          <w:szCs w:val="24"/>
          <w:lang w:val="lt-LT" w:eastAsia="en-GB"/>
        </w:rPr>
        <w:footnoteReference w:id="47"/>
      </w:r>
      <w:r w:rsidRPr="00A91669">
        <w:rPr>
          <w:rFonts w:ascii="Times New Roman" w:hAnsi="Times New Roman"/>
          <w:bCs/>
          <w:sz w:val="24"/>
          <w:szCs w:val="24"/>
          <w:lang w:val="lt-LT" w:eastAsia="en-GB"/>
        </w:rPr>
        <w:t xml:space="preserve">. </w:t>
      </w:r>
    </w:p>
    <w:p w14:paraId="4EB8E8A7" w14:textId="77777777" w:rsidR="008B10FF" w:rsidRPr="00A91669" w:rsidRDefault="008B10FF" w:rsidP="00E660EB">
      <w:pPr>
        <w:pStyle w:val="Betarp"/>
        <w:spacing w:line="250" w:lineRule="auto"/>
        <w:ind w:firstLine="709"/>
        <w:jc w:val="both"/>
        <w:rPr>
          <w:rFonts w:ascii="Times New Roman" w:hAnsi="Times New Roman"/>
          <w:sz w:val="24"/>
          <w:szCs w:val="24"/>
          <w:lang w:val="lt-LT"/>
        </w:rPr>
      </w:pPr>
      <w:r w:rsidRPr="00A91669">
        <w:rPr>
          <w:rFonts w:ascii="Times New Roman" w:hAnsi="Times New Roman"/>
          <w:bCs/>
          <w:sz w:val="24"/>
          <w:szCs w:val="24"/>
          <w:lang w:val="lt-LT" w:eastAsia="en-GB"/>
        </w:rPr>
        <w:t>Tikėtina, kad ir ateityje bus fiksuojam</w:t>
      </w:r>
      <w:r>
        <w:rPr>
          <w:rFonts w:ascii="Times New Roman" w:hAnsi="Times New Roman"/>
          <w:bCs/>
          <w:sz w:val="24"/>
          <w:szCs w:val="24"/>
          <w:lang w:val="lt-LT" w:eastAsia="en-GB"/>
        </w:rPr>
        <w:t>a</w:t>
      </w:r>
      <w:r w:rsidRPr="00A91669">
        <w:rPr>
          <w:rFonts w:ascii="Times New Roman" w:hAnsi="Times New Roman"/>
          <w:bCs/>
          <w:sz w:val="24"/>
          <w:szCs w:val="24"/>
          <w:lang w:val="lt-LT" w:eastAsia="en-GB"/>
        </w:rPr>
        <w:t xml:space="preserve"> </w:t>
      </w:r>
      <w:r w:rsidRPr="00A91669">
        <w:rPr>
          <w:rFonts w:ascii="Times New Roman" w:hAnsi="Times New Roman"/>
          <w:sz w:val="24"/>
          <w:szCs w:val="24"/>
          <w:lang w:val="lt-LT"/>
        </w:rPr>
        <w:t>afrikinio kiaulių maro atvej</w:t>
      </w:r>
      <w:r>
        <w:rPr>
          <w:rFonts w:ascii="Times New Roman" w:hAnsi="Times New Roman"/>
          <w:sz w:val="24"/>
          <w:szCs w:val="24"/>
          <w:lang w:val="lt-LT"/>
        </w:rPr>
        <w:t>ų</w:t>
      </w:r>
      <w:r w:rsidRPr="00A91669">
        <w:rPr>
          <w:rFonts w:ascii="Times New Roman" w:hAnsi="Times New Roman"/>
          <w:sz w:val="24"/>
          <w:szCs w:val="24"/>
          <w:lang w:val="lt-LT"/>
        </w:rPr>
        <w:t>, paukščių gripo protrūki</w:t>
      </w:r>
      <w:r>
        <w:rPr>
          <w:rFonts w:ascii="Times New Roman" w:hAnsi="Times New Roman"/>
          <w:sz w:val="24"/>
          <w:szCs w:val="24"/>
          <w:lang w:val="lt-LT"/>
        </w:rPr>
        <w:t>ų</w:t>
      </w:r>
      <w:r w:rsidRPr="00A91669">
        <w:rPr>
          <w:rFonts w:ascii="Times New Roman" w:hAnsi="Times New Roman"/>
          <w:sz w:val="24"/>
          <w:szCs w:val="24"/>
          <w:lang w:val="lt-LT"/>
        </w:rPr>
        <w:t xml:space="preserve">, </w:t>
      </w:r>
      <w:r w:rsidRPr="00A91669">
        <w:rPr>
          <w:rFonts w:ascii="Times New Roman" w:hAnsi="Times New Roman"/>
          <w:bCs/>
          <w:sz w:val="24"/>
          <w:szCs w:val="24"/>
          <w:lang w:val="lt-LT" w:eastAsia="en-GB"/>
        </w:rPr>
        <w:t xml:space="preserve">gali kilti </w:t>
      </w:r>
      <w:r w:rsidRPr="00A91669">
        <w:rPr>
          <w:rFonts w:ascii="Times New Roman" w:hAnsi="Times New Roman"/>
          <w:sz w:val="24"/>
          <w:szCs w:val="24"/>
          <w:lang w:val="lt-LT"/>
        </w:rPr>
        <w:t>miškų ir durpynų gaisr</w:t>
      </w:r>
      <w:r>
        <w:rPr>
          <w:rFonts w:ascii="Times New Roman" w:hAnsi="Times New Roman"/>
          <w:sz w:val="24"/>
          <w:szCs w:val="24"/>
          <w:lang w:val="lt-LT"/>
        </w:rPr>
        <w:t>ų</w:t>
      </w:r>
      <w:r w:rsidRPr="00A91669">
        <w:rPr>
          <w:rFonts w:ascii="Times New Roman" w:hAnsi="Times New Roman"/>
          <w:sz w:val="24"/>
          <w:szCs w:val="24"/>
          <w:lang w:val="lt-LT"/>
        </w:rPr>
        <w:t>, ekstremalieji įvykiai ar situacijos gali kilti dėl avarijų energetikos objektuose, transporte, elektros, šilumos ir komunaliniame ūkyje, pavojingų radinių. Dėl pastatytos</w:t>
      </w:r>
      <w:r w:rsidRPr="0046338C">
        <w:rPr>
          <w:rFonts w:ascii="Times New Roman" w:hAnsi="Times New Roman"/>
          <w:sz w:val="24"/>
          <w:szCs w:val="24"/>
          <w:lang w:val="lt-LT"/>
        </w:rPr>
        <w:t xml:space="preserve"> </w:t>
      </w:r>
      <w:r w:rsidRPr="00A91669">
        <w:rPr>
          <w:rFonts w:ascii="Times New Roman" w:hAnsi="Times New Roman"/>
          <w:sz w:val="24"/>
          <w:szCs w:val="24"/>
          <w:lang w:val="lt-LT"/>
        </w:rPr>
        <w:t xml:space="preserve">prie pat Lietuvos valstybės sienos ir jau pradėjusios veikti Baltarusijos atominės elektrinės didėja branduolinių ir radiologinių incidentų grėsmė. </w:t>
      </w:r>
    </w:p>
    <w:bookmarkEnd w:id="73"/>
    <w:bookmarkEnd w:id="74"/>
    <w:p w14:paraId="26C22FB4" w14:textId="77777777" w:rsidR="008B10FF" w:rsidRPr="00A91669" w:rsidRDefault="008B10FF" w:rsidP="00E660EB">
      <w:pPr>
        <w:shd w:val="clear" w:color="auto" w:fill="FFFFFF"/>
        <w:spacing w:line="250" w:lineRule="auto"/>
        <w:ind w:firstLine="709"/>
        <w:jc w:val="both"/>
        <w:textAlignment w:val="baseline"/>
        <w:rPr>
          <w:szCs w:val="24"/>
        </w:rPr>
      </w:pPr>
    </w:p>
    <w:p w14:paraId="02ACC87D" w14:textId="77777777" w:rsidR="008B10FF" w:rsidRPr="00A91669" w:rsidRDefault="008B10FF" w:rsidP="00E660EB">
      <w:pPr>
        <w:keepNext/>
        <w:keepLines/>
        <w:shd w:val="clear" w:color="auto" w:fill="FFFFFF" w:themeFill="background1"/>
        <w:spacing w:line="250" w:lineRule="auto"/>
        <w:ind w:firstLine="709"/>
        <w:jc w:val="both"/>
        <w:outlineLvl w:val="1"/>
        <w:rPr>
          <w:b/>
          <w:bCs/>
          <w:iCs/>
          <w:kern w:val="32"/>
          <w:szCs w:val="24"/>
        </w:rPr>
      </w:pPr>
      <w:bookmarkStart w:id="75" w:name="_Toc508921168"/>
      <w:r w:rsidRPr="00A91669">
        <w:rPr>
          <w:b/>
          <w:szCs w:val="24"/>
        </w:rPr>
        <w:t>2. Nacionalinio saugumo politikos prioritetai ir uždaviniai</w:t>
      </w:r>
      <w:bookmarkEnd w:id="75"/>
    </w:p>
    <w:p w14:paraId="39940A73" w14:textId="77777777" w:rsidR="008B10FF" w:rsidRPr="00A91669" w:rsidRDefault="008B10FF" w:rsidP="00E660EB">
      <w:pPr>
        <w:pStyle w:val="Antrat5"/>
        <w:spacing w:before="0" w:line="250" w:lineRule="auto"/>
        <w:ind w:firstLine="709"/>
        <w:rPr>
          <w:rFonts w:ascii="Times New Roman" w:hAnsi="Times New Roman" w:cs="Times New Roman"/>
          <w:b/>
          <w:bCs/>
          <w:color w:val="17365D" w:themeColor="text2" w:themeShade="BF"/>
          <w:szCs w:val="24"/>
        </w:rPr>
      </w:pPr>
      <w:r w:rsidRPr="00A91669">
        <w:rPr>
          <w:rFonts w:ascii="Times New Roman" w:hAnsi="Times New Roman" w:cs="Times New Roman"/>
          <w:b/>
          <w:bCs/>
          <w:color w:val="17365D" w:themeColor="text2" w:themeShade="BF"/>
          <w:szCs w:val="24"/>
        </w:rPr>
        <w:t xml:space="preserve">Nacionalinių gynybos pajėgumų stiprinimas </w:t>
      </w:r>
    </w:p>
    <w:p w14:paraId="7F61A99B" w14:textId="77777777" w:rsidR="008B10FF" w:rsidRPr="00A91669" w:rsidRDefault="008B10FF" w:rsidP="00E660EB">
      <w:pPr>
        <w:tabs>
          <w:tab w:val="left" w:pos="567"/>
        </w:tabs>
        <w:spacing w:line="250" w:lineRule="auto"/>
        <w:ind w:firstLine="709"/>
        <w:jc w:val="both"/>
        <w:rPr>
          <w:szCs w:val="24"/>
        </w:rPr>
      </w:pPr>
      <w:r w:rsidRPr="00A91669">
        <w:rPr>
          <w:szCs w:val="24"/>
        </w:rPr>
        <w:t>2020 m. krašto apsaugos sistema tęsė sistemingą ir nuoseklų nacionalinių gynybos pajėgumų stiprinimą,  prioritetai nepakit</w:t>
      </w:r>
      <w:r>
        <w:rPr>
          <w:szCs w:val="24"/>
        </w:rPr>
        <w:t>o</w:t>
      </w:r>
      <w:r w:rsidRPr="00A91669">
        <w:rPr>
          <w:szCs w:val="24"/>
        </w:rPr>
        <w:t xml:space="preserve">: Lietuvos kariuomenės gebėjimo kariauti sausumoje, užtikrinant vienetų judėjimą ir manevrą, stiprinimas, ugnies paramos galios didinimas, oro erdvės stebėjimo ir oro gynybos stiprinimas bei veiksminga žvalgyba. 2020 m. daug dėmesio skirta ir jūrinės situacijos suvokimo pajėgumo tolesniam vystymui, logistinės paramos stiprinimui, saugaus informacijos perdavimo užtikrinimui ir kibernetinio saugumo didinimui. </w:t>
      </w:r>
    </w:p>
    <w:p w14:paraId="60B48941" w14:textId="77777777" w:rsidR="008B10FF" w:rsidRPr="00A91669" w:rsidRDefault="008B10FF" w:rsidP="00E660EB">
      <w:pPr>
        <w:tabs>
          <w:tab w:val="left" w:pos="567"/>
        </w:tabs>
        <w:spacing w:line="250" w:lineRule="auto"/>
        <w:ind w:firstLine="709"/>
        <w:jc w:val="both"/>
        <w:rPr>
          <w:szCs w:val="24"/>
        </w:rPr>
      </w:pPr>
      <w:r w:rsidRPr="00A91669">
        <w:rPr>
          <w:szCs w:val="24"/>
        </w:rPr>
        <w:t xml:space="preserve">Gynybos pajėgumų pažangą lėmė toliau didinamas gynybos biudžetas – 2020 m. gynybai skirta 1,028 mlrd. eurų, arba 2,1 proc. bendrojo vidaus produkto (toliau – BVP), palyginti – 2019 m. gynybos išlaidos sudarė 976,7 mln. eurų, arba 2,03 proc. BVP. Nepaisydama COVID-19 pandemijos sukurtų ekonominių padarinių, Lietuva nemažino išlaidų šalies gynybai – jos per metus padidėjo 4,7 proc. Realus gynybos biudžetas augo tolygiai, tačiau dėl 2020 m. ekonomikos susitraukimo BVP rodiklis rodo daug didesnį augimą. </w:t>
      </w:r>
    </w:p>
    <w:p w14:paraId="09027CD3" w14:textId="77777777" w:rsidR="008B10FF" w:rsidRPr="00307E48" w:rsidRDefault="008B10FF" w:rsidP="00E660EB">
      <w:pPr>
        <w:tabs>
          <w:tab w:val="left" w:pos="567"/>
        </w:tabs>
        <w:spacing w:line="250" w:lineRule="auto"/>
        <w:ind w:firstLine="709"/>
        <w:jc w:val="both"/>
        <w:rPr>
          <w:szCs w:val="24"/>
        </w:rPr>
      </w:pPr>
      <w:r w:rsidRPr="00A91669">
        <w:rPr>
          <w:szCs w:val="24"/>
        </w:rPr>
        <w:t xml:space="preserve">Stiprinant Lietuvos kariuomenės pajėgumus sausumoje, buvo </w:t>
      </w:r>
      <w:r w:rsidRPr="00A91669">
        <w:rPr>
          <w:bCs/>
          <w:szCs w:val="24"/>
        </w:rPr>
        <w:t xml:space="preserve">tęsiami pagrindiniai modernizacijos projektai. </w:t>
      </w:r>
      <w:r w:rsidRPr="00A91669">
        <w:rPr>
          <w:szCs w:val="24"/>
        </w:rPr>
        <w:t xml:space="preserve">Mechanizuotojoje pėstininkų brigadoje „Geležinis Vilkas“ toliau diegtos pėstininkų kovos mašinos „Vilkas“, sustiprinančios Sausumos pajėgų vienetų mobilumą bei ugnies galią, ir savaeigės </w:t>
      </w:r>
      <w:proofErr w:type="spellStart"/>
      <w:r w:rsidRPr="00A91669">
        <w:rPr>
          <w:szCs w:val="24"/>
        </w:rPr>
        <w:t>haubicos</w:t>
      </w:r>
      <w:proofErr w:type="spellEnd"/>
      <w:r w:rsidRPr="00A91669">
        <w:rPr>
          <w:szCs w:val="24"/>
        </w:rPr>
        <w:t xml:space="preserve"> „PzH2000“, sustiprinančios netiesioginės ugnies paramą. Logistinės paramos srityje tęsiant bendradarbiavimą su NATO Paramos</w:t>
      </w:r>
      <w:r w:rsidRPr="00307E48">
        <w:rPr>
          <w:szCs w:val="24"/>
        </w:rPr>
        <w:t xml:space="preserve"> ir pirkimų agentūra, </w:t>
      </w:r>
      <w:r>
        <w:rPr>
          <w:szCs w:val="24"/>
        </w:rPr>
        <w:t>gauti</w:t>
      </w:r>
      <w:r w:rsidRPr="00307E48">
        <w:rPr>
          <w:szCs w:val="24"/>
        </w:rPr>
        <w:t xml:space="preserve"> 142 nauj</w:t>
      </w:r>
      <w:r>
        <w:rPr>
          <w:szCs w:val="24"/>
        </w:rPr>
        <w:t>i</w:t>
      </w:r>
      <w:r w:rsidRPr="00307E48">
        <w:rPr>
          <w:szCs w:val="24"/>
        </w:rPr>
        <w:t xml:space="preserve"> sunkvežimi</w:t>
      </w:r>
      <w:r>
        <w:rPr>
          <w:szCs w:val="24"/>
        </w:rPr>
        <w:t>ai</w:t>
      </w:r>
      <w:r w:rsidRPr="00307E48">
        <w:rPr>
          <w:szCs w:val="24"/>
        </w:rPr>
        <w:t xml:space="preserve"> „</w:t>
      </w:r>
      <w:proofErr w:type="spellStart"/>
      <w:r w:rsidRPr="00307E48">
        <w:rPr>
          <w:szCs w:val="24"/>
        </w:rPr>
        <w:t>Unimog</w:t>
      </w:r>
      <w:proofErr w:type="spellEnd"/>
      <w:r w:rsidRPr="00307E48">
        <w:rPr>
          <w:szCs w:val="24"/>
        </w:rPr>
        <w:t xml:space="preserve">“. </w:t>
      </w:r>
      <w:r>
        <w:rPr>
          <w:szCs w:val="24"/>
        </w:rPr>
        <w:t>Daug</w:t>
      </w:r>
      <w:r w:rsidRPr="00307E48">
        <w:rPr>
          <w:szCs w:val="24"/>
        </w:rPr>
        <w:t xml:space="preserve"> dėmes</w:t>
      </w:r>
      <w:r>
        <w:rPr>
          <w:szCs w:val="24"/>
        </w:rPr>
        <w:t>io</w:t>
      </w:r>
      <w:r w:rsidRPr="00307E48">
        <w:rPr>
          <w:szCs w:val="24"/>
        </w:rPr>
        <w:t xml:space="preserve"> buvo skiriama „Geležinio Vilko“ brigados komplektavimui, aprūpinimui ir parengimui, ypa</w:t>
      </w:r>
      <w:r>
        <w:rPr>
          <w:szCs w:val="24"/>
        </w:rPr>
        <w:t>č –</w:t>
      </w:r>
      <w:r w:rsidRPr="00307E48">
        <w:rPr>
          <w:szCs w:val="24"/>
        </w:rPr>
        <w:t xml:space="preserve"> brigados pagrindu komplektuojamoms ir rengiamoms L</w:t>
      </w:r>
      <w:r>
        <w:rPr>
          <w:szCs w:val="24"/>
        </w:rPr>
        <w:t xml:space="preserve">ietuvos kariuomenės </w:t>
      </w:r>
      <w:r w:rsidRPr="00307E48">
        <w:rPr>
          <w:szCs w:val="24"/>
        </w:rPr>
        <w:t>greito</w:t>
      </w:r>
      <w:r>
        <w:rPr>
          <w:szCs w:val="24"/>
        </w:rPr>
        <w:t>jo</w:t>
      </w:r>
      <w:r w:rsidRPr="00307E48">
        <w:rPr>
          <w:szCs w:val="24"/>
        </w:rPr>
        <w:t xml:space="preserve"> reagavimo pajėgoms, pasirengusioms nedelsiant reaguoti į įvairias ir netikėtai kylančias grėsmes. </w:t>
      </w:r>
      <w:r>
        <w:rPr>
          <w:szCs w:val="24"/>
        </w:rPr>
        <w:t>B</w:t>
      </w:r>
      <w:r w:rsidRPr="00307E48">
        <w:rPr>
          <w:szCs w:val="24"/>
        </w:rPr>
        <w:t>uvo tęsiamas L</w:t>
      </w:r>
      <w:r>
        <w:rPr>
          <w:szCs w:val="24"/>
        </w:rPr>
        <w:t>ietuvos kariuomenės</w:t>
      </w:r>
      <w:r w:rsidRPr="00307E48">
        <w:rPr>
          <w:szCs w:val="24"/>
        </w:rPr>
        <w:t xml:space="preserve"> Motorizuotosios pėstininkų brigados „Žemaitija“ formavimas. </w:t>
      </w:r>
    </w:p>
    <w:p w14:paraId="3F7B67F2" w14:textId="77777777" w:rsidR="008B10FF" w:rsidRPr="00307E48" w:rsidRDefault="008B10FF" w:rsidP="00E660EB">
      <w:pPr>
        <w:tabs>
          <w:tab w:val="left" w:pos="567"/>
        </w:tabs>
        <w:spacing w:line="250" w:lineRule="auto"/>
        <w:ind w:firstLine="709"/>
        <w:jc w:val="both"/>
        <w:rPr>
          <w:szCs w:val="24"/>
        </w:rPr>
      </w:pPr>
      <w:r w:rsidRPr="00307E48">
        <w:rPr>
          <w:szCs w:val="24"/>
        </w:rPr>
        <w:t xml:space="preserve">Stiprinant oro erdvės stebėjimą ir kontrolę, buvo tęsiamas įsigyjamų oro erdvės stebėjimo radarų integravimas. Lietuvos nacionalinis valdymo ir pranešimų centras Karmėlavoje pradėjo NATO oro policijos valdymą rotaciniu būdu kartu su nacionaliniais centrais Latvijoje ir Estijoje. Gerinant oro gynybos pajėgumus, 2020 m. Lietuvai buvo oficialiai perduota vidutinio nuotolio oro gynybos sistema </w:t>
      </w:r>
      <w:r w:rsidRPr="00307E48">
        <w:rPr>
          <w:bCs/>
          <w:szCs w:val="24"/>
        </w:rPr>
        <w:t>NASAMS</w:t>
      </w:r>
      <w:r w:rsidRPr="00307E48">
        <w:rPr>
          <w:szCs w:val="24"/>
        </w:rPr>
        <w:t xml:space="preserve">. Taip suformuotos dvi oro gynybos baterijos ir baigtas įsigijimo projektas. </w:t>
      </w:r>
    </w:p>
    <w:p w14:paraId="7C4F78B7" w14:textId="77777777" w:rsidR="008B10FF" w:rsidRPr="00307E48" w:rsidRDefault="008B10FF" w:rsidP="00E660EB">
      <w:pPr>
        <w:tabs>
          <w:tab w:val="left" w:pos="567"/>
        </w:tabs>
        <w:spacing w:line="250" w:lineRule="auto"/>
        <w:ind w:firstLine="709"/>
        <w:jc w:val="both"/>
        <w:rPr>
          <w:szCs w:val="24"/>
        </w:rPr>
      </w:pPr>
      <w:r w:rsidRPr="00307E48">
        <w:rPr>
          <w:szCs w:val="24"/>
        </w:rPr>
        <w:t xml:space="preserve">2020 m. </w:t>
      </w:r>
      <w:r>
        <w:rPr>
          <w:szCs w:val="24"/>
        </w:rPr>
        <w:t>toliau buvo vystomi</w:t>
      </w:r>
      <w:r w:rsidRPr="00307E48">
        <w:rPr>
          <w:szCs w:val="24"/>
        </w:rPr>
        <w:t xml:space="preserve"> </w:t>
      </w:r>
      <w:r>
        <w:rPr>
          <w:szCs w:val="24"/>
        </w:rPr>
        <w:t xml:space="preserve">bei atkuriami </w:t>
      </w:r>
      <w:r w:rsidRPr="00307E48">
        <w:rPr>
          <w:szCs w:val="24"/>
        </w:rPr>
        <w:t>ir kit</w:t>
      </w:r>
      <w:r>
        <w:rPr>
          <w:szCs w:val="24"/>
        </w:rPr>
        <w:t>i</w:t>
      </w:r>
      <w:r w:rsidRPr="00307E48">
        <w:rPr>
          <w:szCs w:val="24"/>
        </w:rPr>
        <w:t xml:space="preserve"> L</w:t>
      </w:r>
      <w:r>
        <w:rPr>
          <w:szCs w:val="24"/>
        </w:rPr>
        <w:t>ietuvos kariuomenės</w:t>
      </w:r>
      <w:r w:rsidRPr="00307E48">
        <w:rPr>
          <w:szCs w:val="24"/>
        </w:rPr>
        <w:t xml:space="preserve"> pajėgum</w:t>
      </w:r>
      <w:r>
        <w:rPr>
          <w:szCs w:val="24"/>
        </w:rPr>
        <w:t>ai. S</w:t>
      </w:r>
      <w:r w:rsidRPr="00307E48">
        <w:rPr>
          <w:szCs w:val="24"/>
        </w:rPr>
        <w:t>iek</w:t>
      </w:r>
      <w:r>
        <w:rPr>
          <w:szCs w:val="24"/>
        </w:rPr>
        <w:t>dama</w:t>
      </w:r>
      <w:r w:rsidRPr="00307E48">
        <w:rPr>
          <w:szCs w:val="24"/>
        </w:rPr>
        <w:t xml:space="preserve"> išlaikyti povandeninio išminavimo pajėgumą, Lietuva su JK pasirašė HUNT klasės išminavimo laivo įsigijimo sutartį. </w:t>
      </w:r>
      <w:r>
        <w:rPr>
          <w:szCs w:val="24"/>
        </w:rPr>
        <w:t>N</w:t>
      </w:r>
      <w:r w:rsidRPr="00307E48">
        <w:rPr>
          <w:szCs w:val="24"/>
        </w:rPr>
        <w:t>or</w:t>
      </w:r>
      <w:r>
        <w:rPr>
          <w:szCs w:val="24"/>
        </w:rPr>
        <w:t>ėdama</w:t>
      </w:r>
      <w:r w:rsidRPr="00307E48">
        <w:rPr>
          <w:szCs w:val="24"/>
        </w:rPr>
        <w:t xml:space="preserve"> sudaryti sąlygas teikti pėstininkams paramą iš oro, didinti nedidelių karinių vienetų mobilumą, vykdyti medicininę evakuaciją ir efektyviau atlikti taikos meto užduotis, Lietuva pasirašė sutartį su </w:t>
      </w:r>
      <w:r>
        <w:rPr>
          <w:szCs w:val="24"/>
        </w:rPr>
        <w:t>JAV</w:t>
      </w:r>
      <w:r w:rsidRPr="00307E48">
        <w:rPr>
          <w:szCs w:val="24"/>
        </w:rPr>
        <w:t xml:space="preserve"> dėl </w:t>
      </w:r>
      <w:r>
        <w:rPr>
          <w:szCs w:val="24"/>
        </w:rPr>
        <w:t>ketur</w:t>
      </w:r>
      <w:r w:rsidRPr="00307E48">
        <w:rPr>
          <w:szCs w:val="24"/>
        </w:rPr>
        <w:t>ių</w:t>
      </w:r>
      <w:r w:rsidRPr="00307E48">
        <w:rPr>
          <w:b/>
          <w:bCs/>
          <w:szCs w:val="24"/>
        </w:rPr>
        <w:t xml:space="preserve"> </w:t>
      </w:r>
      <w:r w:rsidRPr="00307E48">
        <w:rPr>
          <w:bCs/>
          <w:szCs w:val="24"/>
        </w:rPr>
        <w:t>universalių sraigtasparnių UH-60M „</w:t>
      </w:r>
      <w:r w:rsidRPr="00307E48">
        <w:rPr>
          <w:bCs/>
          <w:szCs w:val="24"/>
          <w:lang w:val="en-US"/>
        </w:rPr>
        <w:t>Black Hawk</w:t>
      </w:r>
      <w:r w:rsidRPr="00307E48">
        <w:rPr>
          <w:bCs/>
          <w:szCs w:val="24"/>
        </w:rPr>
        <w:t>“</w:t>
      </w:r>
      <w:r w:rsidRPr="00307E48">
        <w:rPr>
          <w:szCs w:val="24"/>
        </w:rPr>
        <w:t xml:space="preserve"> įsigijimo. Jie iki 2025 m. pakeis nusidėvėjusius </w:t>
      </w:r>
      <w:r>
        <w:rPr>
          <w:szCs w:val="24"/>
        </w:rPr>
        <w:lastRenderedPageBreak/>
        <w:t xml:space="preserve">rusiškus </w:t>
      </w:r>
      <w:r w:rsidRPr="00307E48">
        <w:rPr>
          <w:szCs w:val="24"/>
        </w:rPr>
        <w:t xml:space="preserve">sraigtasparnius Mi-8 </w:t>
      </w:r>
      <w:r>
        <w:rPr>
          <w:szCs w:val="24"/>
        </w:rPr>
        <w:t>ir</w:t>
      </w:r>
      <w:r w:rsidRPr="00307E48">
        <w:rPr>
          <w:szCs w:val="24"/>
        </w:rPr>
        <w:t xml:space="preserve"> leis pereiti prie vakarietiškos platformos. L</w:t>
      </w:r>
      <w:r>
        <w:rPr>
          <w:szCs w:val="24"/>
        </w:rPr>
        <w:t>ietuvos kariuomenė</w:t>
      </w:r>
      <w:r w:rsidRPr="00307E48">
        <w:rPr>
          <w:szCs w:val="24"/>
        </w:rPr>
        <w:t xml:space="preserve"> toliau pirko </w:t>
      </w:r>
      <w:r>
        <w:rPr>
          <w:szCs w:val="24"/>
        </w:rPr>
        <w:t>ir kit</w:t>
      </w:r>
      <w:r>
        <w:rPr>
          <w:bCs/>
          <w:szCs w:val="24"/>
        </w:rPr>
        <w:t>os esminės</w:t>
      </w:r>
      <w:r w:rsidRPr="00307E48">
        <w:rPr>
          <w:bCs/>
          <w:szCs w:val="24"/>
        </w:rPr>
        <w:t xml:space="preserve"> įrang</w:t>
      </w:r>
      <w:r>
        <w:rPr>
          <w:bCs/>
          <w:szCs w:val="24"/>
        </w:rPr>
        <w:t>os</w:t>
      </w:r>
      <w:r w:rsidRPr="00307E48">
        <w:rPr>
          <w:bCs/>
          <w:szCs w:val="24"/>
        </w:rPr>
        <w:t xml:space="preserve"> ir ginkluot</w:t>
      </w:r>
      <w:r>
        <w:rPr>
          <w:bCs/>
          <w:szCs w:val="24"/>
        </w:rPr>
        <w:t>ės</w:t>
      </w:r>
      <w:r>
        <w:rPr>
          <w:szCs w:val="24"/>
        </w:rPr>
        <w:t>: į</w:t>
      </w:r>
      <w:r w:rsidRPr="00307E48">
        <w:rPr>
          <w:szCs w:val="24"/>
        </w:rPr>
        <w:t>sigyta prieštankinė</w:t>
      </w:r>
      <w:r>
        <w:rPr>
          <w:szCs w:val="24"/>
        </w:rPr>
        <w:t>s</w:t>
      </w:r>
      <w:r w:rsidRPr="00307E48">
        <w:rPr>
          <w:szCs w:val="24"/>
        </w:rPr>
        <w:t xml:space="preserve"> ginkluotė</w:t>
      </w:r>
      <w:r>
        <w:rPr>
          <w:szCs w:val="24"/>
        </w:rPr>
        <w:t>s</w:t>
      </w:r>
      <w:r w:rsidRPr="00307E48">
        <w:rPr>
          <w:szCs w:val="24"/>
        </w:rPr>
        <w:t>, minosvaidži</w:t>
      </w:r>
      <w:r>
        <w:rPr>
          <w:szCs w:val="24"/>
        </w:rPr>
        <w:t>ų</w:t>
      </w:r>
      <w:r w:rsidRPr="00307E48">
        <w:rPr>
          <w:szCs w:val="24"/>
        </w:rPr>
        <w:t>, stebėjimo ir matavimo priemon</w:t>
      </w:r>
      <w:r>
        <w:rPr>
          <w:szCs w:val="24"/>
        </w:rPr>
        <w:t>ių</w:t>
      </w:r>
      <w:r w:rsidRPr="00307E48">
        <w:rPr>
          <w:szCs w:val="24"/>
        </w:rPr>
        <w:t>, ryšių ir valdymo sistemų įrang</w:t>
      </w:r>
      <w:r>
        <w:rPr>
          <w:szCs w:val="24"/>
        </w:rPr>
        <w:t>os</w:t>
      </w:r>
      <w:r w:rsidRPr="00307E48">
        <w:rPr>
          <w:szCs w:val="24"/>
        </w:rPr>
        <w:t>, automatini</w:t>
      </w:r>
      <w:r>
        <w:rPr>
          <w:szCs w:val="24"/>
        </w:rPr>
        <w:t>ų</w:t>
      </w:r>
      <w:r w:rsidRPr="00307E48">
        <w:rPr>
          <w:szCs w:val="24"/>
        </w:rPr>
        <w:t xml:space="preserve"> šautuv</w:t>
      </w:r>
      <w:r>
        <w:rPr>
          <w:szCs w:val="24"/>
        </w:rPr>
        <w:t>ų</w:t>
      </w:r>
      <w:r w:rsidRPr="00307E48">
        <w:rPr>
          <w:szCs w:val="24"/>
        </w:rPr>
        <w:t>, taktin</w:t>
      </w:r>
      <w:r>
        <w:rPr>
          <w:szCs w:val="24"/>
        </w:rPr>
        <w:t>ių</w:t>
      </w:r>
      <w:r w:rsidRPr="00307E48">
        <w:rPr>
          <w:szCs w:val="24"/>
        </w:rPr>
        <w:t xml:space="preserve"> ryšio priemon</w:t>
      </w:r>
      <w:r>
        <w:rPr>
          <w:szCs w:val="24"/>
        </w:rPr>
        <w:t>ių</w:t>
      </w:r>
      <w:r w:rsidRPr="00307E48">
        <w:rPr>
          <w:szCs w:val="24"/>
        </w:rPr>
        <w:t>, logistinė</w:t>
      </w:r>
      <w:r>
        <w:rPr>
          <w:szCs w:val="24"/>
        </w:rPr>
        <w:t>s</w:t>
      </w:r>
      <w:r w:rsidRPr="00307E48">
        <w:rPr>
          <w:szCs w:val="24"/>
        </w:rPr>
        <w:t xml:space="preserve"> įrang</w:t>
      </w:r>
      <w:r>
        <w:rPr>
          <w:szCs w:val="24"/>
        </w:rPr>
        <w:t>os</w:t>
      </w:r>
      <w:r w:rsidRPr="00307E48">
        <w:rPr>
          <w:szCs w:val="24"/>
        </w:rPr>
        <w:t xml:space="preserve"> ir kit</w:t>
      </w:r>
      <w:r>
        <w:rPr>
          <w:szCs w:val="24"/>
        </w:rPr>
        <w:t>os</w:t>
      </w:r>
      <w:r w:rsidRPr="00307E48">
        <w:rPr>
          <w:szCs w:val="24"/>
        </w:rPr>
        <w:t xml:space="preserve"> technik</w:t>
      </w:r>
      <w:r>
        <w:rPr>
          <w:szCs w:val="24"/>
        </w:rPr>
        <w:t>os</w:t>
      </w:r>
      <w:r w:rsidRPr="00307E48">
        <w:rPr>
          <w:szCs w:val="24"/>
        </w:rPr>
        <w:t xml:space="preserve">. </w:t>
      </w:r>
      <w:r>
        <w:rPr>
          <w:szCs w:val="24"/>
        </w:rPr>
        <w:t>T</w:t>
      </w:r>
      <w:r w:rsidRPr="00307E48">
        <w:rPr>
          <w:szCs w:val="24"/>
        </w:rPr>
        <w:t>oliau stabiliai didėjo L</w:t>
      </w:r>
      <w:r>
        <w:rPr>
          <w:szCs w:val="24"/>
        </w:rPr>
        <w:t>ietuvos kariuomenės</w:t>
      </w:r>
      <w:r w:rsidRPr="00307E48">
        <w:rPr>
          <w:szCs w:val="24"/>
        </w:rPr>
        <w:t xml:space="preserve"> aprūpinimas atsargomis pagal </w:t>
      </w:r>
      <w:r>
        <w:rPr>
          <w:szCs w:val="24"/>
        </w:rPr>
        <w:t>numatytą</w:t>
      </w:r>
      <w:r w:rsidRPr="00307E48">
        <w:rPr>
          <w:szCs w:val="24"/>
        </w:rPr>
        <w:t xml:space="preserve"> 10 m</w:t>
      </w:r>
      <w:r>
        <w:rPr>
          <w:szCs w:val="24"/>
        </w:rPr>
        <w:t>etų</w:t>
      </w:r>
      <w:r w:rsidRPr="00307E48">
        <w:rPr>
          <w:szCs w:val="24"/>
        </w:rPr>
        <w:t xml:space="preserve"> </w:t>
      </w:r>
      <w:r>
        <w:rPr>
          <w:szCs w:val="24"/>
        </w:rPr>
        <w:t>planą</w:t>
      </w:r>
      <w:r w:rsidRPr="00307E48">
        <w:rPr>
          <w:szCs w:val="24"/>
        </w:rPr>
        <w:t xml:space="preserve">. </w:t>
      </w:r>
    </w:p>
    <w:p w14:paraId="0FD70177" w14:textId="77777777" w:rsidR="008B10FF" w:rsidRDefault="008B10FF" w:rsidP="00E660EB">
      <w:pPr>
        <w:tabs>
          <w:tab w:val="left" w:pos="567"/>
        </w:tabs>
        <w:spacing w:line="250" w:lineRule="auto"/>
        <w:ind w:firstLine="709"/>
        <w:jc w:val="both"/>
        <w:rPr>
          <w:szCs w:val="24"/>
        </w:rPr>
      </w:pPr>
      <w:r>
        <w:rPr>
          <w:szCs w:val="24"/>
        </w:rPr>
        <w:t xml:space="preserve">Toliau plėtota </w:t>
      </w:r>
      <w:r w:rsidRPr="00307E48">
        <w:rPr>
          <w:szCs w:val="24"/>
        </w:rPr>
        <w:t>L</w:t>
      </w:r>
      <w:r>
        <w:rPr>
          <w:szCs w:val="24"/>
        </w:rPr>
        <w:t>ietuvos kariuomenės</w:t>
      </w:r>
      <w:r w:rsidRPr="00307E48" w:rsidDel="00CB000F">
        <w:rPr>
          <w:szCs w:val="24"/>
        </w:rPr>
        <w:t xml:space="preserve"> infrastruktūra, atsižvelgiant tiek į nacionalinius, tiek į priimančios</w:t>
      </w:r>
      <w:r>
        <w:rPr>
          <w:szCs w:val="24"/>
        </w:rPr>
        <w:t>ios</w:t>
      </w:r>
      <w:r w:rsidRPr="00307E48" w:rsidDel="00CB000F">
        <w:rPr>
          <w:szCs w:val="24"/>
        </w:rPr>
        <w:t xml:space="preserve"> šalies paramos teikimo poreikius. </w:t>
      </w:r>
    </w:p>
    <w:p w14:paraId="465FE4CF" w14:textId="77777777" w:rsidR="008B10FF" w:rsidRPr="00307E48" w:rsidRDefault="008B10FF" w:rsidP="00E660EB">
      <w:pPr>
        <w:tabs>
          <w:tab w:val="left" w:pos="567"/>
        </w:tabs>
        <w:spacing w:line="250" w:lineRule="auto"/>
        <w:ind w:firstLine="709"/>
        <w:jc w:val="both"/>
        <w:rPr>
          <w:szCs w:val="24"/>
        </w:rPr>
      </w:pPr>
      <w:r w:rsidRPr="00307E48">
        <w:rPr>
          <w:szCs w:val="24"/>
        </w:rPr>
        <w:t xml:space="preserve">Plečiant kovinio rengimo ir mokymo infrastruktūrą, buvo didinamos poligonų </w:t>
      </w:r>
      <w:r>
        <w:rPr>
          <w:szCs w:val="24"/>
        </w:rPr>
        <w:t>ir</w:t>
      </w:r>
      <w:r w:rsidRPr="00307E48">
        <w:rPr>
          <w:szCs w:val="24"/>
        </w:rPr>
        <w:t xml:space="preserve"> aplink juos esančių karinio mokymo teritorijų ribos, atnaujinama infrastruktūra, įrengiami nauji treniravimosi laukai, pritaikomi naujai įsigyjamai ginkluotei. </w:t>
      </w:r>
      <w:r>
        <w:rPr>
          <w:szCs w:val="24"/>
        </w:rPr>
        <w:t xml:space="preserve">Siekiant gerinti karių apgyvendinimo ir tarnybos sąlygas, 2020 m. buvo atidarytos dvejos naujos kareivinės </w:t>
      </w:r>
      <w:r w:rsidRPr="00307E48">
        <w:rPr>
          <w:szCs w:val="24"/>
        </w:rPr>
        <w:t xml:space="preserve">Rukloje </w:t>
      </w:r>
      <w:r>
        <w:rPr>
          <w:szCs w:val="24"/>
        </w:rPr>
        <w:t xml:space="preserve">ir Tauragės rajone su 600 gyvenamųjų vietų kariams ir </w:t>
      </w:r>
      <w:r w:rsidRPr="00307E48">
        <w:rPr>
          <w:szCs w:val="24"/>
        </w:rPr>
        <w:t xml:space="preserve">„Žemaitijos“ brigados </w:t>
      </w:r>
      <w:r>
        <w:rPr>
          <w:szCs w:val="24"/>
        </w:rPr>
        <w:t>K</w:t>
      </w:r>
      <w:r w:rsidRPr="00307E48">
        <w:rPr>
          <w:szCs w:val="24"/>
        </w:rPr>
        <w:t xml:space="preserve">unigaikščio Margirio pėstininkų batalionui skirtas štabo pastatas Radviliškyje. </w:t>
      </w:r>
      <w:r w:rsidRPr="00BA598C">
        <w:rPr>
          <w:szCs w:val="24"/>
        </w:rPr>
        <w:t>Greitesniam sąjungininkų judėjimui ir dislokavimuisi reikalingos infrastruktūros projektai buvo vystomi Pabradėje, Rukloje ir Karinių oro pajėgų (toliau – KOP</w:t>
      </w:r>
      <w:r w:rsidRPr="00EC6BAD">
        <w:rPr>
          <w:szCs w:val="24"/>
        </w:rPr>
        <w:t xml:space="preserve">) Aviacijos bazėje, panaudojant nacionalines, NATO ir </w:t>
      </w:r>
      <w:r>
        <w:rPr>
          <w:szCs w:val="24"/>
        </w:rPr>
        <w:t>JAV</w:t>
      </w:r>
      <w:r w:rsidRPr="00EC6BAD">
        <w:rPr>
          <w:szCs w:val="24"/>
        </w:rPr>
        <w:t xml:space="preserve"> paramos lėšas. 2020 m. </w:t>
      </w:r>
      <w:r w:rsidRPr="00307E48">
        <w:rPr>
          <w:szCs w:val="24"/>
        </w:rPr>
        <w:t>L</w:t>
      </w:r>
      <w:r>
        <w:rPr>
          <w:szCs w:val="24"/>
        </w:rPr>
        <w:t>ietuvos kariuomenei</w:t>
      </w:r>
      <w:r w:rsidRPr="00EC6BAD">
        <w:rPr>
          <w:szCs w:val="24"/>
        </w:rPr>
        <w:t xml:space="preserve"> perduoti </w:t>
      </w:r>
      <w:r>
        <w:rPr>
          <w:szCs w:val="24"/>
        </w:rPr>
        <w:t>JAV</w:t>
      </w:r>
      <w:r w:rsidRPr="00EC6BAD">
        <w:rPr>
          <w:szCs w:val="24"/>
        </w:rPr>
        <w:t xml:space="preserve"> paramos lėšomis įrengti infrastruktūros objektai, esantys KOP Aviacijos</w:t>
      </w:r>
      <w:r w:rsidRPr="00307E48">
        <w:rPr>
          <w:szCs w:val="24"/>
        </w:rPr>
        <w:t xml:space="preserve"> bazėje: nauji transporto priemonių ir antžeminės įrangos remonto angarai, operacijų centras, </w:t>
      </w:r>
      <w:r>
        <w:rPr>
          <w:szCs w:val="24"/>
          <w:lang w:val="en-GB"/>
        </w:rPr>
        <w:t>3</w:t>
      </w:r>
      <w:r w:rsidRPr="00307E48">
        <w:rPr>
          <w:szCs w:val="24"/>
        </w:rPr>
        <w:t xml:space="preserve"> peronai, modernios naikintuvų gaudyklės ir vieno iš peronų apšvietimas, keletas orlaivių riedėjimui skirtų takų ir aikštelių </w:t>
      </w:r>
      <w:r>
        <w:rPr>
          <w:szCs w:val="24"/>
        </w:rPr>
        <w:t>ir</w:t>
      </w:r>
      <w:r w:rsidRPr="00307E48">
        <w:rPr>
          <w:szCs w:val="24"/>
        </w:rPr>
        <w:t xml:space="preserve"> antžeminio transporto judėjimo keliai. </w:t>
      </w:r>
    </w:p>
    <w:p w14:paraId="67D9A3FA" w14:textId="77777777" w:rsidR="008B10FF" w:rsidRDefault="008B10FF" w:rsidP="00E660EB">
      <w:pPr>
        <w:tabs>
          <w:tab w:val="left" w:pos="567"/>
        </w:tabs>
        <w:spacing w:line="250" w:lineRule="auto"/>
        <w:ind w:firstLine="709"/>
        <w:jc w:val="both"/>
        <w:rPr>
          <w:szCs w:val="24"/>
        </w:rPr>
      </w:pPr>
      <w:r w:rsidRPr="00307E48">
        <w:rPr>
          <w:szCs w:val="24"/>
        </w:rPr>
        <w:t>2020 m. baigta tiesti nacionalinės reikšmės geležinkelių linijos Pabradė</w:t>
      </w:r>
      <w:r>
        <w:rPr>
          <w:szCs w:val="24"/>
        </w:rPr>
        <w:t>–</w:t>
      </w:r>
      <w:proofErr w:type="spellStart"/>
      <w:r w:rsidRPr="00307E48">
        <w:rPr>
          <w:szCs w:val="24"/>
        </w:rPr>
        <w:t>Pažeimenė</w:t>
      </w:r>
      <w:proofErr w:type="spellEnd"/>
      <w:r w:rsidRPr="00307E48">
        <w:rPr>
          <w:szCs w:val="24"/>
        </w:rPr>
        <w:t xml:space="preserve"> atšaka. Ji padės užtikrinti patogesnį į Lietuvą atvykstančių NATO sąjungininkų karinės technikos ir kitos įrangos perdislokavimą į L</w:t>
      </w:r>
      <w:r>
        <w:rPr>
          <w:szCs w:val="24"/>
        </w:rPr>
        <w:t>ietuvos kariuomenės</w:t>
      </w:r>
      <w:r w:rsidRPr="00307E48">
        <w:rPr>
          <w:szCs w:val="24"/>
        </w:rPr>
        <w:t xml:space="preserve"> Generolo Silvestro Žukausko poligoną. </w:t>
      </w:r>
    </w:p>
    <w:p w14:paraId="2374924D" w14:textId="77777777" w:rsidR="008B10FF" w:rsidRDefault="008B10FF" w:rsidP="00E660EB">
      <w:pPr>
        <w:spacing w:line="250" w:lineRule="auto"/>
        <w:ind w:firstLine="709"/>
        <w:jc w:val="both"/>
        <w:rPr>
          <w:rFonts w:eastAsia="Calibri"/>
          <w:szCs w:val="24"/>
        </w:rPr>
      </w:pPr>
      <w:r w:rsidRPr="00307E48">
        <w:rPr>
          <w:szCs w:val="24"/>
        </w:rPr>
        <w:t>L</w:t>
      </w:r>
      <w:r>
        <w:rPr>
          <w:szCs w:val="24"/>
        </w:rPr>
        <w:t>ietuvos kariuomenė</w:t>
      </w:r>
      <w:r>
        <w:rPr>
          <w:color w:val="000000" w:themeColor="text1"/>
          <w:szCs w:val="24"/>
        </w:rPr>
        <w:t xml:space="preserve"> ir toliau b</w:t>
      </w:r>
      <w:r w:rsidRPr="00873890">
        <w:rPr>
          <w:color w:val="000000" w:themeColor="text1"/>
          <w:szCs w:val="24"/>
        </w:rPr>
        <w:t>uvo komplektuojama taikant mišrų kariuomenės komplektavimo modelį, t. y.</w:t>
      </w:r>
      <w:r>
        <w:rPr>
          <w:color w:val="000000" w:themeColor="text1"/>
          <w:szCs w:val="24"/>
        </w:rPr>
        <w:t xml:space="preserve"> iš </w:t>
      </w:r>
      <w:r w:rsidRPr="00873890">
        <w:rPr>
          <w:color w:val="000000" w:themeColor="text1"/>
          <w:szCs w:val="24"/>
        </w:rPr>
        <w:t xml:space="preserve"> </w:t>
      </w:r>
      <w:r>
        <w:rPr>
          <w:color w:val="000000" w:themeColor="text1"/>
          <w:szCs w:val="24"/>
        </w:rPr>
        <w:t xml:space="preserve">profesinės karo tarnybos (toliau – </w:t>
      </w:r>
      <w:r w:rsidRPr="008A13EB">
        <w:rPr>
          <w:color w:val="000000" w:themeColor="text1"/>
          <w:szCs w:val="24"/>
        </w:rPr>
        <w:t>PKT)</w:t>
      </w:r>
      <w:r w:rsidRPr="000F675D">
        <w:rPr>
          <w:color w:val="000000" w:themeColor="text1"/>
          <w:szCs w:val="24"/>
        </w:rPr>
        <w:t xml:space="preserve"> karių, </w:t>
      </w:r>
      <w:r w:rsidRPr="008A13EB">
        <w:rPr>
          <w:color w:val="000000" w:themeColor="text1"/>
          <w:szCs w:val="24"/>
        </w:rPr>
        <w:t>nuolatinės privalomosios pradinės karo tarnybos  (toliau – NPPKT</w:t>
      </w:r>
      <w:r w:rsidRPr="000F675D">
        <w:rPr>
          <w:color w:val="000000" w:themeColor="text1"/>
          <w:szCs w:val="24"/>
        </w:rPr>
        <w:t>) ka</w:t>
      </w:r>
      <w:r w:rsidRPr="00873890">
        <w:rPr>
          <w:color w:val="000000" w:themeColor="text1"/>
          <w:szCs w:val="24"/>
        </w:rPr>
        <w:t>ri</w:t>
      </w:r>
      <w:r>
        <w:rPr>
          <w:color w:val="000000" w:themeColor="text1"/>
          <w:szCs w:val="24"/>
        </w:rPr>
        <w:t>ų</w:t>
      </w:r>
      <w:r w:rsidRPr="00873890">
        <w:rPr>
          <w:color w:val="000000" w:themeColor="text1"/>
          <w:szCs w:val="24"/>
        </w:rPr>
        <w:t>, kari</w:t>
      </w:r>
      <w:r>
        <w:rPr>
          <w:color w:val="000000" w:themeColor="text1"/>
          <w:szCs w:val="24"/>
        </w:rPr>
        <w:t>ų</w:t>
      </w:r>
      <w:r w:rsidRPr="00873890">
        <w:rPr>
          <w:color w:val="000000" w:themeColor="text1"/>
          <w:szCs w:val="24"/>
        </w:rPr>
        <w:t xml:space="preserve"> savanori</w:t>
      </w:r>
      <w:r>
        <w:rPr>
          <w:color w:val="000000" w:themeColor="text1"/>
          <w:szCs w:val="24"/>
        </w:rPr>
        <w:t>ų</w:t>
      </w:r>
      <w:r w:rsidRPr="00873890">
        <w:rPr>
          <w:color w:val="000000" w:themeColor="text1"/>
          <w:szCs w:val="24"/>
        </w:rPr>
        <w:t xml:space="preserve"> ir kit</w:t>
      </w:r>
      <w:r>
        <w:rPr>
          <w:color w:val="000000" w:themeColor="text1"/>
          <w:szCs w:val="24"/>
        </w:rPr>
        <w:t>ų</w:t>
      </w:r>
      <w:r w:rsidRPr="00873890">
        <w:rPr>
          <w:color w:val="000000" w:themeColor="text1"/>
          <w:szCs w:val="24"/>
        </w:rPr>
        <w:t xml:space="preserve"> savanoriškos nenuolatinės karo tarnybos</w:t>
      </w:r>
      <w:r>
        <w:rPr>
          <w:color w:val="000000" w:themeColor="text1"/>
          <w:szCs w:val="24"/>
        </w:rPr>
        <w:t xml:space="preserve"> karių</w:t>
      </w:r>
      <w:r w:rsidRPr="00873890">
        <w:rPr>
          <w:color w:val="000000" w:themeColor="text1"/>
          <w:szCs w:val="24"/>
        </w:rPr>
        <w:t>.</w:t>
      </w:r>
      <w:r>
        <w:rPr>
          <w:color w:val="000000" w:themeColor="text1"/>
          <w:szCs w:val="24"/>
        </w:rPr>
        <w:t xml:space="preserve"> </w:t>
      </w:r>
    </w:p>
    <w:p w14:paraId="4A1D5DB4" w14:textId="77777777" w:rsidR="008B10FF" w:rsidRDefault="008B10FF" w:rsidP="00E660EB">
      <w:pPr>
        <w:spacing w:line="250" w:lineRule="auto"/>
        <w:ind w:firstLine="709"/>
        <w:jc w:val="both"/>
        <w:rPr>
          <w:szCs w:val="24"/>
        </w:rPr>
      </w:pPr>
      <w:r w:rsidRPr="00546916">
        <w:rPr>
          <w:szCs w:val="24"/>
        </w:rPr>
        <w:t>20</w:t>
      </w:r>
      <w:r>
        <w:rPr>
          <w:szCs w:val="24"/>
        </w:rPr>
        <w:t>20 m. atlikti NPPKT buvo pašaukti 3 352</w:t>
      </w:r>
      <w:r w:rsidRPr="00546916">
        <w:rPr>
          <w:szCs w:val="24"/>
        </w:rPr>
        <w:t xml:space="preserve"> </w:t>
      </w:r>
      <w:r>
        <w:rPr>
          <w:szCs w:val="24"/>
        </w:rPr>
        <w:t>karo prievolininkai. Beveik visi jie</w:t>
      </w:r>
      <w:r w:rsidRPr="00546916">
        <w:rPr>
          <w:szCs w:val="24"/>
        </w:rPr>
        <w:t xml:space="preserve"> </w:t>
      </w:r>
      <w:r>
        <w:rPr>
          <w:szCs w:val="24"/>
        </w:rPr>
        <w:t xml:space="preserve">buvo </w:t>
      </w:r>
      <w:r w:rsidRPr="00546916">
        <w:rPr>
          <w:szCs w:val="24"/>
        </w:rPr>
        <w:t>savanoriai, t. y. karių, pateikusių prašymus atlikti NPPKT dar iki kasmetinio šauktinių sąrašo sudarymo arba į jį nepatekusių</w:t>
      </w:r>
      <w:r>
        <w:rPr>
          <w:szCs w:val="24"/>
        </w:rPr>
        <w:t>,</w:t>
      </w:r>
      <w:r w:rsidRPr="00546916">
        <w:rPr>
          <w:szCs w:val="24"/>
        </w:rPr>
        <w:t xml:space="preserve"> </w:t>
      </w:r>
      <w:r>
        <w:rPr>
          <w:szCs w:val="24"/>
        </w:rPr>
        <w:t>buvo</w:t>
      </w:r>
      <w:r w:rsidRPr="00546916">
        <w:rPr>
          <w:szCs w:val="24"/>
        </w:rPr>
        <w:t xml:space="preserve"> </w:t>
      </w:r>
      <w:r>
        <w:rPr>
          <w:szCs w:val="24"/>
        </w:rPr>
        <w:t>1 808</w:t>
      </w:r>
      <w:r w:rsidRPr="00546916">
        <w:rPr>
          <w:szCs w:val="24"/>
        </w:rPr>
        <w:t>, o karių, esančių sąraše, tačiau išreiškusių norą pirmumo tvarka atlikti NPPKT</w:t>
      </w:r>
      <w:r>
        <w:rPr>
          <w:szCs w:val="24"/>
        </w:rPr>
        <w:t>, buvo</w:t>
      </w:r>
      <w:r w:rsidRPr="00546916">
        <w:rPr>
          <w:szCs w:val="24"/>
        </w:rPr>
        <w:t xml:space="preserve"> </w:t>
      </w:r>
      <w:r>
        <w:rPr>
          <w:szCs w:val="24"/>
        </w:rPr>
        <w:t xml:space="preserve">1 492. </w:t>
      </w:r>
    </w:p>
    <w:p w14:paraId="63A0920A" w14:textId="77777777" w:rsidR="008B10FF" w:rsidRDefault="008B10FF" w:rsidP="00E660EB">
      <w:pPr>
        <w:spacing w:line="250" w:lineRule="auto"/>
        <w:ind w:firstLine="709"/>
        <w:jc w:val="both"/>
        <w:rPr>
          <w:szCs w:val="24"/>
        </w:rPr>
      </w:pPr>
      <w:r>
        <w:rPr>
          <w:szCs w:val="24"/>
        </w:rPr>
        <w:t xml:space="preserve">PKT karių skaičius 2020 m. padidėjo 439 kariais, palyginti su 2019 m. </w:t>
      </w:r>
      <w:r w:rsidRPr="00DA03F5">
        <w:rPr>
          <w:szCs w:val="24"/>
        </w:rPr>
        <w:t>(2019 m. gruodžio 31 d. KAS tarnavo 10 729 PKT kariai, o 2020 m. gruodžio 31 d. 11 168 PKT kariai).</w:t>
      </w:r>
      <w:r w:rsidRPr="008225D6">
        <w:rPr>
          <w:rFonts w:eastAsia="Calibri"/>
          <w:szCs w:val="24"/>
        </w:rPr>
        <w:t xml:space="preserve"> </w:t>
      </w:r>
      <w:r w:rsidRPr="007737DE">
        <w:rPr>
          <w:szCs w:val="24"/>
        </w:rPr>
        <w:t>PKT karių skaičiaus didėjim</w:t>
      </w:r>
      <w:r>
        <w:rPr>
          <w:szCs w:val="24"/>
        </w:rPr>
        <w:t xml:space="preserve">ą daugiausia lėmė </w:t>
      </w:r>
      <w:r w:rsidRPr="007737DE">
        <w:rPr>
          <w:szCs w:val="24"/>
        </w:rPr>
        <w:t xml:space="preserve">NPPKT atlikę kariai, pasirinkę PKT (apie </w:t>
      </w:r>
      <w:r>
        <w:rPr>
          <w:color w:val="000000" w:themeColor="text1"/>
          <w:szCs w:val="24"/>
        </w:rPr>
        <w:t>10</w:t>
      </w:r>
      <w:r w:rsidRPr="0017159D">
        <w:rPr>
          <w:color w:val="000000" w:themeColor="text1"/>
          <w:szCs w:val="24"/>
        </w:rPr>
        <w:t xml:space="preserve"> </w:t>
      </w:r>
      <w:r w:rsidRPr="0017159D">
        <w:rPr>
          <w:szCs w:val="24"/>
        </w:rPr>
        <w:t>proc</w:t>
      </w:r>
      <w:r w:rsidRPr="007737DE">
        <w:rPr>
          <w:szCs w:val="24"/>
        </w:rPr>
        <w:t xml:space="preserve">. </w:t>
      </w:r>
      <w:r>
        <w:rPr>
          <w:szCs w:val="24"/>
        </w:rPr>
        <w:t xml:space="preserve">baigusių tarnybą 2020 m. </w:t>
      </w:r>
      <w:r w:rsidRPr="007737DE">
        <w:rPr>
          <w:szCs w:val="24"/>
        </w:rPr>
        <w:t xml:space="preserve">NPPKT karių pasirinko tęsti tarnybą PKT). </w:t>
      </w:r>
    </w:p>
    <w:p w14:paraId="220F66B2" w14:textId="77777777" w:rsidR="008B10FF" w:rsidRDefault="008B10FF" w:rsidP="00E660EB">
      <w:pPr>
        <w:spacing w:line="250" w:lineRule="auto"/>
        <w:ind w:firstLine="709"/>
        <w:jc w:val="both"/>
        <w:rPr>
          <w:color w:val="000000" w:themeColor="text1"/>
          <w:szCs w:val="24"/>
        </w:rPr>
      </w:pPr>
      <w:r>
        <w:rPr>
          <w:rFonts w:eastAsia="Calibri"/>
          <w:szCs w:val="24"/>
        </w:rPr>
        <w:t>Stengiamasi</w:t>
      </w:r>
      <w:r w:rsidRPr="005E1CE6">
        <w:rPr>
          <w:rFonts w:eastAsia="Calibri"/>
          <w:szCs w:val="24"/>
        </w:rPr>
        <w:t xml:space="preserve"> ne tik pritraukti į PKT tarnybą nauj</w:t>
      </w:r>
      <w:r>
        <w:rPr>
          <w:rFonts w:eastAsia="Calibri"/>
          <w:szCs w:val="24"/>
        </w:rPr>
        <w:t>ų</w:t>
      </w:r>
      <w:r w:rsidRPr="005E1CE6">
        <w:rPr>
          <w:rFonts w:eastAsia="Calibri"/>
          <w:szCs w:val="24"/>
        </w:rPr>
        <w:t xml:space="preserve"> kari</w:t>
      </w:r>
      <w:r>
        <w:rPr>
          <w:rFonts w:eastAsia="Calibri"/>
          <w:szCs w:val="24"/>
        </w:rPr>
        <w:t>ų</w:t>
      </w:r>
      <w:r w:rsidRPr="005E1CE6">
        <w:rPr>
          <w:rFonts w:eastAsia="Calibri"/>
          <w:szCs w:val="24"/>
        </w:rPr>
        <w:t xml:space="preserve">, bet ir motyvuoti bei išlaikyti jau tarnaujantį personalą. </w:t>
      </w:r>
      <w:r>
        <w:rPr>
          <w:color w:val="000000" w:themeColor="text1"/>
          <w:szCs w:val="24"/>
        </w:rPr>
        <w:t>Nuo</w:t>
      </w:r>
      <w:r w:rsidRPr="0015003F">
        <w:rPr>
          <w:color w:val="000000" w:themeColor="text1"/>
          <w:szCs w:val="24"/>
        </w:rPr>
        <w:t xml:space="preserve"> 2018 m. iki 2020 m. PKT karių atlyginimai vidutiniškai padidėjo 30,25 proc., priklausomai nuo turimo karinio laipsnio. Daugiausia tarnybinis atlyginimas didėjo PKT kariams, turintiems žemesnius karinius laipsnius</w:t>
      </w:r>
      <w:r>
        <w:rPr>
          <w:color w:val="000000" w:themeColor="text1"/>
          <w:szCs w:val="24"/>
        </w:rPr>
        <w:t>.</w:t>
      </w:r>
      <w:r w:rsidRPr="004D2AEE">
        <w:rPr>
          <w:rFonts w:eastAsia="Calibri"/>
          <w:szCs w:val="24"/>
        </w:rPr>
        <w:t xml:space="preserve"> </w:t>
      </w:r>
      <w:r>
        <w:rPr>
          <w:rFonts w:eastAsia="Calibri"/>
          <w:szCs w:val="24"/>
        </w:rPr>
        <w:t>2020</w:t>
      </w:r>
      <w:r w:rsidRPr="005E1CE6">
        <w:rPr>
          <w:rFonts w:eastAsia="Calibri"/>
          <w:szCs w:val="24"/>
        </w:rPr>
        <w:t xml:space="preserve"> m. buvo toliau gerinamos</w:t>
      </w:r>
      <w:r w:rsidRPr="00CB000F">
        <w:rPr>
          <w:rFonts w:eastAsia="Calibri"/>
          <w:szCs w:val="24"/>
        </w:rPr>
        <w:t xml:space="preserve"> </w:t>
      </w:r>
      <w:r w:rsidRPr="005E1CE6">
        <w:rPr>
          <w:rFonts w:eastAsia="Calibri"/>
          <w:szCs w:val="24"/>
        </w:rPr>
        <w:t>socialinės, sveikatos apsaugos ir kitos mo</w:t>
      </w:r>
      <w:r>
        <w:rPr>
          <w:rFonts w:eastAsia="Calibri"/>
          <w:szCs w:val="24"/>
        </w:rPr>
        <w:t>tyvacinės priemonės</w:t>
      </w:r>
      <w:r>
        <w:rPr>
          <w:color w:val="000000" w:themeColor="text1"/>
          <w:szCs w:val="24"/>
        </w:rPr>
        <w:t xml:space="preserve">: </w:t>
      </w:r>
      <w:r w:rsidRPr="0015003F">
        <w:rPr>
          <w:color w:val="000000" w:themeColor="text1"/>
          <w:szCs w:val="24"/>
        </w:rPr>
        <w:t>pagerintos karių išeitinių išmokų mokėjimo sąlygos, padidinti išeitinių išmokų dydžiai</w:t>
      </w:r>
      <w:r>
        <w:rPr>
          <w:color w:val="000000" w:themeColor="text1"/>
          <w:szCs w:val="24"/>
        </w:rPr>
        <w:t>,</w:t>
      </w:r>
      <w:r w:rsidRPr="0015003F">
        <w:rPr>
          <w:color w:val="000000" w:themeColor="text1"/>
          <w:szCs w:val="24"/>
        </w:rPr>
        <w:t xml:space="preserve"> atsižvelgiant į karių tarnybos stažą, taip pat patobulinta tarptautinėse operacijose tarnaujančių karių savan</w:t>
      </w:r>
      <w:r>
        <w:rPr>
          <w:color w:val="000000" w:themeColor="text1"/>
          <w:szCs w:val="24"/>
        </w:rPr>
        <w:t>orių atostogų suteikimo tvarka.</w:t>
      </w:r>
      <w:r w:rsidRPr="00317A75">
        <w:rPr>
          <w:color w:val="000000" w:themeColor="text1"/>
          <w:szCs w:val="24"/>
        </w:rPr>
        <w:t xml:space="preserve"> </w:t>
      </w:r>
      <w:r>
        <w:rPr>
          <w:color w:val="000000" w:themeColor="text1"/>
          <w:szCs w:val="24"/>
        </w:rPr>
        <w:t xml:space="preserve">Krašto apsaugos ministerijoje </w:t>
      </w:r>
      <w:r w:rsidRPr="0015003F">
        <w:rPr>
          <w:color w:val="000000" w:themeColor="text1"/>
          <w:szCs w:val="24"/>
        </w:rPr>
        <w:t>sudaryta Paramos sužeistiems kariams koordinavimo grupė</w:t>
      </w:r>
      <w:r>
        <w:rPr>
          <w:color w:val="000000" w:themeColor="text1"/>
          <w:szCs w:val="24"/>
        </w:rPr>
        <w:t xml:space="preserve">, kuri </w:t>
      </w:r>
      <w:r w:rsidRPr="0015003F">
        <w:rPr>
          <w:color w:val="000000" w:themeColor="text1"/>
          <w:szCs w:val="24"/>
        </w:rPr>
        <w:t xml:space="preserve">koordinuos </w:t>
      </w:r>
      <w:r>
        <w:rPr>
          <w:color w:val="000000" w:themeColor="text1"/>
          <w:szCs w:val="24"/>
        </w:rPr>
        <w:t>įvairių</w:t>
      </w:r>
      <w:r w:rsidRPr="0015003F">
        <w:rPr>
          <w:color w:val="000000" w:themeColor="text1"/>
          <w:szCs w:val="24"/>
        </w:rPr>
        <w:t xml:space="preserve"> paslaugų teikimo sužeistiems kariams ir jų artimiesiems organizavim</w:t>
      </w:r>
      <w:r>
        <w:rPr>
          <w:color w:val="000000" w:themeColor="text1"/>
          <w:szCs w:val="24"/>
        </w:rPr>
        <w:t>ą.</w:t>
      </w:r>
    </w:p>
    <w:p w14:paraId="43E38511" w14:textId="77777777" w:rsidR="008B10FF" w:rsidRPr="00DB60FB" w:rsidRDefault="008B10FF" w:rsidP="00E660EB">
      <w:pPr>
        <w:spacing w:line="250" w:lineRule="auto"/>
        <w:ind w:firstLine="709"/>
        <w:jc w:val="both"/>
        <w:rPr>
          <w:color w:val="000000" w:themeColor="text1"/>
          <w:szCs w:val="24"/>
        </w:rPr>
      </w:pPr>
      <w:r>
        <w:rPr>
          <w:rFonts w:eastAsia="Calibri"/>
          <w:szCs w:val="24"/>
        </w:rPr>
        <w:t>2020</w:t>
      </w:r>
      <w:r w:rsidRPr="005E1CE6">
        <w:rPr>
          <w:rFonts w:eastAsia="Calibri"/>
          <w:szCs w:val="24"/>
        </w:rPr>
        <w:t xml:space="preserve"> m. toliau didėjo ir K</w:t>
      </w:r>
      <w:r>
        <w:rPr>
          <w:rFonts w:eastAsia="Calibri"/>
          <w:szCs w:val="24"/>
        </w:rPr>
        <w:t>rašto apsaugos savanorių pajėgose (toliau – K</w:t>
      </w:r>
      <w:r w:rsidRPr="005E1CE6">
        <w:rPr>
          <w:rFonts w:eastAsia="Calibri"/>
          <w:szCs w:val="24"/>
        </w:rPr>
        <w:t>ASP</w:t>
      </w:r>
      <w:r>
        <w:rPr>
          <w:rFonts w:eastAsia="Calibri"/>
          <w:szCs w:val="24"/>
        </w:rPr>
        <w:t>)</w:t>
      </w:r>
      <w:r w:rsidRPr="005E1CE6">
        <w:rPr>
          <w:rFonts w:eastAsia="Calibri"/>
          <w:szCs w:val="24"/>
        </w:rPr>
        <w:t xml:space="preserve"> </w:t>
      </w:r>
      <w:r w:rsidRPr="00DB60FB">
        <w:rPr>
          <w:rFonts w:eastAsia="Calibri"/>
          <w:szCs w:val="24"/>
        </w:rPr>
        <w:t xml:space="preserve">tarnaujančių karių skaičius: </w:t>
      </w:r>
      <w:r w:rsidRPr="00DB60FB">
        <w:rPr>
          <w:color w:val="000000" w:themeColor="text1"/>
          <w:szCs w:val="24"/>
        </w:rPr>
        <w:t>metų pabaigoje jų skaičius pasiekė 5 290 (2019 m. buvo 5 140).</w:t>
      </w:r>
    </w:p>
    <w:p w14:paraId="0A74C52E" w14:textId="77777777" w:rsidR="008B10FF" w:rsidRPr="004D2AEE" w:rsidRDefault="008B10FF" w:rsidP="00E660EB">
      <w:pPr>
        <w:spacing w:line="250" w:lineRule="auto"/>
        <w:ind w:firstLine="709"/>
        <w:jc w:val="both"/>
        <w:rPr>
          <w:color w:val="000000" w:themeColor="text1"/>
          <w:szCs w:val="24"/>
        </w:rPr>
      </w:pPr>
      <w:r w:rsidRPr="00DB60FB">
        <w:rPr>
          <w:color w:val="000000" w:themeColor="text1"/>
          <w:szCs w:val="24"/>
        </w:rPr>
        <w:t xml:space="preserve">Toliau </w:t>
      </w:r>
      <w:r>
        <w:rPr>
          <w:color w:val="000000" w:themeColor="text1"/>
          <w:szCs w:val="24"/>
        </w:rPr>
        <w:t>buvo didinama</w:t>
      </w:r>
      <w:r w:rsidRPr="00DB60FB">
        <w:rPr>
          <w:color w:val="000000" w:themeColor="text1"/>
          <w:szCs w:val="24"/>
        </w:rPr>
        <w:t xml:space="preserve"> kovinių šaulių  sąveik</w:t>
      </w:r>
      <w:r>
        <w:rPr>
          <w:color w:val="000000" w:themeColor="text1"/>
          <w:szCs w:val="24"/>
        </w:rPr>
        <w:t>a</w:t>
      </w:r>
      <w:r w:rsidRPr="00DB60FB">
        <w:rPr>
          <w:color w:val="000000" w:themeColor="text1"/>
          <w:szCs w:val="24"/>
        </w:rPr>
        <w:t xml:space="preserve"> su kariuomene.</w:t>
      </w:r>
      <w:r w:rsidRPr="00DB60FB">
        <w:rPr>
          <w:color w:val="1F497D"/>
        </w:rPr>
        <w:t xml:space="preserve"> </w:t>
      </w:r>
      <w:r w:rsidRPr="00DB60FB">
        <w:rPr>
          <w:szCs w:val="24"/>
        </w:rPr>
        <w:t>2020 m.</w:t>
      </w:r>
      <w:r w:rsidRPr="00DB60FB">
        <w:t xml:space="preserve"> Lietuvos kariuomenės </w:t>
      </w:r>
      <w:r w:rsidRPr="00DB60FB">
        <w:rPr>
          <w:color w:val="000000" w:themeColor="text1"/>
          <w:szCs w:val="24"/>
        </w:rPr>
        <w:t>kariniams vienetams buvo priskirti 288 koviniai šauliai, o 424 koviniai šauliai</w:t>
      </w:r>
      <w:r>
        <w:rPr>
          <w:color w:val="000000" w:themeColor="text1"/>
          <w:szCs w:val="24"/>
        </w:rPr>
        <w:t xml:space="preserve"> dalyvavo bendrose karinėse pratybose su KASP.</w:t>
      </w:r>
    </w:p>
    <w:p w14:paraId="3CBD2DAF" w14:textId="77777777" w:rsidR="008B10FF" w:rsidRDefault="008B10FF" w:rsidP="00E660EB">
      <w:pPr>
        <w:spacing w:line="250" w:lineRule="auto"/>
        <w:ind w:firstLine="709"/>
        <w:jc w:val="both"/>
        <w:rPr>
          <w:rFonts w:eastAsia="Calibri"/>
          <w:szCs w:val="24"/>
        </w:rPr>
      </w:pPr>
      <w:r>
        <w:rPr>
          <w:szCs w:val="24"/>
        </w:rPr>
        <w:t xml:space="preserve">2020 m. </w:t>
      </w:r>
      <w:r>
        <w:rPr>
          <w:rFonts w:eastAsia="Calibri"/>
          <w:szCs w:val="24"/>
        </w:rPr>
        <w:t>didėjo</w:t>
      </w:r>
      <w:r w:rsidRPr="00DA03F5">
        <w:rPr>
          <w:rFonts w:eastAsia="Calibri"/>
          <w:szCs w:val="24"/>
        </w:rPr>
        <w:t xml:space="preserve"> </w:t>
      </w:r>
      <w:r>
        <w:rPr>
          <w:rFonts w:eastAsia="Calibri"/>
          <w:szCs w:val="24"/>
        </w:rPr>
        <w:t>ir Lietuvos kariuomenės</w:t>
      </w:r>
      <w:r w:rsidRPr="00DA03F5">
        <w:rPr>
          <w:rFonts w:eastAsia="Calibri"/>
          <w:szCs w:val="24"/>
        </w:rPr>
        <w:t xml:space="preserve"> parengtasis personalo rezervas. </w:t>
      </w:r>
      <w:r>
        <w:rPr>
          <w:rFonts w:eastAsia="Calibri"/>
          <w:szCs w:val="24"/>
        </w:rPr>
        <w:t>Pagrindinis rezervo formavimo šaltinis</w:t>
      </w:r>
      <w:r w:rsidRPr="00DA03F5">
        <w:rPr>
          <w:rFonts w:eastAsia="Calibri"/>
          <w:szCs w:val="24"/>
        </w:rPr>
        <w:t xml:space="preserve"> </w:t>
      </w:r>
      <w:r>
        <w:rPr>
          <w:rFonts w:eastAsia="Calibri"/>
          <w:szCs w:val="24"/>
        </w:rPr>
        <w:t>yra</w:t>
      </w:r>
      <w:r w:rsidRPr="00DA03F5">
        <w:rPr>
          <w:rFonts w:eastAsia="Calibri"/>
          <w:szCs w:val="24"/>
        </w:rPr>
        <w:t xml:space="preserve"> NPPKT baigę, tačiau tarnybos PKT nepasirinkę kariai. 2020 m. gruodžio 31 d. L</w:t>
      </w:r>
      <w:r>
        <w:rPr>
          <w:rFonts w:eastAsia="Calibri"/>
          <w:szCs w:val="24"/>
        </w:rPr>
        <w:t xml:space="preserve">ietuvos kariuomenės </w:t>
      </w:r>
      <w:r w:rsidRPr="00DA03F5">
        <w:rPr>
          <w:rFonts w:eastAsia="Calibri"/>
          <w:szCs w:val="24"/>
        </w:rPr>
        <w:t>parengtojo personalo rezervo karių skaičių sudarė 101</w:t>
      </w:r>
      <w:r>
        <w:rPr>
          <w:rFonts w:eastAsia="Calibri"/>
          <w:szCs w:val="24"/>
        </w:rPr>
        <w:t xml:space="preserve"> </w:t>
      </w:r>
      <w:r w:rsidRPr="00DA03F5">
        <w:rPr>
          <w:rFonts w:eastAsia="Calibri"/>
          <w:szCs w:val="24"/>
        </w:rPr>
        <w:t>210 karių (iš jų aktyviojo kariuomenės personalo rezervo karių skaičius – 22</w:t>
      </w:r>
      <w:r>
        <w:rPr>
          <w:rFonts w:eastAsia="Calibri"/>
          <w:szCs w:val="24"/>
        </w:rPr>
        <w:t xml:space="preserve"> </w:t>
      </w:r>
      <w:r w:rsidRPr="00DA03F5">
        <w:rPr>
          <w:rFonts w:eastAsia="Calibri"/>
          <w:szCs w:val="24"/>
        </w:rPr>
        <w:t xml:space="preserve">121). </w:t>
      </w:r>
    </w:p>
    <w:p w14:paraId="408E605A" w14:textId="77777777" w:rsidR="008B10FF" w:rsidRDefault="008B10FF" w:rsidP="00E660EB">
      <w:pPr>
        <w:spacing w:line="250" w:lineRule="auto"/>
        <w:ind w:firstLine="709"/>
        <w:jc w:val="both"/>
        <w:rPr>
          <w:szCs w:val="24"/>
        </w:rPr>
      </w:pPr>
      <w:r w:rsidRPr="00276A7E">
        <w:rPr>
          <w:rFonts w:eastAsia="Calibri"/>
          <w:szCs w:val="24"/>
        </w:rPr>
        <w:t>2020 m. karinis rengimas buvo toliau kokybiškai gerinamas</w:t>
      </w:r>
      <w:r>
        <w:rPr>
          <w:rFonts w:eastAsia="Calibri"/>
          <w:szCs w:val="24"/>
        </w:rPr>
        <w:t xml:space="preserve"> </w:t>
      </w:r>
      <w:r w:rsidRPr="00DA03F5">
        <w:rPr>
          <w:rFonts w:eastAsia="Calibri"/>
          <w:szCs w:val="24"/>
        </w:rPr>
        <w:t>–</w:t>
      </w:r>
      <w:r w:rsidRPr="00276A7E">
        <w:rPr>
          <w:rFonts w:eastAsia="Calibri"/>
          <w:szCs w:val="24"/>
        </w:rPr>
        <w:t xml:space="preserve"> į jį integruo</w:t>
      </w:r>
      <w:r>
        <w:rPr>
          <w:rFonts w:eastAsia="Calibri"/>
          <w:szCs w:val="24"/>
        </w:rPr>
        <w:t>ta</w:t>
      </w:r>
      <w:r w:rsidRPr="00276A7E">
        <w:rPr>
          <w:rFonts w:eastAsia="Calibri"/>
          <w:szCs w:val="24"/>
        </w:rPr>
        <w:t xml:space="preserve"> nauja įsigyt</w:t>
      </w:r>
      <w:r>
        <w:rPr>
          <w:rFonts w:eastAsia="Calibri"/>
          <w:szCs w:val="24"/>
        </w:rPr>
        <w:t>a</w:t>
      </w:r>
      <w:r w:rsidRPr="00276A7E">
        <w:rPr>
          <w:rFonts w:eastAsia="Calibri"/>
          <w:szCs w:val="24"/>
        </w:rPr>
        <w:t xml:space="preserve"> ginkluot</w:t>
      </w:r>
      <w:r>
        <w:rPr>
          <w:rFonts w:eastAsia="Calibri"/>
          <w:szCs w:val="24"/>
        </w:rPr>
        <w:t>ė</w:t>
      </w:r>
      <w:r w:rsidRPr="00276A7E">
        <w:rPr>
          <w:rFonts w:eastAsia="Calibri"/>
          <w:szCs w:val="24"/>
        </w:rPr>
        <w:t xml:space="preserve"> ir karin</w:t>
      </w:r>
      <w:r>
        <w:rPr>
          <w:rFonts w:eastAsia="Calibri"/>
          <w:szCs w:val="24"/>
        </w:rPr>
        <w:t>ė</w:t>
      </w:r>
      <w:r w:rsidRPr="00276A7E">
        <w:rPr>
          <w:rFonts w:eastAsia="Calibri"/>
          <w:szCs w:val="24"/>
        </w:rPr>
        <w:t xml:space="preserve"> technik</w:t>
      </w:r>
      <w:r>
        <w:rPr>
          <w:rFonts w:eastAsia="Calibri"/>
          <w:szCs w:val="24"/>
        </w:rPr>
        <w:t>a</w:t>
      </w:r>
      <w:r w:rsidRPr="00276A7E">
        <w:rPr>
          <w:rFonts w:eastAsia="Calibri"/>
          <w:szCs w:val="24"/>
        </w:rPr>
        <w:t>, išlaik</w:t>
      </w:r>
      <w:r>
        <w:rPr>
          <w:rFonts w:eastAsia="Calibri"/>
          <w:szCs w:val="24"/>
        </w:rPr>
        <w:t>ytas</w:t>
      </w:r>
      <w:r w:rsidRPr="00276A7E">
        <w:rPr>
          <w:rFonts w:eastAsia="Calibri"/>
          <w:szCs w:val="24"/>
        </w:rPr>
        <w:t xml:space="preserve"> pratybų su Lietuvoje dislokuotais sąjungininkais ir ginkluotąsias pajėgas sudarančiomis nacionalinėmis institucijomis intensy</w:t>
      </w:r>
      <w:r>
        <w:rPr>
          <w:rFonts w:eastAsia="Calibri"/>
          <w:szCs w:val="24"/>
        </w:rPr>
        <w:t>vumas.</w:t>
      </w:r>
      <w:r w:rsidRPr="00276A7E">
        <w:rPr>
          <w:rFonts w:eastAsia="Calibri"/>
          <w:szCs w:val="24"/>
        </w:rPr>
        <w:t xml:space="preserve"> Vienos iš </w:t>
      </w:r>
      <w:r>
        <w:rPr>
          <w:rFonts w:eastAsia="Calibri"/>
          <w:szCs w:val="24"/>
        </w:rPr>
        <w:t>didžiausių</w:t>
      </w:r>
      <w:r w:rsidRPr="00276A7E">
        <w:rPr>
          <w:rFonts w:eastAsia="Calibri"/>
          <w:szCs w:val="24"/>
        </w:rPr>
        <w:t xml:space="preserve"> </w:t>
      </w:r>
      <w:r>
        <w:rPr>
          <w:rFonts w:eastAsia="Calibri"/>
          <w:szCs w:val="24"/>
        </w:rPr>
        <w:t>2020 m.</w:t>
      </w:r>
      <w:r w:rsidRPr="00276A7E">
        <w:rPr>
          <w:rFonts w:eastAsia="Calibri"/>
          <w:szCs w:val="24"/>
        </w:rPr>
        <w:t xml:space="preserve"> pratybų </w:t>
      </w:r>
      <w:r>
        <w:rPr>
          <w:rFonts w:eastAsia="Calibri"/>
          <w:szCs w:val="24"/>
        </w:rPr>
        <w:t>buvo:</w:t>
      </w:r>
      <w:r w:rsidRPr="00276A7E">
        <w:rPr>
          <w:rFonts w:eastAsia="Calibri"/>
          <w:szCs w:val="24"/>
        </w:rPr>
        <w:t xml:space="preserve"> </w:t>
      </w:r>
      <w:r>
        <w:rPr>
          <w:rFonts w:eastAsia="Calibri"/>
          <w:szCs w:val="24"/>
        </w:rPr>
        <w:t xml:space="preserve">tarptautinės NATO pratybos </w:t>
      </w:r>
      <w:r w:rsidRPr="00276A7E">
        <w:rPr>
          <w:rFonts w:eastAsia="Calibri"/>
          <w:szCs w:val="24"/>
        </w:rPr>
        <w:t>„</w:t>
      </w:r>
      <w:r>
        <w:rPr>
          <w:rFonts w:eastAsia="Calibri"/>
          <w:szCs w:val="24"/>
        </w:rPr>
        <w:t xml:space="preserve">Nuostabusis šuolis 2020“ (apie 1 900 dalyvių); sausumos pajėgų pratybos </w:t>
      </w:r>
      <w:r w:rsidRPr="00276A7E">
        <w:rPr>
          <w:szCs w:val="24"/>
        </w:rPr>
        <w:lastRenderedPageBreak/>
        <w:t xml:space="preserve">„Geležinis </w:t>
      </w:r>
      <w:r>
        <w:rPr>
          <w:szCs w:val="24"/>
        </w:rPr>
        <w:t>V</w:t>
      </w:r>
      <w:r w:rsidRPr="00276A7E">
        <w:rPr>
          <w:szCs w:val="24"/>
        </w:rPr>
        <w:t>ilkas 2020 II</w:t>
      </w:r>
      <w:r>
        <w:rPr>
          <w:szCs w:val="24"/>
        </w:rPr>
        <w:t xml:space="preserve">“ (apie 3 500 dalyvių); bendros su JAV Sausumos pajėgų pratybos </w:t>
      </w:r>
      <w:r w:rsidRPr="00276A7E">
        <w:rPr>
          <w:color w:val="000000"/>
          <w:szCs w:val="24"/>
        </w:rPr>
        <w:t>„</w:t>
      </w:r>
      <w:proofErr w:type="spellStart"/>
      <w:r w:rsidRPr="00276A7E">
        <w:rPr>
          <w:color w:val="000000"/>
          <w:szCs w:val="24"/>
        </w:rPr>
        <w:t>Grifono</w:t>
      </w:r>
      <w:proofErr w:type="spellEnd"/>
      <w:r w:rsidRPr="00276A7E">
        <w:rPr>
          <w:color w:val="000000"/>
          <w:szCs w:val="24"/>
        </w:rPr>
        <w:t xml:space="preserve"> kirtis</w:t>
      </w:r>
      <w:r>
        <w:rPr>
          <w:color w:val="000000"/>
          <w:szCs w:val="24"/>
        </w:rPr>
        <w:t xml:space="preserve"> </w:t>
      </w:r>
      <w:r w:rsidRPr="00276A7E">
        <w:rPr>
          <w:color w:val="000000"/>
          <w:szCs w:val="24"/>
        </w:rPr>
        <w:t>/</w:t>
      </w:r>
      <w:r>
        <w:rPr>
          <w:color w:val="000000"/>
          <w:szCs w:val="24"/>
        </w:rPr>
        <w:t xml:space="preserve"> </w:t>
      </w:r>
      <w:r w:rsidRPr="00276A7E">
        <w:rPr>
          <w:color w:val="000000"/>
          <w:szCs w:val="24"/>
        </w:rPr>
        <w:t>Medžiotojas“</w:t>
      </w:r>
      <w:r>
        <w:rPr>
          <w:color w:val="000000"/>
          <w:szCs w:val="24"/>
        </w:rPr>
        <w:t xml:space="preserve"> (per 900 dalyvių);</w:t>
      </w:r>
      <w:r w:rsidRPr="00276A7E">
        <w:rPr>
          <w:color w:val="000000"/>
          <w:szCs w:val="24"/>
        </w:rPr>
        <w:t xml:space="preserve"> </w:t>
      </w:r>
      <w:r>
        <w:rPr>
          <w:rFonts w:eastAsia="Calibri"/>
          <w:szCs w:val="24"/>
        </w:rPr>
        <w:t>antžeminės oro gynybos pratybos</w:t>
      </w:r>
      <w:r w:rsidRPr="00276A7E">
        <w:rPr>
          <w:rFonts w:eastAsia="Calibri"/>
          <w:szCs w:val="24"/>
        </w:rPr>
        <w:t xml:space="preserve"> „</w:t>
      </w:r>
      <w:proofErr w:type="spellStart"/>
      <w:r w:rsidRPr="00276A7E">
        <w:rPr>
          <w:rFonts w:eastAsia="Calibri"/>
          <w:szCs w:val="24"/>
        </w:rPr>
        <w:t>Tobruko</w:t>
      </w:r>
      <w:proofErr w:type="spellEnd"/>
      <w:r w:rsidRPr="00276A7E">
        <w:rPr>
          <w:rFonts w:eastAsia="Calibri"/>
          <w:szCs w:val="24"/>
        </w:rPr>
        <w:t xml:space="preserve"> palikimas 2020“</w:t>
      </w:r>
      <w:r>
        <w:rPr>
          <w:rFonts w:eastAsia="Calibri"/>
          <w:szCs w:val="24"/>
        </w:rPr>
        <w:t xml:space="preserve"> (apie 700 dalyvių). </w:t>
      </w:r>
      <w:r>
        <w:rPr>
          <w:szCs w:val="24"/>
        </w:rPr>
        <w:t>Vyko ir kasmet Lietuvos kariuomenės organizuojamos kibernetinio saugumo pratybos „Gintarinė migla“, kuriose dalyvavo daugiau nei 120 specialistų iš Lietuvos kariuomenės, universitetų, privačių įmonių, užsienio šalių.</w:t>
      </w:r>
    </w:p>
    <w:p w14:paraId="31132501" w14:textId="77777777" w:rsidR="008B10FF" w:rsidRPr="009C062C" w:rsidRDefault="008B10FF" w:rsidP="00E660EB">
      <w:pPr>
        <w:spacing w:line="250" w:lineRule="auto"/>
        <w:ind w:firstLine="709"/>
        <w:jc w:val="both"/>
        <w:rPr>
          <w:szCs w:val="24"/>
        </w:rPr>
      </w:pPr>
      <w:r>
        <w:rPr>
          <w:szCs w:val="24"/>
        </w:rPr>
        <w:t>2020</w:t>
      </w:r>
      <w:r w:rsidRPr="00D81C60">
        <w:rPr>
          <w:szCs w:val="24"/>
        </w:rPr>
        <w:t xml:space="preserve"> m. </w:t>
      </w:r>
      <w:r>
        <w:rPr>
          <w:szCs w:val="24"/>
        </w:rPr>
        <w:t>buvo tęsiamas priimančiosios šalies paramos teikimas</w:t>
      </w:r>
      <w:r w:rsidRPr="00D81C60">
        <w:rPr>
          <w:szCs w:val="24"/>
        </w:rPr>
        <w:t xml:space="preserve"> Lietuv</w:t>
      </w:r>
      <w:r>
        <w:rPr>
          <w:szCs w:val="24"/>
        </w:rPr>
        <w:t xml:space="preserve">oje </w:t>
      </w:r>
      <w:r w:rsidRPr="00D81C60">
        <w:rPr>
          <w:szCs w:val="24"/>
        </w:rPr>
        <w:t xml:space="preserve">dislokuotoms ir atvykstančioms NATO šalių bei partnerių valstybių pajėgoms: </w:t>
      </w:r>
      <w:r>
        <w:rPr>
          <w:szCs w:val="24"/>
        </w:rPr>
        <w:t>JAV</w:t>
      </w:r>
      <w:r w:rsidRPr="00D81C60">
        <w:rPr>
          <w:szCs w:val="24"/>
        </w:rPr>
        <w:t>, Danijos, Nyderlandų, Čekijos, Portugalijos, Vokietijos, Lenkijos, Estijos, Latvijos, Norvegijos, Didžiosios Britanijos, taip pat Ukrainos ir Gruzijos kariams, 2020 m</w:t>
      </w:r>
      <w:r>
        <w:rPr>
          <w:szCs w:val="24"/>
        </w:rPr>
        <w:t>.</w:t>
      </w:r>
      <w:r w:rsidRPr="00D81C60">
        <w:rPr>
          <w:szCs w:val="24"/>
        </w:rPr>
        <w:t xml:space="preserve"> NATO oro policijos misiją vykdžiusiems vienetams (kariams). Jiems buvo teikiam</w:t>
      </w:r>
      <w:r>
        <w:rPr>
          <w:szCs w:val="24"/>
        </w:rPr>
        <w:t>os</w:t>
      </w:r>
      <w:r w:rsidRPr="00D81C60">
        <w:rPr>
          <w:szCs w:val="24"/>
        </w:rPr>
        <w:t xml:space="preserve"> apgyvendinim</w:t>
      </w:r>
      <w:r>
        <w:rPr>
          <w:szCs w:val="24"/>
        </w:rPr>
        <w:t>o</w:t>
      </w:r>
      <w:r w:rsidRPr="00D81C60">
        <w:rPr>
          <w:szCs w:val="24"/>
        </w:rPr>
        <w:t>, maitinim</w:t>
      </w:r>
      <w:r>
        <w:rPr>
          <w:szCs w:val="24"/>
        </w:rPr>
        <w:t>o</w:t>
      </w:r>
      <w:r w:rsidRPr="00D81C60">
        <w:rPr>
          <w:szCs w:val="24"/>
        </w:rPr>
        <w:t>, karių gerovės ir laisvalaikio paslaugos</w:t>
      </w:r>
      <w:r>
        <w:rPr>
          <w:szCs w:val="24"/>
        </w:rPr>
        <w:t>,</w:t>
      </w:r>
      <w:r w:rsidRPr="00D81C60">
        <w:rPr>
          <w:szCs w:val="24"/>
        </w:rPr>
        <w:t xml:space="preserve"> degalai užduo</w:t>
      </w:r>
      <w:r>
        <w:rPr>
          <w:szCs w:val="24"/>
        </w:rPr>
        <w:t>tims</w:t>
      </w:r>
      <w:r w:rsidRPr="00D81C60">
        <w:rPr>
          <w:szCs w:val="24"/>
        </w:rPr>
        <w:t xml:space="preserve"> vykdy</w:t>
      </w:r>
      <w:r>
        <w:rPr>
          <w:szCs w:val="24"/>
        </w:rPr>
        <w:t>ti</w:t>
      </w:r>
      <w:r w:rsidRPr="00D81C60">
        <w:rPr>
          <w:szCs w:val="24"/>
        </w:rPr>
        <w:t>. NATO oro policijos misijai KOP Aviacijos bazėje buvo teikiama navigacinė, meteorologinė, ryšių, finansinė, logistinė pagalba, buvo vykdytos apsaugos, aerodromo priežiūros ir kitos funkcijos. Taip pat</w:t>
      </w:r>
      <w:r>
        <w:rPr>
          <w:szCs w:val="24"/>
        </w:rPr>
        <w:t xml:space="preserve"> buvo vystoma sąjungininkams reikalinga infrastruktūra.</w:t>
      </w:r>
      <w:r w:rsidRPr="00D81C60">
        <w:rPr>
          <w:szCs w:val="24"/>
        </w:rPr>
        <w:t xml:space="preserve"> </w:t>
      </w:r>
    </w:p>
    <w:p w14:paraId="467F55B4"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NATO kolektyvinės gynybos stiprinimas</w:t>
      </w:r>
    </w:p>
    <w:p w14:paraId="1E07B907" w14:textId="77777777" w:rsidR="008B10FF" w:rsidRPr="008A6315" w:rsidRDefault="008B10FF" w:rsidP="00E660EB">
      <w:pPr>
        <w:spacing w:line="250" w:lineRule="auto"/>
        <w:ind w:firstLine="709"/>
        <w:jc w:val="both"/>
        <w:rPr>
          <w:szCs w:val="24"/>
        </w:rPr>
      </w:pPr>
      <w:r>
        <w:rPr>
          <w:szCs w:val="24"/>
        </w:rPr>
        <w:t xml:space="preserve">Pasaulį apėmusi COVID-19 pandemija kelia daug iššūkių, bet NATO atgrasymo ir gynybos priemonės nepakito. </w:t>
      </w:r>
      <w:r w:rsidRPr="00572ECC">
        <w:rPr>
          <w:szCs w:val="24"/>
        </w:rPr>
        <w:t>20</w:t>
      </w:r>
      <w:r>
        <w:rPr>
          <w:szCs w:val="24"/>
        </w:rPr>
        <w:t>20</w:t>
      </w:r>
      <w:r w:rsidRPr="00572ECC">
        <w:rPr>
          <w:szCs w:val="24"/>
        </w:rPr>
        <w:t xml:space="preserve"> m. Lietuvoje, Latvijoje, Estijoje ir Lenkijoje toliau buvo dislokuoti bataliono kovinės grupės dydžio vienetai (NATO priešakinės pajėgos). Šių </w:t>
      </w:r>
      <w:r w:rsidRPr="00A360F6">
        <w:rPr>
          <w:szCs w:val="24"/>
        </w:rPr>
        <w:t xml:space="preserve">pajėgų buvimas regione iš esmės sustiprina NATO atgrasymą ir sumažina galimo konflikto regione tikimybę. </w:t>
      </w:r>
      <w:r>
        <w:rPr>
          <w:szCs w:val="24"/>
        </w:rPr>
        <w:t xml:space="preserve">Bataliono kovinės grupės Lietuvoje  (apie 1 300 karių) pagrindą sudaro Vokietijos kariai, 2020 m. jį papildė Prancūzijos kontingentas drauge su Nyderlandų, Liuksemburgo, Norvegijos, Belgijos ir Čekijos kariais bei </w:t>
      </w:r>
      <w:r w:rsidRPr="008A6315">
        <w:rPr>
          <w:szCs w:val="24"/>
        </w:rPr>
        <w:t xml:space="preserve">Islandijos civiliu ekspertu. </w:t>
      </w:r>
    </w:p>
    <w:p w14:paraId="295204D5" w14:textId="77777777" w:rsidR="008B10FF" w:rsidRPr="00A360F6" w:rsidRDefault="008B10FF" w:rsidP="00E660EB">
      <w:pPr>
        <w:spacing w:line="250" w:lineRule="auto"/>
        <w:ind w:firstLine="709"/>
        <w:jc w:val="both"/>
        <w:rPr>
          <w:szCs w:val="24"/>
        </w:rPr>
      </w:pPr>
      <w:r w:rsidRPr="00A360F6">
        <w:rPr>
          <w:szCs w:val="24"/>
        </w:rPr>
        <w:t xml:space="preserve">Aljanso karinį matomumą Lietuvoje taip pat užtikrino rotacinės </w:t>
      </w:r>
      <w:r>
        <w:rPr>
          <w:szCs w:val="24"/>
        </w:rPr>
        <w:t xml:space="preserve">JAV </w:t>
      </w:r>
      <w:r w:rsidRPr="00A360F6">
        <w:rPr>
          <w:szCs w:val="24"/>
        </w:rPr>
        <w:t xml:space="preserve"> pajėgos, buvo tęsiama sustiprinta NATO oro policijos misija Baltijos šalyse (Šiaulių aviacijos bazėje rotacijos pagrindu budėjo Belgijos, Jungtinės Karalystės, Ispanijos ir Italijos naikintuvai). </w:t>
      </w:r>
    </w:p>
    <w:p w14:paraId="4A901733" w14:textId="77777777" w:rsidR="008B10FF" w:rsidRPr="007E34AA" w:rsidRDefault="008B10FF" w:rsidP="00E660EB">
      <w:pPr>
        <w:spacing w:line="250" w:lineRule="auto"/>
        <w:ind w:firstLine="709"/>
        <w:jc w:val="both"/>
        <w:rPr>
          <w:szCs w:val="24"/>
        </w:rPr>
      </w:pPr>
      <w:r w:rsidRPr="00A360F6">
        <w:rPr>
          <w:szCs w:val="24"/>
        </w:rPr>
        <w:t xml:space="preserve">Lietuva toliau aktyviai dalyvavo NATO diskusijose dėl ilgalaikės NATO adaptacijos ir jos įgyvendinimo, siekiant sustiprinti NATO atgrasymą ir kolektyvinę gynybą. NATO sutarė dėl euroatlantinio atgrasymo ir gynybos gairių, kurių įgyvendinimas padės sustiprinti NATO atsaką į </w:t>
      </w:r>
      <w:r w:rsidRPr="007E34AA">
        <w:rPr>
          <w:szCs w:val="24"/>
        </w:rPr>
        <w:t xml:space="preserve">saugumo grėsmes. Toliau buvo įgyvendinama NATO parengties iniciatyva, siekiant sustiprinti NATO greito reagavimo sausuma, jūra ir oru pajėgumus, o kartu ir </w:t>
      </w:r>
      <w:r w:rsidRPr="00CE3C64">
        <w:rPr>
          <w:szCs w:val="24"/>
        </w:rPr>
        <w:t>savalaikį sąjungininkų pastiprinimą krizės ar konflikto metu. Ta</w:t>
      </w:r>
      <w:r w:rsidRPr="0049390E">
        <w:rPr>
          <w:szCs w:val="24"/>
        </w:rPr>
        <w:t xml:space="preserve">ip pat daug dėmesio buvo skiriama oro gynybai užtikrinti ir NATO atsakui į Rusijos raketų keliamas grėsmes. 2020 m. buvo </w:t>
      </w:r>
      <w:r>
        <w:rPr>
          <w:szCs w:val="24"/>
        </w:rPr>
        <w:t>didinamas</w:t>
      </w:r>
      <w:r w:rsidRPr="0049390E">
        <w:rPr>
          <w:szCs w:val="24"/>
        </w:rPr>
        <w:t xml:space="preserve"> Aljanso narių civilini</w:t>
      </w:r>
      <w:r>
        <w:rPr>
          <w:szCs w:val="24"/>
        </w:rPr>
        <w:t>s</w:t>
      </w:r>
      <w:r w:rsidRPr="0049390E">
        <w:rPr>
          <w:szCs w:val="24"/>
        </w:rPr>
        <w:t xml:space="preserve"> atsparum</w:t>
      </w:r>
      <w:r>
        <w:rPr>
          <w:szCs w:val="24"/>
        </w:rPr>
        <w:t xml:space="preserve">as </w:t>
      </w:r>
      <w:r w:rsidRPr="0049390E">
        <w:rPr>
          <w:szCs w:val="24"/>
        </w:rPr>
        <w:t xml:space="preserve"> COVID-19 krizės akivaizdoje</w:t>
      </w:r>
      <w:r>
        <w:rPr>
          <w:szCs w:val="24"/>
        </w:rPr>
        <w:t xml:space="preserve"> ir</w:t>
      </w:r>
      <w:r w:rsidRPr="0049390E">
        <w:rPr>
          <w:szCs w:val="24"/>
        </w:rPr>
        <w:t xml:space="preserve"> atsak</w:t>
      </w:r>
      <w:r>
        <w:rPr>
          <w:szCs w:val="24"/>
        </w:rPr>
        <w:t>as</w:t>
      </w:r>
      <w:r w:rsidRPr="0049390E">
        <w:rPr>
          <w:szCs w:val="24"/>
        </w:rPr>
        <w:t xml:space="preserve"> į dezinformacijos atakas. </w:t>
      </w:r>
    </w:p>
    <w:p w14:paraId="14D6E5BC" w14:textId="77777777" w:rsidR="008B10FF" w:rsidRPr="0049390E" w:rsidRDefault="008B10FF" w:rsidP="00E660EB">
      <w:pPr>
        <w:spacing w:line="250" w:lineRule="auto"/>
        <w:ind w:firstLine="709"/>
        <w:jc w:val="both"/>
        <w:rPr>
          <w:szCs w:val="24"/>
        </w:rPr>
      </w:pPr>
      <w:r w:rsidRPr="007E34AA">
        <w:rPr>
          <w:szCs w:val="24"/>
        </w:rPr>
        <w:t xml:space="preserve">2020 m. Lietuvoje vyko tarptautinės pratybos, siekiant didinti NATO ir sąjungininkų karinį matomumą bei stiprinti Lietuvos ir sąjungininkų karių gebėjimus veikti kartu. </w:t>
      </w:r>
      <w:r w:rsidRPr="008E59B3">
        <w:rPr>
          <w:szCs w:val="24"/>
        </w:rPr>
        <w:t xml:space="preserve">NATO tarptautinių pratybų „Nuostabusis šuolis 2020“ metu pirmą kartą Lietuvoje buvo dislokuotas NATO greitojo reagavimo pajėgų sausumos </w:t>
      </w:r>
      <w:r w:rsidRPr="004A68D4">
        <w:rPr>
          <w:szCs w:val="24"/>
        </w:rPr>
        <w:t>elementas, jis</w:t>
      </w:r>
      <w:r w:rsidRPr="008E59B3">
        <w:rPr>
          <w:szCs w:val="24"/>
        </w:rPr>
        <w:t xml:space="preserve"> </w:t>
      </w:r>
      <w:r>
        <w:rPr>
          <w:szCs w:val="24"/>
        </w:rPr>
        <w:t xml:space="preserve">dalyvavo </w:t>
      </w:r>
      <w:r w:rsidRPr="007E34AA">
        <w:rPr>
          <w:szCs w:val="24"/>
        </w:rPr>
        <w:t>Lietuvos vadovaujam</w:t>
      </w:r>
      <w:r>
        <w:rPr>
          <w:szCs w:val="24"/>
        </w:rPr>
        <w:t>ose</w:t>
      </w:r>
      <w:r w:rsidRPr="007E34AA">
        <w:rPr>
          <w:szCs w:val="24"/>
        </w:rPr>
        <w:t xml:space="preserve"> tarptautin</w:t>
      </w:r>
      <w:r>
        <w:rPr>
          <w:szCs w:val="24"/>
        </w:rPr>
        <w:t>ėse</w:t>
      </w:r>
      <w:r w:rsidRPr="007E34AA">
        <w:rPr>
          <w:szCs w:val="24"/>
        </w:rPr>
        <w:t xml:space="preserve"> pratyb</w:t>
      </w:r>
      <w:r>
        <w:rPr>
          <w:szCs w:val="24"/>
        </w:rPr>
        <w:t>ose</w:t>
      </w:r>
      <w:r w:rsidRPr="007E34AA">
        <w:rPr>
          <w:szCs w:val="24"/>
        </w:rPr>
        <w:t xml:space="preserve"> „Geležinis </w:t>
      </w:r>
      <w:r>
        <w:rPr>
          <w:szCs w:val="24"/>
        </w:rPr>
        <w:t>V</w:t>
      </w:r>
      <w:r w:rsidRPr="00CE3C64">
        <w:rPr>
          <w:szCs w:val="24"/>
        </w:rPr>
        <w:t>ilkas 2020 II“. Pratybų metu buvo vertinamas L</w:t>
      </w:r>
      <w:r>
        <w:rPr>
          <w:szCs w:val="24"/>
        </w:rPr>
        <w:t>ietuvos kariuomenės</w:t>
      </w:r>
      <w:r w:rsidRPr="00CE3C64">
        <w:rPr>
          <w:szCs w:val="24"/>
        </w:rPr>
        <w:t xml:space="preserve"> pasirengimas planuoti bei atlikti gynybos operacijas </w:t>
      </w:r>
      <w:r w:rsidRPr="0049390E">
        <w:rPr>
          <w:szCs w:val="24"/>
        </w:rPr>
        <w:t>kartu su NATO priešakinių pajėgų kovine grupe.</w:t>
      </w:r>
    </w:p>
    <w:p w14:paraId="1338077C" w14:textId="77777777" w:rsidR="008B10FF" w:rsidRDefault="008B10FF" w:rsidP="00E660EB">
      <w:pPr>
        <w:spacing w:line="250" w:lineRule="auto"/>
        <w:ind w:firstLine="709"/>
        <w:jc w:val="both"/>
        <w:rPr>
          <w:szCs w:val="24"/>
        </w:rPr>
      </w:pPr>
      <w:r w:rsidRPr="00A360F6">
        <w:rPr>
          <w:szCs w:val="24"/>
        </w:rPr>
        <w:t xml:space="preserve">2020 m. buvo toliau stiprinamas NATO greitojo reagavimo pajėgų pasirengimas reaguoti į krizes. Lietuvoje veikiantis NATO pajėgų integravimo vienetas, atsakingas už sklandų NATO greitojo reagavimo pajėgų perdislokavimą Lietuvoje, efektyviai prisidėjo koordinuojant Aljanso šalių karinių vienetų judėjimą, dalyvavimą karinėse pratybose </w:t>
      </w:r>
      <w:r>
        <w:rPr>
          <w:szCs w:val="24"/>
        </w:rPr>
        <w:t>ir</w:t>
      </w:r>
      <w:r w:rsidRPr="00A360F6">
        <w:rPr>
          <w:szCs w:val="24"/>
        </w:rPr>
        <w:t xml:space="preserve"> budėjimuose. Lietuva 2020 m</w:t>
      </w:r>
      <w:r>
        <w:rPr>
          <w:szCs w:val="24"/>
        </w:rPr>
        <w:t>.</w:t>
      </w:r>
      <w:r w:rsidRPr="00A360F6">
        <w:rPr>
          <w:szCs w:val="24"/>
        </w:rPr>
        <w:t xml:space="preserve"> organizavo ir priėmė savo teritorijoje koalicijos </w:t>
      </w:r>
      <w:r>
        <w:rPr>
          <w:szCs w:val="24"/>
        </w:rPr>
        <w:t xml:space="preserve">antžeminės </w:t>
      </w:r>
      <w:r w:rsidRPr="00A360F6">
        <w:rPr>
          <w:szCs w:val="24"/>
        </w:rPr>
        <w:t>oro gynybos pratybas „</w:t>
      </w:r>
      <w:proofErr w:type="spellStart"/>
      <w:r>
        <w:rPr>
          <w:szCs w:val="24"/>
        </w:rPr>
        <w:t>Tobruko</w:t>
      </w:r>
      <w:proofErr w:type="spellEnd"/>
      <w:r>
        <w:rPr>
          <w:szCs w:val="24"/>
        </w:rPr>
        <w:t xml:space="preserve"> palikimas</w:t>
      </w:r>
      <w:r w:rsidRPr="00A360F6">
        <w:rPr>
          <w:szCs w:val="24"/>
        </w:rPr>
        <w:t xml:space="preserve">“, kurių metu sėkmingai integravo užsienio šalių antžeminės oro gynybos vienetus ir vykdė oro operacijų planavimo užduotis. </w:t>
      </w:r>
    </w:p>
    <w:p w14:paraId="6783DDA3" w14:textId="77777777" w:rsidR="008B10FF" w:rsidRPr="003F400A" w:rsidRDefault="008B10FF" w:rsidP="00E660EB">
      <w:pPr>
        <w:spacing w:line="250" w:lineRule="auto"/>
        <w:ind w:firstLine="709"/>
        <w:jc w:val="both"/>
        <w:rPr>
          <w:szCs w:val="24"/>
        </w:rPr>
      </w:pPr>
      <w:r w:rsidRPr="003F400A">
        <w:rPr>
          <w:szCs w:val="24"/>
        </w:rPr>
        <w:t xml:space="preserve">Išlaikyta vieninga NATO laikysena dėl agresyvaus Rusijos elgesio. Lietuva toliau nuosekliai remia NATO sutartą politiką Rusijos atžvilgiu. Lietuva prisijungė prie NATO šalių grupės, kuri inicijavo tam tikrų Rusijos pajėgumų vertinimo atnaujinimą 2021 m. </w:t>
      </w:r>
      <w:r>
        <w:rPr>
          <w:szCs w:val="24"/>
        </w:rPr>
        <w:t>Šiais metais</w:t>
      </w:r>
      <w:r w:rsidRPr="003F400A">
        <w:rPr>
          <w:szCs w:val="24"/>
        </w:rPr>
        <w:t xml:space="preserve"> NATO bus tęsiami ir kiti su Rusijos grėsme susiję darbai. Lietuva sieks, kad NATO išvadose būtų atsižvelgta į Baltijos regiono grėsmių specifiką, atsispindėtų realistiški Rusijos ir NATO karinių pajėgumų vertinimai ir būtų pateiktos atitinkamos rekomendacijos.</w:t>
      </w:r>
    </w:p>
    <w:p w14:paraId="48DA9BE4" w14:textId="77777777" w:rsidR="008B10FF" w:rsidRDefault="008B10FF" w:rsidP="00E660EB">
      <w:pPr>
        <w:spacing w:line="250" w:lineRule="auto"/>
        <w:ind w:firstLine="709"/>
        <w:jc w:val="both"/>
        <w:rPr>
          <w:szCs w:val="24"/>
        </w:rPr>
      </w:pPr>
      <w:r w:rsidRPr="003F400A">
        <w:rPr>
          <w:szCs w:val="24"/>
        </w:rPr>
        <w:t>Stiprus transatlantinis ryšys ir bendradarbiavimas su JAV, NATO vienybė ir solidarumas ir toliau yra vieni pagrindinių Lietuvos saugumo ir užsienio politikos prioritetų.</w:t>
      </w:r>
    </w:p>
    <w:p w14:paraId="059B6654" w14:textId="77777777" w:rsidR="008B10FF" w:rsidRPr="00A91669" w:rsidRDefault="008B10FF" w:rsidP="00E660EB">
      <w:pPr>
        <w:pStyle w:val="Antrat5"/>
        <w:spacing w:before="0" w:line="250" w:lineRule="auto"/>
        <w:ind w:firstLine="709"/>
        <w:rPr>
          <w:rFonts w:ascii="Times New Roman" w:hAnsi="Times New Roman"/>
          <w:b/>
          <w:bCs/>
        </w:rPr>
      </w:pPr>
      <w:r w:rsidRPr="00A91669">
        <w:rPr>
          <w:rFonts w:ascii="Times New Roman" w:hAnsi="Times New Roman"/>
          <w:b/>
          <w:bCs/>
          <w:color w:val="17365D" w:themeColor="text2" w:themeShade="BF"/>
        </w:rPr>
        <w:lastRenderedPageBreak/>
        <w:t xml:space="preserve">NATO krizių valdymo ir partnerysčių stiprinimas </w:t>
      </w:r>
    </w:p>
    <w:p w14:paraId="35B15897" w14:textId="77777777" w:rsidR="008B10FF" w:rsidRDefault="008B10FF" w:rsidP="00E660EB">
      <w:pPr>
        <w:spacing w:line="250" w:lineRule="auto"/>
        <w:ind w:firstLine="709"/>
        <w:jc w:val="both"/>
        <w:rPr>
          <w:szCs w:val="24"/>
        </w:rPr>
      </w:pPr>
      <w:r>
        <w:rPr>
          <w:szCs w:val="24"/>
        </w:rPr>
        <w:t xml:space="preserve">2020 m. Lietuva kartu su kitomis Aljanso narėmis planavo NATO krizių valdymo </w:t>
      </w:r>
      <w:r w:rsidRPr="009A076D">
        <w:rPr>
          <w:szCs w:val="24"/>
        </w:rPr>
        <w:t>(</w:t>
      </w:r>
      <w:proofErr w:type="spellStart"/>
      <w:r w:rsidRPr="00F9305C">
        <w:rPr>
          <w:i/>
          <w:iCs/>
          <w:szCs w:val="24"/>
        </w:rPr>
        <w:t>Crisis</w:t>
      </w:r>
      <w:proofErr w:type="spellEnd"/>
      <w:r w:rsidRPr="00F9305C">
        <w:rPr>
          <w:i/>
          <w:iCs/>
          <w:szCs w:val="24"/>
        </w:rPr>
        <w:t xml:space="preserve"> </w:t>
      </w:r>
      <w:proofErr w:type="spellStart"/>
      <w:r w:rsidRPr="00F9305C">
        <w:rPr>
          <w:i/>
          <w:iCs/>
          <w:szCs w:val="24"/>
        </w:rPr>
        <w:t>Management</w:t>
      </w:r>
      <w:proofErr w:type="spellEnd"/>
      <w:r w:rsidRPr="00F9305C">
        <w:rPr>
          <w:i/>
          <w:iCs/>
          <w:szCs w:val="24"/>
        </w:rPr>
        <w:t xml:space="preserve"> </w:t>
      </w:r>
      <w:proofErr w:type="spellStart"/>
      <w:r w:rsidRPr="00F9305C">
        <w:rPr>
          <w:i/>
          <w:iCs/>
          <w:szCs w:val="24"/>
        </w:rPr>
        <w:t>Exercise</w:t>
      </w:r>
      <w:proofErr w:type="spellEnd"/>
      <w:r w:rsidRPr="009A076D">
        <w:rPr>
          <w:szCs w:val="24"/>
        </w:rPr>
        <w:t xml:space="preserve"> – CMX)</w:t>
      </w:r>
      <w:r>
        <w:rPr>
          <w:szCs w:val="24"/>
        </w:rPr>
        <w:t xml:space="preserve"> pratybas CMX-21, kurių aktyviąją fazę buvo sutarta organizuoti 2021 m. vasarį. Susiklosčius nepalankiai situacijai</w:t>
      </w:r>
      <w:r w:rsidRPr="00F9305C">
        <w:rPr>
          <w:szCs w:val="24"/>
        </w:rPr>
        <w:t xml:space="preserve"> </w:t>
      </w:r>
      <w:r>
        <w:rPr>
          <w:szCs w:val="24"/>
        </w:rPr>
        <w:t xml:space="preserve">dėl pandemijos, Aljansas priėmė sprendimą dėmesį ir žmogiškuosius išteklius skirti svarbiausiems uždaviniams įgyvendinti – kolektyvinei gynybai ir atsparumui grėsmėms stiprinti, todėl aktyviąją krizių valdymo pratybų fazę susitarta perkelti į 2022 m., o pasirengimo pratyboms darbus tęsti nuotoliniu būdu 2021 m. Vietoj perkeltų CMX-21 pratybų 2020 m. gruodžio 3–4 d. buvo surengtos netikėtos NATO atsako į labai greitai kylančią grėsmę pratybos, kurios pademonstravo, kad Lietuva kartu su kitais sąjungininkais yra pasirengusi per trumpą laiką priimti būtinus Aljanso saugumui sprendimus. </w:t>
      </w:r>
      <w:r w:rsidRPr="009A076D">
        <w:rPr>
          <w:szCs w:val="24"/>
        </w:rPr>
        <w:t xml:space="preserve">Rengiant NATO krizių valdymo </w:t>
      </w:r>
      <w:r>
        <w:rPr>
          <w:szCs w:val="24"/>
        </w:rPr>
        <w:t>pratybas</w:t>
      </w:r>
      <w:r w:rsidRPr="009A076D">
        <w:rPr>
          <w:szCs w:val="24"/>
        </w:rPr>
        <w:t xml:space="preserve"> ir sprendimų priėmimo pratybas (</w:t>
      </w:r>
      <w:proofErr w:type="spellStart"/>
      <w:r w:rsidRPr="00F9305C">
        <w:rPr>
          <w:i/>
          <w:iCs/>
          <w:szCs w:val="24"/>
        </w:rPr>
        <w:t>Short</w:t>
      </w:r>
      <w:proofErr w:type="spellEnd"/>
      <w:r w:rsidRPr="00F9305C">
        <w:rPr>
          <w:i/>
          <w:iCs/>
          <w:szCs w:val="24"/>
        </w:rPr>
        <w:t xml:space="preserve"> </w:t>
      </w:r>
      <w:proofErr w:type="spellStart"/>
      <w:r w:rsidRPr="00F9305C">
        <w:rPr>
          <w:i/>
          <w:iCs/>
          <w:szCs w:val="24"/>
        </w:rPr>
        <w:t>Notice</w:t>
      </w:r>
      <w:proofErr w:type="spellEnd"/>
      <w:r w:rsidRPr="00F9305C">
        <w:rPr>
          <w:i/>
          <w:iCs/>
          <w:szCs w:val="24"/>
        </w:rPr>
        <w:t xml:space="preserve"> </w:t>
      </w:r>
      <w:proofErr w:type="spellStart"/>
      <w:r w:rsidRPr="00F9305C">
        <w:rPr>
          <w:i/>
          <w:iCs/>
          <w:szCs w:val="24"/>
        </w:rPr>
        <w:t>Exercise</w:t>
      </w:r>
      <w:proofErr w:type="spellEnd"/>
      <w:r w:rsidRPr="009A076D">
        <w:rPr>
          <w:szCs w:val="24"/>
        </w:rPr>
        <w:t xml:space="preserve"> – SNEX)  Lietuva siekė ir sieks toliau išlaikyti dėmesį Baltijos regiono saugumui, NATO gebėjimui laiku reaguoti bei efektyviai priimti sprendimus ir suteikti paramą sąjungininkų gynybai. </w:t>
      </w:r>
    </w:p>
    <w:p w14:paraId="6FA07BE8" w14:textId="77777777" w:rsidR="008B10FF" w:rsidRDefault="008B10FF" w:rsidP="00E660EB">
      <w:pPr>
        <w:spacing w:line="250" w:lineRule="auto"/>
        <w:ind w:firstLine="709"/>
        <w:jc w:val="both"/>
        <w:rPr>
          <w:szCs w:val="24"/>
        </w:rPr>
      </w:pPr>
      <w:r>
        <w:rPr>
          <w:szCs w:val="24"/>
        </w:rPr>
        <w:t xml:space="preserve">2020 m. tęsėsi NATO krizių valdymo sistemos vadovo tobulinimas – Lietuva, atsižvelgdama į COVID-19 pandemijos sukeltus iššūkius, teikė pasiūlymus NATO krizių valdymo procedūroms atnaujinti. </w:t>
      </w:r>
    </w:p>
    <w:p w14:paraId="7ABE786D" w14:textId="77777777" w:rsidR="008B10FF" w:rsidRDefault="008B10FF" w:rsidP="00E660EB">
      <w:pPr>
        <w:spacing w:line="250" w:lineRule="auto"/>
        <w:ind w:firstLine="709"/>
        <w:jc w:val="both"/>
        <w:rPr>
          <w:szCs w:val="24"/>
        </w:rPr>
      </w:pPr>
      <w:r w:rsidRPr="003F400A">
        <w:rPr>
          <w:szCs w:val="24"/>
        </w:rPr>
        <w:t>Lietuva aktyviai palaiko NATO partnerysčių stiprinimą. Ypatingas dėmesys skiriamas santyki</w:t>
      </w:r>
      <w:r>
        <w:rPr>
          <w:szCs w:val="24"/>
        </w:rPr>
        <w:t>ams</w:t>
      </w:r>
      <w:r w:rsidRPr="003F400A">
        <w:rPr>
          <w:szCs w:val="24"/>
        </w:rPr>
        <w:t xml:space="preserve"> su artimiausia NATO partnere Europos Sąjunga</w:t>
      </w:r>
      <w:r>
        <w:rPr>
          <w:szCs w:val="24"/>
        </w:rPr>
        <w:t xml:space="preserve"> stiprinti</w:t>
      </w:r>
      <w:r w:rsidRPr="003F400A">
        <w:rPr>
          <w:szCs w:val="24"/>
        </w:rPr>
        <w:t>, pažymėtinos partnerystės su</w:t>
      </w:r>
      <w:r>
        <w:rPr>
          <w:szCs w:val="24"/>
        </w:rPr>
        <w:t xml:space="preserve"> </w:t>
      </w:r>
      <w:proofErr w:type="spellStart"/>
      <w:r w:rsidRPr="003F400A">
        <w:rPr>
          <w:szCs w:val="24"/>
        </w:rPr>
        <w:t>Sakartvelu</w:t>
      </w:r>
      <w:proofErr w:type="spellEnd"/>
      <w:r w:rsidRPr="003F400A">
        <w:rPr>
          <w:szCs w:val="24"/>
        </w:rPr>
        <w:t>, Suomija, Švedija ir Ukraina. Lietuva, remdama 360 laipsnių požiūrį į NATO partnerystes, pritaria Aljanso bendradarbiavimo gilinimui visomis strateginėmis kryptimis, tačiau svarbu, kad tai prisidėtų prie visų NATO narių saugumo, nedubliuotų kit</w:t>
      </w:r>
      <w:r>
        <w:rPr>
          <w:szCs w:val="24"/>
        </w:rPr>
        <w:t>ų</w:t>
      </w:r>
      <w:r w:rsidRPr="003F400A">
        <w:rPr>
          <w:szCs w:val="24"/>
        </w:rPr>
        <w:t xml:space="preserve"> tarptautinės bendruomenės pastang</w:t>
      </w:r>
      <w:r>
        <w:rPr>
          <w:szCs w:val="24"/>
        </w:rPr>
        <w:t>ų ir jas papildytų, o</w:t>
      </w:r>
      <w:r w:rsidRPr="003F400A">
        <w:rPr>
          <w:szCs w:val="24"/>
        </w:rPr>
        <w:t xml:space="preserve"> bendradarbiavimas vyktų </w:t>
      </w:r>
      <w:r>
        <w:rPr>
          <w:szCs w:val="24"/>
        </w:rPr>
        <w:t>laikantis kitų</w:t>
      </w:r>
      <w:r w:rsidRPr="003F400A">
        <w:rPr>
          <w:szCs w:val="24"/>
        </w:rPr>
        <w:t xml:space="preserve"> įsipareigojimų partneriams.</w:t>
      </w:r>
    </w:p>
    <w:p w14:paraId="781EE541" w14:textId="77777777" w:rsidR="008B10FF" w:rsidRDefault="008B10FF" w:rsidP="00E660EB">
      <w:pPr>
        <w:spacing w:line="250" w:lineRule="auto"/>
        <w:ind w:firstLine="709"/>
        <w:jc w:val="both"/>
        <w:rPr>
          <w:szCs w:val="24"/>
        </w:rPr>
      </w:pPr>
      <w:r w:rsidRPr="003F400A">
        <w:rPr>
          <w:szCs w:val="24"/>
        </w:rPr>
        <w:t>NATO</w:t>
      </w:r>
      <w:r>
        <w:rPr>
          <w:szCs w:val="24"/>
        </w:rPr>
        <w:t xml:space="preserve"> ir </w:t>
      </w:r>
      <w:r w:rsidRPr="003F400A">
        <w:rPr>
          <w:szCs w:val="24"/>
        </w:rPr>
        <w:t>ES bendradarbiavimo stiprinimas ir bendrų iniciatyvų įgyvendinimas – vien</w:t>
      </w:r>
      <w:r>
        <w:rPr>
          <w:szCs w:val="24"/>
        </w:rPr>
        <w:t>as</w:t>
      </w:r>
      <w:r w:rsidRPr="003F400A">
        <w:rPr>
          <w:szCs w:val="24"/>
        </w:rPr>
        <w:t xml:space="preserve"> iš Lietuvos prioritetų. Itin svarbios tokios bendradarbiavimo sritys</w:t>
      </w:r>
      <w:r>
        <w:rPr>
          <w:szCs w:val="24"/>
        </w:rPr>
        <w:t>,</w:t>
      </w:r>
      <w:r w:rsidRPr="003F400A">
        <w:rPr>
          <w:szCs w:val="24"/>
        </w:rPr>
        <w:t xml:space="preserve"> kaip karinis mobilumas, atsparumo stiprinimas, energetinis saugumas, atsakas į kibernetines ir hibridines grėsmes, kova prieš dezinformaciją. Lietuva remia ES gynybos iniciatyvas, tačiau nuosekliai pasisako už NATO nedubliavimo ir abiejų organizacijų tarpusavio papildomumo principus. </w:t>
      </w:r>
    </w:p>
    <w:p w14:paraId="544DF1F6" w14:textId="77777777" w:rsidR="008B10FF" w:rsidRDefault="008B10FF" w:rsidP="00E660EB">
      <w:pPr>
        <w:spacing w:line="250" w:lineRule="auto"/>
        <w:ind w:firstLine="709"/>
        <w:jc w:val="both"/>
        <w:rPr>
          <w:szCs w:val="24"/>
        </w:rPr>
      </w:pPr>
      <w:r w:rsidRPr="003F400A">
        <w:rPr>
          <w:szCs w:val="24"/>
        </w:rPr>
        <w:t>Lietuva aktyviai rėmė NATO–Ukrainos ir NATO–</w:t>
      </w:r>
      <w:proofErr w:type="spellStart"/>
      <w:r w:rsidRPr="003F400A">
        <w:rPr>
          <w:szCs w:val="24"/>
        </w:rPr>
        <w:t>Sakartvelo</w:t>
      </w:r>
      <w:proofErr w:type="spellEnd"/>
      <w:r w:rsidRPr="003F400A">
        <w:rPr>
          <w:szCs w:val="24"/>
        </w:rPr>
        <w:t xml:space="preserve"> partnerysčių stiprinimą, reguliariai pasisakydama už NATO atvirų durų politikos įsipareigojimų išlaikymą</w:t>
      </w:r>
      <w:r>
        <w:rPr>
          <w:szCs w:val="24"/>
        </w:rPr>
        <w:t>,</w:t>
      </w:r>
      <w:r w:rsidRPr="003F400A">
        <w:rPr>
          <w:szCs w:val="24"/>
        </w:rPr>
        <w:t xml:space="preserve"> ir nuolat siekė pabrėžti paramą </w:t>
      </w:r>
      <w:r>
        <w:rPr>
          <w:szCs w:val="24"/>
        </w:rPr>
        <w:t xml:space="preserve">Ukrainos ir </w:t>
      </w:r>
      <w:proofErr w:type="spellStart"/>
      <w:r>
        <w:rPr>
          <w:szCs w:val="24"/>
        </w:rPr>
        <w:t>Sakartvelo</w:t>
      </w:r>
      <w:proofErr w:type="spellEnd"/>
      <w:r w:rsidRPr="003F400A">
        <w:rPr>
          <w:szCs w:val="24"/>
        </w:rPr>
        <w:t xml:space="preserve"> teritoriniam vientisumui ir integralumui. 2020 m. pavyko pasiekti sąjungininkų konsensusą dėl sustiprintų galimybių partnerio statuso suteikimo Ukrainai. 2020 m. sutarta dėl esminio NATO–</w:t>
      </w:r>
      <w:proofErr w:type="spellStart"/>
      <w:r w:rsidRPr="003F400A">
        <w:rPr>
          <w:szCs w:val="24"/>
        </w:rPr>
        <w:t>Sakartvelo</w:t>
      </w:r>
      <w:proofErr w:type="spellEnd"/>
      <w:r w:rsidRPr="003F400A">
        <w:rPr>
          <w:szCs w:val="24"/>
        </w:rPr>
        <w:t xml:space="preserve"> paketo atnaujinimo. </w:t>
      </w:r>
    </w:p>
    <w:p w14:paraId="4D48543E" w14:textId="77777777" w:rsidR="008B10FF" w:rsidRPr="00E0401A" w:rsidRDefault="008B10FF" w:rsidP="00E660EB">
      <w:pPr>
        <w:spacing w:line="250" w:lineRule="auto"/>
        <w:ind w:firstLine="709"/>
        <w:jc w:val="both"/>
        <w:rPr>
          <w:szCs w:val="24"/>
        </w:rPr>
      </w:pPr>
      <w:r w:rsidRPr="003F400A">
        <w:rPr>
          <w:szCs w:val="24"/>
        </w:rPr>
        <w:t xml:space="preserve">Tęsiamas NATO pagalbos Ukrainai paketo įgyvendinimas. </w:t>
      </w:r>
      <w:r>
        <w:rPr>
          <w:szCs w:val="24"/>
        </w:rPr>
        <w:t>2020 m. NATO ryšių biure</w:t>
      </w:r>
      <w:r w:rsidRPr="00E0401A">
        <w:rPr>
          <w:szCs w:val="24"/>
        </w:rPr>
        <w:t xml:space="preserve"> Ukrainoje </w:t>
      </w:r>
      <w:r>
        <w:rPr>
          <w:szCs w:val="24"/>
        </w:rPr>
        <w:t>tarnavo</w:t>
      </w:r>
      <w:r w:rsidRPr="00E0401A">
        <w:rPr>
          <w:szCs w:val="24"/>
        </w:rPr>
        <w:t xml:space="preserve"> L</w:t>
      </w:r>
      <w:r>
        <w:rPr>
          <w:szCs w:val="24"/>
        </w:rPr>
        <w:t xml:space="preserve">ietuvos kariuomenės </w:t>
      </w:r>
      <w:r w:rsidRPr="00E0401A">
        <w:rPr>
          <w:szCs w:val="24"/>
        </w:rPr>
        <w:t>deleguot</w:t>
      </w:r>
      <w:r>
        <w:rPr>
          <w:szCs w:val="24"/>
        </w:rPr>
        <w:t>as</w:t>
      </w:r>
      <w:r w:rsidRPr="00E0401A">
        <w:rPr>
          <w:szCs w:val="24"/>
        </w:rPr>
        <w:t xml:space="preserve"> </w:t>
      </w:r>
      <w:r>
        <w:rPr>
          <w:szCs w:val="24"/>
        </w:rPr>
        <w:t>karininkas, atliekantis patarėjo funkcijas karininkų profesinio karinio rengimo klausimai</w:t>
      </w:r>
      <w:r w:rsidRPr="00E0401A">
        <w:rPr>
          <w:szCs w:val="24"/>
        </w:rPr>
        <w:t>s</w:t>
      </w:r>
      <w:r>
        <w:rPr>
          <w:szCs w:val="24"/>
        </w:rPr>
        <w:t xml:space="preserve">, </w:t>
      </w:r>
      <w:r w:rsidRPr="00E0401A">
        <w:rPr>
          <w:szCs w:val="24"/>
        </w:rPr>
        <w:t xml:space="preserve">ir </w:t>
      </w:r>
      <w:r>
        <w:rPr>
          <w:szCs w:val="24"/>
        </w:rPr>
        <w:t xml:space="preserve">Lietuvos kariuomenės puskarininkis, atliekantis patarėjo funkcijas </w:t>
      </w:r>
      <w:r w:rsidRPr="00E0401A">
        <w:rPr>
          <w:szCs w:val="24"/>
        </w:rPr>
        <w:t xml:space="preserve">puskarininkių sistemos </w:t>
      </w:r>
      <w:r>
        <w:rPr>
          <w:szCs w:val="24"/>
        </w:rPr>
        <w:t>plėtros klausimais</w:t>
      </w:r>
      <w:r w:rsidRPr="00E0401A">
        <w:rPr>
          <w:szCs w:val="24"/>
        </w:rPr>
        <w:t xml:space="preserve">. </w:t>
      </w:r>
      <w:r>
        <w:rPr>
          <w:szCs w:val="24"/>
        </w:rPr>
        <w:t>Lietuvos kariuomenės atstovas atliko Ukrainos s</w:t>
      </w:r>
      <w:r w:rsidRPr="00E0401A">
        <w:rPr>
          <w:szCs w:val="24"/>
        </w:rPr>
        <w:t>pecialiųjų operacijų pajėgų vystymo</w:t>
      </w:r>
      <w:r>
        <w:rPr>
          <w:szCs w:val="24"/>
        </w:rPr>
        <w:t xml:space="preserve"> patariamąją funkciją ir užtikrino ryšį su NATO struktūromis. </w:t>
      </w:r>
    </w:p>
    <w:p w14:paraId="6AD49B3F" w14:textId="77777777" w:rsidR="008B10FF" w:rsidRDefault="008B10FF" w:rsidP="00E660EB">
      <w:pPr>
        <w:spacing w:line="250" w:lineRule="auto"/>
        <w:ind w:firstLine="709"/>
        <w:jc w:val="both"/>
        <w:rPr>
          <w:szCs w:val="24"/>
        </w:rPr>
      </w:pPr>
      <w:r w:rsidRPr="00E0401A">
        <w:rPr>
          <w:szCs w:val="24"/>
        </w:rPr>
        <w:t xml:space="preserve">Lietuvos karinis atstovas </w:t>
      </w:r>
      <w:r>
        <w:rPr>
          <w:szCs w:val="24"/>
        </w:rPr>
        <w:t xml:space="preserve">toliau ėjo sąveikos karininko pareigas </w:t>
      </w:r>
      <w:r w:rsidRPr="00E0401A">
        <w:rPr>
          <w:szCs w:val="24"/>
        </w:rPr>
        <w:t xml:space="preserve"> NATO ryšių biure Tbilisyje. NATO ir </w:t>
      </w:r>
      <w:proofErr w:type="spellStart"/>
      <w:r>
        <w:rPr>
          <w:szCs w:val="24"/>
        </w:rPr>
        <w:t>Sakartvelo</w:t>
      </w:r>
      <w:proofErr w:type="spellEnd"/>
      <w:r w:rsidRPr="00E0401A">
        <w:rPr>
          <w:szCs w:val="24"/>
        </w:rPr>
        <w:t xml:space="preserve"> bendrame mokymo ir vertinimo centre </w:t>
      </w:r>
      <w:r>
        <w:rPr>
          <w:szCs w:val="24"/>
        </w:rPr>
        <w:t>darbą tęsė Lietuvos karininkas.</w:t>
      </w:r>
    </w:p>
    <w:p w14:paraId="7954C016" w14:textId="77777777" w:rsidR="008B10FF" w:rsidRPr="003F400A" w:rsidRDefault="008B10FF" w:rsidP="00E660EB">
      <w:pPr>
        <w:spacing w:line="250" w:lineRule="auto"/>
        <w:ind w:firstLine="709"/>
        <w:jc w:val="both"/>
        <w:rPr>
          <w:szCs w:val="24"/>
        </w:rPr>
      </w:pPr>
      <w:r w:rsidRPr="003F400A">
        <w:rPr>
          <w:szCs w:val="24"/>
        </w:rPr>
        <w:t xml:space="preserve">Siekdama didinti NATO atvirų durų politikos įsipareigojimus </w:t>
      </w:r>
      <w:proofErr w:type="spellStart"/>
      <w:r w:rsidRPr="003F400A">
        <w:rPr>
          <w:szCs w:val="24"/>
        </w:rPr>
        <w:t>Sakartvel</w:t>
      </w:r>
      <w:r>
        <w:rPr>
          <w:szCs w:val="24"/>
        </w:rPr>
        <w:t>ui</w:t>
      </w:r>
      <w:proofErr w:type="spellEnd"/>
      <w:r w:rsidRPr="003F400A">
        <w:rPr>
          <w:szCs w:val="24"/>
        </w:rPr>
        <w:t xml:space="preserve"> ir Ukrain</w:t>
      </w:r>
      <w:r>
        <w:rPr>
          <w:szCs w:val="24"/>
        </w:rPr>
        <w:t>ai</w:t>
      </w:r>
      <w:r w:rsidRPr="003F400A">
        <w:rPr>
          <w:szCs w:val="24"/>
        </w:rPr>
        <w:t>, Lietuva 2020 m. inicijavo 13 užsienio reikalų ministrų laišką, kuris buvo perduotas NATO generaliniam sekretoriui prieš NATO užsienio reikalų ministrų susitikimą 2020 m. gruodžio 1</w:t>
      </w:r>
      <w:r>
        <w:rPr>
          <w:szCs w:val="24"/>
        </w:rPr>
        <w:t xml:space="preserve"> ir </w:t>
      </w:r>
      <w:r w:rsidRPr="003F400A">
        <w:rPr>
          <w:szCs w:val="24"/>
        </w:rPr>
        <w:t>2 d. Lietuva toliau nuosekliai rems NATO politinį dialogą (įskaitant reguliarių NATO–</w:t>
      </w:r>
      <w:proofErr w:type="spellStart"/>
      <w:r w:rsidRPr="003F400A">
        <w:rPr>
          <w:szCs w:val="24"/>
        </w:rPr>
        <w:t>Sakartvelo</w:t>
      </w:r>
      <w:proofErr w:type="spellEnd"/>
      <w:r w:rsidRPr="003F400A">
        <w:rPr>
          <w:szCs w:val="24"/>
        </w:rPr>
        <w:t xml:space="preserve"> komisijos ir NATO–Ukrainos komisijos susitikimų rengimą) ir praktinį bendradarbiavimą su </w:t>
      </w:r>
      <w:proofErr w:type="spellStart"/>
      <w:r w:rsidRPr="003F400A">
        <w:rPr>
          <w:szCs w:val="24"/>
        </w:rPr>
        <w:t>Sakartvelu</w:t>
      </w:r>
      <w:proofErr w:type="spellEnd"/>
      <w:r w:rsidRPr="003F400A">
        <w:rPr>
          <w:szCs w:val="24"/>
        </w:rPr>
        <w:t xml:space="preserve"> ir Ukraina.</w:t>
      </w:r>
    </w:p>
    <w:p w14:paraId="435A041A" w14:textId="77777777" w:rsidR="008B10FF" w:rsidRDefault="008B10FF" w:rsidP="00E660EB">
      <w:pPr>
        <w:spacing w:line="250" w:lineRule="auto"/>
        <w:ind w:firstLine="709"/>
        <w:jc w:val="both"/>
        <w:rPr>
          <w:szCs w:val="24"/>
        </w:rPr>
      </w:pPr>
      <w:r w:rsidRPr="003F400A">
        <w:rPr>
          <w:szCs w:val="24"/>
        </w:rPr>
        <w:t xml:space="preserve">2020 m. Lietuvos atstovybė Moldovoje tęsė NATO kontaktinės ambasados funkcijas (šias funkcijas atliks ir 2021 m.). </w:t>
      </w:r>
      <w:r w:rsidRPr="00E0401A">
        <w:rPr>
          <w:szCs w:val="24"/>
        </w:rPr>
        <w:t xml:space="preserve">Lietuvos gynybos atašė Moldovoje </w:t>
      </w:r>
      <w:r>
        <w:rPr>
          <w:szCs w:val="24"/>
        </w:rPr>
        <w:t>prisidėjo prie</w:t>
      </w:r>
      <w:r w:rsidRPr="00E0401A">
        <w:rPr>
          <w:szCs w:val="24"/>
        </w:rPr>
        <w:t xml:space="preserve"> Lietuvos </w:t>
      </w:r>
      <w:r>
        <w:rPr>
          <w:szCs w:val="24"/>
        </w:rPr>
        <w:t xml:space="preserve">Respublikos </w:t>
      </w:r>
      <w:r w:rsidRPr="00E0401A">
        <w:rPr>
          <w:szCs w:val="24"/>
        </w:rPr>
        <w:t>ambasados</w:t>
      </w:r>
      <w:r>
        <w:rPr>
          <w:szCs w:val="24"/>
        </w:rPr>
        <w:t>,</w:t>
      </w:r>
      <w:r w:rsidRPr="00E0401A">
        <w:rPr>
          <w:szCs w:val="24"/>
        </w:rPr>
        <w:t xml:space="preserve"> kaip NATO kontaktinės ambasados Moldovoje</w:t>
      </w:r>
      <w:r>
        <w:rPr>
          <w:szCs w:val="24"/>
        </w:rPr>
        <w:t>,</w:t>
      </w:r>
      <w:r w:rsidRPr="00E0401A">
        <w:rPr>
          <w:szCs w:val="24"/>
        </w:rPr>
        <w:t xml:space="preserve"> funkcijų </w:t>
      </w:r>
      <w:r>
        <w:rPr>
          <w:szCs w:val="24"/>
        </w:rPr>
        <w:t>įgyvendinimo</w:t>
      </w:r>
      <w:r w:rsidRPr="00E0401A">
        <w:rPr>
          <w:szCs w:val="24"/>
        </w:rPr>
        <w:t>.</w:t>
      </w:r>
      <w:r>
        <w:rPr>
          <w:szCs w:val="24"/>
        </w:rPr>
        <w:t xml:space="preserve"> </w:t>
      </w:r>
      <w:r w:rsidRPr="00E0401A">
        <w:rPr>
          <w:szCs w:val="24"/>
        </w:rPr>
        <w:t>K</w:t>
      </w:r>
      <w:r>
        <w:rPr>
          <w:szCs w:val="24"/>
        </w:rPr>
        <w:t xml:space="preserve">rašto apsaugos ministerija </w:t>
      </w:r>
      <w:r w:rsidRPr="00E0401A">
        <w:rPr>
          <w:szCs w:val="24"/>
        </w:rPr>
        <w:t xml:space="preserve">skyrė finansinę paramą </w:t>
      </w:r>
      <w:r>
        <w:rPr>
          <w:szCs w:val="24"/>
        </w:rPr>
        <w:t xml:space="preserve">į </w:t>
      </w:r>
      <w:r w:rsidRPr="00E0401A">
        <w:rPr>
          <w:szCs w:val="24"/>
        </w:rPr>
        <w:t xml:space="preserve">NATO </w:t>
      </w:r>
      <w:proofErr w:type="spellStart"/>
      <w:r>
        <w:rPr>
          <w:szCs w:val="24"/>
        </w:rPr>
        <w:t>patikos</w:t>
      </w:r>
      <w:proofErr w:type="spellEnd"/>
      <w:r>
        <w:rPr>
          <w:szCs w:val="24"/>
        </w:rPr>
        <w:t xml:space="preserve"> fondą informacinių technologijų </w:t>
      </w:r>
      <w:r w:rsidRPr="00E0401A">
        <w:rPr>
          <w:szCs w:val="24"/>
        </w:rPr>
        <w:t xml:space="preserve">projektui </w:t>
      </w:r>
      <w:r>
        <w:rPr>
          <w:szCs w:val="24"/>
        </w:rPr>
        <w:t>Moldovos Respublikoje</w:t>
      </w:r>
      <w:r w:rsidRPr="00BE6305">
        <w:rPr>
          <w:szCs w:val="24"/>
        </w:rPr>
        <w:t xml:space="preserve"> </w:t>
      </w:r>
      <w:r>
        <w:rPr>
          <w:szCs w:val="24"/>
        </w:rPr>
        <w:t>finansuoti</w:t>
      </w:r>
      <w:r w:rsidRPr="00E0401A">
        <w:rPr>
          <w:szCs w:val="24"/>
        </w:rPr>
        <w:t xml:space="preserve">. </w:t>
      </w:r>
    </w:p>
    <w:p w14:paraId="6F5C39E0" w14:textId="77777777" w:rsidR="008B10FF" w:rsidRDefault="008B10FF" w:rsidP="00E660EB">
      <w:pPr>
        <w:spacing w:line="250" w:lineRule="auto"/>
        <w:ind w:firstLine="709"/>
        <w:jc w:val="both"/>
        <w:rPr>
          <w:szCs w:val="24"/>
        </w:rPr>
      </w:pPr>
      <w:r w:rsidRPr="003F400A">
        <w:rPr>
          <w:szCs w:val="24"/>
        </w:rPr>
        <w:t>NATO atvirų durų politikos kontekste pažymėtina sėkminga NATO plėtra Balkanų regione – 2020 m. kovo 27 d. Šiaurės Makedonija tapo Aljanso nare.</w:t>
      </w:r>
    </w:p>
    <w:p w14:paraId="40253DD0" w14:textId="77777777" w:rsidR="008B10FF" w:rsidRDefault="008B10FF" w:rsidP="00E660EB">
      <w:pPr>
        <w:spacing w:line="250" w:lineRule="auto"/>
        <w:ind w:firstLine="709"/>
        <w:jc w:val="both"/>
        <w:rPr>
          <w:szCs w:val="24"/>
        </w:rPr>
      </w:pPr>
      <w:r w:rsidRPr="003F400A">
        <w:rPr>
          <w:szCs w:val="24"/>
        </w:rPr>
        <w:t xml:space="preserve">Dėl 2020 m. susiklosčiusios situacijos Baltarusijoje </w:t>
      </w:r>
      <w:r>
        <w:rPr>
          <w:szCs w:val="24"/>
        </w:rPr>
        <w:t>ši</w:t>
      </w:r>
      <w:r w:rsidRPr="003F400A">
        <w:rPr>
          <w:szCs w:val="24"/>
        </w:rPr>
        <w:t xml:space="preserve"> šalis atsidūrė didesnio NATO dėmesio centre</w:t>
      </w:r>
      <w:r>
        <w:rPr>
          <w:szCs w:val="24"/>
        </w:rPr>
        <w:t xml:space="preserve">, dėl </w:t>
      </w:r>
      <w:r w:rsidRPr="003F400A">
        <w:rPr>
          <w:szCs w:val="24"/>
        </w:rPr>
        <w:t xml:space="preserve">režimo represijų prieš šalies piliečius NATO bendradarbiavimo gilinimas iš esmės liko įšaldytas. Atsižvelgiant į galimą Rusijos įtakos didėjimą Baltarusijoje, Lietuvos interesas yra išlaikyti tam tikrą NATO </w:t>
      </w:r>
      <w:r w:rsidRPr="003F400A">
        <w:rPr>
          <w:szCs w:val="24"/>
        </w:rPr>
        <w:lastRenderedPageBreak/>
        <w:t xml:space="preserve">bendradarbiavimą su šia šalimi, bet kartu užtikrinti, kad tai nebūtų </w:t>
      </w:r>
      <w:r>
        <w:rPr>
          <w:szCs w:val="24"/>
        </w:rPr>
        <w:t>pa</w:t>
      </w:r>
      <w:r w:rsidRPr="003F400A">
        <w:rPr>
          <w:szCs w:val="24"/>
        </w:rPr>
        <w:t>naudota Baltarusijos režimo politiniams tikslams. Taip pat svarbu, kad NATO išlaikytų atitinkamą dėmesį įvykiams Baltarusijoje ir stebėtų bei vertintų Rusijos įtakos Baltarusijoje pokyčius.</w:t>
      </w:r>
    </w:p>
    <w:p w14:paraId="6FC11CB7" w14:textId="77777777" w:rsidR="008B10FF" w:rsidRDefault="008B10FF" w:rsidP="00E660EB">
      <w:pPr>
        <w:spacing w:line="250" w:lineRule="auto"/>
        <w:ind w:firstLine="709"/>
        <w:jc w:val="both"/>
        <w:rPr>
          <w:szCs w:val="24"/>
        </w:rPr>
      </w:pPr>
      <w:r w:rsidRPr="003F400A">
        <w:rPr>
          <w:szCs w:val="24"/>
        </w:rPr>
        <w:t xml:space="preserve">Lietuva skyrė 30 tūkst. eurų finansinę paramą NATO atsako į COVID-19 </w:t>
      </w:r>
      <w:proofErr w:type="spellStart"/>
      <w:r w:rsidRPr="003F400A">
        <w:rPr>
          <w:szCs w:val="24"/>
        </w:rPr>
        <w:t>patikos</w:t>
      </w:r>
      <w:proofErr w:type="spellEnd"/>
      <w:r w:rsidRPr="003F400A">
        <w:rPr>
          <w:szCs w:val="24"/>
        </w:rPr>
        <w:t xml:space="preserve"> fondui. Taip pat skirta kovos su COVID-19 priemonių parama atskiroms NATO sąjungininkėms (Ispanija, Italija, JAV) ir partnerėms (</w:t>
      </w:r>
      <w:proofErr w:type="spellStart"/>
      <w:r w:rsidRPr="003F400A">
        <w:rPr>
          <w:szCs w:val="24"/>
        </w:rPr>
        <w:t>Sakartvelas</w:t>
      </w:r>
      <w:proofErr w:type="spellEnd"/>
      <w:r w:rsidRPr="003F400A">
        <w:rPr>
          <w:szCs w:val="24"/>
        </w:rPr>
        <w:t>, Ukraina, Armėnija, Moldova, Baltarusija).</w:t>
      </w:r>
    </w:p>
    <w:p w14:paraId="5E77959C"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Vieningos ir solidarios ES stiprinimas </w:t>
      </w:r>
    </w:p>
    <w:p w14:paraId="2CB368B3" w14:textId="77777777" w:rsidR="008B10FF" w:rsidRDefault="008B10FF" w:rsidP="00E660EB">
      <w:pPr>
        <w:spacing w:line="250" w:lineRule="auto"/>
        <w:ind w:firstLine="709"/>
        <w:jc w:val="both"/>
        <w:rPr>
          <w:szCs w:val="24"/>
        </w:rPr>
      </w:pPr>
      <w:r w:rsidRPr="003F400A">
        <w:rPr>
          <w:szCs w:val="24"/>
        </w:rPr>
        <w:t xml:space="preserve">ES Strateginės darbotvarkės, patvirtintos Europos Vadovų Taryboje 2019 m. birželį, įgyvendinimui įtaką turėjo COVID-19 pandemija. 2020 m. priimti sprendimai visų pirma prisidėjo prie vieningos ir solidarios ES stiprinimo. </w:t>
      </w:r>
    </w:p>
    <w:p w14:paraId="79C46B7F" w14:textId="77777777" w:rsidR="008B10FF" w:rsidRDefault="008B10FF" w:rsidP="00E660EB">
      <w:pPr>
        <w:spacing w:line="250" w:lineRule="auto"/>
        <w:ind w:firstLine="709"/>
        <w:jc w:val="both"/>
        <w:rPr>
          <w:szCs w:val="24"/>
        </w:rPr>
      </w:pPr>
      <w:r w:rsidRPr="003F400A">
        <w:rPr>
          <w:szCs w:val="24"/>
        </w:rPr>
        <w:t>2020 m. susitarta dėl 2021</w:t>
      </w:r>
      <w:r>
        <w:rPr>
          <w:szCs w:val="24"/>
        </w:rPr>
        <w:t>–</w:t>
      </w:r>
      <w:r w:rsidRPr="003F400A">
        <w:rPr>
          <w:szCs w:val="24"/>
        </w:rPr>
        <w:t>2027 m. ES daugiamečio biudžeto ir Gaivinimo plano – finansinės paramos, kuri padės užtikrinti ES ir valstybių narių ekonomik</w:t>
      </w:r>
      <w:r>
        <w:rPr>
          <w:szCs w:val="24"/>
        </w:rPr>
        <w:t>os</w:t>
      </w:r>
      <w:r w:rsidRPr="003F400A">
        <w:rPr>
          <w:szCs w:val="24"/>
        </w:rPr>
        <w:t xml:space="preserve"> atsigavimą </w:t>
      </w:r>
      <w:r>
        <w:rPr>
          <w:szCs w:val="24"/>
        </w:rPr>
        <w:t>ir</w:t>
      </w:r>
      <w:r w:rsidRPr="003F400A">
        <w:rPr>
          <w:szCs w:val="24"/>
        </w:rPr>
        <w:t xml:space="preserve"> tvarų augimą. </w:t>
      </w:r>
    </w:p>
    <w:p w14:paraId="7F5CEA7C" w14:textId="77777777" w:rsidR="008B10FF" w:rsidRDefault="008B10FF" w:rsidP="00E660EB">
      <w:pPr>
        <w:spacing w:line="250" w:lineRule="auto"/>
        <w:ind w:firstLine="709"/>
        <w:jc w:val="both"/>
        <w:rPr>
          <w:szCs w:val="24"/>
        </w:rPr>
      </w:pPr>
      <w:r w:rsidRPr="003F400A">
        <w:rPr>
          <w:szCs w:val="24"/>
        </w:rPr>
        <w:t xml:space="preserve">2020 m. pasiekti susitarimai dėl koordinuoto ES atsako į COVID-19 pandemiją, bendrų vakcinos pirkimų ir įsigytos vakcinos paskirstymo valstybėms narėms proporcingai jų gyventojų skaičiui. </w:t>
      </w:r>
    </w:p>
    <w:p w14:paraId="2A9C80EC" w14:textId="77777777" w:rsidR="008B10FF" w:rsidRDefault="008B10FF" w:rsidP="00E660EB">
      <w:pPr>
        <w:spacing w:line="250" w:lineRule="auto"/>
        <w:ind w:firstLine="709"/>
        <w:jc w:val="both"/>
        <w:rPr>
          <w:szCs w:val="24"/>
        </w:rPr>
      </w:pPr>
      <w:r w:rsidRPr="003F400A">
        <w:rPr>
          <w:szCs w:val="24"/>
        </w:rPr>
        <w:t>2020 m. gruodį ES valstybių ir vyriausybių vadovai sutarė dėl CO</w:t>
      </w:r>
      <w:r w:rsidRPr="003F400A">
        <w:rPr>
          <w:szCs w:val="24"/>
          <w:vertAlign w:val="subscript"/>
        </w:rPr>
        <w:t>2</w:t>
      </w:r>
      <w:r w:rsidRPr="003F400A">
        <w:rPr>
          <w:szCs w:val="24"/>
        </w:rPr>
        <w:t xml:space="preserve"> emisijų mažinimo tikslų iki 2030 m. padidinimo, baigtos derybos dėl susitarimo su Jungtine Karalyste: 2020 m. baigti Jungtinės Karalystės </w:t>
      </w:r>
      <w:r>
        <w:rPr>
          <w:szCs w:val="24"/>
        </w:rPr>
        <w:t xml:space="preserve">(toliau – JK) </w:t>
      </w:r>
      <w:r w:rsidRPr="003F400A">
        <w:rPr>
          <w:szCs w:val="24"/>
        </w:rPr>
        <w:t xml:space="preserve">išstojimo iš ES susitarimo įgyvendinimo darbai; 2020 m. gruodžio pabaigoje baigtos derybos dėl ateities su JK, kurių rezultatas – </w:t>
      </w:r>
      <w:r>
        <w:rPr>
          <w:szCs w:val="24"/>
          <w:lang w:val="en-GB"/>
        </w:rPr>
        <w:t>3</w:t>
      </w:r>
      <w:r w:rsidRPr="003F400A">
        <w:rPr>
          <w:szCs w:val="24"/>
        </w:rPr>
        <w:t xml:space="preserve"> ES</w:t>
      </w:r>
      <w:r>
        <w:rPr>
          <w:szCs w:val="24"/>
        </w:rPr>
        <w:t>–</w:t>
      </w:r>
      <w:r w:rsidRPr="003F400A">
        <w:rPr>
          <w:szCs w:val="24"/>
        </w:rPr>
        <w:t xml:space="preserve">JK susitarimai (prekybos ir bendradarbiavimo, įslaptintos informacijos apsaugos ir bendradarbiavimo branduolinės energetikos srityse). </w:t>
      </w:r>
    </w:p>
    <w:p w14:paraId="510AAA89" w14:textId="77777777" w:rsidR="008B10FF" w:rsidRDefault="008B10FF" w:rsidP="00E660EB">
      <w:pPr>
        <w:spacing w:line="250" w:lineRule="auto"/>
        <w:ind w:firstLine="709"/>
        <w:jc w:val="both"/>
        <w:rPr>
          <w:szCs w:val="24"/>
        </w:rPr>
      </w:pPr>
      <w:r w:rsidRPr="003F400A">
        <w:rPr>
          <w:szCs w:val="24"/>
        </w:rPr>
        <w:t>E</w:t>
      </w:r>
      <w:r>
        <w:rPr>
          <w:szCs w:val="24"/>
        </w:rPr>
        <w:t xml:space="preserve">uropos Vadovų Taryba </w:t>
      </w:r>
      <w:r w:rsidRPr="003F400A">
        <w:rPr>
          <w:szCs w:val="24"/>
        </w:rPr>
        <w:t xml:space="preserve">pavedė Komisijai išnagrinėti būdus, kuriais būtų galima užkirsti kelią elektros importui iš nesaugių trečiųjų šalių branduolinių objektų. </w:t>
      </w:r>
    </w:p>
    <w:p w14:paraId="213D2A94" w14:textId="77777777" w:rsidR="008B10FF" w:rsidRDefault="008B10FF" w:rsidP="00E660EB">
      <w:pPr>
        <w:spacing w:line="250" w:lineRule="auto"/>
        <w:ind w:firstLine="709"/>
        <w:jc w:val="both"/>
        <w:rPr>
          <w:szCs w:val="24"/>
        </w:rPr>
      </w:pPr>
      <w:r w:rsidRPr="003F400A">
        <w:rPr>
          <w:szCs w:val="24"/>
        </w:rPr>
        <w:t xml:space="preserve">Vyko kova prieš dezinformaciją ir hibridines grėsmes, 2020 m. gruodį Komisija paskelbė Europos demokratijos veiksmų planą (EDAP), apimantį rinkimų atsparumo didinimą, geresnę žurnalistų teisių apsaugą </w:t>
      </w:r>
      <w:r>
        <w:rPr>
          <w:szCs w:val="24"/>
        </w:rPr>
        <w:t>ir</w:t>
      </w:r>
      <w:r w:rsidRPr="003F400A">
        <w:rPr>
          <w:szCs w:val="24"/>
        </w:rPr>
        <w:t xml:space="preserve"> kovos su dezinformacija priemones. Po įtemptų diskusijų ES ėmėsi priemonių Baltarusijos režimo atžvilgiu. Išlaikyta ES politika Rusijos atžvilgiu. </w:t>
      </w:r>
    </w:p>
    <w:p w14:paraId="42973D51" w14:textId="77777777" w:rsidR="008B10FF" w:rsidRDefault="008B10FF" w:rsidP="00E660EB">
      <w:pPr>
        <w:spacing w:line="250" w:lineRule="auto"/>
        <w:ind w:firstLine="709"/>
        <w:jc w:val="both"/>
        <w:rPr>
          <w:szCs w:val="24"/>
        </w:rPr>
      </w:pPr>
      <w:r w:rsidRPr="003F400A">
        <w:rPr>
          <w:szCs w:val="24"/>
        </w:rPr>
        <w:t xml:space="preserve">Kartu su ES daugiamečiu biudžetu rastas </w:t>
      </w:r>
      <w:r>
        <w:rPr>
          <w:szCs w:val="24"/>
        </w:rPr>
        <w:t>bendras</w:t>
      </w:r>
      <w:r w:rsidRPr="003F400A">
        <w:rPr>
          <w:szCs w:val="24"/>
        </w:rPr>
        <w:t xml:space="preserve"> ES valstybių narių sutarimas dėl teisės viršenybės principo apsaugos ES biudžeto srityje</w:t>
      </w:r>
      <w:r>
        <w:rPr>
          <w:szCs w:val="24"/>
        </w:rPr>
        <w:t xml:space="preserve"> ir</w:t>
      </w:r>
      <w:r w:rsidRPr="003F400A">
        <w:rPr>
          <w:szCs w:val="24"/>
        </w:rPr>
        <w:t xml:space="preserve"> 2020 m. pradėtas metinis teisinės valstybės dialogas, kurio metu bus </w:t>
      </w:r>
      <w:proofErr w:type="spellStart"/>
      <w:r w:rsidRPr="003F400A">
        <w:rPr>
          <w:szCs w:val="24"/>
        </w:rPr>
        <w:t>lygiavertiškai</w:t>
      </w:r>
      <w:proofErr w:type="spellEnd"/>
      <w:r w:rsidRPr="003F400A">
        <w:rPr>
          <w:szCs w:val="24"/>
        </w:rPr>
        <w:t xml:space="preserve"> peržiūrima teisės viršenybės padėtis visose ES valstybėse narėse. Tai leis užtikrinti ES, kaip vertybėmis pagrįstos sąjungos, stabilumą. </w:t>
      </w:r>
    </w:p>
    <w:p w14:paraId="3F182631" w14:textId="77777777" w:rsidR="008B10FF" w:rsidRDefault="008B10FF" w:rsidP="00E660EB">
      <w:pPr>
        <w:spacing w:line="250" w:lineRule="auto"/>
        <w:ind w:firstLine="709"/>
        <w:jc w:val="both"/>
        <w:rPr>
          <w:szCs w:val="24"/>
        </w:rPr>
      </w:pPr>
      <w:r w:rsidRPr="003F400A">
        <w:rPr>
          <w:szCs w:val="24"/>
        </w:rPr>
        <w:t xml:space="preserve">Sprendžiant daug iššūkių keliantį migracijos klausimą, Komisija 2020 m. rugsėjį pateikė pasiūlymų paketą dėl migracijos ir prieglobsčio pakto – tikimasi, kad šių pasiūlymų pagrindu valstybėms narėms pavyks pasiekti sutarimą dėl racionalios migracijos valdymo ir prieglobsčio sistemos. </w:t>
      </w:r>
    </w:p>
    <w:p w14:paraId="1C7DF082" w14:textId="77777777" w:rsidR="008B10FF" w:rsidRDefault="008B10FF" w:rsidP="00E660EB">
      <w:pPr>
        <w:spacing w:line="250" w:lineRule="auto"/>
        <w:ind w:firstLine="709"/>
        <w:jc w:val="both"/>
        <w:rPr>
          <w:szCs w:val="24"/>
        </w:rPr>
      </w:pPr>
      <w:r w:rsidRPr="003F400A">
        <w:rPr>
          <w:szCs w:val="24"/>
        </w:rPr>
        <w:t>Bendrosios saugumo ir gynybos politikos srityje Lietuva ir toliau yra aktyvi, prisideda prie ES nuolatinio struktūrizuoto bendradarbiavimo ir dalyvauja ES vykdomose operacijose ir misijose. Lietuva nuosekliai siekė, kad Bendrosios saugumo ir gynybos politikos tikslų įgyvendinimas būtų suderintas su transatlantinio bendradarbiavimo prioritetais, NATO ir Lietuvos nacionalinio saugumo ir gynybos poreikiais.</w:t>
      </w:r>
    </w:p>
    <w:p w14:paraId="26806260" w14:textId="77777777" w:rsidR="008B10FF" w:rsidRDefault="008B10FF" w:rsidP="00E660EB">
      <w:pPr>
        <w:spacing w:line="250" w:lineRule="auto"/>
        <w:ind w:firstLine="709"/>
        <w:jc w:val="both"/>
        <w:rPr>
          <w:szCs w:val="24"/>
        </w:rPr>
      </w:pPr>
      <w:r w:rsidRPr="003F400A">
        <w:rPr>
          <w:szCs w:val="24"/>
        </w:rPr>
        <w:t>2020 m</w:t>
      </w:r>
      <w:r>
        <w:rPr>
          <w:szCs w:val="24"/>
        </w:rPr>
        <w:t>.</w:t>
      </w:r>
      <w:r w:rsidRPr="003F400A">
        <w:rPr>
          <w:szCs w:val="24"/>
        </w:rPr>
        <w:t xml:space="preserve"> Lietuva tęsė savo dalyvavimą civilinėse ES misijose, deleguodama civilius ekspertus ir pareigūnus: ES stebėsenos misijoje </w:t>
      </w:r>
      <w:proofErr w:type="spellStart"/>
      <w:r w:rsidRPr="003F400A">
        <w:rPr>
          <w:szCs w:val="24"/>
        </w:rPr>
        <w:t>Sakartvele</w:t>
      </w:r>
      <w:proofErr w:type="spellEnd"/>
      <w:r w:rsidRPr="003F400A">
        <w:rPr>
          <w:szCs w:val="24"/>
        </w:rPr>
        <w:t xml:space="preserve"> (</w:t>
      </w:r>
      <w:r w:rsidRPr="00445CEC">
        <w:rPr>
          <w:i/>
          <w:iCs/>
          <w:szCs w:val="24"/>
        </w:rPr>
        <w:t xml:space="preserve">EUMM </w:t>
      </w:r>
      <w:proofErr w:type="spellStart"/>
      <w:r w:rsidRPr="00445CEC">
        <w:rPr>
          <w:i/>
          <w:iCs/>
          <w:szCs w:val="24"/>
        </w:rPr>
        <w:t>Georgia</w:t>
      </w:r>
      <w:proofErr w:type="spellEnd"/>
      <w:r w:rsidRPr="003F400A">
        <w:rPr>
          <w:szCs w:val="24"/>
        </w:rPr>
        <w:t>, vyksta nuo 2008 m., 2020 metais dalyvavo 5 Lietuvos deleguoti ekspertai) ir ES paramos Ukrainai misijoje (</w:t>
      </w:r>
      <w:r w:rsidRPr="00445CEC">
        <w:rPr>
          <w:i/>
          <w:iCs/>
          <w:szCs w:val="24"/>
        </w:rPr>
        <w:t xml:space="preserve">EUAM </w:t>
      </w:r>
      <w:proofErr w:type="spellStart"/>
      <w:r w:rsidRPr="00445CEC">
        <w:rPr>
          <w:i/>
          <w:iCs/>
          <w:szCs w:val="24"/>
        </w:rPr>
        <w:t>Ukraine</w:t>
      </w:r>
      <w:proofErr w:type="spellEnd"/>
      <w:r w:rsidRPr="003F400A">
        <w:rPr>
          <w:szCs w:val="24"/>
        </w:rPr>
        <w:t>, vyksta nuo 2014 m., 2020 metais dalyvavo 6 Lietuvos deleguoti ekspertai).</w:t>
      </w:r>
    </w:p>
    <w:p w14:paraId="264ACABA" w14:textId="77777777" w:rsidR="008B10FF" w:rsidRDefault="008B10FF" w:rsidP="00E660EB">
      <w:pPr>
        <w:spacing w:line="250" w:lineRule="auto"/>
        <w:ind w:firstLine="709"/>
        <w:jc w:val="both"/>
        <w:rPr>
          <w:szCs w:val="24"/>
        </w:rPr>
      </w:pPr>
      <w:r w:rsidRPr="003F400A">
        <w:rPr>
          <w:szCs w:val="24"/>
        </w:rPr>
        <w:t xml:space="preserve">Pasiekti svarbūs susitarimai dėl priemonių ir veiksmų bendros užsienio ir saugumo politikos srityje, kurie didins ES vaidmenį ir koordinuotą atsaką globalios politikos klausimais. </w:t>
      </w:r>
      <w:r w:rsidRPr="00445CEC">
        <w:rPr>
          <w:szCs w:val="24"/>
        </w:rPr>
        <w:t>2020 m. II pusmetį trišaliuose EP, Tarybos ir EK dialoguose sutarta į Reglamentą dėl Kaimynystės, vystomojo</w:t>
      </w:r>
      <w:r w:rsidRPr="003F400A">
        <w:rPr>
          <w:szCs w:val="24"/>
        </w:rPr>
        <w:t xml:space="preserve"> ir tarptautinio bendradarbiavimo priemon</w:t>
      </w:r>
      <w:r>
        <w:rPr>
          <w:szCs w:val="24"/>
        </w:rPr>
        <w:t>ės</w:t>
      </w:r>
      <w:r w:rsidRPr="003F400A">
        <w:rPr>
          <w:szCs w:val="24"/>
        </w:rPr>
        <w:t xml:space="preserve"> (NDICI) įtraukti </w:t>
      </w:r>
      <w:r>
        <w:rPr>
          <w:szCs w:val="24"/>
        </w:rPr>
        <w:t>nuorodą</w:t>
      </w:r>
      <w:r w:rsidRPr="003F400A">
        <w:rPr>
          <w:szCs w:val="24"/>
        </w:rPr>
        <w:t xml:space="preserve"> į konvencijas dėl branduolinės saugos standartų. Tai turėtų suteikti galimybę EK peržiūrėti finansavimą valstybėms, kurios nesilaiko branduolinės saugos standartų. </w:t>
      </w:r>
    </w:p>
    <w:p w14:paraId="1E5010D9" w14:textId="77777777" w:rsidR="008B10FF" w:rsidRDefault="008B10FF" w:rsidP="00E660EB">
      <w:pPr>
        <w:spacing w:line="250" w:lineRule="auto"/>
        <w:ind w:firstLine="709"/>
        <w:jc w:val="both"/>
        <w:rPr>
          <w:szCs w:val="24"/>
        </w:rPr>
      </w:pPr>
      <w:r w:rsidRPr="003F400A">
        <w:rPr>
          <w:szCs w:val="24"/>
        </w:rPr>
        <w:t>Sutarta dėl ES globalaus žmogaus sankcijų režimo, kuris įsigaliojo gruodžio 10 d. Naujasis ES globalus žmogaus teisių sankcijų režimas suteikia didesnį lankstumą ES taikyti tikslines ribojamąsias priemones už šiurkščius žmogaus teisių pažeidimus trečios</w:t>
      </w:r>
      <w:r>
        <w:rPr>
          <w:szCs w:val="24"/>
        </w:rPr>
        <w:t>ios</w:t>
      </w:r>
      <w:r w:rsidRPr="003F400A">
        <w:rPr>
          <w:szCs w:val="24"/>
        </w:rPr>
        <w:t>e šalyse atsakingiems fiziniams ar juridiniams asmenims, subjektams ar organizacijoms, įskaitant valstybinius ir nevalstybinius veikėjus.</w:t>
      </w:r>
    </w:p>
    <w:p w14:paraId="00A30F0E" w14:textId="77777777" w:rsidR="008B10FF" w:rsidRDefault="008B10FF" w:rsidP="00E660EB">
      <w:pPr>
        <w:spacing w:line="250" w:lineRule="auto"/>
        <w:ind w:firstLine="709"/>
        <w:jc w:val="both"/>
        <w:rPr>
          <w:szCs w:val="24"/>
        </w:rPr>
      </w:pPr>
      <w:r w:rsidRPr="003F400A">
        <w:rPr>
          <w:szCs w:val="24"/>
        </w:rPr>
        <w:t>2020 m. susitarta dėl Europos taikos priemonės (</w:t>
      </w:r>
      <w:proofErr w:type="spellStart"/>
      <w:r w:rsidRPr="00786553">
        <w:rPr>
          <w:i/>
          <w:iCs/>
          <w:szCs w:val="24"/>
        </w:rPr>
        <w:t>European</w:t>
      </w:r>
      <w:proofErr w:type="spellEnd"/>
      <w:r w:rsidRPr="00786553">
        <w:rPr>
          <w:i/>
          <w:iCs/>
          <w:szCs w:val="24"/>
        </w:rPr>
        <w:t xml:space="preserve"> </w:t>
      </w:r>
      <w:proofErr w:type="spellStart"/>
      <w:r w:rsidRPr="00786553">
        <w:rPr>
          <w:i/>
          <w:iCs/>
          <w:szCs w:val="24"/>
        </w:rPr>
        <w:t>Peace</w:t>
      </w:r>
      <w:proofErr w:type="spellEnd"/>
      <w:r w:rsidRPr="00786553">
        <w:rPr>
          <w:i/>
          <w:iCs/>
          <w:szCs w:val="24"/>
        </w:rPr>
        <w:t xml:space="preserve"> </w:t>
      </w:r>
      <w:proofErr w:type="spellStart"/>
      <w:r w:rsidRPr="00786553">
        <w:rPr>
          <w:i/>
          <w:iCs/>
          <w:szCs w:val="24"/>
        </w:rPr>
        <w:t>Facility</w:t>
      </w:r>
      <w:proofErr w:type="spellEnd"/>
      <w:r w:rsidRPr="003F400A">
        <w:rPr>
          <w:szCs w:val="24"/>
        </w:rPr>
        <w:t xml:space="preserve">) steigimo. Nauja užsienio politikos </w:t>
      </w:r>
      <w:r>
        <w:rPr>
          <w:szCs w:val="24"/>
        </w:rPr>
        <w:t>priemonė</w:t>
      </w:r>
      <w:r w:rsidRPr="003F400A">
        <w:rPr>
          <w:szCs w:val="24"/>
        </w:rPr>
        <w:t xml:space="preserve"> pradės veikti 2021 m. ir užtikrins efektyvesnį ES atsaką į saugumo krizes ES kaimynystėje, </w:t>
      </w:r>
      <w:r w:rsidRPr="003F400A">
        <w:rPr>
          <w:szCs w:val="24"/>
        </w:rPr>
        <w:lastRenderedPageBreak/>
        <w:t xml:space="preserve">leis teikti saugumą stiprinančią paramą sąjungininkams. Derybose Lietuva nuosekliai </w:t>
      </w:r>
      <w:r>
        <w:rPr>
          <w:szCs w:val="24"/>
        </w:rPr>
        <w:t>rėmė</w:t>
      </w:r>
      <w:r w:rsidRPr="003F400A">
        <w:rPr>
          <w:szCs w:val="24"/>
        </w:rPr>
        <w:t xml:space="preserve"> ir ateityje įgyvendinant  </w:t>
      </w:r>
      <w:r>
        <w:rPr>
          <w:szCs w:val="24"/>
        </w:rPr>
        <w:t>priemonę rem</w:t>
      </w:r>
      <w:r w:rsidRPr="003F400A">
        <w:rPr>
          <w:szCs w:val="24"/>
        </w:rPr>
        <w:t xml:space="preserve">s </w:t>
      </w:r>
      <w:r w:rsidRPr="00C9651A">
        <w:rPr>
          <w:szCs w:val="24"/>
        </w:rPr>
        <w:t>tarp pietų ir rytų kaimynysčių geografiškai subalansuotą ES įsitraukimą, paramą Rytų partnerystės regionui.</w:t>
      </w:r>
    </w:p>
    <w:p w14:paraId="0A8544BC" w14:textId="77777777" w:rsidR="008B10FF" w:rsidRDefault="008B10FF" w:rsidP="00E660EB">
      <w:pPr>
        <w:spacing w:line="250" w:lineRule="auto"/>
        <w:ind w:firstLine="709"/>
        <w:jc w:val="both"/>
        <w:rPr>
          <w:szCs w:val="24"/>
        </w:rPr>
      </w:pPr>
      <w:r w:rsidRPr="003F400A">
        <w:rPr>
          <w:szCs w:val="24"/>
        </w:rPr>
        <w:t>Po dvejus metus trukusių derybų pavyko pasiekti kompromisą dėl bendrųjų sąlygų, kuriomis ES nepriklausančios valstybės išimties tvarka galėtų būti pakviestos dalyvauti pavieniuose sustiprinto struktūr</w:t>
      </w:r>
      <w:r>
        <w:rPr>
          <w:szCs w:val="24"/>
        </w:rPr>
        <w:t>izuo</w:t>
      </w:r>
      <w:r w:rsidRPr="003F400A">
        <w:rPr>
          <w:szCs w:val="24"/>
        </w:rPr>
        <w:t xml:space="preserve">to bendradarbiavimo (PESCO) projektuose. Lietuva siekė, kad sprendimas būtų priimtas kuo greičiau, kad prie PESCO projektų galėtų prisijungti mūsų </w:t>
      </w:r>
      <w:r w:rsidRPr="00886625">
        <w:rPr>
          <w:szCs w:val="24"/>
        </w:rPr>
        <w:t>partneriai, pavyzdžiui, JAV. Sparčiai judama kuriant Strateginį kompasą, pristatyta grėsmių analizė, kurią parengė ES Žvalgybos ir situacijų centras (INTCEN), remdamasis valstybių narių indėliu.</w:t>
      </w:r>
    </w:p>
    <w:p w14:paraId="35AAA010" w14:textId="77777777" w:rsidR="008B10FF" w:rsidRDefault="008B10FF" w:rsidP="00E660EB">
      <w:pPr>
        <w:spacing w:line="250" w:lineRule="auto"/>
        <w:ind w:firstLine="709"/>
        <w:jc w:val="both"/>
        <w:rPr>
          <w:szCs w:val="24"/>
        </w:rPr>
      </w:pPr>
      <w:r w:rsidRPr="003F400A">
        <w:rPr>
          <w:szCs w:val="24"/>
        </w:rPr>
        <w:t>Pasiekta pažanga trijose pagrindinėse karinio mobilumo srityse – transporto infrastruktūros, teisinio reguliavimo ir procedūrų, taip pat kitose srityse</w:t>
      </w:r>
      <w:r>
        <w:rPr>
          <w:szCs w:val="24"/>
        </w:rPr>
        <w:t>,</w:t>
      </w:r>
      <w:r w:rsidRPr="003F400A">
        <w:rPr>
          <w:szCs w:val="24"/>
        </w:rPr>
        <w:t xml:space="preserve"> susijusiose su civilinio ir karinio sektoriaus</w:t>
      </w:r>
      <w:r>
        <w:rPr>
          <w:szCs w:val="24"/>
        </w:rPr>
        <w:t xml:space="preserve"> sinergijos</w:t>
      </w:r>
      <w:r w:rsidRPr="003F400A">
        <w:rPr>
          <w:szCs w:val="24"/>
        </w:rPr>
        <w:t xml:space="preserve"> skatinimu. Karinis mobilumas tapo viena iš esminių ES iniciatyvų, padedančių reikšmingai pagerinti strateginę infrastruktūrą </w:t>
      </w:r>
      <w:r>
        <w:rPr>
          <w:szCs w:val="24"/>
        </w:rPr>
        <w:t>ir</w:t>
      </w:r>
      <w:r w:rsidRPr="003F400A">
        <w:rPr>
          <w:szCs w:val="24"/>
        </w:rPr>
        <w:t xml:space="preserve"> sustiprinti gynybinius pajėgumus. Lietuva ir toliau dės pastangas</w:t>
      </w:r>
      <w:r>
        <w:rPr>
          <w:szCs w:val="24"/>
        </w:rPr>
        <w:t>,</w:t>
      </w:r>
      <w:r w:rsidRPr="003F400A">
        <w:rPr>
          <w:szCs w:val="24"/>
        </w:rPr>
        <w:t xml:space="preserve"> siek</w:t>
      </w:r>
      <w:r>
        <w:rPr>
          <w:szCs w:val="24"/>
        </w:rPr>
        <w:t>dama</w:t>
      </w:r>
      <w:r w:rsidRPr="003F400A">
        <w:rPr>
          <w:szCs w:val="24"/>
        </w:rPr>
        <w:t xml:space="preserve"> užtikrinti efektyvų bendradarbiavimą tarp ES ir NATO karinio mobilumo srityje. </w:t>
      </w:r>
    </w:p>
    <w:p w14:paraId="6DCB5AE4" w14:textId="77777777" w:rsidR="008B10FF" w:rsidRDefault="008B10FF" w:rsidP="00E660EB">
      <w:pPr>
        <w:spacing w:line="250" w:lineRule="auto"/>
        <w:ind w:firstLine="709"/>
        <w:jc w:val="both"/>
        <w:rPr>
          <w:szCs w:val="24"/>
        </w:rPr>
      </w:pPr>
      <w:r w:rsidRPr="003F400A">
        <w:rPr>
          <w:szCs w:val="24"/>
        </w:rPr>
        <w:t xml:space="preserve">Lietuva remia glaudų ES bendradarbiavimą užsienio, saugumo ir gynybos </w:t>
      </w:r>
      <w:r>
        <w:rPr>
          <w:szCs w:val="24"/>
        </w:rPr>
        <w:t>srityje</w:t>
      </w:r>
      <w:r w:rsidRPr="003F400A">
        <w:rPr>
          <w:szCs w:val="24"/>
        </w:rPr>
        <w:t xml:space="preserve"> su JK po jos išstojimo iš ES, ragina sudaryti galimybę JK dalyvauti ES misijose ir operacijose, Europos gynybos fondo veikloje </w:t>
      </w:r>
      <w:r>
        <w:rPr>
          <w:szCs w:val="24"/>
        </w:rPr>
        <w:t>ir</w:t>
      </w:r>
      <w:r w:rsidRPr="003F400A">
        <w:rPr>
          <w:szCs w:val="24"/>
        </w:rPr>
        <w:t xml:space="preserve"> PESCO projektuose. Lietuva pasisako už aktyvaus bendradarbiavimo su JK išsaugojimą tarptautin</w:t>
      </w:r>
      <w:r>
        <w:rPr>
          <w:szCs w:val="24"/>
        </w:rPr>
        <w:t>ėse organizacijose</w:t>
      </w:r>
      <w:r w:rsidRPr="003F400A">
        <w:rPr>
          <w:szCs w:val="24"/>
        </w:rPr>
        <w:t>, ypa</w:t>
      </w:r>
      <w:r>
        <w:rPr>
          <w:szCs w:val="24"/>
        </w:rPr>
        <w:t>č</w:t>
      </w:r>
      <w:r w:rsidRPr="003F400A">
        <w:rPr>
          <w:szCs w:val="24"/>
        </w:rPr>
        <w:t xml:space="preserve"> J</w:t>
      </w:r>
      <w:r>
        <w:rPr>
          <w:szCs w:val="24"/>
        </w:rPr>
        <w:t xml:space="preserve">ungtinėse </w:t>
      </w:r>
      <w:r w:rsidRPr="003F400A">
        <w:rPr>
          <w:szCs w:val="24"/>
        </w:rPr>
        <w:t>T</w:t>
      </w:r>
      <w:r>
        <w:rPr>
          <w:szCs w:val="24"/>
        </w:rPr>
        <w:t>autose</w:t>
      </w:r>
      <w:r w:rsidRPr="003F400A">
        <w:rPr>
          <w:szCs w:val="24"/>
        </w:rPr>
        <w:t xml:space="preserve">, kur JK turi privilegijuotą nuolatinės Saugumo Tarybos narės statusą. </w:t>
      </w:r>
      <w:r>
        <w:rPr>
          <w:szCs w:val="24"/>
        </w:rPr>
        <w:t>T</w:t>
      </w:r>
      <w:r w:rsidRPr="003F400A">
        <w:rPr>
          <w:szCs w:val="24"/>
        </w:rPr>
        <w:t xml:space="preserve">oliau turi būti išlaikoma partnerystė kovojant su tarptautinėmis grėsmėmis, užsiimant konfliktų prevencija </w:t>
      </w:r>
      <w:r>
        <w:rPr>
          <w:szCs w:val="24"/>
        </w:rPr>
        <w:t>ir</w:t>
      </w:r>
      <w:r w:rsidRPr="003F400A">
        <w:rPr>
          <w:szCs w:val="24"/>
        </w:rPr>
        <w:t xml:space="preserve"> užtikrinant </w:t>
      </w:r>
      <w:r>
        <w:rPr>
          <w:szCs w:val="24"/>
        </w:rPr>
        <w:t>veiksmingą</w:t>
      </w:r>
      <w:r w:rsidRPr="003F400A">
        <w:rPr>
          <w:szCs w:val="24"/>
        </w:rPr>
        <w:t xml:space="preserve"> žmogaus teisių apsaugą.</w:t>
      </w:r>
    </w:p>
    <w:p w14:paraId="2D6AD384" w14:textId="77777777" w:rsidR="008B10FF" w:rsidRPr="00A91669" w:rsidRDefault="008B10FF" w:rsidP="00E660EB">
      <w:pPr>
        <w:pStyle w:val="Antrat5"/>
        <w:spacing w:before="0" w:line="250" w:lineRule="auto"/>
        <w:ind w:firstLine="709"/>
        <w:rPr>
          <w:rFonts w:ascii="Times New Roman" w:hAnsi="Times New Roman"/>
          <w:b/>
          <w:bCs/>
        </w:rPr>
      </w:pPr>
      <w:r w:rsidRPr="00A91669">
        <w:rPr>
          <w:rFonts w:ascii="Times New Roman" w:hAnsi="Times New Roman"/>
          <w:b/>
          <w:bCs/>
          <w:color w:val="17365D" w:themeColor="text2" w:themeShade="BF"/>
        </w:rPr>
        <w:t xml:space="preserve">Dvišalių ir daugiašalių santykių stiprinimas </w:t>
      </w:r>
    </w:p>
    <w:p w14:paraId="76413E00" w14:textId="77777777" w:rsidR="008B10FF" w:rsidRDefault="008B10FF" w:rsidP="00E660EB">
      <w:pPr>
        <w:tabs>
          <w:tab w:val="left" w:pos="567"/>
        </w:tabs>
        <w:spacing w:line="250" w:lineRule="auto"/>
        <w:ind w:firstLine="709"/>
        <w:jc w:val="both"/>
        <w:rPr>
          <w:color w:val="000000" w:themeColor="text1"/>
          <w:szCs w:val="24"/>
        </w:rPr>
      </w:pPr>
      <w:r w:rsidRPr="006C6D99">
        <w:rPr>
          <w:color w:val="000000" w:themeColor="text1"/>
          <w:szCs w:val="24"/>
        </w:rPr>
        <w:t xml:space="preserve">2020 m. </w:t>
      </w:r>
      <w:r>
        <w:rPr>
          <w:color w:val="000000" w:themeColor="text1"/>
          <w:szCs w:val="24"/>
        </w:rPr>
        <w:t>ir toliau buvo aktyviai plėtojamas</w:t>
      </w:r>
      <w:r w:rsidRPr="006C6D99">
        <w:rPr>
          <w:color w:val="000000" w:themeColor="text1"/>
          <w:szCs w:val="24"/>
        </w:rPr>
        <w:t xml:space="preserve"> dvišalis ir daugiašalis politinis ir karinis bendradarbiavimas su artimiausiomis sąjungininkėmis. Ryšiai buvo stiprinami ne tik siekiant Lietuvos saugumo interesų atsispindėjimo NATO sprendimuose bei </w:t>
      </w:r>
      <w:r>
        <w:rPr>
          <w:color w:val="000000" w:themeColor="text1"/>
          <w:szCs w:val="24"/>
        </w:rPr>
        <w:t>ES</w:t>
      </w:r>
      <w:r w:rsidRPr="006C6D99">
        <w:rPr>
          <w:color w:val="000000" w:themeColor="text1"/>
          <w:szCs w:val="24"/>
        </w:rPr>
        <w:t xml:space="preserve"> saugumo ir gynybos iniciatyv</w:t>
      </w:r>
      <w:r>
        <w:rPr>
          <w:color w:val="000000" w:themeColor="text1"/>
          <w:szCs w:val="24"/>
        </w:rPr>
        <w:t>ose</w:t>
      </w:r>
      <w:r w:rsidRPr="006C6D99">
        <w:rPr>
          <w:color w:val="000000" w:themeColor="text1"/>
          <w:szCs w:val="24"/>
        </w:rPr>
        <w:t xml:space="preserve">, bet ir atskirų šalių praktinės paramos stiprinant saugumą regione. </w:t>
      </w:r>
    </w:p>
    <w:p w14:paraId="3FF4780B" w14:textId="77777777" w:rsidR="008B10FF" w:rsidRDefault="008B10FF" w:rsidP="00E660EB">
      <w:pPr>
        <w:tabs>
          <w:tab w:val="left" w:pos="567"/>
        </w:tabs>
        <w:spacing w:line="250" w:lineRule="auto"/>
        <w:ind w:firstLine="709"/>
        <w:jc w:val="both"/>
        <w:rPr>
          <w:color w:val="000000" w:themeColor="text1"/>
          <w:szCs w:val="24"/>
        </w:rPr>
      </w:pPr>
      <w:r w:rsidRPr="006C6D99">
        <w:rPr>
          <w:color w:val="000000" w:themeColor="text1"/>
          <w:szCs w:val="24"/>
        </w:rPr>
        <w:t xml:space="preserve">2020 m. </w:t>
      </w:r>
      <w:r>
        <w:rPr>
          <w:b/>
          <w:color w:val="000000" w:themeColor="text1"/>
          <w:szCs w:val="24"/>
        </w:rPr>
        <w:t>JAV</w:t>
      </w:r>
      <w:r w:rsidRPr="006C6D99">
        <w:rPr>
          <w:color w:val="000000" w:themeColor="text1"/>
          <w:szCs w:val="24"/>
        </w:rPr>
        <w:t xml:space="preserve"> tęsė rotacinių pajėgų buvimą regione. Iki birželio Lietuvoje treniravosi dar 2019 m.</w:t>
      </w:r>
      <w:r>
        <w:rPr>
          <w:color w:val="000000" w:themeColor="text1"/>
          <w:szCs w:val="24"/>
        </w:rPr>
        <w:t xml:space="preserve"> </w:t>
      </w:r>
      <w:r w:rsidRPr="006C6D99">
        <w:rPr>
          <w:color w:val="000000" w:themeColor="text1"/>
          <w:szCs w:val="24"/>
        </w:rPr>
        <w:t xml:space="preserve">spalį dislokuotas </w:t>
      </w:r>
      <w:r>
        <w:rPr>
          <w:color w:val="000000" w:themeColor="text1"/>
          <w:szCs w:val="24"/>
        </w:rPr>
        <w:t>JAV</w:t>
      </w:r>
      <w:r w:rsidRPr="00F645AA">
        <w:rPr>
          <w:color w:val="000000" w:themeColor="text1"/>
          <w:szCs w:val="24"/>
        </w:rPr>
        <w:t xml:space="preserve"> sunkiojo</w:t>
      </w:r>
      <w:r w:rsidRPr="006C6D99">
        <w:rPr>
          <w:color w:val="000000" w:themeColor="text1"/>
          <w:szCs w:val="24"/>
        </w:rPr>
        <w:t xml:space="preserve"> bataliono dydžio vienetas su tankais „</w:t>
      </w:r>
      <w:proofErr w:type="spellStart"/>
      <w:r w:rsidRPr="006C6D99">
        <w:rPr>
          <w:color w:val="000000" w:themeColor="text1"/>
          <w:szCs w:val="24"/>
        </w:rPr>
        <w:t>Abrams</w:t>
      </w:r>
      <w:proofErr w:type="spellEnd"/>
      <w:r w:rsidRPr="006C6D99">
        <w:rPr>
          <w:color w:val="000000" w:themeColor="text1"/>
          <w:szCs w:val="24"/>
        </w:rPr>
        <w:t>“ ir kovos mašinomis „</w:t>
      </w:r>
      <w:proofErr w:type="spellStart"/>
      <w:r w:rsidRPr="006C6D99">
        <w:rPr>
          <w:color w:val="000000" w:themeColor="text1"/>
          <w:szCs w:val="24"/>
        </w:rPr>
        <w:t>Bradley</w:t>
      </w:r>
      <w:proofErr w:type="spellEnd"/>
      <w:r w:rsidRPr="006C6D99">
        <w:rPr>
          <w:color w:val="000000" w:themeColor="text1"/>
          <w:szCs w:val="24"/>
        </w:rPr>
        <w:t>“. Nuo rugsėjo vidurio iki lapkričio vidurio Lietuvoje pratyboms b</w:t>
      </w:r>
      <w:r w:rsidRPr="00F645AA">
        <w:rPr>
          <w:color w:val="000000" w:themeColor="text1"/>
          <w:szCs w:val="24"/>
        </w:rPr>
        <w:t>uvo dislokuotas JAV</w:t>
      </w:r>
      <w:r w:rsidRPr="006C6D99">
        <w:rPr>
          <w:color w:val="000000" w:themeColor="text1"/>
          <w:szCs w:val="24"/>
        </w:rPr>
        <w:t xml:space="preserve"> sunkiojo bataliono dydžio </w:t>
      </w:r>
      <w:r>
        <w:rPr>
          <w:color w:val="000000" w:themeColor="text1"/>
          <w:szCs w:val="24"/>
        </w:rPr>
        <w:t>sausumo pajėgų vienetas, kurį lapkričio mėn.</w:t>
      </w:r>
      <w:r w:rsidRPr="006C6D99">
        <w:rPr>
          <w:color w:val="000000" w:themeColor="text1"/>
          <w:szCs w:val="24"/>
        </w:rPr>
        <w:t xml:space="preserve"> pakeitė jau trečiasis tokio paties dydžio vienetas</w:t>
      </w:r>
      <w:r>
        <w:rPr>
          <w:color w:val="000000" w:themeColor="text1"/>
          <w:szCs w:val="24"/>
        </w:rPr>
        <w:t>,</w:t>
      </w:r>
      <w:r w:rsidRPr="006C6D99">
        <w:rPr>
          <w:color w:val="000000" w:themeColor="text1"/>
          <w:szCs w:val="24"/>
        </w:rPr>
        <w:t xml:space="preserve"> taip pat kartu atsigabenęs sunkiąją techniką. Pastarasis Lietuvoje liks iki 2021 m. birželio. Šie vienetai Lietuvoje  dislokuojami kaip misijos „Atlanto ryžtas“ dalis. Šalyje taip pat nuolatos yra specialiųjų operacijų pajėgų karių, kelios dešimtys logistikos paramos specialistų. Nuo 2017 m. JAV Lenkijoje yra dislokavusi </w:t>
      </w:r>
      <w:r>
        <w:rPr>
          <w:color w:val="000000" w:themeColor="text1"/>
          <w:szCs w:val="24"/>
        </w:rPr>
        <w:t>papildomą sunkiąją brigadą. 2020 m.</w:t>
      </w:r>
      <w:r w:rsidRPr="006C6D99">
        <w:rPr>
          <w:color w:val="000000" w:themeColor="text1"/>
          <w:szCs w:val="24"/>
        </w:rPr>
        <w:t xml:space="preserve"> Lenki</w:t>
      </w:r>
      <w:r>
        <w:rPr>
          <w:color w:val="000000" w:themeColor="text1"/>
          <w:szCs w:val="24"/>
        </w:rPr>
        <w:t xml:space="preserve">jos ir JAV vyriausybės </w:t>
      </w:r>
      <w:r w:rsidRPr="006C6D99">
        <w:rPr>
          <w:color w:val="000000" w:themeColor="text1"/>
          <w:szCs w:val="24"/>
        </w:rPr>
        <w:t>pasirašė</w:t>
      </w:r>
      <w:r>
        <w:rPr>
          <w:color w:val="000000" w:themeColor="text1"/>
          <w:szCs w:val="24"/>
        </w:rPr>
        <w:t xml:space="preserve"> bendradarbiavimo gynybos srityje sutarimą (angl. </w:t>
      </w:r>
      <w:proofErr w:type="spellStart"/>
      <w:r w:rsidRPr="00887FFC">
        <w:rPr>
          <w:i/>
          <w:color w:val="000000" w:themeColor="text1"/>
          <w:szCs w:val="24"/>
        </w:rPr>
        <w:t>Enhanced</w:t>
      </w:r>
      <w:proofErr w:type="spellEnd"/>
      <w:r w:rsidRPr="00887FFC">
        <w:rPr>
          <w:i/>
          <w:color w:val="000000" w:themeColor="text1"/>
          <w:szCs w:val="24"/>
        </w:rPr>
        <w:t xml:space="preserve"> </w:t>
      </w:r>
      <w:proofErr w:type="spellStart"/>
      <w:r w:rsidRPr="00887FFC">
        <w:rPr>
          <w:i/>
          <w:color w:val="000000" w:themeColor="text1"/>
          <w:szCs w:val="24"/>
        </w:rPr>
        <w:t>Defense</w:t>
      </w:r>
      <w:proofErr w:type="spellEnd"/>
      <w:r w:rsidRPr="00887FFC">
        <w:rPr>
          <w:i/>
          <w:color w:val="000000" w:themeColor="text1"/>
          <w:szCs w:val="24"/>
        </w:rPr>
        <w:t xml:space="preserve"> </w:t>
      </w:r>
      <w:proofErr w:type="spellStart"/>
      <w:r w:rsidRPr="00887FFC">
        <w:rPr>
          <w:i/>
          <w:color w:val="000000" w:themeColor="text1"/>
          <w:szCs w:val="24"/>
        </w:rPr>
        <w:t>Cooperation</w:t>
      </w:r>
      <w:proofErr w:type="spellEnd"/>
      <w:r w:rsidRPr="00887FFC">
        <w:rPr>
          <w:i/>
          <w:color w:val="000000" w:themeColor="text1"/>
          <w:szCs w:val="24"/>
        </w:rPr>
        <w:t xml:space="preserve"> </w:t>
      </w:r>
      <w:proofErr w:type="spellStart"/>
      <w:r w:rsidRPr="00887FFC">
        <w:rPr>
          <w:i/>
          <w:color w:val="000000" w:themeColor="text1"/>
          <w:szCs w:val="24"/>
        </w:rPr>
        <w:t>Agreement</w:t>
      </w:r>
      <w:proofErr w:type="spellEnd"/>
      <w:r>
        <w:rPr>
          <w:color w:val="000000" w:themeColor="text1"/>
          <w:szCs w:val="24"/>
        </w:rPr>
        <w:t>)</w:t>
      </w:r>
      <w:r w:rsidRPr="006C6D99">
        <w:rPr>
          <w:color w:val="000000" w:themeColor="text1"/>
          <w:szCs w:val="24"/>
        </w:rPr>
        <w:t>, kuri</w:t>
      </w:r>
      <w:r>
        <w:rPr>
          <w:color w:val="000000" w:themeColor="text1"/>
          <w:szCs w:val="24"/>
        </w:rPr>
        <w:t>s</w:t>
      </w:r>
      <w:r w:rsidRPr="006C6D99">
        <w:rPr>
          <w:color w:val="000000" w:themeColor="text1"/>
          <w:szCs w:val="24"/>
        </w:rPr>
        <w:t xml:space="preserve"> numato tūkstančio papildomų JAV karių dislokavimą Lenkijoje. </w:t>
      </w:r>
    </w:p>
    <w:p w14:paraId="20AE0328" w14:textId="77777777" w:rsidR="008B10FF" w:rsidRPr="005A5378" w:rsidRDefault="008B10FF" w:rsidP="00E660EB">
      <w:pPr>
        <w:tabs>
          <w:tab w:val="left" w:pos="567"/>
        </w:tabs>
        <w:spacing w:line="250" w:lineRule="auto"/>
        <w:ind w:firstLine="709"/>
        <w:jc w:val="both"/>
        <w:rPr>
          <w:color w:val="000000" w:themeColor="text1"/>
          <w:szCs w:val="24"/>
        </w:rPr>
      </w:pPr>
      <w:r w:rsidRPr="005A5378">
        <w:rPr>
          <w:color w:val="000000" w:themeColor="text1"/>
          <w:szCs w:val="24"/>
        </w:rPr>
        <w:t>JAV kariai aktyviai dalyvauja pratybose. Pratybose „</w:t>
      </w:r>
      <w:proofErr w:type="spellStart"/>
      <w:r w:rsidRPr="005A5378">
        <w:rPr>
          <w:color w:val="000000" w:themeColor="text1"/>
          <w:szCs w:val="24"/>
        </w:rPr>
        <w:t>Tobruko</w:t>
      </w:r>
      <w:proofErr w:type="spellEnd"/>
      <w:r w:rsidRPr="005A5378">
        <w:rPr>
          <w:color w:val="000000" w:themeColor="text1"/>
          <w:szCs w:val="24"/>
        </w:rPr>
        <w:t xml:space="preserve"> palikimas“ </w:t>
      </w:r>
      <w:r w:rsidRPr="006A6F40">
        <w:rPr>
          <w:color w:val="000000" w:themeColor="text1"/>
          <w:szCs w:val="24"/>
        </w:rPr>
        <w:t>JAV buvo viena iš svarbiausių remiančių</w:t>
      </w:r>
      <w:r>
        <w:rPr>
          <w:color w:val="000000" w:themeColor="text1"/>
          <w:szCs w:val="24"/>
        </w:rPr>
        <w:t>jų</w:t>
      </w:r>
      <w:r w:rsidRPr="006A6F40">
        <w:rPr>
          <w:color w:val="000000" w:themeColor="text1"/>
          <w:szCs w:val="24"/>
        </w:rPr>
        <w:t xml:space="preserve"> šalių, dalyvavusi pratybose ne tik su gausiomis pajėgomis, </w:t>
      </w:r>
      <w:r w:rsidRPr="005A5378">
        <w:rPr>
          <w:color w:val="000000" w:themeColor="text1"/>
          <w:szCs w:val="24"/>
        </w:rPr>
        <w:t xml:space="preserve">bet ir su </w:t>
      </w:r>
      <w:r>
        <w:rPr>
          <w:color w:val="000000" w:themeColor="text1"/>
          <w:szCs w:val="24"/>
        </w:rPr>
        <w:t>ilgojo</w:t>
      </w:r>
      <w:r w:rsidRPr="005A5378">
        <w:rPr>
          <w:color w:val="000000" w:themeColor="text1"/>
          <w:szCs w:val="24"/>
        </w:rPr>
        <w:t xml:space="preserve"> nuotolio „žemė–oras“ tipo raketų „</w:t>
      </w:r>
      <w:proofErr w:type="spellStart"/>
      <w:r w:rsidRPr="005A5378">
        <w:rPr>
          <w:color w:val="000000" w:themeColor="text1"/>
          <w:szCs w:val="24"/>
        </w:rPr>
        <w:t>Patriot</w:t>
      </w:r>
      <w:proofErr w:type="spellEnd"/>
      <w:r w:rsidRPr="005A5378">
        <w:rPr>
          <w:color w:val="000000" w:themeColor="text1"/>
          <w:szCs w:val="24"/>
        </w:rPr>
        <w:t xml:space="preserve">“ sistemomis ir vadovavimo įranga. Į rugsėjį vykusias tarptautines pratybas „Medžiotojas“ atvyko apie </w:t>
      </w:r>
      <w:r>
        <w:rPr>
          <w:color w:val="000000" w:themeColor="text1"/>
          <w:szCs w:val="24"/>
          <w:lang w:val="en-GB"/>
        </w:rPr>
        <w:t>200</w:t>
      </w:r>
      <w:r w:rsidRPr="005A5378">
        <w:rPr>
          <w:color w:val="000000" w:themeColor="text1"/>
          <w:szCs w:val="24"/>
        </w:rPr>
        <w:t xml:space="preserve"> JAV karių ir aviacijos vienetų su atakos sraigtasparniais AH-64 „</w:t>
      </w:r>
      <w:proofErr w:type="spellStart"/>
      <w:r w:rsidRPr="005A5378">
        <w:rPr>
          <w:color w:val="000000" w:themeColor="text1"/>
          <w:szCs w:val="24"/>
        </w:rPr>
        <w:t>Apache</w:t>
      </w:r>
      <w:proofErr w:type="spellEnd"/>
      <w:r w:rsidRPr="005A5378">
        <w:rPr>
          <w:color w:val="000000" w:themeColor="text1"/>
          <w:szCs w:val="24"/>
        </w:rPr>
        <w:t xml:space="preserve">“. Su šiais sraigtasparniais JAV taip pat dalyvavo ir pratybose „Geležinis Vilkas II“. </w:t>
      </w:r>
    </w:p>
    <w:p w14:paraId="4EBBE21B" w14:textId="77777777" w:rsidR="008B10FF" w:rsidRPr="006C6D99" w:rsidRDefault="008B10FF" w:rsidP="00E660EB">
      <w:pPr>
        <w:tabs>
          <w:tab w:val="left" w:pos="567"/>
        </w:tabs>
        <w:spacing w:line="250" w:lineRule="auto"/>
        <w:ind w:firstLine="709"/>
        <w:jc w:val="both"/>
        <w:rPr>
          <w:color w:val="000000" w:themeColor="text1"/>
          <w:szCs w:val="24"/>
        </w:rPr>
      </w:pPr>
      <w:r w:rsidRPr="006C6D99">
        <w:rPr>
          <w:color w:val="000000" w:themeColor="text1"/>
          <w:szCs w:val="24"/>
        </w:rPr>
        <w:tab/>
        <w:t>JAV teikė finansinę paramą Lietuvos karini</w:t>
      </w:r>
      <w:r>
        <w:rPr>
          <w:color w:val="000000" w:themeColor="text1"/>
          <w:szCs w:val="24"/>
        </w:rPr>
        <w:t>am</w:t>
      </w:r>
      <w:r w:rsidRPr="006C6D99">
        <w:rPr>
          <w:color w:val="000000" w:themeColor="text1"/>
          <w:szCs w:val="24"/>
        </w:rPr>
        <w:t>s pajėgum</w:t>
      </w:r>
      <w:r>
        <w:rPr>
          <w:color w:val="000000" w:themeColor="text1"/>
          <w:szCs w:val="24"/>
        </w:rPr>
        <w:t>am</w:t>
      </w:r>
      <w:r w:rsidRPr="006C6D99">
        <w:rPr>
          <w:color w:val="000000" w:themeColor="text1"/>
          <w:szCs w:val="24"/>
        </w:rPr>
        <w:t>s ir infrastr</w:t>
      </w:r>
      <w:r>
        <w:rPr>
          <w:color w:val="000000" w:themeColor="text1"/>
          <w:szCs w:val="24"/>
        </w:rPr>
        <w:t xml:space="preserve">uktūrai vystyti. </w:t>
      </w:r>
      <w:r w:rsidRPr="006C6D99">
        <w:rPr>
          <w:color w:val="000000" w:themeColor="text1"/>
          <w:szCs w:val="24"/>
        </w:rPr>
        <w:t xml:space="preserve">JAV </w:t>
      </w:r>
      <w:r>
        <w:rPr>
          <w:color w:val="000000" w:themeColor="text1"/>
          <w:szCs w:val="24"/>
        </w:rPr>
        <w:t>v</w:t>
      </w:r>
      <w:r w:rsidRPr="006C6D99">
        <w:rPr>
          <w:color w:val="000000" w:themeColor="text1"/>
          <w:szCs w:val="24"/>
        </w:rPr>
        <w:t xml:space="preserve">yriausybė skyrė maždaug 26 mln. </w:t>
      </w:r>
      <w:r>
        <w:rPr>
          <w:color w:val="000000" w:themeColor="text1"/>
          <w:szCs w:val="24"/>
        </w:rPr>
        <w:t>eurų</w:t>
      </w:r>
      <w:r w:rsidRPr="006C6D99">
        <w:rPr>
          <w:color w:val="000000" w:themeColor="text1"/>
          <w:szCs w:val="24"/>
        </w:rPr>
        <w:t xml:space="preserve"> finansinę paramą sraigtasparnių platformos UH-60 „</w:t>
      </w:r>
      <w:proofErr w:type="spellStart"/>
      <w:r w:rsidRPr="006C6D99">
        <w:rPr>
          <w:color w:val="000000" w:themeColor="text1"/>
          <w:szCs w:val="24"/>
        </w:rPr>
        <w:t>Black</w:t>
      </w:r>
      <w:proofErr w:type="spellEnd"/>
      <w:r w:rsidRPr="006C6D99">
        <w:rPr>
          <w:color w:val="000000" w:themeColor="text1"/>
          <w:szCs w:val="24"/>
        </w:rPr>
        <w:t xml:space="preserve"> </w:t>
      </w:r>
      <w:proofErr w:type="spellStart"/>
      <w:r w:rsidRPr="006C6D99">
        <w:rPr>
          <w:color w:val="000000" w:themeColor="text1"/>
          <w:szCs w:val="24"/>
        </w:rPr>
        <w:t>Hawk</w:t>
      </w:r>
      <w:proofErr w:type="spellEnd"/>
      <w:r w:rsidRPr="006C6D99">
        <w:rPr>
          <w:color w:val="000000" w:themeColor="text1"/>
          <w:szCs w:val="24"/>
        </w:rPr>
        <w:t>“ įsigijimo projektui.</w:t>
      </w:r>
    </w:p>
    <w:p w14:paraId="18DE1814" w14:textId="77777777" w:rsidR="008B10FF" w:rsidRPr="006C6D99" w:rsidRDefault="008B10FF" w:rsidP="00E660EB">
      <w:pPr>
        <w:tabs>
          <w:tab w:val="left" w:pos="567"/>
        </w:tabs>
        <w:spacing w:line="250" w:lineRule="auto"/>
        <w:ind w:firstLine="709"/>
        <w:jc w:val="both"/>
        <w:rPr>
          <w:color w:val="000000" w:themeColor="text1"/>
          <w:szCs w:val="24"/>
        </w:rPr>
      </w:pPr>
      <w:r>
        <w:rPr>
          <w:color w:val="000000" w:themeColor="text1"/>
          <w:szCs w:val="24"/>
        </w:rPr>
        <w:t>B</w:t>
      </w:r>
      <w:r w:rsidRPr="006C6D99">
        <w:rPr>
          <w:color w:val="000000" w:themeColor="text1"/>
          <w:szCs w:val="24"/>
        </w:rPr>
        <w:t xml:space="preserve">endradarbiavimas su </w:t>
      </w:r>
      <w:r w:rsidRPr="006C6D99">
        <w:rPr>
          <w:b/>
          <w:color w:val="000000" w:themeColor="text1"/>
          <w:szCs w:val="24"/>
        </w:rPr>
        <w:t>Vokietija</w:t>
      </w:r>
      <w:r>
        <w:rPr>
          <w:b/>
          <w:color w:val="000000" w:themeColor="text1"/>
          <w:szCs w:val="24"/>
        </w:rPr>
        <w:t xml:space="preserve"> </w:t>
      </w:r>
      <w:r w:rsidRPr="005A5378">
        <w:rPr>
          <w:color w:val="000000" w:themeColor="text1"/>
          <w:szCs w:val="24"/>
        </w:rPr>
        <w:t xml:space="preserve">buvo </w:t>
      </w:r>
      <w:r>
        <w:rPr>
          <w:color w:val="000000" w:themeColor="text1"/>
          <w:szCs w:val="24"/>
        </w:rPr>
        <w:t>intensyvus</w:t>
      </w:r>
      <w:r w:rsidRPr="005A5378">
        <w:rPr>
          <w:color w:val="000000" w:themeColor="text1"/>
          <w:szCs w:val="24"/>
        </w:rPr>
        <w:t>.</w:t>
      </w:r>
      <w:r w:rsidRPr="006C6D99">
        <w:rPr>
          <w:color w:val="000000" w:themeColor="text1"/>
          <w:szCs w:val="24"/>
        </w:rPr>
        <w:t xml:space="preserve"> Tai </w:t>
      </w:r>
      <w:r>
        <w:rPr>
          <w:color w:val="000000" w:themeColor="text1"/>
          <w:szCs w:val="24"/>
        </w:rPr>
        <w:t xml:space="preserve">pirmiausia </w:t>
      </w:r>
      <w:r w:rsidRPr="006C6D99">
        <w:rPr>
          <w:color w:val="000000" w:themeColor="text1"/>
          <w:szCs w:val="24"/>
        </w:rPr>
        <w:t xml:space="preserve">susiję su Vokietijos įsipareigojimu vadovauti </w:t>
      </w:r>
      <w:r w:rsidRPr="00EC6BAD">
        <w:rPr>
          <w:color w:val="000000" w:themeColor="text1"/>
          <w:szCs w:val="24"/>
        </w:rPr>
        <w:t xml:space="preserve">Lietuvoje dislokuotai NATO priešakinių pajėgų bataliono kovinei grupei. 2020 m. Vokietija Lietuvoje NATO priešakinių pajėgų bataliono kovinėje grupėje buvo dislokavusi iki 550 karių. 2020 m. kovinė grupė dalyvavo pratybose „Geležinis </w:t>
      </w:r>
      <w:r>
        <w:rPr>
          <w:color w:val="000000" w:themeColor="text1"/>
          <w:szCs w:val="24"/>
        </w:rPr>
        <w:t>V</w:t>
      </w:r>
      <w:r w:rsidRPr="00EC6BAD">
        <w:rPr>
          <w:color w:val="000000" w:themeColor="text1"/>
          <w:szCs w:val="24"/>
        </w:rPr>
        <w:t xml:space="preserve">ilkas“, „Geležinis </w:t>
      </w:r>
      <w:r>
        <w:rPr>
          <w:color w:val="000000" w:themeColor="text1"/>
          <w:szCs w:val="24"/>
        </w:rPr>
        <w:t>V</w:t>
      </w:r>
      <w:r w:rsidRPr="00EC6BAD">
        <w:rPr>
          <w:color w:val="000000" w:themeColor="text1"/>
          <w:szCs w:val="24"/>
        </w:rPr>
        <w:t xml:space="preserve">ilkas II“ </w:t>
      </w:r>
      <w:r>
        <w:rPr>
          <w:color w:val="000000" w:themeColor="text1"/>
          <w:szCs w:val="24"/>
        </w:rPr>
        <w:t>ir</w:t>
      </w:r>
      <w:r w:rsidRPr="006C6D99">
        <w:rPr>
          <w:color w:val="000000" w:themeColor="text1"/>
          <w:szCs w:val="24"/>
        </w:rPr>
        <w:t xml:space="preserve"> kituose nacionaliniuose </w:t>
      </w:r>
      <w:r>
        <w:rPr>
          <w:color w:val="000000" w:themeColor="text1"/>
          <w:szCs w:val="24"/>
        </w:rPr>
        <w:t>bei</w:t>
      </w:r>
      <w:r w:rsidRPr="006C6D99">
        <w:rPr>
          <w:color w:val="000000" w:themeColor="text1"/>
          <w:szCs w:val="24"/>
        </w:rPr>
        <w:t xml:space="preserve"> tarptautiniuose mokymuose ir pratybose. Į „Geležinis </w:t>
      </w:r>
      <w:r>
        <w:rPr>
          <w:color w:val="000000" w:themeColor="text1"/>
          <w:szCs w:val="24"/>
        </w:rPr>
        <w:t>V</w:t>
      </w:r>
      <w:r w:rsidRPr="006C6D99">
        <w:rPr>
          <w:color w:val="000000" w:themeColor="text1"/>
          <w:szCs w:val="24"/>
        </w:rPr>
        <w:t xml:space="preserve">ilkas II“ mokymus Vokietija papildomai atsiuntė artilerijos, žvalgybos, logistikos ir </w:t>
      </w:r>
      <w:r>
        <w:rPr>
          <w:color w:val="000000" w:themeColor="text1"/>
          <w:szCs w:val="24"/>
        </w:rPr>
        <w:t xml:space="preserve">kovos su atominėmis, biologinėmis ir cheminėmis grėsmėmis (ABC) </w:t>
      </w:r>
      <w:r w:rsidRPr="006C6D99">
        <w:rPr>
          <w:color w:val="000000" w:themeColor="text1"/>
          <w:szCs w:val="24"/>
        </w:rPr>
        <w:t>vienetus.</w:t>
      </w:r>
    </w:p>
    <w:p w14:paraId="1B4E6AD2" w14:textId="77777777" w:rsidR="008B10FF" w:rsidRPr="006C6D99" w:rsidRDefault="008B10FF" w:rsidP="00E660EB">
      <w:pPr>
        <w:tabs>
          <w:tab w:val="left" w:pos="567"/>
        </w:tabs>
        <w:spacing w:line="250" w:lineRule="auto"/>
        <w:ind w:firstLine="709"/>
        <w:jc w:val="both"/>
        <w:rPr>
          <w:color w:val="000000" w:themeColor="text1"/>
          <w:szCs w:val="24"/>
        </w:rPr>
      </w:pPr>
      <w:r w:rsidRPr="006C6D99">
        <w:rPr>
          <w:color w:val="000000" w:themeColor="text1"/>
          <w:szCs w:val="24"/>
        </w:rPr>
        <w:lastRenderedPageBreak/>
        <w:t xml:space="preserve">2020 m. </w:t>
      </w:r>
      <w:r>
        <w:rPr>
          <w:color w:val="000000" w:themeColor="text1"/>
          <w:szCs w:val="24"/>
        </w:rPr>
        <w:t xml:space="preserve">Vokietija sustiprino Baltijos oro policijos misiją Šiauliuose: </w:t>
      </w:r>
      <w:r w:rsidRPr="006C6D99">
        <w:rPr>
          <w:color w:val="000000" w:themeColor="text1"/>
          <w:szCs w:val="24"/>
        </w:rPr>
        <w:t xml:space="preserve">liepos 14 – rugpjūčio 3 d. </w:t>
      </w:r>
      <w:r>
        <w:rPr>
          <w:color w:val="000000" w:themeColor="text1"/>
          <w:szCs w:val="24"/>
        </w:rPr>
        <w:t xml:space="preserve">buvo </w:t>
      </w:r>
      <w:r w:rsidRPr="006C6D99">
        <w:rPr>
          <w:color w:val="000000" w:themeColor="text1"/>
          <w:szCs w:val="24"/>
        </w:rPr>
        <w:t xml:space="preserve">atsiuntusi  </w:t>
      </w:r>
      <w:r>
        <w:rPr>
          <w:color w:val="000000" w:themeColor="text1"/>
          <w:szCs w:val="24"/>
        </w:rPr>
        <w:t>du</w:t>
      </w:r>
      <w:r w:rsidRPr="006C6D99">
        <w:rPr>
          <w:color w:val="000000" w:themeColor="text1"/>
          <w:szCs w:val="24"/>
        </w:rPr>
        <w:t xml:space="preserve"> </w:t>
      </w:r>
      <w:r>
        <w:rPr>
          <w:color w:val="000000" w:themeColor="text1"/>
          <w:szCs w:val="24"/>
        </w:rPr>
        <w:t>„</w:t>
      </w:r>
      <w:proofErr w:type="spellStart"/>
      <w:r w:rsidRPr="006C6D99">
        <w:rPr>
          <w:color w:val="000000" w:themeColor="text1"/>
          <w:szCs w:val="24"/>
        </w:rPr>
        <w:t>Eurofighter</w:t>
      </w:r>
      <w:proofErr w:type="spellEnd"/>
      <w:r>
        <w:rPr>
          <w:color w:val="000000" w:themeColor="text1"/>
          <w:szCs w:val="24"/>
        </w:rPr>
        <w:t>“</w:t>
      </w:r>
      <w:r w:rsidRPr="006C6D99">
        <w:rPr>
          <w:color w:val="000000" w:themeColor="text1"/>
          <w:szCs w:val="24"/>
        </w:rPr>
        <w:t xml:space="preserve"> naikintuvus, kurie </w:t>
      </w:r>
      <w:r>
        <w:rPr>
          <w:color w:val="000000" w:themeColor="text1"/>
          <w:szCs w:val="24"/>
        </w:rPr>
        <w:t xml:space="preserve">padėjo </w:t>
      </w:r>
      <w:r w:rsidRPr="006C6D99">
        <w:rPr>
          <w:color w:val="000000" w:themeColor="text1"/>
          <w:szCs w:val="24"/>
        </w:rPr>
        <w:t>tuo metu oro policijos misiją vykdanči</w:t>
      </w:r>
      <w:r>
        <w:rPr>
          <w:color w:val="000000" w:themeColor="text1"/>
          <w:szCs w:val="24"/>
        </w:rPr>
        <w:t>os JK pajėgoms, o</w:t>
      </w:r>
      <w:r w:rsidRPr="006C6D99">
        <w:rPr>
          <w:color w:val="000000" w:themeColor="text1"/>
          <w:szCs w:val="24"/>
        </w:rPr>
        <w:t xml:space="preserve"> rugpjū</w:t>
      </w:r>
      <w:r>
        <w:rPr>
          <w:color w:val="000000" w:themeColor="text1"/>
          <w:szCs w:val="24"/>
        </w:rPr>
        <w:t>tį</w:t>
      </w:r>
      <w:r w:rsidRPr="006C6D99">
        <w:rPr>
          <w:color w:val="000000" w:themeColor="text1"/>
          <w:szCs w:val="24"/>
        </w:rPr>
        <w:t>–gruod</w:t>
      </w:r>
      <w:r>
        <w:rPr>
          <w:color w:val="000000" w:themeColor="text1"/>
          <w:szCs w:val="24"/>
        </w:rPr>
        <w:t>į</w:t>
      </w:r>
      <w:r w:rsidRPr="006C6D99">
        <w:rPr>
          <w:color w:val="000000" w:themeColor="text1"/>
          <w:szCs w:val="24"/>
        </w:rPr>
        <w:t xml:space="preserve"> buvo atsiuntusi perdislokuojamą valdymo ir pranešimų centrą su 90 karių įgula.  </w:t>
      </w:r>
    </w:p>
    <w:p w14:paraId="2A64AC91" w14:textId="77777777" w:rsidR="008B10FF" w:rsidRPr="006C6D99" w:rsidRDefault="008B10FF" w:rsidP="00E660EB">
      <w:pPr>
        <w:tabs>
          <w:tab w:val="left" w:pos="567"/>
        </w:tabs>
        <w:spacing w:line="250" w:lineRule="auto"/>
        <w:ind w:firstLine="709"/>
        <w:jc w:val="both"/>
        <w:rPr>
          <w:color w:val="000000" w:themeColor="text1"/>
          <w:szCs w:val="24"/>
        </w:rPr>
      </w:pPr>
      <w:r w:rsidRPr="006C6D99">
        <w:rPr>
          <w:color w:val="000000" w:themeColor="text1"/>
          <w:szCs w:val="24"/>
        </w:rPr>
        <w:t xml:space="preserve"> Vokietijos gynybos ministerija 2019</w:t>
      </w:r>
      <w:r>
        <w:rPr>
          <w:color w:val="000000" w:themeColor="text1"/>
          <w:szCs w:val="24"/>
        </w:rPr>
        <w:t>–</w:t>
      </w:r>
      <w:r w:rsidRPr="006C6D99">
        <w:rPr>
          <w:color w:val="000000" w:themeColor="text1"/>
          <w:szCs w:val="24"/>
        </w:rPr>
        <w:t>2021 m. NATO priešakinių pajėgų bataliono kovinei grupei reikaling</w:t>
      </w:r>
      <w:r>
        <w:rPr>
          <w:color w:val="000000" w:themeColor="text1"/>
          <w:szCs w:val="24"/>
        </w:rPr>
        <w:t>ai</w:t>
      </w:r>
      <w:r w:rsidRPr="006C6D99">
        <w:rPr>
          <w:color w:val="000000" w:themeColor="text1"/>
          <w:szCs w:val="24"/>
        </w:rPr>
        <w:t xml:space="preserve"> infrastruktūr</w:t>
      </w:r>
      <w:r>
        <w:rPr>
          <w:color w:val="000000" w:themeColor="text1"/>
          <w:szCs w:val="24"/>
        </w:rPr>
        <w:t>ai</w:t>
      </w:r>
      <w:r w:rsidRPr="006C6D99">
        <w:rPr>
          <w:color w:val="000000" w:themeColor="text1"/>
          <w:szCs w:val="24"/>
        </w:rPr>
        <w:t xml:space="preserve"> vysty</w:t>
      </w:r>
      <w:r>
        <w:rPr>
          <w:color w:val="000000" w:themeColor="text1"/>
          <w:szCs w:val="24"/>
        </w:rPr>
        <w:t>t</w:t>
      </w:r>
      <w:r w:rsidRPr="006C6D99">
        <w:rPr>
          <w:color w:val="000000" w:themeColor="text1"/>
          <w:szCs w:val="24"/>
        </w:rPr>
        <w:t xml:space="preserve">i Lietuvoje skyrė apie 87,4 mln. </w:t>
      </w:r>
      <w:r>
        <w:rPr>
          <w:color w:val="000000" w:themeColor="text1"/>
          <w:szCs w:val="24"/>
        </w:rPr>
        <w:t>eurų</w:t>
      </w:r>
      <w:r w:rsidRPr="006C6D99">
        <w:rPr>
          <w:color w:val="000000" w:themeColor="text1"/>
          <w:szCs w:val="24"/>
        </w:rPr>
        <w:t xml:space="preserve">. Pabradėje </w:t>
      </w:r>
      <w:r>
        <w:rPr>
          <w:color w:val="000000" w:themeColor="text1"/>
          <w:szCs w:val="24"/>
        </w:rPr>
        <w:t xml:space="preserve">2020 m. </w:t>
      </w:r>
      <w:r w:rsidRPr="006C6D99">
        <w:rPr>
          <w:color w:val="000000" w:themeColor="text1"/>
          <w:szCs w:val="24"/>
        </w:rPr>
        <w:t xml:space="preserve">buvo užbaigta </w:t>
      </w:r>
      <w:r>
        <w:rPr>
          <w:color w:val="000000" w:themeColor="text1"/>
          <w:szCs w:val="24"/>
        </w:rPr>
        <w:t>šios</w:t>
      </w:r>
      <w:r w:rsidRPr="006C6D99">
        <w:rPr>
          <w:color w:val="000000" w:themeColor="text1"/>
          <w:szCs w:val="24"/>
        </w:rPr>
        <w:t xml:space="preserve"> </w:t>
      </w:r>
      <w:r>
        <w:rPr>
          <w:color w:val="000000" w:themeColor="text1"/>
          <w:szCs w:val="24"/>
        </w:rPr>
        <w:t>kovinės grupės</w:t>
      </w:r>
      <w:r w:rsidRPr="006C6D99">
        <w:rPr>
          <w:color w:val="000000" w:themeColor="text1"/>
          <w:szCs w:val="24"/>
        </w:rPr>
        <w:t xml:space="preserve"> reikmėms skirtos nuolatinės amunicijos aikštelės statyba. Rukloje buvo tęsiama</w:t>
      </w:r>
      <w:r>
        <w:rPr>
          <w:color w:val="000000" w:themeColor="text1"/>
          <w:szCs w:val="24"/>
        </w:rPr>
        <w:t>s</w:t>
      </w:r>
      <w:r w:rsidRPr="006C6D99">
        <w:rPr>
          <w:color w:val="000000" w:themeColor="text1"/>
          <w:szCs w:val="24"/>
        </w:rPr>
        <w:t xml:space="preserve"> didžiausi</w:t>
      </w:r>
      <w:r>
        <w:rPr>
          <w:color w:val="000000" w:themeColor="text1"/>
          <w:szCs w:val="24"/>
        </w:rPr>
        <w:t>as</w:t>
      </w:r>
      <w:r w:rsidRPr="006C6D99">
        <w:rPr>
          <w:color w:val="000000" w:themeColor="text1"/>
          <w:szCs w:val="24"/>
        </w:rPr>
        <w:t xml:space="preserve"> Vokietijos projekt</w:t>
      </w:r>
      <w:r>
        <w:rPr>
          <w:color w:val="000000" w:themeColor="text1"/>
          <w:szCs w:val="24"/>
        </w:rPr>
        <w:t>as</w:t>
      </w:r>
      <w:r w:rsidRPr="006C6D99">
        <w:rPr>
          <w:color w:val="000000" w:themeColor="text1"/>
          <w:szCs w:val="24"/>
        </w:rPr>
        <w:t xml:space="preserve"> </w:t>
      </w:r>
      <w:r>
        <w:rPr>
          <w:color w:val="000000" w:themeColor="text1"/>
          <w:szCs w:val="24"/>
        </w:rPr>
        <w:t>–</w:t>
      </w:r>
      <w:r w:rsidRPr="006C6D99">
        <w:rPr>
          <w:color w:val="000000" w:themeColor="text1"/>
          <w:szCs w:val="24"/>
        </w:rPr>
        <w:t xml:space="preserve"> nuolatinė</w:t>
      </w:r>
      <w:r>
        <w:rPr>
          <w:color w:val="000000" w:themeColor="text1"/>
          <w:szCs w:val="24"/>
        </w:rPr>
        <w:t xml:space="preserve">s logistinės aikštelės </w:t>
      </w:r>
      <w:r w:rsidRPr="006C6D99">
        <w:rPr>
          <w:color w:val="000000" w:themeColor="text1"/>
          <w:szCs w:val="24"/>
        </w:rPr>
        <w:t xml:space="preserve">statyba, kurio finansavimas siekia 56 mln. </w:t>
      </w:r>
      <w:r>
        <w:rPr>
          <w:color w:val="000000" w:themeColor="text1"/>
          <w:szCs w:val="24"/>
        </w:rPr>
        <w:t>eurų</w:t>
      </w:r>
      <w:r w:rsidRPr="006C6D99">
        <w:rPr>
          <w:color w:val="000000" w:themeColor="text1"/>
          <w:szCs w:val="24"/>
        </w:rPr>
        <w:t xml:space="preserve">. Šį projektą tikimasi užbaigti 2021 m. </w:t>
      </w:r>
      <w:r>
        <w:rPr>
          <w:color w:val="000000" w:themeColor="text1"/>
          <w:szCs w:val="24"/>
        </w:rPr>
        <w:t xml:space="preserve">Lietuvos kariuomenės </w:t>
      </w:r>
      <w:r w:rsidRPr="006C6D99">
        <w:rPr>
          <w:color w:val="000000" w:themeColor="text1"/>
          <w:szCs w:val="24"/>
        </w:rPr>
        <w:t>Mokomajame pulke</w:t>
      </w:r>
      <w:r>
        <w:rPr>
          <w:color w:val="000000" w:themeColor="text1"/>
          <w:szCs w:val="24"/>
        </w:rPr>
        <w:t xml:space="preserve"> Rukloje</w:t>
      </w:r>
      <w:r w:rsidRPr="006C6D99">
        <w:rPr>
          <w:color w:val="000000" w:themeColor="text1"/>
          <w:szCs w:val="24"/>
        </w:rPr>
        <w:t xml:space="preserve"> buvo įrengtas medicinos punktas </w:t>
      </w:r>
      <w:r>
        <w:rPr>
          <w:color w:val="000000" w:themeColor="text1"/>
          <w:szCs w:val="24"/>
        </w:rPr>
        <w:t>ir</w:t>
      </w:r>
      <w:r w:rsidRPr="006C6D99">
        <w:rPr>
          <w:color w:val="000000" w:themeColor="text1"/>
          <w:szCs w:val="24"/>
        </w:rPr>
        <w:t xml:space="preserve"> laikinoji logistinė aikštelė. </w:t>
      </w:r>
    </w:p>
    <w:p w14:paraId="733D0BF1" w14:textId="77777777" w:rsidR="008B10FF" w:rsidRPr="006C6D99" w:rsidRDefault="008B10FF" w:rsidP="00E660EB">
      <w:pPr>
        <w:tabs>
          <w:tab w:val="left" w:pos="567"/>
        </w:tabs>
        <w:spacing w:line="250" w:lineRule="auto"/>
        <w:ind w:firstLine="709"/>
        <w:jc w:val="both"/>
        <w:rPr>
          <w:color w:val="000000" w:themeColor="text1"/>
          <w:szCs w:val="24"/>
        </w:rPr>
      </w:pPr>
      <w:r w:rsidRPr="006C6D99">
        <w:rPr>
          <w:color w:val="000000" w:themeColor="text1"/>
          <w:szCs w:val="24"/>
        </w:rPr>
        <w:t xml:space="preserve">2020 m. buvo tęsiami ginkluotės įsigijimai iš Vokietijos: </w:t>
      </w:r>
      <w:r>
        <w:rPr>
          <w:color w:val="000000" w:themeColor="text1"/>
          <w:szCs w:val="24"/>
        </w:rPr>
        <w:t>„</w:t>
      </w:r>
      <w:r w:rsidRPr="006C6D99">
        <w:rPr>
          <w:color w:val="000000" w:themeColor="text1"/>
          <w:szCs w:val="24"/>
        </w:rPr>
        <w:t>PzH2000</w:t>
      </w:r>
      <w:r>
        <w:rPr>
          <w:color w:val="000000" w:themeColor="text1"/>
          <w:szCs w:val="24"/>
        </w:rPr>
        <w:t>“</w:t>
      </w:r>
      <w:r w:rsidRPr="006C6D99">
        <w:rPr>
          <w:color w:val="000000" w:themeColor="text1"/>
          <w:szCs w:val="24"/>
        </w:rPr>
        <w:t xml:space="preserve"> savaeigės </w:t>
      </w:r>
      <w:proofErr w:type="spellStart"/>
      <w:r w:rsidRPr="006C6D99">
        <w:rPr>
          <w:color w:val="000000" w:themeColor="text1"/>
          <w:szCs w:val="24"/>
        </w:rPr>
        <w:t>haubicos</w:t>
      </w:r>
      <w:proofErr w:type="spellEnd"/>
      <w:r w:rsidRPr="006C6D99">
        <w:rPr>
          <w:color w:val="000000" w:themeColor="text1"/>
          <w:szCs w:val="24"/>
        </w:rPr>
        <w:t>, „</w:t>
      </w:r>
      <w:proofErr w:type="spellStart"/>
      <w:r w:rsidRPr="006C6D99">
        <w:rPr>
          <w:color w:val="000000" w:themeColor="text1"/>
          <w:szCs w:val="24"/>
        </w:rPr>
        <w:t>Boxer</w:t>
      </w:r>
      <w:proofErr w:type="spellEnd"/>
      <w:r w:rsidRPr="006C6D99">
        <w:rPr>
          <w:color w:val="000000" w:themeColor="text1"/>
          <w:szCs w:val="24"/>
        </w:rPr>
        <w:t xml:space="preserve">“ pėstininkų kovos mašinos, šaulių automatiniai ginklai G-36, kariniai sunkvežimiai </w:t>
      </w:r>
      <w:r>
        <w:rPr>
          <w:color w:val="000000" w:themeColor="text1"/>
          <w:szCs w:val="24"/>
        </w:rPr>
        <w:t>ir</w:t>
      </w:r>
      <w:r w:rsidRPr="006C6D99">
        <w:rPr>
          <w:color w:val="000000" w:themeColor="text1"/>
          <w:szCs w:val="24"/>
        </w:rPr>
        <w:t xml:space="preserve"> kita įranga. </w:t>
      </w:r>
    </w:p>
    <w:p w14:paraId="08001185" w14:textId="77777777" w:rsidR="008B10FF" w:rsidRPr="006C6D99" w:rsidRDefault="008B10FF" w:rsidP="00E660EB">
      <w:pPr>
        <w:tabs>
          <w:tab w:val="left" w:pos="567"/>
        </w:tabs>
        <w:spacing w:line="250" w:lineRule="auto"/>
        <w:ind w:firstLine="709"/>
        <w:jc w:val="both"/>
        <w:rPr>
          <w:color w:val="000000" w:themeColor="text1"/>
          <w:szCs w:val="24"/>
        </w:rPr>
      </w:pPr>
      <w:r w:rsidRPr="006C6D99">
        <w:rPr>
          <w:color w:val="000000" w:themeColor="text1"/>
          <w:szCs w:val="24"/>
        </w:rPr>
        <w:t xml:space="preserve">2020 m. Lietuva iki 50 karių padidino savo indėlį į Jungtinių Tautų </w:t>
      </w:r>
      <w:r w:rsidRPr="008E72CB">
        <w:rPr>
          <w:color w:val="000000" w:themeColor="text1"/>
          <w:szCs w:val="24"/>
        </w:rPr>
        <w:t>operaciją M</w:t>
      </w:r>
      <w:r w:rsidRPr="00C76482">
        <w:rPr>
          <w:color w:val="000000" w:themeColor="text1"/>
          <w:szCs w:val="24"/>
        </w:rPr>
        <w:t>INUSMA</w:t>
      </w:r>
      <w:r w:rsidRPr="006C6D99">
        <w:rPr>
          <w:color w:val="000000" w:themeColor="text1"/>
          <w:szCs w:val="24"/>
        </w:rPr>
        <w:t xml:space="preserve"> Malyje, kurioje dalyvauja Vokietijos kontingento sudėtyje. </w:t>
      </w:r>
    </w:p>
    <w:p w14:paraId="05ACBD43" w14:textId="77777777" w:rsidR="008B10FF" w:rsidRDefault="008B10FF" w:rsidP="00E660EB">
      <w:pPr>
        <w:spacing w:line="250" w:lineRule="auto"/>
        <w:ind w:firstLine="709"/>
        <w:jc w:val="both"/>
        <w:rPr>
          <w:szCs w:val="24"/>
        </w:rPr>
      </w:pPr>
      <w:r w:rsidRPr="003F400A">
        <w:rPr>
          <w:szCs w:val="24"/>
        </w:rPr>
        <w:t xml:space="preserve">COVID-19 pandemijos pradžioje šalys glaudžiai bendradarbiavo padėdamos Lietuvos ir Vokietijos piliečiams grįžti į gimtąją šalį. </w:t>
      </w:r>
      <w:r>
        <w:rPr>
          <w:szCs w:val="24"/>
        </w:rPr>
        <w:t>Ir toliau s</w:t>
      </w:r>
      <w:r w:rsidRPr="003F400A">
        <w:rPr>
          <w:szCs w:val="24"/>
        </w:rPr>
        <w:t xml:space="preserve">varbus bendradarbiavimas kovojant su hibridinėmis grėsmėmis bei dezinformacija. Atsižvelgiant į tai, ketinama atnaujinti 2015 m. pasirašytą Lietuvos ir Vokietijos </w:t>
      </w:r>
      <w:r>
        <w:rPr>
          <w:szCs w:val="24"/>
        </w:rPr>
        <w:t xml:space="preserve">užsienio reikalų </w:t>
      </w:r>
      <w:r w:rsidRPr="003F400A">
        <w:rPr>
          <w:szCs w:val="24"/>
        </w:rPr>
        <w:t>ministrų bendrą pareiškimą dėl prioritetų ir bendrų veiksmų žiniasklaidos ir komunikacijos, pilietinės visuomenės, švietimo, mokymosi ir mainų srityse.</w:t>
      </w:r>
    </w:p>
    <w:p w14:paraId="4EE571AE" w14:textId="77777777" w:rsidR="008B10FF" w:rsidRPr="006C6D99" w:rsidRDefault="008B10FF" w:rsidP="00E660EB">
      <w:pPr>
        <w:spacing w:line="250" w:lineRule="auto"/>
        <w:ind w:firstLine="709"/>
        <w:jc w:val="both"/>
        <w:rPr>
          <w:color w:val="000000" w:themeColor="text1"/>
          <w:szCs w:val="24"/>
        </w:rPr>
      </w:pPr>
      <w:r w:rsidRPr="00E019C8">
        <w:rPr>
          <w:rFonts w:ascii="Times" w:hAnsi="Times"/>
        </w:rPr>
        <w:t xml:space="preserve">2020 m. </w:t>
      </w:r>
      <w:r w:rsidRPr="00E019C8">
        <w:rPr>
          <w:rFonts w:ascii="Times" w:hAnsi="Times"/>
          <w:b/>
        </w:rPr>
        <w:t>strateginė partnerystė su Lenkija</w:t>
      </w:r>
      <w:r w:rsidRPr="00E019C8">
        <w:rPr>
          <w:rFonts w:ascii="Times" w:hAnsi="Times"/>
        </w:rPr>
        <w:t xml:space="preserve"> buvo ir toliau sėkmingai stiprinama. </w:t>
      </w:r>
      <w:r w:rsidRPr="006C6D99">
        <w:rPr>
          <w:color w:val="000000" w:themeColor="text1"/>
          <w:szCs w:val="24"/>
        </w:rPr>
        <w:t>2019 m.</w:t>
      </w:r>
      <w:r w:rsidRPr="006C6D99">
        <w:rPr>
          <w:b/>
          <w:bCs/>
          <w:color w:val="000000" w:themeColor="text1"/>
          <w:szCs w:val="24"/>
        </w:rPr>
        <w:t xml:space="preserve"> </w:t>
      </w:r>
      <w:r w:rsidRPr="006C6D99">
        <w:rPr>
          <w:bCs/>
          <w:color w:val="000000" w:themeColor="text1"/>
          <w:szCs w:val="24"/>
        </w:rPr>
        <w:t xml:space="preserve">vasario 21 d. Lietuvos ir </w:t>
      </w:r>
      <w:r w:rsidRPr="00192BB0">
        <w:rPr>
          <w:color w:val="000000" w:themeColor="text1"/>
          <w:szCs w:val="24"/>
        </w:rPr>
        <w:t xml:space="preserve">Lenkijos </w:t>
      </w:r>
      <w:r w:rsidRPr="006C6D99">
        <w:rPr>
          <w:bCs/>
          <w:color w:val="000000" w:themeColor="text1"/>
          <w:szCs w:val="24"/>
        </w:rPr>
        <w:t>prezidentai paskelbė Lietuvos ir Lenkijos partnerystės saugumo srityje stiprinimo deklaraciją, kurioje tarp kitų iniciatyvų buvo su</w:t>
      </w:r>
      <w:r>
        <w:rPr>
          <w:bCs/>
          <w:color w:val="000000" w:themeColor="text1"/>
          <w:szCs w:val="24"/>
        </w:rPr>
        <w:t>si</w:t>
      </w:r>
      <w:r w:rsidRPr="006C6D99">
        <w:rPr>
          <w:bCs/>
          <w:color w:val="000000" w:themeColor="text1"/>
          <w:szCs w:val="24"/>
        </w:rPr>
        <w:t>tarta įsteigti Lietuvos</w:t>
      </w:r>
      <w:r>
        <w:rPr>
          <w:bCs/>
          <w:color w:val="000000" w:themeColor="text1"/>
          <w:szCs w:val="24"/>
        </w:rPr>
        <w:t>–</w:t>
      </w:r>
      <w:r w:rsidRPr="006C6D99">
        <w:rPr>
          <w:bCs/>
          <w:color w:val="000000" w:themeColor="text1"/>
          <w:szCs w:val="24"/>
        </w:rPr>
        <w:t xml:space="preserve">Lenkijos gynybos ministrų </w:t>
      </w:r>
      <w:r>
        <w:rPr>
          <w:bCs/>
          <w:color w:val="000000" w:themeColor="text1"/>
          <w:szCs w:val="24"/>
        </w:rPr>
        <w:t>t</w:t>
      </w:r>
      <w:r w:rsidRPr="006C6D99">
        <w:rPr>
          <w:bCs/>
          <w:color w:val="000000" w:themeColor="text1"/>
          <w:szCs w:val="24"/>
        </w:rPr>
        <w:t xml:space="preserve">arybą. Pirmasis </w:t>
      </w:r>
      <w:r>
        <w:rPr>
          <w:bCs/>
          <w:color w:val="000000" w:themeColor="text1"/>
          <w:szCs w:val="24"/>
        </w:rPr>
        <w:t>šios t</w:t>
      </w:r>
      <w:r w:rsidRPr="006C6D99">
        <w:rPr>
          <w:bCs/>
          <w:color w:val="000000" w:themeColor="text1"/>
          <w:szCs w:val="24"/>
        </w:rPr>
        <w:t xml:space="preserve">arybos susitikimas </w:t>
      </w:r>
      <w:r>
        <w:rPr>
          <w:bCs/>
          <w:color w:val="000000" w:themeColor="text1"/>
          <w:szCs w:val="24"/>
        </w:rPr>
        <w:t xml:space="preserve">įvyko </w:t>
      </w:r>
      <w:r w:rsidRPr="006C6D99">
        <w:rPr>
          <w:bCs/>
          <w:color w:val="000000" w:themeColor="text1"/>
          <w:szCs w:val="24"/>
        </w:rPr>
        <w:t>Vilniuje 2020</w:t>
      </w:r>
      <w:r>
        <w:rPr>
          <w:bCs/>
          <w:color w:val="000000" w:themeColor="text1"/>
          <w:szCs w:val="24"/>
        </w:rPr>
        <w:t> </w:t>
      </w:r>
      <w:r w:rsidRPr="006C6D99">
        <w:rPr>
          <w:bCs/>
          <w:color w:val="000000" w:themeColor="text1"/>
          <w:szCs w:val="24"/>
        </w:rPr>
        <w:t>m</w:t>
      </w:r>
      <w:r>
        <w:rPr>
          <w:bCs/>
          <w:color w:val="000000" w:themeColor="text1"/>
          <w:szCs w:val="24"/>
        </w:rPr>
        <w:t>.</w:t>
      </w:r>
      <w:r w:rsidRPr="006C6D99">
        <w:rPr>
          <w:bCs/>
          <w:color w:val="000000" w:themeColor="text1"/>
          <w:szCs w:val="24"/>
        </w:rPr>
        <w:t xml:space="preserve"> saus</w:t>
      </w:r>
      <w:r>
        <w:rPr>
          <w:bCs/>
          <w:color w:val="000000" w:themeColor="text1"/>
          <w:szCs w:val="24"/>
        </w:rPr>
        <w:t>į</w:t>
      </w:r>
      <w:r w:rsidRPr="006C6D99">
        <w:rPr>
          <w:bCs/>
          <w:color w:val="000000" w:themeColor="text1"/>
          <w:szCs w:val="24"/>
        </w:rPr>
        <w:t>. Susitikim</w:t>
      </w:r>
      <w:r>
        <w:rPr>
          <w:bCs/>
          <w:color w:val="000000" w:themeColor="text1"/>
          <w:szCs w:val="24"/>
        </w:rPr>
        <w:t>e</w:t>
      </w:r>
      <w:r w:rsidRPr="006C6D99">
        <w:rPr>
          <w:bCs/>
          <w:color w:val="000000" w:themeColor="text1"/>
          <w:szCs w:val="24"/>
        </w:rPr>
        <w:t xml:space="preserve"> </w:t>
      </w:r>
      <w:r>
        <w:rPr>
          <w:bCs/>
          <w:color w:val="000000" w:themeColor="text1"/>
          <w:szCs w:val="24"/>
        </w:rPr>
        <w:t>nustatytos</w:t>
      </w:r>
      <w:r w:rsidRPr="006C6D99">
        <w:rPr>
          <w:bCs/>
          <w:color w:val="000000" w:themeColor="text1"/>
          <w:szCs w:val="24"/>
        </w:rPr>
        <w:t xml:space="preserve"> </w:t>
      </w:r>
      <w:r>
        <w:rPr>
          <w:bCs/>
          <w:color w:val="000000" w:themeColor="text1"/>
          <w:szCs w:val="24"/>
          <w:lang w:val="en-GB"/>
        </w:rPr>
        <w:t>4</w:t>
      </w:r>
      <w:r w:rsidRPr="006C6D99">
        <w:rPr>
          <w:bCs/>
          <w:color w:val="000000" w:themeColor="text1"/>
          <w:szCs w:val="24"/>
        </w:rPr>
        <w:t xml:space="preserve"> prioritetinės dvišalio karinio bendradarbiavimo sritys, atitinkamai įsteigtos darbo grupės planavimo, oro gynybos, jūrų stebėjimo, įsigijimų ir techninės priežiūros koordinavimo srityse. </w:t>
      </w:r>
      <w:r w:rsidRPr="006C6D99">
        <w:rPr>
          <w:color w:val="000000" w:themeColor="text1"/>
          <w:szCs w:val="24"/>
        </w:rPr>
        <w:t>Ypač aktyviai bendradarbiauta bendrų pratybų, žvalgybos ir karių rengimo srityse. Vyko aktyvus Lietuvos ir Lenkijos sausumos pajėgų, karinių jūrų paj</w:t>
      </w:r>
      <w:r>
        <w:rPr>
          <w:color w:val="000000" w:themeColor="text1"/>
          <w:szCs w:val="24"/>
        </w:rPr>
        <w:t xml:space="preserve">ėgų, karinių oro pajėgų ir </w:t>
      </w:r>
      <w:r w:rsidRPr="006C6D99">
        <w:rPr>
          <w:color w:val="000000" w:themeColor="text1"/>
          <w:szCs w:val="24"/>
        </w:rPr>
        <w:t>specialiųjų operacijų pajėgų</w:t>
      </w:r>
      <w:r w:rsidRPr="00683026">
        <w:rPr>
          <w:color w:val="000000" w:themeColor="text1"/>
          <w:szCs w:val="24"/>
        </w:rPr>
        <w:t xml:space="preserve"> </w:t>
      </w:r>
      <w:r>
        <w:rPr>
          <w:color w:val="000000" w:themeColor="text1"/>
          <w:szCs w:val="24"/>
        </w:rPr>
        <w:t>bendradarbiavimas</w:t>
      </w:r>
      <w:r w:rsidRPr="006C6D99">
        <w:rPr>
          <w:color w:val="000000" w:themeColor="text1"/>
          <w:szCs w:val="24"/>
        </w:rPr>
        <w:t xml:space="preserve">. </w:t>
      </w:r>
    </w:p>
    <w:p w14:paraId="5346FED8" w14:textId="77777777" w:rsidR="008B10FF" w:rsidRPr="006C6D99" w:rsidRDefault="008B10FF" w:rsidP="00E660EB">
      <w:pPr>
        <w:spacing w:line="250" w:lineRule="auto"/>
        <w:ind w:firstLine="709"/>
        <w:jc w:val="both"/>
        <w:rPr>
          <w:color w:val="000000" w:themeColor="text1"/>
          <w:szCs w:val="24"/>
        </w:rPr>
      </w:pPr>
      <w:r w:rsidRPr="006C6D99">
        <w:rPr>
          <w:color w:val="000000" w:themeColor="text1"/>
          <w:szCs w:val="24"/>
        </w:rPr>
        <w:t xml:space="preserve">2020 m. sausio 29 d. Lietuvos ir Lenkijos kariuomenių vadai pasirašė </w:t>
      </w:r>
      <w:r>
        <w:rPr>
          <w:color w:val="000000" w:themeColor="text1"/>
          <w:szCs w:val="24"/>
        </w:rPr>
        <w:t>M</w:t>
      </w:r>
      <w:r w:rsidRPr="006C6D99">
        <w:rPr>
          <w:color w:val="000000" w:themeColor="text1"/>
          <w:szCs w:val="24"/>
        </w:rPr>
        <w:t>echanizuotos</w:t>
      </w:r>
      <w:r>
        <w:rPr>
          <w:color w:val="000000" w:themeColor="text1"/>
          <w:szCs w:val="24"/>
        </w:rPr>
        <w:t>ios</w:t>
      </w:r>
      <w:r w:rsidRPr="006C6D99">
        <w:rPr>
          <w:color w:val="000000" w:themeColor="text1"/>
          <w:szCs w:val="24"/>
        </w:rPr>
        <w:t xml:space="preserve"> pėstininkų brigados „Geležinis </w:t>
      </w:r>
      <w:r>
        <w:rPr>
          <w:color w:val="000000" w:themeColor="text1"/>
          <w:szCs w:val="24"/>
        </w:rPr>
        <w:t>V</w:t>
      </w:r>
      <w:r w:rsidRPr="006C6D99">
        <w:rPr>
          <w:color w:val="000000" w:themeColor="text1"/>
          <w:szCs w:val="24"/>
        </w:rPr>
        <w:t>ilkas“ ir 15-osios Lenkijos mechanizuotos</w:t>
      </w:r>
      <w:r>
        <w:rPr>
          <w:color w:val="000000" w:themeColor="text1"/>
          <w:szCs w:val="24"/>
        </w:rPr>
        <w:t xml:space="preserve">ios </w:t>
      </w:r>
      <w:r w:rsidRPr="006C6D99">
        <w:rPr>
          <w:color w:val="000000" w:themeColor="text1"/>
          <w:szCs w:val="24"/>
        </w:rPr>
        <w:t xml:space="preserve"> brigados teisinės </w:t>
      </w:r>
      <w:proofErr w:type="spellStart"/>
      <w:r w:rsidRPr="006C6D99">
        <w:rPr>
          <w:color w:val="000000" w:themeColor="text1"/>
          <w:szCs w:val="24"/>
        </w:rPr>
        <w:t>afiliacijos</w:t>
      </w:r>
      <w:proofErr w:type="spellEnd"/>
      <w:r w:rsidRPr="006C6D99">
        <w:rPr>
          <w:color w:val="000000" w:themeColor="text1"/>
          <w:szCs w:val="24"/>
        </w:rPr>
        <w:t xml:space="preserve"> dokumentą. Dokumente įvard</w:t>
      </w:r>
      <w:r>
        <w:rPr>
          <w:color w:val="000000" w:themeColor="text1"/>
          <w:szCs w:val="24"/>
        </w:rPr>
        <w:t>y</w:t>
      </w:r>
      <w:r w:rsidRPr="006C6D99">
        <w:rPr>
          <w:color w:val="000000" w:themeColor="text1"/>
          <w:szCs w:val="24"/>
        </w:rPr>
        <w:t xml:space="preserve">ti </w:t>
      </w:r>
      <w:proofErr w:type="spellStart"/>
      <w:r w:rsidRPr="006C6D99">
        <w:rPr>
          <w:color w:val="000000" w:themeColor="text1"/>
          <w:szCs w:val="24"/>
        </w:rPr>
        <w:t>afiliacijos</w:t>
      </w:r>
      <w:proofErr w:type="spellEnd"/>
      <w:r w:rsidRPr="006C6D99">
        <w:rPr>
          <w:color w:val="000000" w:themeColor="text1"/>
          <w:szCs w:val="24"/>
        </w:rPr>
        <w:t xml:space="preserve"> tikslai: mokymai ir pratybos, strateginė komunikacija </w:t>
      </w:r>
      <w:r>
        <w:rPr>
          <w:color w:val="000000" w:themeColor="text1"/>
          <w:szCs w:val="24"/>
        </w:rPr>
        <w:t>ir</w:t>
      </w:r>
      <w:r w:rsidRPr="006C6D99">
        <w:rPr>
          <w:color w:val="000000" w:themeColor="text1"/>
          <w:szCs w:val="24"/>
        </w:rPr>
        <w:t xml:space="preserve"> situacinis suvokimas (</w:t>
      </w:r>
      <w:r>
        <w:rPr>
          <w:color w:val="000000" w:themeColor="text1"/>
          <w:szCs w:val="24"/>
        </w:rPr>
        <w:t xml:space="preserve">angl. </w:t>
      </w:r>
      <w:proofErr w:type="spellStart"/>
      <w:r w:rsidRPr="00BD1593">
        <w:rPr>
          <w:i/>
          <w:color w:val="000000" w:themeColor="text1"/>
          <w:szCs w:val="24"/>
        </w:rPr>
        <w:t>Situational</w:t>
      </w:r>
      <w:proofErr w:type="spellEnd"/>
      <w:r w:rsidRPr="00BD1593">
        <w:rPr>
          <w:i/>
          <w:color w:val="000000" w:themeColor="text1"/>
          <w:szCs w:val="24"/>
        </w:rPr>
        <w:t xml:space="preserve"> </w:t>
      </w:r>
      <w:proofErr w:type="spellStart"/>
      <w:r w:rsidRPr="00BD1593">
        <w:rPr>
          <w:i/>
          <w:color w:val="000000" w:themeColor="text1"/>
          <w:szCs w:val="24"/>
        </w:rPr>
        <w:t>Awareness</w:t>
      </w:r>
      <w:proofErr w:type="spellEnd"/>
      <w:r w:rsidRPr="006C6D99">
        <w:rPr>
          <w:color w:val="000000" w:themeColor="text1"/>
          <w:szCs w:val="24"/>
        </w:rPr>
        <w:t xml:space="preserve">). </w:t>
      </w:r>
    </w:p>
    <w:p w14:paraId="65AB8E1E" w14:textId="77777777" w:rsidR="008B10FF" w:rsidRPr="006C6D99" w:rsidRDefault="008B10FF" w:rsidP="00E660EB">
      <w:pPr>
        <w:spacing w:line="250" w:lineRule="auto"/>
        <w:ind w:firstLine="709"/>
        <w:jc w:val="both"/>
        <w:rPr>
          <w:color w:val="000000" w:themeColor="text1"/>
          <w:szCs w:val="24"/>
        </w:rPr>
      </w:pPr>
      <w:r w:rsidRPr="006C6D99">
        <w:rPr>
          <w:color w:val="000000" w:themeColor="text1"/>
          <w:szCs w:val="24"/>
        </w:rPr>
        <w:t>Lenkijos karinių oro pajėgų kariai 2020 m. saus</w:t>
      </w:r>
      <w:r>
        <w:rPr>
          <w:color w:val="000000" w:themeColor="text1"/>
          <w:szCs w:val="24"/>
        </w:rPr>
        <w:t>į</w:t>
      </w:r>
      <w:r w:rsidRPr="006C6D99">
        <w:rPr>
          <w:color w:val="000000" w:themeColor="text1"/>
          <w:szCs w:val="24"/>
        </w:rPr>
        <w:t>–baland</w:t>
      </w:r>
      <w:r>
        <w:rPr>
          <w:color w:val="000000" w:themeColor="text1"/>
          <w:szCs w:val="24"/>
        </w:rPr>
        <w:t>į</w:t>
      </w:r>
      <w:r w:rsidRPr="006C6D99">
        <w:rPr>
          <w:color w:val="000000" w:themeColor="text1"/>
          <w:szCs w:val="24"/>
        </w:rPr>
        <w:t xml:space="preserve"> dalyvavo NATO Baltijos oro policijos misijoje.</w:t>
      </w:r>
    </w:p>
    <w:p w14:paraId="0177F316" w14:textId="77777777" w:rsidR="008B10FF" w:rsidRPr="006C6D99" w:rsidRDefault="008B10FF" w:rsidP="00E660EB">
      <w:pPr>
        <w:spacing w:line="250" w:lineRule="auto"/>
        <w:ind w:firstLine="709"/>
        <w:jc w:val="both"/>
        <w:rPr>
          <w:color w:val="000000" w:themeColor="text1"/>
          <w:szCs w:val="24"/>
        </w:rPr>
      </w:pPr>
      <w:r w:rsidRPr="006C6D99">
        <w:rPr>
          <w:color w:val="000000" w:themeColor="text1"/>
          <w:szCs w:val="24"/>
        </w:rPr>
        <w:t>2020 m. Lietuva ir Lenkija aktyviai bendradarbiavo stiprin</w:t>
      </w:r>
      <w:r>
        <w:rPr>
          <w:color w:val="000000" w:themeColor="text1"/>
          <w:szCs w:val="24"/>
        </w:rPr>
        <w:t>damos</w:t>
      </w:r>
      <w:r w:rsidRPr="006C6D99">
        <w:rPr>
          <w:color w:val="000000" w:themeColor="text1"/>
          <w:szCs w:val="24"/>
        </w:rPr>
        <w:t xml:space="preserve"> regioninę oro gynybą. Baltijos šalys, Lenkija ir JAV bendradarbiauja kuriant </w:t>
      </w:r>
      <w:r>
        <w:rPr>
          <w:color w:val="000000" w:themeColor="text1"/>
          <w:szCs w:val="24"/>
        </w:rPr>
        <w:t>i</w:t>
      </w:r>
      <w:r w:rsidRPr="006C6D99">
        <w:rPr>
          <w:color w:val="000000" w:themeColor="text1"/>
          <w:szCs w:val="24"/>
        </w:rPr>
        <w:t>ntegruot</w:t>
      </w:r>
      <w:r>
        <w:rPr>
          <w:color w:val="000000" w:themeColor="text1"/>
          <w:szCs w:val="24"/>
        </w:rPr>
        <w:t>ą</w:t>
      </w:r>
      <w:r w:rsidRPr="006C6D99">
        <w:rPr>
          <w:color w:val="000000" w:themeColor="text1"/>
          <w:szCs w:val="24"/>
        </w:rPr>
        <w:t xml:space="preserve"> oro gynybos sistemą, siekiant gerinti sąlygas </w:t>
      </w:r>
      <w:r>
        <w:rPr>
          <w:color w:val="000000" w:themeColor="text1"/>
          <w:szCs w:val="24"/>
        </w:rPr>
        <w:t>pereiti</w:t>
      </w:r>
      <w:r w:rsidRPr="006C6D99">
        <w:rPr>
          <w:color w:val="000000" w:themeColor="text1"/>
          <w:szCs w:val="24"/>
        </w:rPr>
        <w:t xml:space="preserve"> į oro gynybą taikos metu. Kartu su Lenkija</w:t>
      </w:r>
      <w:r>
        <w:rPr>
          <w:color w:val="000000" w:themeColor="text1"/>
          <w:szCs w:val="24"/>
        </w:rPr>
        <w:t xml:space="preserve"> taip pat</w:t>
      </w:r>
      <w:r w:rsidRPr="006C6D99">
        <w:rPr>
          <w:color w:val="000000" w:themeColor="text1"/>
          <w:szCs w:val="24"/>
        </w:rPr>
        <w:t xml:space="preserve"> siekiama oro pratybų sąlygų gerinimo regione. Lietuva toliau tęsia trumpo nuotolio priešlėktuvinės sistemos GROM įsigijimą iš Lenkijos. Vienod</w:t>
      </w:r>
      <w:r>
        <w:rPr>
          <w:color w:val="000000" w:themeColor="text1"/>
          <w:szCs w:val="24"/>
        </w:rPr>
        <w:t>ų</w:t>
      </w:r>
      <w:r w:rsidRPr="006C6D99">
        <w:rPr>
          <w:color w:val="000000" w:themeColor="text1"/>
          <w:szCs w:val="24"/>
        </w:rPr>
        <w:t xml:space="preserve"> sistemų turėjimas leidžia jas efektyviau integruoti ir </w:t>
      </w:r>
      <w:r>
        <w:rPr>
          <w:color w:val="000000" w:themeColor="text1"/>
          <w:szCs w:val="24"/>
        </w:rPr>
        <w:t>gerina</w:t>
      </w:r>
      <w:r w:rsidRPr="006C6D99">
        <w:rPr>
          <w:color w:val="000000" w:themeColor="text1"/>
          <w:szCs w:val="24"/>
        </w:rPr>
        <w:t xml:space="preserve"> operacinį sąveikumą. </w:t>
      </w:r>
    </w:p>
    <w:p w14:paraId="71B552D4" w14:textId="77777777" w:rsidR="008B10FF" w:rsidRDefault="008B10FF" w:rsidP="00E660EB">
      <w:pPr>
        <w:spacing w:line="250" w:lineRule="auto"/>
        <w:ind w:firstLine="709"/>
        <w:jc w:val="both"/>
        <w:rPr>
          <w:rFonts w:ascii="Times" w:hAnsi="Times"/>
          <w:szCs w:val="24"/>
        </w:rPr>
      </w:pPr>
      <w:r w:rsidRPr="00E019C8">
        <w:rPr>
          <w:rFonts w:ascii="Times" w:hAnsi="Times"/>
        </w:rPr>
        <w:t xml:space="preserve">Nepaisant </w:t>
      </w:r>
      <w:r>
        <w:rPr>
          <w:rFonts w:ascii="Times" w:hAnsi="Times"/>
        </w:rPr>
        <w:t>pandemijos situacijos</w:t>
      </w:r>
      <w:r w:rsidRPr="00E019C8">
        <w:rPr>
          <w:rFonts w:ascii="Times" w:hAnsi="Times"/>
        </w:rPr>
        <w:t xml:space="preserve">, įvyko keli aukščiausio lygio vizitai ir svarbių datų minėjimai: </w:t>
      </w:r>
      <w:r w:rsidRPr="00E019C8">
        <w:rPr>
          <w:rFonts w:ascii="Times" w:hAnsi="Times"/>
          <w:szCs w:val="24"/>
        </w:rPr>
        <w:t xml:space="preserve">610-ųjų Žalgirio mūšio metinių ceremonija, pirmasis „Liublino trikampio“ susitikimas, pirmoji Lietuvos ir Lenkijos gynybos ministrų taryba, </w:t>
      </w:r>
      <w:r>
        <w:rPr>
          <w:rFonts w:ascii="Times" w:hAnsi="Times"/>
          <w:szCs w:val="24"/>
        </w:rPr>
        <w:t>bendras dviejų Vyriausybių</w:t>
      </w:r>
      <w:r w:rsidRPr="00E019C8">
        <w:rPr>
          <w:rFonts w:ascii="Times" w:hAnsi="Times"/>
          <w:szCs w:val="24"/>
        </w:rPr>
        <w:t xml:space="preserve"> posėdis, dalyvaujant premjerams, per 20 ministrų, vyriausybių kancleriams. Susitikimo metu pasirašyta Lietuvos ir Lenkijos vyriausybių deklaracija dėl strateginės partnerystės ir Baltarusijos, </w:t>
      </w:r>
      <w:r>
        <w:rPr>
          <w:rFonts w:ascii="Times" w:hAnsi="Times"/>
          <w:szCs w:val="24"/>
        </w:rPr>
        <w:t>išsamus</w:t>
      </w:r>
      <w:r w:rsidRPr="00E019C8">
        <w:rPr>
          <w:rFonts w:ascii="Times" w:hAnsi="Times"/>
          <w:szCs w:val="24"/>
        </w:rPr>
        <w:t xml:space="preserve"> veiksmų planas dėl bendradarbiavimo švietimo srityje, susitarimai tarp AB „Lietuvos geležinkeliai“ ir Lenkijos geležinkelių kompanijos PKP. Met</w:t>
      </w:r>
      <w:r w:rsidRPr="00E019C8">
        <w:rPr>
          <w:rFonts w:ascii="Times" w:hAnsi="Times"/>
        </w:rPr>
        <w:t>ų</w:t>
      </w:r>
      <w:r w:rsidRPr="00E019C8">
        <w:rPr>
          <w:rFonts w:ascii="Times" w:hAnsi="Times"/>
          <w:szCs w:val="24"/>
        </w:rPr>
        <w:t xml:space="preserve"> pabaigą vainikavo Lenkijos Prezidento A. </w:t>
      </w:r>
      <w:proofErr w:type="spellStart"/>
      <w:r w:rsidRPr="00E019C8">
        <w:rPr>
          <w:rFonts w:ascii="Times" w:hAnsi="Times"/>
          <w:szCs w:val="24"/>
        </w:rPr>
        <w:t>Dudos</w:t>
      </w:r>
      <w:proofErr w:type="spellEnd"/>
      <w:r w:rsidRPr="00E019C8">
        <w:rPr>
          <w:rFonts w:ascii="Times" w:hAnsi="Times"/>
          <w:szCs w:val="24"/>
        </w:rPr>
        <w:t xml:space="preserve"> vizitas Lietuvoje.</w:t>
      </w:r>
    </w:p>
    <w:p w14:paraId="543785ED" w14:textId="77777777" w:rsidR="008B10FF" w:rsidRDefault="008B10FF" w:rsidP="00E660EB">
      <w:pPr>
        <w:spacing w:line="250" w:lineRule="auto"/>
        <w:ind w:firstLine="709"/>
        <w:jc w:val="both"/>
        <w:rPr>
          <w:rFonts w:ascii="Times" w:hAnsi="Times"/>
          <w:szCs w:val="24"/>
        </w:rPr>
      </w:pPr>
      <w:r w:rsidRPr="00E019C8">
        <w:rPr>
          <w:rFonts w:ascii="Times" w:hAnsi="Times"/>
          <w:szCs w:val="24"/>
        </w:rPr>
        <w:t>2020 m. vyko aktyvus bendradarbiavimas gynybos ir saugumo srityje tiek NATO, tiek dvišaliu pagrindu, tiek ir įtraukiant Ukrainą (LITPOLUKRBRIG). Kartu su Lenkija buvo siekiama transatlantinio ryšio stiprinimo ir JAV įsitraukimo į Baltijos regiono saugumo architektūrą tęstinumo.</w:t>
      </w:r>
      <w:r w:rsidRPr="003F400A">
        <w:rPr>
          <w:rFonts w:ascii="Times" w:hAnsi="Times"/>
          <w:szCs w:val="24"/>
        </w:rPr>
        <w:t xml:space="preserve"> </w:t>
      </w:r>
      <w:r>
        <w:rPr>
          <w:rFonts w:ascii="Times" w:hAnsi="Times"/>
          <w:szCs w:val="24"/>
        </w:rPr>
        <w:t>Toliau buvo įgyvendinami s</w:t>
      </w:r>
      <w:r w:rsidRPr="003F400A">
        <w:rPr>
          <w:rFonts w:ascii="Times" w:hAnsi="Times"/>
          <w:szCs w:val="24"/>
        </w:rPr>
        <w:t xml:space="preserve">trateginės energetikos ir transporto infrastruktūros projektai: Via </w:t>
      </w:r>
      <w:proofErr w:type="spellStart"/>
      <w:r w:rsidRPr="003F400A">
        <w:rPr>
          <w:rFonts w:ascii="Times" w:hAnsi="Times"/>
          <w:szCs w:val="24"/>
        </w:rPr>
        <w:t>Baltica</w:t>
      </w:r>
      <w:proofErr w:type="spellEnd"/>
      <w:r w:rsidRPr="003F400A">
        <w:rPr>
          <w:rFonts w:ascii="Times" w:hAnsi="Times"/>
          <w:szCs w:val="24"/>
        </w:rPr>
        <w:t xml:space="preserve"> ir </w:t>
      </w:r>
      <w:proofErr w:type="spellStart"/>
      <w:r w:rsidRPr="003F400A">
        <w:rPr>
          <w:rFonts w:ascii="Times" w:hAnsi="Times"/>
          <w:szCs w:val="24"/>
        </w:rPr>
        <w:t>Rail</w:t>
      </w:r>
      <w:proofErr w:type="spellEnd"/>
      <w:r w:rsidRPr="003F400A">
        <w:rPr>
          <w:rFonts w:ascii="Times" w:hAnsi="Times"/>
          <w:szCs w:val="24"/>
        </w:rPr>
        <w:t xml:space="preserve"> </w:t>
      </w:r>
      <w:proofErr w:type="spellStart"/>
      <w:r w:rsidRPr="003F400A">
        <w:rPr>
          <w:rFonts w:ascii="Times" w:hAnsi="Times"/>
          <w:szCs w:val="24"/>
        </w:rPr>
        <w:t>Baltica</w:t>
      </w:r>
      <w:proofErr w:type="spellEnd"/>
      <w:r w:rsidRPr="003F400A">
        <w:rPr>
          <w:rFonts w:ascii="Times" w:hAnsi="Times"/>
          <w:szCs w:val="24"/>
        </w:rPr>
        <w:t xml:space="preserve">, dujų jungčių projektai, Lietuvos ir kitų Baltijos valstybių energetikos sistemų sinchronizacija su kontinentinės Europos tinklais per Lenkiją. </w:t>
      </w:r>
    </w:p>
    <w:p w14:paraId="7119C4AA" w14:textId="77777777" w:rsidR="008B10FF" w:rsidRPr="007B5703" w:rsidRDefault="008B10FF" w:rsidP="00E660EB">
      <w:pPr>
        <w:spacing w:line="250" w:lineRule="auto"/>
        <w:ind w:firstLine="709"/>
        <w:jc w:val="both"/>
        <w:rPr>
          <w:szCs w:val="24"/>
        </w:rPr>
      </w:pPr>
      <w:r w:rsidRPr="003F400A">
        <w:rPr>
          <w:szCs w:val="24"/>
        </w:rPr>
        <w:t>Nepaisant išstojim</w:t>
      </w:r>
      <w:r>
        <w:rPr>
          <w:szCs w:val="24"/>
        </w:rPr>
        <w:t>o</w:t>
      </w:r>
      <w:r w:rsidRPr="003F400A">
        <w:rPr>
          <w:szCs w:val="24"/>
        </w:rPr>
        <w:t xml:space="preserve"> iš ES, </w:t>
      </w:r>
      <w:r w:rsidRPr="003F400A">
        <w:rPr>
          <w:b/>
          <w:szCs w:val="24"/>
        </w:rPr>
        <w:t>J</w:t>
      </w:r>
      <w:r>
        <w:rPr>
          <w:b/>
          <w:szCs w:val="24"/>
        </w:rPr>
        <w:t>K</w:t>
      </w:r>
      <w:r w:rsidRPr="003F400A">
        <w:rPr>
          <w:szCs w:val="24"/>
        </w:rPr>
        <w:t xml:space="preserve"> išlaiko bendrą užsienio politikos kryptį, </w:t>
      </w:r>
      <w:r>
        <w:rPr>
          <w:szCs w:val="24"/>
        </w:rPr>
        <w:t>yra</w:t>
      </w:r>
      <w:r w:rsidRPr="003F400A">
        <w:rPr>
          <w:szCs w:val="24"/>
        </w:rPr>
        <w:t xml:space="preserve"> aktyvi Baltijos regiono saugum</w:t>
      </w:r>
      <w:r>
        <w:rPr>
          <w:szCs w:val="24"/>
        </w:rPr>
        <w:t>o</w:t>
      </w:r>
      <w:r w:rsidRPr="00880CF5">
        <w:rPr>
          <w:szCs w:val="24"/>
        </w:rPr>
        <w:t xml:space="preserve"> </w:t>
      </w:r>
      <w:r w:rsidRPr="003F400A">
        <w:rPr>
          <w:szCs w:val="24"/>
        </w:rPr>
        <w:t xml:space="preserve">donorė. Per pastaruosius metus Lietuva glaudžiai bendradarbiavo su JK saugumo </w:t>
      </w:r>
      <w:r w:rsidRPr="007B5703">
        <w:rPr>
          <w:szCs w:val="24"/>
        </w:rPr>
        <w:t xml:space="preserve">ir gynybos, </w:t>
      </w:r>
      <w:r w:rsidRPr="007B5703">
        <w:rPr>
          <w:szCs w:val="24"/>
        </w:rPr>
        <w:lastRenderedPageBreak/>
        <w:t xml:space="preserve">sankcijų, santykių su Rusija, Baltarusija, paramos Ukrainai, </w:t>
      </w:r>
      <w:proofErr w:type="spellStart"/>
      <w:r w:rsidRPr="007B5703">
        <w:rPr>
          <w:szCs w:val="24"/>
        </w:rPr>
        <w:t>Sakartvelui</w:t>
      </w:r>
      <w:proofErr w:type="spellEnd"/>
      <w:r w:rsidRPr="007B5703">
        <w:rPr>
          <w:szCs w:val="24"/>
        </w:rPr>
        <w:t xml:space="preserve"> ir kitais klausimais. Aktyviai dirbama ir NATO. Nors COVID-19 pandemija apsunkino bendravimą, 2020 m. su darbo vizitais JK viešėjo L</w:t>
      </w:r>
      <w:r>
        <w:rPr>
          <w:szCs w:val="24"/>
        </w:rPr>
        <w:t>ietuvos Respublikos</w:t>
      </w:r>
      <w:r w:rsidRPr="007B5703">
        <w:rPr>
          <w:szCs w:val="24"/>
        </w:rPr>
        <w:t xml:space="preserve"> užsienio reikalų ir finansų ministrai.</w:t>
      </w:r>
    </w:p>
    <w:p w14:paraId="049A995C" w14:textId="77777777" w:rsidR="008B10FF" w:rsidRPr="007B5703" w:rsidRDefault="008B10FF" w:rsidP="00E660EB">
      <w:pPr>
        <w:pStyle w:val="prastasiniatinklio"/>
        <w:spacing w:before="0" w:beforeAutospacing="0" w:after="0" w:afterAutospacing="0" w:line="250" w:lineRule="auto"/>
        <w:ind w:firstLine="709"/>
        <w:jc w:val="both"/>
        <w:rPr>
          <w:color w:val="000000" w:themeColor="text1"/>
          <w:lang w:val="lt-LT"/>
        </w:rPr>
      </w:pPr>
      <w:r w:rsidRPr="007B5703">
        <w:rPr>
          <w:color w:val="000000" w:themeColor="text1"/>
          <w:lang w:val="lt-LT"/>
        </w:rPr>
        <w:t xml:space="preserve">2020 m. Lietuva toliau aktyviai prisidėjo prie </w:t>
      </w:r>
      <w:r w:rsidRPr="007B5703">
        <w:rPr>
          <w:b/>
          <w:color w:val="000000" w:themeColor="text1"/>
          <w:lang w:val="lt-LT"/>
        </w:rPr>
        <w:t>JK</w:t>
      </w:r>
      <w:r w:rsidRPr="007B5703">
        <w:rPr>
          <w:color w:val="000000" w:themeColor="text1"/>
          <w:lang w:val="lt-LT"/>
        </w:rPr>
        <w:t xml:space="preserve"> vadovaujamų Jungtinių ekspedicinių pajėgų (angl. </w:t>
      </w:r>
      <w:proofErr w:type="spellStart"/>
      <w:r w:rsidRPr="007B5703">
        <w:rPr>
          <w:i/>
          <w:color w:val="000000" w:themeColor="text1"/>
          <w:lang w:val="lt-LT"/>
        </w:rPr>
        <w:t>Joint</w:t>
      </w:r>
      <w:proofErr w:type="spellEnd"/>
      <w:r w:rsidRPr="007B5703">
        <w:rPr>
          <w:i/>
          <w:color w:val="000000" w:themeColor="text1"/>
          <w:lang w:val="lt-LT"/>
        </w:rPr>
        <w:t xml:space="preserve"> </w:t>
      </w:r>
      <w:proofErr w:type="spellStart"/>
      <w:r w:rsidRPr="007B5703">
        <w:rPr>
          <w:i/>
          <w:color w:val="000000" w:themeColor="text1"/>
          <w:lang w:val="lt-LT"/>
        </w:rPr>
        <w:t>Expeditionary</w:t>
      </w:r>
      <w:proofErr w:type="spellEnd"/>
      <w:r w:rsidRPr="007B5703">
        <w:rPr>
          <w:i/>
          <w:color w:val="000000" w:themeColor="text1"/>
          <w:lang w:val="lt-LT"/>
        </w:rPr>
        <w:t xml:space="preserve"> </w:t>
      </w:r>
      <w:proofErr w:type="spellStart"/>
      <w:r w:rsidRPr="007B5703">
        <w:rPr>
          <w:i/>
          <w:color w:val="000000" w:themeColor="text1"/>
          <w:lang w:val="lt-LT"/>
        </w:rPr>
        <w:t>Forces</w:t>
      </w:r>
      <w:proofErr w:type="spellEnd"/>
      <w:r w:rsidRPr="007B5703">
        <w:rPr>
          <w:color w:val="000000" w:themeColor="text1"/>
          <w:lang w:val="lt-LT"/>
        </w:rPr>
        <w:t>, toliau – JEF) vystymo. 2020 m. buvo yp</w:t>
      </w:r>
      <w:r>
        <w:rPr>
          <w:color w:val="000000" w:themeColor="text1"/>
          <w:lang w:val="lt-LT"/>
        </w:rPr>
        <w:t>ač</w:t>
      </w:r>
      <w:r w:rsidRPr="007B5703">
        <w:rPr>
          <w:color w:val="000000" w:themeColor="text1"/>
          <w:lang w:val="lt-LT"/>
        </w:rPr>
        <w:t xml:space="preserve"> svarbūs rengiant strateginius operacinius JEF dokumentus, tokius kaip JEF Direktyva, JEF Operacinės studijos (patvirtintos) ir JEF politinės gairės. JEF šiemet surengė pratybas „</w:t>
      </w:r>
      <w:proofErr w:type="spellStart"/>
      <w:r w:rsidRPr="007B5703">
        <w:rPr>
          <w:color w:val="000000" w:themeColor="text1"/>
          <w:lang w:val="lt-LT"/>
        </w:rPr>
        <w:t>Joint</w:t>
      </w:r>
      <w:proofErr w:type="spellEnd"/>
      <w:r w:rsidRPr="007B5703">
        <w:rPr>
          <w:color w:val="000000" w:themeColor="text1"/>
          <w:lang w:val="lt-LT"/>
        </w:rPr>
        <w:t xml:space="preserve"> </w:t>
      </w:r>
      <w:proofErr w:type="spellStart"/>
      <w:r w:rsidRPr="007B5703">
        <w:rPr>
          <w:color w:val="000000" w:themeColor="text1"/>
          <w:lang w:val="lt-LT"/>
        </w:rPr>
        <w:t>Quest</w:t>
      </w:r>
      <w:proofErr w:type="spellEnd"/>
      <w:r w:rsidRPr="007B5703">
        <w:rPr>
          <w:color w:val="000000" w:themeColor="text1"/>
          <w:lang w:val="lt-LT"/>
        </w:rPr>
        <w:t xml:space="preserve">“, kurių metu buvo pristatomos inovacijos, padedančios įgyti informacinį pranašumą ir pritaikyti </w:t>
      </w:r>
      <w:r>
        <w:rPr>
          <w:color w:val="000000" w:themeColor="text1"/>
          <w:lang w:val="lt-LT"/>
        </w:rPr>
        <w:t xml:space="preserve">jas </w:t>
      </w:r>
      <w:r w:rsidRPr="007B5703">
        <w:rPr>
          <w:color w:val="000000" w:themeColor="text1"/>
          <w:lang w:val="lt-LT"/>
        </w:rPr>
        <w:t xml:space="preserve">sprendimų priėmimo procese. </w:t>
      </w:r>
      <w:r w:rsidRPr="007B5703">
        <w:rPr>
          <w:rFonts w:eastAsiaTheme="minorEastAsia"/>
          <w:color w:val="000000" w:themeColor="text1"/>
          <w:kern w:val="24"/>
          <w:lang w:val="lt-LT"/>
        </w:rPr>
        <w:t xml:space="preserve">2020 m. pagal patvirtintą mandatą Lietuva JEF skyrė pėstininkų kuopą. </w:t>
      </w:r>
    </w:p>
    <w:p w14:paraId="39FA0B9B" w14:textId="77777777" w:rsidR="008B10FF" w:rsidRPr="003F400A" w:rsidRDefault="008B10FF" w:rsidP="00E660EB">
      <w:pPr>
        <w:spacing w:line="250" w:lineRule="auto"/>
        <w:ind w:firstLine="709"/>
        <w:jc w:val="both"/>
        <w:rPr>
          <w:szCs w:val="24"/>
        </w:rPr>
      </w:pPr>
      <w:r w:rsidRPr="007B5703">
        <w:rPr>
          <w:szCs w:val="24"/>
        </w:rPr>
        <w:t xml:space="preserve">2020 m. buvo intensyvūs Lietuvos dvišaliai santykiai su </w:t>
      </w:r>
      <w:r w:rsidRPr="007B5703">
        <w:rPr>
          <w:b/>
          <w:szCs w:val="24"/>
        </w:rPr>
        <w:t>Prancūzija</w:t>
      </w:r>
      <w:r w:rsidRPr="007B5703">
        <w:rPr>
          <w:szCs w:val="24"/>
        </w:rPr>
        <w:t>. Lietuvos Respublikos užsienio reikalų ministras 2020 m. vasar</w:t>
      </w:r>
      <w:r>
        <w:rPr>
          <w:szCs w:val="24"/>
        </w:rPr>
        <w:t>į</w:t>
      </w:r>
      <w:r w:rsidRPr="007B5703">
        <w:rPr>
          <w:szCs w:val="24"/>
        </w:rPr>
        <w:t xml:space="preserve"> su vizitu lankėsi Paryžiuje</w:t>
      </w:r>
      <w:r>
        <w:rPr>
          <w:szCs w:val="24"/>
        </w:rPr>
        <w:t xml:space="preserve"> ir</w:t>
      </w:r>
      <w:r w:rsidRPr="007B5703">
        <w:rPr>
          <w:szCs w:val="24"/>
        </w:rPr>
        <w:t xml:space="preserve"> susitiko su Europos ir užsienio reikalų</w:t>
      </w:r>
      <w:r w:rsidRPr="003F400A">
        <w:rPr>
          <w:szCs w:val="24"/>
        </w:rPr>
        <w:t xml:space="preserve"> ministru J.-Y. </w:t>
      </w:r>
      <w:proofErr w:type="spellStart"/>
      <w:r w:rsidRPr="003F400A">
        <w:rPr>
          <w:szCs w:val="24"/>
        </w:rPr>
        <w:t>Le</w:t>
      </w:r>
      <w:proofErr w:type="spellEnd"/>
      <w:r w:rsidRPr="003F400A">
        <w:rPr>
          <w:szCs w:val="24"/>
        </w:rPr>
        <w:t xml:space="preserve"> </w:t>
      </w:r>
      <w:proofErr w:type="spellStart"/>
      <w:r w:rsidRPr="003F400A">
        <w:rPr>
          <w:szCs w:val="24"/>
        </w:rPr>
        <w:t>Drian</w:t>
      </w:r>
      <w:r>
        <w:rPr>
          <w:szCs w:val="24"/>
        </w:rPr>
        <w:t>‘u</w:t>
      </w:r>
      <w:proofErr w:type="spellEnd"/>
      <w:r w:rsidRPr="003F400A">
        <w:rPr>
          <w:szCs w:val="24"/>
        </w:rPr>
        <w:t>. Svarbiausias metų įvykis – Prancūzijos Prezidento vizitas Lietuvoje</w:t>
      </w:r>
      <w:r>
        <w:rPr>
          <w:szCs w:val="24"/>
        </w:rPr>
        <w:t xml:space="preserve">. Prancūzijos Prezidentas </w:t>
      </w:r>
      <w:r w:rsidRPr="003F400A">
        <w:rPr>
          <w:szCs w:val="24"/>
        </w:rPr>
        <w:t>taip pat aplankė prancūzų karius Rukloje. Kartu buvo atvykę gynybos, Europos ir užsienio reikalų ministrai, vyko dvišaliai susitikimai, verslo forumas. Pasirašytas atnaujintas Lietuvos</w:t>
      </w:r>
      <w:r>
        <w:rPr>
          <w:szCs w:val="24"/>
        </w:rPr>
        <w:t xml:space="preserve"> ir </w:t>
      </w:r>
      <w:r w:rsidRPr="003F400A">
        <w:rPr>
          <w:szCs w:val="24"/>
        </w:rPr>
        <w:t>Prancūzijos strateginės partnerystės veiksmų planas 2020</w:t>
      </w:r>
      <w:r>
        <w:rPr>
          <w:bCs/>
          <w:color w:val="000000" w:themeColor="text1"/>
          <w:szCs w:val="24"/>
        </w:rPr>
        <w:t>–</w:t>
      </w:r>
      <w:r w:rsidRPr="003F400A">
        <w:rPr>
          <w:szCs w:val="24"/>
        </w:rPr>
        <w:t xml:space="preserve">2024 m., kuriame daug dėmesio skiriama bendradarbiavimui saugumo ir gynybos srityse: Prancūzijos įsipareigojimai prisidėti prie Lietuvos atgrasymo priemonių užtikrinimo (dalyvavimas NATO </w:t>
      </w:r>
      <w:proofErr w:type="spellStart"/>
      <w:r w:rsidRPr="003F400A">
        <w:rPr>
          <w:szCs w:val="24"/>
        </w:rPr>
        <w:t>eFP</w:t>
      </w:r>
      <w:proofErr w:type="spellEnd"/>
      <w:r w:rsidRPr="003F400A">
        <w:rPr>
          <w:szCs w:val="24"/>
        </w:rPr>
        <w:t xml:space="preserve"> bataliono sudėtyje, NATO oro policijos misijose ir pan.), bendradarbiavimas tarptautinių misijų ir operacijų srityje, bendras įsipareigojimas stiprinti transatlantinį bendradarbiavimą </w:t>
      </w:r>
      <w:r>
        <w:rPr>
          <w:szCs w:val="24"/>
        </w:rPr>
        <w:t>ir</w:t>
      </w:r>
      <w:r w:rsidRPr="003F400A">
        <w:rPr>
          <w:szCs w:val="24"/>
        </w:rPr>
        <w:t xml:space="preserve"> Europos pajėgumus papildant NATO, palaikyti strateginį dialogą gynybos ir saugumo klausimais, tęsti bendradarbiavimą karinių pajėgumų, pratybų, hibridinių grėsmių ir kovos su dezinformacija, masinio naikinimo ginklų neplatinimo, nusiginklavimo ir ginklų kontrolės bei kovos su terorizmu srityse. Išlieka Lietuvos ir Prancūzijos požiūrių skirtumai į Prancūzijos propaguojamą Europos „strateginę autonomiją“ </w:t>
      </w:r>
      <w:r>
        <w:rPr>
          <w:szCs w:val="24"/>
        </w:rPr>
        <w:t>ir</w:t>
      </w:r>
      <w:r w:rsidRPr="003F400A">
        <w:rPr>
          <w:szCs w:val="24"/>
        </w:rPr>
        <w:t xml:space="preserve"> raginimą užmegzti dialogą su Rusija. Šiuo atveju svarbu siekti, kad „strateginės autonomijos“ iniciatyvos įgyvendinimas </w:t>
      </w:r>
      <w:r w:rsidRPr="00886625">
        <w:rPr>
          <w:szCs w:val="24"/>
        </w:rPr>
        <w:t>nevyktų aukojant transatlantinius santykius, o</w:t>
      </w:r>
      <w:r w:rsidRPr="003F400A">
        <w:rPr>
          <w:szCs w:val="24"/>
        </w:rPr>
        <w:t xml:space="preserve"> dialogas su Rusija turėtų aiškius tikslus </w:t>
      </w:r>
      <w:r>
        <w:rPr>
          <w:szCs w:val="24"/>
        </w:rPr>
        <w:t>ir</w:t>
      </w:r>
      <w:r w:rsidRPr="003F400A">
        <w:rPr>
          <w:szCs w:val="24"/>
        </w:rPr>
        <w:t xml:space="preserve"> turinį, būtų abipusiškas.</w:t>
      </w:r>
    </w:p>
    <w:p w14:paraId="489C0117" w14:textId="77777777" w:rsidR="008B10FF" w:rsidRPr="00EC6BAD" w:rsidRDefault="008B10FF" w:rsidP="00E660EB">
      <w:pPr>
        <w:tabs>
          <w:tab w:val="left" w:pos="567"/>
        </w:tabs>
        <w:spacing w:line="250" w:lineRule="auto"/>
        <w:ind w:firstLine="709"/>
        <w:jc w:val="both"/>
        <w:rPr>
          <w:color w:val="000000" w:themeColor="text1"/>
          <w:szCs w:val="24"/>
        </w:rPr>
      </w:pPr>
      <w:r w:rsidRPr="00EC6BAD">
        <w:rPr>
          <w:b/>
          <w:color w:val="000000" w:themeColor="text1"/>
          <w:szCs w:val="24"/>
        </w:rPr>
        <w:t>Baltijos šalys</w:t>
      </w:r>
      <w:r w:rsidRPr="00EC6BAD">
        <w:rPr>
          <w:color w:val="000000" w:themeColor="text1"/>
          <w:szCs w:val="24"/>
        </w:rPr>
        <w:t xml:space="preserve"> aktyviai koordinavo pozicijas</w:t>
      </w:r>
      <w:r>
        <w:rPr>
          <w:color w:val="000000" w:themeColor="text1"/>
          <w:szCs w:val="24"/>
        </w:rPr>
        <w:t>, norėdamos</w:t>
      </w:r>
      <w:r w:rsidRPr="00EC6BAD">
        <w:rPr>
          <w:color w:val="000000" w:themeColor="text1"/>
          <w:szCs w:val="24"/>
        </w:rPr>
        <w:t xml:space="preserve"> užsitikrin</w:t>
      </w:r>
      <w:r>
        <w:rPr>
          <w:color w:val="000000" w:themeColor="text1"/>
          <w:szCs w:val="24"/>
        </w:rPr>
        <w:t>ti</w:t>
      </w:r>
      <w:r w:rsidRPr="00EC6BAD">
        <w:rPr>
          <w:color w:val="000000" w:themeColor="text1"/>
          <w:szCs w:val="24"/>
        </w:rPr>
        <w:t xml:space="preserve"> </w:t>
      </w:r>
      <w:r>
        <w:rPr>
          <w:color w:val="000000" w:themeColor="text1"/>
          <w:szCs w:val="24"/>
        </w:rPr>
        <w:t>JAV</w:t>
      </w:r>
      <w:r w:rsidRPr="00EC6BAD">
        <w:rPr>
          <w:color w:val="000000" w:themeColor="text1"/>
          <w:szCs w:val="24"/>
        </w:rPr>
        <w:t xml:space="preserve"> paramą saugumo ir gynybos pajėgumų vystymui Baltijos šalyse, siekė bendrų </w:t>
      </w:r>
      <w:r>
        <w:rPr>
          <w:color w:val="000000" w:themeColor="text1"/>
          <w:szCs w:val="24"/>
        </w:rPr>
        <w:t>ir</w:t>
      </w:r>
      <w:r w:rsidRPr="00EC6BAD">
        <w:rPr>
          <w:color w:val="000000" w:themeColor="text1"/>
          <w:szCs w:val="24"/>
        </w:rPr>
        <w:t xml:space="preserve"> regionui palankių tikslų įgyvendinimo NATO, </w:t>
      </w:r>
      <w:r>
        <w:rPr>
          <w:color w:val="000000" w:themeColor="text1"/>
          <w:szCs w:val="24"/>
        </w:rPr>
        <w:t>ES</w:t>
      </w:r>
      <w:r w:rsidRPr="00EC6BAD">
        <w:rPr>
          <w:color w:val="000000" w:themeColor="text1"/>
          <w:szCs w:val="24"/>
        </w:rPr>
        <w:t xml:space="preserve"> ir kitose regionin</w:t>
      </w:r>
      <w:r>
        <w:rPr>
          <w:color w:val="000000" w:themeColor="text1"/>
          <w:szCs w:val="24"/>
        </w:rPr>
        <w:t>ė</w:t>
      </w:r>
      <w:r w:rsidRPr="00EC6BAD">
        <w:rPr>
          <w:color w:val="000000" w:themeColor="text1"/>
          <w:szCs w:val="24"/>
        </w:rPr>
        <w:t xml:space="preserve">se </w:t>
      </w:r>
      <w:r>
        <w:rPr>
          <w:color w:val="000000" w:themeColor="text1"/>
          <w:szCs w:val="24"/>
        </w:rPr>
        <w:t>organizacijose</w:t>
      </w:r>
      <w:r w:rsidRPr="00EC6BAD">
        <w:rPr>
          <w:color w:val="000000" w:themeColor="text1"/>
          <w:szCs w:val="24"/>
        </w:rPr>
        <w:t xml:space="preserve">. Tęsiant bendradarbiavimą su Latvija ir Estija gynybos ir saugumo srityje, toliau buvo vystomi dvišaliai ir trišaliai projektai, bendradarbiaujama NATO Baltijos oro policijos, specialiųjų operacijų pajėgų, regioninės oro gynybos ir jūrų stebėjimo pajėgumų vystymo, bendrų pratybų </w:t>
      </w:r>
      <w:r>
        <w:rPr>
          <w:color w:val="000000" w:themeColor="text1"/>
          <w:szCs w:val="24"/>
        </w:rPr>
        <w:t>ir</w:t>
      </w:r>
      <w:r w:rsidRPr="00EC6BAD">
        <w:rPr>
          <w:color w:val="000000" w:themeColor="text1"/>
          <w:szCs w:val="24"/>
        </w:rPr>
        <w:t xml:space="preserve"> kitose srityse. </w:t>
      </w:r>
      <w:r w:rsidRPr="00D376AC">
        <w:rPr>
          <w:color w:val="000000" w:themeColor="text1"/>
          <w:szCs w:val="24"/>
        </w:rPr>
        <w:t>2020 m. bendras Baltijos šalių batalionas budėjo NATO greitojo reagavimo pajėgose. Nuo 2020 m. sausio 1 d. pradėjo veikti nauja Baltijos šalių oro erdvės stebėjimo ir kontrolės sistema, toliau vystytas regioninio jūrinės situacijos suvokimo pajėgumas. Baltijos</w:t>
      </w:r>
      <w:r w:rsidRPr="00EC6BAD">
        <w:rPr>
          <w:color w:val="000000" w:themeColor="text1"/>
          <w:szCs w:val="24"/>
        </w:rPr>
        <w:t xml:space="preserve"> šalys toliau vykdė pajėgumų planavimo sinchronizavimą, koordinavo bendrus įsigijimus, rengė bendras pratybas ir mokymus. </w:t>
      </w:r>
      <w:r>
        <w:rPr>
          <w:color w:val="000000" w:themeColor="text1"/>
          <w:szCs w:val="24"/>
        </w:rPr>
        <w:t xml:space="preserve"> </w:t>
      </w:r>
    </w:p>
    <w:p w14:paraId="23E2A9A5" w14:textId="77777777" w:rsidR="008B10FF" w:rsidRDefault="008B10FF" w:rsidP="00E660EB">
      <w:pPr>
        <w:spacing w:line="250" w:lineRule="auto"/>
        <w:ind w:firstLine="709"/>
        <w:jc w:val="both"/>
        <w:rPr>
          <w:color w:val="000000"/>
          <w:szCs w:val="24"/>
        </w:rPr>
      </w:pPr>
      <w:r w:rsidRPr="003F400A">
        <w:rPr>
          <w:szCs w:val="24"/>
        </w:rPr>
        <w:t>2020 m.</w:t>
      </w:r>
      <w:r w:rsidRPr="003F400A">
        <w:rPr>
          <w:b/>
          <w:szCs w:val="24"/>
        </w:rPr>
        <w:t xml:space="preserve"> Baltijos valstybės </w:t>
      </w:r>
      <w:r w:rsidRPr="003F400A">
        <w:rPr>
          <w:szCs w:val="24"/>
        </w:rPr>
        <w:t>intensyviai bendradarbiavo įgyvendindamos bendrus trišalius infrastruktūrinius projektus, tokius kaip „</w:t>
      </w:r>
      <w:proofErr w:type="spellStart"/>
      <w:r w:rsidRPr="003F400A">
        <w:rPr>
          <w:szCs w:val="24"/>
        </w:rPr>
        <w:t>Rail</w:t>
      </w:r>
      <w:proofErr w:type="spellEnd"/>
      <w:r w:rsidRPr="003F400A">
        <w:rPr>
          <w:szCs w:val="24"/>
        </w:rPr>
        <w:t xml:space="preserve"> </w:t>
      </w:r>
      <w:proofErr w:type="spellStart"/>
      <w:r w:rsidRPr="003F400A">
        <w:rPr>
          <w:szCs w:val="24"/>
        </w:rPr>
        <w:t>Baltica</w:t>
      </w:r>
      <w:proofErr w:type="spellEnd"/>
      <w:r w:rsidRPr="003F400A">
        <w:rPr>
          <w:szCs w:val="24"/>
        </w:rPr>
        <w:t>“, buvo sparčiai plėtojamas Baltijos šalių elektros sistemų sinchronizacijos su KET projektas. Nepaisant pandemi</w:t>
      </w:r>
      <w:r>
        <w:rPr>
          <w:szCs w:val="24"/>
        </w:rPr>
        <w:t>jos</w:t>
      </w:r>
      <w:r w:rsidRPr="003F400A">
        <w:rPr>
          <w:szCs w:val="24"/>
        </w:rPr>
        <w:t>, įvyko nemažai ekspertinio ir kel</w:t>
      </w:r>
      <w:r>
        <w:rPr>
          <w:szCs w:val="24"/>
        </w:rPr>
        <w:t>etas</w:t>
      </w:r>
      <w:r w:rsidRPr="003F400A">
        <w:rPr>
          <w:szCs w:val="24"/>
        </w:rPr>
        <w:t xml:space="preserve"> aukščiausio lygio rengini</w:t>
      </w:r>
      <w:r>
        <w:rPr>
          <w:szCs w:val="24"/>
        </w:rPr>
        <w:t>ų, buvo paminėtos</w:t>
      </w:r>
      <w:r w:rsidRPr="003F400A">
        <w:rPr>
          <w:szCs w:val="24"/>
        </w:rPr>
        <w:t xml:space="preserve"> svarbi</w:t>
      </w:r>
      <w:r>
        <w:rPr>
          <w:szCs w:val="24"/>
        </w:rPr>
        <w:t>os</w:t>
      </w:r>
      <w:r w:rsidRPr="003F400A">
        <w:rPr>
          <w:szCs w:val="24"/>
        </w:rPr>
        <w:t xml:space="preserve"> dat</w:t>
      </w:r>
      <w:r>
        <w:rPr>
          <w:szCs w:val="24"/>
        </w:rPr>
        <w:t>os</w:t>
      </w:r>
      <w:r w:rsidRPr="003F400A">
        <w:rPr>
          <w:szCs w:val="24"/>
        </w:rPr>
        <w:t>.</w:t>
      </w:r>
      <w:r>
        <w:rPr>
          <w:szCs w:val="24"/>
        </w:rPr>
        <w:t xml:space="preserve"> </w:t>
      </w:r>
      <w:r w:rsidRPr="003F400A">
        <w:rPr>
          <w:color w:val="000000"/>
          <w:szCs w:val="24"/>
        </w:rPr>
        <w:t xml:space="preserve">Baltijos šalių ministrai pirmininkai per 2020 m. gegužės 6 d. vykusį vaizdo susitikimą tarėsi dėl sienų atidarymo. 2020 m. rugpjūčio 14 d. Vilniuje su vienos dienos darbo vizitu lankėsi Estijos Prezidentė K. </w:t>
      </w:r>
      <w:proofErr w:type="spellStart"/>
      <w:r w:rsidRPr="003F400A">
        <w:rPr>
          <w:color w:val="000000"/>
          <w:szCs w:val="24"/>
        </w:rPr>
        <w:t>Kaljulaid</w:t>
      </w:r>
      <w:proofErr w:type="spellEnd"/>
      <w:r w:rsidRPr="003F400A">
        <w:rPr>
          <w:color w:val="000000"/>
          <w:szCs w:val="24"/>
        </w:rPr>
        <w:t>. Susitikime su Lietuvos Prezidentu G. Nausėda buvo aptarti Lietuvos ir Estijos dvišalio ir daugiašalio bendradarbiavimo klausimai saugumo ir gynybos srityje, energetikos ir transporto infrastruktūros plėtra, Europos Sąjungos darbotvarkė, Rytų partnerystė, Astravo atominės elektrinės problematika ir situacija Baltarusijoje. Rugsėj</w:t>
      </w:r>
      <w:r>
        <w:rPr>
          <w:color w:val="000000"/>
          <w:szCs w:val="24"/>
        </w:rPr>
        <w:t>į</w:t>
      </w:r>
      <w:r w:rsidRPr="003F400A">
        <w:rPr>
          <w:color w:val="000000"/>
          <w:szCs w:val="24"/>
        </w:rPr>
        <w:t xml:space="preserve"> įvyko Lietuvos </w:t>
      </w:r>
      <w:r>
        <w:rPr>
          <w:color w:val="000000"/>
          <w:szCs w:val="24"/>
        </w:rPr>
        <w:t xml:space="preserve">Respublikos užsienio reikalų </w:t>
      </w:r>
      <w:r w:rsidRPr="003F400A">
        <w:rPr>
          <w:color w:val="000000"/>
          <w:szCs w:val="24"/>
        </w:rPr>
        <w:t>ministro darbo vizitas į Latviją, kurio metu vyko kasmetė Baltų apdovanojimo įteikimo ceremonija. 2020 m. lapkričio 6 d. Taline vyko Baltijos Tarybos sesija, kurio</w:t>
      </w:r>
      <w:r>
        <w:rPr>
          <w:color w:val="000000"/>
          <w:szCs w:val="24"/>
        </w:rPr>
        <w:t>je</w:t>
      </w:r>
      <w:r w:rsidRPr="003F400A">
        <w:rPr>
          <w:color w:val="000000"/>
          <w:szCs w:val="24"/>
        </w:rPr>
        <w:t xml:space="preserve"> buvo apžvelgtas Baltijos valstybių bendradarbiavimas, regioninio saugumo ir gynybos klausimai, transatlantinių santykių raida, energetikos, branduolinės saugos ir transporto infrastruktūros aktualijos. Metų pabaigą vainikavo Baltijos ministrų tarybos (BMT) Ministrų Pirmininkų Tarybos nuotolinė sesija</w:t>
      </w:r>
      <w:r>
        <w:rPr>
          <w:color w:val="000000"/>
          <w:szCs w:val="24"/>
        </w:rPr>
        <w:t>,</w:t>
      </w:r>
      <w:r w:rsidRPr="00D21E8D">
        <w:rPr>
          <w:color w:val="000000"/>
          <w:szCs w:val="24"/>
        </w:rPr>
        <w:t xml:space="preserve"> </w:t>
      </w:r>
      <w:r>
        <w:rPr>
          <w:color w:val="000000"/>
          <w:szCs w:val="24"/>
        </w:rPr>
        <w:t>po kurios išplatintas trijų šalių Vyriausybių vadovų bendras pareiškimas</w:t>
      </w:r>
      <w:r w:rsidRPr="003F400A">
        <w:rPr>
          <w:color w:val="000000"/>
          <w:szCs w:val="24"/>
        </w:rPr>
        <w:t>.</w:t>
      </w:r>
      <w:r>
        <w:rPr>
          <w:color w:val="000000"/>
          <w:szCs w:val="24"/>
        </w:rPr>
        <w:t xml:space="preserve"> 2021 m. Baltijos ministrų tarybai pirmininkauja Lietuva.</w:t>
      </w:r>
    </w:p>
    <w:p w14:paraId="4992F40F" w14:textId="77777777" w:rsidR="008B10FF" w:rsidRDefault="008B10FF" w:rsidP="00E660EB">
      <w:pPr>
        <w:spacing w:line="250" w:lineRule="auto"/>
        <w:ind w:firstLine="709"/>
        <w:jc w:val="both"/>
        <w:rPr>
          <w:szCs w:val="24"/>
        </w:rPr>
      </w:pPr>
      <w:r w:rsidRPr="003F400A">
        <w:rPr>
          <w:szCs w:val="24"/>
        </w:rPr>
        <w:t>2020 m</w:t>
      </w:r>
      <w:r>
        <w:rPr>
          <w:szCs w:val="24"/>
        </w:rPr>
        <w:t>.</w:t>
      </w:r>
      <w:r w:rsidRPr="003F400A">
        <w:rPr>
          <w:szCs w:val="24"/>
        </w:rPr>
        <w:t xml:space="preserve"> buvo toliau tęsiamas glaudus ir konstruktyvus </w:t>
      </w:r>
      <w:r w:rsidRPr="003F400A">
        <w:rPr>
          <w:b/>
          <w:szCs w:val="24"/>
        </w:rPr>
        <w:t xml:space="preserve">Šiaurės ir Baltijos valstybių </w:t>
      </w:r>
      <w:bookmarkStart w:id="76" w:name="_Hlk67774624"/>
      <w:r w:rsidRPr="003F400A">
        <w:rPr>
          <w:szCs w:val="24"/>
        </w:rPr>
        <w:t xml:space="preserve">(NB8) </w:t>
      </w:r>
      <w:bookmarkEnd w:id="76"/>
      <w:r w:rsidRPr="003F400A">
        <w:rPr>
          <w:b/>
          <w:szCs w:val="24"/>
        </w:rPr>
        <w:t>bendradarbiavimas</w:t>
      </w:r>
      <w:r w:rsidRPr="003F400A">
        <w:rPr>
          <w:szCs w:val="24"/>
        </w:rPr>
        <w:t xml:space="preserve">, kurio svarbą dar labiau išryškino COVID-19 pandemija. Krizės pradžioje užsienio reikalų ministrų vaizdo susitikimuose kas mėnesį buvo aptariamos ir derinamos kovos su pandemija </w:t>
      </w:r>
      <w:r w:rsidRPr="003F400A">
        <w:rPr>
          <w:szCs w:val="24"/>
        </w:rPr>
        <w:lastRenderedPageBreak/>
        <w:t>priemonės, koordinuojami veiksmai</w:t>
      </w:r>
      <w:r>
        <w:rPr>
          <w:szCs w:val="24"/>
        </w:rPr>
        <w:t>,</w:t>
      </w:r>
      <w:r w:rsidRPr="003F400A">
        <w:rPr>
          <w:szCs w:val="24"/>
        </w:rPr>
        <w:t xml:space="preserve"> siekiant padėti sugrįžti NB8 šalių piliečiams iš užsienio. </w:t>
      </w:r>
      <w:r>
        <w:rPr>
          <w:szCs w:val="24"/>
        </w:rPr>
        <w:t>Be</w:t>
      </w:r>
      <w:r w:rsidRPr="003F400A">
        <w:rPr>
          <w:szCs w:val="24"/>
        </w:rPr>
        <w:t xml:space="preserve"> COVID-19 temos, išlaikant pastarųjų metų tęstinumą, daugiausia dėmesio skirta regiono saugumui, Rytų partnerystei, visų pirma, padėčiai Baltarusijoje ir transatlantiniams santykiams, kibernetiniam saugumui, taip pat bendradarbiavimui ir veiklos koordinavimui Jungtinių Tautų </w:t>
      </w:r>
      <w:r>
        <w:rPr>
          <w:szCs w:val="24"/>
        </w:rPr>
        <w:t>renginiuose</w:t>
      </w:r>
      <w:r w:rsidRPr="003F400A">
        <w:rPr>
          <w:szCs w:val="24"/>
        </w:rPr>
        <w:t xml:space="preserve">. Surengta per dvidešimt susitikimų užsienio ir saugumo politikos temomis (daugelis virtualiai), įskaitant reguliariais tapusius NB8+JAV (E-PINE) susitikimus </w:t>
      </w:r>
      <w:r>
        <w:rPr>
          <w:szCs w:val="24"/>
        </w:rPr>
        <w:t>ir</w:t>
      </w:r>
      <w:r w:rsidRPr="003F400A">
        <w:rPr>
          <w:szCs w:val="24"/>
        </w:rPr>
        <w:t xml:space="preserve"> metinį NB8 ir </w:t>
      </w:r>
      <w:proofErr w:type="spellStart"/>
      <w:r w:rsidRPr="003F400A">
        <w:rPr>
          <w:szCs w:val="24"/>
        </w:rPr>
        <w:t>Višegrado</w:t>
      </w:r>
      <w:proofErr w:type="spellEnd"/>
      <w:r w:rsidRPr="003F400A">
        <w:rPr>
          <w:szCs w:val="24"/>
        </w:rPr>
        <w:t xml:space="preserve"> ketverto užsienio reikalų ministrų susitikimą, parlamento pirmininkų, gynybos ministrų susitikimus. Pirmąkart surengtas už klimato politiką atsakingų NB8 šalių ambasadorių susitikimas.</w:t>
      </w:r>
      <w:r w:rsidRPr="00C7554F">
        <w:rPr>
          <w:szCs w:val="24"/>
        </w:rPr>
        <w:t xml:space="preserve"> </w:t>
      </w:r>
      <w:r w:rsidRPr="003F400A">
        <w:rPr>
          <w:szCs w:val="24"/>
        </w:rPr>
        <w:t>D</w:t>
      </w:r>
      <w:r>
        <w:rPr>
          <w:szCs w:val="24"/>
        </w:rPr>
        <w:t xml:space="preserve">ėl pandemijos </w:t>
      </w:r>
      <w:r w:rsidRPr="003F400A">
        <w:rPr>
          <w:szCs w:val="24"/>
        </w:rPr>
        <w:t xml:space="preserve">teko atidėti planuotus aukščiausio lygio vizitus į Švediją ir Daniją. Rugsėjį, atslūgus pirmajai pandemijos </w:t>
      </w:r>
      <w:r w:rsidRPr="00E019C8">
        <w:rPr>
          <w:szCs w:val="24"/>
        </w:rPr>
        <w:t>bangai, su vizitu Lietuvoje apsilankė Norvegijos Ministrė Pirmininkė. Gruodį įvyko nuotolinis Lietuvos ir Islandijos prezidentų susitikimas.</w:t>
      </w:r>
    </w:p>
    <w:p w14:paraId="25A9CA7A" w14:textId="77777777" w:rsidR="008B10FF" w:rsidRDefault="008B10FF" w:rsidP="00E660EB">
      <w:pPr>
        <w:tabs>
          <w:tab w:val="left" w:pos="567"/>
        </w:tabs>
        <w:spacing w:line="250" w:lineRule="auto"/>
        <w:ind w:firstLine="709"/>
        <w:jc w:val="both"/>
        <w:rPr>
          <w:color w:val="000000" w:themeColor="text1"/>
          <w:szCs w:val="24"/>
        </w:rPr>
      </w:pPr>
      <w:r w:rsidRPr="00EC6BAD">
        <w:rPr>
          <w:color w:val="000000" w:themeColor="text1"/>
          <w:szCs w:val="24"/>
        </w:rPr>
        <w:t xml:space="preserve">Bendradarbiaujant su </w:t>
      </w:r>
      <w:r w:rsidRPr="00EC6BAD">
        <w:rPr>
          <w:b/>
          <w:color w:val="000000" w:themeColor="text1"/>
          <w:szCs w:val="24"/>
        </w:rPr>
        <w:t>Šiaurės šalimis</w:t>
      </w:r>
      <w:r w:rsidRPr="005E550C">
        <w:rPr>
          <w:bCs/>
          <w:color w:val="000000" w:themeColor="text1"/>
          <w:szCs w:val="24"/>
        </w:rPr>
        <w:t>,</w:t>
      </w:r>
      <w:r w:rsidRPr="00EC6BAD">
        <w:rPr>
          <w:b/>
          <w:color w:val="000000" w:themeColor="text1"/>
          <w:szCs w:val="24"/>
        </w:rPr>
        <w:t xml:space="preserve"> </w:t>
      </w:r>
      <w:r w:rsidRPr="004A68D4">
        <w:rPr>
          <w:color w:val="000000" w:themeColor="text1"/>
          <w:szCs w:val="24"/>
        </w:rPr>
        <w:t>aštuonių Šiaurės–Baltijos šalių</w:t>
      </w:r>
      <w:r>
        <w:rPr>
          <w:color w:val="000000" w:themeColor="text1"/>
          <w:szCs w:val="24"/>
        </w:rPr>
        <w:t xml:space="preserve"> (NB8)</w:t>
      </w:r>
      <w:r w:rsidRPr="00EC6BAD">
        <w:rPr>
          <w:color w:val="000000" w:themeColor="text1"/>
          <w:szCs w:val="24"/>
        </w:rPr>
        <w:t xml:space="preserve">, Šiaurės grupės šalių bei NORDEFCO </w:t>
      </w:r>
      <w:r>
        <w:rPr>
          <w:color w:val="000000" w:themeColor="text1"/>
          <w:szCs w:val="24"/>
        </w:rPr>
        <w:t>susitikimuose</w:t>
      </w:r>
      <w:r w:rsidRPr="00EC6BAD">
        <w:rPr>
          <w:color w:val="000000" w:themeColor="text1"/>
          <w:szCs w:val="24"/>
        </w:rPr>
        <w:t xml:space="preserve"> buvo</w:t>
      </w:r>
      <w:r w:rsidRPr="00EC6BAD">
        <w:rPr>
          <w:b/>
          <w:color w:val="000000" w:themeColor="text1"/>
          <w:szCs w:val="24"/>
        </w:rPr>
        <w:t xml:space="preserve"> </w:t>
      </w:r>
      <w:r w:rsidRPr="00EC6BAD">
        <w:rPr>
          <w:color w:val="000000" w:themeColor="text1"/>
          <w:szCs w:val="24"/>
        </w:rPr>
        <w:t>siekiama</w:t>
      </w:r>
      <w:r w:rsidRPr="006C6D99">
        <w:rPr>
          <w:color w:val="000000" w:themeColor="text1"/>
          <w:szCs w:val="24"/>
        </w:rPr>
        <w:t xml:space="preserve"> Šiaurės šal</w:t>
      </w:r>
      <w:r>
        <w:rPr>
          <w:color w:val="000000" w:themeColor="text1"/>
          <w:szCs w:val="24"/>
        </w:rPr>
        <w:t>ių</w:t>
      </w:r>
      <w:r w:rsidRPr="006C6D99">
        <w:rPr>
          <w:color w:val="000000" w:themeColor="text1"/>
          <w:szCs w:val="24"/>
        </w:rPr>
        <w:t xml:space="preserve"> dalyva</w:t>
      </w:r>
      <w:r>
        <w:rPr>
          <w:color w:val="000000" w:themeColor="text1"/>
          <w:szCs w:val="24"/>
        </w:rPr>
        <w:t>vimo</w:t>
      </w:r>
      <w:r w:rsidRPr="006C6D99">
        <w:rPr>
          <w:color w:val="000000" w:themeColor="text1"/>
          <w:szCs w:val="24"/>
        </w:rPr>
        <w:t xml:space="preserve"> NATO saugumo ir atgrasymo priemonėse Lietuvoje bei</w:t>
      </w:r>
      <w:r>
        <w:rPr>
          <w:color w:val="000000" w:themeColor="text1"/>
          <w:szCs w:val="24"/>
        </w:rPr>
        <w:t xml:space="preserve"> jų </w:t>
      </w:r>
      <w:r w:rsidRPr="006C6D99">
        <w:rPr>
          <w:color w:val="000000" w:themeColor="text1"/>
          <w:szCs w:val="24"/>
        </w:rPr>
        <w:t>param</w:t>
      </w:r>
      <w:r>
        <w:rPr>
          <w:color w:val="000000" w:themeColor="text1"/>
          <w:szCs w:val="24"/>
        </w:rPr>
        <w:t>os</w:t>
      </w:r>
      <w:r w:rsidRPr="006C6D99">
        <w:rPr>
          <w:color w:val="000000" w:themeColor="text1"/>
          <w:szCs w:val="24"/>
        </w:rPr>
        <w:t xml:space="preserve"> saugumo ir gynybos pajėgumų vystym</w:t>
      </w:r>
      <w:r>
        <w:rPr>
          <w:color w:val="000000" w:themeColor="text1"/>
          <w:szCs w:val="24"/>
        </w:rPr>
        <w:t>ui</w:t>
      </w:r>
      <w:r w:rsidRPr="006C6D99">
        <w:rPr>
          <w:color w:val="000000" w:themeColor="text1"/>
          <w:szCs w:val="24"/>
        </w:rPr>
        <w:t xml:space="preserve"> Baltijos šalyse. </w:t>
      </w:r>
    </w:p>
    <w:p w14:paraId="7DC97ACA" w14:textId="77777777" w:rsidR="008B10FF" w:rsidRDefault="008B10FF" w:rsidP="00E660EB">
      <w:pPr>
        <w:tabs>
          <w:tab w:val="left" w:pos="567"/>
        </w:tabs>
        <w:spacing w:line="250" w:lineRule="auto"/>
        <w:ind w:firstLine="709"/>
        <w:jc w:val="both"/>
        <w:rPr>
          <w:szCs w:val="24"/>
        </w:rPr>
      </w:pPr>
      <w:r w:rsidRPr="003F400A">
        <w:rPr>
          <w:szCs w:val="24"/>
        </w:rPr>
        <w:t xml:space="preserve">Serbijos ir Kosovo santykių normalizavimas, </w:t>
      </w:r>
      <w:r w:rsidRPr="003F400A">
        <w:rPr>
          <w:b/>
          <w:szCs w:val="24"/>
        </w:rPr>
        <w:t>Vakarų Balkanų regiono šalių</w:t>
      </w:r>
      <w:r w:rsidRPr="003F400A">
        <w:rPr>
          <w:szCs w:val="24"/>
        </w:rPr>
        <w:t xml:space="preserve"> visuomenių susitaikymas, politinės sistemos stabilumas, ES reformų pažanga </w:t>
      </w:r>
      <w:r>
        <w:rPr>
          <w:szCs w:val="24"/>
        </w:rPr>
        <w:t xml:space="preserve">– </w:t>
      </w:r>
      <w:r w:rsidRPr="003F400A">
        <w:rPr>
          <w:szCs w:val="24"/>
        </w:rPr>
        <w:t>svarbiausi iššūkiai Vakarų Balkanų regione. Padėtis Vakarų Balkanuose turi įtakos visos Europos regiono stabilumui ir saugum</w:t>
      </w:r>
      <w:r>
        <w:rPr>
          <w:szCs w:val="24"/>
        </w:rPr>
        <w:t>ui</w:t>
      </w:r>
      <w:r w:rsidRPr="003F400A">
        <w:rPr>
          <w:szCs w:val="24"/>
        </w:rPr>
        <w:t>, todėl svarbu stiprinti dvišalius santykius su Vakarų Balkanų regiono valstybėmis</w:t>
      </w:r>
      <w:r>
        <w:rPr>
          <w:szCs w:val="24"/>
        </w:rPr>
        <w:t>,</w:t>
      </w:r>
      <w:r w:rsidRPr="003F400A">
        <w:rPr>
          <w:szCs w:val="24"/>
        </w:rPr>
        <w:t xml:space="preserve"> aktyviai remti NATO ir ES plėtrą</w:t>
      </w:r>
      <w:r>
        <w:rPr>
          <w:szCs w:val="24"/>
        </w:rPr>
        <w:t>,</w:t>
      </w:r>
      <w:r w:rsidRPr="003F400A">
        <w:rPr>
          <w:szCs w:val="24"/>
        </w:rPr>
        <w:t xml:space="preserve"> stiprinti Vakarų Balkanų šalių euroatlantinės integracijos pastangas ir perduoti Lietuvos patirtį</w:t>
      </w:r>
      <w:r>
        <w:rPr>
          <w:szCs w:val="24"/>
        </w:rPr>
        <w:t>,</w:t>
      </w:r>
      <w:r w:rsidRPr="003F400A">
        <w:rPr>
          <w:szCs w:val="24"/>
        </w:rPr>
        <w:t xml:space="preserve"> stiprinti strateginę komunikaciją atremiant hibridines grėsmes regione.</w:t>
      </w:r>
    </w:p>
    <w:p w14:paraId="35789ABC" w14:textId="77777777" w:rsidR="008B10FF" w:rsidRPr="00EC6BAD" w:rsidRDefault="008B10FF" w:rsidP="00E660EB">
      <w:pPr>
        <w:tabs>
          <w:tab w:val="left" w:pos="567"/>
        </w:tabs>
        <w:spacing w:line="250" w:lineRule="auto"/>
        <w:ind w:firstLine="709"/>
        <w:jc w:val="both"/>
        <w:rPr>
          <w:color w:val="000000" w:themeColor="text1"/>
          <w:szCs w:val="24"/>
        </w:rPr>
      </w:pPr>
      <w:r w:rsidRPr="003F400A">
        <w:rPr>
          <w:szCs w:val="24"/>
        </w:rPr>
        <w:t>Atsižvelg</w:t>
      </w:r>
      <w:r>
        <w:rPr>
          <w:szCs w:val="24"/>
        </w:rPr>
        <w:t>dama</w:t>
      </w:r>
      <w:r w:rsidRPr="003F400A">
        <w:rPr>
          <w:szCs w:val="24"/>
        </w:rPr>
        <w:t xml:space="preserve"> į </w:t>
      </w:r>
      <w:r w:rsidRPr="00103EAD">
        <w:rPr>
          <w:b/>
          <w:bCs/>
          <w:szCs w:val="24"/>
        </w:rPr>
        <w:t>Turkijos</w:t>
      </w:r>
      <w:r w:rsidRPr="003F400A">
        <w:rPr>
          <w:szCs w:val="24"/>
        </w:rPr>
        <w:t>, kaip NATO sąjungininkės</w:t>
      </w:r>
      <w:r>
        <w:rPr>
          <w:szCs w:val="24"/>
        </w:rPr>
        <w:t>,</w:t>
      </w:r>
      <w:r w:rsidRPr="003F400A">
        <w:rPr>
          <w:szCs w:val="24"/>
        </w:rPr>
        <w:t xml:space="preserve"> svarbą, Lietuva sieks ir toliau išlaikyti gerus dvišalius santykius per pozityvią bendradarbiavimo darbotvarkę. Numatoma toliau stiprinti ekonominį bendradarbiavimą, prisidėti prie Turkijos visuomeninių ir nevyriausybinių organizacijų, verslo ir mokslo ryšių stiprinimo per vystomojo bendradarbiavimo projektų įgyvendinimą. Lietuvai taip pat svarbu, kad toliau būtų tęsiamas ES</w:t>
      </w:r>
      <w:r>
        <w:rPr>
          <w:szCs w:val="24"/>
        </w:rPr>
        <w:t xml:space="preserve"> ir </w:t>
      </w:r>
      <w:r w:rsidRPr="003F400A">
        <w:rPr>
          <w:szCs w:val="24"/>
        </w:rPr>
        <w:t>Turkijos politinis dialogas ir bendradarbiavimas tokiose srityse</w:t>
      </w:r>
      <w:r>
        <w:rPr>
          <w:szCs w:val="24"/>
        </w:rPr>
        <w:t>,</w:t>
      </w:r>
      <w:r w:rsidRPr="003F400A">
        <w:rPr>
          <w:szCs w:val="24"/>
        </w:rPr>
        <w:t xml:space="preserve"> kaip migracija, kova su terorizmu, saugumo užtikrinimas, taip pat abipusę naudą teikiantys ekonominiai ryšiai.</w:t>
      </w:r>
    </w:p>
    <w:p w14:paraId="6ED4E1CE" w14:textId="77777777" w:rsidR="008B10FF" w:rsidRPr="00D7774C" w:rsidRDefault="008B10FF" w:rsidP="00E660EB">
      <w:pPr>
        <w:spacing w:line="250" w:lineRule="auto"/>
        <w:ind w:firstLine="709"/>
        <w:jc w:val="both"/>
        <w:rPr>
          <w:szCs w:val="24"/>
        </w:rPr>
      </w:pPr>
      <w:r>
        <w:rPr>
          <w:szCs w:val="24"/>
        </w:rPr>
        <w:t xml:space="preserve">Vienas iš prioritetų – dvišalio gynybos bendradarbiavimo stiprinimas su </w:t>
      </w:r>
      <w:r w:rsidRPr="00000506">
        <w:rPr>
          <w:b/>
          <w:szCs w:val="24"/>
        </w:rPr>
        <w:t>Ukraina</w:t>
      </w:r>
      <w:r>
        <w:rPr>
          <w:szCs w:val="24"/>
        </w:rPr>
        <w:t xml:space="preserve"> ir parama jos gynybos reformoms. Buvo tęsiamos konsultacijos strateginiu lygmeniu gynybos planavimo, įsigijimų, personalo politikos, vadovavimo ir valdymo sistemos klausimais. </w:t>
      </w:r>
      <w:r w:rsidRPr="00E0401A">
        <w:rPr>
          <w:szCs w:val="24"/>
        </w:rPr>
        <w:t xml:space="preserve">Lietuvos parama Ukrainai </w:t>
      </w:r>
      <w:r>
        <w:rPr>
          <w:szCs w:val="24"/>
        </w:rPr>
        <w:t>sutelkta</w:t>
      </w:r>
      <w:r w:rsidRPr="00E0401A">
        <w:rPr>
          <w:szCs w:val="24"/>
        </w:rPr>
        <w:t xml:space="preserve"> į profesinio karinio rengimo ir mokymo reformą, puskarininkių korpuso pertvarką, sausumos, specialiųjų ir mokymo pajėgų karių ir dalinių r</w:t>
      </w:r>
      <w:r>
        <w:rPr>
          <w:szCs w:val="24"/>
        </w:rPr>
        <w:t>engimą. Lietuvos ekspertai kartu su Kanados atstovais atliko Ukrainos karinio švietimo sistemos auditą ir pateikė rekomendacijas dėl sistemos pertvarkos.</w:t>
      </w:r>
      <w:r w:rsidRPr="003C32DE">
        <w:rPr>
          <w:szCs w:val="24"/>
        </w:rPr>
        <w:t xml:space="preserve"> </w:t>
      </w:r>
      <w:r>
        <w:rPr>
          <w:szCs w:val="24"/>
        </w:rPr>
        <w:t>2020 m. pradžioje buvo tęsiama</w:t>
      </w:r>
      <w:r w:rsidRPr="00E0401A">
        <w:rPr>
          <w:szCs w:val="24"/>
        </w:rPr>
        <w:t xml:space="preserve"> Ukrainos karių reabilitacija, </w:t>
      </w:r>
      <w:r>
        <w:rPr>
          <w:szCs w:val="24"/>
        </w:rPr>
        <w:t xml:space="preserve">kuri dėl pandemijos </w:t>
      </w:r>
      <w:r w:rsidRPr="00E0401A">
        <w:rPr>
          <w:szCs w:val="24"/>
        </w:rPr>
        <w:t xml:space="preserve">buvo </w:t>
      </w:r>
      <w:r>
        <w:rPr>
          <w:szCs w:val="24"/>
        </w:rPr>
        <w:t xml:space="preserve">laikinai sustabdyta. </w:t>
      </w:r>
      <w:r w:rsidRPr="000F0D3C">
        <w:rPr>
          <w:szCs w:val="24"/>
        </w:rPr>
        <w:t xml:space="preserve">Derintas Ukrainos dalyvavimas regioniniame kibernetinės gynybos projekte, taip pat jos prisijungimas prie </w:t>
      </w:r>
      <w:hyperlink r:id="rId44" w:history="1">
        <w:r w:rsidRPr="00D7774C">
          <w:rPr>
            <w:rStyle w:val="Hipersaitas"/>
            <w:color w:val="000000" w:themeColor="text1"/>
            <w:szCs w:val="24"/>
          </w:rPr>
          <w:t>NATO Energetinio saugumo kompetencijos centro (NATO ENSEC COE)</w:t>
        </w:r>
      </w:hyperlink>
      <w:r w:rsidRPr="00D7774C">
        <w:rPr>
          <w:color w:val="000000" w:themeColor="text1"/>
          <w:szCs w:val="24"/>
        </w:rPr>
        <w:t>.</w:t>
      </w:r>
    </w:p>
    <w:p w14:paraId="77E78EEC" w14:textId="77777777" w:rsidR="008B10FF" w:rsidRDefault="008B10FF" w:rsidP="00E660EB">
      <w:pPr>
        <w:spacing w:line="250" w:lineRule="auto"/>
        <w:ind w:firstLine="709"/>
        <w:jc w:val="both"/>
        <w:rPr>
          <w:szCs w:val="24"/>
        </w:rPr>
      </w:pPr>
      <w:r>
        <w:rPr>
          <w:szCs w:val="24"/>
        </w:rPr>
        <w:t xml:space="preserve">Krašto apsaugos sistemos strateginio lygmens patarėjas, Lietuvos kariuomenės deleguoti kariniai atstovai NATO ryšių biure tęsė </w:t>
      </w:r>
      <w:r w:rsidRPr="00E0401A">
        <w:rPr>
          <w:szCs w:val="24"/>
        </w:rPr>
        <w:t>veikl</w:t>
      </w:r>
      <w:r>
        <w:rPr>
          <w:szCs w:val="24"/>
        </w:rPr>
        <w:t xml:space="preserve">ą pagal jiems priskirtas funkcijas. Lietuvos kariuomenės </w:t>
      </w:r>
      <w:r w:rsidRPr="00E0401A">
        <w:rPr>
          <w:szCs w:val="24"/>
        </w:rPr>
        <w:t>karini</w:t>
      </w:r>
      <w:r>
        <w:rPr>
          <w:szCs w:val="24"/>
        </w:rPr>
        <w:t>ai</w:t>
      </w:r>
      <w:r w:rsidRPr="00E0401A">
        <w:rPr>
          <w:szCs w:val="24"/>
        </w:rPr>
        <w:t xml:space="preserve"> instruktori</w:t>
      </w:r>
      <w:r>
        <w:rPr>
          <w:szCs w:val="24"/>
        </w:rPr>
        <w:t>ai, nepaisant COVID-19 situacijos, vykdė Ukrainos karinių pajėgų rengimą pagal Lietuvos Respublikos Seimo mandatą dėl Lietuvos karinės mokymo operacijos Ukrainoje</w:t>
      </w:r>
      <w:r w:rsidRPr="00E0401A">
        <w:rPr>
          <w:szCs w:val="24"/>
        </w:rPr>
        <w:t xml:space="preserve">. </w:t>
      </w:r>
    </w:p>
    <w:p w14:paraId="0962F3F1" w14:textId="77777777" w:rsidR="008B10FF" w:rsidRDefault="008B10FF" w:rsidP="00E660EB">
      <w:pPr>
        <w:spacing w:line="250" w:lineRule="auto"/>
        <w:ind w:firstLine="709"/>
        <w:jc w:val="both"/>
        <w:rPr>
          <w:szCs w:val="24"/>
        </w:rPr>
      </w:pPr>
      <w:r w:rsidRPr="003578FB">
        <w:rPr>
          <w:szCs w:val="24"/>
        </w:rPr>
        <w:t xml:space="preserve">2020 m. Ukrainos atstovai dalyvavo nuotoliniu būdu vykusiose </w:t>
      </w:r>
      <w:r>
        <w:rPr>
          <w:szCs w:val="24"/>
        </w:rPr>
        <w:t xml:space="preserve">Lietuvos kariuomenės kibernetinio saugumo </w:t>
      </w:r>
      <w:r w:rsidRPr="003578FB">
        <w:rPr>
          <w:szCs w:val="24"/>
        </w:rPr>
        <w:t>pratybose</w:t>
      </w:r>
      <w:r w:rsidRPr="00000506">
        <w:rPr>
          <w:i/>
          <w:szCs w:val="24"/>
        </w:rPr>
        <w:t xml:space="preserve"> </w:t>
      </w:r>
      <w:r w:rsidRPr="00887FFC">
        <w:rPr>
          <w:szCs w:val="24"/>
        </w:rPr>
        <w:t>„</w:t>
      </w:r>
      <w:r>
        <w:rPr>
          <w:szCs w:val="24"/>
        </w:rPr>
        <w:t>Gintarinė migla“, taip pat pratybų „Jūros brizas“</w:t>
      </w:r>
      <w:r>
        <w:rPr>
          <w:i/>
          <w:szCs w:val="24"/>
        </w:rPr>
        <w:t xml:space="preserve"> </w:t>
      </w:r>
      <w:r w:rsidRPr="00000506">
        <w:rPr>
          <w:szCs w:val="24"/>
        </w:rPr>
        <w:t>ir</w:t>
      </w:r>
      <w:r>
        <w:rPr>
          <w:i/>
          <w:szCs w:val="24"/>
        </w:rPr>
        <w:t xml:space="preserve"> </w:t>
      </w:r>
      <w:r w:rsidRPr="00887FFC">
        <w:rPr>
          <w:szCs w:val="24"/>
        </w:rPr>
        <w:t>„</w:t>
      </w:r>
      <w:r>
        <w:rPr>
          <w:szCs w:val="24"/>
        </w:rPr>
        <w:t xml:space="preserve">Aštrus trišakis </w:t>
      </w:r>
      <w:r w:rsidRPr="00887FFC">
        <w:rPr>
          <w:szCs w:val="24"/>
        </w:rPr>
        <w:t>2020</w:t>
      </w:r>
      <w:r>
        <w:rPr>
          <w:szCs w:val="24"/>
        </w:rPr>
        <w:t>“</w:t>
      </w:r>
      <w:r w:rsidRPr="003578FB">
        <w:rPr>
          <w:szCs w:val="24"/>
        </w:rPr>
        <w:t xml:space="preserve"> planavimo konferencijose.</w:t>
      </w:r>
    </w:p>
    <w:p w14:paraId="34350FEF" w14:textId="77777777" w:rsidR="008B10FF" w:rsidRDefault="008B10FF" w:rsidP="00E660EB">
      <w:pPr>
        <w:spacing w:line="250" w:lineRule="auto"/>
        <w:ind w:firstLine="709"/>
        <w:jc w:val="both"/>
        <w:rPr>
          <w:szCs w:val="24"/>
        </w:rPr>
      </w:pPr>
      <w:r>
        <w:rPr>
          <w:szCs w:val="24"/>
        </w:rPr>
        <w:t>S</w:t>
      </w:r>
      <w:r w:rsidRPr="00E0401A">
        <w:rPr>
          <w:szCs w:val="24"/>
        </w:rPr>
        <w:t xml:space="preserve">avo veiklą tęsė </w:t>
      </w:r>
      <w:r>
        <w:rPr>
          <w:szCs w:val="24"/>
        </w:rPr>
        <w:t>t</w:t>
      </w:r>
      <w:r w:rsidRPr="00E0401A">
        <w:rPr>
          <w:szCs w:val="24"/>
        </w:rPr>
        <w:t>rišalė Lietuvos</w:t>
      </w:r>
      <w:r>
        <w:rPr>
          <w:szCs w:val="24"/>
        </w:rPr>
        <w:t xml:space="preserve">, Lenkijos ir Ukrainos brigada (LITPOLUKRBRIG), vyko trišalės koordinacinės grupės susitikimai. </w:t>
      </w:r>
    </w:p>
    <w:p w14:paraId="72B1242E" w14:textId="77777777" w:rsidR="008B10FF" w:rsidRPr="00E0401A" w:rsidRDefault="008B10FF" w:rsidP="00E660EB">
      <w:pPr>
        <w:spacing w:line="250" w:lineRule="auto"/>
        <w:ind w:firstLine="709"/>
        <w:jc w:val="both"/>
        <w:rPr>
          <w:szCs w:val="24"/>
        </w:rPr>
      </w:pPr>
      <w:r>
        <w:rPr>
          <w:szCs w:val="24"/>
        </w:rPr>
        <w:t>Buvo tęsiamas</w:t>
      </w:r>
      <w:r w:rsidRPr="00E0401A">
        <w:rPr>
          <w:szCs w:val="24"/>
        </w:rPr>
        <w:t xml:space="preserve"> dvišalis bendradarbiavimas </w:t>
      </w:r>
      <w:r>
        <w:rPr>
          <w:szCs w:val="24"/>
        </w:rPr>
        <w:t xml:space="preserve">su </w:t>
      </w:r>
      <w:proofErr w:type="spellStart"/>
      <w:r>
        <w:rPr>
          <w:b/>
          <w:szCs w:val="24"/>
        </w:rPr>
        <w:t>Sakartvelu</w:t>
      </w:r>
      <w:proofErr w:type="spellEnd"/>
      <w:r>
        <w:rPr>
          <w:szCs w:val="24"/>
        </w:rPr>
        <w:t xml:space="preserve"> ir </w:t>
      </w:r>
      <w:r>
        <w:rPr>
          <w:b/>
          <w:szCs w:val="24"/>
        </w:rPr>
        <w:t>Moldova</w:t>
      </w:r>
      <w:r>
        <w:rPr>
          <w:szCs w:val="24"/>
        </w:rPr>
        <w:t xml:space="preserve">, teikiama parama. Su </w:t>
      </w:r>
      <w:proofErr w:type="spellStart"/>
      <w:r>
        <w:rPr>
          <w:szCs w:val="24"/>
        </w:rPr>
        <w:t>Sakartvelu</w:t>
      </w:r>
      <w:proofErr w:type="spellEnd"/>
      <w:r>
        <w:rPr>
          <w:szCs w:val="24"/>
        </w:rPr>
        <w:t xml:space="preserve"> derinti dalyvavimo regioniniame kibernetinės gynybos projekte klausimai. </w:t>
      </w:r>
      <w:r w:rsidRPr="00E0401A">
        <w:rPr>
          <w:szCs w:val="24"/>
        </w:rPr>
        <w:t>Buvo tęsiama pagalba Moldov</w:t>
      </w:r>
      <w:r>
        <w:rPr>
          <w:szCs w:val="24"/>
        </w:rPr>
        <w:t xml:space="preserve">ai, teikiant finansinį indėlį į NATO </w:t>
      </w:r>
      <w:proofErr w:type="spellStart"/>
      <w:r>
        <w:rPr>
          <w:szCs w:val="24"/>
        </w:rPr>
        <w:t>patikos</w:t>
      </w:r>
      <w:proofErr w:type="spellEnd"/>
      <w:r>
        <w:rPr>
          <w:szCs w:val="24"/>
        </w:rPr>
        <w:t xml:space="preserve"> fondą, </w:t>
      </w:r>
      <w:r w:rsidRPr="00E0401A">
        <w:rPr>
          <w:szCs w:val="24"/>
        </w:rPr>
        <w:t>reformuojant puskarininkių rengimo sistemą.</w:t>
      </w:r>
    </w:p>
    <w:p w14:paraId="10C5E92E" w14:textId="77777777" w:rsidR="008B10FF" w:rsidRPr="00887FFC" w:rsidRDefault="008B10FF" w:rsidP="00E660EB">
      <w:pPr>
        <w:spacing w:line="250" w:lineRule="auto"/>
        <w:ind w:firstLine="709"/>
        <w:jc w:val="both"/>
        <w:rPr>
          <w:szCs w:val="24"/>
        </w:rPr>
      </w:pPr>
      <w:proofErr w:type="spellStart"/>
      <w:r w:rsidRPr="003578FB">
        <w:rPr>
          <w:szCs w:val="24"/>
        </w:rPr>
        <w:t>Sakartvelo</w:t>
      </w:r>
      <w:proofErr w:type="spellEnd"/>
      <w:r w:rsidRPr="003578FB">
        <w:rPr>
          <w:szCs w:val="24"/>
        </w:rPr>
        <w:t xml:space="preserve"> atstovai nuotoliniu būdu dalyva</w:t>
      </w:r>
      <w:r>
        <w:rPr>
          <w:szCs w:val="24"/>
        </w:rPr>
        <w:t xml:space="preserve">vo Lietuvos kariuomenės kibernetinio saugumo </w:t>
      </w:r>
      <w:r w:rsidRPr="003578FB">
        <w:rPr>
          <w:szCs w:val="24"/>
        </w:rPr>
        <w:t>pratybose</w:t>
      </w:r>
      <w:r w:rsidRPr="00BD1593">
        <w:rPr>
          <w:i/>
          <w:szCs w:val="24"/>
        </w:rPr>
        <w:t xml:space="preserve"> </w:t>
      </w:r>
      <w:r>
        <w:rPr>
          <w:szCs w:val="24"/>
        </w:rPr>
        <w:t>„Gintarinė migla“</w:t>
      </w:r>
      <w:r w:rsidRPr="00887FFC">
        <w:rPr>
          <w:szCs w:val="24"/>
        </w:rPr>
        <w:t>.</w:t>
      </w:r>
    </w:p>
    <w:p w14:paraId="138F55EB" w14:textId="77777777" w:rsidR="008B10FF" w:rsidRDefault="008B10FF" w:rsidP="00E660EB">
      <w:pPr>
        <w:spacing w:line="250" w:lineRule="auto"/>
        <w:ind w:firstLine="709"/>
        <w:jc w:val="both"/>
        <w:rPr>
          <w:szCs w:val="24"/>
        </w:rPr>
      </w:pPr>
      <w:r w:rsidRPr="00BF20BA">
        <w:rPr>
          <w:szCs w:val="24"/>
        </w:rPr>
        <w:t xml:space="preserve">Lietuvos karinio mokymo institucijose ir Baltijos gynybos koledže studijavo Ukrainos, </w:t>
      </w:r>
      <w:proofErr w:type="spellStart"/>
      <w:r>
        <w:rPr>
          <w:szCs w:val="24"/>
        </w:rPr>
        <w:t>Sakartvelo</w:t>
      </w:r>
      <w:proofErr w:type="spellEnd"/>
      <w:r w:rsidRPr="00BF20BA">
        <w:rPr>
          <w:szCs w:val="24"/>
        </w:rPr>
        <w:t>, Moldovos, Baltarusijos, Armėnijos atstovai.</w:t>
      </w:r>
      <w:r>
        <w:rPr>
          <w:szCs w:val="24"/>
        </w:rPr>
        <w:t xml:space="preserve"> Dėl COVID-19 situacijos dalis kursų 2020 m. Lietuvos karinio mokymo įstaigose</w:t>
      </w:r>
      <w:r w:rsidRPr="00BF20BA">
        <w:rPr>
          <w:szCs w:val="24"/>
        </w:rPr>
        <w:t xml:space="preserve"> </w:t>
      </w:r>
      <w:r>
        <w:rPr>
          <w:szCs w:val="24"/>
        </w:rPr>
        <w:t>neįvyko.</w:t>
      </w:r>
    </w:p>
    <w:p w14:paraId="7CDFC16E" w14:textId="77777777" w:rsidR="008B10FF" w:rsidRPr="00BF20BA" w:rsidRDefault="008B10FF" w:rsidP="00E660EB">
      <w:pPr>
        <w:spacing w:line="250" w:lineRule="auto"/>
        <w:ind w:firstLine="709"/>
        <w:jc w:val="both"/>
        <w:rPr>
          <w:szCs w:val="24"/>
        </w:rPr>
      </w:pPr>
      <w:r>
        <w:rPr>
          <w:szCs w:val="24"/>
        </w:rPr>
        <w:lastRenderedPageBreak/>
        <w:t>Kadangi ES Bendrosios saugumo ir gynybos politikos aukšto lygio seminaras</w:t>
      </w:r>
      <w:r w:rsidRPr="00BF20BA">
        <w:rPr>
          <w:szCs w:val="24"/>
        </w:rPr>
        <w:t xml:space="preserve"> </w:t>
      </w:r>
      <w:r>
        <w:rPr>
          <w:szCs w:val="24"/>
        </w:rPr>
        <w:t>Vilniuje negalėjo įvykti,</w:t>
      </w:r>
      <w:r w:rsidRPr="00BF20BA">
        <w:rPr>
          <w:szCs w:val="24"/>
        </w:rPr>
        <w:t xml:space="preserve"> 20</w:t>
      </w:r>
      <w:r>
        <w:rPr>
          <w:szCs w:val="24"/>
        </w:rPr>
        <w:t>20</w:t>
      </w:r>
      <w:r w:rsidRPr="00BF20BA">
        <w:rPr>
          <w:szCs w:val="24"/>
        </w:rPr>
        <w:t xml:space="preserve"> m. </w:t>
      </w:r>
      <w:r>
        <w:rPr>
          <w:szCs w:val="24"/>
        </w:rPr>
        <w:t xml:space="preserve">gruodžio </w:t>
      </w:r>
      <w:r w:rsidRPr="00AA284E">
        <w:rPr>
          <w:szCs w:val="24"/>
        </w:rPr>
        <w:t>18 d. K</w:t>
      </w:r>
      <w:r>
        <w:rPr>
          <w:szCs w:val="24"/>
        </w:rPr>
        <w:t xml:space="preserve">rašto apsaugos ministerija </w:t>
      </w:r>
      <w:r w:rsidRPr="00AA284E">
        <w:rPr>
          <w:szCs w:val="24"/>
        </w:rPr>
        <w:t>suorganizavo</w:t>
      </w:r>
      <w:r>
        <w:rPr>
          <w:szCs w:val="24"/>
        </w:rPr>
        <w:t xml:space="preserve"> nuotolinį renginį Rytų partnerystės šalims – Ukrainai, Moldovai ir </w:t>
      </w:r>
      <w:proofErr w:type="spellStart"/>
      <w:r>
        <w:rPr>
          <w:szCs w:val="24"/>
        </w:rPr>
        <w:t>Sakartvelui</w:t>
      </w:r>
      <w:proofErr w:type="spellEnd"/>
      <w:r>
        <w:rPr>
          <w:szCs w:val="24"/>
        </w:rPr>
        <w:t xml:space="preserve">, siekdama aptarti šių šalių prioritetus ES Rytų partnerystės klausimais po 2020 m. </w:t>
      </w:r>
      <w:r w:rsidRPr="00BF20BA">
        <w:rPr>
          <w:szCs w:val="24"/>
        </w:rPr>
        <w:t>Buvo apsvarstyt</w:t>
      </w:r>
      <w:r>
        <w:rPr>
          <w:szCs w:val="24"/>
        </w:rPr>
        <w:t xml:space="preserve">i </w:t>
      </w:r>
      <w:r w:rsidRPr="00AA284E">
        <w:rPr>
          <w:szCs w:val="24"/>
        </w:rPr>
        <w:t>K</w:t>
      </w:r>
      <w:r>
        <w:rPr>
          <w:szCs w:val="24"/>
        </w:rPr>
        <w:t xml:space="preserve">rašto apsaugos ministerijos pasiūlymai dėl bendrų projektų kibernetinio saugumo ir strateginės komunikacijos srityse. </w:t>
      </w:r>
    </w:p>
    <w:p w14:paraId="2F0C877B" w14:textId="77777777" w:rsidR="008B10FF" w:rsidRDefault="008B10FF" w:rsidP="00E660EB">
      <w:pPr>
        <w:spacing w:line="250" w:lineRule="auto"/>
        <w:ind w:firstLine="709"/>
        <w:jc w:val="both"/>
      </w:pPr>
      <w:r w:rsidRPr="00AA284E">
        <w:rPr>
          <w:szCs w:val="24"/>
        </w:rPr>
        <w:t>K</w:t>
      </w:r>
      <w:r>
        <w:rPr>
          <w:szCs w:val="24"/>
        </w:rPr>
        <w:t>rašto apsaugos ministerija</w:t>
      </w:r>
      <w:r w:rsidRPr="00BF20BA">
        <w:rPr>
          <w:szCs w:val="24"/>
        </w:rPr>
        <w:t xml:space="preserve"> skyrė finansinį indėlį </w:t>
      </w:r>
      <w:r>
        <w:rPr>
          <w:szCs w:val="24"/>
        </w:rPr>
        <w:t xml:space="preserve">(27 tūkst. eurų) </w:t>
      </w:r>
      <w:r w:rsidRPr="00BF20BA">
        <w:rPr>
          <w:szCs w:val="24"/>
        </w:rPr>
        <w:t>ir toliau sėkmingai administravo Rytų partnerystės šalių įsitraukim</w:t>
      </w:r>
      <w:r>
        <w:rPr>
          <w:szCs w:val="24"/>
        </w:rPr>
        <w:t>ą</w:t>
      </w:r>
      <w:r w:rsidRPr="00BF20BA">
        <w:rPr>
          <w:szCs w:val="24"/>
        </w:rPr>
        <w:t xml:space="preserve"> į </w:t>
      </w:r>
      <w:r>
        <w:rPr>
          <w:szCs w:val="24"/>
        </w:rPr>
        <w:t xml:space="preserve">ES bendrajai saugumo ir gynybos politikai skirtą </w:t>
      </w:r>
      <w:proofErr w:type="spellStart"/>
      <w:r>
        <w:rPr>
          <w:szCs w:val="24"/>
        </w:rPr>
        <w:t>p</w:t>
      </w:r>
      <w:r w:rsidRPr="00BF20BA">
        <w:rPr>
          <w:szCs w:val="24"/>
        </w:rPr>
        <w:t>atikos</w:t>
      </w:r>
      <w:proofErr w:type="spellEnd"/>
      <w:r w:rsidRPr="00BF20BA">
        <w:rPr>
          <w:szCs w:val="24"/>
        </w:rPr>
        <w:t xml:space="preserve"> fondą, iš kurio lėšų buvo finansuotas </w:t>
      </w:r>
      <w:proofErr w:type="spellStart"/>
      <w:r>
        <w:rPr>
          <w:szCs w:val="24"/>
        </w:rPr>
        <w:t>Sakartvelo</w:t>
      </w:r>
      <w:proofErr w:type="spellEnd"/>
      <w:r w:rsidRPr="00BF20BA">
        <w:rPr>
          <w:szCs w:val="24"/>
        </w:rPr>
        <w:t xml:space="preserve"> ir Moldovos atstovų dalyvavimas </w:t>
      </w:r>
      <w:r>
        <w:rPr>
          <w:szCs w:val="24"/>
        </w:rPr>
        <w:t>ES</w:t>
      </w:r>
      <w:r w:rsidRPr="00BF20BA">
        <w:rPr>
          <w:szCs w:val="24"/>
        </w:rPr>
        <w:t xml:space="preserve"> mokymo misijoje Malyje.</w:t>
      </w:r>
      <w:r w:rsidRPr="000B29AD">
        <w:t xml:space="preserve"> </w:t>
      </w:r>
    </w:p>
    <w:p w14:paraId="0EB65087" w14:textId="77777777" w:rsidR="008B10FF" w:rsidRDefault="008B10FF" w:rsidP="00E660EB">
      <w:pPr>
        <w:tabs>
          <w:tab w:val="left" w:pos="567"/>
        </w:tabs>
        <w:spacing w:line="250" w:lineRule="auto"/>
        <w:ind w:firstLine="709"/>
        <w:jc w:val="both"/>
        <w:rPr>
          <w:szCs w:val="24"/>
        </w:rPr>
      </w:pPr>
      <w:r w:rsidRPr="003F400A">
        <w:rPr>
          <w:szCs w:val="24"/>
        </w:rPr>
        <w:t xml:space="preserve">Siekdama glaudžiau bendradarbiauti daugiašaliuose procesuose, Lietuva 2020 m. aktyviai dalyvavo žurnalistų saugumo, moterų taikos ir saugumo, tarptautinės religijų ir tikėjimo laisvės, tarpininkavimo ir kitose draugų grupėse. </w:t>
      </w:r>
    </w:p>
    <w:p w14:paraId="033C1287" w14:textId="77777777" w:rsidR="008B10FF" w:rsidRDefault="008B10FF" w:rsidP="00E660EB">
      <w:pPr>
        <w:spacing w:line="250" w:lineRule="auto"/>
        <w:ind w:firstLine="709"/>
        <w:jc w:val="both"/>
        <w:rPr>
          <w:szCs w:val="24"/>
        </w:rPr>
      </w:pPr>
      <w:r w:rsidRPr="003F400A">
        <w:rPr>
          <w:szCs w:val="24"/>
        </w:rPr>
        <w:t xml:space="preserve">Lietuva toliau plėtojo žurnalistų saugumo standartų stiprinimo temą tarptautiniuose </w:t>
      </w:r>
      <w:r>
        <w:rPr>
          <w:szCs w:val="24"/>
        </w:rPr>
        <w:t>renginiuose</w:t>
      </w:r>
      <w:r w:rsidRPr="003F400A">
        <w:rPr>
          <w:szCs w:val="24"/>
        </w:rPr>
        <w:t xml:space="preserve">, aktyviai </w:t>
      </w:r>
      <w:r>
        <w:rPr>
          <w:szCs w:val="24"/>
        </w:rPr>
        <w:t>pa</w:t>
      </w:r>
      <w:r w:rsidRPr="003F400A">
        <w:rPr>
          <w:szCs w:val="24"/>
        </w:rPr>
        <w:t xml:space="preserve">naudodama žurnalistų saugumo draugų grupes, veikiančias </w:t>
      </w:r>
      <w:r>
        <w:rPr>
          <w:szCs w:val="24"/>
        </w:rPr>
        <w:t xml:space="preserve">prie </w:t>
      </w:r>
      <w:r w:rsidRPr="003F400A">
        <w:rPr>
          <w:szCs w:val="24"/>
        </w:rPr>
        <w:t>J</w:t>
      </w:r>
      <w:r>
        <w:rPr>
          <w:szCs w:val="24"/>
        </w:rPr>
        <w:t xml:space="preserve">ungtinių </w:t>
      </w:r>
      <w:r w:rsidRPr="003F400A">
        <w:rPr>
          <w:szCs w:val="24"/>
        </w:rPr>
        <w:t>T</w:t>
      </w:r>
      <w:r>
        <w:rPr>
          <w:szCs w:val="24"/>
        </w:rPr>
        <w:t>autų</w:t>
      </w:r>
      <w:r w:rsidRPr="003F400A">
        <w:rPr>
          <w:szCs w:val="24"/>
        </w:rPr>
        <w:t xml:space="preserve">, UNESCO, Europos saugumo ir bendradarbiavimo organizacijos </w:t>
      </w:r>
      <w:r>
        <w:rPr>
          <w:szCs w:val="24"/>
        </w:rPr>
        <w:t xml:space="preserve">(toliau </w:t>
      </w:r>
      <w:bookmarkStart w:id="77" w:name="_Hlk67775619"/>
      <w:r>
        <w:rPr>
          <w:szCs w:val="24"/>
        </w:rPr>
        <w:t>–</w:t>
      </w:r>
      <w:bookmarkEnd w:id="77"/>
      <w:r>
        <w:rPr>
          <w:szCs w:val="24"/>
        </w:rPr>
        <w:t xml:space="preserve"> </w:t>
      </w:r>
      <w:r w:rsidRPr="003F400A">
        <w:rPr>
          <w:szCs w:val="24"/>
        </w:rPr>
        <w:t>ESBO</w:t>
      </w:r>
      <w:r>
        <w:rPr>
          <w:szCs w:val="24"/>
        </w:rPr>
        <w:t>)</w:t>
      </w:r>
      <w:r w:rsidRPr="003F400A">
        <w:rPr>
          <w:szCs w:val="24"/>
        </w:rPr>
        <w:t xml:space="preserve"> ir Europos Tarybos. Lietuva yra šių grupių Niujorke ir Vienoje viena iš pirminink</w:t>
      </w:r>
      <w:r>
        <w:rPr>
          <w:szCs w:val="24"/>
        </w:rPr>
        <w:t>i</w:t>
      </w:r>
      <w:r w:rsidRPr="003F400A">
        <w:rPr>
          <w:szCs w:val="24"/>
        </w:rPr>
        <w:t>ų. 2020 m. balandžio 15 d. keturios neformalios žurnalistų saugumo darbo grupės, veikiančios prie Jungtinių Tautų (Niujorke ir Ženevoje), prie UNESCO (Paryžiuje) bei E</w:t>
      </w:r>
      <w:r>
        <w:rPr>
          <w:szCs w:val="24"/>
        </w:rPr>
        <w:t xml:space="preserve">SBO </w:t>
      </w:r>
      <w:r w:rsidRPr="003F400A">
        <w:rPr>
          <w:szCs w:val="24"/>
        </w:rPr>
        <w:t>(Vienoje), pirmą kartą išplatino bendrą pareiškimą, prie kurio l</w:t>
      </w:r>
      <w:r w:rsidRPr="003F400A">
        <w:rPr>
          <w:bCs/>
          <w:szCs w:val="24"/>
        </w:rPr>
        <w:t xml:space="preserve">apkričio 2 d., minint </w:t>
      </w:r>
      <w:r>
        <w:rPr>
          <w:bCs/>
          <w:szCs w:val="24"/>
        </w:rPr>
        <w:t>t</w:t>
      </w:r>
      <w:r w:rsidRPr="003F400A">
        <w:rPr>
          <w:bCs/>
          <w:szCs w:val="24"/>
        </w:rPr>
        <w:t>arptautinę dieną, skirtą nebaudžiamum</w:t>
      </w:r>
      <w:r>
        <w:rPr>
          <w:bCs/>
          <w:szCs w:val="24"/>
        </w:rPr>
        <w:t>ui</w:t>
      </w:r>
      <w:r w:rsidRPr="003F400A">
        <w:rPr>
          <w:bCs/>
          <w:szCs w:val="24"/>
        </w:rPr>
        <w:t xml:space="preserve"> už nusikaltimus prieš žurnalistus</w:t>
      </w:r>
      <w:r w:rsidRPr="00403FBA">
        <w:rPr>
          <w:bCs/>
          <w:szCs w:val="24"/>
        </w:rPr>
        <w:t xml:space="preserve"> </w:t>
      </w:r>
      <w:r w:rsidRPr="003F400A">
        <w:rPr>
          <w:bCs/>
          <w:szCs w:val="24"/>
        </w:rPr>
        <w:t>panaikinti</w:t>
      </w:r>
      <w:r w:rsidRPr="003F400A">
        <w:rPr>
          <w:b/>
          <w:bCs/>
          <w:color w:val="1F497D"/>
          <w:szCs w:val="24"/>
        </w:rPr>
        <w:t>,</w:t>
      </w:r>
      <w:r w:rsidRPr="003F400A">
        <w:rPr>
          <w:szCs w:val="24"/>
        </w:rPr>
        <w:t xml:space="preserve"> prisijungė ir 2020 m. spal</w:t>
      </w:r>
      <w:r>
        <w:rPr>
          <w:szCs w:val="24"/>
        </w:rPr>
        <w:t>į</w:t>
      </w:r>
      <w:r w:rsidRPr="003F400A">
        <w:rPr>
          <w:szCs w:val="24"/>
        </w:rPr>
        <w:t xml:space="preserve"> įkurta žurnalistų saugumo draugų grupė prie E</w:t>
      </w:r>
      <w:r>
        <w:rPr>
          <w:szCs w:val="24"/>
        </w:rPr>
        <w:t>uropos Tarybos</w:t>
      </w:r>
      <w:r w:rsidRPr="003F400A">
        <w:rPr>
          <w:szCs w:val="24"/>
        </w:rPr>
        <w:t>. Pareiškimas, prie kurio rengimo reikšmingai prisidėjo ir Lietuvos atstovai, skirtas atkreipti dėmesį į žiniasklaidos laisvės ir žurnalistų saugumo užtikrinimo svarbą kovoje su COVID-19 pandemija.</w:t>
      </w:r>
    </w:p>
    <w:p w14:paraId="329F8376"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Dalyvavimas stiprinant tarptautinį saugumą ir stabilumą </w:t>
      </w:r>
    </w:p>
    <w:p w14:paraId="2C83051C" w14:textId="77777777" w:rsidR="008B10FF" w:rsidRDefault="008B10FF" w:rsidP="00E660EB">
      <w:pPr>
        <w:tabs>
          <w:tab w:val="left" w:pos="709"/>
        </w:tabs>
        <w:spacing w:line="250" w:lineRule="auto"/>
        <w:ind w:firstLine="709"/>
        <w:jc w:val="both"/>
        <w:rPr>
          <w:rFonts w:eastAsiaTheme="majorEastAsia"/>
          <w:iCs/>
          <w:szCs w:val="24"/>
        </w:rPr>
      </w:pPr>
      <w:r w:rsidRPr="003F400A">
        <w:rPr>
          <w:rFonts w:eastAsiaTheme="majorEastAsia"/>
          <w:iCs/>
          <w:szCs w:val="24"/>
        </w:rPr>
        <w:t>Dalyvaudama tarptautinių ir regioninių organizacijų veikloje</w:t>
      </w:r>
      <w:r>
        <w:rPr>
          <w:rFonts w:eastAsiaTheme="majorEastAsia"/>
          <w:iCs/>
          <w:szCs w:val="24"/>
        </w:rPr>
        <w:t>,</w:t>
      </w:r>
      <w:r w:rsidRPr="003F400A">
        <w:rPr>
          <w:rFonts w:eastAsiaTheme="majorEastAsia"/>
          <w:iCs/>
          <w:szCs w:val="24"/>
        </w:rPr>
        <w:t xml:space="preserve"> Lietuva prisideda prie taikos, demokratijos ir saugumo užtikrinimo, žmogaus teisių ir stabilumo stiprinimo.</w:t>
      </w:r>
    </w:p>
    <w:p w14:paraId="3967D957" w14:textId="77777777" w:rsidR="008B10FF" w:rsidRDefault="008B10FF" w:rsidP="00E660EB">
      <w:pPr>
        <w:tabs>
          <w:tab w:val="left" w:pos="709"/>
        </w:tabs>
        <w:spacing w:line="250" w:lineRule="auto"/>
        <w:ind w:firstLine="709"/>
        <w:jc w:val="both"/>
        <w:rPr>
          <w:rFonts w:eastAsiaTheme="majorEastAsia"/>
          <w:iCs/>
          <w:szCs w:val="24"/>
        </w:rPr>
      </w:pPr>
      <w:r w:rsidRPr="003F400A">
        <w:rPr>
          <w:rFonts w:eastAsiaTheme="majorEastAsia"/>
          <w:iCs/>
          <w:szCs w:val="24"/>
        </w:rPr>
        <w:t xml:space="preserve">2020 m. Lietuva prisidėjo prie ESBO specialiosios stebėjimo misijos Ukrainoje (SMM </w:t>
      </w:r>
      <w:proofErr w:type="spellStart"/>
      <w:r w:rsidRPr="003F400A">
        <w:rPr>
          <w:rFonts w:eastAsiaTheme="majorEastAsia"/>
          <w:iCs/>
          <w:szCs w:val="24"/>
        </w:rPr>
        <w:t>Ukraine</w:t>
      </w:r>
      <w:proofErr w:type="spellEnd"/>
      <w:r w:rsidRPr="003F400A">
        <w:rPr>
          <w:rFonts w:eastAsiaTheme="majorEastAsia"/>
          <w:iCs/>
          <w:szCs w:val="24"/>
        </w:rPr>
        <w:t>) ir Jungtinių Tautų taikos palaikymo pajėgų Kipre (UNFICYP) veiklos.</w:t>
      </w:r>
    </w:p>
    <w:p w14:paraId="6009B419" w14:textId="77777777" w:rsidR="008B10FF" w:rsidRDefault="008B10FF" w:rsidP="00E660EB">
      <w:pPr>
        <w:tabs>
          <w:tab w:val="left" w:pos="709"/>
        </w:tabs>
        <w:spacing w:line="250" w:lineRule="auto"/>
        <w:ind w:firstLine="709"/>
        <w:jc w:val="both"/>
        <w:rPr>
          <w:szCs w:val="24"/>
        </w:rPr>
      </w:pPr>
      <w:r w:rsidRPr="003F400A">
        <w:rPr>
          <w:szCs w:val="24"/>
        </w:rPr>
        <w:t xml:space="preserve">Reaguodama į Baltarusijos politinę krizę po 2020 m. rugpjūčio 9 d prezidento rinkimų, Lietuva su 17 kitų ESBO dalyvaujančių valstybių operatyviai 2020 m. rugsėjo 17 d. inicijavo vieną iš ESBO žmogiškosios dimensijos </w:t>
      </w:r>
      <w:r>
        <w:rPr>
          <w:szCs w:val="24"/>
        </w:rPr>
        <w:t>priemonių</w:t>
      </w:r>
      <w:r w:rsidRPr="003F400A">
        <w:rPr>
          <w:szCs w:val="24"/>
        </w:rPr>
        <w:t xml:space="preserve"> – Maskvos mechanizmą, buvo paskirtas Austrijos ekspertas W. </w:t>
      </w:r>
      <w:proofErr w:type="spellStart"/>
      <w:r w:rsidRPr="003F400A">
        <w:rPr>
          <w:szCs w:val="24"/>
        </w:rPr>
        <w:t>Benedek</w:t>
      </w:r>
      <w:proofErr w:type="spellEnd"/>
      <w:r>
        <w:rPr>
          <w:szCs w:val="24"/>
        </w:rPr>
        <w:t xml:space="preserve"> </w:t>
      </w:r>
      <w:r w:rsidRPr="003F400A">
        <w:rPr>
          <w:szCs w:val="24"/>
        </w:rPr>
        <w:t>–</w:t>
      </w:r>
      <w:r>
        <w:rPr>
          <w:szCs w:val="24"/>
        </w:rPr>
        <w:t xml:space="preserve"> </w:t>
      </w:r>
      <w:r w:rsidRPr="003F400A">
        <w:rPr>
          <w:szCs w:val="24"/>
        </w:rPr>
        <w:t xml:space="preserve"> </w:t>
      </w:r>
      <w:r>
        <w:rPr>
          <w:szCs w:val="24"/>
        </w:rPr>
        <w:t>jis</w:t>
      </w:r>
      <w:r w:rsidRPr="003F400A">
        <w:rPr>
          <w:szCs w:val="24"/>
        </w:rPr>
        <w:t xml:space="preserve"> parengė ataskaitą apie žmogaus teisių pažeidimus Baltarusijoje, pateikė rekomendacijas Baltarusijos vadovybei, ESBO dalyvaujančioms šalims ir tarptautinei bendruomenei. Per įvairius ESBO mechanizmus Lietuva prisideda prie užsitęsusių konfliktų ES kaimynystėje (Ukraina, </w:t>
      </w:r>
      <w:proofErr w:type="spellStart"/>
      <w:r w:rsidRPr="003F400A">
        <w:rPr>
          <w:szCs w:val="24"/>
        </w:rPr>
        <w:t>Sakartvelas</w:t>
      </w:r>
      <w:proofErr w:type="spellEnd"/>
      <w:r w:rsidRPr="003F400A">
        <w:rPr>
          <w:szCs w:val="24"/>
        </w:rPr>
        <w:t xml:space="preserve">, Moldova, Kalnų </w:t>
      </w:r>
      <w:proofErr w:type="spellStart"/>
      <w:r w:rsidRPr="003F400A">
        <w:rPr>
          <w:szCs w:val="24"/>
        </w:rPr>
        <w:t>Karabacho</w:t>
      </w:r>
      <w:proofErr w:type="spellEnd"/>
      <w:r w:rsidRPr="003F400A">
        <w:rPr>
          <w:szCs w:val="24"/>
        </w:rPr>
        <w:t xml:space="preserve"> regionas) sprendimo paieškų.</w:t>
      </w:r>
    </w:p>
    <w:p w14:paraId="6F4F0696" w14:textId="77777777" w:rsidR="008B10FF" w:rsidRPr="003F400A" w:rsidRDefault="008B10FF" w:rsidP="00E660EB">
      <w:pPr>
        <w:tabs>
          <w:tab w:val="left" w:pos="709"/>
        </w:tabs>
        <w:spacing w:line="250" w:lineRule="auto"/>
        <w:ind w:firstLine="709"/>
        <w:jc w:val="both"/>
        <w:rPr>
          <w:szCs w:val="24"/>
        </w:rPr>
      </w:pPr>
      <w:r w:rsidRPr="003F400A">
        <w:rPr>
          <w:szCs w:val="24"/>
        </w:rPr>
        <w:t>Lietuva nuolat kelia padėties Baltarusijoje klausimą vis</w:t>
      </w:r>
      <w:r>
        <w:rPr>
          <w:szCs w:val="24"/>
        </w:rPr>
        <w:t>ais</w:t>
      </w:r>
      <w:r w:rsidRPr="003F400A">
        <w:rPr>
          <w:szCs w:val="24"/>
        </w:rPr>
        <w:t xml:space="preserve"> tarptautinių organizacijų </w:t>
      </w:r>
      <w:r>
        <w:rPr>
          <w:szCs w:val="24"/>
        </w:rPr>
        <w:t>lygiais</w:t>
      </w:r>
      <w:r w:rsidRPr="003F400A">
        <w:rPr>
          <w:szCs w:val="24"/>
        </w:rPr>
        <w:t xml:space="preserve"> </w:t>
      </w:r>
      <w:bookmarkStart w:id="78" w:name="_Hlk67827574"/>
      <w:r w:rsidRPr="003F400A">
        <w:rPr>
          <w:szCs w:val="24"/>
        </w:rPr>
        <w:t>–</w:t>
      </w:r>
      <w:bookmarkEnd w:id="78"/>
      <w:r w:rsidRPr="003F400A">
        <w:rPr>
          <w:szCs w:val="24"/>
        </w:rPr>
        <w:t xml:space="preserve"> JT Generalinėje Asamblėjoje, JT Saugumo Tarybos neformaliuose susitikimuose, UNESCO, ESBO ir Europos Taryboje. Lietuva su kitomis ES valstybėmis narėmis JT Žmogaus teisių tarybos 45-o</w:t>
      </w:r>
      <w:r>
        <w:rPr>
          <w:szCs w:val="24"/>
        </w:rPr>
        <w:t>joje</w:t>
      </w:r>
      <w:r w:rsidRPr="003F400A">
        <w:rPr>
          <w:szCs w:val="24"/>
        </w:rPr>
        <w:t xml:space="preserve"> sesijoje, vykusioje 2020 m. rugsėjo 14 – spalio 6 d., pasiūlė skubiai svarstyti žmogaus teisių pažeidimus Baltarusijoje, buvo priimta rezoliucija, įpareigojanti JT </w:t>
      </w:r>
      <w:r>
        <w:rPr>
          <w:szCs w:val="24"/>
        </w:rPr>
        <w:t>v</w:t>
      </w:r>
      <w:r w:rsidRPr="003F400A">
        <w:rPr>
          <w:szCs w:val="24"/>
        </w:rPr>
        <w:t>yriausiąją žmogaus teisių komisarę parengti išsamų rašytinį raportą dėl žmogaus teisių pažeidimų šioje šalyje ir pristatyti JT Žmogaus teisių tarybos 46-o</w:t>
      </w:r>
      <w:r>
        <w:rPr>
          <w:szCs w:val="24"/>
        </w:rPr>
        <w:t>joje</w:t>
      </w:r>
      <w:r w:rsidRPr="003F400A">
        <w:rPr>
          <w:szCs w:val="24"/>
        </w:rPr>
        <w:t xml:space="preserve"> sesijoje. Lietuva ir toliau kels žmogaus teisių pažeidimų Baltarusijoje klausimą tarptautini</w:t>
      </w:r>
      <w:r>
        <w:rPr>
          <w:szCs w:val="24"/>
        </w:rPr>
        <w:t>u</w:t>
      </w:r>
      <w:r w:rsidRPr="003F400A">
        <w:rPr>
          <w:szCs w:val="24"/>
        </w:rPr>
        <w:t xml:space="preserve"> </w:t>
      </w:r>
      <w:r>
        <w:rPr>
          <w:szCs w:val="24"/>
        </w:rPr>
        <w:t>lygiu</w:t>
      </w:r>
      <w:r w:rsidRPr="003F400A">
        <w:rPr>
          <w:szCs w:val="24"/>
        </w:rPr>
        <w:t>, kad būtų užtikrinta tarptautinės bendruomenės parama šioje šalyje vykstantiems demokratiniams procesams.</w:t>
      </w:r>
    </w:p>
    <w:p w14:paraId="45BC8AB9" w14:textId="77777777" w:rsidR="008B10FF" w:rsidRPr="003F400A" w:rsidRDefault="008B10FF" w:rsidP="00E660EB">
      <w:pPr>
        <w:spacing w:line="250" w:lineRule="auto"/>
        <w:ind w:firstLine="709"/>
        <w:jc w:val="both"/>
        <w:rPr>
          <w:szCs w:val="24"/>
        </w:rPr>
      </w:pPr>
      <w:r w:rsidRPr="003F400A">
        <w:rPr>
          <w:iCs/>
          <w:szCs w:val="24"/>
        </w:rPr>
        <w:t>2020 m. gruodžio 7 d. ES užsienio reikalų ministrai patvirtino ES globalų žmogaus teisių sankcijų režimą, populiariai vadinam</w:t>
      </w:r>
      <w:r>
        <w:rPr>
          <w:iCs/>
          <w:szCs w:val="24"/>
        </w:rPr>
        <w:t>ą</w:t>
      </w:r>
      <w:r w:rsidRPr="003F400A">
        <w:rPr>
          <w:iCs/>
          <w:szCs w:val="24"/>
        </w:rPr>
        <w:t xml:space="preserve"> Europos </w:t>
      </w:r>
      <w:proofErr w:type="spellStart"/>
      <w:r w:rsidRPr="003F400A">
        <w:rPr>
          <w:iCs/>
          <w:szCs w:val="24"/>
        </w:rPr>
        <w:t>Magnickio</w:t>
      </w:r>
      <w:proofErr w:type="spellEnd"/>
      <w:r w:rsidRPr="003F400A">
        <w:rPr>
          <w:iCs/>
          <w:szCs w:val="24"/>
        </w:rPr>
        <w:t xml:space="preserve"> aktu. Lietuva buvo viena iš aktyviausių ES valstybių narių, nuosekliai rėmusių 2018 m. paskelbtą Nyderlandų iniciatyvą dėl ES globalių ribojamųjų priemonių už žmogaus teisių pažeidimus. Naujasis ES globalus žmogaus teisių sankcijų režimas </w:t>
      </w:r>
      <w:r>
        <w:rPr>
          <w:iCs/>
          <w:szCs w:val="24"/>
        </w:rPr>
        <w:t>leis</w:t>
      </w:r>
      <w:r w:rsidRPr="003F400A">
        <w:rPr>
          <w:iCs/>
          <w:szCs w:val="24"/>
        </w:rPr>
        <w:t xml:space="preserve"> </w:t>
      </w:r>
      <w:r>
        <w:rPr>
          <w:iCs/>
          <w:szCs w:val="24"/>
        </w:rPr>
        <w:t>lanksčiau</w:t>
      </w:r>
      <w:r w:rsidRPr="003F400A">
        <w:rPr>
          <w:iCs/>
          <w:szCs w:val="24"/>
        </w:rPr>
        <w:t xml:space="preserve"> ES pritaikyti tikslines ribojamąsias priemones už šiurkščius žmogaus teisių pažeidimus trečios</w:t>
      </w:r>
      <w:r>
        <w:rPr>
          <w:iCs/>
          <w:szCs w:val="24"/>
        </w:rPr>
        <w:t>ios</w:t>
      </w:r>
      <w:r w:rsidRPr="003F400A">
        <w:rPr>
          <w:iCs/>
          <w:szCs w:val="24"/>
        </w:rPr>
        <w:t xml:space="preserve">e šalyse atsakingiems fiziniams ar juridiniams asmenims, subjektams ar organizacijoms, įskaitant </w:t>
      </w:r>
      <w:r>
        <w:rPr>
          <w:iCs/>
          <w:szCs w:val="24"/>
        </w:rPr>
        <w:t>ir</w:t>
      </w:r>
      <w:r w:rsidRPr="003F400A">
        <w:rPr>
          <w:iCs/>
          <w:szCs w:val="24"/>
        </w:rPr>
        <w:t xml:space="preserve"> valstybinius, ir nevalstybinius veikėjus. ES globalų žmogaus teisių sankcijų režimą sudarys tokios tikslinės ribojamosios priemonės</w:t>
      </w:r>
      <w:r>
        <w:rPr>
          <w:iCs/>
          <w:szCs w:val="24"/>
        </w:rPr>
        <w:t>,</w:t>
      </w:r>
      <w:r w:rsidRPr="003F400A">
        <w:rPr>
          <w:iCs/>
          <w:szCs w:val="24"/>
        </w:rPr>
        <w:t xml:space="preserve"> kaip turto įšaldymas ir draudimas atvykti į ES teritoriją. Sankcijų režimas bus taikomas genocido atvejais, už nusikaltimus žmoniškumui, šiurkščius žmogaus teisių pažeidimus – kankinimą, vergovę, neteisminį žudymą, priverstinį asmenų dingimą, savavališką areštą ar sulaikymą. Sankcijos taip pat galės būti taikomos kovojant su kitais žmogaus teisių pažeidimais, pavyzdžiui, prekyba žmonėmis, seksualiniu smurtu ir smurtu dėl lyties, </w:t>
      </w:r>
      <w:r w:rsidRPr="003F400A">
        <w:rPr>
          <w:iCs/>
          <w:szCs w:val="24"/>
        </w:rPr>
        <w:lastRenderedPageBreak/>
        <w:t>susirinkimų ir asociacijos laisvės pažeidimu, saviraiškos laisvės pažeidimu, religijos ir įsitikinimų laisvės pažeidimu, k</w:t>
      </w:r>
      <w:r>
        <w:rPr>
          <w:iCs/>
          <w:szCs w:val="24"/>
        </w:rPr>
        <w:t xml:space="preserve">ai tie </w:t>
      </w:r>
      <w:r w:rsidRPr="003F400A">
        <w:rPr>
          <w:iCs/>
          <w:szCs w:val="24"/>
        </w:rPr>
        <w:t>pažeidimai yra plačiai paplitę, sistemingi ar kitaip kelia rimtą susirūpinimą, kiek tai susiję su ES bendrosios užsienio ir saugumo politikos tikslais</w:t>
      </w:r>
      <w:r w:rsidRPr="003F400A">
        <w:rPr>
          <w:szCs w:val="24"/>
        </w:rPr>
        <w:t>.</w:t>
      </w:r>
    </w:p>
    <w:p w14:paraId="6D22BA24" w14:textId="77777777" w:rsidR="008B10FF" w:rsidRPr="003F400A" w:rsidRDefault="008B10FF" w:rsidP="00E660EB">
      <w:pPr>
        <w:spacing w:line="250" w:lineRule="auto"/>
        <w:ind w:firstLine="709"/>
        <w:jc w:val="both"/>
        <w:rPr>
          <w:szCs w:val="24"/>
        </w:rPr>
      </w:pPr>
      <w:r w:rsidRPr="003F400A">
        <w:rPr>
          <w:szCs w:val="24"/>
        </w:rPr>
        <w:t>Siekdama dar aktyviau vystyti tarptautinį bendradarbiavimą, kuris būtinas saugum</w:t>
      </w:r>
      <w:r>
        <w:rPr>
          <w:szCs w:val="24"/>
        </w:rPr>
        <w:t>ui</w:t>
      </w:r>
      <w:r w:rsidRPr="003F400A">
        <w:rPr>
          <w:szCs w:val="24"/>
        </w:rPr>
        <w:t xml:space="preserve"> ir stabilum</w:t>
      </w:r>
      <w:r>
        <w:rPr>
          <w:szCs w:val="24"/>
        </w:rPr>
        <w:t>ui</w:t>
      </w:r>
      <w:r w:rsidRPr="003F400A">
        <w:rPr>
          <w:szCs w:val="24"/>
        </w:rPr>
        <w:t xml:space="preserve"> užtikrin</w:t>
      </w:r>
      <w:r>
        <w:rPr>
          <w:szCs w:val="24"/>
        </w:rPr>
        <w:t>t</w:t>
      </w:r>
      <w:r w:rsidRPr="003F400A">
        <w:rPr>
          <w:szCs w:val="24"/>
        </w:rPr>
        <w:t>i, Lietuva 2020 m</w:t>
      </w:r>
      <w:r>
        <w:rPr>
          <w:szCs w:val="24"/>
        </w:rPr>
        <w:t>.</w:t>
      </w:r>
      <w:r w:rsidRPr="003F400A">
        <w:rPr>
          <w:szCs w:val="24"/>
        </w:rPr>
        <w:t xml:space="preserve"> tęsė rinkimų kampanijas į JT Žmogaus teisių tarybą 2022–2024 m. laikotarpiui </w:t>
      </w:r>
      <w:r>
        <w:rPr>
          <w:szCs w:val="24"/>
        </w:rPr>
        <w:t>ir</w:t>
      </w:r>
      <w:r w:rsidRPr="003F400A">
        <w:rPr>
          <w:szCs w:val="24"/>
        </w:rPr>
        <w:t xml:space="preserve"> UNESCO Vykdomąją tarybą 2021–2025 m. laikotarpiui. 2020 m. lapkričio 9 d. Lietuvos ekspertė prof. Dalia </w:t>
      </w:r>
      <w:proofErr w:type="spellStart"/>
      <w:r w:rsidRPr="003F400A">
        <w:rPr>
          <w:szCs w:val="24"/>
        </w:rPr>
        <w:t>Leinartė</w:t>
      </w:r>
      <w:proofErr w:type="spellEnd"/>
      <w:r w:rsidRPr="003F400A">
        <w:rPr>
          <w:szCs w:val="24"/>
        </w:rPr>
        <w:t xml:space="preserve"> trečią kartą </w:t>
      </w:r>
      <w:r>
        <w:rPr>
          <w:szCs w:val="24"/>
        </w:rPr>
        <w:t xml:space="preserve">buvo </w:t>
      </w:r>
      <w:r w:rsidRPr="003F400A">
        <w:rPr>
          <w:szCs w:val="24"/>
        </w:rPr>
        <w:t>išrinkta į Jungtinių Tautų Moterų diskriminacijos panaikinimo komitetą 2021–2024 m</w:t>
      </w:r>
      <w:r>
        <w:rPr>
          <w:szCs w:val="24"/>
        </w:rPr>
        <w:t>etams</w:t>
      </w:r>
      <w:r w:rsidRPr="003F400A">
        <w:rPr>
          <w:szCs w:val="24"/>
        </w:rPr>
        <w:t>.</w:t>
      </w:r>
    </w:p>
    <w:p w14:paraId="684BD63C" w14:textId="77777777" w:rsidR="008B10FF" w:rsidRPr="003F400A" w:rsidRDefault="008B10FF" w:rsidP="00E660EB">
      <w:pPr>
        <w:spacing w:line="250" w:lineRule="auto"/>
        <w:ind w:firstLine="709"/>
        <w:jc w:val="both"/>
        <w:rPr>
          <w:szCs w:val="24"/>
        </w:rPr>
      </w:pPr>
      <w:r w:rsidRPr="003F400A">
        <w:rPr>
          <w:szCs w:val="24"/>
        </w:rPr>
        <w:t>Pagrindiniu uždaviniu 2021 m</w:t>
      </w:r>
      <w:r>
        <w:rPr>
          <w:szCs w:val="24"/>
        </w:rPr>
        <w:t>.</w:t>
      </w:r>
      <w:r w:rsidRPr="003F400A">
        <w:rPr>
          <w:szCs w:val="24"/>
        </w:rPr>
        <w:t xml:space="preserve"> bus laisvės, demokratijos, žmogaus teisių ir teisės viršenybės tikslų siekimas daugiašaliuose </w:t>
      </w:r>
      <w:r>
        <w:rPr>
          <w:szCs w:val="24"/>
        </w:rPr>
        <w:t>susitikimuose</w:t>
      </w:r>
      <w:r w:rsidRPr="003F400A">
        <w:rPr>
          <w:szCs w:val="24"/>
        </w:rPr>
        <w:t>. Toliau bus siekiama, kad tarptautinės organizacijos skirtų pakankamai dėmesio Rusijos agresijai prieš Ukrainą ir krizei Baltarusijoje spręsti, todėl nuolat kelsime šiuos klausimus ir skatinsime valstybės ir tarptautines organizacijas ieškoti sprendimų.</w:t>
      </w:r>
    </w:p>
    <w:p w14:paraId="4066B003" w14:textId="77777777" w:rsidR="008B10FF" w:rsidRDefault="008B10FF" w:rsidP="00E660EB">
      <w:pPr>
        <w:spacing w:line="250" w:lineRule="auto"/>
        <w:ind w:firstLine="709"/>
        <w:jc w:val="both"/>
        <w:rPr>
          <w:szCs w:val="24"/>
        </w:rPr>
      </w:pPr>
      <w:bookmarkStart w:id="79" w:name="_Hlk3285470"/>
      <w:r>
        <w:rPr>
          <w:szCs w:val="24"/>
        </w:rPr>
        <w:t xml:space="preserve">Kaip ir kitos NATO valstybės, 2020 m. Lietuva susidūrė su COVID-19 pandemijos iššūkiais užtikrinant tarptautinį saugumą ir stabilumą už NATO ir ES ribų. Nepaisydama sudėtingos situacijos operacijų regionuose, Lietuva išliko solidari su sąjungininkais ir nepriėmė vienašališkų sprendimų atitraukti karių iš operacijų rajonų. 2020 m. Lietuvos kariai dalyvavo 11 tarptautinių operacijų Europoje, Afrikoje, Azijoje, Viduržemio jūroje, Indijos vandenyne. Ir nors Lietuvos indėlis į tarptautines operacijas ir ES karines mokymo operacijas praėjusiais metais šiek tiek sumažėjo, palyginti su 2019 m. </w:t>
      </w:r>
      <w:bookmarkStart w:id="80" w:name="_Hlk67827990"/>
      <w:r>
        <w:rPr>
          <w:szCs w:val="24"/>
        </w:rPr>
        <w:t>–</w:t>
      </w:r>
      <w:bookmarkEnd w:id="80"/>
      <w:r>
        <w:rPr>
          <w:szCs w:val="24"/>
        </w:rPr>
        <w:t xml:space="preserve"> nuo 181 iki 170 karių, tai įvyko dėl sustabdyto mokymo užduočių vykdymo tarptautinėse operacijose ir karių rotacijų perkėlimo. </w:t>
      </w:r>
    </w:p>
    <w:p w14:paraId="3E7B325D" w14:textId="77777777" w:rsidR="008B10FF" w:rsidRDefault="008B10FF" w:rsidP="00E660EB">
      <w:pPr>
        <w:spacing w:line="250" w:lineRule="auto"/>
        <w:ind w:firstLine="709"/>
        <w:jc w:val="both"/>
        <w:rPr>
          <w:szCs w:val="24"/>
        </w:rPr>
      </w:pPr>
      <w:r>
        <w:rPr>
          <w:szCs w:val="24"/>
        </w:rPr>
        <w:t>Ribodama vietos saugumo pajėgų mokymus, NATO nusprendė laikinai atitraukti dalį karių iš operacijų Irake („Įgimtas ryžtas“) ir Afganistane („Tvirta parama“), o Europos Sąjunga – iš karinio mokymo operacijų Malyje ir Centrinės Afrikos Respublikoje. Nukėlus suplanuotų karinių vienetų rotaciją, į tarptautinę ES operaciją „</w:t>
      </w:r>
      <w:proofErr w:type="spellStart"/>
      <w:r>
        <w:rPr>
          <w:szCs w:val="24"/>
        </w:rPr>
        <w:t>Atalanta</w:t>
      </w:r>
      <w:proofErr w:type="spellEnd"/>
      <w:r>
        <w:rPr>
          <w:szCs w:val="24"/>
        </w:rPr>
        <w:t xml:space="preserve">“ neišvyko Lietuvos kariuomenės autonominės laivo apsaugos grupė. </w:t>
      </w:r>
    </w:p>
    <w:p w14:paraId="1747FA5F" w14:textId="77777777" w:rsidR="008B10FF" w:rsidRDefault="008B10FF" w:rsidP="00E660EB">
      <w:pPr>
        <w:spacing w:line="250" w:lineRule="auto"/>
        <w:ind w:firstLine="709"/>
        <w:jc w:val="both"/>
        <w:rPr>
          <w:szCs w:val="24"/>
        </w:rPr>
      </w:pPr>
      <w:r>
        <w:rPr>
          <w:szCs w:val="24"/>
        </w:rPr>
        <w:t xml:space="preserve">2020 m. Lietuvos kariai dalyvavo šiose NATO vadovaujamose tarptautinėse operacijose: „Tvirta parama“ Afganistane – apie 50 karių indėlis (štabo karininkai, karo policininkai, logistikos ir ryšių specialistai, Specialiųjų operacijų pajėgų kariai); KFOR Kosove buvo dislokuotas vienas karys; NATO vadovaujamoje mokymo operacijoje Irake (angl. </w:t>
      </w:r>
      <w:r>
        <w:rPr>
          <w:i/>
          <w:szCs w:val="24"/>
        </w:rPr>
        <w:t xml:space="preserve">NATO </w:t>
      </w:r>
      <w:proofErr w:type="spellStart"/>
      <w:r>
        <w:rPr>
          <w:i/>
          <w:szCs w:val="24"/>
        </w:rPr>
        <w:t>Mission</w:t>
      </w:r>
      <w:proofErr w:type="spellEnd"/>
      <w:r>
        <w:rPr>
          <w:i/>
          <w:szCs w:val="24"/>
        </w:rPr>
        <w:t xml:space="preserve"> </w:t>
      </w:r>
      <w:proofErr w:type="spellStart"/>
      <w:r>
        <w:rPr>
          <w:i/>
          <w:szCs w:val="24"/>
        </w:rPr>
        <w:t>Iraq</w:t>
      </w:r>
      <w:proofErr w:type="spellEnd"/>
      <w:r>
        <w:rPr>
          <w:szCs w:val="24"/>
        </w:rPr>
        <w:t xml:space="preserve">) iš viso dalyvavo 10 karių: </w:t>
      </w:r>
      <w:r>
        <w:rPr>
          <w:szCs w:val="24"/>
          <w:lang w:val="en-GB"/>
        </w:rPr>
        <w:t>2</w:t>
      </w:r>
      <w:r>
        <w:rPr>
          <w:szCs w:val="24"/>
        </w:rPr>
        <w:t xml:space="preserve"> kariai pagal Lietuvos Respublikos Seimo suteiktą tarptautinių operacijų mandatą tarnavo operacijos vadavietėje Bagdade, o 8 </w:t>
      </w:r>
      <w:r w:rsidRPr="002E0091">
        <w:rPr>
          <w:szCs w:val="24"/>
        </w:rPr>
        <w:t>Perdislokuojamojo ryšių ir informacinių sistemų modulio (PRISM)</w:t>
      </w:r>
      <w:r>
        <w:rPr>
          <w:szCs w:val="24"/>
        </w:rPr>
        <w:t xml:space="preserve"> </w:t>
      </w:r>
      <w:r w:rsidRPr="002E0091">
        <w:rPr>
          <w:szCs w:val="24"/>
        </w:rPr>
        <w:t>kariai</w:t>
      </w:r>
      <w:r>
        <w:rPr>
          <w:szCs w:val="24"/>
        </w:rPr>
        <w:t xml:space="preserve"> (pagal NATO greitojo reagavimo pajėgų mandatą) vykdė operacijos užduotis </w:t>
      </w:r>
      <w:proofErr w:type="spellStart"/>
      <w:r>
        <w:rPr>
          <w:szCs w:val="24"/>
        </w:rPr>
        <w:t>Taji</w:t>
      </w:r>
      <w:proofErr w:type="spellEnd"/>
      <w:r>
        <w:rPr>
          <w:szCs w:val="24"/>
        </w:rPr>
        <w:t xml:space="preserve"> ir Bagdade.</w:t>
      </w:r>
    </w:p>
    <w:p w14:paraId="3F5CC728" w14:textId="77777777" w:rsidR="008B10FF" w:rsidRDefault="008B10FF" w:rsidP="00E660EB">
      <w:pPr>
        <w:spacing w:line="250" w:lineRule="auto"/>
        <w:ind w:firstLine="709"/>
        <w:jc w:val="both"/>
        <w:rPr>
          <w:szCs w:val="24"/>
        </w:rPr>
      </w:pPr>
      <w:r>
        <w:rPr>
          <w:szCs w:val="24"/>
        </w:rPr>
        <w:t>Lietuvos kariai dalyvavo keturiose iš šešių ES vadovaujamų tarptautinių operacijų ir mokymo misijų: kovos su piratavimu operacijoje „</w:t>
      </w:r>
      <w:proofErr w:type="spellStart"/>
      <w:r>
        <w:rPr>
          <w:szCs w:val="24"/>
        </w:rPr>
        <w:t>Atalanta</w:t>
      </w:r>
      <w:proofErr w:type="spellEnd"/>
      <w:r>
        <w:rPr>
          <w:szCs w:val="24"/>
        </w:rPr>
        <w:t xml:space="preserve">“ dalyvavo 3 kariai (vienas karininkas operacijos vadavietėje Ispanijoje ir 2 kariai nacionaliniame </w:t>
      </w:r>
      <w:r w:rsidRPr="004A68D4">
        <w:rPr>
          <w:szCs w:val="24"/>
        </w:rPr>
        <w:t>paramos elemente Džibutyje</w:t>
      </w:r>
      <w:r>
        <w:rPr>
          <w:szCs w:val="24"/>
        </w:rPr>
        <w:t>); vienas karininkas tarnavo ES operacijos „</w:t>
      </w:r>
      <w:proofErr w:type="spellStart"/>
      <w:r>
        <w:rPr>
          <w:szCs w:val="24"/>
        </w:rPr>
        <w:t>Sophia</w:t>
      </w:r>
      <w:proofErr w:type="spellEnd"/>
      <w:r>
        <w:rPr>
          <w:szCs w:val="24"/>
        </w:rPr>
        <w:t>“ vadavietėje, o vėliau vienas karininkas skirtas į ES operacijos „Irini“ vadavietę Romoje; po 2 LK karius dalyvavo ES karinėse mokymo operacijose Centrinės Afrikos Respublikoje (angl. EUTM RCA) ir Malio Respublikoje (angl. EUTM MALI).</w:t>
      </w:r>
    </w:p>
    <w:p w14:paraId="65512FA8" w14:textId="77777777" w:rsidR="008B10FF" w:rsidRDefault="008B10FF" w:rsidP="00E660EB">
      <w:pPr>
        <w:spacing w:line="250" w:lineRule="auto"/>
        <w:ind w:firstLine="709"/>
        <w:jc w:val="both"/>
        <w:rPr>
          <w:szCs w:val="24"/>
        </w:rPr>
      </w:pPr>
      <w:r w:rsidRPr="005529F0">
        <w:rPr>
          <w:szCs w:val="24"/>
        </w:rPr>
        <w:t>Nors šiek tiek sumažėjo bendras L</w:t>
      </w:r>
      <w:r>
        <w:rPr>
          <w:szCs w:val="24"/>
        </w:rPr>
        <w:t>ietuvos</w:t>
      </w:r>
      <w:r w:rsidRPr="005529F0">
        <w:rPr>
          <w:szCs w:val="24"/>
        </w:rPr>
        <w:t xml:space="preserve"> karių skaičius tarptautinėse operacijose, Lietuva užtikrino patikimą tarptautinių įsipareigojimų vykdymą ir aktyviai įsitraukė į tarptautinio saugumo užtikrinimą.  2020 m. buvo priimtas sprendimas nuo 2021 m. prisijungti prie </w:t>
      </w:r>
      <w:r w:rsidRPr="005529F0">
        <w:rPr>
          <w:color w:val="000000" w:themeColor="text1"/>
          <w:szCs w:val="24"/>
        </w:rPr>
        <w:t>JAV</w:t>
      </w:r>
      <w:r w:rsidRPr="005529F0">
        <w:rPr>
          <w:szCs w:val="24"/>
        </w:rPr>
        <w:t xml:space="preserve"> vadovaujamos tarptautinio jūrinio saugumo užtikrinimo operacijos </w:t>
      </w:r>
      <w:proofErr w:type="spellStart"/>
      <w:r w:rsidRPr="005529F0">
        <w:rPr>
          <w:szCs w:val="24"/>
        </w:rPr>
        <w:t>Hormūzo</w:t>
      </w:r>
      <w:proofErr w:type="spellEnd"/>
      <w:r w:rsidRPr="005529F0">
        <w:rPr>
          <w:szCs w:val="24"/>
        </w:rPr>
        <w:t xml:space="preserve"> sąsiauryje ir naujos ES operacijos „Irini“</w:t>
      </w:r>
      <w:r>
        <w:rPr>
          <w:szCs w:val="24"/>
        </w:rPr>
        <w:t xml:space="preserve"> </w:t>
      </w:r>
      <w:r w:rsidRPr="005529F0">
        <w:rPr>
          <w:szCs w:val="24"/>
        </w:rPr>
        <w:t xml:space="preserve">Viduržemio jūroje. Be to, atsižvelgdama į sudėtingą situaciją </w:t>
      </w:r>
      <w:proofErr w:type="spellStart"/>
      <w:r w:rsidRPr="005529F0">
        <w:rPr>
          <w:szCs w:val="24"/>
        </w:rPr>
        <w:t>Sahelio</w:t>
      </w:r>
      <w:proofErr w:type="spellEnd"/>
      <w:r w:rsidRPr="005529F0">
        <w:rPr>
          <w:szCs w:val="24"/>
        </w:rPr>
        <w:t xml:space="preserve"> regione ir sąjungininkų prašymus, Lietuva padidino indėlį į Jungtinių Tautų vadovaujamą stabilizavimo operaciją MINUSMA Malyje</w:t>
      </w:r>
      <w:r>
        <w:rPr>
          <w:szCs w:val="24"/>
        </w:rPr>
        <w:t>, kurioje tarnavo</w:t>
      </w:r>
      <w:r w:rsidRPr="005529F0">
        <w:rPr>
          <w:szCs w:val="24"/>
        </w:rPr>
        <w:t xml:space="preserve"> 10 karių</w:t>
      </w:r>
      <w:r>
        <w:rPr>
          <w:szCs w:val="24"/>
        </w:rPr>
        <w:t>,</w:t>
      </w:r>
      <w:r w:rsidRPr="005529F0">
        <w:rPr>
          <w:szCs w:val="24"/>
        </w:rPr>
        <w:t xml:space="preserve"> – nuo 2020</w:t>
      </w:r>
      <w:r>
        <w:rPr>
          <w:szCs w:val="24"/>
        </w:rPr>
        <w:t xml:space="preserve"> m. liepos šioje operacijoje tarnauja 49 kariai.</w:t>
      </w:r>
    </w:p>
    <w:p w14:paraId="769E2FF9" w14:textId="77777777" w:rsidR="008B10FF" w:rsidRDefault="008B10FF" w:rsidP="00E660EB">
      <w:pPr>
        <w:spacing w:line="250" w:lineRule="auto"/>
        <w:ind w:firstLine="709"/>
        <w:jc w:val="both"/>
        <w:rPr>
          <w:szCs w:val="24"/>
        </w:rPr>
      </w:pPr>
      <w:r>
        <w:rPr>
          <w:szCs w:val="24"/>
        </w:rPr>
        <w:t>Nacionalinėje mokymo operacijoje Ukrainoje Lietuvos karių indėlis – 30 karių. Lietuva ir toliau dalyvavo tarptautinės bendruomenės kovoje su terorizmu ir ekstremizmu – 6 Lietuvos kariuomenės instruktoriai tarnavo Jungtinių Amerikos Valstijų vadovaujamoje tarptautinėje operacijoje „Įgimtas ryžtas“ Irake.</w:t>
      </w:r>
    </w:p>
    <w:p w14:paraId="2DA34B89" w14:textId="77777777" w:rsidR="008B10FF" w:rsidRDefault="008B10FF" w:rsidP="00E660EB">
      <w:pPr>
        <w:spacing w:line="250" w:lineRule="auto"/>
        <w:ind w:firstLine="709"/>
        <w:jc w:val="both"/>
        <w:rPr>
          <w:szCs w:val="24"/>
        </w:rPr>
      </w:pPr>
      <w:r>
        <w:rPr>
          <w:szCs w:val="24"/>
        </w:rPr>
        <w:t xml:space="preserve">2020 m. Lietuva vykdė tik vieną aktyvią ginklų kontrolės priemonę – </w:t>
      </w:r>
      <w:r w:rsidRPr="0009224C">
        <w:rPr>
          <w:szCs w:val="24"/>
        </w:rPr>
        <w:t>vasar</w:t>
      </w:r>
      <w:r>
        <w:rPr>
          <w:szCs w:val="24"/>
        </w:rPr>
        <w:t>į,</w:t>
      </w:r>
      <w:r w:rsidRPr="0009224C">
        <w:rPr>
          <w:szCs w:val="24"/>
        </w:rPr>
        <w:t xml:space="preserve"> </w:t>
      </w:r>
      <w:r>
        <w:rPr>
          <w:szCs w:val="24"/>
        </w:rPr>
        <w:t>v</w:t>
      </w:r>
      <w:r w:rsidRPr="00E23AE0">
        <w:rPr>
          <w:szCs w:val="24"/>
        </w:rPr>
        <w:t>adovau</w:t>
      </w:r>
      <w:r>
        <w:rPr>
          <w:szCs w:val="24"/>
        </w:rPr>
        <w:t>damasi</w:t>
      </w:r>
      <w:r w:rsidRPr="00E23AE0">
        <w:rPr>
          <w:szCs w:val="24"/>
        </w:rPr>
        <w:t xml:space="preserve"> Atvirosios oro erdvės sutartimi</w:t>
      </w:r>
      <w:r>
        <w:rPr>
          <w:szCs w:val="24"/>
        </w:rPr>
        <w:t xml:space="preserve">, Lietuva kartu su </w:t>
      </w:r>
      <w:r w:rsidRPr="006C6D99">
        <w:rPr>
          <w:color w:val="000000" w:themeColor="text1"/>
          <w:szCs w:val="24"/>
        </w:rPr>
        <w:t>J</w:t>
      </w:r>
      <w:r>
        <w:rPr>
          <w:color w:val="000000" w:themeColor="text1"/>
          <w:szCs w:val="24"/>
        </w:rPr>
        <w:t xml:space="preserve">ungtinių </w:t>
      </w:r>
      <w:r w:rsidRPr="006C6D99">
        <w:rPr>
          <w:color w:val="000000" w:themeColor="text1"/>
          <w:szCs w:val="24"/>
        </w:rPr>
        <w:t>A</w:t>
      </w:r>
      <w:r>
        <w:rPr>
          <w:color w:val="000000" w:themeColor="text1"/>
          <w:szCs w:val="24"/>
        </w:rPr>
        <w:t xml:space="preserve">merikos </w:t>
      </w:r>
      <w:r w:rsidRPr="006C6D99">
        <w:rPr>
          <w:color w:val="000000" w:themeColor="text1"/>
          <w:szCs w:val="24"/>
        </w:rPr>
        <w:t>V</w:t>
      </w:r>
      <w:r>
        <w:rPr>
          <w:color w:val="000000" w:themeColor="text1"/>
          <w:szCs w:val="24"/>
        </w:rPr>
        <w:t>alstijų</w:t>
      </w:r>
      <w:r>
        <w:rPr>
          <w:szCs w:val="24"/>
        </w:rPr>
        <w:t xml:space="preserve">, Estijos ir Švedijos kolegomis vykdė </w:t>
      </w:r>
      <w:r w:rsidRPr="0009224C">
        <w:rPr>
          <w:szCs w:val="24"/>
        </w:rPr>
        <w:t>Atvirosios oro erdvės skryd</w:t>
      </w:r>
      <w:r>
        <w:rPr>
          <w:szCs w:val="24"/>
        </w:rPr>
        <w:t>į Rusijoje ir Baltarusijoje.</w:t>
      </w:r>
    </w:p>
    <w:p w14:paraId="6C9585C8" w14:textId="77777777" w:rsidR="008B10FF" w:rsidRDefault="008B10FF" w:rsidP="00E660EB">
      <w:pPr>
        <w:spacing w:line="250" w:lineRule="auto"/>
        <w:ind w:firstLine="709"/>
        <w:jc w:val="both"/>
        <w:rPr>
          <w:szCs w:val="24"/>
        </w:rPr>
      </w:pPr>
      <w:r>
        <w:rPr>
          <w:szCs w:val="24"/>
        </w:rPr>
        <w:t xml:space="preserve">Dėl COVID-19 pandemijos Lietuva iki atskiro pranešimo, kaip ir dauguma kitų ESBO šalių, 2020 m. kovą laikinai sustabdė dalyvavimą ginklų kontrolės veikloje pagal 2011 m. Vienos dokumento ir Atvirosios </w:t>
      </w:r>
      <w:r>
        <w:rPr>
          <w:szCs w:val="24"/>
        </w:rPr>
        <w:lastRenderedPageBreak/>
        <w:t xml:space="preserve">oro erdvės sutartis. Todėl daugiau jokių aktyvių ginklų kontrolės priemonių Lietuvoje ir užsienyje 2020 m. nebuvo vykdoma. Tačiau Lietuva aktyviai dalyvavo kitoje ginklų kontrolės veikloje, teikdama informaciją, koordinuodama veiksmus bei dalyvaudama virtualiuose susitikimuose su NATO partneriais ir kitomis ESBO šalimis. </w:t>
      </w:r>
    </w:p>
    <w:p w14:paraId="3F3A40A5" w14:textId="77777777" w:rsidR="008B10FF" w:rsidRPr="00A91669" w:rsidRDefault="008B10FF" w:rsidP="00E660EB">
      <w:pPr>
        <w:pStyle w:val="Antrat5"/>
        <w:spacing w:before="0" w:line="250" w:lineRule="auto"/>
        <w:ind w:firstLine="709"/>
        <w:jc w:val="both"/>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Grėsmių, pavojų ir rizikos veiksnių nacionaliniam saugumui nustatymo, vertinimo ir perspėjimo sistemos plėtotė </w:t>
      </w:r>
    </w:p>
    <w:p w14:paraId="38CEBE80" w14:textId="77777777" w:rsidR="008B10FF" w:rsidRDefault="008B10FF" w:rsidP="00E660EB">
      <w:pPr>
        <w:spacing w:line="250" w:lineRule="auto"/>
        <w:ind w:firstLine="709"/>
        <w:jc w:val="both"/>
      </w:pPr>
      <w:r>
        <w:t>Nacionalinio saugumo strategijoje</w:t>
      </w:r>
      <w:r>
        <w:rPr>
          <w:rStyle w:val="Puslapioinaosnuoroda"/>
          <w:rFonts w:eastAsia="Calibri"/>
        </w:rPr>
        <w:footnoteReference w:id="48"/>
      </w:r>
      <w:r>
        <w:t xml:space="preserve"> apibrėžtų grėsmių, pavojų ir rizikos veiksnių nacionaliniam saugumui stebėsena vykdoma Vyriausybės nustatyta </w:t>
      </w:r>
      <w:r w:rsidRPr="00704D75">
        <w:t>Grėsmių Lietuvos Respublikos nacionaliniam saugumui stebėjimo, vertinimo ir perspėjimo apie grėsmes tvark</w:t>
      </w:r>
      <w:r>
        <w:t>a</w:t>
      </w:r>
      <w:r>
        <w:rPr>
          <w:rStyle w:val="Puslapioinaosnuoroda"/>
          <w:rFonts w:eastAsia="Calibri"/>
        </w:rPr>
        <w:footnoteReference w:id="49"/>
      </w:r>
      <w:r>
        <w:t xml:space="preserve">, kuri remiasi nustatytų grėsmių indikatorių stebėjimu ir vertinimu. Vyriausybės kanceliarija, </w:t>
      </w:r>
      <w:r w:rsidRPr="00704D75">
        <w:t xml:space="preserve">pagal kompetenciją dalyvaujant Lietuvos Respublikos nacionalinį saugumą užtikrinančioms institucijoms, koordinavo </w:t>
      </w:r>
      <w:r>
        <w:t>g</w:t>
      </w:r>
      <w:r w:rsidRPr="00704D75">
        <w:t xml:space="preserve">rėsmių vertinimą ir perspėjimą apie grėsmes, grėsmių prevencijos priemonių nustatymą ir įgyvendinimą. Dalis </w:t>
      </w:r>
      <w:r>
        <w:t xml:space="preserve">nustatytų grėsmių </w:t>
      </w:r>
      <w:r w:rsidRPr="00704D75">
        <w:t xml:space="preserve">prevencijos priemonių įtrauktos į Aštuonioliktosios Lietuvos Respublikos Vyriausybės programos nuostatų įgyvendinimo planą ir Lietuvos Respublikos nacionalinį saugumą užtikrinančių institucijų plėtros programas. </w:t>
      </w:r>
    </w:p>
    <w:p w14:paraId="6E6F160E" w14:textId="77777777" w:rsidR="008B10FF" w:rsidRDefault="008B10FF" w:rsidP="00E660EB">
      <w:pPr>
        <w:spacing w:line="250" w:lineRule="auto"/>
        <w:ind w:firstLine="709"/>
        <w:jc w:val="both"/>
      </w:pPr>
      <w:r>
        <w:t>Nacionalinį saugumą užtikrinančios institucijos y</w:t>
      </w:r>
      <w:r w:rsidRPr="00704D75">
        <w:t>pating</w:t>
      </w:r>
      <w:r>
        <w:t>ą</w:t>
      </w:r>
      <w:r w:rsidRPr="00704D75">
        <w:t xml:space="preserve"> dėmes</w:t>
      </w:r>
      <w:r>
        <w:t>į</w:t>
      </w:r>
      <w:r w:rsidRPr="00704D75">
        <w:t xml:space="preserve"> 2020 m. </w:t>
      </w:r>
      <w:r>
        <w:t>skyrė</w:t>
      </w:r>
      <w:r w:rsidRPr="00704D75">
        <w:t xml:space="preserve"> pasaulinės COVID-19 pandemijos ir Baltarusijos </w:t>
      </w:r>
      <w:r>
        <w:t xml:space="preserve">AE </w:t>
      </w:r>
      <w:r w:rsidRPr="00704D75">
        <w:t>keliamų grėsmių stebėsenai, vertinimui, šių grėsmių mažinimo priemonėms ir valstybės pasirengim</w:t>
      </w:r>
      <w:r>
        <w:t>o</w:t>
      </w:r>
      <w:r w:rsidRPr="00704D75">
        <w:t xml:space="preserve"> reaguoti į šias grėsmes</w:t>
      </w:r>
      <w:r>
        <w:t xml:space="preserve"> ir </w:t>
      </w:r>
      <w:r w:rsidRPr="00704D75">
        <w:t>jas valdyti stiprinimui</w:t>
      </w:r>
      <w:r>
        <w:t xml:space="preserve">, apibendrinant </w:t>
      </w:r>
      <w:r w:rsidRPr="00704D75">
        <w:t xml:space="preserve">nacionalinį saugumą užtikrinančių institucijų </w:t>
      </w:r>
      <w:r>
        <w:t xml:space="preserve">informaciją, </w:t>
      </w:r>
      <w:r w:rsidRPr="00704D75">
        <w:t>rengia</w:t>
      </w:r>
      <w:r>
        <w:t>nt</w:t>
      </w:r>
      <w:r w:rsidRPr="00704D75">
        <w:t xml:space="preserve"> ekspertinių darbo grupių pasitarim</w:t>
      </w:r>
      <w:r>
        <w:t xml:space="preserve">us, organizuojant </w:t>
      </w:r>
      <w:r w:rsidRPr="00704D75">
        <w:t xml:space="preserve">Jungtinės grėsmių prevencijos ir krizių valdymo grupės </w:t>
      </w:r>
      <w:r>
        <w:t xml:space="preserve">bei </w:t>
      </w:r>
      <w:r w:rsidRPr="00704D75">
        <w:t>Nacionalinio saugumo komisijos posėdži</w:t>
      </w:r>
      <w:r>
        <w:t xml:space="preserve">us, </w:t>
      </w:r>
      <w:r w:rsidRPr="00704D75">
        <w:t>koordinuo</w:t>
      </w:r>
      <w:r>
        <w:t xml:space="preserve">jant </w:t>
      </w:r>
      <w:r w:rsidRPr="00704D75">
        <w:t>strateginės komunikacijos klausim</w:t>
      </w:r>
      <w:r>
        <w:t>us</w:t>
      </w:r>
      <w:r w:rsidRPr="00704D75">
        <w:t>.</w:t>
      </w:r>
      <w:r>
        <w:t xml:space="preserve"> </w:t>
      </w:r>
      <w:r w:rsidRPr="00704D75">
        <w:t xml:space="preserve">2020 m. rugpjūčio 26 d. Vyriausybės nutarimu </w:t>
      </w:r>
      <w:r>
        <w:t>nustatyta S</w:t>
      </w:r>
      <w:r w:rsidRPr="00704D75">
        <w:t>trateginės komunikacijos nacionalinio saugumo srityje koordinavimo tvark</w:t>
      </w:r>
      <w:r>
        <w:t>a</w:t>
      </w:r>
      <w:r>
        <w:rPr>
          <w:rStyle w:val="Puslapioinaosnuoroda"/>
          <w:rFonts w:eastAsia="Calibri"/>
        </w:rPr>
        <w:footnoteReference w:id="50"/>
      </w:r>
      <w:r>
        <w:t xml:space="preserve">, pagal kurią, </w:t>
      </w:r>
      <w:r w:rsidRPr="00704D75">
        <w:t>strateginę komunikaciją grėsmių prevencijos klausimais koordinuo</w:t>
      </w:r>
      <w:r>
        <w:t xml:space="preserve">ja </w:t>
      </w:r>
      <w:r w:rsidRPr="00704D75">
        <w:t>Vyriausybės kanceliarija</w:t>
      </w:r>
      <w:r>
        <w:t xml:space="preserve">. </w:t>
      </w:r>
    </w:p>
    <w:p w14:paraId="36AE03F5" w14:textId="77777777" w:rsidR="008B10FF" w:rsidRDefault="008B10FF" w:rsidP="00E660EB">
      <w:pPr>
        <w:spacing w:line="250" w:lineRule="auto"/>
        <w:ind w:firstLine="709"/>
        <w:jc w:val="both"/>
        <w:rPr>
          <w:szCs w:val="24"/>
        </w:rPr>
      </w:pPr>
      <w:r>
        <w:rPr>
          <w:szCs w:val="24"/>
        </w:rPr>
        <w:t xml:space="preserve">Pažymėtina, kad numatyta atnaujinti Nacionalinio saugumo strategiją, siekiant įgyvendinti Vyriausybės programos nuostatas, kad Nacionalinio saugumo strategija bus pamatinis dokumentas, jungiantis atskirų sričių saugumo politikos elementus į vientisą visumą, ir Seimo Nacionalinio saugumo ir gynybos komiteto 2020 m. lapkričio 25 d. posėdžio sprendimą pradėti šios strategijos peržiūrą. Atitinkamai, atsižvelgiant į atnaujintos Nacionalinio saugumo strategijos nuostatas, reikės toliau plėtoti ir tobulinti indikatorių sistema paremtą grėsmių, rizikos ir pavojų stebėjimo, vertinimo ir perspėjimo apie grėsmes sistemą. </w:t>
      </w:r>
    </w:p>
    <w:bookmarkEnd w:id="79"/>
    <w:p w14:paraId="4CDAA4FF"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Žvalgybos institucijų pajėgumų stiprinimas </w:t>
      </w:r>
    </w:p>
    <w:p w14:paraId="7AF8A00D" w14:textId="77777777" w:rsidR="008B10FF" w:rsidRDefault="008B10FF" w:rsidP="00E660EB">
      <w:pPr>
        <w:spacing w:line="250" w:lineRule="auto"/>
        <w:ind w:firstLine="709"/>
        <w:jc w:val="both"/>
        <w:rPr>
          <w:color w:val="000000"/>
        </w:rPr>
      </w:pPr>
      <w:r>
        <w:rPr>
          <w:color w:val="000000"/>
        </w:rPr>
        <w:t>Valstybės saugumo departamentas 2020 m. vykdė programą „Valstybės suvereniteto, ekonominių ir konstitucinių pagrindų saugumas, kova su terorizmu“. 2020 m. buvo įgyvendinami Valstybės gynimo tarybos patvirtintoje Valstybės saugumo departamento strategijoje nustatyti tikslai ir uždaviniai, plėtojami Valstybės saugumo departamento techniniai pajėgumai, siekiant, kad jie atitiktų ne tik bendrą technologinę pažangą, bet ir sparčiai tobulėjančias priešiškų žvalgybos ir saugumo tarnybų galimybes, jų taikomų metodų keliamus iššūkius. Buvo plėtojama visapusiška kontržvalgybinių grėsmių prevencijos sistema, leisianti identifikuoti kontržvalgybines grėsmes jautriausiose srityse. Taip pat ypatingas dėmesys skirtas žvalgybos pareigūnų kvalifikacijos tobulinimui, toliau buvo diegiama integrali žvalgybos pareigūnų kompetencijų ir kvalifikacijos tobulinimo sistema.</w:t>
      </w:r>
    </w:p>
    <w:p w14:paraId="2F2115A0" w14:textId="77777777" w:rsidR="008B10FF" w:rsidRDefault="008B10FF" w:rsidP="00E660EB">
      <w:pPr>
        <w:tabs>
          <w:tab w:val="left" w:pos="567"/>
        </w:tabs>
        <w:spacing w:line="250" w:lineRule="auto"/>
        <w:ind w:firstLine="709"/>
        <w:jc w:val="both"/>
        <w:rPr>
          <w:szCs w:val="24"/>
        </w:rPr>
      </w:pPr>
      <w:r w:rsidRPr="00EC6BAD">
        <w:rPr>
          <w:szCs w:val="24"/>
        </w:rPr>
        <w:t>2020 m. Antrasis operatyvinių tarnybų departamentas prie K</w:t>
      </w:r>
      <w:r w:rsidRPr="006F0C63">
        <w:rPr>
          <w:szCs w:val="24"/>
        </w:rPr>
        <w:t>rašto apsaugos ministerijos</w:t>
      </w:r>
      <w:r w:rsidRPr="00EC6BAD">
        <w:rPr>
          <w:szCs w:val="24"/>
        </w:rPr>
        <w:t xml:space="preserve"> toliau</w:t>
      </w:r>
      <w:r>
        <w:rPr>
          <w:szCs w:val="24"/>
        </w:rPr>
        <w:t xml:space="preserve"> vystė</w:t>
      </w:r>
      <w:r w:rsidRPr="007360E3">
        <w:rPr>
          <w:szCs w:val="24"/>
        </w:rPr>
        <w:t xml:space="preserve"> žvalgybos ir kontržvalgybos pajėgumus, kurie užtikrino prioritetinių žvalgybos užduočių vykdymą. Taikytos aktyvios ir pasyvios žvalgybos bei kontržvalgybos priemonės </w:t>
      </w:r>
      <w:r>
        <w:rPr>
          <w:szCs w:val="24"/>
        </w:rPr>
        <w:t>leido laiku nustatyti</w:t>
      </w:r>
      <w:r w:rsidRPr="007360E3">
        <w:rPr>
          <w:szCs w:val="24"/>
        </w:rPr>
        <w:t xml:space="preserve"> rizikos veiksni</w:t>
      </w:r>
      <w:r>
        <w:rPr>
          <w:szCs w:val="24"/>
        </w:rPr>
        <w:t>us</w:t>
      </w:r>
      <w:r w:rsidRPr="007360E3">
        <w:rPr>
          <w:szCs w:val="24"/>
        </w:rPr>
        <w:t>, pavoj</w:t>
      </w:r>
      <w:r>
        <w:rPr>
          <w:szCs w:val="24"/>
        </w:rPr>
        <w:t>us</w:t>
      </w:r>
      <w:r w:rsidRPr="007360E3">
        <w:rPr>
          <w:szCs w:val="24"/>
        </w:rPr>
        <w:t xml:space="preserve"> ir grėsm</w:t>
      </w:r>
      <w:r>
        <w:rPr>
          <w:szCs w:val="24"/>
        </w:rPr>
        <w:t>es</w:t>
      </w:r>
      <w:r w:rsidRPr="007360E3">
        <w:rPr>
          <w:szCs w:val="24"/>
        </w:rPr>
        <w:t>, galinči</w:t>
      </w:r>
      <w:r>
        <w:rPr>
          <w:szCs w:val="24"/>
        </w:rPr>
        <w:t>as</w:t>
      </w:r>
      <w:r w:rsidRPr="007360E3">
        <w:rPr>
          <w:szCs w:val="24"/>
        </w:rPr>
        <w:t xml:space="preserve"> turėti reikšmės šalies gynybinei galiai ir </w:t>
      </w:r>
      <w:r>
        <w:rPr>
          <w:szCs w:val="24"/>
        </w:rPr>
        <w:t xml:space="preserve">krašto apsaugos sistemos </w:t>
      </w:r>
      <w:r w:rsidRPr="007360E3">
        <w:rPr>
          <w:szCs w:val="24"/>
        </w:rPr>
        <w:t xml:space="preserve">saugumui,  </w:t>
      </w:r>
      <w:r>
        <w:rPr>
          <w:szCs w:val="24"/>
        </w:rPr>
        <w:t xml:space="preserve">apie tai </w:t>
      </w:r>
      <w:r w:rsidRPr="007360E3">
        <w:rPr>
          <w:szCs w:val="24"/>
        </w:rPr>
        <w:t>inform</w:t>
      </w:r>
      <w:r>
        <w:rPr>
          <w:szCs w:val="24"/>
        </w:rPr>
        <w:t>uoti</w:t>
      </w:r>
      <w:r w:rsidRPr="007360E3">
        <w:rPr>
          <w:szCs w:val="24"/>
        </w:rPr>
        <w:t xml:space="preserve"> ir </w:t>
      </w:r>
      <w:r>
        <w:rPr>
          <w:szCs w:val="24"/>
        </w:rPr>
        <w:t xml:space="preserve">šias grėsmes </w:t>
      </w:r>
      <w:r w:rsidRPr="007360E3">
        <w:rPr>
          <w:szCs w:val="24"/>
        </w:rPr>
        <w:t>šalin</w:t>
      </w:r>
      <w:r>
        <w:rPr>
          <w:szCs w:val="24"/>
        </w:rPr>
        <w:t>ti</w:t>
      </w:r>
      <w:r w:rsidRPr="007360E3">
        <w:rPr>
          <w:szCs w:val="24"/>
        </w:rPr>
        <w:t>.</w:t>
      </w:r>
    </w:p>
    <w:p w14:paraId="23475B31"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bookmarkStart w:id="81" w:name="_Hlk3285449"/>
      <w:bookmarkStart w:id="82" w:name="_Hlk34205533"/>
      <w:bookmarkStart w:id="83" w:name="_Hlk34204577"/>
      <w:r w:rsidRPr="00A91669">
        <w:rPr>
          <w:rFonts w:ascii="Times New Roman" w:hAnsi="Times New Roman"/>
          <w:b/>
          <w:bCs/>
          <w:color w:val="17365D" w:themeColor="text2" w:themeShade="BF"/>
        </w:rPr>
        <w:t xml:space="preserve">Valstybės krizių prevencijos ir valdymo pajėgumų stiprinimas </w:t>
      </w:r>
    </w:p>
    <w:p w14:paraId="038225E5" w14:textId="77777777" w:rsidR="008B10FF" w:rsidRDefault="008B10FF" w:rsidP="00E660EB">
      <w:pPr>
        <w:tabs>
          <w:tab w:val="left" w:pos="567"/>
        </w:tabs>
        <w:spacing w:line="250" w:lineRule="auto"/>
        <w:ind w:firstLine="709"/>
        <w:jc w:val="both"/>
      </w:pPr>
      <w:r w:rsidRPr="00BA598C">
        <w:t xml:space="preserve">2020 m. toliau vykdyta mobilizacijos sistemos pertvarka. Parengtas ir priimtas </w:t>
      </w:r>
      <w:r>
        <w:t>M</w:t>
      </w:r>
      <w:r w:rsidRPr="00BA598C">
        <w:t xml:space="preserve">obilizacijos ir priimančiosios šalies paramos įstatymo pakeitimo įstatymas, kuriuo sukuriamos prielaidos kokybiškai naujam </w:t>
      </w:r>
      <w:r w:rsidRPr="00BA598C">
        <w:lastRenderedPageBreak/>
        <w:t xml:space="preserve">mobilizacijos valdymui, planavimui, pasirengimui, išteklių sutelkimui. Sukurta mobilizacijos valdymo sistema – Valstybės mobilizacijos operacijų centras </w:t>
      </w:r>
      <w:r>
        <w:t>ir</w:t>
      </w:r>
      <w:r w:rsidRPr="00BA598C">
        <w:t xml:space="preserve"> mobilizacijos valdymo grupės. Taip pat pakeista mobilizacinių ir priimančiosios šalies paramos mokymų paskirtis – numatyta, kad organizuojant mokymus </w:t>
      </w:r>
      <w:r>
        <w:t>didžiausias</w:t>
      </w:r>
      <w:r w:rsidRPr="00BA598C">
        <w:t xml:space="preserve"> dėmesys bus skiriamas mobilizacijos ir priimančiosios šalies paramos valdymo veiksmams, tarpinstituciniam bendradarbiavimui </w:t>
      </w:r>
      <w:r>
        <w:t>ir</w:t>
      </w:r>
      <w:r w:rsidRPr="00BA598C">
        <w:t xml:space="preserve"> tarpinst</w:t>
      </w:r>
      <w:r>
        <w:t>it</w:t>
      </w:r>
      <w:r w:rsidRPr="00BA598C">
        <w:t>ucinių veiksmų koordinavimui. Buvo supaprastintas ir susistemintas išteklių sutelkimo ir paskirstymo mechanizmas – supaprastintos rekvizuojamo ir (ar) laikinai paimamo turto planavimo ir paėmimo procedūros, sukurta mobilizacinių išteklių apskaitos sistema – Valstybės mobilizacinių galimybių katalogas.</w:t>
      </w:r>
    </w:p>
    <w:p w14:paraId="32F4736C" w14:textId="77777777" w:rsidR="008B10FF" w:rsidRDefault="008B10FF" w:rsidP="00E660EB">
      <w:pPr>
        <w:tabs>
          <w:tab w:val="left" w:pos="567"/>
        </w:tabs>
        <w:spacing w:line="250" w:lineRule="auto"/>
        <w:ind w:firstLine="709"/>
        <w:jc w:val="both"/>
      </w:pPr>
      <w:r>
        <w:t>Jungtinė Grėsmių valdymo ir krizių prevencijos grupė ir ją remiančios ekspertinės darbo grupės sprendė problemas, kurioms reikia</w:t>
      </w:r>
      <w:r w:rsidRPr="000808B3">
        <w:t xml:space="preserve"> </w:t>
      </w:r>
      <w:r>
        <w:t>tarpinstitucinio atsako, susijusias su nacionaliniu saugumu ir valstybės atsparumo stiprinimu: valstybės ir savivaldybių institucijų pasirengimas galimai branduolinei ar radiologinei avarijai Baltarusijos atominėje elektrinėje, valstybės ir savivaldybių institucijose naudojamos nesaugios vaizdo stebėjimo ir įrašymo technikos rizikų vertinimas ir būdai jas suvaldyti, paaštrėjusi saugumo situacija Viduriniuose Rytuose, prieglobsčio prašytojų (Vidurinė Azija) piktnaudžiavimas prieglobsčio suteikimo Lietuvoje procedūromis ir su tuo susijusių prevencinių priemonių taikymas, geležinkelio ruožo ties Lietuvos</w:t>
      </w:r>
      <w:r>
        <w:rPr>
          <w:szCs w:val="24"/>
        </w:rPr>
        <w:t>–</w:t>
      </w:r>
      <w:r>
        <w:t>Baltarusijos siena atstatymas ir su tuos susijusios rizikos valdymas, porinkiminės situacijos Baltarusijoje vertinimas ir pasirengimas valdyti su tuo susijusią galimą riziką.</w:t>
      </w:r>
      <w:bookmarkEnd w:id="81"/>
    </w:p>
    <w:p w14:paraId="66FCB6AC" w14:textId="77777777" w:rsidR="008B10FF" w:rsidRDefault="008B10FF" w:rsidP="00E660EB">
      <w:pPr>
        <w:tabs>
          <w:tab w:val="left" w:pos="567"/>
        </w:tabs>
        <w:spacing w:line="250" w:lineRule="auto"/>
        <w:ind w:firstLine="709"/>
        <w:jc w:val="both"/>
        <w:rPr>
          <w:szCs w:val="24"/>
        </w:rPr>
      </w:pPr>
      <w:r>
        <w:rPr>
          <w:szCs w:val="24"/>
        </w:rPr>
        <w:t xml:space="preserve">Siekiant veiksmingos </w:t>
      </w:r>
      <w:r w:rsidRPr="00605967">
        <w:rPr>
          <w:color w:val="000000"/>
          <w:szCs w:val="24"/>
        </w:rPr>
        <w:t>bendr</w:t>
      </w:r>
      <w:r>
        <w:rPr>
          <w:color w:val="000000"/>
          <w:szCs w:val="24"/>
        </w:rPr>
        <w:t>os</w:t>
      </w:r>
      <w:r w:rsidRPr="00605967">
        <w:rPr>
          <w:color w:val="000000"/>
          <w:szCs w:val="24"/>
        </w:rPr>
        <w:t xml:space="preserve"> krizių ir ekstremaliųjų situacijų valdymo sistem</w:t>
      </w:r>
      <w:r>
        <w:rPr>
          <w:color w:val="000000"/>
          <w:szCs w:val="24"/>
        </w:rPr>
        <w:t xml:space="preserve">os, kuri užtikrintų labiau koordinuotą ir efektyvų </w:t>
      </w:r>
      <w:r w:rsidRPr="00605967">
        <w:rPr>
          <w:color w:val="000000"/>
          <w:szCs w:val="24"/>
        </w:rPr>
        <w:t>valstybės pasirengim</w:t>
      </w:r>
      <w:r>
        <w:rPr>
          <w:color w:val="000000"/>
          <w:szCs w:val="24"/>
        </w:rPr>
        <w:t>ą</w:t>
      </w:r>
      <w:r w:rsidRPr="00605967">
        <w:rPr>
          <w:color w:val="000000"/>
          <w:szCs w:val="24"/>
        </w:rPr>
        <w:t xml:space="preserve"> krizėms</w:t>
      </w:r>
      <w:r>
        <w:rPr>
          <w:color w:val="000000"/>
          <w:szCs w:val="24"/>
        </w:rPr>
        <w:t xml:space="preserve">, </w:t>
      </w:r>
      <w:r w:rsidRPr="00605967">
        <w:rPr>
          <w:color w:val="000000"/>
          <w:szCs w:val="24"/>
        </w:rPr>
        <w:t>branduolinėms ar kitoms galimoms nelaimėms</w:t>
      </w:r>
      <w:r>
        <w:rPr>
          <w:color w:val="000000"/>
          <w:szCs w:val="24"/>
        </w:rPr>
        <w:t>, numatyta s</w:t>
      </w:r>
      <w:r w:rsidRPr="00E472ED">
        <w:rPr>
          <w:szCs w:val="24"/>
        </w:rPr>
        <w:t>ukurti nacionalinio lygmens ekstremaliųjų situacijų ir krizių valdymo centro steigimo modelį</w:t>
      </w:r>
      <w:r w:rsidRPr="00041646">
        <w:rPr>
          <w:szCs w:val="24"/>
        </w:rPr>
        <w:t>. Reaguojant į šiuolaikinius valstybės saugumui kylančius iššūkius, krizių valdymo sistema turėtų būti integrali nacionalinio saugumo sistemos planavimo ir valdymo dali</w:t>
      </w:r>
      <w:r>
        <w:rPr>
          <w:szCs w:val="24"/>
        </w:rPr>
        <w:t>s,</w:t>
      </w:r>
      <w:r w:rsidRPr="00041646">
        <w:rPr>
          <w:szCs w:val="24"/>
        </w:rPr>
        <w:t xml:space="preserve"> kuriama vadovaujantis visuotinio saugumo principu, kuris remiasi ne tik kariuome</w:t>
      </w:r>
      <w:r w:rsidRPr="00AE2D48">
        <w:rPr>
          <w:szCs w:val="24"/>
        </w:rPr>
        <w:t>nės, bet ir visos valstybės, jos piliečių aktyviu dalyvavimu ir pasirengimu tiek ginkluotai gynybai, tiek nekarinėms grėsmėms</w:t>
      </w:r>
      <w:r>
        <w:rPr>
          <w:szCs w:val="24"/>
        </w:rPr>
        <w:t xml:space="preserve">, </w:t>
      </w:r>
      <w:r w:rsidRPr="00AE2D48">
        <w:rPr>
          <w:szCs w:val="24"/>
        </w:rPr>
        <w:t>valstybės institucijų ir visuomenės įsitraukimu</w:t>
      </w:r>
      <w:r>
        <w:rPr>
          <w:szCs w:val="24"/>
        </w:rPr>
        <w:t>,</w:t>
      </w:r>
      <w:r w:rsidRPr="00AE2D48">
        <w:rPr>
          <w:szCs w:val="24"/>
        </w:rPr>
        <w:t xml:space="preserve"> sujungiant karinių ir civilinių valstybės institucijų, privataus sektoriaus ir visuomenės veiksmus didinant atsparumą, pasirengimą ir koordinuotą atsaką į Lietuvai kylančias grėsmes.  </w:t>
      </w:r>
    </w:p>
    <w:p w14:paraId="07F8C66B" w14:textId="77777777" w:rsidR="008B10FF" w:rsidRDefault="008B10FF" w:rsidP="00E660EB">
      <w:pPr>
        <w:tabs>
          <w:tab w:val="left" w:pos="567"/>
        </w:tabs>
        <w:spacing w:line="250" w:lineRule="auto"/>
        <w:ind w:firstLine="709"/>
        <w:jc w:val="both"/>
        <w:rPr>
          <w:szCs w:val="24"/>
        </w:rPr>
      </w:pPr>
      <w:r w:rsidRPr="00041646">
        <w:rPr>
          <w:szCs w:val="24"/>
        </w:rPr>
        <w:t>Ministro Pirmininko 2021 m. vasario 1 d. potvarkiu sudaryta tarpinstitucinė darbo grupė,</w:t>
      </w:r>
      <w:r w:rsidRPr="00041646">
        <w:rPr>
          <w:b/>
          <w:bCs/>
          <w:szCs w:val="24"/>
        </w:rPr>
        <w:t xml:space="preserve"> </w:t>
      </w:r>
      <w:r w:rsidRPr="00041646">
        <w:rPr>
          <w:szCs w:val="24"/>
        </w:rPr>
        <w:t>kuriai pavesta parengti ir Vyriausybei pateikti pasiūlymus dėl krizių ir ekstremaliųjų situacijų valdymo modelio ir jo įgyvendinimo veiksmų plano</w:t>
      </w:r>
      <w:r>
        <w:rPr>
          <w:szCs w:val="24"/>
        </w:rPr>
        <w:t xml:space="preserve">. </w:t>
      </w:r>
    </w:p>
    <w:p w14:paraId="6DE0B9DB"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Civilinės saugos stiprinimas </w:t>
      </w:r>
    </w:p>
    <w:p w14:paraId="6146EF3B" w14:textId="47C62622" w:rsidR="008B10FF" w:rsidRDefault="008B10FF" w:rsidP="00E660EB">
      <w:pPr>
        <w:pStyle w:val="standard0"/>
        <w:spacing w:before="0" w:beforeAutospacing="0" w:after="0" w:afterAutospacing="0" w:line="250" w:lineRule="auto"/>
        <w:ind w:right="57" w:firstLine="709"/>
        <w:jc w:val="both"/>
        <w:rPr>
          <w:color w:val="000000"/>
        </w:rPr>
      </w:pPr>
      <w:r>
        <w:rPr>
          <w:iCs/>
        </w:rPr>
        <w:t xml:space="preserve">Artimiausio laikotarpio prioritetas, įgyvendinant nacionalinio saugumo politikos uždavinius civilinės saugos srityje – </w:t>
      </w:r>
      <w:r w:rsidRPr="00CF5D17">
        <w:rPr>
          <w:iCs/>
        </w:rPr>
        <w:t xml:space="preserve">sukurti </w:t>
      </w:r>
      <w:r w:rsidR="00060E78">
        <w:rPr>
          <w:rFonts w:eastAsia="SimSun"/>
          <w:color w:val="000000"/>
        </w:rPr>
        <w:t>integruotą</w:t>
      </w:r>
      <w:r w:rsidRPr="00CF5D17">
        <w:rPr>
          <w:rFonts w:eastAsia="SimSun"/>
          <w:color w:val="000000"/>
        </w:rPr>
        <w:t xml:space="preserve"> ir efektyvią krizių ir ekstremalių situacijų valdymo sistemą</w:t>
      </w:r>
      <w:r w:rsidRPr="00CF5D17">
        <w:rPr>
          <w:color w:val="000000"/>
        </w:rPr>
        <w:t>.</w:t>
      </w:r>
    </w:p>
    <w:p w14:paraId="7954A131" w14:textId="77777777" w:rsidR="008B10FF" w:rsidRDefault="008B10FF" w:rsidP="00E660EB">
      <w:pPr>
        <w:pStyle w:val="standard0"/>
        <w:spacing w:before="0" w:beforeAutospacing="0" w:after="0" w:afterAutospacing="0" w:line="250" w:lineRule="auto"/>
        <w:ind w:right="57" w:firstLine="709"/>
        <w:jc w:val="both"/>
        <w:rPr>
          <w:color w:val="000000"/>
        </w:rPr>
      </w:pPr>
      <w:r>
        <w:rPr>
          <w:color w:val="000000"/>
        </w:rPr>
        <w:t>2020 m. p</w:t>
      </w:r>
      <w:r w:rsidRPr="00C60277">
        <w:rPr>
          <w:color w:val="000000"/>
        </w:rPr>
        <w:t xml:space="preserve">arengti ir Seimo priimti </w:t>
      </w:r>
      <w:r>
        <w:rPr>
          <w:color w:val="000000"/>
        </w:rPr>
        <w:t>C</w:t>
      </w:r>
      <w:r w:rsidRPr="00C60277">
        <w:rPr>
          <w:color w:val="000000"/>
        </w:rPr>
        <w:t>ivilinės saugos įstatymo pakeitimai, kuriais, siekiant užtikrinti veiksmingesnį ir greitesnį ekstremaliųjų situacijų valdymą, patikslintos Vyriausybės ekstremalių situacijų komisijos ir valstybės operacijų vadovo kompetencijos, aiškiau reglamentuota vietos savivaldos ir centrinės valdžios sąveika ir atsakomybė bei ekstremaliosios situacijos likvidavimo, padarinių šalinimo ir informacijos teikimo gyventojams koordinavimo mechanizmai.</w:t>
      </w:r>
      <w:r>
        <w:rPr>
          <w:color w:val="000000"/>
        </w:rPr>
        <w:t xml:space="preserve"> Tobulintas karantino režimo reglamentavimas Žmogaus užkrečiamųjų ligų kontrolės ir prevencijos įstatyme, siekiant geresnio COVID-19 pandemijos sukeltos situacijos valdymo, Civilinės saugos ir kituose įstatymuose nustatyta pareiga valstybės institucijoms, įstaigoms ir savivaldybėms tam tikram laikotarpiui turėti sukauptas asmeninės apsaugos priemones ir kitas veiklos vykdymui užtikrinti būtinas priemones.</w:t>
      </w:r>
    </w:p>
    <w:p w14:paraId="3EB8D12F" w14:textId="77777777" w:rsidR="008B10FF" w:rsidRDefault="008B10FF" w:rsidP="00E660EB">
      <w:pPr>
        <w:pStyle w:val="Standard"/>
        <w:spacing w:line="250" w:lineRule="auto"/>
        <w:ind w:left="57" w:right="57" w:firstLine="709"/>
        <w:jc w:val="both"/>
        <w:rPr>
          <w:color w:val="000000"/>
        </w:rPr>
      </w:pPr>
      <w:r w:rsidRPr="00B35C1A">
        <w:t xml:space="preserve">2020 m. peržiūrėta ir atnaujinta Lietuvos nacionalinės sveikatos sistemos galimų pavojų ir ekstremaliųjų situacijų rizikos analizė. Vykdydamas asmens ir visuomenės sveikatos priežiūros įstaigų parengties ekstremaliosioms situacijoms stebėseną, </w:t>
      </w:r>
      <w:r>
        <w:t xml:space="preserve">Sveikatos apsaugos ministerijos </w:t>
      </w:r>
      <w:r w:rsidRPr="00B35C1A">
        <w:t>E</w:t>
      </w:r>
      <w:r>
        <w:t xml:space="preserve">kstremalių sveikatai situacijų centras </w:t>
      </w:r>
      <w:r w:rsidRPr="00B35C1A">
        <w:t xml:space="preserve">2020 m. patikrino 21 </w:t>
      </w:r>
      <w:r>
        <w:t>asmens sveikatos priežiūros įstaigą</w:t>
      </w:r>
      <w:r w:rsidRPr="00B35C1A">
        <w:t xml:space="preserve"> ir įvertino 52 asmens ir visuomenės sveikatos priežiūros įstaigų </w:t>
      </w:r>
      <w:bookmarkStart w:id="84" w:name="_Hlk60827594"/>
      <w:r w:rsidRPr="00B35C1A">
        <w:t>ekstremaliųjų situacijų valdymo plan</w:t>
      </w:r>
      <w:bookmarkEnd w:id="84"/>
      <w:r w:rsidRPr="00B35C1A">
        <w:t>us.</w:t>
      </w:r>
      <w:r w:rsidRPr="008D5B5A">
        <w:t xml:space="preserve"> </w:t>
      </w:r>
      <w:r>
        <w:t>Sveikatos apsaugos ministerija, a</w:t>
      </w:r>
      <w:r w:rsidRPr="00B35C1A">
        <w:t>pibendrinus</w:t>
      </w:r>
      <w:r>
        <w:t>i</w:t>
      </w:r>
      <w:r w:rsidRPr="00B35C1A">
        <w:t xml:space="preserve"> ekstremaliosios situacijos valdyme dalyvaujančių remiančiųjų institucijų pateiktą informaciją, Lietuvos nacionalinės sveikatos sistemos poreikius </w:t>
      </w:r>
      <w:r>
        <w:t>ir</w:t>
      </w:r>
      <w:r w:rsidRPr="00B35C1A">
        <w:t xml:space="preserve"> įvertinus</w:t>
      </w:r>
      <w:r>
        <w:t>i</w:t>
      </w:r>
      <w:r w:rsidRPr="00B35C1A">
        <w:t xml:space="preserve"> </w:t>
      </w:r>
      <w:r>
        <w:t>ministerijos</w:t>
      </w:r>
      <w:r w:rsidRPr="00B35C1A">
        <w:t xml:space="preserve"> tvarkomą valstybės medicinos atsargų rezervą, pareng</w:t>
      </w:r>
      <w:r>
        <w:t>ė</w:t>
      </w:r>
      <w:r w:rsidRPr="00B35C1A">
        <w:t xml:space="preserve"> informacij</w:t>
      </w:r>
      <w:r>
        <w:t>ą</w:t>
      </w:r>
      <w:r w:rsidRPr="00B35C1A">
        <w:t xml:space="preserve"> Priešgaisrinės apsaugos ir gelbėjimo departamentui prie Vidaus reikalų ministerijos apie sveikatos sektoriaus materialinių išteklių (asmens apsaugos priemonių, įrangos, dezinfekavimo priemonių ir </w:t>
      </w:r>
      <w:r>
        <w:t>kt.</w:t>
      </w:r>
      <w:r w:rsidRPr="00B35C1A">
        <w:t>), papildomą (trūkstamą) poreikį pavestiems darbams vykdyti.</w:t>
      </w:r>
    </w:p>
    <w:p w14:paraId="533DBFA1" w14:textId="77777777" w:rsidR="008B10FF" w:rsidRDefault="008B10FF" w:rsidP="00E660EB">
      <w:pPr>
        <w:spacing w:line="250" w:lineRule="auto"/>
        <w:ind w:firstLine="709"/>
        <w:jc w:val="both"/>
        <w:rPr>
          <w:rFonts w:eastAsia="Calibri"/>
          <w:szCs w:val="24"/>
        </w:rPr>
      </w:pPr>
      <w:r w:rsidRPr="006F0C63">
        <w:rPr>
          <w:rFonts w:eastAsia="Calibri"/>
          <w:iCs/>
          <w:szCs w:val="24"/>
        </w:rPr>
        <w:lastRenderedPageBreak/>
        <w:t xml:space="preserve">2020 m. buvo </w:t>
      </w:r>
      <w:r w:rsidRPr="006F0C63">
        <w:rPr>
          <w:rFonts w:eastAsia="Calibri"/>
          <w:szCs w:val="24"/>
        </w:rPr>
        <w:t xml:space="preserve">atnaujintas </w:t>
      </w:r>
      <w:r>
        <w:rPr>
          <w:rFonts w:eastAsia="Calibri"/>
          <w:szCs w:val="24"/>
        </w:rPr>
        <w:t xml:space="preserve">Krašto apsaugos ministerijos </w:t>
      </w:r>
      <w:r w:rsidRPr="006F0C63">
        <w:rPr>
          <w:rFonts w:eastAsia="Calibri"/>
          <w:szCs w:val="24"/>
        </w:rPr>
        <w:t xml:space="preserve">ekstremaliųjų situacijų valdymo planas ir sudarytas </w:t>
      </w:r>
      <w:r>
        <w:rPr>
          <w:rFonts w:eastAsia="Calibri"/>
          <w:szCs w:val="24"/>
        </w:rPr>
        <w:t>Krašto apsaugos sistemos</w:t>
      </w:r>
      <w:r w:rsidRPr="006F0C63">
        <w:rPr>
          <w:rFonts w:eastAsia="Calibri"/>
          <w:szCs w:val="24"/>
        </w:rPr>
        <w:t xml:space="preserve"> institucijų 2020–2022 m</w:t>
      </w:r>
      <w:r>
        <w:rPr>
          <w:rFonts w:eastAsia="Calibri"/>
          <w:szCs w:val="24"/>
        </w:rPr>
        <w:t>.</w:t>
      </w:r>
      <w:r w:rsidRPr="006F0C63">
        <w:rPr>
          <w:rFonts w:eastAsia="Calibri"/>
          <w:szCs w:val="24"/>
        </w:rPr>
        <w:t xml:space="preserve"> ekstremaliųjų situacijų prevencijos priemonių planas, kuriame numatyti veiksmai ir priemonės, padėsiantys sumažinti ekstremaliųjų situacijų rizikos grėsmes ir</w:t>
      </w:r>
      <w:r w:rsidRPr="0050780B">
        <w:rPr>
          <w:rFonts w:eastAsia="Calibri"/>
          <w:szCs w:val="24"/>
        </w:rPr>
        <w:t xml:space="preserve"> pavojus.</w:t>
      </w:r>
    </w:p>
    <w:p w14:paraId="02ED6F3D" w14:textId="77777777" w:rsidR="008B10FF" w:rsidRPr="00BC0A61" w:rsidRDefault="008B10FF" w:rsidP="00E660EB">
      <w:pPr>
        <w:spacing w:line="250" w:lineRule="auto"/>
        <w:ind w:firstLine="709"/>
        <w:jc w:val="both"/>
        <w:rPr>
          <w:szCs w:val="24"/>
        </w:rPr>
      </w:pPr>
      <w:r w:rsidRPr="00BC0A61">
        <w:rPr>
          <w:color w:val="000000"/>
          <w:szCs w:val="24"/>
        </w:rPr>
        <w:t xml:space="preserve">Siekdama stiprinti civilinės saugos sistemos parengtį, Energetikos ministerija 2020 m. organizavo institucinio lygio civilinės saugos stalo pratybas </w:t>
      </w:r>
      <w:r w:rsidRPr="00BC0A61">
        <w:rPr>
          <w:szCs w:val="24"/>
        </w:rPr>
        <w:t>,,Energetikos ministerijos ir energetikos įmonių veiksmai, įvykus kibernetinei atakai, dėl kurios įvyksta reikšmingi elektros energetikos sistemos sutrikimai“, kuri</w:t>
      </w:r>
      <w:r>
        <w:rPr>
          <w:szCs w:val="24"/>
        </w:rPr>
        <w:t xml:space="preserve">ų tikslas – </w:t>
      </w:r>
      <w:r w:rsidRPr="00BC0A61">
        <w:rPr>
          <w:szCs w:val="24"/>
        </w:rPr>
        <w:t>tobulinti Energetikos ministerijos ekstremaliųjų situacijų operacijų centro ir energetikos įmonių gebėjimus atlikti veiksmus ekstremaliųjų įvykių ir (ar) ekstremaliųjų situacijų elektros sektoriuje metu, siekiant užtikrinti elektros tiekimą vartotojams, taip pat patikrinti Energetikos ministerijos ir energetikos įmonių ekstremaliųjų situacijų valdymo planų efektyvumą. Ši</w:t>
      </w:r>
      <w:r>
        <w:rPr>
          <w:szCs w:val="24"/>
        </w:rPr>
        <w:t>am</w:t>
      </w:r>
      <w:r w:rsidRPr="00BC0A61">
        <w:rPr>
          <w:szCs w:val="24"/>
        </w:rPr>
        <w:t xml:space="preserve"> tikslu</w:t>
      </w:r>
      <w:r>
        <w:rPr>
          <w:szCs w:val="24"/>
        </w:rPr>
        <w:t>i</w:t>
      </w:r>
      <w:r w:rsidRPr="00BC0A61">
        <w:rPr>
          <w:szCs w:val="24"/>
        </w:rPr>
        <w:t xml:space="preserve"> buvo nagrinėjami aktualūs  civilinę saugą reglamentuojantys teisės aktai, nustatyti trūkumai, teikiami pasiūlymai jiems gerinti, priimti atitinkami ekstremaliųjų situacijų valdymo planų pakeitimai. </w:t>
      </w:r>
    </w:p>
    <w:p w14:paraId="69D13247" w14:textId="77777777" w:rsidR="008B10FF" w:rsidRDefault="008B10FF" w:rsidP="00E660EB">
      <w:pPr>
        <w:spacing w:line="250" w:lineRule="auto"/>
        <w:ind w:firstLine="709"/>
        <w:jc w:val="both"/>
        <w:rPr>
          <w:szCs w:val="24"/>
        </w:rPr>
      </w:pPr>
      <w:r w:rsidRPr="00BC0A61">
        <w:rPr>
          <w:szCs w:val="24"/>
        </w:rPr>
        <w:t>Lietuvai rengiantis sto</w:t>
      </w:r>
      <w:r>
        <w:rPr>
          <w:szCs w:val="24"/>
        </w:rPr>
        <w:t>ti</w:t>
      </w:r>
      <w:r w:rsidRPr="00BC0A61">
        <w:rPr>
          <w:szCs w:val="24"/>
        </w:rPr>
        <w:t xml:space="preserve"> į Tarptautinę energetikos agentūrą (toliau – IEA), Energetikos ministerija 2020 m. dalyvavo ka</w:t>
      </w:r>
      <w:r>
        <w:rPr>
          <w:szCs w:val="24"/>
        </w:rPr>
        <w:t>s</w:t>
      </w:r>
      <w:r w:rsidRPr="00BC0A61">
        <w:rPr>
          <w:szCs w:val="24"/>
        </w:rPr>
        <w:t xml:space="preserve"> dvejus metus IAE organizuojamose stalo pratybose, kurių metu buvo modeliuojama naftos tiekimo sutrikimo situacija tarptautinėse rinkose. Pratybų metu buvo tikrinamas naftos ir naftos produktų atsargų išleidimo į rinką ekstremaliosios situacijos metu mechanizmas.</w:t>
      </w:r>
    </w:p>
    <w:p w14:paraId="1982B3B3" w14:textId="77777777" w:rsidR="008B10FF" w:rsidRDefault="008B10FF" w:rsidP="00E660EB">
      <w:pPr>
        <w:spacing w:line="250" w:lineRule="auto"/>
        <w:ind w:firstLine="709"/>
        <w:jc w:val="both"/>
        <w:rPr>
          <w:szCs w:val="24"/>
        </w:rPr>
      </w:pPr>
      <w:r w:rsidRPr="00BC0A61">
        <w:rPr>
          <w:szCs w:val="24"/>
        </w:rPr>
        <w:t>Siekiant stiprinti civilinės saugos energetikos sektoriuje parengtį, 2021 m. planuojama iš esmės atnaujinti Energetikos ministerijos ekstremaliųjų situacijų valdymo planą</w:t>
      </w:r>
      <w:r>
        <w:rPr>
          <w:rStyle w:val="Puslapioinaosnuoroda"/>
          <w:rFonts w:eastAsia="Calibri"/>
        </w:rPr>
        <w:footnoteReference w:id="51"/>
      </w:r>
      <w:r w:rsidRPr="00BC0A61">
        <w:rPr>
          <w:szCs w:val="24"/>
        </w:rPr>
        <w:t>, siūlyti reikalingus pakeitimus Valstybiniam ekstremaliųjų situacijų valdymo planui</w:t>
      </w:r>
      <w:r>
        <w:rPr>
          <w:rStyle w:val="Puslapioinaosnuoroda"/>
          <w:rFonts w:eastAsia="Calibri"/>
        </w:rPr>
        <w:footnoteReference w:id="52"/>
      </w:r>
      <w:r w:rsidRPr="00BC0A61">
        <w:rPr>
          <w:szCs w:val="24"/>
        </w:rPr>
        <w:t xml:space="preserve"> tobulinti, dalyvauti atnaujinant Nacionalinę rizikos analizę. </w:t>
      </w:r>
    </w:p>
    <w:p w14:paraId="4634A5B4" w14:textId="77777777" w:rsidR="008B10FF" w:rsidRDefault="008B10FF" w:rsidP="00E660EB">
      <w:pPr>
        <w:spacing w:line="250" w:lineRule="auto"/>
        <w:ind w:firstLine="709"/>
        <w:jc w:val="both"/>
        <w:rPr>
          <w:szCs w:val="24"/>
        </w:rPr>
      </w:pPr>
      <w:r w:rsidRPr="00BC0A61">
        <w:rPr>
          <w:rFonts w:eastAsia="BatangChe"/>
          <w:szCs w:val="24"/>
        </w:rPr>
        <w:t xml:space="preserve">Energetikos ministerija kartu su Užsienio reikalų ministerija inicijavo tarptautines pratybas </w:t>
      </w:r>
      <w:r w:rsidRPr="00BC0A61">
        <w:rPr>
          <w:szCs w:val="24"/>
        </w:rPr>
        <w:t>CORE 21-B</w:t>
      </w:r>
      <w:r w:rsidRPr="00BC0A61">
        <w:rPr>
          <w:rFonts w:eastAsia="BatangChe"/>
          <w:szCs w:val="24"/>
        </w:rPr>
        <w:t xml:space="preserve">, kurias organizuoja NATO </w:t>
      </w:r>
      <w:r w:rsidRPr="00BC0A61">
        <w:rPr>
          <w:szCs w:val="24"/>
        </w:rPr>
        <w:t>energetinio saugumo kompetencijų centras kartu su Jungtiniu tyrimų centru. Pratybos, kuriose dalyvaus Baltijos šalių, Suomijos, Lenkijos, Švedijos ir tarptautinių organizacijų atstovai, yra susijusios su Baltijos šalių elektros energetikos sistemos atsparumu kibernetinėms ir hibridinėms grėsmėms ir Sinchronizacijos projektu</w:t>
      </w:r>
      <w:r>
        <w:rPr>
          <w:szCs w:val="24"/>
        </w:rPr>
        <w:t xml:space="preserve"> (p</w:t>
      </w:r>
      <w:r w:rsidRPr="00BC0A61">
        <w:rPr>
          <w:szCs w:val="24"/>
        </w:rPr>
        <w:t>ratyb</w:t>
      </w:r>
      <w:r>
        <w:rPr>
          <w:szCs w:val="24"/>
        </w:rPr>
        <w:t>os numatytos 2021 m.).</w:t>
      </w:r>
    </w:p>
    <w:p w14:paraId="6CC5D5C3" w14:textId="77777777" w:rsidR="008B10FF" w:rsidRPr="00E32899" w:rsidRDefault="008B10FF" w:rsidP="00E660EB">
      <w:pPr>
        <w:pStyle w:val="Betarp"/>
        <w:spacing w:line="250" w:lineRule="auto"/>
        <w:ind w:firstLine="709"/>
        <w:jc w:val="both"/>
        <w:rPr>
          <w:rFonts w:ascii="Times New Roman" w:hAnsi="Times New Roman"/>
          <w:sz w:val="24"/>
          <w:szCs w:val="24"/>
          <w:lang w:val="lt-LT"/>
        </w:rPr>
      </w:pPr>
      <w:r w:rsidRPr="00E32899">
        <w:rPr>
          <w:rFonts w:ascii="Times New Roman" w:hAnsi="Times New Roman"/>
          <w:sz w:val="24"/>
          <w:szCs w:val="24"/>
          <w:lang w:val="lt-LT"/>
        </w:rPr>
        <w:t xml:space="preserve">2020 m. spalio 8 d. vyko valstybinio lygio civilinės saugos stalo pratybos „Civilinės saugos subjektų veiksmai esant </w:t>
      </w:r>
      <w:proofErr w:type="spellStart"/>
      <w:r w:rsidRPr="00E32899">
        <w:rPr>
          <w:rFonts w:ascii="Times New Roman" w:hAnsi="Times New Roman"/>
          <w:sz w:val="24"/>
          <w:szCs w:val="24"/>
          <w:lang w:val="lt-LT"/>
        </w:rPr>
        <w:t>epizootijai</w:t>
      </w:r>
      <w:proofErr w:type="spellEnd"/>
      <w:r w:rsidRPr="00E32899">
        <w:rPr>
          <w:rFonts w:ascii="Times New Roman" w:hAnsi="Times New Roman"/>
          <w:sz w:val="24"/>
          <w:szCs w:val="24"/>
          <w:lang w:val="lt-LT"/>
        </w:rPr>
        <w:t>“.</w:t>
      </w:r>
    </w:p>
    <w:p w14:paraId="7CA67ED7" w14:textId="77777777" w:rsidR="008B10FF" w:rsidRDefault="008B10FF" w:rsidP="00E660EB">
      <w:pPr>
        <w:spacing w:line="250" w:lineRule="auto"/>
        <w:ind w:firstLine="709"/>
        <w:jc w:val="both"/>
        <w:rPr>
          <w:color w:val="000000"/>
        </w:rPr>
      </w:pPr>
      <w:r>
        <w:t xml:space="preserve">2020 m. kovo 31 d. planuotos valstybinio lygio civilinės saugos stalo pratybos „Civilinės saugos sistemos subjektų veiksmai valdant informaciją, įvykus branduolinei ar radiologinei avarijai“. Vykdytas intensyvus tarpinstitucinis pasirengimas, kurio metu buvo parengtas preliminarus pratybų scenarijus, pratybų organizacinių nurodymų ir pratybų vedimo taisyklių projektai, tačiau dėl paskelbtos valstybės lygio ekstremalios situacijos dėl COVID-19 plitimo ir paskelbto </w:t>
      </w:r>
      <w:r>
        <w:rPr>
          <w:color w:val="000000"/>
        </w:rPr>
        <w:t xml:space="preserve">trečio (visiškos parengties) </w:t>
      </w:r>
      <w:r>
        <w:t xml:space="preserve">civilinės saugos sistemos </w:t>
      </w:r>
      <w:r>
        <w:rPr>
          <w:color w:val="000000"/>
        </w:rPr>
        <w:t>parengties lygio</w:t>
      </w:r>
      <w:r>
        <w:rPr>
          <w:rStyle w:val="Puslapioinaosnuoroda"/>
          <w:rFonts w:eastAsia="Calibri"/>
          <w:color w:val="000000"/>
        </w:rPr>
        <w:footnoteReference w:id="53"/>
      </w:r>
      <w:r>
        <w:rPr>
          <w:color w:val="000000"/>
        </w:rPr>
        <w:t xml:space="preserve"> pratybos atidėtos.</w:t>
      </w:r>
    </w:p>
    <w:p w14:paraId="1A5CF89E" w14:textId="77777777" w:rsidR="008B10FF" w:rsidRPr="003F400A" w:rsidRDefault="008B10FF" w:rsidP="00E660EB">
      <w:pPr>
        <w:spacing w:line="250" w:lineRule="auto"/>
        <w:ind w:firstLine="709"/>
        <w:jc w:val="both"/>
        <w:rPr>
          <w:szCs w:val="24"/>
        </w:rPr>
      </w:pPr>
      <w:r w:rsidRPr="003F400A">
        <w:rPr>
          <w:szCs w:val="24"/>
        </w:rPr>
        <w:t xml:space="preserve">2020 </w:t>
      </w:r>
      <w:r>
        <w:rPr>
          <w:szCs w:val="24"/>
        </w:rPr>
        <w:t xml:space="preserve">m. </w:t>
      </w:r>
      <w:r w:rsidRPr="003F400A">
        <w:rPr>
          <w:szCs w:val="24"/>
        </w:rPr>
        <w:t xml:space="preserve">pradėtas Regioninių pratybų </w:t>
      </w:r>
      <w:r>
        <w:rPr>
          <w:szCs w:val="24"/>
        </w:rPr>
        <w:t>„</w:t>
      </w:r>
      <w:proofErr w:type="spellStart"/>
      <w:r w:rsidRPr="003F400A">
        <w:rPr>
          <w:szCs w:val="24"/>
        </w:rPr>
        <w:t>Coherent</w:t>
      </w:r>
      <w:proofErr w:type="spellEnd"/>
      <w:r w:rsidRPr="003F400A">
        <w:rPr>
          <w:szCs w:val="24"/>
        </w:rPr>
        <w:t xml:space="preserve"> </w:t>
      </w:r>
      <w:proofErr w:type="spellStart"/>
      <w:r w:rsidRPr="003F400A">
        <w:rPr>
          <w:szCs w:val="24"/>
        </w:rPr>
        <w:t>Resilience</w:t>
      </w:r>
      <w:proofErr w:type="spellEnd"/>
      <w:r w:rsidRPr="003F400A">
        <w:rPr>
          <w:szCs w:val="24"/>
        </w:rPr>
        <w:t xml:space="preserve"> 2021 – B</w:t>
      </w:r>
      <w:r>
        <w:rPr>
          <w:szCs w:val="24"/>
        </w:rPr>
        <w:t>“</w:t>
      </w:r>
      <w:r w:rsidRPr="003F400A">
        <w:rPr>
          <w:szCs w:val="24"/>
        </w:rPr>
        <w:t xml:space="preserve">, kurias organizuos NATO ENSECCOE ir Europos Komisijos Jungtinis tyrimų centras, planavimas. 2021 m. Vilniuje vyksiančių pratybų paskirtis – stiprinti elektros energijos tiekimo Baltijos šalyse atsparumą hibridinėms atakoms, susijusioms su Astravo AE veikimu </w:t>
      </w:r>
      <w:r>
        <w:rPr>
          <w:szCs w:val="24"/>
        </w:rPr>
        <w:t>ir</w:t>
      </w:r>
      <w:r w:rsidRPr="003F400A">
        <w:rPr>
          <w:szCs w:val="24"/>
        </w:rPr>
        <w:t xml:space="preserve"> Baltijos šalių elektros tinklo sinchronizavimo su kontinentinės Europos sistema procesu.</w:t>
      </w:r>
    </w:p>
    <w:bookmarkEnd w:id="82"/>
    <w:bookmarkEnd w:id="83"/>
    <w:p w14:paraId="7BBA7845"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Viešojo saugumo stiprinimas </w:t>
      </w:r>
    </w:p>
    <w:p w14:paraId="3BA4FC15" w14:textId="77777777" w:rsidR="008B10FF" w:rsidRPr="00C60277" w:rsidRDefault="008B10FF" w:rsidP="00E660EB">
      <w:pPr>
        <w:widowControl w:val="0"/>
        <w:shd w:val="clear" w:color="auto" w:fill="FFFFFF"/>
        <w:autoSpaceDE w:val="0"/>
        <w:autoSpaceDN w:val="0"/>
        <w:adjustRightInd w:val="0"/>
        <w:spacing w:line="250" w:lineRule="auto"/>
        <w:ind w:left="57" w:right="57" w:firstLine="709"/>
        <w:jc w:val="both"/>
        <w:rPr>
          <w:color w:val="000000"/>
          <w:szCs w:val="24"/>
        </w:rPr>
      </w:pPr>
      <w:r w:rsidRPr="00C60277">
        <w:rPr>
          <w:color w:val="000000"/>
          <w:szCs w:val="24"/>
        </w:rPr>
        <w:t xml:space="preserve">Parengtas ir Seimui pateiktas </w:t>
      </w:r>
      <w:r>
        <w:rPr>
          <w:color w:val="000000"/>
          <w:szCs w:val="24"/>
        </w:rPr>
        <w:t>P</w:t>
      </w:r>
      <w:r w:rsidRPr="00C60277">
        <w:rPr>
          <w:color w:val="000000"/>
          <w:szCs w:val="24"/>
        </w:rPr>
        <w:t>inigų plovimo ir teroristų finansavimo prevencijos įstatymo pakeitimo įstatymo projektas, kuriuo siekiama perkelti ES teisės nuostatas ir palengvinti finansinės informacijos, kuri konkrečiu atveju būtina sunkiai nusikalstamai veikai užkardyti, nustatyti, ištirti arba baudžiamajam persekiojimui, naudojimą, taip pat pašalinti Europos Tarybos ekspertų komiteto</w:t>
      </w:r>
      <w:r>
        <w:rPr>
          <w:color w:val="000000"/>
          <w:szCs w:val="24"/>
        </w:rPr>
        <w:t xml:space="preserve"> </w:t>
      </w:r>
      <w:r w:rsidRPr="00C60277">
        <w:rPr>
          <w:color w:val="000000"/>
          <w:szCs w:val="24"/>
        </w:rPr>
        <w:t>dėl priemonių kov</w:t>
      </w:r>
      <w:r>
        <w:rPr>
          <w:color w:val="000000"/>
          <w:szCs w:val="24"/>
        </w:rPr>
        <w:t>ai</w:t>
      </w:r>
      <w:r w:rsidRPr="00C60277">
        <w:rPr>
          <w:color w:val="000000"/>
          <w:szCs w:val="24"/>
        </w:rPr>
        <w:t xml:space="preserve"> su pinigų plovimu bei teroristų finansavimu (MONEYVAL) nustatytą trūkumą dėl reikalavimo pranešti apie teroristų finansavimo atvejus.</w:t>
      </w:r>
    </w:p>
    <w:p w14:paraId="436785C6" w14:textId="77777777" w:rsidR="008B10FF" w:rsidRPr="00C60277" w:rsidRDefault="008B10FF" w:rsidP="00E660EB">
      <w:pPr>
        <w:widowControl w:val="0"/>
        <w:shd w:val="clear" w:color="auto" w:fill="FFFFFF"/>
        <w:autoSpaceDE w:val="0"/>
        <w:autoSpaceDN w:val="0"/>
        <w:adjustRightInd w:val="0"/>
        <w:spacing w:line="250" w:lineRule="auto"/>
        <w:ind w:left="57" w:right="57" w:firstLine="709"/>
        <w:jc w:val="both"/>
        <w:rPr>
          <w:rFonts w:eastAsia="Calibri"/>
          <w:iCs/>
          <w:szCs w:val="24"/>
        </w:rPr>
      </w:pPr>
      <w:r w:rsidRPr="00C60277">
        <w:rPr>
          <w:rStyle w:val="Numatytasispastraiposriftas1"/>
          <w:szCs w:val="24"/>
        </w:rPr>
        <w:t>Įgyvendinant ES integruoto sienų valdymo daugiametę strateginę politiką,</w:t>
      </w:r>
      <w:r w:rsidRPr="00C60277">
        <w:rPr>
          <w:rStyle w:val="Numatytasispastraiposriftas1"/>
          <w:b/>
          <w:szCs w:val="24"/>
        </w:rPr>
        <w:t xml:space="preserve"> </w:t>
      </w:r>
      <w:r w:rsidRPr="00C60277">
        <w:rPr>
          <w:rStyle w:val="Numatytasispastraiposriftas1"/>
          <w:szCs w:val="24"/>
        </w:rPr>
        <w:t xml:space="preserve">parengta ir bendru </w:t>
      </w:r>
      <w:r w:rsidRPr="00C60277">
        <w:rPr>
          <w:rStyle w:val="Numatytasispastraiposriftas1"/>
          <w:szCs w:val="24"/>
        </w:rPr>
        <w:lastRenderedPageBreak/>
        <w:t>Lietuvos Respublikos vidaus reikalų, finansų, krašto apsaugos, susisiekimo ir užsienio reikalų ministrų įsakymu patvirtinta Nacionalinė integruoto sienų valdymo 2020–2024 m. strategija ir jos įgyvendinimo 2020–2022 m. priemonių planas.</w:t>
      </w:r>
    </w:p>
    <w:p w14:paraId="7583D617" w14:textId="77777777" w:rsidR="008B10FF" w:rsidRDefault="008B10FF" w:rsidP="00E660EB">
      <w:pPr>
        <w:widowControl w:val="0"/>
        <w:shd w:val="clear" w:color="auto" w:fill="FFFFFF"/>
        <w:autoSpaceDE w:val="0"/>
        <w:autoSpaceDN w:val="0"/>
        <w:adjustRightInd w:val="0"/>
        <w:spacing w:line="250" w:lineRule="auto"/>
        <w:ind w:right="57" w:firstLine="709"/>
        <w:jc w:val="both"/>
        <w:rPr>
          <w:rFonts w:eastAsia="Calibri"/>
          <w:iCs/>
          <w:szCs w:val="24"/>
        </w:rPr>
      </w:pPr>
      <w:r w:rsidRPr="00C60277">
        <w:rPr>
          <w:rFonts w:eastAsia="Calibri"/>
          <w:iCs/>
          <w:szCs w:val="24"/>
        </w:rPr>
        <w:t xml:space="preserve">2020 m. įdiegus naujas sienos stebėjimo sistemas prie ES išorės sienos su Rusijos Federacija (apie 49 km ruože) ir Baltarusijos Respublika (apie 7,2 km ruože), </w:t>
      </w:r>
      <w:r w:rsidRPr="00C60277">
        <w:rPr>
          <w:szCs w:val="24"/>
          <w:lang w:eastAsia="hi-IN"/>
        </w:rPr>
        <w:t xml:space="preserve">moderniomis sienos stebėjimo technologijomis saugoma </w:t>
      </w:r>
      <w:r w:rsidRPr="00C60277">
        <w:rPr>
          <w:rFonts w:eastAsia="Calibri"/>
          <w:iCs/>
          <w:szCs w:val="24"/>
        </w:rPr>
        <w:t>100 proc. išorės sienos su Rusijos Federacija (225,99 km) ir 38,62 proc. išorės sienos su Baltarusijos Respublika (262,2 km).</w:t>
      </w:r>
    </w:p>
    <w:p w14:paraId="5DB93667" w14:textId="0606EC4B" w:rsidR="008B10FF" w:rsidRDefault="008B10FF" w:rsidP="00E660EB">
      <w:pPr>
        <w:widowControl w:val="0"/>
        <w:shd w:val="clear" w:color="auto" w:fill="FFFFFF"/>
        <w:autoSpaceDE w:val="0"/>
        <w:autoSpaceDN w:val="0"/>
        <w:adjustRightInd w:val="0"/>
        <w:spacing w:line="250" w:lineRule="auto"/>
        <w:ind w:right="57" w:firstLine="709"/>
        <w:jc w:val="both"/>
        <w:rPr>
          <w:bCs/>
          <w:szCs w:val="24"/>
        </w:rPr>
      </w:pPr>
      <w:r>
        <w:rPr>
          <w:rFonts w:eastAsia="Calibri"/>
          <w:iCs/>
          <w:szCs w:val="24"/>
        </w:rPr>
        <w:t xml:space="preserve">Artimiausio laikotarpio prioritetai, įgyvendinant nacionalinio saugumo politikos uždavinius viešojo saugumo srityje, yra šie: </w:t>
      </w:r>
      <w:r w:rsidR="00060E78">
        <w:rPr>
          <w:rFonts w:eastAsia="Calibri"/>
          <w:iCs/>
          <w:szCs w:val="24"/>
        </w:rPr>
        <w:t xml:space="preserve">modernių </w:t>
      </w:r>
      <w:r w:rsidRPr="00CD76FD">
        <w:rPr>
          <w:szCs w:val="24"/>
        </w:rPr>
        <w:t>sienos stebėjimo sistem</w:t>
      </w:r>
      <w:r>
        <w:rPr>
          <w:szCs w:val="24"/>
        </w:rPr>
        <w:t>ų diegimas</w:t>
      </w:r>
      <w:r w:rsidRPr="00CD76FD">
        <w:rPr>
          <w:szCs w:val="24"/>
        </w:rPr>
        <w:t xml:space="preserve"> prie </w:t>
      </w:r>
      <w:r>
        <w:rPr>
          <w:szCs w:val="24"/>
        </w:rPr>
        <w:t>ES</w:t>
      </w:r>
      <w:r w:rsidRPr="00CD76FD">
        <w:rPr>
          <w:szCs w:val="24"/>
        </w:rPr>
        <w:t xml:space="preserve"> išorės sienos </w:t>
      </w:r>
      <w:r>
        <w:rPr>
          <w:szCs w:val="24"/>
        </w:rPr>
        <w:t xml:space="preserve">su Baltarusijos Respublika; </w:t>
      </w:r>
      <w:r>
        <w:rPr>
          <w:bCs/>
          <w:szCs w:val="24"/>
        </w:rPr>
        <w:t>naujos</w:t>
      </w:r>
      <w:r w:rsidRPr="00AA78C3">
        <w:rPr>
          <w:bCs/>
          <w:szCs w:val="24"/>
        </w:rPr>
        <w:t xml:space="preserve"> ES informacinių sistemų architektūr</w:t>
      </w:r>
      <w:r>
        <w:rPr>
          <w:bCs/>
          <w:szCs w:val="24"/>
        </w:rPr>
        <w:t>os įgyvendinimas</w:t>
      </w:r>
      <w:r w:rsidRPr="00AA78C3">
        <w:rPr>
          <w:bCs/>
          <w:szCs w:val="24"/>
        </w:rPr>
        <w:t xml:space="preserve">, </w:t>
      </w:r>
      <w:r>
        <w:rPr>
          <w:bCs/>
          <w:szCs w:val="24"/>
        </w:rPr>
        <w:t xml:space="preserve">siekiant </w:t>
      </w:r>
      <w:r w:rsidRPr="00AA78C3">
        <w:rPr>
          <w:bCs/>
          <w:szCs w:val="24"/>
        </w:rPr>
        <w:t>sudaryti sąlygas Lietuvos Respublikos institucijoms, atsakingoms už visuomenės saugumą, sienų apsaugą ir migracijos valdymą, vizų išdavimą ir prieglobstį, turėti prieigą prie ES informacinių sistemų ir gauti visą jų funkcij</w:t>
      </w:r>
      <w:r>
        <w:rPr>
          <w:bCs/>
          <w:szCs w:val="24"/>
        </w:rPr>
        <w:t>oms</w:t>
      </w:r>
      <w:r w:rsidRPr="00AA78C3">
        <w:rPr>
          <w:bCs/>
          <w:szCs w:val="24"/>
        </w:rPr>
        <w:t xml:space="preserve"> vykdy</w:t>
      </w:r>
      <w:r>
        <w:rPr>
          <w:bCs/>
          <w:szCs w:val="24"/>
        </w:rPr>
        <w:t>t</w:t>
      </w:r>
      <w:r w:rsidRPr="00AA78C3">
        <w:rPr>
          <w:bCs/>
          <w:szCs w:val="24"/>
        </w:rPr>
        <w:t>i reikalingą informaciją</w:t>
      </w:r>
      <w:r>
        <w:rPr>
          <w:bCs/>
          <w:szCs w:val="24"/>
        </w:rPr>
        <w:t>; finansinių nusikaltimų ir nusikaltimų elektroninėje erdvėje prevencijos ir tyrimo stiprinimas.</w:t>
      </w:r>
    </w:p>
    <w:p w14:paraId="2568E59C" w14:textId="77777777" w:rsidR="008B10FF" w:rsidRPr="00A91669" w:rsidRDefault="008B10FF" w:rsidP="00E660EB">
      <w:pPr>
        <w:pStyle w:val="Antrat5"/>
        <w:spacing w:before="0" w:line="250" w:lineRule="auto"/>
        <w:ind w:firstLine="709"/>
        <w:jc w:val="both"/>
        <w:rPr>
          <w:b/>
          <w:bCs/>
          <w:color w:val="17365D" w:themeColor="text2" w:themeShade="BF"/>
        </w:rPr>
      </w:pPr>
      <w:r w:rsidRPr="00A91669">
        <w:rPr>
          <w:rFonts w:ascii="Times New Roman" w:hAnsi="Times New Roman"/>
          <w:b/>
          <w:bCs/>
          <w:color w:val="17365D" w:themeColor="text2" w:themeShade="BF"/>
        </w:rPr>
        <w:t xml:space="preserve">Nacionalinių kovos su terorizmu, smurtiniu ekstremizmu ir </w:t>
      </w:r>
      <w:proofErr w:type="spellStart"/>
      <w:r w:rsidRPr="00A91669">
        <w:rPr>
          <w:rFonts w:ascii="Times New Roman" w:hAnsi="Times New Roman"/>
          <w:b/>
          <w:bCs/>
          <w:color w:val="17365D" w:themeColor="text2" w:themeShade="BF"/>
        </w:rPr>
        <w:t>radikalėjimu</w:t>
      </w:r>
      <w:proofErr w:type="spellEnd"/>
      <w:r w:rsidRPr="00A91669">
        <w:rPr>
          <w:rFonts w:ascii="Times New Roman" w:hAnsi="Times New Roman"/>
          <w:b/>
          <w:bCs/>
          <w:color w:val="17365D" w:themeColor="text2" w:themeShade="BF"/>
        </w:rPr>
        <w:t xml:space="preserve"> pajėgumų stiprinimas </w:t>
      </w:r>
    </w:p>
    <w:p w14:paraId="443D637E" w14:textId="77777777" w:rsidR="008B10FF" w:rsidRDefault="008B10FF" w:rsidP="00E660EB">
      <w:pPr>
        <w:widowControl w:val="0"/>
        <w:shd w:val="clear" w:color="auto" w:fill="FFFFFF"/>
        <w:spacing w:line="250" w:lineRule="auto"/>
        <w:ind w:firstLine="709"/>
        <w:jc w:val="both"/>
        <w:rPr>
          <w:color w:val="000000"/>
        </w:rPr>
      </w:pPr>
      <w:r>
        <w:rPr>
          <w:color w:val="000000"/>
        </w:rPr>
        <w:t>2020 m. Valstybės saugumo departamentas tęsė radikalias ideologijas propaguojančių ar ekstremizmą remiančių asmenų ir grupių identifikavimo procedūras, kurios leidžia efektyviai įvertinti konkrečių asmenų keliamą grėsmę ir numatyti reikiamus išteklius bei prevencijos priemonių poreikį.</w:t>
      </w:r>
      <w:r>
        <w:rPr>
          <w:bCs/>
          <w:color w:val="000000"/>
        </w:rPr>
        <w:t xml:space="preserve"> </w:t>
      </w:r>
      <w:r>
        <w:rPr>
          <w:color w:val="000000"/>
        </w:rPr>
        <w:t>Valstybės saugumo departamentas taip pat nuolat renka informaciją apie galimą teroristų finansavimą, bendradarbiauja su kitomis valstybės ir teisėsaugos institucijomis, tobulina žvalgybos pareigūnų kompetenciją.</w:t>
      </w:r>
    </w:p>
    <w:p w14:paraId="021EC01B" w14:textId="77777777" w:rsidR="008B10FF" w:rsidRPr="00C60277" w:rsidRDefault="008B10FF" w:rsidP="00E660EB">
      <w:pPr>
        <w:pStyle w:val="Standard"/>
        <w:snapToGrid w:val="0"/>
        <w:spacing w:line="250" w:lineRule="auto"/>
        <w:ind w:right="57" w:firstLine="709"/>
        <w:jc w:val="both"/>
      </w:pPr>
      <w:r w:rsidRPr="00C60277">
        <w:t>Kiekvienais metais Lietuvos policijai tenka apdoroti ir vertinti vis daugiau informacijos apie asmenis, susijusius su terorizmo reiškiniais, suteikti daugiau pagalbos kitų valstybių teisėsaugos institucijoms. Ta</w:t>
      </w:r>
      <w:r>
        <w:t>m</w:t>
      </w:r>
      <w:r w:rsidRPr="00C60277">
        <w:t xml:space="preserve"> reik</w:t>
      </w:r>
      <w:r>
        <w:t>ia</w:t>
      </w:r>
      <w:r w:rsidRPr="00C60277">
        <w:t xml:space="preserve"> ir didesnių </w:t>
      </w:r>
      <w:r>
        <w:t>išteklių</w:t>
      </w:r>
      <w:r w:rsidRPr="00C60277">
        <w:t>. Būtina stiprinti teisėsaugos institucijų pareigūnų gebėjimus ir techninius pajėgumus, diegiant pažangias informacines technologijas ir techninius sprendimus.</w:t>
      </w:r>
    </w:p>
    <w:p w14:paraId="70BC6B6D" w14:textId="77777777" w:rsidR="008B10FF" w:rsidRPr="00E32899" w:rsidRDefault="008B10FF" w:rsidP="00E660EB">
      <w:pPr>
        <w:pStyle w:val="Antrat5"/>
        <w:spacing w:before="0" w:line="250" w:lineRule="auto"/>
        <w:ind w:firstLine="709"/>
        <w:rPr>
          <w:rFonts w:ascii="Times New Roman" w:hAnsi="Times New Roman"/>
          <w:b/>
          <w:bCs/>
          <w:color w:val="auto"/>
        </w:rPr>
      </w:pPr>
      <w:bookmarkStart w:id="85" w:name="_Hlk508620948"/>
      <w:r w:rsidRPr="00E32899">
        <w:rPr>
          <w:rFonts w:ascii="Times New Roman" w:hAnsi="Times New Roman"/>
          <w:b/>
          <w:bCs/>
          <w:color w:val="auto"/>
        </w:rPr>
        <w:t xml:space="preserve">Informacinio saugumo ir Lietuvos Respublikos politinės sistemos saugumo užtikrinimas </w:t>
      </w:r>
    </w:p>
    <w:p w14:paraId="07722778" w14:textId="77777777" w:rsidR="008B10FF" w:rsidRDefault="008B10FF" w:rsidP="00E660EB">
      <w:pPr>
        <w:spacing w:line="250" w:lineRule="auto"/>
        <w:ind w:firstLine="709"/>
        <w:jc w:val="both"/>
        <w:rPr>
          <w:szCs w:val="24"/>
        </w:rPr>
      </w:pPr>
      <w:bookmarkStart w:id="86" w:name="_Hlk67480475"/>
      <w:bookmarkEnd w:id="85"/>
      <w:r>
        <w:rPr>
          <w:szCs w:val="24"/>
        </w:rPr>
        <w:t>K</w:t>
      </w:r>
      <w:r w:rsidRPr="00B308D6">
        <w:rPr>
          <w:szCs w:val="24"/>
        </w:rPr>
        <w:t>ovojant su informacinėmis grėsmėmis</w:t>
      </w:r>
      <w:r>
        <w:rPr>
          <w:szCs w:val="24"/>
        </w:rPr>
        <w:t>, 2020 m.</w:t>
      </w:r>
      <w:r w:rsidRPr="00B308D6">
        <w:rPr>
          <w:szCs w:val="24"/>
        </w:rPr>
        <w:t xml:space="preserve"> </w:t>
      </w:r>
      <w:r>
        <w:rPr>
          <w:szCs w:val="24"/>
        </w:rPr>
        <w:t xml:space="preserve">prioritetas </w:t>
      </w:r>
      <w:r w:rsidRPr="00B308D6">
        <w:rPr>
          <w:szCs w:val="24"/>
        </w:rPr>
        <w:t>buvo skir</w:t>
      </w:r>
      <w:r>
        <w:rPr>
          <w:szCs w:val="24"/>
        </w:rPr>
        <w:t>tas</w:t>
      </w:r>
      <w:r w:rsidRPr="00B308D6">
        <w:rPr>
          <w:szCs w:val="24"/>
        </w:rPr>
        <w:t xml:space="preserve"> </w:t>
      </w:r>
      <w:r>
        <w:rPr>
          <w:szCs w:val="24"/>
        </w:rPr>
        <w:t>institucijų strateginės komunikacijos procedūroms vystyti, tarptautiniam bendradarbiavimui plėtoti ir strateginės komunikacijos kampanijoms vykdyti</w:t>
      </w:r>
      <w:r w:rsidRPr="00B308D6">
        <w:rPr>
          <w:szCs w:val="24"/>
        </w:rPr>
        <w:t xml:space="preserve">. </w:t>
      </w:r>
      <w:r>
        <w:rPr>
          <w:szCs w:val="24"/>
        </w:rPr>
        <w:t>2020 m. rugpjūčio 26 d. Vyriausybė priėmė  nutarimą Nr. 955 „Dėl S</w:t>
      </w:r>
      <w:r w:rsidRPr="00BC3E67">
        <w:rPr>
          <w:szCs w:val="24"/>
        </w:rPr>
        <w:t>trateginės komunikacijos nacionalinio saugumo srityje koordinavimo tvarkos apraš</w:t>
      </w:r>
      <w:r>
        <w:rPr>
          <w:szCs w:val="24"/>
        </w:rPr>
        <w:t xml:space="preserve">o patvirtinimo“. Šiame dokumente apibrėžtos su </w:t>
      </w:r>
      <w:r w:rsidRPr="00944D2B">
        <w:rPr>
          <w:szCs w:val="24"/>
        </w:rPr>
        <w:t>strategin</w:t>
      </w:r>
      <w:r>
        <w:rPr>
          <w:szCs w:val="24"/>
        </w:rPr>
        <w:t>e</w:t>
      </w:r>
      <w:r w:rsidRPr="00944D2B">
        <w:rPr>
          <w:szCs w:val="24"/>
        </w:rPr>
        <w:t xml:space="preserve"> komunikacij</w:t>
      </w:r>
      <w:r>
        <w:rPr>
          <w:szCs w:val="24"/>
        </w:rPr>
        <w:t>a</w:t>
      </w:r>
      <w:r w:rsidRPr="00944D2B">
        <w:rPr>
          <w:szCs w:val="24"/>
        </w:rPr>
        <w:t xml:space="preserve"> nacionalinio saugumo srityje</w:t>
      </w:r>
      <w:r>
        <w:rPr>
          <w:szCs w:val="24"/>
        </w:rPr>
        <w:t xml:space="preserve"> susijusios sąvokos, institucijų rengiamų strateginės komunikacijos kampanijų procedūra ir nustatytas reagavimo į informacinius incidentus algoritmas. 2021 m. numatoma parengti nacionalinį kovos su dezinformacija veiksmų planą.</w:t>
      </w:r>
    </w:p>
    <w:p w14:paraId="4160DC2B" w14:textId="77777777" w:rsidR="008B10FF" w:rsidRDefault="008B10FF" w:rsidP="00E660EB">
      <w:pPr>
        <w:spacing w:line="250" w:lineRule="auto"/>
        <w:ind w:firstLine="709"/>
        <w:jc w:val="both"/>
        <w:rPr>
          <w:szCs w:val="24"/>
        </w:rPr>
      </w:pPr>
      <w:r>
        <w:rPr>
          <w:szCs w:val="24"/>
        </w:rPr>
        <w:t xml:space="preserve">Koordinuojant Vyriausybės kanceliarijai, vyko operatyvus atsakas į informacinius incidentus, įskaitant koordinaciją su sąjungininkais. </w:t>
      </w:r>
      <w:r w:rsidRPr="00B61540">
        <w:rPr>
          <w:szCs w:val="24"/>
        </w:rPr>
        <w:t>Parengti ir išplatinti informacinės aplinkos vertinimo produktai, teiktos konsultacijos nacionalinėms ir tarptautinėms institucijoms, NATO valstybėms.</w:t>
      </w:r>
    </w:p>
    <w:p w14:paraId="3BEB3297" w14:textId="77777777" w:rsidR="008B10FF" w:rsidRPr="003F400A" w:rsidRDefault="008B10FF" w:rsidP="00E660EB">
      <w:pPr>
        <w:spacing w:line="250" w:lineRule="auto"/>
        <w:ind w:firstLine="709"/>
        <w:jc w:val="both"/>
        <w:rPr>
          <w:szCs w:val="24"/>
        </w:rPr>
      </w:pPr>
      <w:r w:rsidRPr="003F400A">
        <w:rPr>
          <w:szCs w:val="24"/>
        </w:rPr>
        <w:t>2020 m. gruod</w:t>
      </w:r>
      <w:r>
        <w:rPr>
          <w:szCs w:val="24"/>
        </w:rPr>
        <w:t>į</w:t>
      </w:r>
      <w:r w:rsidRPr="003F400A">
        <w:rPr>
          <w:szCs w:val="24"/>
        </w:rPr>
        <w:t xml:space="preserve"> Europos Komisija pristatė dvi svarbias iniciatyvas, telkian</w:t>
      </w:r>
      <w:r>
        <w:rPr>
          <w:szCs w:val="24"/>
        </w:rPr>
        <w:t xml:space="preserve">čias </w:t>
      </w:r>
      <w:r w:rsidRPr="003F400A">
        <w:rPr>
          <w:szCs w:val="24"/>
        </w:rPr>
        <w:t>ES ir valstybių narių pastangas kovoje prieš dezinformaciją</w:t>
      </w:r>
      <w:r>
        <w:rPr>
          <w:szCs w:val="24"/>
        </w:rPr>
        <w:t xml:space="preserve"> –</w:t>
      </w:r>
      <w:r w:rsidRPr="003F400A">
        <w:rPr>
          <w:szCs w:val="24"/>
        </w:rPr>
        <w:t xml:space="preserve"> Europos demokratijos veiksmų planą (EDAP) ir Skaitmeninių paslaugų aktą. EDAP dokumente kalbama apie </w:t>
      </w:r>
      <w:r>
        <w:rPr>
          <w:szCs w:val="24"/>
        </w:rPr>
        <w:t>lėšų didinimą</w:t>
      </w:r>
      <w:r w:rsidRPr="003F400A">
        <w:rPr>
          <w:szCs w:val="24"/>
        </w:rPr>
        <w:t>, įskaitant ir galimas sankcijas. Skaitmeninių paslaugų akte numatoma didesnė atsakomybė socialinėms platformoms kovoje prieš dezinformaciją, iš socialinių platformų reikalaujama daugiau skaidrumo.</w:t>
      </w:r>
      <w:r>
        <w:rPr>
          <w:szCs w:val="24"/>
        </w:rPr>
        <w:t xml:space="preserve"> </w:t>
      </w:r>
      <w:r w:rsidRPr="003F400A">
        <w:rPr>
          <w:szCs w:val="24"/>
        </w:rPr>
        <w:t>Lietuva aktyviai dalyvavo svarstant ir teikiant idėjas šiems dokumentams. Lietuvai svarbu, kad EDAP</w:t>
      </w:r>
      <w:r>
        <w:rPr>
          <w:szCs w:val="24"/>
        </w:rPr>
        <w:t xml:space="preserve"> dokumente </w:t>
      </w:r>
      <w:r w:rsidRPr="003F400A">
        <w:rPr>
          <w:szCs w:val="24"/>
        </w:rPr>
        <w:t>išvard</w:t>
      </w:r>
      <w:r>
        <w:rPr>
          <w:szCs w:val="24"/>
        </w:rPr>
        <w:t>y</w:t>
      </w:r>
      <w:r w:rsidRPr="003F400A">
        <w:rPr>
          <w:szCs w:val="24"/>
        </w:rPr>
        <w:t xml:space="preserve">ti ambicingi tikslai </w:t>
      </w:r>
      <w:r>
        <w:rPr>
          <w:szCs w:val="24"/>
        </w:rPr>
        <w:t>ir</w:t>
      </w:r>
      <w:r w:rsidRPr="003F400A">
        <w:rPr>
          <w:szCs w:val="24"/>
        </w:rPr>
        <w:t xml:space="preserve"> galimos konkrečios priemon</w:t>
      </w:r>
      <w:r>
        <w:rPr>
          <w:szCs w:val="24"/>
        </w:rPr>
        <w:t>ė</w:t>
      </w:r>
      <w:r w:rsidRPr="003F400A">
        <w:rPr>
          <w:szCs w:val="24"/>
        </w:rPr>
        <w:t>s rinkimų saugum</w:t>
      </w:r>
      <w:r>
        <w:rPr>
          <w:szCs w:val="24"/>
        </w:rPr>
        <w:t>ui</w:t>
      </w:r>
      <w:r w:rsidRPr="003F400A">
        <w:rPr>
          <w:szCs w:val="24"/>
        </w:rPr>
        <w:t>, žiniasklaid</w:t>
      </w:r>
      <w:r>
        <w:rPr>
          <w:szCs w:val="24"/>
        </w:rPr>
        <w:t>ai</w:t>
      </w:r>
      <w:r w:rsidRPr="003F400A">
        <w:rPr>
          <w:szCs w:val="24"/>
        </w:rPr>
        <w:t xml:space="preserve"> ir kov</w:t>
      </w:r>
      <w:r>
        <w:rPr>
          <w:szCs w:val="24"/>
        </w:rPr>
        <w:t>ai</w:t>
      </w:r>
      <w:r w:rsidRPr="003F400A">
        <w:rPr>
          <w:szCs w:val="24"/>
        </w:rPr>
        <w:t xml:space="preserve"> su dezinformacija</w:t>
      </w:r>
      <w:r>
        <w:rPr>
          <w:szCs w:val="24"/>
        </w:rPr>
        <w:t xml:space="preserve"> stiprinti</w:t>
      </w:r>
      <w:r w:rsidRPr="003F400A">
        <w:rPr>
          <w:szCs w:val="24"/>
        </w:rPr>
        <w:t xml:space="preserve">. </w:t>
      </w:r>
    </w:p>
    <w:p w14:paraId="4900A3F2" w14:textId="77777777" w:rsidR="008B10FF" w:rsidRPr="003F400A" w:rsidRDefault="008B10FF" w:rsidP="00E660EB">
      <w:pPr>
        <w:spacing w:line="250" w:lineRule="auto"/>
        <w:ind w:firstLine="709"/>
        <w:jc w:val="both"/>
        <w:rPr>
          <w:szCs w:val="24"/>
        </w:rPr>
      </w:pPr>
      <w:r w:rsidRPr="003F400A">
        <w:rPr>
          <w:szCs w:val="24"/>
        </w:rPr>
        <w:t>2020 m. Lietuva aktyviai dalyvavo dvišalėse konsultacijose su artimiausiais sąjungininkais istorinės atminties ir strateginės komunikacijos klausimais, kituose tarptautiniuose strateginės komunikacijos renginiuose, derindama bendrus veiksmus ir komunikacijos kampanijas, pvz., minint Antrojo pasaulinio karo Europoje pabaigos metines ir atkreipiant dėmesį</w:t>
      </w:r>
      <w:r>
        <w:rPr>
          <w:szCs w:val="24"/>
        </w:rPr>
        <w:t xml:space="preserve"> į tai</w:t>
      </w:r>
      <w:r w:rsidRPr="003F400A">
        <w:rPr>
          <w:szCs w:val="24"/>
        </w:rPr>
        <w:t>, kad Antrasis pasaulinis karas Lietuvai ir kitoms regiono valstybėms nesibaigė 1945 m.</w:t>
      </w:r>
    </w:p>
    <w:p w14:paraId="389E53A1" w14:textId="77777777" w:rsidR="008B10FF" w:rsidRPr="003F400A" w:rsidRDefault="008B10FF" w:rsidP="00E660EB">
      <w:pPr>
        <w:spacing w:line="250" w:lineRule="auto"/>
        <w:ind w:firstLine="709"/>
        <w:jc w:val="both"/>
        <w:rPr>
          <w:szCs w:val="24"/>
        </w:rPr>
      </w:pPr>
      <w:r w:rsidRPr="003F400A">
        <w:rPr>
          <w:szCs w:val="24"/>
        </w:rPr>
        <w:t>Užsienio reikalų ministerija inici</w:t>
      </w:r>
      <w:r>
        <w:rPr>
          <w:szCs w:val="24"/>
        </w:rPr>
        <w:t>j</w:t>
      </w:r>
      <w:r w:rsidRPr="003F400A">
        <w:rPr>
          <w:szCs w:val="24"/>
        </w:rPr>
        <w:t>avo ir kartu su tarptautiniais partneriais aktyviai vykdė mokymus, skirtus analitini</w:t>
      </w:r>
      <w:r>
        <w:rPr>
          <w:szCs w:val="24"/>
        </w:rPr>
        <w:t>am</w:t>
      </w:r>
      <w:r w:rsidRPr="003F400A">
        <w:rPr>
          <w:szCs w:val="24"/>
        </w:rPr>
        <w:t>s ir kit</w:t>
      </w:r>
      <w:r>
        <w:rPr>
          <w:szCs w:val="24"/>
        </w:rPr>
        <w:t>iem</w:t>
      </w:r>
      <w:r w:rsidRPr="003F400A">
        <w:rPr>
          <w:szCs w:val="24"/>
        </w:rPr>
        <w:t>s gebėjim</w:t>
      </w:r>
      <w:r>
        <w:rPr>
          <w:szCs w:val="24"/>
        </w:rPr>
        <w:t>am</w:t>
      </w:r>
      <w:r w:rsidRPr="003F400A">
        <w:rPr>
          <w:szCs w:val="24"/>
        </w:rPr>
        <w:t>s informacijos analizės ir kampanijų planavimo klausimais</w:t>
      </w:r>
      <w:r>
        <w:rPr>
          <w:szCs w:val="24"/>
        </w:rPr>
        <w:t xml:space="preserve"> stiprinti</w:t>
      </w:r>
      <w:r w:rsidRPr="003F400A">
        <w:rPr>
          <w:szCs w:val="24"/>
        </w:rPr>
        <w:t>.</w:t>
      </w:r>
    </w:p>
    <w:p w14:paraId="2CFB23BA" w14:textId="77777777" w:rsidR="008B10FF" w:rsidRPr="00C3224E" w:rsidRDefault="008B10FF" w:rsidP="00E660EB">
      <w:pPr>
        <w:spacing w:line="250" w:lineRule="auto"/>
        <w:ind w:firstLine="709"/>
        <w:jc w:val="both"/>
        <w:rPr>
          <w:szCs w:val="24"/>
          <w:lang w:val="en-GB"/>
        </w:rPr>
      </w:pPr>
      <w:r>
        <w:rPr>
          <w:szCs w:val="24"/>
        </w:rPr>
        <w:t xml:space="preserve">Siekdama didinti Lietuvos gyventojų atsparumą hibridinėms grėsmėms, Vyriausybės kanceliarija 2020 m. organizavo kibernetinį ir informacinį atsparumą skatinančią visuomenės informavimo kampaniją internetinėje, regioninėje žiniasklaidoje, televizijoje ir radijuje. Šios kampanijos rezultatas – Lietuvos </w:t>
      </w:r>
      <w:r>
        <w:rPr>
          <w:szCs w:val="24"/>
        </w:rPr>
        <w:lastRenderedPageBreak/>
        <w:t xml:space="preserve">gyventojų, kurie </w:t>
      </w:r>
      <w:r w:rsidRPr="00304C3F">
        <w:rPr>
          <w:szCs w:val="24"/>
        </w:rPr>
        <w:t>žino</w:t>
      </w:r>
      <w:r>
        <w:rPr>
          <w:szCs w:val="24"/>
        </w:rPr>
        <w:t xml:space="preserve"> </w:t>
      </w:r>
      <w:r w:rsidRPr="00304C3F">
        <w:rPr>
          <w:szCs w:val="24"/>
        </w:rPr>
        <w:t>priemones / būdus, padedančius apsisaugoti nuo kibernetinių išpuolių</w:t>
      </w:r>
      <w:r>
        <w:rPr>
          <w:szCs w:val="24"/>
        </w:rPr>
        <w:t>, skaičius padidėjo 27,4 proc. punktais (nuo 28,6 proc. iki 56 proc.)</w:t>
      </w:r>
    </w:p>
    <w:p w14:paraId="3996610D" w14:textId="77777777" w:rsidR="008B10FF" w:rsidRDefault="008B10FF" w:rsidP="00E660EB">
      <w:pPr>
        <w:spacing w:line="250" w:lineRule="auto"/>
        <w:ind w:firstLine="709"/>
        <w:jc w:val="both"/>
        <w:rPr>
          <w:color w:val="000000"/>
          <w:szCs w:val="24"/>
        </w:rPr>
      </w:pPr>
      <w:r>
        <w:rPr>
          <w:color w:val="000000"/>
          <w:szCs w:val="24"/>
        </w:rPr>
        <w:t xml:space="preserve">Lietuvos kariuomenės Strateginės komunikacijos departamento atstovai perskaitė 48 paskaitas apie informacines grėsmes (apie 1 300 klausytojų). Dalis visuomenės buvo pasiekta rengiant vaizdo konferencijas. </w:t>
      </w:r>
      <w:r w:rsidRPr="00670E9E">
        <w:rPr>
          <w:color w:val="000000"/>
          <w:szCs w:val="24"/>
        </w:rPr>
        <w:t>Per Lietuvos žiniasklaidos priemones paskelbta 19 pranešimų apie situacij</w:t>
      </w:r>
      <w:r>
        <w:rPr>
          <w:color w:val="000000"/>
          <w:szCs w:val="24"/>
        </w:rPr>
        <w:t>ą</w:t>
      </w:r>
      <w:r w:rsidRPr="00670E9E">
        <w:rPr>
          <w:color w:val="000000"/>
          <w:szCs w:val="24"/>
        </w:rPr>
        <w:t xml:space="preserve"> informacinėje aplinkoje. </w:t>
      </w:r>
      <w:r>
        <w:rPr>
          <w:color w:val="000000"/>
          <w:szCs w:val="24"/>
        </w:rPr>
        <w:t xml:space="preserve">COVID-19  pandemijos laikotarpiu </w:t>
      </w:r>
      <w:r>
        <w:rPr>
          <w:szCs w:val="24"/>
        </w:rPr>
        <w:t xml:space="preserve">dalyvauta diskusijų laidose televizijoje ir radijuje, bendradarbiauta su žurnalistais rengiant straipsnius apie dezinformaciją, propagandą bei kitą priešišką informacinį poveikį žmonėms. Bendrai pasiekta apie milijono </w:t>
      </w:r>
      <w:r>
        <w:rPr>
          <w:color w:val="000000"/>
          <w:szCs w:val="24"/>
        </w:rPr>
        <w:t xml:space="preserve">klausytojų auditorija. </w:t>
      </w:r>
    </w:p>
    <w:p w14:paraId="5915F854" w14:textId="77777777" w:rsidR="008B10FF" w:rsidRPr="003F400A" w:rsidRDefault="008B10FF" w:rsidP="00E660EB">
      <w:pPr>
        <w:spacing w:line="250" w:lineRule="auto"/>
        <w:ind w:firstLine="709"/>
        <w:jc w:val="both"/>
        <w:rPr>
          <w:szCs w:val="24"/>
        </w:rPr>
      </w:pPr>
      <w:r w:rsidRPr="003F400A">
        <w:rPr>
          <w:szCs w:val="24"/>
        </w:rPr>
        <w:t xml:space="preserve">Užsienio reikalų ministerijos pastangomis Lietuva įgyvendino socialinėje žiniasklaidoje Lietuvos laisvės kovotojų kampaniją, kartu su partneriais aktyviai pasakojo Antrojo pasaulinio karo pabaigos Europoje 75-mečio naratyvą, aktyviai atsakė į Rusijos bandymus peržiūrėti ir iškraipyti istoriją. Laisvės kovotojų kampanijos metu buvo siekiama užpildyti informacinę erdvę pozityviais </w:t>
      </w:r>
      <w:r>
        <w:rPr>
          <w:szCs w:val="24"/>
        </w:rPr>
        <w:t>pasakojimais</w:t>
      </w:r>
      <w:r w:rsidRPr="003F400A">
        <w:rPr>
          <w:szCs w:val="24"/>
        </w:rPr>
        <w:t xml:space="preserve">, demonstruojant tarptautinių ryšių stiprumą, demokratinių vertybių svarbą </w:t>
      </w:r>
      <w:r>
        <w:rPr>
          <w:szCs w:val="24"/>
        </w:rPr>
        <w:t>ir</w:t>
      </w:r>
      <w:r w:rsidRPr="003F400A">
        <w:rPr>
          <w:szCs w:val="24"/>
        </w:rPr>
        <w:t xml:space="preserve"> pozityvius pokyčius po komunizmo žlugimo.</w:t>
      </w:r>
    </w:p>
    <w:p w14:paraId="3AE488BB" w14:textId="77777777" w:rsidR="008B10FF" w:rsidRDefault="008B10FF" w:rsidP="00E660EB">
      <w:pPr>
        <w:spacing w:line="250" w:lineRule="auto"/>
        <w:ind w:firstLine="709"/>
        <w:jc w:val="both"/>
        <w:rPr>
          <w:szCs w:val="24"/>
        </w:rPr>
      </w:pPr>
      <w:r w:rsidRPr="003F400A">
        <w:rPr>
          <w:szCs w:val="24"/>
        </w:rPr>
        <w:t>Planuojam</w:t>
      </w:r>
      <w:r>
        <w:rPr>
          <w:szCs w:val="24"/>
        </w:rPr>
        <w:t>a</w:t>
      </w:r>
      <w:r w:rsidRPr="003F400A">
        <w:rPr>
          <w:szCs w:val="24"/>
        </w:rPr>
        <w:t xml:space="preserve"> tęsti aktyvi</w:t>
      </w:r>
      <w:r>
        <w:rPr>
          <w:szCs w:val="24"/>
        </w:rPr>
        <w:t>a</w:t>
      </w:r>
      <w:r w:rsidRPr="003F400A">
        <w:rPr>
          <w:szCs w:val="24"/>
        </w:rPr>
        <w:t>s komunikacin</w:t>
      </w:r>
      <w:r>
        <w:rPr>
          <w:szCs w:val="24"/>
        </w:rPr>
        <w:t>e</w:t>
      </w:r>
      <w:r w:rsidRPr="003F400A">
        <w:rPr>
          <w:szCs w:val="24"/>
        </w:rPr>
        <w:t>s kampanij</w:t>
      </w:r>
      <w:r>
        <w:rPr>
          <w:szCs w:val="24"/>
        </w:rPr>
        <w:t>a</w:t>
      </w:r>
      <w:r w:rsidRPr="003F400A">
        <w:rPr>
          <w:szCs w:val="24"/>
        </w:rPr>
        <w:t xml:space="preserve">s laisvės kovotojų, nesaugios </w:t>
      </w:r>
      <w:r>
        <w:rPr>
          <w:szCs w:val="24"/>
        </w:rPr>
        <w:t>Baltarusijos</w:t>
      </w:r>
      <w:r w:rsidRPr="003F400A">
        <w:rPr>
          <w:szCs w:val="24"/>
        </w:rPr>
        <w:t xml:space="preserve"> AE, Sausio 13-osios ir kitomis temomis</w:t>
      </w:r>
      <w:r>
        <w:rPr>
          <w:szCs w:val="24"/>
        </w:rPr>
        <w:t>.</w:t>
      </w:r>
      <w:r w:rsidRPr="003F400A">
        <w:rPr>
          <w:szCs w:val="24"/>
        </w:rPr>
        <w:t xml:space="preserve"> </w:t>
      </w:r>
      <w:r>
        <w:rPr>
          <w:szCs w:val="24"/>
        </w:rPr>
        <w:t>P</w:t>
      </w:r>
      <w:r w:rsidRPr="003F400A">
        <w:rPr>
          <w:szCs w:val="24"/>
        </w:rPr>
        <w:t>lanuojam</w:t>
      </w:r>
      <w:r>
        <w:rPr>
          <w:szCs w:val="24"/>
        </w:rPr>
        <w:t>os</w:t>
      </w:r>
      <w:r w:rsidRPr="003F400A">
        <w:rPr>
          <w:szCs w:val="24"/>
        </w:rPr>
        <w:t xml:space="preserve"> tarptautin</w:t>
      </w:r>
      <w:r>
        <w:rPr>
          <w:szCs w:val="24"/>
        </w:rPr>
        <w:t>ė</w:t>
      </w:r>
      <w:r w:rsidRPr="003F400A">
        <w:rPr>
          <w:szCs w:val="24"/>
        </w:rPr>
        <w:t>s konferencij</w:t>
      </w:r>
      <w:r>
        <w:rPr>
          <w:szCs w:val="24"/>
        </w:rPr>
        <w:t>o</w:t>
      </w:r>
      <w:r w:rsidRPr="003F400A">
        <w:rPr>
          <w:szCs w:val="24"/>
        </w:rPr>
        <w:t xml:space="preserve">s (tęstinė Vilniaus konferencija istorinėms traumoms nagrinėti) </w:t>
      </w:r>
      <w:r>
        <w:rPr>
          <w:szCs w:val="24"/>
        </w:rPr>
        <w:t>ir</w:t>
      </w:r>
      <w:r w:rsidRPr="003F400A">
        <w:rPr>
          <w:szCs w:val="24"/>
        </w:rPr>
        <w:t xml:space="preserve"> susitikim</w:t>
      </w:r>
      <w:r>
        <w:rPr>
          <w:szCs w:val="24"/>
        </w:rPr>
        <w:t>ai</w:t>
      </w:r>
      <w:r w:rsidRPr="003F400A">
        <w:rPr>
          <w:szCs w:val="24"/>
        </w:rPr>
        <w:t xml:space="preserve"> (Liublino ketvertas) </w:t>
      </w:r>
      <w:r>
        <w:rPr>
          <w:szCs w:val="24"/>
        </w:rPr>
        <w:t xml:space="preserve">su </w:t>
      </w:r>
      <w:r w:rsidRPr="003F400A">
        <w:rPr>
          <w:szCs w:val="24"/>
        </w:rPr>
        <w:t>regiono ir Vakarų politinėm</w:t>
      </w:r>
      <w:r>
        <w:rPr>
          <w:szCs w:val="24"/>
        </w:rPr>
        <w:t>i</w:t>
      </w:r>
      <w:r w:rsidRPr="003F400A">
        <w:rPr>
          <w:szCs w:val="24"/>
        </w:rPr>
        <w:t>s ir akademinėm</w:t>
      </w:r>
      <w:r>
        <w:rPr>
          <w:szCs w:val="24"/>
        </w:rPr>
        <w:t>i</w:t>
      </w:r>
      <w:r w:rsidRPr="003F400A">
        <w:rPr>
          <w:szCs w:val="24"/>
        </w:rPr>
        <w:t>s bendruomenėm</w:t>
      </w:r>
      <w:r>
        <w:rPr>
          <w:szCs w:val="24"/>
        </w:rPr>
        <w:t>i</w:t>
      </w:r>
      <w:r w:rsidRPr="003F400A">
        <w:rPr>
          <w:szCs w:val="24"/>
        </w:rPr>
        <w:t>s, pristatant istoriniais faktais ir jų moksline analize paremtą naratyvą laisvės kovų</w:t>
      </w:r>
      <w:r>
        <w:rPr>
          <w:szCs w:val="24"/>
        </w:rPr>
        <w:t>,</w:t>
      </w:r>
      <w:r w:rsidRPr="003F400A">
        <w:rPr>
          <w:szCs w:val="24"/>
        </w:rPr>
        <w:t xml:space="preserve"> tremčių ir Holokausto traumų temomis. </w:t>
      </w:r>
    </w:p>
    <w:p w14:paraId="6C5E3C15" w14:textId="77777777" w:rsidR="008B10FF" w:rsidRPr="003F400A" w:rsidRDefault="008B10FF" w:rsidP="00E660EB">
      <w:pPr>
        <w:spacing w:line="250" w:lineRule="auto"/>
        <w:ind w:firstLine="709"/>
        <w:jc w:val="both"/>
        <w:rPr>
          <w:szCs w:val="24"/>
        </w:rPr>
      </w:pPr>
      <w:r>
        <w:rPr>
          <w:szCs w:val="24"/>
        </w:rPr>
        <w:t>Numatoma k</w:t>
      </w:r>
      <w:r w:rsidRPr="003F400A">
        <w:rPr>
          <w:szCs w:val="24"/>
        </w:rPr>
        <w:t>ryptinga</w:t>
      </w:r>
      <w:r>
        <w:rPr>
          <w:szCs w:val="24"/>
        </w:rPr>
        <w:t>i</w:t>
      </w:r>
      <w:r w:rsidRPr="003F400A">
        <w:rPr>
          <w:szCs w:val="24"/>
        </w:rPr>
        <w:t xml:space="preserve"> veik</w:t>
      </w:r>
      <w:r>
        <w:rPr>
          <w:szCs w:val="24"/>
        </w:rPr>
        <w:t>ti</w:t>
      </w:r>
      <w:r w:rsidRPr="003F400A">
        <w:rPr>
          <w:szCs w:val="24"/>
        </w:rPr>
        <w:t xml:space="preserve"> tarptautiniu</w:t>
      </w:r>
      <w:r>
        <w:rPr>
          <w:szCs w:val="24"/>
        </w:rPr>
        <w:t xml:space="preserve"> lygiu</w:t>
      </w:r>
      <w:r w:rsidRPr="003F400A">
        <w:rPr>
          <w:szCs w:val="24"/>
        </w:rPr>
        <w:t>, sklei</w:t>
      </w:r>
      <w:r>
        <w:rPr>
          <w:szCs w:val="24"/>
        </w:rPr>
        <w:t>džiant</w:t>
      </w:r>
      <w:r w:rsidRPr="003F400A">
        <w:rPr>
          <w:szCs w:val="24"/>
        </w:rPr>
        <w:t xml:space="preserve"> žinią Vakarų sąjungininkams bei Rytų partneriams ir Rusijos visuomenei apie Lietuvos vaidmenį stiprinant demokratines vertybes regione</w:t>
      </w:r>
      <w:r>
        <w:rPr>
          <w:szCs w:val="24"/>
        </w:rPr>
        <w:t>,</w:t>
      </w:r>
      <w:r w:rsidRPr="003F400A">
        <w:rPr>
          <w:szCs w:val="24"/>
        </w:rPr>
        <w:t xml:space="preserve"> formuojant ir įgyvendinant Rytų partnerystės politiką, jos naudą visam regionui ir ES</w:t>
      </w:r>
      <w:r>
        <w:rPr>
          <w:szCs w:val="24"/>
        </w:rPr>
        <w:t xml:space="preserve">. Taip pat bus </w:t>
      </w:r>
      <w:r w:rsidRPr="003F400A">
        <w:rPr>
          <w:szCs w:val="24"/>
        </w:rPr>
        <w:t>aktyvi</w:t>
      </w:r>
      <w:r>
        <w:rPr>
          <w:szCs w:val="24"/>
        </w:rPr>
        <w:t>ai</w:t>
      </w:r>
      <w:r w:rsidRPr="003F400A">
        <w:rPr>
          <w:szCs w:val="24"/>
        </w:rPr>
        <w:t xml:space="preserve"> veik</w:t>
      </w:r>
      <w:r>
        <w:rPr>
          <w:szCs w:val="24"/>
        </w:rPr>
        <w:t>iama</w:t>
      </w:r>
      <w:r w:rsidRPr="003F400A">
        <w:rPr>
          <w:szCs w:val="24"/>
        </w:rPr>
        <w:t xml:space="preserve"> ES </w:t>
      </w:r>
      <w:r>
        <w:rPr>
          <w:szCs w:val="24"/>
        </w:rPr>
        <w:t>lygiu</w:t>
      </w:r>
      <w:r w:rsidRPr="003F400A">
        <w:rPr>
          <w:szCs w:val="24"/>
        </w:rPr>
        <w:t xml:space="preserve"> įgyvendinant Europos demokratijos veiksmų planą</w:t>
      </w:r>
      <w:r>
        <w:rPr>
          <w:szCs w:val="24"/>
        </w:rPr>
        <w:t>,</w:t>
      </w:r>
      <w:r w:rsidRPr="003F400A">
        <w:rPr>
          <w:szCs w:val="24"/>
        </w:rPr>
        <w:t xml:space="preserve"> toliau svarstant Skaitmeninių paslaugų aktą</w:t>
      </w:r>
      <w:r>
        <w:rPr>
          <w:szCs w:val="24"/>
        </w:rPr>
        <w:t xml:space="preserve"> ir</w:t>
      </w:r>
      <w:r w:rsidRPr="003F400A">
        <w:rPr>
          <w:szCs w:val="24"/>
        </w:rPr>
        <w:t xml:space="preserve"> skatinant, kad ES skirtų vis daugiau dėmesio medijų raštingum</w:t>
      </w:r>
      <w:r>
        <w:rPr>
          <w:szCs w:val="24"/>
        </w:rPr>
        <w:t>ui</w:t>
      </w:r>
      <w:r w:rsidRPr="003F400A">
        <w:rPr>
          <w:szCs w:val="24"/>
        </w:rPr>
        <w:t xml:space="preserve"> ir nepriklausom</w:t>
      </w:r>
      <w:r>
        <w:rPr>
          <w:szCs w:val="24"/>
        </w:rPr>
        <w:t>ai</w:t>
      </w:r>
      <w:r w:rsidRPr="003F400A">
        <w:rPr>
          <w:szCs w:val="24"/>
        </w:rPr>
        <w:t xml:space="preserve"> žiniasklaid</w:t>
      </w:r>
      <w:r>
        <w:rPr>
          <w:szCs w:val="24"/>
        </w:rPr>
        <w:t>ai remti</w:t>
      </w:r>
      <w:r w:rsidRPr="003F400A">
        <w:rPr>
          <w:szCs w:val="24"/>
        </w:rPr>
        <w:t>.</w:t>
      </w:r>
    </w:p>
    <w:bookmarkEnd w:id="86"/>
    <w:p w14:paraId="7633DCC6" w14:textId="77777777" w:rsidR="008B10FF" w:rsidRPr="00A91669" w:rsidRDefault="008B10FF" w:rsidP="00E660EB">
      <w:pPr>
        <w:pStyle w:val="Antrat5"/>
        <w:spacing w:before="0" w:line="250" w:lineRule="auto"/>
        <w:ind w:firstLine="709"/>
        <w:jc w:val="both"/>
        <w:rPr>
          <w:rFonts w:ascii="Times New Roman" w:hAnsi="Times New Roman"/>
          <w:b/>
          <w:bCs/>
          <w:color w:val="17365D" w:themeColor="text2" w:themeShade="BF"/>
        </w:rPr>
      </w:pPr>
      <w:r w:rsidRPr="00A91669">
        <w:rPr>
          <w:rFonts w:ascii="Times New Roman" w:hAnsi="Times New Roman"/>
          <w:b/>
          <w:bCs/>
          <w:color w:val="17365D" w:themeColor="text2" w:themeShade="BF"/>
        </w:rPr>
        <w:t>Visuomenės pasirengimo valstybės gynybai, pilietinės visuomenės, šalies kultūrinio ir tautinio tapatumo stiprinimas</w:t>
      </w:r>
    </w:p>
    <w:p w14:paraId="3EA98E8B" w14:textId="77777777" w:rsidR="008B10FF" w:rsidRPr="00512000" w:rsidRDefault="008B10FF" w:rsidP="00E660EB">
      <w:pPr>
        <w:tabs>
          <w:tab w:val="left" w:pos="567"/>
        </w:tabs>
        <w:spacing w:line="250" w:lineRule="auto"/>
        <w:ind w:firstLine="709"/>
        <w:jc w:val="both"/>
        <w:rPr>
          <w:szCs w:val="24"/>
          <w:lang w:val="en-GB"/>
        </w:rPr>
      </w:pPr>
      <w:r>
        <w:rPr>
          <w:szCs w:val="24"/>
        </w:rPr>
        <w:t>2020</w:t>
      </w:r>
      <w:r w:rsidRPr="00F1680B">
        <w:rPr>
          <w:szCs w:val="24"/>
        </w:rPr>
        <w:t xml:space="preserve"> m. </w:t>
      </w:r>
      <w:r>
        <w:rPr>
          <w:szCs w:val="24"/>
        </w:rPr>
        <w:t xml:space="preserve">krašto apsaugos sistema </w:t>
      </w:r>
      <w:r w:rsidRPr="00F1680B">
        <w:rPr>
          <w:szCs w:val="24"/>
        </w:rPr>
        <w:t>tęsė aktyvią veiklą pilietinio ir patriotinio ugdymo srityje, skatindama visuomenę domėtis šalies gynybos klausimais, kariuomene ir prisidėti prie šalies saugumo.</w:t>
      </w:r>
    </w:p>
    <w:p w14:paraId="09CE32A8" w14:textId="77777777" w:rsidR="008B10FF" w:rsidRDefault="008B10FF" w:rsidP="00E660EB">
      <w:pPr>
        <w:tabs>
          <w:tab w:val="left" w:pos="567"/>
        </w:tabs>
        <w:spacing w:line="250" w:lineRule="auto"/>
        <w:ind w:firstLine="709"/>
        <w:jc w:val="both"/>
        <w:rPr>
          <w:szCs w:val="24"/>
        </w:rPr>
      </w:pPr>
      <w:r w:rsidRPr="00F1680B">
        <w:rPr>
          <w:szCs w:val="24"/>
        </w:rPr>
        <w:t>Neformaliojo ugdymo srityje pagrindinis vaidmuo teko L</w:t>
      </w:r>
      <w:r>
        <w:rPr>
          <w:szCs w:val="24"/>
        </w:rPr>
        <w:t xml:space="preserve">ietuvos šaulių sąjungai. </w:t>
      </w:r>
      <w:r w:rsidRPr="00F1680B">
        <w:rPr>
          <w:szCs w:val="24"/>
        </w:rPr>
        <w:t>K</w:t>
      </w:r>
      <w:r>
        <w:rPr>
          <w:szCs w:val="24"/>
        </w:rPr>
        <w:t xml:space="preserve">rašto apsaugos ministerijos </w:t>
      </w:r>
      <w:r w:rsidRPr="00F1680B">
        <w:rPr>
          <w:szCs w:val="24"/>
        </w:rPr>
        <w:t>rem</w:t>
      </w:r>
      <w:r>
        <w:rPr>
          <w:szCs w:val="24"/>
        </w:rPr>
        <w:t xml:space="preserve">iamose </w:t>
      </w:r>
      <w:r w:rsidRPr="00F1680B">
        <w:rPr>
          <w:szCs w:val="24"/>
        </w:rPr>
        <w:t>L</w:t>
      </w:r>
      <w:r>
        <w:rPr>
          <w:szCs w:val="24"/>
        </w:rPr>
        <w:t>ietuvos šaulių sąjungos vaikų stovyklose 2020</w:t>
      </w:r>
      <w:r w:rsidRPr="00F1680B">
        <w:rPr>
          <w:szCs w:val="24"/>
        </w:rPr>
        <w:t xml:space="preserve"> m. dalyvav</w:t>
      </w:r>
      <w:r>
        <w:rPr>
          <w:szCs w:val="24"/>
        </w:rPr>
        <w:t xml:space="preserve">o 5 366 vaikai. </w:t>
      </w:r>
      <w:r w:rsidRPr="00F1680B">
        <w:rPr>
          <w:szCs w:val="24"/>
        </w:rPr>
        <w:t>L</w:t>
      </w:r>
      <w:r>
        <w:rPr>
          <w:szCs w:val="24"/>
        </w:rPr>
        <w:t>ietuvos šaulių sąjungos veikloje 2020</w:t>
      </w:r>
      <w:r w:rsidRPr="00F1680B">
        <w:rPr>
          <w:szCs w:val="24"/>
        </w:rPr>
        <w:t xml:space="preserve"> m. </w:t>
      </w:r>
      <w:r w:rsidRPr="00457B00">
        <w:rPr>
          <w:szCs w:val="24"/>
        </w:rPr>
        <w:t xml:space="preserve">dalyvavo </w:t>
      </w:r>
      <w:r>
        <w:rPr>
          <w:szCs w:val="24"/>
        </w:rPr>
        <w:t xml:space="preserve">apie </w:t>
      </w:r>
      <w:r>
        <w:rPr>
          <w:bCs/>
          <w:szCs w:val="24"/>
        </w:rPr>
        <w:t>5 200</w:t>
      </w:r>
      <w:r w:rsidRPr="00457B00">
        <w:rPr>
          <w:szCs w:val="24"/>
        </w:rPr>
        <w:t xml:space="preserve"> jaun</w:t>
      </w:r>
      <w:r>
        <w:rPr>
          <w:szCs w:val="24"/>
        </w:rPr>
        <w:t>ųjų</w:t>
      </w:r>
      <w:r w:rsidRPr="00457B00">
        <w:rPr>
          <w:szCs w:val="24"/>
        </w:rPr>
        <w:t xml:space="preserve"> šaul</w:t>
      </w:r>
      <w:r>
        <w:rPr>
          <w:szCs w:val="24"/>
        </w:rPr>
        <w:t>ių</w:t>
      </w:r>
      <w:r w:rsidRPr="00457B00">
        <w:rPr>
          <w:szCs w:val="24"/>
        </w:rPr>
        <w:t>.</w:t>
      </w:r>
    </w:p>
    <w:p w14:paraId="467A076F" w14:textId="77777777" w:rsidR="008B10FF" w:rsidRDefault="008B10FF" w:rsidP="00E660EB">
      <w:pPr>
        <w:tabs>
          <w:tab w:val="left" w:pos="567"/>
        </w:tabs>
        <w:spacing w:line="250" w:lineRule="auto"/>
        <w:ind w:firstLine="709"/>
        <w:jc w:val="both"/>
        <w:rPr>
          <w:szCs w:val="24"/>
        </w:rPr>
      </w:pPr>
      <w:r>
        <w:rPr>
          <w:szCs w:val="24"/>
        </w:rPr>
        <w:t>Į</w:t>
      </w:r>
      <w:r w:rsidRPr="00B25915">
        <w:rPr>
          <w:szCs w:val="24"/>
        </w:rPr>
        <w:t xml:space="preserve"> pilietinį ir patriotinį ugdymą įtrauk</w:t>
      </w:r>
      <w:r>
        <w:rPr>
          <w:szCs w:val="24"/>
        </w:rPr>
        <w:t>iant</w:t>
      </w:r>
      <w:r w:rsidRPr="00B25915">
        <w:rPr>
          <w:szCs w:val="24"/>
        </w:rPr>
        <w:t xml:space="preserve"> ir nev</w:t>
      </w:r>
      <w:r>
        <w:rPr>
          <w:szCs w:val="24"/>
        </w:rPr>
        <w:t xml:space="preserve">yriausybines organizacijas, </w:t>
      </w:r>
      <w:r w:rsidRPr="0074598A">
        <w:rPr>
          <w:szCs w:val="24"/>
        </w:rPr>
        <w:t xml:space="preserve">2020 m. </w:t>
      </w:r>
      <w:r>
        <w:rPr>
          <w:szCs w:val="24"/>
        </w:rPr>
        <w:t>buvo iš dalies finansuotos</w:t>
      </w:r>
      <w:r w:rsidRPr="0074598A">
        <w:rPr>
          <w:szCs w:val="24"/>
        </w:rPr>
        <w:t xml:space="preserve"> 8 asociacijų ir viešųjų įsta</w:t>
      </w:r>
      <w:r>
        <w:rPr>
          <w:szCs w:val="24"/>
        </w:rPr>
        <w:t>igų inicijuotos veiklos programos, skirto</w:t>
      </w:r>
      <w:r w:rsidRPr="0074598A">
        <w:rPr>
          <w:szCs w:val="24"/>
        </w:rPr>
        <w:t>s pilietiškum</w:t>
      </w:r>
      <w:r>
        <w:rPr>
          <w:szCs w:val="24"/>
        </w:rPr>
        <w:t>ui,</w:t>
      </w:r>
      <w:r w:rsidRPr="0074598A">
        <w:rPr>
          <w:szCs w:val="24"/>
        </w:rPr>
        <w:t xml:space="preserve"> tautin</w:t>
      </w:r>
      <w:r>
        <w:rPr>
          <w:szCs w:val="24"/>
        </w:rPr>
        <w:t>iam</w:t>
      </w:r>
      <w:r w:rsidRPr="0074598A">
        <w:rPr>
          <w:szCs w:val="24"/>
        </w:rPr>
        <w:t xml:space="preserve"> identitet</w:t>
      </w:r>
      <w:r>
        <w:rPr>
          <w:szCs w:val="24"/>
        </w:rPr>
        <w:t>ui ir</w:t>
      </w:r>
      <w:r w:rsidRPr="0074598A">
        <w:rPr>
          <w:szCs w:val="24"/>
        </w:rPr>
        <w:t xml:space="preserve"> gebėjim</w:t>
      </w:r>
      <w:r>
        <w:rPr>
          <w:szCs w:val="24"/>
        </w:rPr>
        <w:t>am</w:t>
      </w:r>
      <w:r w:rsidRPr="0074598A">
        <w:rPr>
          <w:szCs w:val="24"/>
        </w:rPr>
        <w:t>s ginti valstybę</w:t>
      </w:r>
      <w:r>
        <w:rPr>
          <w:szCs w:val="24"/>
        </w:rPr>
        <w:t xml:space="preserve"> ugdyti</w:t>
      </w:r>
      <w:r w:rsidRPr="0074598A">
        <w:rPr>
          <w:szCs w:val="24"/>
        </w:rPr>
        <w:t xml:space="preserve">. </w:t>
      </w:r>
    </w:p>
    <w:p w14:paraId="527C1433" w14:textId="77777777" w:rsidR="008B10FF" w:rsidRDefault="008B10FF" w:rsidP="00E660EB">
      <w:pPr>
        <w:tabs>
          <w:tab w:val="left" w:pos="567"/>
        </w:tabs>
        <w:spacing w:line="250" w:lineRule="auto"/>
        <w:ind w:firstLine="709"/>
        <w:jc w:val="both"/>
        <w:rPr>
          <w:color w:val="000000" w:themeColor="text1"/>
          <w:szCs w:val="24"/>
        </w:rPr>
      </w:pPr>
      <w:r w:rsidRPr="00B05158">
        <w:rPr>
          <w:szCs w:val="24"/>
        </w:rPr>
        <w:t>Buvo organizuojami įvairūs pilietiškumą ugdantys ir domėjimąsi L</w:t>
      </w:r>
      <w:r>
        <w:rPr>
          <w:szCs w:val="24"/>
        </w:rPr>
        <w:t xml:space="preserve">ietuvos kariuomene ir krašto apsaugos sistema </w:t>
      </w:r>
      <w:r w:rsidRPr="00B05158">
        <w:rPr>
          <w:szCs w:val="24"/>
        </w:rPr>
        <w:t>skatinantys renginiai moksleiviams</w:t>
      </w:r>
      <w:r>
        <w:rPr>
          <w:szCs w:val="24"/>
        </w:rPr>
        <w:t xml:space="preserve"> ir jaunimui.</w:t>
      </w:r>
      <w:r w:rsidRPr="00670E9E">
        <w:rPr>
          <w:color w:val="000000" w:themeColor="text1"/>
          <w:szCs w:val="24"/>
        </w:rPr>
        <w:t xml:space="preserve"> </w:t>
      </w:r>
      <w:r>
        <w:t>S</w:t>
      </w:r>
      <w:r w:rsidRPr="0050780B">
        <w:t>ėkmingai įgyvendinti jau tradiciniais tapę nacionalinis mokinių konkursas „Praeities stiprybė – dabarčiai“ ir rašinių konkursas „Mes esame NATO“</w:t>
      </w:r>
      <w:r>
        <w:t>. Įvyko</w:t>
      </w:r>
      <w:r w:rsidRPr="0074598A">
        <w:rPr>
          <w:szCs w:val="24"/>
        </w:rPr>
        <w:t xml:space="preserve"> </w:t>
      </w:r>
      <w:r w:rsidRPr="00B05158">
        <w:rPr>
          <w:szCs w:val="24"/>
        </w:rPr>
        <w:t>pilietiškiausios mokyklos atranka Gedimino pilies bokšto Lietuvos valstybinei vėliavai gauti</w:t>
      </w:r>
      <w:r w:rsidRPr="0050780B">
        <w:t xml:space="preserve">. </w:t>
      </w:r>
      <w:r w:rsidRPr="00D705CF">
        <w:rPr>
          <w:color w:val="000000" w:themeColor="text1"/>
          <w:szCs w:val="24"/>
        </w:rPr>
        <w:t>Kartu su Br</w:t>
      </w:r>
      <w:r>
        <w:rPr>
          <w:color w:val="000000" w:themeColor="text1"/>
          <w:szCs w:val="24"/>
        </w:rPr>
        <w:t xml:space="preserve">itų taryba (angl. </w:t>
      </w:r>
      <w:proofErr w:type="spellStart"/>
      <w:r w:rsidRPr="000F4D2D">
        <w:rPr>
          <w:i/>
          <w:color w:val="000000" w:themeColor="text1"/>
          <w:szCs w:val="24"/>
        </w:rPr>
        <w:t>British</w:t>
      </w:r>
      <w:proofErr w:type="spellEnd"/>
      <w:r w:rsidRPr="000F4D2D">
        <w:rPr>
          <w:i/>
          <w:color w:val="000000" w:themeColor="text1"/>
          <w:szCs w:val="24"/>
        </w:rPr>
        <w:t xml:space="preserve"> </w:t>
      </w:r>
      <w:proofErr w:type="spellStart"/>
      <w:r w:rsidRPr="000F4D2D">
        <w:rPr>
          <w:i/>
          <w:color w:val="000000" w:themeColor="text1"/>
          <w:szCs w:val="24"/>
        </w:rPr>
        <w:t>Council</w:t>
      </w:r>
      <w:proofErr w:type="spellEnd"/>
      <w:r>
        <w:rPr>
          <w:color w:val="000000" w:themeColor="text1"/>
          <w:szCs w:val="24"/>
        </w:rPr>
        <w:t>)</w:t>
      </w:r>
      <w:r w:rsidRPr="00D705CF">
        <w:rPr>
          <w:color w:val="000000" w:themeColor="text1"/>
          <w:szCs w:val="24"/>
        </w:rPr>
        <w:t xml:space="preserve">, </w:t>
      </w:r>
      <w:r>
        <w:rPr>
          <w:color w:val="000000" w:themeColor="text1"/>
          <w:szCs w:val="24"/>
        </w:rPr>
        <w:t>K</w:t>
      </w:r>
      <w:r w:rsidRPr="00314F3A">
        <w:rPr>
          <w:color w:val="000000" w:themeColor="text1"/>
          <w:szCs w:val="24"/>
        </w:rPr>
        <w:t>ultūros ministerija, Jaunimo</w:t>
      </w:r>
      <w:r>
        <w:rPr>
          <w:color w:val="000000" w:themeColor="text1"/>
          <w:szCs w:val="24"/>
        </w:rPr>
        <w:t xml:space="preserve"> reikalų departamentu prie Socialinės apsaugos ir darbo ministerijos </w:t>
      </w:r>
      <w:r w:rsidRPr="00D705CF">
        <w:rPr>
          <w:color w:val="000000" w:themeColor="text1"/>
          <w:szCs w:val="24"/>
        </w:rPr>
        <w:t>rengti mokymai (pilietiškumo dirbtuvės) „Stiprūs įvairovėje“</w:t>
      </w:r>
      <w:r>
        <w:rPr>
          <w:color w:val="000000" w:themeColor="text1"/>
          <w:szCs w:val="24"/>
        </w:rPr>
        <w:t>,</w:t>
      </w:r>
      <w:r w:rsidRPr="00D705CF">
        <w:rPr>
          <w:color w:val="000000" w:themeColor="text1"/>
          <w:szCs w:val="24"/>
        </w:rPr>
        <w:t xml:space="preserve"> skirti Lietuvos įvairių etninių grupių jaunimo integracijai, pilietin</w:t>
      </w:r>
      <w:r>
        <w:rPr>
          <w:color w:val="000000" w:themeColor="text1"/>
          <w:szCs w:val="24"/>
        </w:rPr>
        <w:t>ei</w:t>
      </w:r>
      <w:r w:rsidRPr="00D705CF">
        <w:rPr>
          <w:color w:val="000000" w:themeColor="text1"/>
          <w:szCs w:val="24"/>
        </w:rPr>
        <w:t xml:space="preserve"> atsakomyb</w:t>
      </w:r>
      <w:r>
        <w:rPr>
          <w:color w:val="000000" w:themeColor="text1"/>
          <w:szCs w:val="24"/>
        </w:rPr>
        <w:t>ei</w:t>
      </w:r>
      <w:r w:rsidRPr="00D705CF">
        <w:rPr>
          <w:color w:val="000000" w:themeColor="text1"/>
          <w:szCs w:val="24"/>
        </w:rPr>
        <w:t xml:space="preserve"> skatin</w:t>
      </w:r>
      <w:r>
        <w:rPr>
          <w:color w:val="000000" w:themeColor="text1"/>
          <w:szCs w:val="24"/>
        </w:rPr>
        <w:t>ti</w:t>
      </w:r>
      <w:r w:rsidRPr="00D705CF">
        <w:rPr>
          <w:color w:val="000000" w:themeColor="text1"/>
          <w:szCs w:val="24"/>
        </w:rPr>
        <w:t>, šalies saugumo problematik</w:t>
      </w:r>
      <w:r>
        <w:rPr>
          <w:color w:val="000000" w:themeColor="text1"/>
          <w:szCs w:val="24"/>
        </w:rPr>
        <w:t>ai</w:t>
      </w:r>
      <w:r w:rsidRPr="00D705CF">
        <w:rPr>
          <w:color w:val="000000" w:themeColor="text1"/>
          <w:szCs w:val="24"/>
        </w:rPr>
        <w:t xml:space="preserve"> aktualiz</w:t>
      </w:r>
      <w:r>
        <w:rPr>
          <w:color w:val="000000" w:themeColor="text1"/>
          <w:szCs w:val="24"/>
        </w:rPr>
        <w:t>uoti</w:t>
      </w:r>
      <w:r w:rsidRPr="00D705CF">
        <w:rPr>
          <w:color w:val="000000" w:themeColor="text1"/>
          <w:szCs w:val="24"/>
        </w:rPr>
        <w:t>.</w:t>
      </w:r>
      <w:r w:rsidRPr="00670E9E">
        <w:rPr>
          <w:color w:val="000000" w:themeColor="text1"/>
          <w:szCs w:val="24"/>
        </w:rPr>
        <w:t xml:space="preserve"> </w:t>
      </w:r>
      <w:r w:rsidRPr="00D705CF">
        <w:rPr>
          <w:color w:val="000000" w:themeColor="text1"/>
          <w:szCs w:val="24"/>
        </w:rPr>
        <w:t xml:space="preserve">Bendradarbiaujant su Vilniaus dailės akademija, </w:t>
      </w:r>
      <w:r>
        <w:rPr>
          <w:color w:val="000000" w:themeColor="text1"/>
          <w:szCs w:val="24"/>
        </w:rPr>
        <w:t>su</w:t>
      </w:r>
      <w:r w:rsidRPr="00D705CF">
        <w:rPr>
          <w:color w:val="000000" w:themeColor="text1"/>
          <w:szCs w:val="24"/>
        </w:rPr>
        <w:t>rengtas akademijos studentų konkursas plakatams apie L</w:t>
      </w:r>
      <w:r>
        <w:rPr>
          <w:color w:val="000000" w:themeColor="text1"/>
          <w:szCs w:val="24"/>
        </w:rPr>
        <w:t xml:space="preserve">ietuvos kariuomenę </w:t>
      </w:r>
      <w:r w:rsidRPr="00D705CF">
        <w:rPr>
          <w:color w:val="000000" w:themeColor="text1"/>
          <w:szCs w:val="24"/>
        </w:rPr>
        <w:t>sukurti.</w:t>
      </w:r>
    </w:p>
    <w:p w14:paraId="7D1FD16C" w14:textId="77777777" w:rsidR="008B10FF" w:rsidRPr="00C6511A" w:rsidRDefault="008B10FF" w:rsidP="00E660EB">
      <w:pPr>
        <w:spacing w:line="250" w:lineRule="auto"/>
        <w:ind w:firstLine="709"/>
        <w:jc w:val="both"/>
      </w:pPr>
      <w:r w:rsidRPr="00601547">
        <w:t>Pilietinis</w:t>
      </w:r>
      <w:r>
        <w:t xml:space="preserve"> ir</w:t>
      </w:r>
      <w:r w:rsidRPr="00601547">
        <w:t xml:space="preserve"> patriotinis ugdymas </w:t>
      </w:r>
      <w:r>
        <w:t xml:space="preserve">įtrauktas į bendrąsias ugdymo programas. </w:t>
      </w:r>
      <w:r w:rsidRPr="00601547">
        <w:t>Aktuali informacija pilietiškumo ugdymo temomis skelbiama Ugdymo sodo svetainėje</w:t>
      </w:r>
      <w:r>
        <w:rPr>
          <w:rStyle w:val="Puslapioinaosnuoroda"/>
        </w:rPr>
        <w:footnoteReference w:id="54"/>
      </w:r>
      <w:r w:rsidRPr="00601547">
        <w:t>. Įvairių dalykų mokytojai tobulina kompetencijas pagal nacionalinę kvalifikacijos tobulinimo programą „Nacionalinio saugumo ir pilietiškumo nuostatų stiprinimas ugdyme“, taip pat kituose kvalifikacijos tobulinimo renginiuose. </w:t>
      </w:r>
      <w:r>
        <w:t>R</w:t>
      </w:r>
      <w:r w:rsidRPr="00601547">
        <w:t xml:space="preserve">engiamos </w:t>
      </w:r>
      <w:r w:rsidRPr="00E32899">
        <w:t>TV transliacijos nacionalinio saugumo, pilietiškumo, tautinio tapatumo temomis</w:t>
      </w:r>
      <w:r w:rsidRPr="00E32899">
        <w:rPr>
          <w:rStyle w:val="Puslapioinaosnuoroda"/>
        </w:rPr>
        <w:footnoteReference w:id="55"/>
      </w:r>
      <w:r w:rsidRPr="00E32899">
        <w:t>. N</w:t>
      </w:r>
      <w:r w:rsidRPr="00C6511A">
        <w:t xml:space="preserve">acionalinio saugumo, </w:t>
      </w:r>
      <w:r w:rsidRPr="00C6511A">
        <w:lastRenderedPageBreak/>
        <w:t>patriotizmo, pilietinio pasipriešinimo, pilietiškumo, medijų raštingumo ugdymas akcentuojamas atnaujinamose ugdymo programose</w:t>
      </w:r>
      <w:r w:rsidRPr="00C6511A">
        <w:rPr>
          <w:rStyle w:val="Puslapioinaosnuoroda"/>
        </w:rPr>
        <w:footnoteReference w:id="56"/>
      </w:r>
      <w:r w:rsidRPr="00C6511A">
        <w:t>. </w:t>
      </w:r>
    </w:p>
    <w:p w14:paraId="48B227D3" w14:textId="77777777" w:rsidR="008B10FF" w:rsidRDefault="008B10FF" w:rsidP="00E660EB">
      <w:pPr>
        <w:tabs>
          <w:tab w:val="left" w:pos="567"/>
        </w:tabs>
        <w:spacing w:line="250" w:lineRule="auto"/>
        <w:ind w:firstLine="709"/>
        <w:jc w:val="both"/>
        <w:rPr>
          <w:szCs w:val="24"/>
        </w:rPr>
      </w:pPr>
      <w:r>
        <w:t>Papildomai o</w:t>
      </w:r>
      <w:r w:rsidRPr="0050780B">
        <w:t>rganizuoti mokymai pedagogams pagal Nacionalinės kvalifikacijos tobulinimo programos „Nacionalinio saugumo ir pilietiškumo nuostatų stiprinimas ugdyme“ pasirenkamąjį modulį „Pilietis ir šalies gynyba“. Mokymuose dalyvavo 200 pedagogų. Jie įgytas žinias integruos į savo mokomu</w:t>
      </w:r>
      <w:r>
        <w:t>osiu</w:t>
      </w:r>
      <w:r w:rsidRPr="0050780B">
        <w:t xml:space="preserve">s dalykus ir perduos </w:t>
      </w:r>
      <w:r>
        <w:t>jas</w:t>
      </w:r>
      <w:r w:rsidRPr="0050780B">
        <w:t xml:space="preserve"> šalies mokyklų mokiniams.</w:t>
      </w:r>
    </w:p>
    <w:p w14:paraId="75AEB2C6" w14:textId="77777777" w:rsidR="008B10FF" w:rsidRDefault="008B10FF" w:rsidP="00E660EB">
      <w:pPr>
        <w:spacing w:line="250" w:lineRule="auto"/>
        <w:ind w:firstLine="709"/>
        <w:jc w:val="both"/>
        <w:rPr>
          <w:color w:val="000000" w:themeColor="text1"/>
          <w:szCs w:val="24"/>
        </w:rPr>
      </w:pPr>
      <w:r w:rsidRPr="00D705CF">
        <w:rPr>
          <w:color w:val="000000" w:themeColor="text1"/>
          <w:szCs w:val="24"/>
        </w:rPr>
        <w:t xml:space="preserve">Bendradarbiaujant su LRT buvo parengti </w:t>
      </w:r>
      <w:r>
        <w:rPr>
          <w:color w:val="000000" w:themeColor="text1"/>
          <w:szCs w:val="24"/>
        </w:rPr>
        <w:t>2</w:t>
      </w:r>
      <w:r w:rsidRPr="00D705CF">
        <w:rPr>
          <w:color w:val="000000" w:themeColor="text1"/>
          <w:szCs w:val="24"/>
        </w:rPr>
        <w:t xml:space="preserve"> projektai: Partizanų pagerbimo, kariuomenės ir visuomenės dienos vaizdo projektas ir </w:t>
      </w:r>
      <w:r>
        <w:rPr>
          <w:color w:val="000000" w:themeColor="text1"/>
          <w:szCs w:val="24"/>
        </w:rPr>
        <w:t>K</w:t>
      </w:r>
      <w:r w:rsidRPr="00D705CF">
        <w:rPr>
          <w:color w:val="000000" w:themeColor="text1"/>
          <w:szCs w:val="24"/>
        </w:rPr>
        <w:t>ariuomenės dienos p</w:t>
      </w:r>
      <w:r>
        <w:rPr>
          <w:color w:val="000000" w:themeColor="text1"/>
          <w:szCs w:val="24"/>
        </w:rPr>
        <w:t xml:space="preserve">rojektas  „Lietuvos karžygys“ (žiūrėjo didelė TV žiūrovų auditorija – </w:t>
      </w:r>
      <w:r w:rsidRPr="00D705CF">
        <w:rPr>
          <w:color w:val="000000" w:themeColor="text1"/>
          <w:szCs w:val="24"/>
        </w:rPr>
        <w:t>nuo 26 iki 90 tūkstančių</w:t>
      </w:r>
      <w:r>
        <w:rPr>
          <w:color w:val="000000" w:themeColor="text1"/>
          <w:szCs w:val="24"/>
        </w:rPr>
        <w:t xml:space="preserve"> žiūrovų</w:t>
      </w:r>
      <w:r w:rsidRPr="00D705CF">
        <w:rPr>
          <w:color w:val="000000" w:themeColor="text1"/>
          <w:szCs w:val="24"/>
        </w:rPr>
        <w:t>).</w:t>
      </w:r>
    </w:p>
    <w:p w14:paraId="4A0D5010" w14:textId="77777777" w:rsidR="008B10FF" w:rsidRDefault="008B10FF" w:rsidP="00E660EB">
      <w:pPr>
        <w:spacing w:line="250" w:lineRule="auto"/>
        <w:ind w:firstLine="709"/>
        <w:jc w:val="both"/>
      </w:pPr>
      <w:r w:rsidRPr="0050780B">
        <w:t>2020 m. toliau tęs</w:t>
      </w:r>
      <w:r>
        <w:t>ta</w:t>
      </w:r>
      <w:r w:rsidRPr="0050780B">
        <w:t xml:space="preserve"> </w:t>
      </w:r>
      <w:r>
        <w:t>N</w:t>
      </w:r>
      <w:r w:rsidRPr="0050780B">
        <w:t xml:space="preserve">esmurtinio pilietinio pasipriešinimo kursų programa, skirta </w:t>
      </w:r>
      <w:r>
        <w:t>supažindinti</w:t>
      </w:r>
      <w:r w:rsidRPr="0050780B">
        <w:t xml:space="preserve"> Lietuvos Respublikos piliečius </w:t>
      </w:r>
      <w:r>
        <w:t xml:space="preserve">su </w:t>
      </w:r>
      <w:r w:rsidRPr="0050780B">
        <w:t xml:space="preserve"> </w:t>
      </w:r>
      <w:r>
        <w:t xml:space="preserve">neginkluoto </w:t>
      </w:r>
      <w:r w:rsidRPr="0050780B">
        <w:t>pasipriešinimo veiksm</w:t>
      </w:r>
      <w:r>
        <w:t>ai</w:t>
      </w:r>
      <w:r w:rsidRPr="0050780B">
        <w:t xml:space="preserve">s. </w:t>
      </w:r>
      <w:r>
        <w:t>2020 m.</w:t>
      </w:r>
      <w:r w:rsidRPr="0050780B">
        <w:t xml:space="preserve"> kursus išklausė daugiau kaip 600 dalyvių iš įvairių visuomenės grupių.</w:t>
      </w:r>
    </w:p>
    <w:p w14:paraId="7BC552A5" w14:textId="77777777" w:rsidR="008B10FF" w:rsidRDefault="008B10FF" w:rsidP="00E660EB">
      <w:pPr>
        <w:spacing w:line="250" w:lineRule="auto"/>
        <w:ind w:firstLine="709"/>
        <w:jc w:val="both"/>
      </w:pPr>
      <w:r w:rsidRPr="0050780B">
        <w:t xml:space="preserve">Surengti mokymai pedagogams „Pilietinio pasipriešinimo ir išgyvenimo pagrindai“, kurių metu </w:t>
      </w:r>
      <w:r>
        <w:t>vyko</w:t>
      </w:r>
      <w:r w:rsidRPr="0050780B">
        <w:t xml:space="preserve"> teoriniai ir praktiniai edukaciniai užsiėmimai apie pilietinį pasipriešinimą, individualų ir šeimos pasirengimą karinei krizei, svarbiausius išgyvenimo įgūdžius.</w:t>
      </w:r>
    </w:p>
    <w:p w14:paraId="5C00862A" w14:textId="77777777" w:rsidR="008B10FF" w:rsidRDefault="008B10FF" w:rsidP="00E660EB">
      <w:pPr>
        <w:spacing w:line="250" w:lineRule="auto"/>
        <w:ind w:firstLine="709"/>
        <w:jc w:val="both"/>
      </w:pPr>
      <w:r w:rsidRPr="0050780B">
        <w:t>2020 m. išleistas leidinys „Išgyvenimo atmintinė“ (iš viso 2</w:t>
      </w:r>
      <w:r>
        <w:t> </w:t>
      </w:r>
      <w:r w:rsidRPr="0050780B">
        <w:t>000 egz.)</w:t>
      </w:r>
      <w:r>
        <w:t>, jis</w:t>
      </w:r>
      <w:r w:rsidRPr="0050780B">
        <w:t xml:space="preserve"> išplatintas </w:t>
      </w:r>
      <w:r>
        <w:t>Lietuvos šaulių sąjungos nariams</w:t>
      </w:r>
      <w:r w:rsidRPr="0050780B">
        <w:t xml:space="preserve"> ir</w:t>
      </w:r>
      <w:r>
        <w:t xml:space="preserve"> kitiems piliečiams</w:t>
      </w:r>
      <w:r w:rsidRPr="0050780B">
        <w:t xml:space="preserve">. Taip pat parengtas </w:t>
      </w:r>
      <w:r>
        <w:t>išleisti</w:t>
      </w:r>
      <w:r w:rsidRPr="0050780B">
        <w:t xml:space="preserve"> mokomasis leidinys visuomenei „Pilietinio pasipriešinimo abėcėlė. Patarimai, kaip kovoti be ginklų“.</w:t>
      </w:r>
    </w:p>
    <w:p w14:paraId="1B27EDC6" w14:textId="77777777" w:rsidR="008B10FF" w:rsidRPr="00AB385F" w:rsidRDefault="008B10FF" w:rsidP="00E660EB">
      <w:pPr>
        <w:spacing w:line="250" w:lineRule="auto"/>
        <w:ind w:firstLine="709"/>
        <w:jc w:val="both"/>
        <w:rPr>
          <w:color w:val="000000" w:themeColor="text1"/>
          <w:szCs w:val="24"/>
        </w:rPr>
      </w:pPr>
      <w:r w:rsidRPr="00C6511A">
        <w:rPr>
          <w:bCs/>
          <w:iCs/>
          <w:szCs w:val="24"/>
        </w:rPr>
        <w:t xml:space="preserve">2020 m. </w:t>
      </w:r>
      <w:r w:rsidRPr="00C6511A">
        <w:rPr>
          <w:szCs w:val="24"/>
        </w:rPr>
        <w:t xml:space="preserve">parengtos ir įgyvendintos Lietuvos valstybės atkūrimo dienos – Vasario 16-osios minėjimo </w:t>
      </w:r>
      <w:r>
        <w:rPr>
          <w:szCs w:val="24"/>
        </w:rPr>
        <w:t>ir</w:t>
      </w:r>
      <w:r w:rsidRPr="00C6511A">
        <w:rPr>
          <w:szCs w:val="24"/>
        </w:rPr>
        <w:t xml:space="preserve"> Lietuvos valstybės nepriklausomybės atkūrimo Kovo 11-osios dienos minėjimo programos.</w:t>
      </w:r>
      <w:r w:rsidRPr="00C6511A">
        <w:rPr>
          <w:iCs/>
          <w:szCs w:val="24"/>
        </w:rPr>
        <w:t xml:space="preserve"> </w:t>
      </w:r>
      <w:r w:rsidRPr="00C6511A">
        <w:rPr>
          <w:bCs/>
          <w:iCs/>
          <w:szCs w:val="24"/>
        </w:rPr>
        <w:t xml:space="preserve">2020 m. Kultūros ministerijos iniciatyva buvo skirtas dalinis finansavimas 47 Lietuvos kultūros centrams, kurie </w:t>
      </w:r>
      <w:r>
        <w:rPr>
          <w:bCs/>
          <w:iCs/>
          <w:szCs w:val="24"/>
        </w:rPr>
        <w:t xml:space="preserve">vykdė </w:t>
      </w:r>
      <w:r w:rsidRPr="00C6511A">
        <w:rPr>
          <w:szCs w:val="24"/>
          <w:shd w:val="clear" w:color="auto" w:fill="FFFFFF"/>
        </w:rPr>
        <w:t xml:space="preserve">kūrybines iniciatyvas, </w:t>
      </w:r>
      <w:r w:rsidRPr="00C6511A">
        <w:rPr>
          <w:szCs w:val="24"/>
        </w:rPr>
        <w:t>stiprinančias Lietuvos visuomenės pagarbą valstybei</w:t>
      </w:r>
      <w:r w:rsidRPr="00C6511A">
        <w:rPr>
          <w:szCs w:val="24"/>
          <w:shd w:val="clear" w:color="auto" w:fill="FFFFFF"/>
        </w:rPr>
        <w:t xml:space="preserve">, </w:t>
      </w:r>
      <w:r w:rsidRPr="00C6511A">
        <w:rPr>
          <w:szCs w:val="24"/>
        </w:rPr>
        <w:t>jos istorijai, kultūrai ir tradicijoms. Dėl karantino suvaržymų dalis planuotų renginių buvo perkelti vėlesniam laikotarpiui, dalis šiai progai skirtų renginių sėkmingai įgyvendinti virtualioje erdvėje.</w:t>
      </w:r>
      <w:r>
        <w:rPr>
          <w:szCs w:val="24"/>
        </w:rPr>
        <w:t xml:space="preserve"> </w:t>
      </w:r>
    </w:p>
    <w:p w14:paraId="65D989B6" w14:textId="77777777" w:rsidR="008B10FF" w:rsidRDefault="008B10FF" w:rsidP="00E660EB">
      <w:pPr>
        <w:overflowPunct w:val="0"/>
        <w:autoSpaceDE w:val="0"/>
        <w:autoSpaceDN w:val="0"/>
        <w:adjustRightInd w:val="0"/>
        <w:spacing w:line="250" w:lineRule="auto"/>
        <w:ind w:firstLine="709"/>
        <w:jc w:val="both"/>
        <w:rPr>
          <w:szCs w:val="24"/>
        </w:rPr>
      </w:pPr>
      <w:r w:rsidRPr="00AB385F">
        <w:rPr>
          <w:iCs/>
          <w:szCs w:val="24"/>
        </w:rPr>
        <w:t xml:space="preserve">2020 m., kaip ir kasmet, </w:t>
      </w:r>
      <w:r w:rsidRPr="00AB385F">
        <w:rPr>
          <w:szCs w:val="24"/>
        </w:rPr>
        <w:t xml:space="preserve">Kultūros ministerija </w:t>
      </w:r>
      <w:r>
        <w:rPr>
          <w:szCs w:val="24"/>
        </w:rPr>
        <w:t>su</w:t>
      </w:r>
      <w:r w:rsidRPr="00AB385F">
        <w:rPr>
          <w:szCs w:val="24"/>
        </w:rPr>
        <w:t>organizavo renginius, kuriais minimos valstybei svarbios istorinės datos, skatinamas kultūrinės tapatybės išlaikymas, ugdomi visuomenės tolerancijos, pilietiniai ir patriotiniai jausmai</w:t>
      </w:r>
      <w:r>
        <w:rPr>
          <w:szCs w:val="24"/>
        </w:rPr>
        <w:t xml:space="preserve">, dalyvavo </w:t>
      </w:r>
      <w:r w:rsidRPr="00AB385F">
        <w:rPr>
          <w:szCs w:val="24"/>
        </w:rPr>
        <w:t xml:space="preserve">įgyvendinant </w:t>
      </w:r>
      <w:r w:rsidRPr="00AB385F">
        <w:rPr>
          <w:iCs/>
          <w:szCs w:val="24"/>
          <w:lang w:eastAsia="hi-IN"/>
        </w:rPr>
        <w:t>Lietuvos Steigiamojo Seimo šimtmečio, V</w:t>
      </w:r>
      <w:r w:rsidRPr="00AB385F">
        <w:rPr>
          <w:color w:val="000000"/>
          <w:szCs w:val="24"/>
        </w:rPr>
        <w:t xml:space="preserve">ilniaus Gaono ir Lietuvos žydų istorijos, Eugenijos </w:t>
      </w:r>
      <w:proofErr w:type="spellStart"/>
      <w:r w:rsidRPr="00AB385F">
        <w:rPr>
          <w:color w:val="000000"/>
          <w:szCs w:val="24"/>
        </w:rPr>
        <w:t>Šimkūnaitės</w:t>
      </w:r>
      <w:proofErr w:type="spellEnd"/>
      <w:r>
        <w:rPr>
          <w:color w:val="000000"/>
          <w:szCs w:val="24"/>
        </w:rPr>
        <w:t xml:space="preserve">, </w:t>
      </w:r>
      <w:proofErr w:type="spellStart"/>
      <w:r w:rsidRPr="00AB385F">
        <w:rPr>
          <w:color w:val="000000"/>
          <w:szCs w:val="24"/>
        </w:rPr>
        <w:t>Čiunės</w:t>
      </w:r>
      <w:proofErr w:type="spellEnd"/>
      <w:r w:rsidRPr="00AB385F">
        <w:rPr>
          <w:color w:val="000000"/>
          <w:szCs w:val="24"/>
        </w:rPr>
        <w:t xml:space="preserve"> Sugiharos, Tautodailės, U</w:t>
      </w:r>
      <w:r>
        <w:rPr>
          <w:color w:val="000000"/>
          <w:szCs w:val="24"/>
        </w:rPr>
        <w:t>NESCO</w:t>
      </w:r>
      <w:r w:rsidRPr="00AB385F">
        <w:rPr>
          <w:color w:val="000000"/>
          <w:szCs w:val="24"/>
        </w:rPr>
        <w:t xml:space="preserve"> Paveldo pasaulio Lietuvoje metų, Mokyklų bendruomenių, Šventojo Jono Pauliaus II </w:t>
      </w:r>
      <w:r w:rsidRPr="00AB385F">
        <w:rPr>
          <w:szCs w:val="24"/>
        </w:rPr>
        <w:t>metų minėjimo programas</w:t>
      </w:r>
      <w:r>
        <w:rPr>
          <w:szCs w:val="24"/>
        </w:rPr>
        <w:t xml:space="preserve">, patvirtino </w:t>
      </w:r>
      <w:r w:rsidRPr="00AB385F">
        <w:rPr>
          <w:noProof/>
          <w:szCs w:val="24"/>
        </w:rPr>
        <w:t xml:space="preserve">Tautinių mažumų istorijos Lietuvoje reprezentavimo </w:t>
      </w:r>
      <w:r w:rsidRPr="00AB385F">
        <w:rPr>
          <w:color w:val="000000" w:themeColor="text1"/>
          <w:szCs w:val="24"/>
        </w:rPr>
        <w:t>2020–2022 metų veiksmų plan</w:t>
      </w:r>
      <w:r>
        <w:rPr>
          <w:color w:val="000000" w:themeColor="text1"/>
          <w:szCs w:val="24"/>
        </w:rPr>
        <w:t>ą</w:t>
      </w:r>
      <w:r>
        <w:rPr>
          <w:rStyle w:val="Puslapioinaosnuoroda"/>
          <w:rFonts w:eastAsia="Calibri"/>
          <w:color w:val="000000" w:themeColor="text1"/>
          <w:szCs w:val="24"/>
        </w:rPr>
        <w:footnoteReference w:id="57"/>
      </w:r>
      <w:r w:rsidRPr="00AB385F">
        <w:rPr>
          <w:szCs w:val="24"/>
        </w:rPr>
        <w:t xml:space="preserve">. </w:t>
      </w:r>
      <w:r>
        <w:rPr>
          <w:szCs w:val="24"/>
        </w:rPr>
        <w:t>P</w:t>
      </w:r>
      <w:r w:rsidRPr="00AB385F">
        <w:rPr>
          <w:szCs w:val="24"/>
        </w:rPr>
        <w:t>atvirtintas Lietuvos totorių istorijos ir kultūros metų minėjimo 2021 metais planas</w:t>
      </w:r>
      <w:r>
        <w:rPr>
          <w:rStyle w:val="Puslapioinaosnuoroda"/>
          <w:rFonts w:eastAsia="Calibri"/>
          <w:szCs w:val="24"/>
        </w:rPr>
        <w:footnoteReference w:id="58"/>
      </w:r>
      <w:r>
        <w:rPr>
          <w:szCs w:val="24"/>
        </w:rPr>
        <w:t xml:space="preserve">. </w:t>
      </w:r>
    </w:p>
    <w:p w14:paraId="65850194"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Ekonominio ir energetinio saugumo stiprinimas </w:t>
      </w:r>
    </w:p>
    <w:p w14:paraId="3A9A6B46" w14:textId="77777777" w:rsidR="008B10FF" w:rsidRDefault="008B10FF" w:rsidP="00E660EB">
      <w:pPr>
        <w:spacing w:line="250" w:lineRule="auto"/>
        <w:ind w:firstLine="709"/>
        <w:jc w:val="both"/>
        <w:rPr>
          <w:szCs w:val="24"/>
        </w:rPr>
      </w:pPr>
      <w:r w:rsidRPr="006614A5">
        <w:rPr>
          <w:i/>
          <w:iCs/>
          <w:color w:val="000000"/>
          <w:szCs w:val="24"/>
        </w:rPr>
        <w:t>Elektros energijos iš Baltarusijos nepirkimas</w:t>
      </w:r>
      <w:r>
        <w:rPr>
          <w:color w:val="000000"/>
          <w:szCs w:val="24"/>
        </w:rPr>
        <w:t xml:space="preserve">. </w:t>
      </w:r>
      <w:r w:rsidRPr="000A50BD">
        <w:rPr>
          <w:color w:val="000000"/>
          <w:szCs w:val="24"/>
        </w:rPr>
        <w:t xml:space="preserve">Įgyvendinant </w:t>
      </w:r>
      <w:r>
        <w:rPr>
          <w:color w:val="000000"/>
          <w:szCs w:val="24"/>
        </w:rPr>
        <w:t>Būtinųjų priemonių, skirtų apsisaugoti nuo trečiųjų šalių nesaugių branduolinių elektrinių keliamų grėsmių, įstatymą</w:t>
      </w:r>
      <w:r>
        <w:rPr>
          <w:rStyle w:val="Puslapioinaosnuoroda"/>
          <w:color w:val="000000"/>
          <w:szCs w:val="24"/>
        </w:rPr>
        <w:footnoteReference w:id="59"/>
      </w:r>
      <w:r>
        <w:rPr>
          <w:color w:val="000000"/>
          <w:szCs w:val="24"/>
        </w:rPr>
        <w:t xml:space="preserve">, </w:t>
      </w:r>
      <w:r>
        <w:rPr>
          <w:rFonts w:eastAsia="Andale Sans UI" w:cs="Tahoma"/>
          <w:szCs w:val="24"/>
          <w:lang w:bidi="en-US"/>
        </w:rPr>
        <w:t>Branduolinės elektrinės pripažinimo nesaugia</w:t>
      </w:r>
      <w:r w:rsidRPr="000A50BD">
        <w:rPr>
          <w:rFonts w:eastAsia="Andale Sans UI" w:cs="Tahoma"/>
          <w:szCs w:val="24"/>
          <w:lang w:bidi="en-US"/>
        </w:rPr>
        <w:t xml:space="preserve"> </w:t>
      </w:r>
      <w:r>
        <w:rPr>
          <w:rFonts w:eastAsia="Andale Sans UI" w:cs="Tahoma"/>
          <w:szCs w:val="24"/>
          <w:lang w:bidi="en-US"/>
        </w:rPr>
        <w:t>įstatymą</w:t>
      </w:r>
      <w:r>
        <w:rPr>
          <w:rStyle w:val="Puslapioinaosnuoroda"/>
          <w:rFonts w:eastAsia="Andale Sans UI"/>
          <w:szCs w:val="24"/>
          <w:lang w:bidi="en-US"/>
        </w:rPr>
        <w:footnoteReference w:id="60"/>
      </w:r>
      <w:r>
        <w:rPr>
          <w:rFonts w:eastAsia="Andale Sans UI" w:cs="Tahoma"/>
          <w:szCs w:val="24"/>
          <w:lang w:bidi="en-US"/>
        </w:rPr>
        <w:t>, kuriuo Baltarusijos</w:t>
      </w:r>
      <w:r w:rsidRPr="00BC0A61">
        <w:rPr>
          <w:rFonts w:eastAsia="Andale Sans UI" w:cs="Tahoma"/>
          <w:szCs w:val="24"/>
          <w:lang w:bidi="en-US"/>
        </w:rPr>
        <w:t xml:space="preserve"> </w:t>
      </w:r>
      <w:r>
        <w:rPr>
          <w:rFonts w:eastAsia="Andale Sans UI" w:cs="Tahoma"/>
          <w:szCs w:val="24"/>
          <w:lang w:bidi="en-US"/>
        </w:rPr>
        <w:t>AE</w:t>
      </w:r>
      <w:r w:rsidRPr="00BC0A61">
        <w:rPr>
          <w:rFonts w:eastAsia="Andale Sans UI" w:cs="Tahoma"/>
          <w:szCs w:val="24"/>
          <w:lang w:bidi="en-US"/>
        </w:rPr>
        <w:t xml:space="preserve"> </w:t>
      </w:r>
      <w:r>
        <w:rPr>
          <w:rFonts w:eastAsia="Andale Sans UI" w:cs="Tahoma"/>
          <w:szCs w:val="24"/>
          <w:lang w:bidi="en-US"/>
        </w:rPr>
        <w:t xml:space="preserve">pripažinta </w:t>
      </w:r>
      <w:r w:rsidRPr="00BC0A61">
        <w:rPr>
          <w:rFonts w:eastAsia="Andale Sans UI" w:cs="Tahoma"/>
          <w:szCs w:val="24"/>
          <w:lang w:bidi="en-US"/>
        </w:rPr>
        <w:t>nesaugia branduoline elektrine, kelia</w:t>
      </w:r>
      <w:r>
        <w:rPr>
          <w:rFonts w:eastAsia="Andale Sans UI" w:cs="Tahoma"/>
          <w:szCs w:val="24"/>
          <w:lang w:bidi="en-US"/>
        </w:rPr>
        <w:t>nčia</w:t>
      </w:r>
      <w:r w:rsidRPr="00BC0A61">
        <w:rPr>
          <w:rFonts w:eastAsia="Andale Sans UI" w:cs="Tahoma"/>
          <w:szCs w:val="24"/>
          <w:lang w:bidi="en-US"/>
        </w:rPr>
        <w:t xml:space="preserve"> grėsmę Lietuvos Respublikos nacionaliniam saugumui, aplinkai ir visuomenės sveikatai</w:t>
      </w:r>
      <w:r>
        <w:rPr>
          <w:rFonts w:eastAsia="Andale Sans UI" w:cs="Tahoma"/>
          <w:szCs w:val="24"/>
          <w:lang w:bidi="en-US"/>
        </w:rPr>
        <w:t xml:space="preserve">, </w:t>
      </w:r>
      <w:r w:rsidRPr="003F400A">
        <w:rPr>
          <w:szCs w:val="24"/>
        </w:rPr>
        <w:t xml:space="preserve">2020 m. buvo pasiektas principinis Baltijos šalių politinis susitarimas, kad elektros energija iš Baltarusijos negali patekti į Baltijos šalių rinką, pradėjus veikti </w:t>
      </w:r>
      <w:r>
        <w:rPr>
          <w:szCs w:val="24"/>
        </w:rPr>
        <w:t>Baltarusijos</w:t>
      </w:r>
      <w:r w:rsidRPr="003F400A">
        <w:rPr>
          <w:szCs w:val="24"/>
        </w:rPr>
        <w:t xml:space="preserve"> AE</w:t>
      </w:r>
      <w:r>
        <w:rPr>
          <w:szCs w:val="24"/>
        </w:rPr>
        <w:t>.</w:t>
      </w:r>
    </w:p>
    <w:p w14:paraId="51123478" w14:textId="77777777" w:rsidR="008B10FF" w:rsidRDefault="008B10FF" w:rsidP="00E660EB">
      <w:pPr>
        <w:spacing w:line="250" w:lineRule="auto"/>
        <w:ind w:firstLine="709"/>
        <w:jc w:val="both"/>
        <w:rPr>
          <w:szCs w:val="24"/>
        </w:rPr>
      </w:pPr>
      <w:r w:rsidRPr="003F400A">
        <w:rPr>
          <w:szCs w:val="24"/>
        </w:rPr>
        <w:t xml:space="preserve">Baltijos Ministrų Tarybos </w:t>
      </w:r>
      <w:r>
        <w:rPr>
          <w:szCs w:val="24"/>
        </w:rPr>
        <w:t>u</w:t>
      </w:r>
      <w:r w:rsidRPr="003F400A">
        <w:rPr>
          <w:szCs w:val="24"/>
        </w:rPr>
        <w:t xml:space="preserve">žsienio reikalų ministrų 2020 m. lapkričio 6 d. susitikime priimtas bendras pareiškimas, kuriame patvirtintas Baltijos šalių susitarimas dėl elektros importo iš Baltarusijos nutraukimo, pradėjus veikti </w:t>
      </w:r>
      <w:r>
        <w:rPr>
          <w:szCs w:val="24"/>
        </w:rPr>
        <w:t>Baltarusijos</w:t>
      </w:r>
      <w:r w:rsidRPr="003F400A">
        <w:rPr>
          <w:szCs w:val="24"/>
        </w:rPr>
        <w:t xml:space="preserve"> AE</w:t>
      </w:r>
      <w:r>
        <w:rPr>
          <w:szCs w:val="24"/>
        </w:rPr>
        <w:t xml:space="preserve">, o </w:t>
      </w:r>
      <w:r w:rsidRPr="003F400A">
        <w:rPr>
          <w:szCs w:val="24"/>
        </w:rPr>
        <w:t>2020 m. gruodžio 21 d. susitikimo deklaracijoje dar kartą patvirtintas Baltijos šalių sutarimas nepirkti elektros energijos iš Baltarusijos ir pabrėžtas įsipareigojimas paspartinti bendrų priemonių, kurios veiksmingai užkirstų kelią elektros energijai iš Baltarusijos tiesiogiai ar netiesiogiai patekti į Baltijos šalių rinką, įgyvendinimą.</w:t>
      </w:r>
      <w:r>
        <w:rPr>
          <w:szCs w:val="24"/>
        </w:rPr>
        <w:t xml:space="preserve"> </w:t>
      </w:r>
      <w:r w:rsidRPr="003F400A">
        <w:rPr>
          <w:szCs w:val="24"/>
        </w:rPr>
        <w:t xml:space="preserve">Tačiau dėl skirtingų Lietuvos, Latvijos ir Estijos interesų skiriasi </w:t>
      </w:r>
      <w:r w:rsidRPr="003F400A">
        <w:rPr>
          <w:szCs w:val="24"/>
        </w:rPr>
        <w:lastRenderedPageBreak/>
        <w:t>požiūris</w:t>
      </w:r>
      <w:r>
        <w:rPr>
          <w:szCs w:val="24"/>
        </w:rPr>
        <w:t>,</w:t>
      </w:r>
      <w:r w:rsidRPr="003F400A">
        <w:rPr>
          <w:szCs w:val="24"/>
        </w:rPr>
        <w:t xml:space="preserve"> kokių techninių priemonių būtina imtis, siekiant efektyviai apriboti elektros energijos importą iš Baltarusijos</w:t>
      </w:r>
      <w:r>
        <w:rPr>
          <w:szCs w:val="24"/>
        </w:rPr>
        <w:t>,</w:t>
      </w:r>
      <w:r w:rsidRPr="003F400A">
        <w:rPr>
          <w:szCs w:val="24"/>
        </w:rPr>
        <w:t xml:space="preserve"> </w:t>
      </w:r>
      <w:r>
        <w:rPr>
          <w:szCs w:val="24"/>
        </w:rPr>
        <w:t>ir</w:t>
      </w:r>
      <w:r w:rsidRPr="003F400A">
        <w:rPr>
          <w:szCs w:val="24"/>
        </w:rPr>
        <w:t xml:space="preserve"> dėl elektros energijos importo iš trečiųjų šalių iki 2025 m. </w:t>
      </w:r>
      <w:r>
        <w:rPr>
          <w:szCs w:val="24"/>
        </w:rPr>
        <w:t>ir</w:t>
      </w:r>
      <w:r w:rsidRPr="003F400A">
        <w:rPr>
          <w:szCs w:val="24"/>
        </w:rPr>
        <w:t xml:space="preserve"> po 2025 m.</w:t>
      </w:r>
      <w:r>
        <w:rPr>
          <w:szCs w:val="24"/>
        </w:rPr>
        <w:t xml:space="preserve"> Siekta</w:t>
      </w:r>
      <w:r w:rsidRPr="003F400A">
        <w:rPr>
          <w:szCs w:val="24"/>
        </w:rPr>
        <w:t xml:space="preserve"> parengt</w:t>
      </w:r>
      <w:r>
        <w:rPr>
          <w:szCs w:val="24"/>
        </w:rPr>
        <w:t>i</w:t>
      </w:r>
      <w:r w:rsidRPr="003F400A">
        <w:rPr>
          <w:szCs w:val="24"/>
        </w:rPr>
        <w:t xml:space="preserve"> ir suderint</w:t>
      </w:r>
      <w:r>
        <w:rPr>
          <w:szCs w:val="24"/>
        </w:rPr>
        <w:t>i</w:t>
      </w:r>
      <w:r w:rsidRPr="003F400A">
        <w:rPr>
          <w:szCs w:val="24"/>
        </w:rPr>
        <w:t xml:space="preserve"> nauj</w:t>
      </w:r>
      <w:r>
        <w:rPr>
          <w:szCs w:val="24"/>
        </w:rPr>
        <w:t>ą</w:t>
      </w:r>
      <w:r w:rsidRPr="003F400A">
        <w:rPr>
          <w:szCs w:val="24"/>
        </w:rPr>
        <w:t xml:space="preserve"> trišal</w:t>
      </w:r>
      <w:r>
        <w:rPr>
          <w:szCs w:val="24"/>
        </w:rPr>
        <w:t>ę</w:t>
      </w:r>
      <w:r w:rsidRPr="003F400A">
        <w:rPr>
          <w:szCs w:val="24"/>
        </w:rPr>
        <w:t xml:space="preserve"> prekybos elektra su trečiosiomis šalimis metodik</w:t>
      </w:r>
      <w:r>
        <w:rPr>
          <w:szCs w:val="24"/>
        </w:rPr>
        <w:t>ą</w:t>
      </w:r>
      <w:r w:rsidRPr="003F400A">
        <w:rPr>
          <w:szCs w:val="24"/>
        </w:rPr>
        <w:t xml:space="preserve">, kuri užtikrintų efektyvų Būtinųjų priemonių, skirtų apsisaugoti nuo trečiųjų šalių nesaugių branduolinių elektrinių keliamų grėsmių, įstatymo įgyvendinimą ir užkardytų </w:t>
      </w:r>
      <w:r>
        <w:rPr>
          <w:szCs w:val="24"/>
        </w:rPr>
        <w:t>elektros patekimą</w:t>
      </w:r>
      <w:r w:rsidRPr="003F400A">
        <w:rPr>
          <w:szCs w:val="24"/>
        </w:rPr>
        <w:t xml:space="preserve"> tiesiogiai ir netiesiogiai į Lietuvos rinką iš valstybių, kuriose veikia nesaugios </w:t>
      </w:r>
      <w:r>
        <w:rPr>
          <w:szCs w:val="24"/>
        </w:rPr>
        <w:t xml:space="preserve">atominės elektrinės. </w:t>
      </w:r>
      <w:r w:rsidRPr="003F400A">
        <w:rPr>
          <w:szCs w:val="24"/>
        </w:rPr>
        <w:t>Buvo siekiama, kad metodiką Baltijos šalys patvirtintų kartu su kilmės garantijų sistema ir infrastruktūros mokesčiu.</w:t>
      </w:r>
    </w:p>
    <w:p w14:paraId="4273C9D8" w14:textId="77777777" w:rsidR="008B10FF" w:rsidRDefault="008B10FF" w:rsidP="00E660EB">
      <w:pPr>
        <w:spacing w:line="250" w:lineRule="auto"/>
        <w:ind w:firstLine="709"/>
        <w:jc w:val="both"/>
        <w:rPr>
          <w:szCs w:val="24"/>
        </w:rPr>
      </w:pPr>
      <w:r w:rsidRPr="00BC0A61">
        <w:rPr>
          <w:szCs w:val="24"/>
        </w:rPr>
        <w:t>2020 m. lapkričio 3 d. Lietuvos elektros perdavimo sistemos operatoriu</w:t>
      </w:r>
      <w:r>
        <w:rPr>
          <w:szCs w:val="24"/>
        </w:rPr>
        <w:t>i</w:t>
      </w:r>
      <w:r w:rsidRPr="00BC0A61">
        <w:rPr>
          <w:szCs w:val="24"/>
        </w:rPr>
        <w:t xml:space="preserve"> LITGRID AB</w:t>
      </w:r>
      <w:r>
        <w:rPr>
          <w:szCs w:val="24"/>
        </w:rPr>
        <w:t xml:space="preserve"> (toliau – LITGRID) u</w:t>
      </w:r>
      <w:r w:rsidRPr="00BC0A61">
        <w:rPr>
          <w:szCs w:val="24"/>
        </w:rPr>
        <w:t>žfiksav</w:t>
      </w:r>
      <w:r>
        <w:rPr>
          <w:szCs w:val="24"/>
        </w:rPr>
        <w:t>us</w:t>
      </w:r>
      <w:r w:rsidRPr="00BC0A61">
        <w:rPr>
          <w:szCs w:val="24"/>
        </w:rPr>
        <w:t xml:space="preserve"> duomenis, rodančius elektros energijos gamybą </w:t>
      </w:r>
      <w:r>
        <w:rPr>
          <w:szCs w:val="24"/>
        </w:rPr>
        <w:t>Baltarusijos</w:t>
      </w:r>
      <w:r w:rsidRPr="00BC0A61">
        <w:rPr>
          <w:szCs w:val="24"/>
        </w:rPr>
        <w:t xml:space="preserve"> AE</w:t>
      </w:r>
      <w:r>
        <w:rPr>
          <w:szCs w:val="24"/>
        </w:rPr>
        <w:t xml:space="preserve">, vadovaujantis minėtų įstatymų ir </w:t>
      </w:r>
      <w:r w:rsidRPr="00BC0A61">
        <w:rPr>
          <w:szCs w:val="24"/>
        </w:rPr>
        <w:t>Prekybos elektros energija taisyklių</w:t>
      </w:r>
      <w:r>
        <w:rPr>
          <w:rStyle w:val="Puslapioinaosnuoroda"/>
        </w:rPr>
        <w:footnoteReference w:id="61"/>
      </w:r>
      <w:r>
        <w:rPr>
          <w:szCs w:val="24"/>
        </w:rPr>
        <w:t xml:space="preserve"> nuostatomis, pagal kurias </w:t>
      </w:r>
      <w:r w:rsidRPr="00BC0A61">
        <w:rPr>
          <w:color w:val="000000"/>
        </w:rPr>
        <w:t>nuo elektros energijos branduolinėje elektrinėje gamybos technologinių bandymų metu pradžios Lietuvos Respublikos ir Baltarusijos Respublikos jungiamųjų linijų pralaidumai kitos paros ir einamosios paros prekybai elektros energija yra lygūs 0 MW</w:t>
      </w:r>
      <w:r>
        <w:rPr>
          <w:color w:val="000000"/>
        </w:rPr>
        <w:t xml:space="preserve">, </w:t>
      </w:r>
      <w:r w:rsidRPr="00BC0A61">
        <w:rPr>
          <w:szCs w:val="24"/>
        </w:rPr>
        <w:t xml:space="preserve">nedelsiant </w:t>
      </w:r>
      <w:r>
        <w:rPr>
          <w:szCs w:val="24"/>
        </w:rPr>
        <w:t xml:space="preserve">buvo nustatytas </w:t>
      </w:r>
      <w:r w:rsidRPr="00BC0A61">
        <w:rPr>
          <w:szCs w:val="24"/>
        </w:rPr>
        <w:t>0 MW pralaidum</w:t>
      </w:r>
      <w:r>
        <w:rPr>
          <w:szCs w:val="24"/>
        </w:rPr>
        <w:t>as</w:t>
      </w:r>
      <w:r w:rsidRPr="00BC0A61">
        <w:rPr>
          <w:szCs w:val="24"/>
        </w:rPr>
        <w:t xml:space="preserve"> komerciniam elektros srautui per Lietuvos ir Baltarusijos elektros energijos jungtis.</w:t>
      </w:r>
      <w:r>
        <w:rPr>
          <w:szCs w:val="24"/>
        </w:rPr>
        <w:t xml:space="preserve"> Tačiau </w:t>
      </w:r>
      <w:r w:rsidRPr="00BC0A61">
        <w:rPr>
          <w:szCs w:val="24"/>
        </w:rPr>
        <w:t>2020 m. lapkričio 3 d. Latvijos perdavimo sistemos operatorius biržos informacinėje sistemoje paskelbė pranešimą</w:t>
      </w:r>
      <w:r>
        <w:rPr>
          <w:szCs w:val="24"/>
        </w:rPr>
        <w:t xml:space="preserve">, kad </w:t>
      </w:r>
      <w:r w:rsidRPr="00BC0A61">
        <w:rPr>
          <w:szCs w:val="24"/>
        </w:rPr>
        <w:t>bus išduoti pralaidumai prekybai elektros energija iš Rusijos</w:t>
      </w:r>
      <w:r w:rsidRPr="00BC0A61">
        <w:rPr>
          <w:szCs w:val="24"/>
          <w:vertAlign w:val="superscript"/>
        </w:rPr>
        <w:footnoteReference w:id="62"/>
      </w:r>
      <w:r w:rsidRPr="00BC0A61">
        <w:rPr>
          <w:szCs w:val="24"/>
        </w:rPr>
        <w:t>. Atitinkamai nuo 2020 m. lapkričio 5 d. prasidėjo elektros energijos prekyba per Latvijos ir Rusijos pjūvį</w:t>
      </w:r>
      <w:r w:rsidRPr="00BC0A61">
        <w:rPr>
          <w:szCs w:val="24"/>
          <w:vertAlign w:val="superscript"/>
        </w:rPr>
        <w:footnoteReference w:id="63"/>
      </w:r>
      <w:r w:rsidRPr="00BC0A61">
        <w:rPr>
          <w:szCs w:val="24"/>
        </w:rPr>
        <w:t>. Šią prekybą Latvija ir Estija vykdo vadovau</w:t>
      </w:r>
      <w:r>
        <w:rPr>
          <w:szCs w:val="24"/>
        </w:rPr>
        <w:t>damosi</w:t>
      </w:r>
      <w:r w:rsidRPr="00BC0A61">
        <w:rPr>
          <w:szCs w:val="24"/>
        </w:rPr>
        <w:t xml:space="preserve"> dvišaliai pasitvirtinta pralaidumų nustatymo metodika</w:t>
      </w:r>
      <w:r w:rsidRPr="00BC0A61">
        <w:rPr>
          <w:szCs w:val="24"/>
          <w:vertAlign w:val="superscript"/>
        </w:rPr>
        <w:footnoteReference w:id="64"/>
      </w:r>
      <w:r w:rsidRPr="00BC0A61">
        <w:rPr>
          <w:szCs w:val="24"/>
        </w:rPr>
        <w:t>, kuriai nepritaria Valstybinė energetikos reguliavimo taryba</w:t>
      </w:r>
      <w:r w:rsidRPr="00BC0A61">
        <w:rPr>
          <w:rStyle w:val="Puslapioinaosnuoroda"/>
        </w:rPr>
        <w:footnoteReference w:id="65"/>
      </w:r>
      <w:r w:rsidRPr="00BC0A61">
        <w:rPr>
          <w:szCs w:val="24"/>
        </w:rPr>
        <w:t xml:space="preserve">. </w:t>
      </w:r>
    </w:p>
    <w:p w14:paraId="6F132CAC" w14:textId="77777777" w:rsidR="008B10FF" w:rsidRDefault="008B10FF" w:rsidP="00E660EB">
      <w:pPr>
        <w:spacing w:line="250" w:lineRule="auto"/>
        <w:ind w:firstLine="709"/>
        <w:jc w:val="both"/>
        <w:rPr>
          <w:szCs w:val="24"/>
        </w:rPr>
      </w:pPr>
      <w:r w:rsidRPr="003F400A">
        <w:rPr>
          <w:szCs w:val="24"/>
        </w:rPr>
        <w:t xml:space="preserve">Kadangi fiziniai elektros srautai į Baltijos šalių elektros energetikos sistemas ir toliau </w:t>
      </w:r>
      <w:r>
        <w:rPr>
          <w:szCs w:val="24"/>
        </w:rPr>
        <w:t xml:space="preserve">patenka </w:t>
      </w:r>
      <w:r w:rsidRPr="003F400A">
        <w:rPr>
          <w:szCs w:val="24"/>
        </w:rPr>
        <w:t>per Lietuvos</w:t>
      </w:r>
      <w:r>
        <w:rPr>
          <w:szCs w:val="24"/>
        </w:rPr>
        <w:t>–</w:t>
      </w:r>
      <w:r w:rsidRPr="003F400A">
        <w:rPr>
          <w:szCs w:val="24"/>
        </w:rPr>
        <w:t>Baltarusijos pjūvį, yra rizika, kad į Lietuv</w:t>
      </w:r>
      <w:r>
        <w:rPr>
          <w:szCs w:val="24"/>
        </w:rPr>
        <w:t>os</w:t>
      </w:r>
      <w:r w:rsidRPr="003F400A">
        <w:rPr>
          <w:szCs w:val="24"/>
        </w:rPr>
        <w:t xml:space="preserve"> rinką netiesiogiai patenka elektros energija iš Baltarusijos, kurioje veikia nesaugi atominė elektrinė. Tęsiamas trišalis derybų procesas tarp Lietuvos, Latvijos ir Estijos</w:t>
      </w:r>
      <w:r>
        <w:rPr>
          <w:szCs w:val="24"/>
        </w:rPr>
        <w:t>,</w:t>
      </w:r>
      <w:r w:rsidRPr="003F400A">
        <w:rPr>
          <w:szCs w:val="24"/>
        </w:rPr>
        <w:t xml:space="preserve"> dalyvaujant Europos Komisijai, siekiant bendro susitarimo dėl trišalės prekybos elektra su Rusija metodikos, kilmės garantijų sistemos ir infrastruktūros mokesčio įvedimo. </w:t>
      </w:r>
    </w:p>
    <w:p w14:paraId="4DA5AE15" w14:textId="77777777" w:rsidR="008B10FF" w:rsidRDefault="008B10FF" w:rsidP="00E660EB">
      <w:pPr>
        <w:spacing w:line="250" w:lineRule="auto"/>
        <w:ind w:firstLine="709"/>
        <w:jc w:val="both"/>
        <w:rPr>
          <w:szCs w:val="24"/>
        </w:rPr>
      </w:pPr>
      <w:r w:rsidRPr="00BC0A61">
        <w:rPr>
          <w:szCs w:val="24"/>
        </w:rPr>
        <w:t>Vyriausybė 2021 m. sausio 13 d. sudarė komisiją sinchronizacijos projekto įgyvendinimo, elektros energetikos sistemos patikimo veikimo stiprinimo ir būtinųjų priemonių, skirtų apsisaugoti nuo trečiųjų šalių nesaugių branduolinių elektrinių keliamų grėsmių, taikymo klausimams koordinuoti.</w:t>
      </w:r>
      <w:r>
        <w:rPr>
          <w:szCs w:val="24"/>
        </w:rPr>
        <w:t xml:space="preserve"> E</w:t>
      </w:r>
      <w:r w:rsidRPr="00BC0A61">
        <w:rPr>
          <w:szCs w:val="24"/>
        </w:rPr>
        <w:t>nergetikos ministro vadovaujama darbo grupė</w:t>
      </w:r>
      <w:r>
        <w:rPr>
          <w:szCs w:val="24"/>
        </w:rPr>
        <w:t>, sudaryta</w:t>
      </w:r>
      <w:r w:rsidRPr="00BC0A61">
        <w:rPr>
          <w:szCs w:val="24"/>
        </w:rPr>
        <w:t xml:space="preserve"> 2021 m. sausio 15 d. Ministro Pirmininko potvarkiu</w:t>
      </w:r>
      <w:r>
        <w:rPr>
          <w:szCs w:val="24"/>
        </w:rPr>
        <w:t xml:space="preserve">, </w:t>
      </w:r>
      <w:r w:rsidRPr="00BC0A61">
        <w:rPr>
          <w:szCs w:val="24"/>
        </w:rPr>
        <w:t xml:space="preserve">parengs </w:t>
      </w:r>
      <w:r>
        <w:rPr>
          <w:szCs w:val="24"/>
        </w:rPr>
        <w:t>pa</w:t>
      </w:r>
      <w:r w:rsidRPr="00BC0A61">
        <w:rPr>
          <w:szCs w:val="24"/>
        </w:rPr>
        <w:t xml:space="preserve">siūlymus </w:t>
      </w:r>
      <w:r>
        <w:rPr>
          <w:szCs w:val="24"/>
        </w:rPr>
        <w:t xml:space="preserve">minėtai </w:t>
      </w:r>
      <w:r w:rsidRPr="00BC0A61">
        <w:rPr>
          <w:szCs w:val="24"/>
        </w:rPr>
        <w:t xml:space="preserve">Vyriausybės komisijai dėl Lietuvos pozicijos visais prekybos elektra iš Baltarusijos klausimais. </w:t>
      </w:r>
      <w:r>
        <w:rPr>
          <w:szCs w:val="24"/>
        </w:rPr>
        <w:t xml:space="preserve"> </w:t>
      </w:r>
    </w:p>
    <w:p w14:paraId="68142F2C" w14:textId="77777777" w:rsidR="008B10FF" w:rsidRDefault="008B10FF" w:rsidP="00E660EB">
      <w:pPr>
        <w:spacing w:line="250" w:lineRule="auto"/>
        <w:ind w:firstLine="709"/>
        <w:jc w:val="both"/>
        <w:rPr>
          <w:szCs w:val="24"/>
        </w:rPr>
      </w:pPr>
      <w:r w:rsidRPr="009835EE">
        <w:rPr>
          <w:i/>
          <w:iCs/>
          <w:szCs w:val="24"/>
        </w:rPr>
        <w:t>Baltijos šalių sinchronizacija su kontinentinės Europos tinklais</w:t>
      </w:r>
      <w:r>
        <w:rPr>
          <w:i/>
          <w:iCs/>
          <w:szCs w:val="24"/>
        </w:rPr>
        <w:t>.</w:t>
      </w:r>
      <w:r>
        <w:rPr>
          <w:szCs w:val="24"/>
        </w:rPr>
        <w:t xml:space="preserve"> </w:t>
      </w:r>
      <w:r w:rsidRPr="00394C1B">
        <w:rPr>
          <w:color w:val="000000"/>
        </w:rPr>
        <w:t>Siekiant stiprinti ener</w:t>
      </w:r>
      <w:r>
        <w:rPr>
          <w:color w:val="000000"/>
        </w:rPr>
        <w:t>g</w:t>
      </w:r>
      <w:r w:rsidRPr="00394C1B">
        <w:rPr>
          <w:color w:val="000000"/>
        </w:rPr>
        <w:t>etinę nepriklausomybę</w:t>
      </w:r>
      <w:r>
        <w:rPr>
          <w:color w:val="000000"/>
        </w:rPr>
        <w:t xml:space="preserve">, būtina spartinti </w:t>
      </w:r>
      <w:r w:rsidRPr="003F400A">
        <w:rPr>
          <w:szCs w:val="24"/>
        </w:rPr>
        <w:t>priemonių Lietuvos elektros energetikos sistemos savarankiškumui ir patikimui didinti parengimą ir įgyvendinimą</w:t>
      </w:r>
      <w:r>
        <w:rPr>
          <w:szCs w:val="24"/>
        </w:rPr>
        <w:t>, kaip nurodyta Valstybės gynimo tarybos 2020 m. rugpjūčio 27 d. nutarime ir nustatyta Vyriausybės programoje.</w:t>
      </w:r>
    </w:p>
    <w:p w14:paraId="69629920" w14:textId="77777777" w:rsidR="008B10FF" w:rsidRDefault="008B10FF" w:rsidP="00E660EB">
      <w:pPr>
        <w:shd w:val="clear" w:color="auto" w:fill="FFFFFF"/>
        <w:spacing w:line="250" w:lineRule="auto"/>
        <w:ind w:firstLine="709"/>
        <w:jc w:val="both"/>
        <w:rPr>
          <w:rFonts w:eastAsia="Calibri"/>
          <w:szCs w:val="24"/>
          <w:lang w:eastAsia="pl-PL"/>
        </w:rPr>
      </w:pPr>
      <w:r w:rsidRPr="000B2561">
        <w:rPr>
          <w:rFonts w:eastAsia="Calibri"/>
          <w:szCs w:val="24"/>
          <w:lang w:eastAsia="pl-PL"/>
        </w:rPr>
        <w:t>2020 m. geguž</w:t>
      </w:r>
      <w:r>
        <w:rPr>
          <w:rFonts w:eastAsia="Calibri"/>
          <w:szCs w:val="24"/>
          <w:lang w:eastAsia="pl-PL"/>
        </w:rPr>
        <w:t>ę</w:t>
      </w:r>
      <w:r w:rsidRPr="000B2561">
        <w:rPr>
          <w:rFonts w:eastAsia="Calibri"/>
          <w:szCs w:val="24"/>
          <w:lang w:eastAsia="pl-PL"/>
        </w:rPr>
        <w:t xml:space="preserve"> L</w:t>
      </w:r>
      <w:r w:rsidRPr="00BC0A61">
        <w:rPr>
          <w:rFonts w:eastAsia="Calibri"/>
          <w:szCs w:val="24"/>
          <w:lang w:eastAsia="pl-PL"/>
        </w:rPr>
        <w:t>ITRID</w:t>
      </w:r>
      <w:r w:rsidRPr="000B2561">
        <w:rPr>
          <w:rFonts w:eastAsia="Calibri"/>
          <w:szCs w:val="24"/>
          <w:lang w:eastAsia="pl-PL"/>
        </w:rPr>
        <w:t xml:space="preserve"> ir Lenkijos elektros perdavimo tinklo operatori</w:t>
      </w:r>
      <w:r w:rsidRPr="00BC0A61">
        <w:rPr>
          <w:rFonts w:eastAsia="Calibri"/>
          <w:szCs w:val="24"/>
          <w:lang w:eastAsia="pl-PL"/>
        </w:rPr>
        <w:t>us</w:t>
      </w:r>
      <w:r w:rsidRPr="000B2561">
        <w:rPr>
          <w:rFonts w:eastAsia="Calibri"/>
          <w:szCs w:val="24"/>
          <w:lang w:eastAsia="pl-PL"/>
        </w:rPr>
        <w:t xml:space="preserve"> PSE S.A.</w:t>
      </w:r>
      <w:r w:rsidRPr="00BC0A61">
        <w:rPr>
          <w:rFonts w:eastAsia="Calibri"/>
          <w:szCs w:val="24"/>
          <w:lang w:eastAsia="pl-PL"/>
        </w:rPr>
        <w:t xml:space="preserve"> (toliau – PSE)</w:t>
      </w:r>
      <w:r w:rsidRPr="000B2561">
        <w:rPr>
          <w:rFonts w:eastAsia="Calibri"/>
          <w:szCs w:val="24"/>
          <w:lang w:eastAsia="pl-PL"/>
        </w:rPr>
        <w:t xml:space="preserve"> pasirašė </w:t>
      </w:r>
      <w:r>
        <w:rPr>
          <w:szCs w:val="24"/>
        </w:rPr>
        <w:t xml:space="preserve">tarpvalstybinės elektros jungties tarp Lietuvos ir Lenkijos </w:t>
      </w:r>
      <w:r w:rsidRPr="000B2561">
        <w:rPr>
          <w:rFonts w:eastAsia="Calibri"/>
          <w:szCs w:val="24"/>
          <w:lang w:eastAsia="pl-PL"/>
        </w:rPr>
        <w:t>„</w:t>
      </w:r>
      <w:proofErr w:type="spellStart"/>
      <w:r w:rsidRPr="000B2561">
        <w:rPr>
          <w:rFonts w:eastAsia="Calibri"/>
          <w:szCs w:val="24"/>
          <w:lang w:eastAsia="pl-PL"/>
        </w:rPr>
        <w:t>Harmony</w:t>
      </w:r>
      <w:proofErr w:type="spellEnd"/>
      <w:r w:rsidRPr="000B2561">
        <w:rPr>
          <w:rFonts w:eastAsia="Calibri"/>
          <w:szCs w:val="24"/>
          <w:lang w:eastAsia="pl-PL"/>
        </w:rPr>
        <w:t xml:space="preserve"> Link“ projekto įgyvendinimo etapo bendradarbiavimo sutartį. Šia sutartimi abiejų šalių elektros perdavimo sistemų operatoriai įsipareigojo lygiomis dalimis prisidėti prie</w:t>
      </w:r>
      <w:r>
        <w:rPr>
          <w:rFonts w:eastAsia="Calibri"/>
          <w:szCs w:val="24"/>
          <w:lang w:eastAsia="pl-PL"/>
        </w:rPr>
        <w:t xml:space="preserve"> projekto įgyvendinimo</w:t>
      </w:r>
      <w:r w:rsidRPr="000B2561">
        <w:rPr>
          <w:rFonts w:eastAsia="Calibri"/>
          <w:szCs w:val="24"/>
          <w:lang w:eastAsia="pl-PL"/>
        </w:rPr>
        <w:t xml:space="preserve">. </w:t>
      </w:r>
    </w:p>
    <w:p w14:paraId="06996148" w14:textId="77777777" w:rsidR="008B10FF" w:rsidRDefault="008B10FF" w:rsidP="00E660EB">
      <w:pPr>
        <w:spacing w:line="250" w:lineRule="auto"/>
        <w:ind w:firstLine="709"/>
        <w:jc w:val="both"/>
        <w:rPr>
          <w:rFonts w:eastAsia="Calibri"/>
          <w:szCs w:val="24"/>
          <w:lang w:eastAsia="pl-PL"/>
        </w:rPr>
      </w:pPr>
      <w:r w:rsidRPr="000B2561">
        <w:rPr>
          <w:rFonts w:eastAsia="Calibri"/>
          <w:szCs w:val="24"/>
          <w:lang w:eastAsia="pl-PL"/>
        </w:rPr>
        <w:t>2020 m. geguž</w:t>
      </w:r>
      <w:r>
        <w:rPr>
          <w:rFonts w:eastAsia="Calibri"/>
          <w:szCs w:val="24"/>
          <w:lang w:eastAsia="pl-PL"/>
        </w:rPr>
        <w:t>ę</w:t>
      </w:r>
      <w:r w:rsidRPr="000B2561">
        <w:rPr>
          <w:rFonts w:eastAsia="Calibri"/>
          <w:szCs w:val="24"/>
          <w:lang w:eastAsia="pl-PL"/>
        </w:rPr>
        <w:t xml:space="preserve"> baigta 110 </w:t>
      </w:r>
      <w:proofErr w:type="spellStart"/>
      <w:r w:rsidRPr="000B2561">
        <w:rPr>
          <w:rFonts w:eastAsia="Calibri"/>
          <w:szCs w:val="24"/>
          <w:lang w:eastAsia="pl-PL"/>
        </w:rPr>
        <w:t>kV</w:t>
      </w:r>
      <w:proofErr w:type="spellEnd"/>
      <w:r w:rsidRPr="000B2561">
        <w:rPr>
          <w:rFonts w:eastAsia="Calibri"/>
          <w:szCs w:val="24"/>
          <w:lang w:eastAsia="pl-PL"/>
        </w:rPr>
        <w:t xml:space="preserve"> elektros perdavimo linijos Pagėgiai–Bitėnai statyba – šios jungties įrengimas yra sudėtinė Sinchronizacijos projekto dalis, sustiprin</w:t>
      </w:r>
      <w:r>
        <w:rPr>
          <w:rFonts w:eastAsia="Calibri"/>
          <w:szCs w:val="24"/>
          <w:lang w:eastAsia="pl-PL"/>
        </w:rPr>
        <w:t>usi</w:t>
      </w:r>
      <w:r w:rsidRPr="000B2561">
        <w:rPr>
          <w:rFonts w:eastAsia="Calibri"/>
          <w:szCs w:val="24"/>
          <w:lang w:eastAsia="pl-PL"/>
        </w:rPr>
        <w:t xml:space="preserve"> Lietuvos elektros sistemą Kaliningrado pasienyje.</w:t>
      </w:r>
      <w:r>
        <w:rPr>
          <w:rFonts w:eastAsia="Calibri"/>
          <w:szCs w:val="24"/>
          <w:lang w:eastAsia="pl-PL"/>
        </w:rPr>
        <w:t xml:space="preserve"> </w:t>
      </w:r>
    </w:p>
    <w:p w14:paraId="4535B5E9" w14:textId="77777777" w:rsidR="008B10FF" w:rsidRDefault="008B10FF" w:rsidP="00E660EB">
      <w:pPr>
        <w:spacing w:line="250" w:lineRule="auto"/>
        <w:ind w:firstLine="709"/>
        <w:jc w:val="both"/>
        <w:rPr>
          <w:rFonts w:eastAsia="Calibri"/>
          <w:szCs w:val="24"/>
          <w:lang w:eastAsia="pl-PL"/>
        </w:rPr>
      </w:pPr>
      <w:r w:rsidRPr="000B2561">
        <w:rPr>
          <w:rFonts w:eastAsia="Calibri"/>
          <w:szCs w:val="24"/>
          <w:lang w:eastAsia="pl-PL"/>
        </w:rPr>
        <w:t xml:space="preserve">2020 m. birželio 23 d. </w:t>
      </w:r>
      <w:r>
        <w:rPr>
          <w:rFonts w:eastAsia="Calibri"/>
          <w:szCs w:val="24"/>
          <w:lang w:eastAsia="pl-PL"/>
        </w:rPr>
        <w:t>papildytas</w:t>
      </w:r>
      <w:r w:rsidRPr="000B2561">
        <w:rPr>
          <w:rFonts w:eastAsia="Calibri"/>
          <w:szCs w:val="24"/>
          <w:lang w:eastAsia="pl-PL"/>
        </w:rPr>
        <w:t xml:space="preserve"> Elektros energetikos sistemos sujungimo su kontinentinės Europos elektros tinklais darbui sinchroniniu režimu įstatym</w:t>
      </w:r>
      <w:r>
        <w:rPr>
          <w:rFonts w:eastAsia="Calibri"/>
          <w:szCs w:val="24"/>
          <w:lang w:eastAsia="pl-PL"/>
        </w:rPr>
        <w:t xml:space="preserve">as, kuriuo </w:t>
      </w:r>
      <w:r w:rsidRPr="000B2561">
        <w:rPr>
          <w:rFonts w:eastAsia="Calibri"/>
          <w:szCs w:val="24"/>
          <w:lang w:eastAsia="pl-PL"/>
        </w:rPr>
        <w:t>įtvirtinti specialieji saugumo reikalavimai</w:t>
      </w:r>
      <w:r>
        <w:rPr>
          <w:rFonts w:eastAsia="Calibri"/>
          <w:szCs w:val="24"/>
          <w:lang w:eastAsia="pl-PL"/>
        </w:rPr>
        <w:t>,</w:t>
      </w:r>
      <w:r w:rsidRPr="000B2561">
        <w:rPr>
          <w:rFonts w:eastAsia="Calibri"/>
          <w:szCs w:val="24"/>
          <w:lang w:eastAsia="pl-PL"/>
        </w:rPr>
        <w:t xml:space="preserve"> įgyvendinant Sinchronizacijos projektą</w:t>
      </w:r>
      <w:r>
        <w:rPr>
          <w:rFonts w:eastAsia="Calibri"/>
          <w:szCs w:val="24"/>
          <w:lang w:eastAsia="pl-PL"/>
        </w:rPr>
        <w:t xml:space="preserve">, sukuriant prielaidas </w:t>
      </w:r>
      <w:r w:rsidRPr="000B2561">
        <w:rPr>
          <w:rFonts w:eastAsia="Calibri"/>
          <w:szCs w:val="24"/>
          <w:lang w:eastAsia="pl-PL"/>
        </w:rPr>
        <w:t>efektyvia</w:t>
      </w:r>
      <w:r>
        <w:rPr>
          <w:rFonts w:eastAsia="Calibri"/>
          <w:szCs w:val="24"/>
          <w:lang w:eastAsia="pl-PL"/>
        </w:rPr>
        <w:t>u</w:t>
      </w:r>
      <w:r w:rsidRPr="000B2561">
        <w:rPr>
          <w:rFonts w:eastAsia="Calibri"/>
          <w:szCs w:val="24"/>
          <w:lang w:eastAsia="pl-PL"/>
        </w:rPr>
        <w:t xml:space="preserve"> valdyti Sinchronizacijos projekto įgyvendinimo rizikas, įskaitant ir rizikas, susijusias su potencialių tiekėjų ir subtiekėjų atitikti</w:t>
      </w:r>
      <w:r>
        <w:rPr>
          <w:rFonts w:eastAsia="Calibri"/>
          <w:szCs w:val="24"/>
          <w:lang w:eastAsia="pl-PL"/>
        </w:rPr>
        <w:t>mi</w:t>
      </w:r>
      <w:r w:rsidRPr="000B2561">
        <w:rPr>
          <w:rFonts w:eastAsia="Calibri"/>
          <w:szCs w:val="24"/>
          <w:lang w:eastAsia="pl-PL"/>
        </w:rPr>
        <w:t xml:space="preserve"> nacionalinio saugumo interesams.</w:t>
      </w:r>
    </w:p>
    <w:p w14:paraId="389092AC" w14:textId="77777777" w:rsidR="008B10FF" w:rsidRDefault="008B10FF" w:rsidP="00E660EB">
      <w:pPr>
        <w:spacing w:line="250" w:lineRule="auto"/>
        <w:ind w:firstLine="709"/>
        <w:jc w:val="both"/>
        <w:rPr>
          <w:rFonts w:eastAsia="Calibri"/>
          <w:szCs w:val="24"/>
          <w:lang w:eastAsia="pl-PL"/>
        </w:rPr>
      </w:pPr>
      <w:r w:rsidRPr="000B2561">
        <w:rPr>
          <w:rFonts w:eastAsia="Calibri"/>
          <w:szCs w:val="24"/>
          <w:lang w:eastAsia="pl-PL"/>
        </w:rPr>
        <w:t>2020 m. rugsėj</w:t>
      </w:r>
      <w:r>
        <w:rPr>
          <w:rFonts w:eastAsia="Calibri"/>
          <w:szCs w:val="24"/>
          <w:lang w:eastAsia="pl-PL"/>
        </w:rPr>
        <w:t>į</w:t>
      </w:r>
      <w:r w:rsidRPr="000B2561">
        <w:rPr>
          <w:rFonts w:eastAsia="Calibri"/>
          <w:szCs w:val="24"/>
          <w:lang w:eastAsia="pl-PL"/>
        </w:rPr>
        <w:t xml:space="preserve"> paskelbtas sinchroninių kompensatorių pirkimo konkursas. Šie tinklo inerciją užtikrinantys įrenginiai yra vien</w:t>
      </w:r>
      <w:r>
        <w:rPr>
          <w:rFonts w:eastAsia="Calibri"/>
          <w:szCs w:val="24"/>
          <w:lang w:eastAsia="pl-PL"/>
        </w:rPr>
        <w:t>i iš</w:t>
      </w:r>
      <w:r w:rsidRPr="000B2561">
        <w:rPr>
          <w:rFonts w:eastAsia="Calibri"/>
          <w:szCs w:val="24"/>
          <w:lang w:eastAsia="pl-PL"/>
        </w:rPr>
        <w:t xml:space="preserve"> svarbiausių elementų, reikalingų sėkming</w:t>
      </w:r>
      <w:r>
        <w:rPr>
          <w:rFonts w:eastAsia="Calibri"/>
          <w:szCs w:val="24"/>
          <w:lang w:eastAsia="pl-PL"/>
        </w:rPr>
        <w:t>am</w:t>
      </w:r>
      <w:r w:rsidRPr="000B2561">
        <w:rPr>
          <w:rFonts w:eastAsia="Calibri"/>
          <w:szCs w:val="24"/>
          <w:lang w:eastAsia="pl-PL"/>
        </w:rPr>
        <w:t xml:space="preserve"> Baltijos šalių elektros sistemų </w:t>
      </w:r>
      <w:r w:rsidRPr="000B2561">
        <w:rPr>
          <w:rFonts w:eastAsia="Calibri"/>
          <w:szCs w:val="24"/>
          <w:lang w:eastAsia="pl-PL"/>
        </w:rPr>
        <w:lastRenderedPageBreak/>
        <w:t>veikim</w:t>
      </w:r>
      <w:r>
        <w:rPr>
          <w:rFonts w:eastAsia="Calibri"/>
          <w:szCs w:val="24"/>
          <w:lang w:eastAsia="pl-PL"/>
        </w:rPr>
        <w:t>ui</w:t>
      </w:r>
      <w:r w:rsidRPr="000B2561">
        <w:rPr>
          <w:rFonts w:eastAsia="Calibri"/>
          <w:szCs w:val="24"/>
          <w:lang w:eastAsia="pl-PL"/>
        </w:rPr>
        <w:t xml:space="preserve"> po sinchronizacijos</w:t>
      </w:r>
      <w:r>
        <w:rPr>
          <w:rFonts w:eastAsia="Calibri"/>
          <w:szCs w:val="24"/>
          <w:lang w:eastAsia="pl-PL"/>
        </w:rPr>
        <w:t xml:space="preserve"> užtikrinti</w:t>
      </w:r>
      <w:r w:rsidRPr="000B2561">
        <w:rPr>
          <w:rFonts w:eastAsia="Calibri"/>
          <w:szCs w:val="24"/>
          <w:lang w:eastAsia="pl-PL"/>
        </w:rPr>
        <w:t xml:space="preserve">. Sinchroniniai kompensatoriai bus įrengti Alytaus, Telšių ir Neries (Vilniaus rajonas) transformatorių pastotėse. </w:t>
      </w:r>
    </w:p>
    <w:p w14:paraId="1D57A0F6" w14:textId="77777777" w:rsidR="008B10FF" w:rsidRDefault="008B10FF" w:rsidP="00E660EB">
      <w:pPr>
        <w:spacing w:line="250" w:lineRule="auto"/>
        <w:ind w:firstLine="709"/>
        <w:jc w:val="both"/>
        <w:rPr>
          <w:rFonts w:eastAsia="Calibri"/>
          <w:szCs w:val="24"/>
          <w:lang w:eastAsia="pl-PL"/>
        </w:rPr>
      </w:pPr>
      <w:r w:rsidRPr="000B2561">
        <w:rPr>
          <w:rFonts w:eastAsia="Calibri"/>
          <w:szCs w:val="24"/>
          <w:lang w:eastAsia="pl-PL"/>
        </w:rPr>
        <w:t>2020 m. spalio 1 d. vykusiame Europos infrastruktūros tinklų (</w:t>
      </w:r>
      <w:r w:rsidRPr="009835EE">
        <w:rPr>
          <w:rFonts w:eastAsia="Calibri"/>
          <w:i/>
          <w:iCs/>
          <w:szCs w:val="24"/>
          <w:lang w:eastAsia="pl-PL"/>
        </w:rPr>
        <w:t>angl.</w:t>
      </w:r>
      <w:r>
        <w:rPr>
          <w:rFonts w:eastAsia="Calibri"/>
          <w:i/>
          <w:iCs/>
          <w:szCs w:val="24"/>
          <w:lang w:eastAsia="pl-PL"/>
        </w:rPr>
        <w:t xml:space="preserve">, </w:t>
      </w:r>
      <w:proofErr w:type="spellStart"/>
      <w:r w:rsidRPr="009835EE">
        <w:rPr>
          <w:rFonts w:eastAsia="Calibri"/>
          <w:i/>
          <w:iCs/>
          <w:szCs w:val="24"/>
          <w:lang w:eastAsia="pl-PL"/>
        </w:rPr>
        <w:t>Connecting</w:t>
      </w:r>
      <w:proofErr w:type="spellEnd"/>
      <w:r w:rsidRPr="009835EE">
        <w:rPr>
          <w:rFonts w:eastAsia="Calibri"/>
          <w:i/>
          <w:iCs/>
          <w:szCs w:val="24"/>
          <w:lang w:eastAsia="pl-PL"/>
        </w:rPr>
        <w:t xml:space="preserve"> </w:t>
      </w:r>
      <w:proofErr w:type="spellStart"/>
      <w:r w:rsidRPr="009835EE">
        <w:rPr>
          <w:rFonts w:eastAsia="Calibri"/>
          <w:i/>
          <w:iCs/>
          <w:szCs w:val="24"/>
          <w:lang w:eastAsia="pl-PL"/>
        </w:rPr>
        <w:t>Europe</w:t>
      </w:r>
      <w:proofErr w:type="spellEnd"/>
      <w:r w:rsidRPr="009835EE">
        <w:rPr>
          <w:rFonts w:eastAsia="Calibri"/>
          <w:i/>
          <w:iCs/>
          <w:szCs w:val="24"/>
          <w:lang w:eastAsia="pl-PL"/>
        </w:rPr>
        <w:t xml:space="preserve"> </w:t>
      </w:r>
      <w:proofErr w:type="spellStart"/>
      <w:r w:rsidRPr="009835EE">
        <w:rPr>
          <w:rFonts w:eastAsia="Calibri"/>
          <w:i/>
          <w:iCs/>
          <w:szCs w:val="24"/>
          <w:lang w:eastAsia="pl-PL"/>
        </w:rPr>
        <w:t>Facility</w:t>
      </w:r>
      <w:proofErr w:type="spellEnd"/>
      <w:r w:rsidRPr="000B2561">
        <w:rPr>
          <w:rFonts w:eastAsia="Calibri"/>
          <w:szCs w:val="24"/>
          <w:lang w:eastAsia="pl-PL"/>
        </w:rPr>
        <w:t xml:space="preserve">) Koordinacinio </w:t>
      </w:r>
      <w:r>
        <w:rPr>
          <w:rFonts w:eastAsia="Calibri"/>
          <w:szCs w:val="24"/>
          <w:lang w:eastAsia="pl-PL"/>
        </w:rPr>
        <w:t>k</w:t>
      </w:r>
      <w:r w:rsidRPr="000B2561">
        <w:rPr>
          <w:rFonts w:eastAsia="Calibri"/>
          <w:szCs w:val="24"/>
          <w:lang w:eastAsia="pl-PL"/>
        </w:rPr>
        <w:t>omiteto posėdyje E</w:t>
      </w:r>
      <w:r>
        <w:rPr>
          <w:rFonts w:eastAsia="Calibri"/>
          <w:szCs w:val="24"/>
          <w:lang w:eastAsia="pl-PL"/>
        </w:rPr>
        <w:t>S</w:t>
      </w:r>
      <w:r w:rsidRPr="000B2561">
        <w:rPr>
          <w:rFonts w:eastAsia="Calibri"/>
          <w:szCs w:val="24"/>
          <w:lang w:eastAsia="pl-PL"/>
        </w:rPr>
        <w:t xml:space="preserve"> šalys pritarė Europos Komisijos </w:t>
      </w:r>
      <w:r>
        <w:rPr>
          <w:rFonts w:eastAsia="Calibri"/>
          <w:szCs w:val="24"/>
          <w:lang w:eastAsia="pl-PL"/>
        </w:rPr>
        <w:t>pa</w:t>
      </w:r>
      <w:r w:rsidRPr="000B2561">
        <w:rPr>
          <w:rFonts w:eastAsia="Calibri"/>
          <w:szCs w:val="24"/>
          <w:lang w:eastAsia="pl-PL"/>
        </w:rPr>
        <w:t xml:space="preserve">siūlymui </w:t>
      </w:r>
      <w:r>
        <w:rPr>
          <w:rFonts w:eastAsia="Calibri"/>
          <w:szCs w:val="24"/>
          <w:lang w:eastAsia="pl-PL"/>
        </w:rPr>
        <w:t xml:space="preserve">projektui </w:t>
      </w:r>
      <w:r w:rsidRPr="000B2561">
        <w:rPr>
          <w:rFonts w:eastAsia="Calibri"/>
          <w:szCs w:val="24"/>
          <w:lang w:eastAsia="pl-PL"/>
        </w:rPr>
        <w:t xml:space="preserve">skirti 720 mln. </w:t>
      </w:r>
      <w:r>
        <w:rPr>
          <w:rFonts w:eastAsia="Calibri"/>
          <w:szCs w:val="24"/>
          <w:lang w:eastAsia="pl-PL"/>
        </w:rPr>
        <w:t>eurų</w:t>
      </w:r>
      <w:r w:rsidRPr="000B2561">
        <w:rPr>
          <w:rFonts w:eastAsia="Calibri"/>
          <w:szCs w:val="24"/>
          <w:lang w:eastAsia="pl-PL"/>
        </w:rPr>
        <w:t xml:space="preserve"> finansinę paramą</w:t>
      </w:r>
      <w:r>
        <w:rPr>
          <w:rStyle w:val="Puslapioinaosnuoroda"/>
          <w:rFonts w:eastAsia="Calibri"/>
          <w:szCs w:val="24"/>
          <w:lang w:eastAsia="pl-PL"/>
        </w:rPr>
        <w:footnoteReference w:id="66"/>
      </w:r>
      <w:r w:rsidRPr="000B2561">
        <w:rPr>
          <w:rFonts w:eastAsia="Calibri"/>
          <w:szCs w:val="24"/>
          <w:lang w:eastAsia="pl-PL"/>
        </w:rPr>
        <w:t xml:space="preserve">. </w:t>
      </w:r>
    </w:p>
    <w:p w14:paraId="45C6B3FD" w14:textId="77777777" w:rsidR="008B10FF" w:rsidRDefault="008B10FF" w:rsidP="00E660EB">
      <w:pPr>
        <w:spacing w:line="250" w:lineRule="auto"/>
        <w:ind w:firstLine="709"/>
        <w:jc w:val="both"/>
        <w:rPr>
          <w:rFonts w:eastAsia="Calibri"/>
          <w:szCs w:val="24"/>
          <w:lang w:eastAsia="pl-PL"/>
        </w:rPr>
      </w:pPr>
      <w:r w:rsidRPr="000B2561">
        <w:rPr>
          <w:rFonts w:eastAsia="Calibri"/>
          <w:szCs w:val="24"/>
          <w:lang w:eastAsia="pl-PL"/>
        </w:rPr>
        <w:t>2020 m. lapkričio 11 d. patvirtin</w:t>
      </w:r>
      <w:r>
        <w:rPr>
          <w:rFonts w:eastAsia="Calibri"/>
          <w:szCs w:val="24"/>
          <w:lang w:eastAsia="pl-PL"/>
        </w:rPr>
        <w:t>tas</w:t>
      </w:r>
      <w:r w:rsidRPr="000B2561">
        <w:rPr>
          <w:rFonts w:eastAsia="Calibri"/>
          <w:szCs w:val="24"/>
          <w:lang w:eastAsia="pl-PL"/>
        </w:rPr>
        <w:t xml:space="preserve"> </w:t>
      </w:r>
      <w:r>
        <w:rPr>
          <w:rFonts w:eastAsia="Calibri"/>
          <w:szCs w:val="24"/>
          <w:lang w:eastAsia="pl-PL"/>
        </w:rPr>
        <w:t>E</w:t>
      </w:r>
      <w:r w:rsidRPr="000B2561">
        <w:rPr>
          <w:rFonts w:eastAsia="Calibri"/>
          <w:szCs w:val="24"/>
          <w:lang w:eastAsia="pl-PL"/>
        </w:rPr>
        <w:t>lektros energetikos sistemos savarankiškumo ir patikimumo stiprinimo priemonių plan</w:t>
      </w:r>
      <w:r>
        <w:rPr>
          <w:rFonts w:eastAsia="Calibri"/>
          <w:szCs w:val="24"/>
          <w:lang w:eastAsia="pl-PL"/>
        </w:rPr>
        <w:t>as</w:t>
      </w:r>
      <w:r>
        <w:rPr>
          <w:rStyle w:val="Puslapioinaosnuoroda"/>
          <w:rFonts w:eastAsia="Calibri"/>
          <w:lang w:eastAsia="pl-PL"/>
        </w:rPr>
        <w:footnoteReference w:id="67"/>
      </w:r>
      <w:r w:rsidRPr="000B2561">
        <w:rPr>
          <w:rFonts w:eastAsia="Calibri"/>
          <w:szCs w:val="24"/>
          <w:lang w:eastAsia="pl-PL"/>
        </w:rPr>
        <w:t xml:space="preserve">, </w:t>
      </w:r>
      <w:r>
        <w:rPr>
          <w:rFonts w:eastAsia="Calibri"/>
          <w:szCs w:val="24"/>
          <w:lang w:eastAsia="pl-PL"/>
        </w:rPr>
        <w:t xml:space="preserve">siekiant užtikrinti, kad </w:t>
      </w:r>
      <w:r w:rsidRPr="000B2561">
        <w:rPr>
          <w:rFonts w:eastAsia="Calibri"/>
          <w:szCs w:val="24"/>
          <w:lang w:eastAsia="pl-PL"/>
        </w:rPr>
        <w:t>iki sinchronizacijos su kontinentinės Europos tinklais būtų įgyvendintos visos priemonės patikimam elektros energetikos sistemos veikimui užtikrinti ir sistemos atsparumui nuo galimo trečiųjų šalių poveiki</w:t>
      </w:r>
      <w:r>
        <w:rPr>
          <w:rFonts w:eastAsia="Calibri"/>
          <w:szCs w:val="24"/>
          <w:lang w:eastAsia="pl-PL"/>
        </w:rPr>
        <w:t>o</w:t>
      </w:r>
      <w:r w:rsidRPr="000B2561">
        <w:rPr>
          <w:rFonts w:eastAsia="Calibri"/>
          <w:szCs w:val="24"/>
          <w:lang w:eastAsia="pl-PL"/>
        </w:rPr>
        <w:t xml:space="preserve"> stiprinti.</w:t>
      </w:r>
      <w:r>
        <w:rPr>
          <w:rFonts w:eastAsia="Calibri"/>
          <w:szCs w:val="24"/>
          <w:lang w:eastAsia="pl-PL"/>
        </w:rPr>
        <w:t xml:space="preserve"> </w:t>
      </w:r>
      <w:r w:rsidRPr="000B2561">
        <w:rPr>
          <w:rFonts w:eastAsia="Calibri"/>
          <w:color w:val="000000"/>
          <w:spacing w:val="2"/>
          <w:szCs w:val="24"/>
          <w:shd w:val="clear" w:color="auto" w:fill="FFFFFF"/>
          <w:lang w:eastAsia="pl-PL"/>
        </w:rPr>
        <w:t xml:space="preserve">Šiame plane numatyti </w:t>
      </w:r>
      <w:r>
        <w:rPr>
          <w:rFonts w:eastAsia="Calibri"/>
          <w:color w:val="000000"/>
          <w:spacing w:val="2"/>
          <w:szCs w:val="24"/>
          <w:shd w:val="clear" w:color="auto" w:fill="FFFFFF"/>
          <w:lang w:val="en-GB" w:eastAsia="pl-PL"/>
        </w:rPr>
        <w:t>4</w:t>
      </w:r>
      <w:r w:rsidRPr="000B2561">
        <w:rPr>
          <w:rFonts w:eastAsia="Calibri"/>
          <w:color w:val="000000"/>
          <w:spacing w:val="2"/>
          <w:szCs w:val="24"/>
          <w:shd w:val="clear" w:color="auto" w:fill="FFFFFF"/>
          <w:lang w:eastAsia="pl-PL"/>
        </w:rPr>
        <w:t xml:space="preserve"> svarbiausi etapai, kurie užtikrins elektros energetikos sistemos pasirengimą veikti efektyviai ir patikimai. </w:t>
      </w:r>
      <w:r w:rsidRPr="000B2561">
        <w:rPr>
          <w:rFonts w:eastAsia="Calibri"/>
          <w:szCs w:val="24"/>
          <w:lang w:eastAsia="pl-PL"/>
        </w:rPr>
        <w:t>Iki 2021 m. antrosios pusės numatyt</w:t>
      </w:r>
      <w:r>
        <w:rPr>
          <w:rFonts w:eastAsia="Calibri"/>
          <w:szCs w:val="24"/>
          <w:lang w:eastAsia="pl-PL"/>
        </w:rPr>
        <w:t>a</w:t>
      </w:r>
      <w:r w:rsidRPr="000B2561">
        <w:rPr>
          <w:rFonts w:eastAsia="Calibri"/>
          <w:szCs w:val="24"/>
          <w:lang w:eastAsia="pl-PL"/>
        </w:rPr>
        <w:t xml:space="preserve"> įgyvendinti </w:t>
      </w:r>
      <w:proofErr w:type="spellStart"/>
      <w:r w:rsidRPr="000B2561">
        <w:rPr>
          <w:rFonts w:eastAsia="Calibri"/>
          <w:szCs w:val="24"/>
          <w:lang w:eastAsia="pl-PL"/>
        </w:rPr>
        <w:t>LitPol</w:t>
      </w:r>
      <w:proofErr w:type="spellEnd"/>
      <w:r w:rsidRPr="000B2561">
        <w:rPr>
          <w:rFonts w:eastAsia="Calibri"/>
          <w:szCs w:val="24"/>
          <w:lang w:eastAsia="pl-PL"/>
        </w:rPr>
        <w:t xml:space="preserve"> Link jungties išplėtimo projektą ir atlikti visus būtinus bandymus su Lenkijos perdavimo sistemos operatoriumi, kad </w:t>
      </w:r>
      <w:r>
        <w:rPr>
          <w:rFonts w:eastAsia="Calibri"/>
          <w:szCs w:val="24"/>
          <w:lang w:eastAsia="pl-PL"/>
        </w:rPr>
        <w:t>prireikus</w:t>
      </w:r>
      <w:r w:rsidRPr="000B2561">
        <w:rPr>
          <w:rFonts w:eastAsia="Calibri"/>
          <w:szCs w:val="24"/>
          <w:lang w:eastAsia="pl-PL"/>
        </w:rPr>
        <w:t xml:space="preserve"> sistemai būtinas dažnis būtų palaikomas per jungtis su Lenkija ir taip užtikrinamas patikimas Lietuvos elektros energetikos sistemos veikimas.</w:t>
      </w:r>
      <w:r>
        <w:rPr>
          <w:rFonts w:eastAsia="Calibri"/>
          <w:szCs w:val="24"/>
          <w:lang w:eastAsia="pl-PL"/>
        </w:rPr>
        <w:t xml:space="preserve"> </w:t>
      </w:r>
      <w:r w:rsidRPr="000B2561">
        <w:rPr>
          <w:rFonts w:eastAsia="Calibri"/>
          <w:szCs w:val="24"/>
          <w:lang w:eastAsia="pl-PL"/>
        </w:rPr>
        <w:t>Taip pat numatyti sprendimai, kurie užtikrins  vietinės elektros energijos generacijos pasirengimą</w:t>
      </w:r>
      <w:r>
        <w:rPr>
          <w:rFonts w:eastAsia="Calibri"/>
          <w:szCs w:val="24"/>
          <w:lang w:eastAsia="pl-PL"/>
        </w:rPr>
        <w:t>.</w:t>
      </w:r>
      <w:r w:rsidRPr="000B2561">
        <w:rPr>
          <w:rFonts w:eastAsia="Calibri"/>
          <w:szCs w:val="24"/>
          <w:lang w:eastAsia="pl-PL"/>
        </w:rPr>
        <w:t xml:space="preserve"> </w:t>
      </w:r>
      <w:r>
        <w:rPr>
          <w:rFonts w:eastAsia="Calibri"/>
          <w:szCs w:val="24"/>
          <w:lang w:eastAsia="pl-PL"/>
        </w:rPr>
        <w:t>T</w:t>
      </w:r>
      <w:r w:rsidRPr="000B2561">
        <w:rPr>
          <w:rFonts w:eastAsia="Calibri"/>
          <w:szCs w:val="24"/>
          <w:lang w:eastAsia="pl-PL"/>
        </w:rPr>
        <w:t>aip bus užtikrintos galimybės Lietuvos elektros energetikos sistemai veikti savarankiškai izoliuotu režimu</w:t>
      </w:r>
      <w:r>
        <w:rPr>
          <w:rFonts w:eastAsia="Calibri"/>
          <w:szCs w:val="24"/>
          <w:lang w:eastAsia="pl-PL"/>
        </w:rPr>
        <w:t>,</w:t>
      </w:r>
      <w:r w:rsidRPr="000B2561">
        <w:rPr>
          <w:rFonts w:eastAsia="Calibri"/>
          <w:szCs w:val="24"/>
          <w:lang w:eastAsia="pl-PL"/>
        </w:rPr>
        <w:t xml:space="preserve"> efektyviausi</w:t>
      </w:r>
      <w:r>
        <w:rPr>
          <w:rFonts w:eastAsia="Calibri"/>
          <w:szCs w:val="24"/>
          <w:lang w:eastAsia="pl-PL"/>
        </w:rPr>
        <w:t>ai</w:t>
      </w:r>
      <w:r w:rsidRPr="000B2561">
        <w:rPr>
          <w:rFonts w:eastAsia="Calibri"/>
          <w:szCs w:val="24"/>
          <w:lang w:eastAsia="pl-PL"/>
        </w:rPr>
        <w:t xml:space="preserve"> sąnaudų ir saugumo požiūriu.</w:t>
      </w:r>
      <w:r>
        <w:rPr>
          <w:rFonts w:eastAsia="Calibri"/>
          <w:szCs w:val="24"/>
          <w:lang w:eastAsia="pl-PL"/>
        </w:rPr>
        <w:t xml:space="preserve"> </w:t>
      </w:r>
      <w:r w:rsidRPr="000B2561">
        <w:rPr>
          <w:rFonts w:eastAsia="Calibri"/>
          <w:szCs w:val="24"/>
          <w:lang w:eastAsia="pl-PL"/>
        </w:rPr>
        <w:t>Taip pat į planą įtrauktas 200 MW energijos kaupiklių projektas, kuris svarbus Lietuvos energetiniam saugumui ir patikimam elektros energijos perdavimo sistemos darbui iki sinchronizacijos su kontinentinės Europos tinklais. Numatyta įdiegti energijos kaupimo įrenginius, kurių suminė galia sieks ne mažiau nei 200 MW, o talpa sudarys ne mažiau nei 200 MWh. Jie bus naudojami momentiniam energijos perdavimo sistemos veiklos patikimumui užtikrinti</w:t>
      </w:r>
      <w:r>
        <w:rPr>
          <w:rFonts w:eastAsia="Calibri"/>
          <w:szCs w:val="24"/>
          <w:lang w:eastAsia="pl-PL"/>
        </w:rPr>
        <w:t>,</w:t>
      </w:r>
      <w:r w:rsidRPr="000B2561">
        <w:rPr>
          <w:rFonts w:eastAsia="Calibri"/>
          <w:szCs w:val="24"/>
          <w:lang w:eastAsia="pl-PL"/>
        </w:rPr>
        <w:t xml:space="preserve"> </w:t>
      </w:r>
      <w:r>
        <w:rPr>
          <w:rFonts w:eastAsia="Calibri"/>
          <w:szCs w:val="24"/>
          <w:lang w:eastAsia="pl-PL"/>
        </w:rPr>
        <w:t xml:space="preserve">tinkle </w:t>
      </w:r>
      <w:r w:rsidRPr="000B2561">
        <w:rPr>
          <w:rFonts w:eastAsia="Calibri"/>
          <w:szCs w:val="24"/>
          <w:lang w:eastAsia="pl-PL"/>
        </w:rPr>
        <w:t>esant nenumatytoms situacijoms.</w:t>
      </w:r>
    </w:p>
    <w:p w14:paraId="72F3DAB5" w14:textId="77777777" w:rsidR="008B10FF" w:rsidRDefault="008B10FF" w:rsidP="00E660EB">
      <w:pPr>
        <w:spacing w:line="250" w:lineRule="auto"/>
        <w:ind w:firstLine="709"/>
        <w:jc w:val="both"/>
        <w:rPr>
          <w:rFonts w:eastAsia="Calibri"/>
          <w:szCs w:val="24"/>
          <w:lang w:eastAsia="pl-PL"/>
        </w:rPr>
      </w:pPr>
      <w:r w:rsidRPr="000B2561">
        <w:rPr>
          <w:rFonts w:eastAsia="Calibri"/>
          <w:szCs w:val="24"/>
          <w:lang w:eastAsia="pl-PL"/>
        </w:rPr>
        <w:t xml:space="preserve">2020 m. lapkričio 26 d. </w:t>
      </w:r>
      <w:r w:rsidRPr="00BC0A61">
        <w:rPr>
          <w:rFonts w:eastAsia="Calibri"/>
          <w:szCs w:val="24"/>
          <w:lang w:eastAsia="pl-PL"/>
        </w:rPr>
        <w:t xml:space="preserve">LITGRID </w:t>
      </w:r>
      <w:r w:rsidRPr="000B2561">
        <w:rPr>
          <w:rFonts w:eastAsia="Calibri"/>
          <w:szCs w:val="24"/>
          <w:lang w:eastAsia="pl-PL"/>
        </w:rPr>
        <w:t>ir PSE pasirašė sutartį su konsorciumu, kurį sudaro MEWO S.A., Gdynės jūrų universitetas ir UAB „</w:t>
      </w:r>
      <w:proofErr w:type="spellStart"/>
      <w:r w:rsidRPr="000B2561">
        <w:rPr>
          <w:rFonts w:eastAsia="Calibri"/>
          <w:szCs w:val="24"/>
          <w:lang w:eastAsia="pl-PL"/>
        </w:rPr>
        <w:t>Garant</w:t>
      </w:r>
      <w:proofErr w:type="spellEnd"/>
      <w:r w:rsidRPr="000B2561">
        <w:rPr>
          <w:rFonts w:eastAsia="Calibri"/>
          <w:szCs w:val="24"/>
          <w:lang w:eastAsia="pl-PL"/>
        </w:rPr>
        <w:t xml:space="preserve"> </w:t>
      </w:r>
      <w:proofErr w:type="spellStart"/>
      <w:r w:rsidRPr="000B2561">
        <w:rPr>
          <w:rFonts w:eastAsia="Calibri"/>
          <w:szCs w:val="24"/>
          <w:lang w:eastAsia="pl-PL"/>
        </w:rPr>
        <w:t>Diving</w:t>
      </w:r>
      <w:proofErr w:type="spellEnd"/>
      <w:r w:rsidRPr="000B2561">
        <w:rPr>
          <w:rFonts w:eastAsia="Calibri"/>
          <w:szCs w:val="24"/>
          <w:lang w:eastAsia="pl-PL"/>
        </w:rPr>
        <w:t>“, dėl dugno tyrimo Baltijos jūros zonoje, kurioje planuojama tiesti „</w:t>
      </w:r>
      <w:proofErr w:type="spellStart"/>
      <w:r w:rsidRPr="000B2561">
        <w:rPr>
          <w:rFonts w:eastAsia="Calibri"/>
          <w:szCs w:val="24"/>
          <w:lang w:eastAsia="pl-PL"/>
        </w:rPr>
        <w:t>Harmony</w:t>
      </w:r>
      <w:proofErr w:type="spellEnd"/>
      <w:r w:rsidRPr="000B2561">
        <w:rPr>
          <w:rFonts w:eastAsia="Calibri"/>
          <w:szCs w:val="24"/>
          <w:lang w:eastAsia="pl-PL"/>
        </w:rPr>
        <w:t xml:space="preserve"> Link“ elektros jungtį, sujungsiančią Lenkiją ir Lietuvą. Pagal šią sutartį konsorciumas atliks jūros dugno geofizinius ir geotechninius tyrimus suplanuotoje kabelio trasoje tarp Lietuvai ir Lenkijai priklausančių Baltijos jūros pakrančių. Par</w:t>
      </w:r>
      <w:r>
        <w:rPr>
          <w:rFonts w:eastAsia="Calibri"/>
          <w:szCs w:val="24"/>
          <w:lang w:eastAsia="pl-PL"/>
        </w:rPr>
        <w:t>engtoje</w:t>
      </w:r>
      <w:r w:rsidRPr="000B2561">
        <w:rPr>
          <w:rFonts w:eastAsia="Calibri"/>
          <w:szCs w:val="24"/>
          <w:lang w:eastAsia="pl-PL"/>
        </w:rPr>
        <w:t xml:space="preserve"> ataskaitoje bus aprašyta jūros dugno būklė kabelio trasos zonoje ir pateikta informacija, būtina kabelio tiesimo ir apsaugos strategijai.</w:t>
      </w:r>
    </w:p>
    <w:p w14:paraId="101A3DE1" w14:textId="77777777" w:rsidR="008B10FF" w:rsidRDefault="008B10FF" w:rsidP="00E660EB">
      <w:pPr>
        <w:spacing w:line="250" w:lineRule="auto"/>
        <w:ind w:firstLine="709"/>
        <w:jc w:val="both"/>
        <w:rPr>
          <w:rFonts w:eastAsia="Calibri"/>
          <w:szCs w:val="24"/>
          <w:lang w:eastAsia="pl-PL"/>
        </w:rPr>
      </w:pPr>
      <w:r w:rsidRPr="000B2561">
        <w:rPr>
          <w:rFonts w:eastAsia="Calibri"/>
          <w:szCs w:val="24"/>
          <w:lang w:eastAsia="pl-PL"/>
        </w:rPr>
        <w:t>2020 m. gruod</w:t>
      </w:r>
      <w:r>
        <w:rPr>
          <w:rFonts w:eastAsia="Calibri"/>
          <w:szCs w:val="24"/>
          <w:lang w:eastAsia="pl-PL"/>
        </w:rPr>
        <w:t>į</w:t>
      </w:r>
      <w:r w:rsidRPr="000B2561">
        <w:rPr>
          <w:rFonts w:eastAsia="Calibri"/>
          <w:szCs w:val="24"/>
          <w:lang w:eastAsia="pl-PL"/>
        </w:rPr>
        <w:t xml:space="preserve"> </w:t>
      </w:r>
      <w:r w:rsidRPr="00BC0A61">
        <w:rPr>
          <w:rFonts w:eastAsia="Calibri"/>
          <w:szCs w:val="24"/>
          <w:lang w:eastAsia="pl-PL"/>
        </w:rPr>
        <w:t xml:space="preserve">LITGRID </w:t>
      </w:r>
      <w:r w:rsidRPr="000B2561">
        <w:rPr>
          <w:rFonts w:eastAsia="Calibri"/>
          <w:szCs w:val="24"/>
          <w:lang w:eastAsia="pl-PL"/>
        </w:rPr>
        <w:t xml:space="preserve">užbaigė 330 </w:t>
      </w:r>
      <w:proofErr w:type="spellStart"/>
      <w:r w:rsidRPr="000B2561">
        <w:rPr>
          <w:rFonts w:eastAsia="Calibri"/>
          <w:szCs w:val="24"/>
          <w:lang w:eastAsia="pl-PL"/>
        </w:rPr>
        <w:t>kV</w:t>
      </w:r>
      <w:proofErr w:type="spellEnd"/>
      <w:r w:rsidRPr="000B2561">
        <w:rPr>
          <w:rFonts w:eastAsia="Calibri"/>
          <w:szCs w:val="24"/>
          <w:lang w:eastAsia="pl-PL"/>
        </w:rPr>
        <w:t xml:space="preserve"> elektros perdavimo linijos Lietuvos elektrinė–Vilnius rekonstrukciją. Tai jau trečias įgyvendintas strateginis projektas, būtinas Lietuvos elektros sistemos sinchronizacijai su kontinentinės Europos tinklais. Rekonstruota linija reikšmingai sustiprino Vilniaus regiono elektros tinklo patikimumą.</w:t>
      </w:r>
    </w:p>
    <w:p w14:paraId="59C49869" w14:textId="77777777" w:rsidR="008B10FF" w:rsidRDefault="008B10FF" w:rsidP="00E660EB">
      <w:pPr>
        <w:shd w:val="clear" w:color="auto" w:fill="FFFFFF"/>
        <w:spacing w:line="250" w:lineRule="auto"/>
        <w:ind w:firstLine="709"/>
        <w:jc w:val="both"/>
        <w:rPr>
          <w:szCs w:val="24"/>
        </w:rPr>
      </w:pPr>
      <w:r>
        <w:rPr>
          <w:i/>
          <w:iCs/>
          <w:szCs w:val="24"/>
        </w:rPr>
        <w:t>E</w:t>
      </w:r>
      <w:r w:rsidRPr="001F6C12">
        <w:rPr>
          <w:i/>
          <w:iCs/>
          <w:szCs w:val="24"/>
        </w:rPr>
        <w:t>nergijos išteklių diversifikacij</w:t>
      </w:r>
      <w:r>
        <w:rPr>
          <w:i/>
          <w:iCs/>
          <w:szCs w:val="24"/>
        </w:rPr>
        <w:t>os</w:t>
      </w:r>
      <w:r w:rsidRPr="001F6C12">
        <w:rPr>
          <w:i/>
          <w:iCs/>
          <w:szCs w:val="24"/>
        </w:rPr>
        <w:t xml:space="preserve"> ir konkurencij</w:t>
      </w:r>
      <w:r>
        <w:rPr>
          <w:i/>
          <w:iCs/>
          <w:szCs w:val="24"/>
        </w:rPr>
        <w:t>os sąlygos</w:t>
      </w:r>
      <w:r>
        <w:rPr>
          <w:iCs/>
          <w:szCs w:val="24"/>
        </w:rPr>
        <w:t xml:space="preserve">. </w:t>
      </w:r>
      <w:r w:rsidRPr="00BC0A61">
        <w:rPr>
          <w:iCs/>
          <w:szCs w:val="24"/>
        </w:rPr>
        <w:t xml:space="preserve">Lietuvoje esanti gamtinių dujų infrastruktūra leidžia maksimaliu pajėgumu </w:t>
      </w:r>
      <w:r>
        <w:rPr>
          <w:iCs/>
          <w:szCs w:val="24"/>
        </w:rPr>
        <w:t>pa</w:t>
      </w:r>
      <w:r w:rsidRPr="00BC0A61">
        <w:rPr>
          <w:iCs/>
          <w:szCs w:val="24"/>
        </w:rPr>
        <w:t xml:space="preserve">naudoti </w:t>
      </w:r>
      <w:r>
        <w:rPr>
          <w:szCs w:val="24"/>
        </w:rPr>
        <w:t xml:space="preserve">suskystintųjų gamtinių dujų (SGD) </w:t>
      </w:r>
      <w:r w:rsidRPr="00BC0A61">
        <w:rPr>
          <w:iCs/>
          <w:szCs w:val="24"/>
        </w:rPr>
        <w:t xml:space="preserve">terminalą, taip pat </w:t>
      </w:r>
      <w:r>
        <w:rPr>
          <w:iCs/>
          <w:szCs w:val="24"/>
        </w:rPr>
        <w:t>prireikus</w:t>
      </w:r>
      <w:r w:rsidRPr="00BC0A61">
        <w:rPr>
          <w:iCs/>
          <w:szCs w:val="24"/>
        </w:rPr>
        <w:t xml:space="preserve"> yra galimybė aprūpinti gamtinėmis dujomis ir Latvijos bei Estijos gamtinių dujų vartotojus. 2020 m. pradėjo veikti „</w:t>
      </w:r>
      <w:proofErr w:type="spellStart"/>
      <w:r w:rsidRPr="00BC0A61">
        <w:rPr>
          <w:iCs/>
          <w:szCs w:val="24"/>
        </w:rPr>
        <w:t>Balticconnector</w:t>
      </w:r>
      <w:proofErr w:type="spellEnd"/>
      <w:r w:rsidRPr="00BC0A61">
        <w:rPr>
          <w:iCs/>
          <w:szCs w:val="24"/>
        </w:rPr>
        <w:t xml:space="preserve">“ jungtis, jungianti Baltijos </w:t>
      </w:r>
      <w:r>
        <w:rPr>
          <w:iCs/>
          <w:szCs w:val="24"/>
        </w:rPr>
        <w:t xml:space="preserve">šalių </w:t>
      </w:r>
      <w:r w:rsidRPr="00BC0A61">
        <w:rPr>
          <w:iCs/>
          <w:szCs w:val="24"/>
        </w:rPr>
        <w:t>ir Suomijos dujų rinkas.</w:t>
      </w:r>
      <w:r>
        <w:rPr>
          <w:iCs/>
          <w:szCs w:val="24"/>
        </w:rPr>
        <w:t xml:space="preserve"> P</w:t>
      </w:r>
      <w:r w:rsidRPr="00BC0A61">
        <w:rPr>
          <w:iCs/>
          <w:szCs w:val="24"/>
        </w:rPr>
        <w:t xml:space="preserve">radėtas įgyvendinti </w:t>
      </w:r>
      <w:r>
        <w:rPr>
          <w:iCs/>
          <w:szCs w:val="24"/>
        </w:rPr>
        <w:t>dujotiekių jungties tarp Lenkijos ir Lietuvos (</w:t>
      </w:r>
      <w:r w:rsidRPr="00BC0A61">
        <w:rPr>
          <w:szCs w:val="24"/>
        </w:rPr>
        <w:t>GIPL</w:t>
      </w:r>
      <w:r>
        <w:rPr>
          <w:szCs w:val="24"/>
        </w:rPr>
        <w:t>)</w:t>
      </w:r>
      <w:r w:rsidRPr="00BC0A61">
        <w:rPr>
          <w:szCs w:val="24"/>
        </w:rPr>
        <w:t xml:space="preserve"> projektas, kuris leis turėti dar vieną gamtinių dujų šaltinį ir sujungs Lietuvos gamtinių dujų sistemą su Europos gamtinių dujų sistema, taip galutinai užbaigdamas rytinės Baltijos pakrantės dujų rinkos izoliaciją</w:t>
      </w:r>
      <w:r>
        <w:rPr>
          <w:szCs w:val="24"/>
        </w:rPr>
        <w:t>,</w:t>
      </w:r>
      <w:r w:rsidRPr="00BC0A61">
        <w:rPr>
          <w:szCs w:val="24"/>
        </w:rPr>
        <w:t xml:space="preserve"> </w:t>
      </w:r>
      <w:r>
        <w:rPr>
          <w:szCs w:val="24"/>
        </w:rPr>
        <w:t>ir</w:t>
      </w:r>
      <w:r w:rsidRPr="00BC0A61">
        <w:rPr>
          <w:szCs w:val="24"/>
        </w:rPr>
        <w:t xml:space="preserve"> suteiks naujų galimybių Lietuvai. Projektą planuojama užbaigti 2021 m. pabaigoje. </w:t>
      </w:r>
    </w:p>
    <w:p w14:paraId="6617CC68" w14:textId="647F3078" w:rsidR="008B10FF" w:rsidRDefault="008B10FF" w:rsidP="00E660EB">
      <w:pPr>
        <w:widowControl w:val="0"/>
        <w:shd w:val="clear" w:color="auto" w:fill="FFFFFF"/>
        <w:autoSpaceDE w:val="0"/>
        <w:autoSpaceDN w:val="0"/>
        <w:adjustRightInd w:val="0"/>
        <w:spacing w:line="250" w:lineRule="auto"/>
        <w:ind w:firstLine="709"/>
        <w:jc w:val="both"/>
        <w:rPr>
          <w:bCs/>
          <w:iCs/>
          <w:szCs w:val="24"/>
        </w:rPr>
      </w:pPr>
      <w:r>
        <w:rPr>
          <w:bCs/>
          <w:i/>
          <w:szCs w:val="24"/>
        </w:rPr>
        <w:t>Transportas</w:t>
      </w:r>
      <w:r w:rsidRPr="00B465D3">
        <w:rPr>
          <w:bCs/>
          <w:i/>
          <w:szCs w:val="24"/>
        </w:rPr>
        <w:t>.</w:t>
      </w:r>
      <w:r>
        <w:rPr>
          <w:bCs/>
          <w:iCs/>
          <w:szCs w:val="24"/>
        </w:rPr>
        <w:t xml:space="preserve"> </w:t>
      </w:r>
      <w:r w:rsidR="00CC65B1" w:rsidRPr="00CC65B1">
        <w:rPr>
          <w:bCs/>
          <w:iCs/>
          <w:szCs w:val="24"/>
        </w:rPr>
        <w:t>Lietuvai „</w:t>
      </w:r>
      <w:proofErr w:type="spellStart"/>
      <w:r w:rsidR="00CC65B1" w:rsidRPr="00CC65B1">
        <w:rPr>
          <w:bCs/>
          <w:iCs/>
          <w:szCs w:val="24"/>
        </w:rPr>
        <w:t>Rail</w:t>
      </w:r>
      <w:proofErr w:type="spellEnd"/>
      <w:r w:rsidR="00CC65B1" w:rsidRPr="00CC65B1">
        <w:rPr>
          <w:bCs/>
          <w:iCs/>
          <w:szCs w:val="24"/>
        </w:rPr>
        <w:t xml:space="preserve"> </w:t>
      </w:r>
      <w:proofErr w:type="spellStart"/>
      <w:r w:rsidR="00CC65B1" w:rsidRPr="00CC65B1">
        <w:rPr>
          <w:bCs/>
          <w:iCs/>
          <w:szCs w:val="24"/>
        </w:rPr>
        <w:t>Baltica</w:t>
      </w:r>
      <w:proofErr w:type="spellEnd"/>
      <w:r w:rsidR="00CC65B1" w:rsidRPr="00CC65B1">
        <w:rPr>
          <w:bCs/>
          <w:iCs/>
          <w:szCs w:val="24"/>
        </w:rPr>
        <w:t>“ geležinkelio linija yra kritiškai svarbi infrastruktūra ir Susisiekimo ministerija skiria ypatingą dėmesį šiam geležinkelių projekto įgyvendinimui. 2021 m. toliau bus dirbama su  infrastruktūros valdymo reguliavimo klausimais infrastruktūros valdytojo funkcijų išpildymui, siekiant užtikrinti „vieno langelio“ nepertraukiamą paslaugų teikimą operatoriams visame „</w:t>
      </w:r>
      <w:proofErr w:type="spellStart"/>
      <w:r w:rsidR="00CC65B1" w:rsidRPr="00CC65B1">
        <w:rPr>
          <w:bCs/>
          <w:iCs/>
          <w:szCs w:val="24"/>
        </w:rPr>
        <w:t>Rail</w:t>
      </w:r>
      <w:proofErr w:type="spellEnd"/>
      <w:r w:rsidR="00CC65B1" w:rsidRPr="00CC65B1">
        <w:rPr>
          <w:bCs/>
          <w:iCs/>
          <w:szCs w:val="24"/>
        </w:rPr>
        <w:t xml:space="preserve"> </w:t>
      </w:r>
      <w:proofErr w:type="spellStart"/>
      <w:r w:rsidR="00CC65B1" w:rsidRPr="00CC65B1">
        <w:rPr>
          <w:bCs/>
          <w:iCs/>
          <w:szCs w:val="24"/>
        </w:rPr>
        <w:t>Baltica</w:t>
      </w:r>
      <w:proofErr w:type="spellEnd"/>
      <w:r w:rsidR="00CC65B1" w:rsidRPr="00CC65B1">
        <w:rPr>
          <w:bCs/>
          <w:iCs/>
          <w:szCs w:val="24"/>
        </w:rPr>
        <w:t xml:space="preserve">“ </w:t>
      </w:r>
      <w:r w:rsidR="00CC65B1" w:rsidRPr="00CC65B1">
        <w:rPr>
          <w:bCs/>
          <w:iCs/>
          <w:szCs w:val="24"/>
        </w:rPr>
        <w:lastRenderedPageBreak/>
        <w:t xml:space="preserve">geležinkelio koridoriuje.  </w:t>
      </w:r>
      <w:r w:rsidRPr="00D20151">
        <w:rPr>
          <w:bCs/>
          <w:iCs/>
          <w:szCs w:val="24"/>
        </w:rPr>
        <w:t xml:space="preserve"> </w:t>
      </w:r>
    </w:p>
    <w:p w14:paraId="3A09B0EF" w14:textId="77777777" w:rsidR="008B10FF" w:rsidRDefault="008B10FF" w:rsidP="00E660EB">
      <w:pPr>
        <w:shd w:val="clear" w:color="auto" w:fill="FFFFFF"/>
        <w:spacing w:line="250" w:lineRule="auto"/>
        <w:ind w:firstLine="709"/>
        <w:jc w:val="both"/>
        <w:rPr>
          <w:bCs/>
          <w:szCs w:val="24"/>
        </w:rPr>
      </w:pPr>
      <w:r w:rsidRPr="00803ABE">
        <w:rPr>
          <w:bCs/>
          <w:szCs w:val="24"/>
        </w:rPr>
        <w:t>2020 m</w:t>
      </w:r>
      <w:r>
        <w:rPr>
          <w:bCs/>
          <w:szCs w:val="24"/>
        </w:rPr>
        <w:t xml:space="preserve">. </w:t>
      </w:r>
      <w:r w:rsidRPr="00803ABE">
        <w:rPr>
          <w:bCs/>
          <w:szCs w:val="24"/>
        </w:rPr>
        <w:t xml:space="preserve">toliau vyko </w:t>
      </w:r>
      <w:r>
        <w:rPr>
          <w:bCs/>
          <w:szCs w:val="24"/>
        </w:rPr>
        <w:t xml:space="preserve">ir </w:t>
      </w:r>
      <w:r w:rsidRPr="00803ABE">
        <w:rPr>
          <w:bCs/>
          <w:szCs w:val="24"/>
        </w:rPr>
        <w:t xml:space="preserve">svarbiausios kelių transporto arterijos Šiaurės–Pietų kryptimi </w:t>
      </w:r>
      <w:r w:rsidRPr="00992AE0">
        <w:rPr>
          <w:bCs/>
          <w:szCs w:val="24"/>
        </w:rPr>
        <w:t xml:space="preserve">„Via </w:t>
      </w:r>
      <w:proofErr w:type="spellStart"/>
      <w:r w:rsidRPr="00992AE0">
        <w:rPr>
          <w:bCs/>
          <w:szCs w:val="24"/>
        </w:rPr>
        <w:t>Baltica</w:t>
      </w:r>
      <w:proofErr w:type="spellEnd"/>
      <w:r w:rsidRPr="00992AE0">
        <w:rPr>
          <w:bCs/>
          <w:szCs w:val="24"/>
        </w:rPr>
        <w:t>“</w:t>
      </w:r>
      <w:r>
        <w:rPr>
          <w:bCs/>
          <w:szCs w:val="24"/>
        </w:rPr>
        <w:t>, kuri svarbi</w:t>
      </w:r>
      <w:r w:rsidRPr="00803ABE">
        <w:rPr>
          <w:bCs/>
          <w:szCs w:val="24"/>
        </w:rPr>
        <w:t xml:space="preserve"> užtikrinant Lietuvos integraciją į ES transporto tinklus, modernizavimo ir platinimo darbai. </w:t>
      </w:r>
      <w:r>
        <w:rPr>
          <w:bCs/>
          <w:szCs w:val="24"/>
        </w:rPr>
        <w:t>„</w:t>
      </w:r>
      <w:r w:rsidRPr="00803ABE">
        <w:rPr>
          <w:bCs/>
          <w:szCs w:val="24"/>
        </w:rPr>
        <w:t xml:space="preserve">Via </w:t>
      </w:r>
      <w:proofErr w:type="spellStart"/>
      <w:r w:rsidRPr="00803ABE">
        <w:rPr>
          <w:bCs/>
          <w:szCs w:val="24"/>
        </w:rPr>
        <w:t>Baltica</w:t>
      </w:r>
      <w:proofErr w:type="spellEnd"/>
      <w:r>
        <w:rPr>
          <w:bCs/>
          <w:szCs w:val="24"/>
        </w:rPr>
        <w:t>“</w:t>
      </w:r>
      <w:r w:rsidRPr="00803ABE">
        <w:rPr>
          <w:bCs/>
          <w:szCs w:val="24"/>
        </w:rPr>
        <w:t xml:space="preserve"> nuo Marijampolės iki Lenkijos sienos atkarpos projektas suskaidytas į 4 etapus</w:t>
      </w:r>
      <w:r>
        <w:rPr>
          <w:bCs/>
          <w:szCs w:val="24"/>
        </w:rPr>
        <w:t>, atsižvelgiant į</w:t>
      </w:r>
      <w:r w:rsidRPr="00803ABE">
        <w:rPr>
          <w:bCs/>
          <w:szCs w:val="24"/>
        </w:rPr>
        <w:t xml:space="preserve"> riziką dėl žemės paėmimo visuomenės poreikiams procedūros trukmės, techninio projekto parengimo, viešųjų pirkimų rangos darbams vykdymo apskundimo galimybės ir termino nukėlimo</w:t>
      </w:r>
      <w:r>
        <w:rPr>
          <w:bCs/>
          <w:szCs w:val="24"/>
        </w:rPr>
        <w:t>,</w:t>
      </w:r>
      <w:r w:rsidRPr="00803ABE">
        <w:rPr>
          <w:bCs/>
          <w:szCs w:val="24"/>
        </w:rPr>
        <w:t xml:space="preserve"> didesnės konkurencijos vykdant statybos darbus. </w:t>
      </w:r>
    </w:p>
    <w:p w14:paraId="20D5A408"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rPr>
      </w:pPr>
      <w:r w:rsidRPr="00A91669">
        <w:rPr>
          <w:rFonts w:ascii="Times New Roman" w:hAnsi="Times New Roman"/>
          <w:b/>
          <w:bCs/>
          <w:color w:val="17365D" w:themeColor="text2" w:themeShade="BF"/>
        </w:rPr>
        <w:t xml:space="preserve">Kibernetinio saugumo stiprinimas </w:t>
      </w:r>
    </w:p>
    <w:p w14:paraId="3F028D44" w14:textId="77777777" w:rsidR="008B10FF" w:rsidRPr="00DF73B0" w:rsidRDefault="008B10FF" w:rsidP="00E660EB">
      <w:pPr>
        <w:spacing w:line="250" w:lineRule="auto"/>
        <w:ind w:firstLine="709"/>
        <w:jc w:val="both"/>
        <w:rPr>
          <w:color w:val="000000"/>
          <w:szCs w:val="24"/>
          <w:shd w:val="clear" w:color="auto" w:fill="FFFFFF"/>
        </w:rPr>
      </w:pPr>
      <w:r w:rsidRPr="009E0E2A">
        <w:rPr>
          <w:szCs w:val="24"/>
        </w:rPr>
        <w:t xml:space="preserve">2020 m. </w:t>
      </w:r>
      <w:r>
        <w:rPr>
          <w:szCs w:val="24"/>
        </w:rPr>
        <w:t xml:space="preserve">dėl pandemijos daugelį veiklos procesų perkėlus į elektroninę erdvę, </w:t>
      </w:r>
      <w:r w:rsidRPr="009E0E2A">
        <w:rPr>
          <w:szCs w:val="24"/>
        </w:rPr>
        <w:t>visuomenės</w:t>
      </w:r>
      <w:r>
        <w:rPr>
          <w:szCs w:val="24"/>
        </w:rPr>
        <w:t>, verslo ir valstybės institucijų ir įstaigų</w:t>
      </w:r>
      <w:r w:rsidRPr="009E0E2A">
        <w:rPr>
          <w:szCs w:val="24"/>
        </w:rPr>
        <w:t xml:space="preserve"> priklausomybė </w:t>
      </w:r>
      <w:r w:rsidRPr="00651AAF">
        <w:rPr>
          <w:szCs w:val="24"/>
        </w:rPr>
        <w:t>nuo informacinių ir ryšių technologijų (</w:t>
      </w:r>
      <w:r w:rsidRPr="00524168">
        <w:rPr>
          <w:szCs w:val="24"/>
        </w:rPr>
        <w:t xml:space="preserve">toliau – </w:t>
      </w:r>
      <w:r w:rsidRPr="00651AAF">
        <w:rPr>
          <w:szCs w:val="24"/>
        </w:rPr>
        <w:t xml:space="preserve">IRT) labai padidėjo ir tai neišvengiamai sukėlė naujų iššūkių ir įtampos kibernetinio saugumo srityje. Nusikaltėliai, piktavaliai, priešiškai nusiteikusios valstybės šią įtampą </w:t>
      </w:r>
      <w:r>
        <w:rPr>
          <w:szCs w:val="24"/>
        </w:rPr>
        <w:t>panaudojo</w:t>
      </w:r>
      <w:r w:rsidRPr="00651AAF">
        <w:rPr>
          <w:szCs w:val="24"/>
        </w:rPr>
        <w:t xml:space="preserve"> savo tiksl</w:t>
      </w:r>
      <w:r>
        <w:rPr>
          <w:szCs w:val="24"/>
        </w:rPr>
        <w:t>ams</w:t>
      </w:r>
      <w:r w:rsidRPr="00651AAF">
        <w:rPr>
          <w:szCs w:val="24"/>
        </w:rPr>
        <w:t xml:space="preserve"> – prisidengdami COVID-19 tema, iš asmenų viliojo pinigus, komercines paslaptis, asmens duomenis, skleidė </w:t>
      </w:r>
      <w:proofErr w:type="spellStart"/>
      <w:r w:rsidRPr="00651AAF">
        <w:rPr>
          <w:szCs w:val="24"/>
        </w:rPr>
        <w:t>melagienas</w:t>
      </w:r>
      <w:proofErr w:type="spellEnd"/>
      <w:r w:rsidRPr="00651AAF">
        <w:rPr>
          <w:szCs w:val="24"/>
        </w:rPr>
        <w:t xml:space="preserve">. Smulkios ir vidutinės įmonės, siekdamos kuo skubiau pertvarkyti savo veiklą, ne visada laikėsi </w:t>
      </w:r>
      <w:r>
        <w:rPr>
          <w:szCs w:val="24"/>
        </w:rPr>
        <w:t>pagrindinių</w:t>
      </w:r>
      <w:r w:rsidRPr="00651AAF">
        <w:rPr>
          <w:szCs w:val="24"/>
        </w:rPr>
        <w:t xml:space="preserve"> kibernetinio saugumo reikalavimų. Ypatingos svarbos informacinės </w:t>
      </w:r>
      <w:r w:rsidRPr="00DF73B0">
        <w:rPr>
          <w:szCs w:val="24"/>
        </w:rPr>
        <w:t>infrastruktūros valdytojams, valstybės informacinių išteklių valdytojams bei tvarkytojams dažnai tik formaliai įgyvendinant Vyriausybės patvirtintus organizacinius ir techninius kibernetinio saugumo reikalavimus, kibernetinio saugumo užtikrinimo problema tik dar labiau išryškėjo.</w:t>
      </w:r>
      <w:r w:rsidRPr="00DF73B0">
        <w:rPr>
          <w:color w:val="000000"/>
          <w:szCs w:val="24"/>
          <w:shd w:val="clear" w:color="auto" w:fill="FFFFFF"/>
        </w:rPr>
        <w:t xml:space="preserve"> </w:t>
      </w:r>
    </w:p>
    <w:p w14:paraId="5FF232AF" w14:textId="77777777" w:rsidR="008B10FF" w:rsidRPr="00DF73B0" w:rsidRDefault="008B10FF" w:rsidP="00E660EB">
      <w:pPr>
        <w:spacing w:line="250" w:lineRule="auto"/>
        <w:ind w:firstLine="709"/>
        <w:jc w:val="both"/>
        <w:rPr>
          <w:szCs w:val="24"/>
        </w:rPr>
      </w:pPr>
      <w:r w:rsidRPr="00DF73B0">
        <w:rPr>
          <w:szCs w:val="24"/>
        </w:rPr>
        <w:t xml:space="preserve">Nacionalinis kibernetinio saugumo centras (toliau – NKSC) </w:t>
      </w:r>
      <w:r w:rsidRPr="00DF73B0">
        <w:rPr>
          <w:color w:val="000000"/>
          <w:szCs w:val="24"/>
          <w:shd w:val="clear" w:color="auto" w:fill="FFFFFF"/>
        </w:rPr>
        <w:t>2020 m. suvaldė 4 330 kibernetinių incidentų.</w:t>
      </w:r>
      <w:r w:rsidRPr="00DF73B0">
        <w:rPr>
          <w:szCs w:val="24"/>
        </w:rPr>
        <w:t xml:space="preserve"> </w:t>
      </w:r>
      <w:r w:rsidRPr="00DF73B0">
        <w:rPr>
          <w:color w:val="000000"/>
          <w:szCs w:val="24"/>
          <w:shd w:val="clear" w:color="auto" w:fill="FFFFFF"/>
        </w:rPr>
        <w:t xml:space="preserve">Bendras rankiniu būdu apdorotas kibernetinių incidentų skaičius padidėjo 25 proc., </w:t>
      </w:r>
      <w:r>
        <w:rPr>
          <w:color w:val="000000"/>
          <w:szCs w:val="24"/>
          <w:shd w:val="clear" w:color="auto" w:fill="FFFFFF"/>
        </w:rPr>
        <w:t>palyginti</w:t>
      </w:r>
      <w:r w:rsidRPr="00DF73B0">
        <w:rPr>
          <w:color w:val="000000"/>
          <w:szCs w:val="24"/>
          <w:shd w:val="clear" w:color="auto" w:fill="FFFFFF"/>
        </w:rPr>
        <w:t xml:space="preserve"> su 2019 m. </w:t>
      </w:r>
      <w:r w:rsidRPr="00DF73B0">
        <w:rPr>
          <w:szCs w:val="24"/>
        </w:rPr>
        <w:t>Nors NKSC, vertindamas kibernetinio saugumo situaciją Lietuvoje, tiesiogiai nesieja 2020 m. fiksuoto didesnio kibernetinių incidentų</w:t>
      </w:r>
      <w:r w:rsidRPr="000B1BC1">
        <w:rPr>
          <w:szCs w:val="24"/>
        </w:rPr>
        <w:t xml:space="preserve"> </w:t>
      </w:r>
      <w:r w:rsidRPr="00DF73B0">
        <w:rPr>
          <w:szCs w:val="24"/>
        </w:rPr>
        <w:t xml:space="preserve">skaičiaus su COVID-19 sukelta krize, tačiau piktavaliai puikiai </w:t>
      </w:r>
      <w:r>
        <w:rPr>
          <w:szCs w:val="24"/>
        </w:rPr>
        <w:t>pasi</w:t>
      </w:r>
      <w:r w:rsidRPr="00DF73B0">
        <w:rPr>
          <w:szCs w:val="24"/>
        </w:rPr>
        <w:t>naudojo pasikeitusi</w:t>
      </w:r>
      <w:r>
        <w:rPr>
          <w:szCs w:val="24"/>
        </w:rPr>
        <w:t>ai</w:t>
      </w:r>
      <w:r w:rsidRPr="00DF73B0">
        <w:rPr>
          <w:szCs w:val="24"/>
        </w:rPr>
        <w:t>s visuomeninio gyvenimo pokyči</w:t>
      </w:r>
      <w:r>
        <w:rPr>
          <w:szCs w:val="24"/>
        </w:rPr>
        <w:t>ai</w:t>
      </w:r>
      <w:r w:rsidRPr="00DF73B0">
        <w:rPr>
          <w:szCs w:val="24"/>
        </w:rPr>
        <w:t>s įvairiems atakos vektoriams sukurti ir sparčiau skleisti.</w:t>
      </w:r>
    </w:p>
    <w:p w14:paraId="698F3A44" w14:textId="77777777" w:rsidR="008B10FF" w:rsidRPr="00DF73B0" w:rsidRDefault="008B10FF" w:rsidP="00E660EB">
      <w:pPr>
        <w:spacing w:line="250" w:lineRule="auto"/>
        <w:ind w:firstLine="709"/>
        <w:jc w:val="both"/>
        <w:rPr>
          <w:szCs w:val="24"/>
        </w:rPr>
      </w:pPr>
      <w:r w:rsidRPr="00DF73B0">
        <w:rPr>
          <w:szCs w:val="24"/>
        </w:rPr>
        <w:t xml:space="preserve">Nepaisant Lietuvą ir pasaulį ištikusios pandemijos ir jos sukeltos krizės, 2020 m. kibernetinis saugumas Lietuvoje buvo toliau stiprinamas, įgyvendinant </w:t>
      </w:r>
      <w:r>
        <w:rPr>
          <w:szCs w:val="24"/>
        </w:rPr>
        <w:t>K</w:t>
      </w:r>
      <w:r w:rsidRPr="00DF73B0">
        <w:rPr>
          <w:szCs w:val="24"/>
        </w:rPr>
        <w:t>ibernetinio saugumo įstatymą</w:t>
      </w:r>
      <w:r>
        <w:rPr>
          <w:szCs w:val="24"/>
        </w:rPr>
        <w:t xml:space="preserve"> ir</w:t>
      </w:r>
      <w:r w:rsidRPr="00DF73B0">
        <w:rPr>
          <w:szCs w:val="24"/>
        </w:rPr>
        <w:t xml:space="preserve"> kitus teisės aktus bei vykdant įvairias iniciatyvas kibernetinio saugumo srityje. </w:t>
      </w:r>
    </w:p>
    <w:p w14:paraId="36BB229D" w14:textId="77777777" w:rsidR="008B10FF" w:rsidRDefault="008B10FF" w:rsidP="00E660EB">
      <w:pPr>
        <w:spacing w:line="250" w:lineRule="auto"/>
        <w:ind w:firstLine="709"/>
        <w:jc w:val="both"/>
        <w:rPr>
          <w:szCs w:val="24"/>
        </w:rPr>
      </w:pPr>
      <w:r w:rsidRPr="006B798F">
        <w:rPr>
          <w:szCs w:val="24"/>
        </w:rPr>
        <w:t>2020 m. kov</w:t>
      </w:r>
      <w:r>
        <w:rPr>
          <w:szCs w:val="24"/>
        </w:rPr>
        <w:t>ą</w:t>
      </w:r>
      <w:r w:rsidRPr="006B798F">
        <w:rPr>
          <w:szCs w:val="24"/>
        </w:rPr>
        <w:t xml:space="preserve"> parengtas ir patvirtintas Kibernetinio pajėgumo planas, kuriuo remiantis bus  stiprinami </w:t>
      </w:r>
      <w:r>
        <w:rPr>
          <w:szCs w:val="24"/>
        </w:rPr>
        <w:t>krašto apsaugos sistemos</w:t>
      </w:r>
      <w:r w:rsidRPr="006B798F">
        <w:rPr>
          <w:szCs w:val="24"/>
        </w:rPr>
        <w:t xml:space="preserve"> institucijų ir įstaigų</w:t>
      </w:r>
      <w:r>
        <w:rPr>
          <w:szCs w:val="24"/>
        </w:rPr>
        <w:t>,</w:t>
      </w:r>
      <w:r w:rsidRPr="006B798F">
        <w:rPr>
          <w:szCs w:val="24"/>
        </w:rPr>
        <w:t xml:space="preserve"> veikiančių kibernetinio saugumo srityje</w:t>
      </w:r>
      <w:r>
        <w:rPr>
          <w:szCs w:val="24"/>
        </w:rPr>
        <w:t>,</w:t>
      </w:r>
      <w:r w:rsidRPr="006B798F">
        <w:rPr>
          <w:szCs w:val="24"/>
        </w:rPr>
        <w:t xml:space="preserve"> kibernetinio saugumo pajėgumai.</w:t>
      </w:r>
      <w:r w:rsidRPr="003C6ED2">
        <w:rPr>
          <w:szCs w:val="24"/>
        </w:rPr>
        <w:t xml:space="preserve"> </w:t>
      </w:r>
    </w:p>
    <w:p w14:paraId="442BA7B1" w14:textId="77777777" w:rsidR="008B10FF" w:rsidRDefault="008B10FF" w:rsidP="00E660EB">
      <w:pPr>
        <w:spacing w:line="250" w:lineRule="auto"/>
        <w:ind w:firstLine="709"/>
        <w:jc w:val="both"/>
        <w:rPr>
          <w:szCs w:val="24"/>
        </w:rPr>
      </w:pPr>
      <w:r w:rsidRPr="003C6ED2">
        <w:rPr>
          <w:bCs/>
          <w:szCs w:val="24"/>
        </w:rPr>
        <w:t>2020 m. rugsėj</w:t>
      </w:r>
      <w:r>
        <w:rPr>
          <w:bCs/>
          <w:szCs w:val="24"/>
        </w:rPr>
        <w:t>į</w:t>
      </w:r>
      <w:r w:rsidRPr="003C6ED2">
        <w:rPr>
          <w:bCs/>
          <w:szCs w:val="24"/>
        </w:rPr>
        <w:t xml:space="preserve"> parengti </w:t>
      </w:r>
      <w:r>
        <w:rPr>
          <w:bCs/>
          <w:szCs w:val="24"/>
        </w:rPr>
        <w:t>K</w:t>
      </w:r>
      <w:r w:rsidRPr="003C6ED2">
        <w:rPr>
          <w:bCs/>
          <w:szCs w:val="24"/>
        </w:rPr>
        <w:t xml:space="preserve">ibernetinio saugumo įstatymo ir </w:t>
      </w:r>
      <w:r>
        <w:rPr>
          <w:bCs/>
          <w:szCs w:val="24"/>
        </w:rPr>
        <w:t>A</w:t>
      </w:r>
      <w:r w:rsidRPr="003C6ED2">
        <w:rPr>
          <w:bCs/>
          <w:szCs w:val="24"/>
        </w:rPr>
        <w:t xml:space="preserve">dministracinių nusižengimų kodekso pakeitimo įstatymo projektai, numatantys Lietuvos rinkos subjektams galimybę </w:t>
      </w:r>
      <w:r>
        <w:rPr>
          <w:szCs w:val="24"/>
        </w:rPr>
        <w:t>informacinių ir ryšių technologijų</w:t>
      </w:r>
      <w:r w:rsidRPr="00433DA4">
        <w:rPr>
          <w:bCs/>
          <w:szCs w:val="24"/>
        </w:rPr>
        <w:t xml:space="preserve"> produktus, procesus ir paslaugas sertifikuoti </w:t>
      </w:r>
      <w:r w:rsidRPr="003C6ED2">
        <w:rPr>
          <w:bCs/>
          <w:szCs w:val="24"/>
        </w:rPr>
        <w:t xml:space="preserve">pagal Europos kibernetinio saugumo sertifikavimo schemas ir </w:t>
      </w:r>
      <w:r>
        <w:rPr>
          <w:bCs/>
          <w:szCs w:val="24"/>
        </w:rPr>
        <w:t xml:space="preserve">įteisinantys </w:t>
      </w:r>
      <w:r w:rsidRPr="003C6ED2">
        <w:rPr>
          <w:bCs/>
          <w:szCs w:val="24"/>
        </w:rPr>
        <w:t>atsakingo ryšių ir informacinių sistemų p</w:t>
      </w:r>
      <w:r>
        <w:rPr>
          <w:bCs/>
          <w:szCs w:val="24"/>
        </w:rPr>
        <w:t>ažeidžiamumų atskleidimo modelį</w:t>
      </w:r>
      <w:r w:rsidRPr="007742D5">
        <w:rPr>
          <w:bCs/>
          <w:szCs w:val="24"/>
        </w:rPr>
        <w:t xml:space="preserve"> </w:t>
      </w:r>
      <w:r w:rsidRPr="00433DA4">
        <w:rPr>
          <w:bCs/>
          <w:szCs w:val="24"/>
        </w:rPr>
        <w:t>Lietuvos teisinėje sistemoje</w:t>
      </w:r>
      <w:r w:rsidRPr="003C6ED2">
        <w:rPr>
          <w:bCs/>
          <w:szCs w:val="24"/>
        </w:rPr>
        <w:t xml:space="preserve">. </w:t>
      </w:r>
    </w:p>
    <w:p w14:paraId="59CD1627" w14:textId="77777777" w:rsidR="008B10FF" w:rsidRDefault="008B10FF" w:rsidP="00E660EB">
      <w:pPr>
        <w:spacing w:line="250" w:lineRule="auto"/>
        <w:ind w:firstLine="709"/>
        <w:jc w:val="both"/>
        <w:rPr>
          <w:szCs w:val="24"/>
        </w:rPr>
      </w:pPr>
      <w:r>
        <w:rPr>
          <w:szCs w:val="24"/>
        </w:rPr>
        <w:t>Siekiant didinti</w:t>
      </w:r>
      <w:r w:rsidRPr="00F851B0">
        <w:rPr>
          <w:szCs w:val="24"/>
        </w:rPr>
        <w:t xml:space="preserve"> penktosios kartos judriojo ryšio (5G) </w:t>
      </w:r>
      <w:r>
        <w:rPr>
          <w:szCs w:val="24"/>
        </w:rPr>
        <w:t xml:space="preserve">saugumą, </w:t>
      </w:r>
      <w:r w:rsidRPr="00F851B0">
        <w:rPr>
          <w:szCs w:val="24"/>
        </w:rPr>
        <w:t>2020 m. birželio 30 d.</w:t>
      </w:r>
      <w:r>
        <w:rPr>
          <w:szCs w:val="24"/>
        </w:rPr>
        <w:t xml:space="preserve"> </w:t>
      </w:r>
      <w:r w:rsidRPr="00F851B0">
        <w:rPr>
          <w:szCs w:val="24"/>
        </w:rPr>
        <w:t xml:space="preserve">priimtas </w:t>
      </w:r>
      <w:r>
        <w:rPr>
          <w:szCs w:val="24"/>
        </w:rPr>
        <w:t>N</w:t>
      </w:r>
      <w:r w:rsidRPr="00F851B0">
        <w:rPr>
          <w:szCs w:val="24"/>
        </w:rPr>
        <w:t>acionaliniam saugumui užtikrinti svarbių objektų apsaugos įstatymo pakeitimo ir papildymo įstatymas</w:t>
      </w:r>
      <w:r>
        <w:rPr>
          <w:szCs w:val="24"/>
        </w:rPr>
        <w:t>, kuriuo</w:t>
      </w:r>
      <w:r w:rsidRPr="00F851B0">
        <w:rPr>
          <w:szCs w:val="24"/>
        </w:rPr>
        <w:t xml:space="preserve"> </w:t>
      </w:r>
      <w:r>
        <w:rPr>
          <w:szCs w:val="24"/>
        </w:rPr>
        <w:t xml:space="preserve">įmonės, teikiančios 5G ryšio </w:t>
      </w:r>
      <w:r w:rsidRPr="00F851B0">
        <w:rPr>
          <w:szCs w:val="24"/>
        </w:rPr>
        <w:t>paslaugas ar valdančios šioms paslaugoms teikti reikalingą infrastruktūrą, K</w:t>
      </w:r>
      <w:r>
        <w:rPr>
          <w:szCs w:val="24"/>
        </w:rPr>
        <w:t xml:space="preserve">rašto apsaugos ministerijos </w:t>
      </w:r>
      <w:r w:rsidRPr="00F851B0">
        <w:rPr>
          <w:szCs w:val="24"/>
        </w:rPr>
        <w:t>siūlymu nuo 2020 m. spalio</w:t>
      </w:r>
      <w:r w:rsidRPr="00F851B0">
        <w:rPr>
          <w:i/>
          <w:szCs w:val="24"/>
        </w:rPr>
        <w:t xml:space="preserve"> </w:t>
      </w:r>
      <w:r w:rsidRPr="00F851B0">
        <w:rPr>
          <w:szCs w:val="24"/>
        </w:rPr>
        <w:t xml:space="preserve">įtrauktos į nacionaliniam saugumui užtikrinti svarbių įmonių sąrašą. </w:t>
      </w:r>
      <w:r>
        <w:rPr>
          <w:szCs w:val="24"/>
        </w:rPr>
        <w:t>T</w:t>
      </w:r>
      <w:r w:rsidRPr="007C79A9">
        <w:rPr>
          <w:szCs w:val="24"/>
        </w:rPr>
        <w:t>okios 5G įmonės savo veikloje privalo įgyvendinti papildomas saugumo priemones (</w:t>
      </w:r>
      <w:r>
        <w:rPr>
          <w:szCs w:val="24"/>
        </w:rPr>
        <w:t>taip pat</w:t>
      </w:r>
      <w:r w:rsidRPr="007C79A9">
        <w:rPr>
          <w:szCs w:val="24"/>
        </w:rPr>
        <w:t xml:space="preserve"> ir kibernetinio saugumo)</w:t>
      </w:r>
      <w:r>
        <w:rPr>
          <w:szCs w:val="24"/>
        </w:rPr>
        <w:t>, o</w:t>
      </w:r>
      <w:r w:rsidRPr="007C79A9">
        <w:rPr>
          <w:szCs w:val="24"/>
        </w:rPr>
        <w:t xml:space="preserve"> savo veiklą organizuoti ir vykdyti taip, kad nekiltų grėsmė nacionalinio saugumo interesams.</w:t>
      </w:r>
    </w:p>
    <w:p w14:paraId="2BD7C2BE" w14:textId="77777777" w:rsidR="008B10FF" w:rsidRDefault="008B10FF" w:rsidP="00E660EB">
      <w:pPr>
        <w:spacing w:line="250" w:lineRule="auto"/>
        <w:ind w:firstLine="709"/>
        <w:jc w:val="both"/>
        <w:rPr>
          <w:b/>
          <w:szCs w:val="24"/>
        </w:rPr>
      </w:pPr>
      <w:r w:rsidRPr="00022584">
        <w:rPr>
          <w:szCs w:val="24"/>
        </w:rPr>
        <w:t>2020 m. saus</w:t>
      </w:r>
      <w:r>
        <w:rPr>
          <w:szCs w:val="24"/>
        </w:rPr>
        <w:t>į</w:t>
      </w:r>
      <w:r w:rsidRPr="00022584">
        <w:rPr>
          <w:szCs w:val="24"/>
        </w:rPr>
        <w:t xml:space="preserve"> </w:t>
      </w:r>
      <w:r>
        <w:rPr>
          <w:szCs w:val="24"/>
        </w:rPr>
        <w:t>NKSC</w:t>
      </w:r>
      <w:r w:rsidRPr="00022584">
        <w:rPr>
          <w:szCs w:val="24"/>
        </w:rPr>
        <w:t xml:space="preserve"> pradėjo veikti karinis saugum</w:t>
      </w:r>
      <w:r>
        <w:rPr>
          <w:szCs w:val="24"/>
        </w:rPr>
        <w:t xml:space="preserve">o operacijų centras (toliau – </w:t>
      </w:r>
      <w:proofErr w:type="spellStart"/>
      <w:r>
        <w:rPr>
          <w:szCs w:val="24"/>
        </w:rPr>
        <w:t>MilCERT</w:t>
      </w:r>
      <w:proofErr w:type="spellEnd"/>
      <w:r>
        <w:rPr>
          <w:szCs w:val="24"/>
        </w:rPr>
        <w:t xml:space="preserve">). </w:t>
      </w:r>
      <w:proofErr w:type="spellStart"/>
      <w:r w:rsidRPr="00022584">
        <w:rPr>
          <w:szCs w:val="24"/>
        </w:rPr>
        <w:t>MilCERT</w:t>
      </w:r>
      <w:proofErr w:type="spellEnd"/>
      <w:r w:rsidRPr="00022584">
        <w:rPr>
          <w:szCs w:val="24"/>
        </w:rPr>
        <w:t xml:space="preserve"> užtikrina </w:t>
      </w:r>
      <w:r>
        <w:rPr>
          <w:szCs w:val="24"/>
        </w:rPr>
        <w:t xml:space="preserve">krašto apsaugos sistemos </w:t>
      </w:r>
      <w:r w:rsidRPr="00022584">
        <w:rPr>
          <w:szCs w:val="24"/>
        </w:rPr>
        <w:t xml:space="preserve">informacinių sistemų kibernetinį saugumą. </w:t>
      </w:r>
      <w:r w:rsidRPr="00FF3686">
        <w:rPr>
          <w:szCs w:val="24"/>
        </w:rPr>
        <w:t xml:space="preserve">Planuojama, kad </w:t>
      </w:r>
      <w:r>
        <w:rPr>
          <w:szCs w:val="24"/>
        </w:rPr>
        <w:t>visą</w:t>
      </w:r>
      <w:r w:rsidRPr="00FF3686">
        <w:rPr>
          <w:szCs w:val="24"/>
        </w:rPr>
        <w:t xml:space="preserve"> pajėgumą </w:t>
      </w:r>
      <w:proofErr w:type="spellStart"/>
      <w:r w:rsidRPr="00FF3686">
        <w:rPr>
          <w:szCs w:val="24"/>
        </w:rPr>
        <w:t>MilCERT</w:t>
      </w:r>
      <w:proofErr w:type="spellEnd"/>
      <w:r w:rsidRPr="00FF3686">
        <w:rPr>
          <w:szCs w:val="24"/>
        </w:rPr>
        <w:t xml:space="preserve"> pasieks po kel</w:t>
      </w:r>
      <w:r>
        <w:rPr>
          <w:szCs w:val="24"/>
        </w:rPr>
        <w:t>erių</w:t>
      </w:r>
      <w:r w:rsidRPr="00FF3686">
        <w:rPr>
          <w:szCs w:val="24"/>
        </w:rPr>
        <w:t xml:space="preserve"> metų, k</w:t>
      </w:r>
      <w:r>
        <w:rPr>
          <w:szCs w:val="24"/>
        </w:rPr>
        <w:t>ai</w:t>
      </w:r>
      <w:r w:rsidRPr="00FF3686">
        <w:rPr>
          <w:szCs w:val="24"/>
        </w:rPr>
        <w:t xml:space="preserve"> bus p</w:t>
      </w:r>
      <w:r>
        <w:rPr>
          <w:szCs w:val="24"/>
        </w:rPr>
        <w:t>arengta</w:t>
      </w:r>
      <w:r w:rsidRPr="00FF3686">
        <w:rPr>
          <w:szCs w:val="24"/>
        </w:rPr>
        <w:t xml:space="preserve"> pakankamai personalo</w:t>
      </w:r>
      <w:r>
        <w:rPr>
          <w:szCs w:val="24"/>
        </w:rPr>
        <w:t xml:space="preserve"> </w:t>
      </w:r>
      <w:r w:rsidRPr="00FF3686">
        <w:rPr>
          <w:szCs w:val="24"/>
        </w:rPr>
        <w:t xml:space="preserve"> nenutrūkstam</w:t>
      </w:r>
      <w:r>
        <w:rPr>
          <w:szCs w:val="24"/>
        </w:rPr>
        <w:t>am</w:t>
      </w:r>
      <w:r w:rsidRPr="00FF3686">
        <w:rPr>
          <w:szCs w:val="24"/>
        </w:rPr>
        <w:t xml:space="preserve"> </w:t>
      </w:r>
      <w:r>
        <w:rPr>
          <w:szCs w:val="24"/>
        </w:rPr>
        <w:t>krašto apsaugos sistemos</w:t>
      </w:r>
      <w:r w:rsidRPr="00FF3686">
        <w:rPr>
          <w:szCs w:val="24"/>
        </w:rPr>
        <w:t xml:space="preserve"> informacinių sistemų stebėjim</w:t>
      </w:r>
      <w:r>
        <w:rPr>
          <w:szCs w:val="24"/>
        </w:rPr>
        <w:t>ui</w:t>
      </w:r>
      <w:r w:rsidRPr="00FF3686">
        <w:rPr>
          <w:szCs w:val="24"/>
        </w:rPr>
        <w:t xml:space="preserve"> ir gynyb</w:t>
      </w:r>
      <w:r>
        <w:rPr>
          <w:szCs w:val="24"/>
        </w:rPr>
        <w:t>ai organizuoti</w:t>
      </w:r>
      <w:r w:rsidRPr="00FF3686">
        <w:rPr>
          <w:szCs w:val="24"/>
        </w:rPr>
        <w:t>.</w:t>
      </w:r>
    </w:p>
    <w:p w14:paraId="0F56AE12" w14:textId="77777777" w:rsidR="008B10FF" w:rsidRPr="00F851B0" w:rsidRDefault="008B10FF" w:rsidP="00E660EB">
      <w:pPr>
        <w:spacing w:line="250" w:lineRule="auto"/>
        <w:ind w:firstLine="709"/>
        <w:jc w:val="both"/>
        <w:rPr>
          <w:szCs w:val="24"/>
        </w:rPr>
      </w:pPr>
      <w:r w:rsidRPr="00022584">
        <w:rPr>
          <w:szCs w:val="24"/>
        </w:rPr>
        <w:t xml:space="preserve">2020 m. buvo </w:t>
      </w:r>
      <w:r>
        <w:rPr>
          <w:szCs w:val="24"/>
        </w:rPr>
        <w:t xml:space="preserve">tęsiamas ES </w:t>
      </w:r>
      <w:r w:rsidRPr="00022584">
        <w:rPr>
          <w:szCs w:val="24"/>
        </w:rPr>
        <w:t>Nuolatinio struktūrizuoto bendradarbiavimo projekt</w:t>
      </w:r>
      <w:r>
        <w:rPr>
          <w:szCs w:val="24"/>
        </w:rPr>
        <w:t>as</w:t>
      </w:r>
      <w:r w:rsidRPr="00022584">
        <w:rPr>
          <w:szCs w:val="24"/>
        </w:rPr>
        <w:t xml:space="preserve"> „Kibernetinės greitojo reagavimo pajėgos ir tarpusavio pagalba kibernetinio saugumo srityje“</w:t>
      </w:r>
      <w:r>
        <w:rPr>
          <w:szCs w:val="24"/>
        </w:rPr>
        <w:t xml:space="preserve"> ir pasiektas</w:t>
      </w:r>
      <w:r w:rsidRPr="00022584">
        <w:rPr>
          <w:szCs w:val="24"/>
        </w:rPr>
        <w:t xml:space="preserve"> pajėgų pradinis op</w:t>
      </w:r>
      <w:r>
        <w:rPr>
          <w:szCs w:val="24"/>
        </w:rPr>
        <w:t xml:space="preserve">eracinis pajėgumas (angl. </w:t>
      </w:r>
      <w:proofErr w:type="spellStart"/>
      <w:r w:rsidRPr="00B62057">
        <w:rPr>
          <w:i/>
          <w:szCs w:val="24"/>
        </w:rPr>
        <w:t>Initial</w:t>
      </w:r>
      <w:proofErr w:type="spellEnd"/>
      <w:r w:rsidRPr="00B62057">
        <w:rPr>
          <w:i/>
          <w:szCs w:val="24"/>
        </w:rPr>
        <w:t xml:space="preserve"> </w:t>
      </w:r>
      <w:proofErr w:type="spellStart"/>
      <w:r w:rsidRPr="00B62057">
        <w:rPr>
          <w:i/>
          <w:szCs w:val="24"/>
        </w:rPr>
        <w:t>Operational</w:t>
      </w:r>
      <w:proofErr w:type="spellEnd"/>
      <w:r w:rsidRPr="00B62057">
        <w:rPr>
          <w:i/>
          <w:szCs w:val="24"/>
        </w:rPr>
        <w:t xml:space="preserve"> </w:t>
      </w:r>
      <w:proofErr w:type="spellStart"/>
      <w:r w:rsidRPr="00B62057">
        <w:rPr>
          <w:i/>
          <w:szCs w:val="24"/>
        </w:rPr>
        <w:t>Capability</w:t>
      </w:r>
      <w:proofErr w:type="spellEnd"/>
      <w:r w:rsidRPr="00022584">
        <w:rPr>
          <w:szCs w:val="24"/>
        </w:rPr>
        <w:t>).</w:t>
      </w:r>
      <w:r w:rsidRPr="00B62057">
        <w:rPr>
          <w:szCs w:val="24"/>
        </w:rPr>
        <w:t xml:space="preserve"> </w:t>
      </w:r>
      <w:r w:rsidRPr="00CB73C1">
        <w:rPr>
          <w:szCs w:val="24"/>
        </w:rPr>
        <w:t xml:space="preserve">2020 m. </w:t>
      </w:r>
      <w:r>
        <w:rPr>
          <w:szCs w:val="24"/>
        </w:rPr>
        <w:t xml:space="preserve">budinčių </w:t>
      </w:r>
      <w:r w:rsidRPr="00CB73C1">
        <w:rPr>
          <w:szCs w:val="24"/>
        </w:rPr>
        <w:t>pajėgų rotacijai vadovavo Lietuva</w:t>
      </w:r>
      <w:r>
        <w:rPr>
          <w:szCs w:val="24"/>
        </w:rPr>
        <w:t xml:space="preserve">, jas </w:t>
      </w:r>
      <w:r w:rsidRPr="00CB73C1">
        <w:rPr>
          <w:szCs w:val="24"/>
        </w:rPr>
        <w:t xml:space="preserve">sudarė kibernetinio saugumo specialistai iš Lietuvos, Lenkijos, Nyderlandų ir Rumunijos. Šios pajėgos 2020 m. nuotoliniu būdu dalyvavo dvejose kibernetinio saugumo pratybose. Pajėgų kibernetiniai </w:t>
      </w:r>
      <w:r w:rsidRPr="00CB73C1">
        <w:rPr>
          <w:szCs w:val="24"/>
        </w:rPr>
        <w:lastRenderedPageBreak/>
        <w:t>gebėjimai ir veikimo procedūros 2020 m. buvo išbandyt</w:t>
      </w:r>
      <w:r>
        <w:rPr>
          <w:szCs w:val="24"/>
        </w:rPr>
        <w:t>i</w:t>
      </w:r>
      <w:r w:rsidRPr="00CB73C1">
        <w:rPr>
          <w:szCs w:val="24"/>
        </w:rPr>
        <w:t xml:space="preserve"> pakviečiant pajėgas atlikti kibernetinio saugumo pažeidžiamumo vertinimą Lietuvos Respublikos vyriausiosios rinkimų komisijos interneto svetainės</w:t>
      </w:r>
      <w:r>
        <w:rPr>
          <w:szCs w:val="24"/>
        </w:rPr>
        <w:t>e</w:t>
      </w:r>
      <w:r w:rsidRPr="00CB73C1">
        <w:rPr>
          <w:szCs w:val="24"/>
        </w:rPr>
        <w:t>.</w:t>
      </w:r>
    </w:p>
    <w:p w14:paraId="0B60A11D" w14:textId="77777777" w:rsidR="008B10FF" w:rsidRDefault="008B10FF" w:rsidP="00E660EB">
      <w:pPr>
        <w:pBdr>
          <w:top w:val="nil"/>
          <w:left w:val="nil"/>
          <w:bottom w:val="nil"/>
          <w:right w:val="nil"/>
          <w:between w:val="nil"/>
          <w:bar w:val="nil"/>
        </w:pBdr>
        <w:spacing w:line="250" w:lineRule="auto"/>
        <w:ind w:firstLine="709"/>
        <w:jc w:val="both"/>
        <w:rPr>
          <w:szCs w:val="24"/>
          <w:u w:color="000000"/>
          <w14:textOutline w14:w="12700" w14:cap="flat" w14:cmpd="sng" w14:algn="ctr">
            <w14:noFill/>
            <w14:prstDash w14:val="solid"/>
            <w14:miter w14:lim="400000"/>
          </w14:textOutline>
        </w:rPr>
      </w:pPr>
      <w:r w:rsidRPr="00B62057">
        <w:rPr>
          <w:rFonts w:eastAsia="Arial Unicode MS"/>
          <w:bCs/>
          <w:color w:val="000000"/>
          <w:szCs w:val="24"/>
          <w:bdr w:val="nil"/>
          <w14:textOutline w14:w="0" w14:cap="flat" w14:cmpd="sng" w14:algn="ctr">
            <w14:noFill/>
            <w14:prstDash w14:val="solid"/>
            <w14:bevel/>
          </w14:textOutline>
        </w:rPr>
        <w:t>2020 m</w:t>
      </w:r>
      <w:r>
        <w:rPr>
          <w:rFonts w:eastAsia="Arial Unicode MS"/>
          <w:bCs/>
          <w:color w:val="000000"/>
          <w:szCs w:val="24"/>
          <w:bdr w:val="nil"/>
          <w14:textOutline w14:w="0" w14:cap="flat" w14:cmpd="sng" w14:algn="ctr">
            <w14:noFill/>
            <w14:prstDash w14:val="solid"/>
            <w14:bevel/>
          </w14:textOutline>
        </w:rPr>
        <w:t>.</w:t>
      </w:r>
      <w:r w:rsidRPr="00B62057">
        <w:rPr>
          <w:rFonts w:eastAsia="Arial Unicode MS"/>
          <w:bCs/>
          <w:color w:val="000000"/>
          <w:szCs w:val="24"/>
          <w:bdr w:val="nil"/>
          <w14:textOutline w14:w="0" w14:cap="flat" w14:cmpd="sng" w14:algn="ctr">
            <w14:noFill/>
            <w14:prstDash w14:val="solid"/>
            <w14:bevel/>
          </w14:textOutline>
        </w:rPr>
        <w:t xml:space="preserve"> žengti dar keli žingsniai</w:t>
      </w:r>
      <w:r>
        <w:rPr>
          <w:rFonts w:eastAsia="Arial Unicode MS"/>
          <w:bCs/>
          <w:color w:val="000000"/>
          <w:szCs w:val="24"/>
          <w:bdr w:val="nil"/>
          <w14:textOutline w14:w="0" w14:cap="flat" w14:cmpd="sng" w14:algn="ctr">
            <w14:noFill/>
            <w14:prstDash w14:val="solid"/>
            <w14:bevel/>
          </w14:textOutline>
        </w:rPr>
        <w:t>,</w:t>
      </w:r>
      <w:r w:rsidRPr="00B62057">
        <w:rPr>
          <w:rFonts w:eastAsia="Arial Unicode MS"/>
          <w:bCs/>
          <w:color w:val="000000"/>
          <w:szCs w:val="24"/>
          <w:bdr w:val="nil"/>
          <w14:textOutline w14:w="0" w14:cap="flat" w14:cmpd="sng" w14:algn="ctr">
            <w14:noFill/>
            <w14:prstDash w14:val="solid"/>
            <w14:bevel/>
          </w14:textOutline>
        </w:rPr>
        <w:t xml:space="preserve"> Kaune kuriant Regioninį kibernetinės gynybos centrą</w:t>
      </w:r>
      <w:r>
        <w:rPr>
          <w:rFonts w:eastAsia="Arial Unicode MS"/>
          <w:bCs/>
          <w:color w:val="000000"/>
          <w:szCs w:val="24"/>
          <w:bdr w:val="nil"/>
          <w14:textOutline w14:w="0" w14:cap="flat" w14:cmpd="sng" w14:algn="ctr">
            <w14:noFill/>
            <w14:prstDash w14:val="solid"/>
            <w14:bevel/>
          </w14:textOutline>
        </w:rPr>
        <w:t>.</w:t>
      </w:r>
      <w:r w:rsidRPr="00B62057">
        <w:rPr>
          <w:rFonts w:eastAsia="Arial Unicode MS"/>
          <w:bCs/>
          <w:color w:val="000000"/>
          <w:szCs w:val="24"/>
          <w:bdr w:val="nil"/>
          <w14:textOutline w14:w="0" w14:cap="flat" w14:cmpd="sng" w14:algn="ctr">
            <w14:noFill/>
            <w14:prstDash w14:val="solid"/>
            <w14:bevel/>
          </w14:textOutline>
        </w:rPr>
        <w:t xml:space="preserve"> </w:t>
      </w:r>
      <w:r>
        <w:rPr>
          <w:rFonts w:eastAsia="Arial Unicode MS"/>
          <w:bCs/>
          <w:color w:val="000000"/>
          <w:szCs w:val="24"/>
          <w:bdr w:val="nil"/>
          <w14:textOutline w14:w="0" w14:cap="flat" w14:cmpd="sng" w14:algn="ctr">
            <w14:noFill/>
            <w14:prstDash w14:val="solid"/>
            <w14:bevel/>
          </w14:textOutline>
        </w:rPr>
        <w:t>Spalį</w:t>
      </w:r>
      <w:r w:rsidRPr="00B62057">
        <w:rPr>
          <w:rFonts w:eastAsia="Arial Unicode MS"/>
          <w:bCs/>
          <w:color w:val="000000"/>
          <w:szCs w:val="24"/>
          <w:bdr w:val="nil"/>
          <w14:textOutline w14:w="0" w14:cap="flat" w14:cmpd="sng" w14:algn="ctr">
            <w14:noFill/>
            <w14:prstDash w14:val="solid"/>
            <w14:bevel/>
          </w14:textOutline>
        </w:rPr>
        <w:t xml:space="preserve"> NKSC pradėjo vykdyti centro funkcijas, o </w:t>
      </w:r>
      <w:r>
        <w:rPr>
          <w:color w:val="000000" w:themeColor="text1"/>
          <w:szCs w:val="24"/>
        </w:rPr>
        <w:t>JAV</w:t>
      </w:r>
      <w:r w:rsidRPr="00B62057">
        <w:rPr>
          <w:rFonts w:eastAsia="Arial Unicode MS"/>
          <w:bCs/>
          <w:color w:val="000000"/>
          <w:szCs w:val="24"/>
          <w:bdr w:val="nil"/>
          <w14:textOutline w14:w="0" w14:cap="flat" w14:cmpd="sng" w14:algn="ctr">
            <w14:noFill/>
            <w14:prstDash w14:val="solid"/>
            <w14:bevel/>
          </w14:textOutline>
        </w:rPr>
        <w:t xml:space="preserve"> patvirtino skirsian</w:t>
      </w:r>
      <w:r>
        <w:rPr>
          <w:rFonts w:eastAsia="Arial Unicode MS"/>
          <w:bCs/>
          <w:color w:val="000000"/>
          <w:szCs w:val="24"/>
          <w:bdr w:val="nil"/>
          <w14:textOutline w14:w="0" w14:cap="flat" w14:cmpd="sng" w14:algn="ctr">
            <w14:noFill/>
            <w14:prstDash w14:val="solid"/>
            <w14:bevel/>
          </w14:textOutline>
        </w:rPr>
        <w:t>čios</w:t>
      </w:r>
      <w:r w:rsidRPr="00B62057">
        <w:rPr>
          <w:rFonts w:eastAsia="Arial Unicode MS"/>
          <w:bCs/>
          <w:color w:val="000000"/>
          <w:szCs w:val="24"/>
          <w:bdr w:val="nil"/>
          <w14:textOutline w14:w="0" w14:cap="flat" w14:cmpd="sng" w14:algn="ctr">
            <w14:noFill/>
            <w14:prstDash w14:val="solid"/>
            <w14:bevel/>
          </w14:textOutline>
        </w:rPr>
        <w:t xml:space="preserve"> 10 mln. dolerių kibernetinio saugumo mokymų infrastruktūr</w:t>
      </w:r>
      <w:r>
        <w:rPr>
          <w:rFonts w:eastAsia="Arial Unicode MS"/>
          <w:bCs/>
          <w:color w:val="000000"/>
          <w:szCs w:val="24"/>
          <w:bdr w:val="nil"/>
          <w14:textOutline w14:w="0" w14:cap="flat" w14:cmpd="sng" w14:algn="ctr">
            <w14:noFill/>
            <w14:prstDash w14:val="solid"/>
            <w14:bevel/>
          </w14:textOutline>
        </w:rPr>
        <w:t>ai</w:t>
      </w:r>
      <w:r w:rsidRPr="00B62057">
        <w:rPr>
          <w:rFonts w:eastAsia="Arial Unicode MS"/>
          <w:bCs/>
          <w:color w:val="000000"/>
          <w:szCs w:val="24"/>
          <w:bdr w:val="nil"/>
          <w14:textOutline w14:w="0" w14:cap="flat" w14:cmpd="sng" w14:algn="ctr">
            <w14:noFill/>
            <w14:prstDash w14:val="solid"/>
            <w14:bevel/>
          </w14:textOutline>
        </w:rPr>
        <w:t xml:space="preserve"> Kaune</w:t>
      </w:r>
      <w:r>
        <w:rPr>
          <w:rFonts w:eastAsia="Arial Unicode MS"/>
          <w:bCs/>
          <w:color w:val="000000"/>
          <w:szCs w:val="24"/>
          <w:bdr w:val="nil"/>
          <w14:textOutline w14:w="0" w14:cap="flat" w14:cmpd="sng" w14:algn="ctr">
            <w14:noFill/>
            <w14:prstDash w14:val="solid"/>
            <w14:bevel/>
          </w14:textOutline>
        </w:rPr>
        <w:t xml:space="preserve"> sukurti</w:t>
      </w:r>
      <w:r w:rsidRPr="00B62057">
        <w:rPr>
          <w:rFonts w:eastAsia="Arial Unicode MS"/>
          <w:bCs/>
          <w:color w:val="000000"/>
          <w:szCs w:val="24"/>
          <w:bdr w:val="nil"/>
          <w14:textOutline w14:w="0" w14:cap="flat" w14:cmpd="sng" w14:algn="ctr">
            <w14:noFill/>
            <w14:prstDash w14:val="solid"/>
            <w14:bevel/>
          </w14:textOutline>
        </w:rPr>
        <w:t>.</w:t>
      </w:r>
      <w:r w:rsidRPr="00B62057">
        <w:rPr>
          <w:rFonts w:eastAsia="Helvetica Neue"/>
          <w:color w:val="000000"/>
          <w:szCs w:val="24"/>
          <w:u w:color="000000"/>
          <w:bdr w:val="nil"/>
          <w14:textOutline w14:w="12700" w14:cap="flat" w14:cmpd="sng" w14:algn="ctr">
            <w14:noFill/>
            <w14:prstDash w14:val="solid"/>
            <w14:miter w14:lim="400000"/>
          </w14:textOutline>
        </w:rPr>
        <w:t xml:space="preserve"> </w:t>
      </w:r>
      <w:r w:rsidRPr="00CB73C1">
        <w:rPr>
          <w:rFonts w:eastAsia="Helvetica Neue"/>
          <w:color w:val="000000"/>
          <w:szCs w:val="24"/>
          <w:u w:color="000000"/>
          <w:bdr w:val="nil"/>
          <w14:textOutline w14:w="12700" w14:cap="flat" w14:cmpd="sng" w14:algn="ctr">
            <w14:noFill/>
            <w14:prstDash w14:val="solid"/>
            <w14:miter w14:lim="400000"/>
          </w14:textOutline>
        </w:rPr>
        <w:t xml:space="preserve">Centras turėtų tapti pagrindine Lietuvos ir </w:t>
      </w:r>
      <w:r>
        <w:rPr>
          <w:color w:val="000000" w:themeColor="text1"/>
          <w:szCs w:val="24"/>
        </w:rPr>
        <w:t>JAV</w:t>
      </w:r>
      <w:r w:rsidRPr="00CB73C1">
        <w:rPr>
          <w:rFonts w:eastAsia="Helvetica Neue"/>
          <w:color w:val="000000"/>
          <w:szCs w:val="24"/>
          <w:u w:color="000000"/>
          <w:bdr w:val="nil"/>
          <w14:textOutline w14:w="12700" w14:cap="flat" w14:cmpd="sng" w14:algn="ctr">
            <w14:noFill/>
            <w14:prstDash w14:val="solid"/>
            <w14:miter w14:lim="400000"/>
          </w14:textOutline>
        </w:rPr>
        <w:t xml:space="preserve"> dvišalio bendradarbiavimo kibernetinėje srityje platforma, jame taip pat bus bendradarbiaujama su </w:t>
      </w:r>
      <w:proofErr w:type="spellStart"/>
      <w:r w:rsidRPr="00CB73C1">
        <w:rPr>
          <w:rFonts w:eastAsia="Helvetica Neue"/>
          <w:color w:val="000000"/>
          <w:szCs w:val="24"/>
          <w:u w:color="000000"/>
          <w:bdr w:val="nil"/>
          <w14:textOutline w14:w="12700" w14:cap="flat" w14:cmpd="sng" w14:algn="ctr">
            <w14:noFill/>
            <w14:prstDash w14:val="solid"/>
            <w14:miter w14:lim="400000"/>
          </w14:textOutline>
        </w:rPr>
        <w:t>Sakartvelo</w:t>
      </w:r>
      <w:proofErr w:type="spellEnd"/>
      <w:r w:rsidRPr="00CB73C1">
        <w:rPr>
          <w:rFonts w:eastAsia="Helvetica Neue"/>
          <w:color w:val="000000"/>
          <w:szCs w:val="24"/>
          <w:u w:color="000000"/>
          <w:bdr w:val="nil"/>
          <w14:textOutline w14:w="12700" w14:cap="flat" w14:cmpd="sng" w14:algn="ctr">
            <w14:noFill/>
            <w14:prstDash w14:val="solid"/>
            <w14:miter w14:lim="400000"/>
          </w14:textOutline>
        </w:rPr>
        <w:t xml:space="preserve"> bei Ukrainos kibernetinio saugumo specialistais.</w:t>
      </w:r>
      <w:r w:rsidRPr="00B62057">
        <w:rPr>
          <w:rFonts w:eastAsia="Helvetica Neue"/>
          <w:color w:val="000000"/>
          <w:szCs w:val="24"/>
          <w:u w:color="000000"/>
          <w:bdr w:val="nil"/>
          <w14:textOutline w14:w="12700" w14:cap="flat" w14:cmpd="sng" w14:algn="ctr">
            <w14:noFill/>
            <w14:prstDash w14:val="solid"/>
            <w14:miter w14:lim="400000"/>
          </w14:textOutline>
        </w:rPr>
        <w:t xml:space="preserve"> </w:t>
      </w:r>
      <w:r w:rsidRPr="00CB73C1">
        <w:rPr>
          <w:rFonts w:eastAsia="Helvetica Neue"/>
          <w:color w:val="000000"/>
          <w:szCs w:val="24"/>
          <w:u w:color="000000"/>
          <w:bdr w:val="nil"/>
          <w14:textOutline w14:w="12700" w14:cap="flat" w14:cmpd="sng" w14:algn="ctr">
            <w14:noFill/>
            <w14:prstDash w14:val="solid"/>
            <w14:miter w14:lim="400000"/>
          </w14:textOutline>
        </w:rPr>
        <w:t xml:space="preserve">Pagrindiniai centro uždaviniai – skatinti inovatyvių kibernetinio saugumo technologijų kūrimą, rengti kibernetinio saugumo specialistus </w:t>
      </w:r>
      <w:r>
        <w:rPr>
          <w:rFonts w:eastAsia="Helvetica Neue"/>
          <w:color w:val="000000"/>
          <w:szCs w:val="24"/>
          <w:u w:color="000000"/>
          <w:bdr w:val="nil"/>
          <w14:textOutline w14:w="12700" w14:cap="flat" w14:cmpd="sng" w14:algn="ctr">
            <w14:noFill/>
            <w14:prstDash w14:val="solid"/>
            <w14:miter w14:lim="400000"/>
          </w14:textOutline>
        </w:rPr>
        <w:t>ir</w:t>
      </w:r>
      <w:r w:rsidRPr="00CB73C1">
        <w:rPr>
          <w:rFonts w:eastAsia="Helvetica Neue"/>
          <w:color w:val="000000"/>
          <w:szCs w:val="24"/>
          <w:u w:color="000000"/>
          <w:bdr w:val="nil"/>
          <w14:textOutline w14:w="12700" w14:cap="flat" w14:cmpd="sng" w14:algn="ctr">
            <w14:noFill/>
            <w14:prstDash w14:val="solid"/>
            <w14:miter w14:lim="400000"/>
          </w14:textOutline>
        </w:rPr>
        <w:t xml:space="preserve"> tarpusavyje keistis informacija apie kibernetines grėsmes. </w:t>
      </w:r>
    </w:p>
    <w:p w14:paraId="15118E55" w14:textId="77777777" w:rsidR="008B10FF" w:rsidRPr="00F312FF" w:rsidRDefault="008B10FF" w:rsidP="00E660EB">
      <w:pPr>
        <w:shd w:val="clear" w:color="auto" w:fill="FFFFFF"/>
        <w:spacing w:line="250" w:lineRule="auto"/>
        <w:ind w:firstLine="709"/>
        <w:jc w:val="both"/>
        <w:rPr>
          <w:szCs w:val="24"/>
        </w:rPr>
      </w:pPr>
      <w:r w:rsidRPr="00CD5BBE">
        <w:rPr>
          <w:szCs w:val="24"/>
        </w:rPr>
        <w:t>K</w:t>
      </w:r>
      <w:r>
        <w:rPr>
          <w:szCs w:val="24"/>
        </w:rPr>
        <w:t xml:space="preserve">rašto apsaugos ministerijos </w:t>
      </w:r>
      <w:r w:rsidRPr="00CD5BBE">
        <w:rPr>
          <w:szCs w:val="24"/>
        </w:rPr>
        <w:t xml:space="preserve">atstovai </w:t>
      </w:r>
      <w:r>
        <w:rPr>
          <w:szCs w:val="24"/>
        </w:rPr>
        <w:t xml:space="preserve">aktyviai </w:t>
      </w:r>
      <w:r w:rsidRPr="00CD5BBE">
        <w:rPr>
          <w:szCs w:val="24"/>
        </w:rPr>
        <w:t>prisidėjo prie 2020 m. rugsėj</w:t>
      </w:r>
      <w:r>
        <w:rPr>
          <w:szCs w:val="24"/>
        </w:rPr>
        <w:t>į</w:t>
      </w:r>
      <w:r w:rsidRPr="00CD5BBE">
        <w:rPr>
          <w:szCs w:val="24"/>
        </w:rPr>
        <w:t xml:space="preserve"> Europos Komisijos ir ES Kibernetinio saugumo agentūros (ENISA) iniciatyva įsteigto Kibernetinių krizių bendradarbiavimo tinklo (angl. </w:t>
      </w:r>
      <w:proofErr w:type="spellStart"/>
      <w:r w:rsidRPr="00460451">
        <w:rPr>
          <w:i/>
          <w:szCs w:val="24"/>
        </w:rPr>
        <w:t>Cyber</w:t>
      </w:r>
      <w:proofErr w:type="spellEnd"/>
      <w:r w:rsidRPr="00460451">
        <w:rPr>
          <w:i/>
          <w:szCs w:val="24"/>
        </w:rPr>
        <w:t xml:space="preserve"> </w:t>
      </w:r>
      <w:proofErr w:type="spellStart"/>
      <w:r w:rsidRPr="00460451">
        <w:rPr>
          <w:i/>
          <w:szCs w:val="24"/>
        </w:rPr>
        <w:t>Crisis</w:t>
      </w:r>
      <w:proofErr w:type="spellEnd"/>
      <w:r w:rsidRPr="00460451">
        <w:rPr>
          <w:i/>
          <w:szCs w:val="24"/>
        </w:rPr>
        <w:t xml:space="preserve"> </w:t>
      </w:r>
      <w:proofErr w:type="spellStart"/>
      <w:r w:rsidRPr="00460451">
        <w:rPr>
          <w:i/>
          <w:szCs w:val="24"/>
        </w:rPr>
        <w:t>Liaison</w:t>
      </w:r>
      <w:proofErr w:type="spellEnd"/>
      <w:r w:rsidRPr="00460451">
        <w:rPr>
          <w:i/>
          <w:szCs w:val="24"/>
        </w:rPr>
        <w:t xml:space="preserve"> </w:t>
      </w:r>
      <w:proofErr w:type="spellStart"/>
      <w:r w:rsidRPr="00460451">
        <w:rPr>
          <w:i/>
          <w:szCs w:val="24"/>
        </w:rPr>
        <w:t>Organisation</w:t>
      </w:r>
      <w:proofErr w:type="spellEnd"/>
      <w:r w:rsidRPr="00460451">
        <w:rPr>
          <w:i/>
          <w:szCs w:val="24"/>
        </w:rPr>
        <w:t xml:space="preserve"> Network</w:t>
      </w:r>
      <w:r w:rsidRPr="00CD5BBE">
        <w:rPr>
          <w:szCs w:val="24"/>
        </w:rPr>
        <w:t xml:space="preserve"> (</w:t>
      </w:r>
      <w:proofErr w:type="spellStart"/>
      <w:r w:rsidRPr="00CD5BBE">
        <w:rPr>
          <w:szCs w:val="24"/>
        </w:rPr>
        <w:t>CyCLONe</w:t>
      </w:r>
      <w:proofErr w:type="spellEnd"/>
      <w:r w:rsidRPr="00CD5BBE">
        <w:rPr>
          <w:szCs w:val="24"/>
        </w:rPr>
        <w:t xml:space="preserve">)) kūrimo. </w:t>
      </w:r>
      <w:r>
        <w:rPr>
          <w:szCs w:val="24"/>
        </w:rPr>
        <w:t>Šis tinklas padės efektyviau koordinuoti</w:t>
      </w:r>
      <w:r w:rsidRPr="00F312FF">
        <w:rPr>
          <w:szCs w:val="24"/>
        </w:rPr>
        <w:t xml:space="preserve"> ES vals</w:t>
      </w:r>
      <w:r>
        <w:rPr>
          <w:szCs w:val="24"/>
        </w:rPr>
        <w:t>tybių narių veiksmus ir priimti sprendimus</w:t>
      </w:r>
      <w:r w:rsidRPr="00F312FF">
        <w:rPr>
          <w:szCs w:val="24"/>
        </w:rPr>
        <w:t xml:space="preserve"> ES mastu, įvykus kibernetinio saugumo incidentui</w:t>
      </w:r>
      <w:r>
        <w:rPr>
          <w:szCs w:val="24"/>
        </w:rPr>
        <w:t>.</w:t>
      </w:r>
      <w:r w:rsidRPr="00CD5BBE">
        <w:rPr>
          <w:szCs w:val="24"/>
        </w:rPr>
        <w:t xml:space="preserve"> </w:t>
      </w:r>
    </w:p>
    <w:p w14:paraId="5D8E2094" w14:textId="77777777" w:rsidR="008B10FF" w:rsidRDefault="008B10FF" w:rsidP="00E660EB">
      <w:pPr>
        <w:spacing w:line="250" w:lineRule="auto"/>
        <w:ind w:firstLine="709"/>
        <w:jc w:val="both"/>
        <w:rPr>
          <w:szCs w:val="24"/>
        </w:rPr>
      </w:pPr>
      <w:r>
        <w:rPr>
          <w:szCs w:val="24"/>
        </w:rPr>
        <w:t>Siekiant didinti</w:t>
      </w:r>
      <w:r w:rsidRPr="00CB73C1">
        <w:rPr>
          <w:szCs w:val="24"/>
        </w:rPr>
        <w:t xml:space="preserve"> kibernetinio saugumo brandą</w:t>
      </w:r>
      <w:r>
        <w:rPr>
          <w:szCs w:val="24"/>
        </w:rPr>
        <w:t xml:space="preserve">, </w:t>
      </w:r>
      <w:r w:rsidRPr="00BC41C7">
        <w:rPr>
          <w:szCs w:val="24"/>
        </w:rPr>
        <w:t>2020 m. biržel</w:t>
      </w:r>
      <w:r>
        <w:rPr>
          <w:szCs w:val="24"/>
        </w:rPr>
        <w:t>į</w:t>
      </w:r>
      <w:r w:rsidRPr="00BC41C7">
        <w:rPr>
          <w:szCs w:val="24"/>
        </w:rPr>
        <w:t xml:space="preserve"> visuomenei pristatytas leidinys „Kibernetinis saugumas ir verslas. Ką turėtų žinoti kiekvienas įmonės vadovas“. </w:t>
      </w:r>
      <w:r w:rsidRPr="000136D8">
        <w:rPr>
          <w:iCs/>
          <w:szCs w:val="24"/>
        </w:rPr>
        <w:t>NKSC vykdė atsparumo kibernetinėms grėsmėms patikrinimus</w:t>
      </w:r>
      <w:r>
        <w:rPr>
          <w:rStyle w:val="Puslapioinaosnuoroda"/>
          <w:rFonts w:eastAsia="Calibri"/>
          <w:iCs/>
          <w:szCs w:val="24"/>
        </w:rPr>
        <w:footnoteReference w:id="68"/>
      </w:r>
      <w:r>
        <w:rPr>
          <w:iCs/>
          <w:szCs w:val="24"/>
        </w:rPr>
        <w:t xml:space="preserve">, o </w:t>
      </w:r>
      <w:r w:rsidRPr="000136D8">
        <w:rPr>
          <w:szCs w:val="24"/>
        </w:rPr>
        <w:t>2020 m. spalio 20</w:t>
      </w:r>
      <w:r>
        <w:rPr>
          <w:szCs w:val="24"/>
        </w:rPr>
        <w:t>–</w:t>
      </w:r>
      <w:r w:rsidRPr="000136D8">
        <w:rPr>
          <w:szCs w:val="24"/>
        </w:rPr>
        <w:t>22 d</w:t>
      </w:r>
      <w:r>
        <w:rPr>
          <w:szCs w:val="24"/>
        </w:rPr>
        <w:t>.,</w:t>
      </w:r>
      <w:r w:rsidRPr="000136D8">
        <w:rPr>
          <w:szCs w:val="24"/>
        </w:rPr>
        <w:t xml:space="preserve"> </w:t>
      </w:r>
      <w:r>
        <w:rPr>
          <w:iCs/>
          <w:szCs w:val="24"/>
        </w:rPr>
        <w:t>b</w:t>
      </w:r>
      <w:r w:rsidRPr="000136D8">
        <w:rPr>
          <w:szCs w:val="24"/>
        </w:rPr>
        <w:t>endradarbiaudamas su Kauno technologijos universitetu, surengė kasmetines nacionalines kibernetinio saugumo pratybas „Kibernetinis skydas 2020“</w:t>
      </w:r>
      <w:r>
        <w:rPr>
          <w:rStyle w:val="Puslapioinaosnuoroda"/>
          <w:rFonts w:eastAsia="Calibri"/>
          <w:szCs w:val="24"/>
        </w:rPr>
        <w:footnoteReference w:id="69"/>
      </w:r>
      <w:r w:rsidRPr="000136D8">
        <w:rPr>
          <w:szCs w:val="24"/>
        </w:rPr>
        <w:t xml:space="preserve">. </w:t>
      </w:r>
    </w:p>
    <w:p w14:paraId="3084B578" w14:textId="77777777" w:rsidR="008B10FF" w:rsidRDefault="008B10FF" w:rsidP="00E660EB">
      <w:pPr>
        <w:spacing w:line="250" w:lineRule="auto"/>
        <w:ind w:firstLine="709"/>
        <w:jc w:val="both"/>
        <w:rPr>
          <w:szCs w:val="24"/>
        </w:rPr>
      </w:pPr>
      <w:r w:rsidRPr="000136D8">
        <w:rPr>
          <w:szCs w:val="24"/>
        </w:rPr>
        <w:t>NKSC, plėtodamas Kibernetinio saugumo informacinį tinklą, į jį į</w:t>
      </w:r>
      <w:r>
        <w:rPr>
          <w:szCs w:val="24"/>
        </w:rPr>
        <w:t>traukė</w:t>
      </w:r>
      <w:r w:rsidRPr="000136D8">
        <w:rPr>
          <w:szCs w:val="24"/>
        </w:rPr>
        <w:t xml:space="preserve"> 245 valstybės informacinių išteklių valdytojams bei tvarkytojams ir ypatingos svarbos informacinės infrastruktūros</w:t>
      </w:r>
      <w:r>
        <w:rPr>
          <w:szCs w:val="24"/>
        </w:rPr>
        <w:t xml:space="preserve"> </w:t>
      </w:r>
      <w:r w:rsidRPr="000136D8">
        <w:rPr>
          <w:szCs w:val="24"/>
        </w:rPr>
        <w:t xml:space="preserve"> valdytojams priskiriam</w:t>
      </w:r>
      <w:r>
        <w:rPr>
          <w:szCs w:val="24"/>
        </w:rPr>
        <w:t>as</w:t>
      </w:r>
      <w:r w:rsidRPr="000136D8">
        <w:rPr>
          <w:szCs w:val="24"/>
        </w:rPr>
        <w:t xml:space="preserve"> organizacij</w:t>
      </w:r>
      <w:r>
        <w:rPr>
          <w:szCs w:val="24"/>
        </w:rPr>
        <w:t>as</w:t>
      </w:r>
      <w:r w:rsidRPr="000136D8">
        <w:rPr>
          <w:szCs w:val="24"/>
        </w:rPr>
        <w:t>.</w:t>
      </w:r>
      <w:r w:rsidRPr="000136D8">
        <w:rPr>
          <w:color w:val="000000"/>
          <w:szCs w:val="24"/>
        </w:rPr>
        <w:t xml:space="preserve"> </w:t>
      </w:r>
      <w:r w:rsidRPr="000136D8">
        <w:rPr>
          <w:szCs w:val="24"/>
        </w:rPr>
        <w:t xml:space="preserve">Bendras </w:t>
      </w:r>
      <w:r>
        <w:rPr>
          <w:szCs w:val="24"/>
        </w:rPr>
        <w:t>Kibernetinio saugumo informacinio tinklo</w:t>
      </w:r>
      <w:r w:rsidRPr="000136D8">
        <w:rPr>
          <w:szCs w:val="24"/>
        </w:rPr>
        <w:t xml:space="preserve"> naudotojų </w:t>
      </w:r>
      <w:r>
        <w:rPr>
          <w:szCs w:val="24"/>
        </w:rPr>
        <w:t>skaičius</w:t>
      </w:r>
      <w:r w:rsidRPr="000136D8">
        <w:rPr>
          <w:szCs w:val="24"/>
        </w:rPr>
        <w:t xml:space="preserve"> </w:t>
      </w:r>
      <w:r>
        <w:rPr>
          <w:szCs w:val="24"/>
        </w:rPr>
        <w:t>aprėpia</w:t>
      </w:r>
      <w:r w:rsidRPr="000136D8">
        <w:rPr>
          <w:szCs w:val="24"/>
        </w:rPr>
        <w:t xml:space="preserve"> 79,2 </w:t>
      </w:r>
      <w:r>
        <w:rPr>
          <w:szCs w:val="24"/>
        </w:rPr>
        <w:t>proc.</w:t>
      </w:r>
      <w:r w:rsidRPr="000136D8">
        <w:rPr>
          <w:szCs w:val="24"/>
        </w:rPr>
        <w:t xml:space="preserve"> visų </w:t>
      </w:r>
      <w:r>
        <w:rPr>
          <w:szCs w:val="24"/>
        </w:rPr>
        <w:t>valstybės informacinių išteklių</w:t>
      </w:r>
      <w:r w:rsidRPr="000136D8">
        <w:rPr>
          <w:szCs w:val="24"/>
        </w:rPr>
        <w:t xml:space="preserve"> valdytojų bei tvarkytojų ir 100 </w:t>
      </w:r>
      <w:r>
        <w:rPr>
          <w:szCs w:val="24"/>
        </w:rPr>
        <w:t>proc.</w:t>
      </w:r>
      <w:r w:rsidRPr="000136D8">
        <w:rPr>
          <w:szCs w:val="24"/>
        </w:rPr>
        <w:t xml:space="preserve">  ypatingos svarbos informacinės infrastruktūros valdytojų.</w:t>
      </w:r>
    </w:p>
    <w:p w14:paraId="6E327F0D" w14:textId="77777777" w:rsidR="008B10FF" w:rsidRDefault="008B10FF" w:rsidP="00E660EB">
      <w:pPr>
        <w:pStyle w:val="Antrats"/>
        <w:tabs>
          <w:tab w:val="left" w:pos="567"/>
        </w:tabs>
        <w:spacing w:line="250" w:lineRule="auto"/>
        <w:ind w:firstLine="709"/>
        <w:jc w:val="both"/>
        <w:rPr>
          <w:szCs w:val="24"/>
          <w:lang w:eastAsia="lt-LT"/>
        </w:rPr>
      </w:pPr>
      <w:r>
        <w:rPr>
          <w:szCs w:val="24"/>
        </w:rPr>
        <w:tab/>
        <w:t xml:space="preserve">Ryšių reguliavimo tarnyba </w:t>
      </w:r>
      <w:r>
        <w:rPr>
          <w:szCs w:val="24"/>
          <w:lang w:eastAsia="lt-LT"/>
        </w:rPr>
        <w:t xml:space="preserve">2020 m. vykdė viešųjų elektroninių ryšių paslaugų nepertraukiamo teikimo (vientisumo) stebėseną. </w:t>
      </w:r>
      <w:r>
        <w:t xml:space="preserve">Elektroninių ryšių paslaugos itin svarbios ir </w:t>
      </w:r>
      <w:r w:rsidRPr="00E34C51">
        <w:t xml:space="preserve"> užtikrinant nacionalinį saugumą, reagavimą į ekstremali</w:t>
      </w:r>
      <w:r>
        <w:t>ąsia</w:t>
      </w:r>
      <w:r w:rsidRPr="00E34C51">
        <w:t>s situacijas</w:t>
      </w:r>
      <w:r>
        <w:t>.</w:t>
      </w:r>
      <w:r w:rsidRPr="002D3352">
        <w:rPr>
          <w:szCs w:val="24"/>
          <w:lang w:eastAsia="lt-LT"/>
        </w:rPr>
        <w:t xml:space="preserve"> </w:t>
      </w:r>
      <w:r>
        <w:t xml:space="preserve">Viešųjų elektroninių ryšių paslaugų </w:t>
      </w:r>
      <w:r w:rsidRPr="002D3352">
        <w:rPr>
          <w:szCs w:val="24"/>
          <w:lang w:eastAsia="lt-LT"/>
        </w:rPr>
        <w:t>nepertraukiamas teikimas gali būti sutrikdytas ne tik dėl kibernetinio incidento, bet ir dėl tinklo įrangos gedimo, elektros energijos tiekimo sutrikimo ir k</w:t>
      </w:r>
      <w:r>
        <w:rPr>
          <w:szCs w:val="24"/>
          <w:lang w:eastAsia="lt-LT"/>
        </w:rPr>
        <w:t>itų</w:t>
      </w:r>
      <w:r w:rsidRPr="002D3352">
        <w:rPr>
          <w:szCs w:val="24"/>
          <w:lang w:eastAsia="lt-LT"/>
        </w:rPr>
        <w:t xml:space="preserve"> priežasčių, pažeidžiančių tinklų vientisumą.</w:t>
      </w:r>
      <w:r>
        <w:rPr>
          <w:szCs w:val="24"/>
          <w:lang w:eastAsia="lt-LT"/>
        </w:rPr>
        <w:t xml:space="preserve"> </w:t>
      </w:r>
      <w:r>
        <w:rPr>
          <w:szCs w:val="24"/>
          <w:lang w:eastAsia="lt-LT"/>
        </w:rPr>
        <w:tab/>
      </w:r>
      <w:r w:rsidRPr="002D3352">
        <w:rPr>
          <w:szCs w:val="24"/>
          <w:lang w:eastAsia="lt-LT"/>
        </w:rPr>
        <w:t>2020 m</w:t>
      </w:r>
      <w:r>
        <w:rPr>
          <w:szCs w:val="24"/>
          <w:lang w:eastAsia="lt-LT"/>
        </w:rPr>
        <w:t>. Ryšių reguliavimo tarnyba</w:t>
      </w:r>
      <w:r w:rsidRPr="002D3352">
        <w:rPr>
          <w:szCs w:val="24"/>
          <w:lang w:eastAsia="lt-LT"/>
        </w:rPr>
        <w:t xml:space="preserve"> gavo 10 pranešimų iš </w:t>
      </w:r>
      <w:r>
        <w:rPr>
          <w:szCs w:val="24"/>
          <w:lang w:val="en-GB" w:eastAsia="lt-LT"/>
        </w:rPr>
        <w:t>4</w:t>
      </w:r>
      <w:r w:rsidRPr="002D3352">
        <w:rPr>
          <w:szCs w:val="24"/>
          <w:lang w:eastAsia="lt-LT"/>
        </w:rPr>
        <w:t xml:space="preserve"> viešųjų ryšių tinklų teikėjų apie įvykusius viešųjų ryšių tinklų vientisumo pažeidimus</w:t>
      </w:r>
      <w:r>
        <w:rPr>
          <w:szCs w:val="24"/>
          <w:lang w:eastAsia="lt-LT"/>
        </w:rPr>
        <w:t xml:space="preserve">. </w:t>
      </w:r>
      <w:r w:rsidRPr="00EB1325">
        <w:rPr>
          <w:szCs w:val="24"/>
          <w:lang w:eastAsia="lt-LT"/>
        </w:rPr>
        <w:t xml:space="preserve">Visi šie atvejai buvo fiksuoti </w:t>
      </w:r>
      <w:r>
        <w:rPr>
          <w:szCs w:val="24"/>
          <w:lang w:eastAsia="lt-LT"/>
        </w:rPr>
        <w:t xml:space="preserve">COVID-19 pandemijos metu paskelbto </w:t>
      </w:r>
      <w:r w:rsidRPr="00EB1325">
        <w:rPr>
          <w:szCs w:val="24"/>
          <w:lang w:eastAsia="lt-LT"/>
        </w:rPr>
        <w:t xml:space="preserve">pirmojo karantino pradžios </w:t>
      </w:r>
      <w:r>
        <w:rPr>
          <w:szCs w:val="24"/>
          <w:lang w:eastAsia="lt-LT"/>
        </w:rPr>
        <w:t xml:space="preserve">laikotarpiu. Tačiau, palyginti su situacija ankstesniais metais, matyti, kad </w:t>
      </w:r>
      <w:r w:rsidRPr="002D3352">
        <w:rPr>
          <w:szCs w:val="24"/>
          <w:lang w:eastAsia="lt-LT"/>
        </w:rPr>
        <w:t xml:space="preserve">pandemijos metu </w:t>
      </w:r>
      <w:r>
        <w:rPr>
          <w:szCs w:val="24"/>
          <w:lang w:eastAsia="lt-LT"/>
        </w:rPr>
        <w:t>gerokai</w:t>
      </w:r>
      <w:r w:rsidRPr="002D3352">
        <w:rPr>
          <w:szCs w:val="24"/>
          <w:lang w:eastAsia="lt-LT"/>
        </w:rPr>
        <w:t xml:space="preserve"> išaugęs naudojimasis elektroninių ryšių paslaugomis reikšmingai nepadidino viešųjų ryšių tinklų vientisumo sutrikimų skaičiaus.</w:t>
      </w:r>
      <w:r>
        <w:rPr>
          <w:szCs w:val="24"/>
          <w:lang w:eastAsia="lt-LT"/>
        </w:rPr>
        <w:t xml:space="preserve"> Tad a</w:t>
      </w:r>
      <w:r w:rsidRPr="00EB1325">
        <w:rPr>
          <w:szCs w:val="24"/>
          <w:lang w:eastAsia="lt-LT"/>
        </w:rPr>
        <w:t xml:space="preserve">pibendrinant 2020 m. viešųjų ryšių tinklų vientisumo situaciją, stebimą pagal </w:t>
      </w:r>
      <w:r>
        <w:rPr>
          <w:szCs w:val="24"/>
          <w:lang w:eastAsia="lt-LT"/>
        </w:rPr>
        <w:t>Tarnybai</w:t>
      </w:r>
      <w:r w:rsidRPr="00EB1325">
        <w:rPr>
          <w:szCs w:val="24"/>
          <w:lang w:eastAsia="lt-LT"/>
        </w:rPr>
        <w:t xml:space="preserve"> teikėjų teikt</w:t>
      </w:r>
      <w:r>
        <w:rPr>
          <w:szCs w:val="24"/>
          <w:lang w:eastAsia="lt-LT"/>
        </w:rPr>
        <w:t>us</w:t>
      </w:r>
      <w:r w:rsidRPr="00EB1325">
        <w:rPr>
          <w:szCs w:val="24"/>
          <w:lang w:eastAsia="lt-LT"/>
        </w:rPr>
        <w:t xml:space="preserve"> </w:t>
      </w:r>
      <w:r w:rsidRPr="00C8652D">
        <w:rPr>
          <w:szCs w:val="24"/>
          <w:lang w:eastAsia="lt-LT"/>
        </w:rPr>
        <w:t>pranešim</w:t>
      </w:r>
      <w:r>
        <w:rPr>
          <w:szCs w:val="24"/>
          <w:lang w:eastAsia="lt-LT"/>
        </w:rPr>
        <w:t>us</w:t>
      </w:r>
      <w:r w:rsidRPr="00C8652D">
        <w:rPr>
          <w:szCs w:val="24"/>
          <w:lang w:eastAsia="lt-LT"/>
        </w:rPr>
        <w:t xml:space="preserve"> apie vientisumo pažeidimus, ir įvertinus Tarnybos specialistų nuolat atliekamus viešųjų elektroninių ryšių paslaugų spartos ir kokybės matavimus, daroma išvada, kad Lietuvos viešųjų ryšių tinklų pajėgumai buvo ir yra pakankami (viešųjų ryšių tinklų teikėjų buvo nuolat didinami, siekiant patenkinti </w:t>
      </w:r>
      <w:r>
        <w:rPr>
          <w:szCs w:val="24"/>
          <w:lang w:eastAsia="lt-LT"/>
        </w:rPr>
        <w:t>pandemijos metu itin išaugusį</w:t>
      </w:r>
      <w:r w:rsidRPr="00C8652D">
        <w:rPr>
          <w:szCs w:val="24"/>
          <w:lang w:eastAsia="lt-LT"/>
        </w:rPr>
        <w:t xml:space="preserve"> poreikį).</w:t>
      </w:r>
    </w:p>
    <w:p w14:paraId="22411A59" w14:textId="77777777" w:rsidR="008B10FF" w:rsidRDefault="008B10FF" w:rsidP="00E660EB">
      <w:pPr>
        <w:pStyle w:val="Antrats"/>
        <w:tabs>
          <w:tab w:val="left" w:pos="567"/>
          <w:tab w:val="left" w:pos="851"/>
          <w:tab w:val="center" w:pos="1560"/>
        </w:tabs>
        <w:spacing w:line="250" w:lineRule="auto"/>
        <w:ind w:firstLine="709"/>
        <w:jc w:val="both"/>
      </w:pPr>
      <w:r w:rsidRPr="00C8652D">
        <w:rPr>
          <w:szCs w:val="24"/>
          <w:lang w:eastAsia="lt-LT"/>
        </w:rPr>
        <w:tab/>
      </w:r>
      <w:r w:rsidRPr="00322726">
        <w:t xml:space="preserve">Šiuolaikinių valstybių gerovė glaudžiai susijusi su elektroninių ryšių tinklų egzistavimu, sklandžiu jų veikimu ir tinklais teikiamų paslaugų įvairove. </w:t>
      </w:r>
      <w:r>
        <w:t>2020</w:t>
      </w:r>
      <w:r w:rsidRPr="00322726">
        <w:t xml:space="preserve"> m</w:t>
      </w:r>
      <w:r>
        <w:t xml:space="preserve">. </w:t>
      </w:r>
      <w:r w:rsidRPr="00322726">
        <w:t>šis sektorius patyrė esminių permainų, susijusių su ryšių technologijų pokyčiais</w:t>
      </w:r>
      <w:r>
        <w:t xml:space="preserve"> ir dėl COVID-19 pandemijos įtakos</w:t>
      </w:r>
      <w:r w:rsidRPr="00322726">
        <w:t xml:space="preserve">. </w:t>
      </w:r>
      <w:r>
        <w:t>V</w:t>
      </w:r>
      <w:r w:rsidRPr="00E34C51">
        <w:t>ie</w:t>
      </w:r>
      <w:r>
        <w:t>šųjų elektroninių ryšių paslaugos atlieka</w:t>
      </w:r>
      <w:r w:rsidRPr="00E34C51">
        <w:t xml:space="preserve"> svarbų vaidmenį užtikrinant nacionalinį saugumą, </w:t>
      </w:r>
      <w:r>
        <w:t xml:space="preserve">operatyviai </w:t>
      </w:r>
      <w:r w:rsidRPr="00E34C51">
        <w:t>reag</w:t>
      </w:r>
      <w:r>
        <w:t xml:space="preserve">uojant </w:t>
      </w:r>
      <w:r w:rsidRPr="00E34C51">
        <w:t>į ekstremali</w:t>
      </w:r>
      <w:r>
        <w:t>ą</w:t>
      </w:r>
      <w:r w:rsidRPr="00E34C51">
        <w:t>s</w:t>
      </w:r>
      <w:r>
        <w:t>ias</w:t>
      </w:r>
      <w:r w:rsidRPr="00E34C51">
        <w:t xml:space="preserve"> situacijas ir šalies ekonominę plėtrą.</w:t>
      </w:r>
    </w:p>
    <w:p w14:paraId="369C8F4A" w14:textId="77777777" w:rsidR="008B10FF" w:rsidRDefault="008B10FF" w:rsidP="00E660EB">
      <w:pPr>
        <w:spacing w:line="250" w:lineRule="auto"/>
        <w:ind w:firstLine="709"/>
        <w:jc w:val="both"/>
      </w:pPr>
      <w:r>
        <w:rPr>
          <w:szCs w:val="24"/>
        </w:rPr>
        <w:t>2020 m. Ryšių reguliavimo tarnyba atliko</w:t>
      </w:r>
      <w:r w:rsidRPr="009C1C25">
        <w:rPr>
          <w:szCs w:val="24"/>
        </w:rPr>
        <w:t xml:space="preserve"> interneto karštosios linijos funkcijas. Tarnybos interneto </w:t>
      </w:r>
      <w:r w:rsidRPr="004124A9">
        <w:rPr>
          <w:szCs w:val="24"/>
        </w:rPr>
        <w:t xml:space="preserve">karštosios linijos </w:t>
      </w:r>
      <w:r w:rsidRPr="00045FA3">
        <w:rPr>
          <w:i/>
          <w:iCs/>
          <w:szCs w:val="24"/>
        </w:rPr>
        <w:t>www.švarusinternetas.lt</w:t>
      </w:r>
      <w:r w:rsidRPr="004124A9">
        <w:rPr>
          <w:szCs w:val="24"/>
        </w:rPr>
        <w:t xml:space="preserve"> tikslas – priimti</w:t>
      </w:r>
      <w:r>
        <w:rPr>
          <w:szCs w:val="24"/>
        </w:rPr>
        <w:t xml:space="preserve"> ir tirti</w:t>
      </w:r>
      <w:r w:rsidRPr="004124A9">
        <w:rPr>
          <w:szCs w:val="24"/>
        </w:rPr>
        <w:t xml:space="preserve"> interneto vartotojų, skaitmeninėje erdvėje </w:t>
      </w:r>
      <w:r w:rsidRPr="004124A9">
        <w:rPr>
          <w:szCs w:val="24"/>
        </w:rPr>
        <w:lastRenderedPageBreak/>
        <w:t>susidūrusių su vaikų seksualiniu išnaudojimu, smurtu ar patyčiomis, pornografija, narkotinių medžiagų platinimu, rasinės ir tautinės nesantaikos kurstymu, kita neteisėta arba žalinga informacija, pranešimus</w:t>
      </w:r>
      <w:r>
        <w:rPr>
          <w:szCs w:val="24"/>
        </w:rPr>
        <w:t xml:space="preserve">. </w:t>
      </w:r>
      <w:r w:rsidRPr="004124A9">
        <w:rPr>
          <w:szCs w:val="24"/>
        </w:rPr>
        <w:t xml:space="preserve">Tarnyba turi teisę duoti privalomus nurodymus Lietuvoje veikiantiems elektroninės informacijos </w:t>
      </w:r>
      <w:proofErr w:type="spellStart"/>
      <w:r w:rsidRPr="004124A9">
        <w:rPr>
          <w:szCs w:val="24"/>
        </w:rPr>
        <w:t>prieglobos</w:t>
      </w:r>
      <w:proofErr w:type="spellEnd"/>
      <w:r w:rsidRPr="004124A9">
        <w:rPr>
          <w:szCs w:val="24"/>
        </w:rPr>
        <w:t xml:space="preserve"> arba viešųjų elektroninių ryšių paslaugų teikėjams pašalinti jų tarnybinėse stotyse saugomą </w:t>
      </w:r>
      <w:r>
        <w:rPr>
          <w:szCs w:val="24"/>
        </w:rPr>
        <w:t>draudžiamą skleisti</w:t>
      </w:r>
      <w:r w:rsidRPr="004124A9">
        <w:rPr>
          <w:szCs w:val="24"/>
        </w:rPr>
        <w:t xml:space="preserve"> informaciją arba panaikinti galimybę pasiekti šią informaciją.</w:t>
      </w:r>
      <w:r w:rsidRPr="00927018">
        <w:t xml:space="preserve"> </w:t>
      </w:r>
      <w:r w:rsidRPr="004438E3">
        <w:t xml:space="preserve">2020 m. </w:t>
      </w:r>
      <w:r>
        <w:t>Tarnyba</w:t>
      </w:r>
      <w:r w:rsidRPr="00B84113">
        <w:t xml:space="preserve"> interneto karštąja linija gavo </w:t>
      </w:r>
      <w:r>
        <w:t>1 373</w:t>
      </w:r>
      <w:r w:rsidRPr="00B84113">
        <w:t xml:space="preserve"> pranešimus.</w:t>
      </w:r>
      <w:r w:rsidRPr="00322726">
        <w:t xml:space="preserve"> </w:t>
      </w:r>
      <w:r>
        <w:t>Tarnybos specialistai nustatė, kad 460</w:t>
      </w:r>
      <w:r w:rsidRPr="00322726">
        <w:t xml:space="preserve"> atvej</w:t>
      </w:r>
      <w:r>
        <w:t xml:space="preserve">ų (34 proc. </w:t>
      </w:r>
      <w:r w:rsidRPr="00322726">
        <w:t>visų gautų pranešimų</w:t>
      </w:r>
      <w:r>
        <w:t>) pranešimuose nurodytas turinys buvo išties draudžiamas arba darantis neigiamą poveikį nepilnamečiams, ir dėl nurodyto turinio buvo galima imtis atitinkamų veiksmų (2019 m. gauti 998 pranešimai, iš jų 482 (t. y. 48 proc.) persiųsti atitinkamoms institucijoms tolesniam tyrimui.</w:t>
      </w:r>
    </w:p>
    <w:p w14:paraId="2F31E43F" w14:textId="77777777" w:rsidR="008B10FF" w:rsidRPr="00A91669" w:rsidRDefault="008B10FF" w:rsidP="00E660EB">
      <w:pPr>
        <w:pStyle w:val="Antrat5"/>
        <w:spacing w:before="0" w:line="250" w:lineRule="auto"/>
        <w:ind w:firstLine="709"/>
        <w:rPr>
          <w:rFonts w:ascii="Times New Roman" w:hAnsi="Times New Roman"/>
          <w:b/>
          <w:bCs/>
          <w:color w:val="17365D" w:themeColor="text2" w:themeShade="BF"/>
          <w:szCs w:val="24"/>
        </w:rPr>
      </w:pPr>
      <w:bookmarkStart w:id="87" w:name="_Hlk34228487"/>
      <w:r w:rsidRPr="00A91669">
        <w:rPr>
          <w:rFonts w:ascii="Times New Roman" w:hAnsi="Times New Roman"/>
          <w:b/>
          <w:bCs/>
          <w:color w:val="17365D" w:themeColor="text2" w:themeShade="BF"/>
          <w:szCs w:val="24"/>
        </w:rPr>
        <w:t>Socialinio saugumo stiprinimas, demografinės būklės gerinimas</w:t>
      </w:r>
    </w:p>
    <w:p w14:paraId="280E20FA" w14:textId="77777777" w:rsidR="008B10FF" w:rsidRPr="00710058" w:rsidRDefault="008B10FF" w:rsidP="00E660EB">
      <w:pPr>
        <w:autoSpaceDE w:val="0"/>
        <w:autoSpaceDN w:val="0"/>
        <w:adjustRightInd w:val="0"/>
        <w:spacing w:line="250" w:lineRule="auto"/>
        <w:ind w:firstLine="709"/>
        <w:jc w:val="both"/>
        <w:rPr>
          <w:b/>
          <w:bCs/>
          <w:color w:val="000000"/>
        </w:rPr>
      </w:pPr>
      <w:r w:rsidRPr="00710058">
        <w:rPr>
          <w:color w:val="000000"/>
        </w:rPr>
        <w:t>Šalyje susidarius epidemiologinės krizės situacijai</w:t>
      </w:r>
      <w:r>
        <w:rPr>
          <w:color w:val="000000"/>
        </w:rPr>
        <w:t xml:space="preserve"> dėl</w:t>
      </w:r>
      <w:r w:rsidRPr="00710058">
        <w:rPr>
          <w:szCs w:val="24"/>
        </w:rPr>
        <w:t xml:space="preserve"> C</w:t>
      </w:r>
      <w:r>
        <w:rPr>
          <w:szCs w:val="24"/>
        </w:rPr>
        <w:t>OVID</w:t>
      </w:r>
      <w:r w:rsidRPr="00710058">
        <w:rPr>
          <w:szCs w:val="24"/>
        </w:rPr>
        <w:t>-19</w:t>
      </w:r>
      <w:r w:rsidRPr="00710058">
        <w:rPr>
          <w:color w:val="000000"/>
        </w:rPr>
        <w:t>, o valstybės valdžios institucijoms imantis būtinų kraštutinių ir neįprastų priemonių, siekiant apsaugoti visuomenės sveikatą, itin svarbu užtikrinti, kad viruso sukeltos rizikos neleistų visuomenėje plisti baimės, įtarumo, nepasitikėjimo, nepakantumo nuotaikoms atskirų grupių atžvilgiu. Šiais klausimais itin svarbi visų valstybės valdymo institucijų bendra ir nuosekli komunikacija ir bendradarbiavimas su atskirų sričių specialistais</w:t>
      </w:r>
      <w:r>
        <w:rPr>
          <w:color w:val="000000"/>
        </w:rPr>
        <w:t xml:space="preserve">, siekiant </w:t>
      </w:r>
      <w:r w:rsidRPr="00710058">
        <w:rPr>
          <w:color w:val="000000"/>
        </w:rPr>
        <w:t>sumažinti epidemiologinės krizės poveikį gyventojų psichologinei (emocinei) sveikatai. Būtina užtikrinti įvairių formų kokybišką ir prieinamą emocinės ir psichologinės pagalbos teikimą, smurto artimoje aplinkoje, smurto prieš vaikus prevencijos ir pagalbos priemonių vykdymą ir plėtrą. Tai svarbu mažinant savižudybių, smurtinių nusikaltimų, psichosomatinių susirgimų riziką</w:t>
      </w:r>
      <w:r w:rsidRPr="00FA1A3D">
        <w:rPr>
          <w:color w:val="000000"/>
        </w:rPr>
        <w:t>.</w:t>
      </w:r>
    </w:p>
    <w:p w14:paraId="4113D35D" w14:textId="77777777" w:rsidR="008B10FF" w:rsidRPr="00710058" w:rsidRDefault="008B10FF" w:rsidP="00E660EB">
      <w:pPr>
        <w:autoSpaceDE w:val="0"/>
        <w:autoSpaceDN w:val="0"/>
        <w:adjustRightInd w:val="0"/>
        <w:spacing w:line="250" w:lineRule="auto"/>
        <w:ind w:firstLine="709"/>
        <w:jc w:val="both"/>
        <w:rPr>
          <w:color w:val="000000"/>
        </w:rPr>
      </w:pPr>
      <w:r w:rsidRPr="00710058">
        <w:rPr>
          <w:color w:val="000000"/>
        </w:rPr>
        <w:t>Nuo 2020 m. balandžio gyventojai pagalbos gali kreiptis emocinės pagalbos linija 1809, kuri vienija emocinę paramą teikiančias linijas: Vilties liniją, Pagalbos moterims liniją, Jaunimo liniją, Vaikų liniją ir Sidabrinę liniją. Šiose linijose emocinę paramą teikia specialiai, tam paruošti savanoriai ir psichologai.</w:t>
      </w:r>
      <w:r>
        <w:rPr>
          <w:color w:val="000000"/>
        </w:rPr>
        <w:t xml:space="preserve"> </w:t>
      </w:r>
      <w:r w:rsidRPr="00710058">
        <w:rPr>
          <w:color w:val="000000"/>
        </w:rPr>
        <w:t xml:space="preserve">2020 m. birželį startavusi psichologinės pagalbos platforma </w:t>
      </w:r>
      <w:proofErr w:type="spellStart"/>
      <w:r w:rsidRPr="00710058">
        <w:rPr>
          <w:color w:val="000000"/>
        </w:rPr>
        <w:t>pagalbasau.lt</w:t>
      </w:r>
      <w:proofErr w:type="spellEnd"/>
      <w:r w:rsidRPr="00710058">
        <w:rPr>
          <w:color w:val="000000"/>
        </w:rPr>
        <w:t xml:space="preserve"> leidžia šalies gyventojams daugiau sužinoti apie savo ir artimųjų psichikos sveikatą </w:t>
      </w:r>
      <w:r>
        <w:rPr>
          <w:color w:val="000000"/>
        </w:rPr>
        <w:t>ir</w:t>
      </w:r>
      <w:r w:rsidRPr="00710058">
        <w:rPr>
          <w:color w:val="000000"/>
        </w:rPr>
        <w:t xml:space="preserve"> greitai rasti reikiamą pagalbą. </w:t>
      </w:r>
      <w:proofErr w:type="spellStart"/>
      <w:r w:rsidRPr="00710058">
        <w:rPr>
          <w:color w:val="000000"/>
        </w:rPr>
        <w:t>Pagalbasau.lt</w:t>
      </w:r>
      <w:proofErr w:type="spellEnd"/>
      <w:r w:rsidRPr="00710058">
        <w:rPr>
          <w:color w:val="000000"/>
        </w:rPr>
        <w:t xml:space="preserve"> svetainėje atsakius į pateikiamus klausimus, galima įsivertinti savo emocinę būseną, o interaktyviame žemėlapyje –</w:t>
      </w:r>
      <w:r>
        <w:rPr>
          <w:color w:val="000000"/>
        </w:rPr>
        <w:t xml:space="preserve"> </w:t>
      </w:r>
      <w:r w:rsidRPr="00710058">
        <w:rPr>
          <w:color w:val="000000"/>
        </w:rPr>
        <w:t>rasti išsamią informaciją apie pagalbos sistemą Lietuvoje</w:t>
      </w:r>
      <w:r>
        <w:rPr>
          <w:color w:val="000000"/>
        </w:rPr>
        <w:t xml:space="preserve">: </w:t>
      </w:r>
      <w:r w:rsidRPr="00710058">
        <w:rPr>
          <w:color w:val="000000"/>
        </w:rPr>
        <w:t>pagalbą teikiančių įstaigų adresus, kontaktinius duomenis ir teikiamas paslaugas.</w:t>
      </w:r>
      <w:r>
        <w:rPr>
          <w:color w:val="000000"/>
        </w:rPr>
        <w:t xml:space="preserve"> </w:t>
      </w:r>
      <w:r w:rsidRPr="00710058">
        <w:rPr>
          <w:color w:val="000000"/>
        </w:rPr>
        <w:t>Taip pat pagalbą žmonėms</w:t>
      </w:r>
      <w:r>
        <w:rPr>
          <w:color w:val="000000"/>
        </w:rPr>
        <w:t>,</w:t>
      </w:r>
      <w:r w:rsidRPr="00710058">
        <w:rPr>
          <w:color w:val="000000"/>
        </w:rPr>
        <w:t xml:space="preserve"> susidūrusiems su grėsme žmogaus sveikatai arba gyvybei</w:t>
      </w:r>
      <w:r>
        <w:rPr>
          <w:color w:val="000000"/>
        </w:rPr>
        <w:t>,</w:t>
      </w:r>
      <w:r w:rsidRPr="00710058">
        <w:rPr>
          <w:color w:val="000000"/>
        </w:rPr>
        <w:t xml:space="preserve"> nuo 2020 m. spalio teikia mobiliosios krizių įveikimo komandos</w:t>
      </w:r>
      <w:r>
        <w:rPr>
          <w:rStyle w:val="Puslapioinaosnuoroda"/>
          <w:rFonts w:eastAsia="Calibri"/>
          <w:color w:val="000000"/>
        </w:rPr>
        <w:footnoteReference w:id="70"/>
      </w:r>
      <w:r w:rsidRPr="00710058">
        <w:rPr>
          <w:color w:val="000000"/>
        </w:rPr>
        <w:t xml:space="preserve">. </w:t>
      </w:r>
    </w:p>
    <w:p w14:paraId="30A067A2" w14:textId="77777777" w:rsidR="008B10FF" w:rsidRPr="0030726B" w:rsidRDefault="008B10FF" w:rsidP="00E660EB">
      <w:pPr>
        <w:autoSpaceDE w:val="0"/>
        <w:autoSpaceDN w:val="0"/>
        <w:adjustRightInd w:val="0"/>
        <w:spacing w:line="250" w:lineRule="auto"/>
        <w:ind w:firstLine="709"/>
        <w:jc w:val="both"/>
        <w:rPr>
          <w:color w:val="000000"/>
          <w:szCs w:val="24"/>
        </w:rPr>
      </w:pPr>
      <w:r>
        <w:rPr>
          <w:color w:val="000000"/>
        </w:rPr>
        <w:t>N</w:t>
      </w:r>
      <w:r w:rsidRPr="00710058">
        <w:rPr>
          <w:color w:val="000000"/>
        </w:rPr>
        <w:t>uo 2020 m</w:t>
      </w:r>
      <w:r>
        <w:rPr>
          <w:color w:val="000000"/>
        </w:rPr>
        <w:t>.</w:t>
      </w:r>
      <w:r w:rsidRPr="00710058">
        <w:rPr>
          <w:color w:val="000000"/>
        </w:rPr>
        <w:t xml:space="preserve"> rudens Visuomenės sveikatos biuruose pradėtos teikti šios nemokamos paslaugos:</w:t>
      </w:r>
      <w:r>
        <w:rPr>
          <w:color w:val="000000"/>
        </w:rPr>
        <w:t xml:space="preserve"> s</w:t>
      </w:r>
      <w:r w:rsidRPr="00710058">
        <w:rPr>
          <w:color w:val="000000"/>
        </w:rPr>
        <w:t>treso valdymo, emocijų atpažinimo ir valdymo grupiniai užsiėmimai;</w:t>
      </w:r>
      <w:r>
        <w:rPr>
          <w:color w:val="000000"/>
        </w:rPr>
        <w:t xml:space="preserve"> s</w:t>
      </w:r>
      <w:r w:rsidRPr="00710058">
        <w:rPr>
          <w:color w:val="000000"/>
        </w:rPr>
        <w:t>avitarpio pagalbos grupių užsiėmimai (įvairiomis temomis);</w:t>
      </w:r>
      <w:r>
        <w:rPr>
          <w:color w:val="000000"/>
        </w:rPr>
        <w:t xml:space="preserve"> p</w:t>
      </w:r>
      <w:r w:rsidRPr="00710058">
        <w:rPr>
          <w:color w:val="000000"/>
        </w:rPr>
        <w:t>sichologinės konsultacijos grupėse;</w:t>
      </w:r>
      <w:r>
        <w:rPr>
          <w:color w:val="000000"/>
        </w:rPr>
        <w:t xml:space="preserve"> i</w:t>
      </w:r>
      <w:r w:rsidRPr="00710058">
        <w:rPr>
          <w:color w:val="000000"/>
        </w:rPr>
        <w:t>ndividualios psichologo konsultacijos asmenims, kuriems pasireiškia psichikos sveikatos rizikos veiksni</w:t>
      </w:r>
      <w:r>
        <w:rPr>
          <w:color w:val="000000"/>
        </w:rPr>
        <w:t>ų</w:t>
      </w:r>
      <w:r w:rsidRPr="00710058">
        <w:rPr>
          <w:color w:val="000000"/>
        </w:rPr>
        <w:t xml:space="preserve"> dėl sudėtingų gyvenimiškų situacijų (iki 5 vienam asmeniui).</w:t>
      </w:r>
      <w:r>
        <w:rPr>
          <w:color w:val="000000"/>
        </w:rPr>
        <w:t xml:space="preserve"> </w:t>
      </w:r>
      <w:r w:rsidRPr="00710058">
        <w:rPr>
          <w:color w:val="000000"/>
        </w:rPr>
        <w:t xml:space="preserve">Todėl gyventojai, patiriantys </w:t>
      </w:r>
      <w:proofErr w:type="spellStart"/>
      <w:r w:rsidRPr="00710058">
        <w:rPr>
          <w:color w:val="000000"/>
        </w:rPr>
        <w:t>koronaviruso</w:t>
      </w:r>
      <w:proofErr w:type="spellEnd"/>
      <w:r w:rsidRPr="00710058">
        <w:rPr>
          <w:color w:val="000000"/>
        </w:rPr>
        <w:t xml:space="preserve"> pandemijos sukeltą stresą, nerimą bei išgyvenantys kitas sudėtingas gyvenimiškas situacijas gali kreiptis į </w:t>
      </w:r>
      <w:r>
        <w:rPr>
          <w:color w:val="000000"/>
        </w:rPr>
        <w:t>v</w:t>
      </w:r>
      <w:r w:rsidRPr="00710058">
        <w:rPr>
          <w:color w:val="000000"/>
        </w:rPr>
        <w:t xml:space="preserve">isuomenės sveikatos biurus. Norint gauti šią nemokamą psichologinę pagalbą, nereikia specialaus gydytojo siuntimo, </w:t>
      </w:r>
      <w:r w:rsidRPr="0030726B">
        <w:rPr>
          <w:color w:val="000000"/>
          <w:szCs w:val="24"/>
        </w:rPr>
        <w:t>pakanka susiekti su artimiausiu Visuomenės sveikatos biuru.</w:t>
      </w:r>
    </w:p>
    <w:bookmarkEnd w:id="87"/>
    <w:p w14:paraId="14B48B52" w14:textId="77777777" w:rsidR="008B10FF" w:rsidRPr="0030726B" w:rsidRDefault="008B10FF" w:rsidP="00E660EB">
      <w:pPr>
        <w:pStyle w:val="Antrat5"/>
        <w:spacing w:before="0" w:line="250" w:lineRule="auto"/>
        <w:ind w:firstLine="709"/>
        <w:rPr>
          <w:rFonts w:ascii="Times New Roman" w:hAnsi="Times New Roman" w:cs="Times New Roman"/>
          <w:b/>
          <w:bCs/>
          <w:color w:val="17365D" w:themeColor="text2" w:themeShade="BF"/>
          <w:szCs w:val="24"/>
        </w:rPr>
      </w:pPr>
      <w:r w:rsidRPr="0030726B">
        <w:rPr>
          <w:rFonts w:ascii="Times New Roman" w:hAnsi="Times New Roman" w:cs="Times New Roman"/>
          <w:b/>
          <w:bCs/>
          <w:color w:val="17365D" w:themeColor="text2" w:themeShade="BF"/>
          <w:szCs w:val="24"/>
        </w:rPr>
        <w:t>Aplinkos apsaugos užtikrinimas</w:t>
      </w:r>
      <w:bookmarkEnd w:id="59"/>
      <w:r w:rsidRPr="0030726B">
        <w:rPr>
          <w:rFonts w:ascii="Times New Roman" w:hAnsi="Times New Roman" w:cs="Times New Roman"/>
          <w:b/>
          <w:bCs/>
          <w:color w:val="17365D" w:themeColor="text2" w:themeShade="BF"/>
          <w:szCs w:val="24"/>
        </w:rPr>
        <w:t xml:space="preserve"> </w:t>
      </w:r>
    </w:p>
    <w:p w14:paraId="6D51779E" w14:textId="77777777" w:rsidR="008B10FF" w:rsidRPr="0030726B" w:rsidRDefault="008B10FF" w:rsidP="00E660EB">
      <w:pPr>
        <w:pStyle w:val="Betarp"/>
        <w:spacing w:line="250" w:lineRule="auto"/>
        <w:ind w:firstLine="709"/>
        <w:jc w:val="both"/>
        <w:rPr>
          <w:rFonts w:ascii="Times New Roman" w:hAnsi="Times New Roman"/>
          <w:sz w:val="24"/>
          <w:szCs w:val="24"/>
          <w:lang w:val="lt-LT"/>
        </w:rPr>
      </w:pPr>
      <w:r w:rsidRPr="0030726B">
        <w:rPr>
          <w:rFonts w:ascii="Times New Roman" w:hAnsi="Times New Roman"/>
          <w:sz w:val="24"/>
          <w:szCs w:val="24"/>
          <w:lang w:val="lt-LT"/>
        </w:rPr>
        <w:t>Siekiant užtikrinti efektyvų ir koordinuotą aplinkos apsaugos valstybinės kontrolės organizavimą ir vykdymą, atliekama aplinkos apsaugos valstybinės kontrolės reforma, šios kontrolės funkcijas koncentruojant vienoje institucijoje. 2020 m</w:t>
      </w:r>
      <w:r>
        <w:rPr>
          <w:rFonts w:ascii="Times New Roman" w:hAnsi="Times New Roman"/>
          <w:sz w:val="24"/>
          <w:szCs w:val="24"/>
          <w:lang w:val="lt-LT"/>
        </w:rPr>
        <w:t>.</w:t>
      </w:r>
      <w:r w:rsidRPr="0030726B">
        <w:rPr>
          <w:rFonts w:ascii="Times New Roman" w:hAnsi="Times New Roman"/>
          <w:sz w:val="24"/>
          <w:szCs w:val="24"/>
          <w:lang w:val="lt-LT"/>
        </w:rPr>
        <w:t xml:space="preserve"> buvo vykdomas antrasis minėtos reformos etapas, kurio metu Aplinkos apsaugos įstatymo, Aplinkos apsaugos valstybinės kontrolės įstatymo, Miškų įstatymo, Saugomų teritorijų įstatymo pakeitimais sistemiškai </w:t>
      </w:r>
      <w:r>
        <w:rPr>
          <w:rFonts w:ascii="Times New Roman" w:hAnsi="Times New Roman"/>
          <w:sz w:val="24"/>
          <w:szCs w:val="24"/>
          <w:lang w:val="lt-LT"/>
        </w:rPr>
        <w:t>patikslintas</w:t>
      </w:r>
      <w:r w:rsidRPr="0030726B">
        <w:rPr>
          <w:rFonts w:ascii="Times New Roman" w:hAnsi="Times New Roman"/>
          <w:sz w:val="24"/>
          <w:szCs w:val="24"/>
          <w:lang w:val="lt-LT"/>
        </w:rPr>
        <w:t xml:space="preserve"> aplinkos apsaugos valstybinės kontrolės turinys, suderintos specialiųjų įstatymų nuostatos, įtvirtinama, kad aplinkos apsaugos valstybinę kontrolę vykdo viena institucija – Aplinkos apsaugos departamentas prie Aplinkos ministerijos, aiškiai atskirtos Valstybinės saugomų teritorijų tarnybos prie Aplinkos ministerijos, Valstybinės miškų tarnybos ir Aplinkos apsaugos departamento funkcijos. Tai leis efektyviau planuoti ir vykdyti aplinkos apsaugos valstybinę kontrolę.</w:t>
      </w:r>
    </w:p>
    <w:p w14:paraId="6966D664" w14:textId="77777777" w:rsidR="008B10FF" w:rsidRPr="0030726B" w:rsidRDefault="008B10FF" w:rsidP="00E660EB">
      <w:pPr>
        <w:pStyle w:val="Betarp"/>
        <w:spacing w:line="250" w:lineRule="auto"/>
        <w:ind w:firstLine="709"/>
        <w:jc w:val="both"/>
        <w:rPr>
          <w:rFonts w:ascii="Times New Roman" w:hAnsi="Times New Roman"/>
          <w:sz w:val="24"/>
          <w:szCs w:val="24"/>
          <w:lang w:val="lt-LT"/>
        </w:rPr>
      </w:pPr>
      <w:r w:rsidRPr="00FA1A3D">
        <w:rPr>
          <w:rFonts w:ascii="Times New Roman" w:hAnsi="Times New Roman"/>
          <w:sz w:val="24"/>
          <w:szCs w:val="24"/>
          <w:lang w:val="lt-LT"/>
        </w:rPr>
        <w:t xml:space="preserve">Aplinkos apsaugos valstybinės kontrolės ir Aplinkos apsaugos įstatymų pakeitimais sudaryta galimybė efektyviau spręsti taršių gamybinių objektų daromo neigiamo poveikio aplinkiniams gyventojams problemą ir </w:t>
      </w:r>
      <w:r w:rsidRPr="00FA1A3D">
        <w:rPr>
          <w:rFonts w:ascii="Times New Roman" w:hAnsi="Times New Roman"/>
          <w:sz w:val="24"/>
          <w:szCs w:val="24"/>
          <w:lang w:val="lt-LT"/>
        </w:rPr>
        <w:lastRenderedPageBreak/>
        <w:t>aplinkos</w:t>
      </w:r>
      <w:r w:rsidRPr="0030726B">
        <w:rPr>
          <w:rFonts w:ascii="Times New Roman" w:hAnsi="Times New Roman"/>
          <w:sz w:val="24"/>
          <w:szCs w:val="24"/>
          <w:lang w:val="lt-LT"/>
        </w:rPr>
        <w:t xml:space="preserve"> apsaugos valstybinės kontrolės pareigūnams nutraukti sistemingai aplinką teršiančių subjektų veiklą. </w:t>
      </w:r>
      <w:r>
        <w:rPr>
          <w:rFonts w:ascii="Times New Roman" w:hAnsi="Times New Roman"/>
          <w:sz w:val="24"/>
          <w:szCs w:val="24"/>
          <w:lang w:val="lt-LT"/>
        </w:rPr>
        <w:t>A</w:t>
      </w:r>
      <w:r w:rsidRPr="0030726B">
        <w:rPr>
          <w:rFonts w:ascii="Times New Roman" w:hAnsi="Times New Roman"/>
          <w:sz w:val="24"/>
          <w:szCs w:val="24"/>
          <w:lang w:val="lt-LT"/>
        </w:rPr>
        <w:t>plinkos apsaugos valstybinės kontrolės įstatymo pakeitimu sudar</w:t>
      </w:r>
      <w:r>
        <w:rPr>
          <w:rFonts w:ascii="Times New Roman" w:hAnsi="Times New Roman"/>
          <w:sz w:val="24"/>
          <w:szCs w:val="24"/>
          <w:lang w:val="lt-LT"/>
        </w:rPr>
        <w:t>yta</w:t>
      </w:r>
      <w:r w:rsidRPr="0030726B">
        <w:rPr>
          <w:rFonts w:ascii="Times New Roman" w:hAnsi="Times New Roman"/>
          <w:sz w:val="24"/>
          <w:szCs w:val="24"/>
          <w:lang w:val="lt-LT"/>
        </w:rPr>
        <w:t xml:space="preserve"> galimybė efektyv</w:t>
      </w:r>
      <w:r>
        <w:rPr>
          <w:rFonts w:ascii="Times New Roman" w:hAnsi="Times New Roman"/>
          <w:sz w:val="24"/>
          <w:szCs w:val="24"/>
          <w:lang w:val="lt-LT"/>
        </w:rPr>
        <w:t>iau</w:t>
      </w:r>
      <w:r w:rsidRPr="0030726B">
        <w:rPr>
          <w:rFonts w:ascii="Times New Roman" w:hAnsi="Times New Roman"/>
          <w:sz w:val="24"/>
          <w:szCs w:val="24"/>
          <w:lang w:val="lt-LT"/>
        </w:rPr>
        <w:t xml:space="preserve"> ir grei</w:t>
      </w:r>
      <w:r>
        <w:rPr>
          <w:rFonts w:ascii="Times New Roman" w:hAnsi="Times New Roman"/>
          <w:sz w:val="24"/>
          <w:szCs w:val="24"/>
          <w:lang w:val="lt-LT"/>
        </w:rPr>
        <w:t>čiau nutraukti</w:t>
      </w:r>
      <w:r w:rsidRPr="0030726B">
        <w:rPr>
          <w:rFonts w:ascii="Times New Roman" w:hAnsi="Times New Roman"/>
          <w:sz w:val="24"/>
          <w:szCs w:val="24"/>
          <w:lang w:val="lt-LT"/>
        </w:rPr>
        <w:t xml:space="preserve"> aplinkosaug</w:t>
      </w:r>
      <w:r>
        <w:rPr>
          <w:rFonts w:ascii="Times New Roman" w:hAnsi="Times New Roman"/>
          <w:sz w:val="24"/>
          <w:szCs w:val="24"/>
          <w:lang w:val="lt-LT"/>
        </w:rPr>
        <w:t>os</w:t>
      </w:r>
      <w:r w:rsidRPr="0030726B">
        <w:rPr>
          <w:rFonts w:ascii="Times New Roman" w:hAnsi="Times New Roman"/>
          <w:sz w:val="24"/>
          <w:szCs w:val="24"/>
          <w:lang w:val="lt-LT"/>
        </w:rPr>
        <w:t xml:space="preserve"> pažeidim</w:t>
      </w:r>
      <w:r>
        <w:rPr>
          <w:rFonts w:ascii="Times New Roman" w:hAnsi="Times New Roman"/>
          <w:sz w:val="24"/>
          <w:szCs w:val="24"/>
          <w:lang w:val="lt-LT"/>
        </w:rPr>
        <w:t xml:space="preserve">us </w:t>
      </w:r>
      <w:r w:rsidRPr="0030726B">
        <w:rPr>
          <w:rFonts w:ascii="Times New Roman" w:hAnsi="Times New Roman"/>
          <w:sz w:val="24"/>
          <w:szCs w:val="24"/>
          <w:lang w:val="lt-LT"/>
        </w:rPr>
        <w:t>– panaikin</w:t>
      </w:r>
      <w:r>
        <w:rPr>
          <w:rFonts w:ascii="Times New Roman" w:hAnsi="Times New Roman"/>
          <w:sz w:val="24"/>
          <w:szCs w:val="24"/>
          <w:lang w:val="lt-LT"/>
        </w:rPr>
        <w:t>ta</w:t>
      </w:r>
      <w:r w:rsidRPr="0030726B">
        <w:rPr>
          <w:rFonts w:ascii="Times New Roman" w:hAnsi="Times New Roman"/>
          <w:sz w:val="24"/>
          <w:szCs w:val="24"/>
          <w:lang w:val="lt-LT"/>
        </w:rPr>
        <w:t xml:space="preserve"> galimyb</w:t>
      </w:r>
      <w:r>
        <w:rPr>
          <w:rFonts w:ascii="Times New Roman" w:hAnsi="Times New Roman"/>
          <w:sz w:val="24"/>
          <w:szCs w:val="24"/>
          <w:lang w:val="lt-LT"/>
        </w:rPr>
        <w:t>ė</w:t>
      </w:r>
      <w:r w:rsidRPr="0030726B">
        <w:rPr>
          <w:rFonts w:ascii="Times New Roman" w:hAnsi="Times New Roman"/>
          <w:sz w:val="24"/>
          <w:szCs w:val="24"/>
          <w:lang w:val="lt-LT"/>
        </w:rPr>
        <w:t xml:space="preserve"> dėl to paties pažeidimo duoti daugiau kaip vieną privalomąjį nurodymą, o nurodymo laiku neįvykdžius – nustatyti prievolę perduoti reikalavimą dėl privalomojo nurodymo įvykdymo teismui; taip pat numatyta galimybė (esant įstatyme numatytiems atvejams) privalomuoju nurodymu stabdyti ūkio subjektų veiklą; sudaryta galimybė padidinti taršos šaltinių kontrolės efektyvumą, numatant teisę Aplinkos apsaugos agentūros darbuotojams be išankstinio įspėjimo bet kuriuo metu patekti į objektus ir paimti teršalų ėminius arba atlikti taršos matavimus. Lietuvos Respublikos aplinkos apsaugos įstatymo pakeitimu numatyta galimybė panaikinti taršos integruotos prevencijos ir kontrolės (TIPK) ar taršos leidimus ūkio subjektams, kurie sistemingai teršia aplinką (3 kartus per metus nustatomi atitinkamo pobūdžio pažeidimai ar neįvykdomi aplinkos apsaugos valstybinės kontrolės pareigūnų duoti privalomieji nurodymai pašalinti tokio pobūdžio pažeidimus).</w:t>
      </w:r>
    </w:p>
    <w:p w14:paraId="293BAD0C" w14:textId="77777777" w:rsidR="008B10FF" w:rsidRPr="0030726B" w:rsidRDefault="008B10FF" w:rsidP="00E660EB">
      <w:pPr>
        <w:pStyle w:val="Pagrindinistekstas"/>
        <w:spacing w:line="250" w:lineRule="auto"/>
        <w:ind w:firstLine="709"/>
        <w:rPr>
          <w:szCs w:val="24"/>
        </w:rPr>
      </w:pPr>
      <w:r w:rsidRPr="0030726B">
        <w:rPr>
          <w:szCs w:val="24"/>
        </w:rPr>
        <w:t xml:space="preserve">Aplinkos apsaugos agentūra </w:t>
      </w:r>
      <w:r w:rsidRPr="0030726B">
        <w:rPr>
          <w:bCs/>
          <w:szCs w:val="24"/>
        </w:rPr>
        <w:t xml:space="preserve">iki </w:t>
      </w:r>
      <w:r w:rsidRPr="0030726B">
        <w:rPr>
          <w:szCs w:val="24"/>
        </w:rPr>
        <w:t>2021 m. sausio 1 d. buvo atsakinga už radiologinio monitoringo organizavimą, atlikimą, priežiūrą ir ankstyvojo perspėjimo sistemos RADIS bei ARGOS prognozavimo sistemų administravimą. Agentūra perdavė radiologinio monitoringo organizavimo, atlikimo, priežiūros ir ankstyvojo perspėjimo sistemos RADIS bei ARGOS prognozavimo sistemos administravimo funkcijas Radiacijos saugos centrui.</w:t>
      </w:r>
    </w:p>
    <w:p w14:paraId="716A5C5B" w14:textId="77777777" w:rsidR="008B10FF" w:rsidRDefault="008B10FF" w:rsidP="00E660EB">
      <w:pPr>
        <w:spacing w:line="250" w:lineRule="auto"/>
        <w:ind w:firstLine="709"/>
        <w:jc w:val="both"/>
      </w:pPr>
      <w:r w:rsidRPr="0030726B">
        <w:rPr>
          <w:szCs w:val="24"/>
        </w:rPr>
        <w:t>2020 m.  Lietuvoje gama dozės reikšmė n</w:t>
      </w:r>
      <w:r>
        <w:rPr>
          <w:szCs w:val="24"/>
        </w:rPr>
        <w:t>ė</w:t>
      </w:r>
      <w:r w:rsidRPr="0030726B">
        <w:rPr>
          <w:szCs w:val="24"/>
        </w:rPr>
        <w:t xml:space="preserve"> karto nebuvo viršijusi nustatytos normos. Radiologinis oro monitoringas vykdomas: 43 </w:t>
      </w:r>
      <w:r w:rsidRPr="0030726B">
        <w:rPr>
          <w:szCs w:val="24"/>
          <w:lang w:eastAsia="ar-SA"/>
        </w:rPr>
        <w:t xml:space="preserve">ankstyvojo </w:t>
      </w:r>
      <w:r w:rsidRPr="0030726B">
        <w:rPr>
          <w:szCs w:val="24"/>
        </w:rPr>
        <w:t xml:space="preserve">radiacinio pavojaus </w:t>
      </w:r>
      <w:r w:rsidRPr="0030726B">
        <w:rPr>
          <w:szCs w:val="24"/>
          <w:lang w:eastAsia="ar-SA"/>
        </w:rPr>
        <w:t xml:space="preserve">perspėjimo </w:t>
      </w:r>
      <w:r w:rsidRPr="0030726B">
        <w:rPr>
          <w:szCs w:val="24"/>
        </w:rPr>
        <w:t xml:space="preserve">automatinėse stotyse; 3 aerozolių mėginių ėmimo ir matavimo stotyse; 4 </w:t>
      </w:r>
      <w:proofErr w:type="spellStart"/>
      <w:r w:rsidRPr="0030726B">
        <w:rPr>
          <w:szCs w:val="24"/>
        </w:rPr>
        <w:t>iškritų</w:t>
      </w:r>
      <w:proofErr w:type="spellEnd"/>
      <w:r w:rsidRPr="0030726B">
        <w:rPr>
          <w:szCs w:val="24"/>
        </w:rPr>
        <w:t xml:space="preserve"> mėginių ėmimo stotyse; paviršinių vandens telkinių monitoringas vykdomas: </w:t>
      </w:r>
      <w:r w:rsidRPr="0030726B">
        <w:rPr>
          <w:szCs w:val="24"/>
          <w:lang w:eastAsia="ar-SA"/>
        </w:rPr>
        <w:t>3 automatinėse upių vandens</w:t>
      </w:r>
      <w:r w:rsidRPr="00B33B8B">
        <w:rPr>
          <w:szCs w:val="24"/>
          <w:lang w:eastAsia="ar-SA"/>
        </w:rPr>
        <w:t xml:space="preserve"> matavimo stotyse – Neryje ties </w:t>
      </w:r>
      <w:proofErr w:type="spellStart"/>
      <w:r w:rsidRPr="00B33B8B">
        <w:rPr>
          <w:szCs w:val="24"/>
          <w:lang w:eastAsia="ar-SA"/>
        </w:rPr>
        <w:t>Buivydžiais</w:t>
      </w:r>
      <w:proofErr w:type="spellEnd"/>
      <w:r w:rsidRPr="00B33B8B">
        <w:rPr>
          <w:szCs w:val="24"/>
          <w:lang w:eastAsia="ar-SA"/>
        </w:rPr>
        <w:t xml:space="preserve"> ir Nemune ties </w:t>
      </w:r>
      <w:proofErr w:type="spellStart"/>
      <w:r w:rsidRPr="00B33B8B">
        <w:rPr>
          <w:szCs w:val="24"/>
          <w:lang w:eastAsia="ar-SA"/>
        </w:rPr>
        <w:t>Smalininkais</w:t>
      </w:r>
      <w:proofErr w:type="spellEnd"/>
      <w:r w:rsidRPr="00B33B8B">
        <w:rPr>
          <w:szCs w:val="24"/>
          <w:lang w:eastAsia="ar-SA"/>
        </w:rPr>
        <w:t xml:space="preserve"> ir Rusne; </w:t>
      </w:r>
      <w:r w:rsidRPr="00B33B8B">
        <w:rPr>
          <w:szCs w:val="24"/>
        </w:rPr>
        <w:t>13 paviršinių vandens telkinių tyrimų</w:t>
      </w:r>
      <w:r w:rsidRPr="002A74CF">
        <w:rPr>
          <w:szCs w:val="24"/>
        </w:rPr>
        <w:t xml:space="preserve"> vietų (6 upėse, 3 ežeruose, Kuršių mariose ir Baltijos jūroje paimami ėminiai ir tiriami laboratorijoje).</w:t>
      </w:r>
      <w:r>
        <w:rPr>
          <w:szCs w:val="24"/>
        </w:rPr>
        <w:t xml:space="preserve"> </w:t>
      </w:r>
    </w:p>
    <w:p w14:paraId="1865F557" w14:textId="77777777" w:rsidR="008B10FF" w:rsidRDefault="008B10FF" w:rsidP="00E660EB">
      <w:pPr>
        <w:spacing w:line="250" w:lineRule="auto"/>
        <w:ind w:firstLine="709"/>
        <w:jc w:val="both"/>
      </w:pPr>
      <w:r w:rsidRPr="002A74CF">
        <w:rPr>
          <w:rFonts w:eastAsia="Calibri"/>
        </w:rPr>
        <w:t xml:space="preserve">Siekiant užtikrinti </w:t>
      </w:r>
      <w:r w:rsidRPr="002A74CF">
        <w:t xml:space="preserve">galimybę operatyviai reaguoti į radiacijos lygio padidėjimus, galimus dėl statomos </w:t>
      </w:r>
      <w:r>
        <w:t>Baltarusijos</w:t>
      </w:r>
      <w:r w:rsidRPr="002A74CF">
        <w:t xml:space="preserve"> AE veiklos, ES struktūrinės paramos lėšomis </w:t>
      </w:r>
      <w:r w:rsidRPr="00101A41">
        <w:t>o</w:t>
      </w:r>
      <w:r w:rsidRPr="00101A41">
        <w:rPr>
          <w:rFonts w:eastAsia="Calibri"/>
        </w:rPr>
        <w:t xml:space="preserve">rganizuotas radiacinio pavojaus perspėjimo sistemos modernizavimas – inicijuotas naujų matavimo sistemų ir 2 naujų stočių diegimas. </w:t>
      </w:r>
      <w:r w:rsidRPr="002A74CF">
        <w:t>2 naujos aerozolių mėginių ėmimo stotys buvo instaliuotos Utenoje (sen</w:t>
      </w:r>
      <w:r>
        <w:t>a</w:t>
      </w:r>
      <w:r w:rsidRPr="002A74CF">
        <w:t xml:space="preserve"> susidėvėjusi įrang</w:t>
      </w:r>
      <w:r>
        <w:t>a pakeista</w:t>
      </w:r>
      <w:r w:rsidRPr="002A74CF">
        <w:t xml:space="preserve"> nauja) ir Varėnos r. </w:t>
      </w:r>
      <w:proofErr w:type="spellStart"/>
      <w:r w:rsidRPr="002A74CF">
        <w:t>Dubininko</w:t>
      </w:r>
      <w:proofErr w:type="spellEnd"/>
      <w:r w:rsidRPr="002A74CF">
        <w:t xml:space="preserve"> k. (Dzūkijos IMS stotyje) ir nuo 2020 m. liepos mėnesio nepertraukiamai imami ir tiriami aplinkos oro mėginiai. </w:t>
      </w:r>
    </w:p>
    <w:p w14:paraId="1A81BBD6" w14:textId="77777777" w:rsidR="008B10FF" w:rsidRDefault="008B10FF" w:rsidP="00E660EB">
      <w:pPr>
        <w:spacing w:line="250" w:lineRule="auto"/>
        <w:ind w:firstLine="709"/>
        <w:jc w:val="both"/>
      </w:pPr>
      <w:r w:rsidRPr="00006267">
        <w:t>Vykd</w:t>
      </w:r>
      <w:r>
        <w:t>ydamas</w:t>
      </w:r>
      <w:r w:rsidRPr="00006267">
        <w:t xml:space="preserve"> sveikatos apsaugos ministro nustatytus reikalavimus, 2020 m. </w:t>
      </w:r>
      <w:r w:rsidRPr="00AF4E82">
        <w:t>R</w:t>
      </w:r>
      <w:r>
        <w:t xml:space="preserve">adiacinės saugos centras </w:t>
      </w:r>
      <w:r w:rsidRPr="00006267">
        <w:t>kontroliavo medienos ir durpių kuro</w:t>
      </w:r>
      <w:r>
        <w:t xml:space="preserve">, įvežamo </w:t>
      </w:r>
      <w:r w:rsidRPr="00006267">
        <w:t xml:space="preserve">iš teritorijų, </w:t>
      </w:r>
      <w:r>
        <w:t xml:space="preserve">kurios </w:t>
      </w:r>
      <w:r w:rsidRPr="00006267">
        <w:t xml:space="preserve">po avarijos Černobylio AE </w:t>
      </w:r>
      <w:r>
        <w:t xml:space="preserve">buvo </w:t>
      </w:r>
      <w:r w:rsidRPr="00006267">
        <w:t>užteršt</w:t>
      </w:r>
      <w:r>
        <w:t>os</w:t>
      </w:r>
      <w:r w:rsidRPr="00006267">
        <w:t xml:space="preserve"> radioaktyviosiomis medžiagomis, ir iš </w:t>
      </w:r>
      <w:r>
        <w:t xml:space="preserve">šio kuro </w:t>
      </w:r>
      <w:r w:rsidRPr="00006267">
        <w:t>gautų pelenų radioaktyvųjį užterštumą. Ši kontrol</w:t>
      </w:r>
      <w:r>
        <w:t>ė atliekama</w:t>
      </w:r>
      <w:r w:rsidRPr="00006267">
        <w:t xml:space="preserve"> siekia</w:t>
      </w:r>
      <w:r>
        <w:t>nt</w:t>
      </w:r>
      <w:r w:rsidRPr="00006267">
        <w:t xml:space="preserve"> užtikrinti, kad į Lietuvą nepatektų radioaktyviuoju ceziu Cs</w:t>
      </w:r>
      <w:r>
        <w:rPr>
          <w:vertAlign w:val="superscript"/>
        </w:rPr>
        <w:t>137</w:t>
      </w:r>
      <w:r w:rsidRPr="00006267">
        <w:t xml:space="preserve"> užteršto medienos ir durpių kuro, o tokį kurą naudojančiose įmonėse nesusidarytų radioaktyviųjų pelenų. </w:t>
      </w:r>
      <w:r>
        <w:t xml:space="preserve">2020 m. 44 atvejais į Lietuvą nebuvo leista įvežti medienos ir durpių kuro, kurio radioaktyvusis užterštumas </w:t>
      </w:r>
      <w:r w:rsidRPr="00006267">
        <w:t>Cs</w:t>
      </w:r>
      <w:r>
        <w:rPr>
          <w:vertAlign w:val="superscript"/>
        </w:rPr>
        <w:t xml:space="preserve">137 </w:t>
      </w:r>
      <w:r>
        <w:t xml:space="preserve">viršijo nustatytą lygį. </w:t>
      </w:r>
    </w:p>
    <w:p w14:paraId="7E0FC12D" w14:textId="77777777" w:rsidR="008B10FF" w:rsidRDefault="008B10FF" w:rsidP="00E660EB">
      <w:pPr>
        <w:spacing w:line="250" w:lineRule="auto"/>
        <w:ind w:firstLine="709"/>
        <w:jc w:val="both"/>
      </w:pPr>
      <w:r w:rsidRPr="00006267">
        <w:t xml:space="preserve">Siekiant įvertinti, ar radioaktyviosiomis medžiagomis </w:t>
      </w:r>
      <w:r>
        <w:t>ne</w:t>
      </w:r>
      <w:r w:rsidRPr="00006267">
        <w:t xml:space="preserve">užteršti maisto produktai ir geriamasis vanduo ir kokią </w:t>
      </w:r>
      <w:proofErr w:type="spellStart"/>
      <w:r w:rsidRPr="00006267">
        <w:t>apšvitą</w:t>
      </w:r>
      <w:proofErr w:type="spellEnd"/>
      <w:r w:rsidRPr="00006267">
        <w:t xml:space="preserve"> dėl maiste</w:t>
      </w:r>
      <w:r>
        <w:t xml:space="preserve"> bei</w:t>
      </w:r>
      <w:r w:rsidRPr="00006267">
        <w:t xml:space="preserve"> geriamajame vandenyje</w:t>
      </w:r>
      <w:r>
        <w:t xml:space="preserve"> esan</w:t>
      </w:r>
      <w:r w:rsidRPr="00006267">
        <w:t xml:space="preserve">čių gamtinių ir dirbtinių radionuklidų patiria </w:t>
      </w:r>
      <w:r>
        <w:t xml:space="preserve">Lietuvos </w:t>
      </w:r>
      <w:r w:rsidRPr="00006267">
        <w:t xml:space="preserve">gyventojai, 2020 m. </w:t>
      </w:r>
      <w:r w:rsidRPr="00AF4E82">
        <w:t>R</w:t>
      </w:r>
      <w:r>
        <w:t>adiacinis saugos centras tyrė</w:t>
      </w:r>
      <w:r w:rsidRPr="00006267">
        <w:t xml:space="preserve"> pagrindinių maisto produktų (pieno, mėsos, žuvies, bulvių, kopūstų, grūdų) ir </w:t>
      </w:r>
      <w:r>
        <w:t xml:space="preserve">Lietuvos miškų </w:t>
      </w:r>
      <w:r w:rsidRPr="00006267">
        <w:t xml:space="preserve">grybų bei geriamojo vandens ėminius. Nustatyta, kad ilgaamžių dirbtinių </w:t>
      </w:r>
      <w:r>
        <w:t xml:space="preserve">cezio </w:t>
      </w:r>
      <w:r w:rsidRPr="00006267">
        <w:t>Cs</w:t>
      </w:r>
      <w:r>
        <w:rPr>
          <w:vertAlign w:val="superscript"/>
        </w:rPr>
        <w:t>137</w:t>
      </w:r>
      <w:r w:rsidRPr="00006267">
        <w:t xml:space="preserve"> ir </w:t>
      </w:r>
      <w:r>
        <w:t xml:space="preserve">stroncio </w:t>
      </w:r>
      <w:r w:rsidRPr="00006267">
        <w:t>Sr</w:t>
      </w:r>
      <w:r>
        <w:rPr>
          <w:vertAlign w:val="superscript"/>
        </w:rPr>
        <w:t>90</w:t>
      </w:r>
      <w:r w:rsidRPr="00006267">
        <w:t xml:space="preserve"> radionuklidų aktyvumo koncentracija maisto produktuose ir jų žaliavose, atrinktose skirtinguose Lietuvos regionuose, </w:t>
      </w:r>
      <w:r>
        <w:t xml:space="preserve">įskaitant </w:t>
      </w:r>
      <w:r w:rsidRPr="00006267">
        <w:t>Ignalinos AE poveikio teritorij</w:t>
      </w:r>
      <w:r>
        <w:t>as</w:t>
      </w:r>
      <w:r w:rsidRPr="00006267">
        <w:t xml:space="preserve"> bei</w:t>
      </w:r>
      <w:r>
        <w:t xml:space="preserve"> teritorijas</w:t>
      </w:r>
      <w:r w:rsidRPr="00006267">
        <w:t>, kurios patenka į galimą Baltarusijos AE įtakos zoną, yra nedidelė</w:t>
      </w:r>
      <w:r>
        <w:t xml:space="preserve"> ir papildomos nepagrįstos Lietuvos gyventojų </w:t>
      </w:r>
      <w:proofErr w:type="spellStart"/>
      <w:r>
        <w:t>apšvitos</w:t>
      </w:r>
      <w:proofErr w:type="spellEnd"/>
      <w:r>
        <w:t xml:space="preserve"> nelemia. </w:t>
      </w:r>
    </w:p>
    <w:p w14:paraId="3D72E3A5" w14:textId="77777777" w:rsidR="008B10FF" w:rsidRPr="00A91669" w:rsidRDefault="008B10FF" w:rsidP="00E660EB">
      <w:pPr>
        <w:pStyle w:val="Antrat5"/>
        <w:spacing w:before="0" w:line="250" w:lineRule="auto"/>
        <w:ind w:firstLine="709"/>
        <w:rPr>
          <w:rFonts w:ascii="Times New Roman" w:hAnsi="Times New Roman"/>
          <w:b/>
          <w:bCs/>
        </w:rPr>
      </w:pPr>
      <w:bookmarkStart w:id="88" w:name="_Hlk67921591"/>
      <w:r w:rsidRPr="00A91669">
        <w:rPr>
          <w:rFonts w:ascii="Times New Roman" w:hAnsi="Times New Roman"/>
          <w:b/>
          <w:bCs/>
          <w:color w:val="17365D" w:themeColor="text2" w:themeShade="BF"/>
        </w:rPr>
        <w:t>Ilgalaikių nacionalinį saugumą stiprinančių programų vykdymas</w:t>
      </w:r>
    </w:p>
    <w:p w14:paraId="7B93F400" w14:textId="77777777" w:rsidR="008B10FF" w:rsidRPr="00307E48" w:rsidRDefault="008B10FF" w:rsidP="00E660EB">
      <w:pPr>
        <w:tabs>
          <w:tab w:val="left" w:pos="567"/>
        </w:tabs>
        <w:spacing w:line="250" w:lineRule="auto"/>
        <w:ind w:firstLine="709"/>
        <w:jc w:val="both"/>
        <w:rPr>
          <w:szCs w:val="24"/>
        </w:rPr>
      </w:pPr>
      <w:r w:rsidRPr="007C0FDB">
        <w:rPr>
          <w:rFonts w:eastAsia="Calibri"/>
          <w:b/>
          <w:szCs w:val="24"/>
        </w:rPr>
        <w:t xml:space="preserve">Krašto apsaugos sistemos plėtros programa. </w:t>
      </w:r>
      <w:r w:rsidRPr="004922CD">
        <w:rPr>
          <w:rFonts w:eastAsia="Calibri"/>
          <w:bCs/>
          <w:szCs w:val="24"/>
        </w:rPr>
        <w:t>Programoje</w:t>
      </w:r>
      <w:r>
        <w:rPr>
          <w:rStyle w:val="Puslapioinaosnuoroda"/>
          <w:rFonts w:eastAsia="Calibri"/>
          <w:szCs w:val="24"/>
        </w:rPr>
        <w:footnoteReference w:id="71"/>
      </w:r>
      <w:r w:rsidRPr="004922CD">
        <w:rPr>
          <w:rFonts w:eastAsia="Calibri"/>
          <w:bCs/>
          <w:szCs w:val="24"/>
        </w:rPr>
        <w:t xml:space="preserve"> </w:t>
      </w:r>
      <w:r w:rsidRPr="00307E48">
        <w:rPr>
          <w:szCs w:val="24"/>
        </w:rPr>
        <w:t xml:space="preserve">nustatyti ilgojo laikotarpio </w:t>
      </w:r>
      <w:r>
        <w:rPr>
          <w:szCs w:val="24"/>
        </w:rPr>
        <w:t xml:space="preserve">krašto apsaugos sistemos </w:t>
      </w:r>
      <w:r w:rsidRPr="00307E48">
        <w:rPr>
          <w:szCs w:val="24"/>
        </w:rPr>
        <w:t xml:space="preserve">plėtros tikslai, uždaviniai ir prioritetai. 2020 m. </w:t>
      </w:r>
      <w:r>
        <w:rPr>
          <w:szCs w:val="24"/>
        </w:rPr>
        <w:t xml:space="preserve">krašto apsaugos sistema </w:t>
      </w:r>
      <w:r w:rsidRPr="00307E48">
        <w:rPr>
          <w:szCs w:val="24"/>
        </w:rPr>
        <w:t xml:space="preserve">tęsė nuoseklų nacionalinių gynybos pajėgumų vystymą, vykdydama plėtros programą ir siekdama </w:t>
      </w:r>
      <w:r>
        <w:rPr>
          <w:szCs w:val="24"/>
        </w:rPr>
        <w:t xml:space="preserve">įgyvendinti krašto apsaugos sistemos </w:t>
      </w:r>
      <w:r w:rsidRPr="00307E48">
        <w:rPr>
          <w:szCs w:val="24"/>
        </w:rPr>
        <w:t>plėtros vizij</w:t>
      </w:r>
      <w:r>
        <w:rPr>
          <w:szCs w:val="24"/>
        </w:rPr>
        <w:t>ą</w:t>
      </w:r>
      <w:r w:rsidRPr="00307E48">
        <w:rPr>
          <w:szCs w:val="24"/>
        </w:rPr>
        <w:t xml:space="preserve"> – L</w:t>
      </w:r>
      <w:r>
        <w:rPr>
          <w:szCs w:val="24"/>
        </w:rPr>
        <w:t xml:space="preserve">ietuvos kariuomenė, </w:t>
      </w:r>
      <w:r w:rsidRPr="00307E48">
        <w:rPr>
          <w:szCs w:val="24"/>
        </w:rPr>
        <w:t xml:space="preserve">pajėgi užtikrinti patikimą atgrasymą ir valstybės </w:t>
      </w:r>
      <w:r w:rsidRPr="00307E48">
        <w:rPr>
          <w:szCs w:val="24"/>
        </w:rPr>
        <w:lastRenderedPageBreak/>
        <w:t xml:space="preserve">ginkluotą gynybą. </w:t>
      </w:r>
      <w:r>
        <w:rPr>
          <w:szCs w:val="24"/>
        </w:rPr>
        <w:t>Taigi</w:t>
      </w:r>
      <w:r w:rsidRPr="00307E48">
        <w:rPr>
          <w:szCs w:val="24"/>
        </w:rPr>
        <w:t xml:space="preserve"> svarbiausi</w:t>
      </w:r>
      <w:r>
        <w:rPr>
          <w:szCs w:val="24"/>
        </w:rPr>
        <w:t>as</w:t>
      </w:r>
      <w:r w:rsidRPr="00307E48">
        <w:rPr>
          <w:szCs w:val="24"/>
        </w:rPr>
        <w:t xml:space="preserve"> </w:t>
      </w:r>
      <w:r>
        <w:rPr>
          <w:szCs w:val="24"/>
        </w:rPr>
        <w:t xml:space="preserve">krašto apsaugos sistemos </w:t>
      </w:r>
      <w:r w:rsidRPr="00307E48">
        <w:rPr>
          <w:szCs w:val="24"/>
        </w:rPr>
        <w:t>vystymo tiksl</w:t>
      </w:r>
      <w:r>
        <w:rPr>
          <w:szCs w:val="24"/>
        </w:rPr>
        <w:t>as</w:t>
      </w:r>
      <w:r w:rsidRPr="00307E48">
        <w:rPr>
          <w:szCs w:val="24"/>
        </w:rPr>
        <w:t xml:space="preserve"> </w:t>
      </w:r>
      <w:r>
        <w:rPr>
          <w:szCs w:val="24"/>
        </w:rPr>
        <w:t>ir toliau yra</w:t>
      </w:r>
      <w:r w:rsidRPr="00307E48">
        <w:rPr>
          <w:szCs w:val="24"/>
        </w:rPr>
        <w:t xml:space="preserve"> modernizacija – kariuomenės kovinės galios stiprinimas. </w:t>
      </w:r>
    </w:p>
    <w:p w14:paraId="760493A4" w14:textId="77777777" w:rsidR="008B10FF" w:rsidRPr="00307E48" w:rsidRDefault="008B10FF" w:rsidP="00E660EB">
      <w:pPr>
        <w:tabs>
          <w:tab w:val="left" w:pos="567"/>
        </w:tabs>
        <w:spacing w:line="250" w:lineRule="auto"/>
        <w:ind w:firstLine="709"/>
        <w:jc w:val="both"/>
        <w:rPr>
          <w:szCs w:val="24"/>
        </w:rPr>
      </w:pPr>
      <w:r w:rsidRPr="00307E48">
        <w:rPr>
          <w:szCs w:val="24"/>
        </w:rPr>
        <w:t>K</w:t>
      </w:r>
      <w:r>
        <w:rPr>
          <w:szCs w:val="24"/>
        </w:rPr>
        <w:t>rašto apsaugos sistemos plėtra</w:t>
      </w:r>
      <w:r w:rsidRPr="00307E48">
        <w:rPr>
          <w:szCs w:val="24"/>
        </w:rPr>
        <w:t xml:space="preserve"> 2020 m. rėmėsi dviem su K</w:t>
      </w:r>
      <w:r>
        <w:rPr>
          <w:szCs w:val="24"/>
        </w:rPr>
        <w:t xml:space="preserve">rašto apsaugos sistemos </w:t>
      </w:r>
      <w:r w:rsidRPr="00307E48">
        <w:rPr>
          <w:szCs w:val="24"/>
        </w:rPr>
        <w:t xml:space="preserve">plėtros programa susijusiais planais: </w:t>
      </w:r>
      <w:r>
        <w:rPr>
          <w:szCs w:val="24"/>
        </w:rPr>
        <w:t>K</w:t>
      </w:r>
      <w:r w:rsidRPr="00685A4F">
        <w:rPr>
          <w:szCs w:val="24"/>
        </w:rPr>
        <w:t>rašto apsaugos sistemos</w:t>
      </w:r>
      <w:r w:rsidRPr="00307E48">
        <w:rPr>
          <w:szCs w:val="24"/>
        </w:rPr>
        <w:t xml:space="preserve"> 2019–2028 m. įsigijimų, susietų su pajėgumais, planu</w:t>
      </w:r>
      <w:r>
        <w:rPr>
          <w:rStyle w:val="Puslapioinaosnuoroda"/>
          <w:rFonts w:eastAsia="Calibri"/>
          <w:szCs w:val="24"/>
        </w:rPr>
        <w:footnoteReference w:id="72"/>
      </w:r>
      <w:r w:rsidRPr="00307E48">
        <w:rPr>
          <w:szCs w:val="24"/>
        </w:rPr>
        <w:t xml:space="preserve"> ir </w:t>
      </w:r>
      <w:r>
        <w:rPr>
          <w:szCs w:val="24"/>
        </w:rPr>
        <w:t>K</w:t>
      </w:r>
      <w:r w:rsidRPr="00685A4F">
        <w:rPr>
          <w:szCs w:val="24"/>
        </w:rPr>
        <w:t>rašto apsaugos sistemos</w:t>
      </w:r>
      <w:r>
        <w:rPr>
          <w:szCs w:val="24"/>
        </w:rPr>
        <w:t xml:space="preserve"> </w:t>
      </w:r>
      <w:r w:rsidRPr="00307E48">
        <w:rPr>
          <w:szCs w:val="24"/>
        </w:rPr>
        <w:t>2019–2028 m. personalo plėtros planu</w:t>
      </w:r>
      <w:r>
        <w:rPr>
          <w:rStyle w:val="Puslapioinaosnuoroda"/>
          <w:rFonts w:eastAsia="Calibri"/>
          <w:szCs w:val="24"/>
        </w:rPr>
        <w:footnoteReference w:id="73"/>
      </w:r>
      <w:r w:rsidRPr="00307E48">
        <w:rPr>
          <w:bCs/>
          <w:szCs w:val="24"/>
        </w:rPr>
        <w:t>.</w:t>
      </w:r>
    </w:p>
    <w:p w14:paraId="28A0ED4C" w14:textId="77777777" w:rsidR="008B10FF" w:rsidRPr="00307E48" w:rsidRDefault="008B10FF" w:rsidP="00E660EB">
      <w:pPr>
        <w:tabs>
          <w:tab w:val="left" w:pos="567"/>
        </w:tabs>
        <w:spacing w:line="250" w:lineRule="auto"/>
        <w:ind w:firstLine="709"/>
        <w:jc w:val="both"/>
        <w:rPr>
          <w:szCs w:val="24"/>
        </w:rPr>
      </w:pPr>
      <w:r w:rsidRPr="00307E48">
        <w:rPr>
          <w:szCs w:val="24"/>
        </w:rPr>
        <w:t>Personalo plėtros srityje dabartinis planas iki 2028 m. leidžia užtikrinti L</w:t>
      </w:r>
      <w:r>
        <w:rPr>
          <w:szCs w:val="24"/>
        </w:rPr>
        <w:t>ietuvos kariuomenei</w:t>
      </w:r>
      <w:r w:rsidRPr="00307E48">
        <w:rPr>
          <w:szCs w:val="24"/>
        </w:rPr>
        <w:t xml:space="preserve"> iškeltų karinių tikslų įgyvendinimą ir tarptautinių įsipareigojimų vykdymą bei atitiktį sprendimams dėl L</w:t>
      </w:r>
      <w:r>
        <w:rPr>
          <w:szCs w:val="24"/>
        </w:rPr>
        <w:t xml:space="preserve">ietuvos kariuomenės </w:t>
      </w:r>
      <w:r w:rsidRPr="00307E48">
        <w:rPr>
          <w:szCs w:val="24"/>
        </w:rPr>
        <w:t xml:space="preserve">plėtros krypčių. Lietuvos Respublikos Seimas 2019 m. gruodžio 19 d. priėmė įstatymą Nr. </w:t>
      </w:r>
      <w:r w:rsidRPr="006A6F40">
        <w:rPr>
          <w:szCs w:val="24"/>
        </w:rPr>
        <w:t xml:space="preserve">XIII-2709 dėl Lietuvos Respublikos principinės kariuomenės struktūros nustatymo ir </w:t>
      </w:r>
      <w:r>
        <w:rPr>
          <w:szCs w:val="24"/>
        </w:rPr>
        <w:t>krašto apsaugos sistemos</w:t>
      </w:r>
      <w:r w:rsidRPr="006A6F40">
        <w:rPr>
          <w:szCs w:val="24"/>
        </w:rPr>
        <w:t xml:space="preserve"> personalo ribinio skaičiaus patvirtinimo. Šiuo įstatymu buvo patvirtinta nuolatinė principinė kariuomenės struktūra ir jai sukomplektuoti reikiami </w:t>
      </w:r>
      <w:r>
        <w:rPr>
          <w:szCs w:val="24"/>
        </w:rPr>
        <w:t xml:space="preserve">krašto apsaugos sistemos </w:t>
      </w:r>
      <w:r w:rsidRPr="006A6F40">
        <w:rPr>
          <w:szCs w:val="24"/>
        </w:rPr>
        <w:t>personalo skaičiai. Minimali jų riba atitinka realias šiandienos komplektavimo finansines ir personalo pritraukimo galimybes, o maksimali – optimalų poreikį principinei kariuomenės struktūrai užpildyti. Nuo 2020 m. šie skaičiai keičiami ne kasmet, bet tik pasikeitus saugumo aplinkai, nacionalinio saugumo politikos prioritetams ir uždaviniams</w:t>
      </w:r>
      <w:r w:rsidRPr="00307E48">
        <w:rPr>
          <w:szCs w:val="24"/>
        </w:rPr>
        <w:t xml:space="preserve">, </w:t>
      </w:r>
      <w:r>
        <w:rPr>
          <w:szCs w:val="24"/>
        </w:rPr>
        <w:t>krašto apsaugos sistemos</w:t>
      </w:r>
      <w:r w:rsidRPr="00307E48">
        <w:rPr>
          <w:szCs w:val="24"/>
        </w:rPr>
        <w:t xml:space="preserve"> finansavimui ar L</w:t>
      </w:r>
      <w:r>
        <w:rPr>
          <w:szCs w:val="24"/>
        </w:rPr>
        <w:t>ietuvos kariuomenės</w:t>
      </w:r>
      <w:r w:rsidRPr="00307E48">
        <w:rPr>
          <w:szCs w:val="24"/>
        </w:rPr>
        <w:t xml:space="preserve"> personalo komplektavimo poreikiams. </w:t>
      </w:r>
    </w:p>
    <w:p w14:paraId="40BC33AF" w14:textId="77777777" w:rsidR="008B10FF" w:rsidRDefault="008B10FF" w:rsidP="00E660EB">
      <w:pPr>
        <w:tabs>
          <w:tab w:val="left" w:pos="567"/>
        </w:tabs>
        <w:spacing w:line="250" w:lineRule="auto"/>
        <w:ind w:firstLine="709"/>
        <w:jc w:val="both"/>
        <w:rPr>
          <w:szCs w:val="24"/>
        </w:rPr>
      </w:pPr>
      <w:r w:rsidRPr="00307E48">
        <w:rPr>
          <w:szCs w:val="24"/>
        </w:rPr>
        <w:t xml:space="preserve">Informacija apie svarbiausius </w:t>
      </w:r>
      <w:r>
        <w:rPr>
          <w:szCs w:val="24"/>
        </w:rPr>
        <w:t xml:space="preserve">krašto apsaugos sistemos </w:t>
      </w:r>
      <w:r w:rsidRPr="00307E48">
        <w:rPr>
          <w:szCs w:val="24"/>
        </w:rPr>
        <w:t>plėtros programos vykdymo rezultatus pateikta šios ataskaitos II skyriuje „</w:t>
      </w:r>
      <w:r w:rsidRPr="00307E48">
        <w:rPr>
          <w:bCs/>
          <w:szCs w:val="24"/>
        </w:rPr>
        <w:t>Nacionalinių gynybos pajėgumų stiprinimas</w:t>
      </w:r>
      <w:r w:rsidRPr="00307E48">
        <w:rPr>
          <w:szCs w:val="24"/>
        </w:rPr>
        <w:t>“.</w:t>
      </w:r>
    </w:p>
    <w:p w14:paraId="0F178776" w14:textId="77777777" w:rsidR="008B10FF" w:rsidRDefault="008B10FF" w:rsidP="00E660EB">
      <w:pPr>
        <w:spacing w:line="250" w:lineRule="auto"/>
        <w:ind w:firstLine="709"/>
        <w:jc w:val="both"/>
        <w:rPr>
          <w:rFonts w:eastAsia="Calibri"/>
          <w:szCs w:val="24"/>
        </w:rPr>
      </w:pPr>
      <w:r w:rsidRPr="007C0FDB">
        <w:rPr>
          <w:rFonts w:eastAsia="Calibri"/>
          <w:b/>
          <w:bCs/>
          <w:iCs/>
          <w:szCs w:val="24"/>
        </w:rPr>
        <w:t>Viešojo saugumo plėtros 2015–2025 metų programa</w:t>
      </w:r>
      <w:r w:rsidRPr="007C0FDB">
        <w:rPr>
          <w:rFonts w:eastAsia="Calibri"/>
          <w:b/>
          <w:bCs/>
          <w:szCs w:val="24"/>
        </w:rPr>
        <w:t xml:space="preserve">. </w:t>
      </w:r>
      <w:r w:rsidRPr="00C60277">
        <w:rPr>
          <w:rFonts w:eastAsia="Calibri"/>
          <w:szCs w:val="24"/>
        </w:rPr>
        <w:t>Siekiant įgyvendinti šios programos nuostatas, buvo vykdomos Vyriausybės patvirtint</w:t>
      </w:r>
      <w:r>
        <w:rPr>
          <w:rFonts w:eastAsia="Calibri"/>
          <w:szCs w:val="24"/>
        </w:rPr>
        <w:t>o</w:t>
      </w:r>
      <w:r w:rsidRPr="00C60277">
        <w:rPr>
          <w:rFonts w:eastAsia="Calibri"/>
          <w:szCs w:val="24"/>
        </w:rPr>
        <w:t>s Viešojo saugumo plėtros 2015–2025 m. programos tarpinstitucini</w:t>
      </w:r>
      <w:r>
        <w:rPr>
          <w:rFonts w:eastAsia="Calibri"/>
          <w:szCs w:val="24"/>
        </w:rPr>
        <w:t>ame</w:t>
      </w:r>
      <w:r w:rsidRPr="00C60277">
        <w:rPr>
          <w:rFonts w:eastAsia="Calibri"/>
          <w:szCs w:val="24"/>
        </w:rPr>
        <w:t xml:space="preserve"> veiklos plane ir kituose susijusiuose planavimo dokumentuose numatytos priemonės.</w:t>
      </w:r>
    </w:p>
    <w:p w14:paraId="14B466E7" w14:textId="77777777" w:rsidR="008B10FF" w:rsidRPr="00C60277" w:rsidRDefault="008B10FF" w:rsidP="00E660EB">
      <w:pPr>
        <w:spacing w:line="250" w:lineRule="auto"/>
        <w:ind w:firstLine="709"/>
        <w:jc w:val="both"/>
        <w:rPr>
          <w:szCs w:val="24"/>
        </w:rPr>
      </w:pPr>
      <w:r w:rsidRPr="00C60277">
        <w:rPr>
          <w:rFonts w:eastAsia="Calibri"/>
          <w:szCs w:val="24"/>
        </w:rPr>
        <w:t xml:space="preserve"> Vertinant Viešojo saugumo plėtros 2015–2025 m. programos įgyvendinimo pažangą pagal programos įgyvendinimo vertinimo kriterijus, pažymėtina, kad nebuvo pasiektos šių vertinimo kriterijų 2020 m. reikšmės, nustatytos programoje: g</w:t>
      </w:r>
      <w:r w:rsidRPr="00C60277">
        <w:rPr>
          <w:szCs w:val="24"/>
        </w:rPr>
        <w:t xml:space="preserve">yventojų, saugiai besijaučiančių savo gyvenamojoje vietovėje, dalis (planuota – 85 proc., pasiekta – 79 proc.); gyventojų, manančių, kad rizika tapti nusikaltimo auka savo gyvenamojoje vietovėje yra maža, dalis (planuota – 70 proc., pasiekta – 68 proc.); </w:t>
      </w:r>
      <w:r w:rsidRPr="00C60277">
        <w:rPr>
          <w:bCs/>
          <w:szCs w:val="24"/>
        </w:rPr>
        <w:t>ištirtų sunkių ir labai sunkių nusikaltimų</w:t>
      </w:r>
      <w:r>
        <w:rPr>
          <w:rStyle w:val="Puslapioinaosnuoroda"/>
          <w:rFonts w:eastAsia="Calibri"/>
          <w:szCs w:val="24"/>
        </w:rPr>
        <w:footnoteReference w:id="74"/>
      </w:r>
      <w:r w:rsidRPr="00C60277">
        <w:rPr>
          <w:bCs/>
          <w:szCs w:val="24"/>
        </w:rPr>
        <w:t xml:space="preserve"> dalis </w:t>
      </w:r>
      <w:r w:rsidRPr="00C60277">
        <w:rPr>
          <w:szCs w:val="24"/>
        </w:rPr>
        <w:t>(planuota – 70 proc., pasiekta – 61 proc.)</w:t>
      </w:r>
      <w:r w:rsidRPr="00C60277">
        <w:rPr>
          <w:bCs/>
          <w:szCs w:val="24"/>
        </w:rPr>
        <w:t xml:space="preserve">; </w:t>
      </w:r>
      <w:r w:rsidRPr="00C60277">
        <w:rPr>
          <w:szCs w:val="24"/>
        </w:rPr>
        <w:t xml:space="preserve">savivaldybių, kuriose įkurta savanorių ugniagesių organizacijų, dalis (planuota – 90 proc., pasiekta – 87 proc.); modernizuota </w:t>
      </w:r>
      <w:r w:rsidRPr="00C60277">
        <w:rPr>
          <w:iCs/>
          <w:szCs w:val="24"/>
        </w:rPr>
        <w:t>gyventojams,</w:t>
      </w:r>
      <w:r w:rsidRPr="00C60277">
        <w:rPr>
          <w:iCs/>
          <w:color w:val="000000"/>
          <w:szCs w:val="24"/>
        </w:rPr>
        <w:t xml:space="preserve"> valstybės ir savivaldybių</w:t>
      </w:r>
      <w:r w:rsidRPr="00C60277">
        <w:rPr>
          <w:iCs/>
          <w:szCs w:val="24"/>
        </w:rPr>
        <w:t xml:space="preserve"> institucijoms ir įstaigoms, kitoms įstaigoms ir ūkio subjektams perspėti apie gresiančią ar susidariusią ekstremaliąją situaciją, galimus jos padarinius, jų šalinimo priemones ir apsisaugojimo nuo ekstremaliosios situacijos būdus naudojama </w:t>
      </w:r>
      <w:r w:rsidRPr="00C60277">
        <w:rPr>
          <w:szCs w:val="24"/>
        </w:rPr>
        <w:t>sistema (planuota – 74 proc., pasiekta – 18 proc.); neužimtų pirminės ir vidurinės grandies vidaus tarnybos sistemos pareigūnų pareigybių dalis (planuota – 10 proc., pasiekta – 16 proc.).</w:t>
      </w:r>
    </w:p>
    <w:p w14:paraId="67DC65C3" w14:textId="77777777" w:rsidR="008B10FF" w:rsidRDefault="008B10FF" w:rsidP="00E660EB">
      <w:pPr>
        <w:spacing w:line="250" w:lineRule="auto"/>
        <w:ind w:firstLine="709"/>
        <w:jc w:val="both"/>
      </w:pPr>
      <w:r w:rsidRPr="007C0FDB">
        <w:rPr>
          <w:rFonts w:eastAsia="Calibri"/>
          <w:b/>
          <w:bCs/>
          <w:szCs w:val="24"/>
        </w:rPr>
        <w:t xml:space="preserve">Nacionalinė kovos su korupcija 2015–2025 metų programa. </w:t>
      </w:r>
      <w:r w:rsidRPr="00DC6E79">
        <w:t xml:space="preserve">2020 m. pasibaigė Nacionalinės kovos su korupcija programos įgyvendinimo 2015–2019 m. tarpinstitucinio veiklos plano įgyvendinimo terminas. Tarpinstituciniame veiklos plane buvo numatytos 45 priemonės, iš kurių 36 buvo įgyvendintos, 6 priemones įgyvendinti buvo vėluojama, </w:t>
      </w:r>
      <w:r>
        <w:t>viena</w:t>
      </w:r>
      <w:r w:rsidRPr="00DC6E79">
        <w:t xml:space="preserve"> priemonė neįgyvendinta, </w:t>
      </w:r>
      <w:r>
        <w:t>viena</w:t>
      </w:r>
      <w:r w:rsidRPr="00DC6E79">
        <w:t xml:space="preserve"> priemonė įgyvendinta iš dalies, </w:t>
      </w:r>
      <w:r>
        <w:t>viena</w:t>
      </w:r>
      <w:r w:rsidRPr="00DC6E79">
        <w:t xml:space="preserve"> priemonės įgyvendinimo atsisakyta. Iš numatytų 14 Programos vertinimo kriterijų </w:t>
      </w:r>
      <w:r>
        <w:t xml:space="preserve">buvo </w:t>
      </w:r>
      <w:r w:rsidRPr="00DC6E79">
        <w:t>pasiekti 7</w:t>
      </w:r>
      <w:r>
        <w:rPr>
          <w:rStyle w:val="Puslapioinaosnuoroda"/>
          <w:rFonts w:eastAsia="Calibri"/>
        </w:rPr>
        <w:footnoteReference w:id="75"/>
      </w:r>
      <w:r w:rsidRPr="00DC6E79">
        <w:t xml:space="preserve">. </w:t>
      </w:r>
    </w:p>
    <w:p w14:paraId="0D38CC60" w14:textId="77777777" w:rsidR="008B10FF" w:rsidRDefault="008B10FF" w:rsidP="00E660EB">
      <w:pPr>
        <w:spacing w:line="250" w:lineRule="auto"/>
        <w:ind w:firstLine="709"/>
        <w:jc w:val="both"/>
        <w:rPr>
          <w:rFonts w:eastAsia="Calibri"/>
        </w:rPr>
      </w:pPr>
      <w:r>
        <w:t xml:space="preserve">Specialiųjų tyrimų tarnybos vertinimu, vis dar yra šios korupcijos rizikos </w:t>
      </w:r>
      <w:r w:rsidRPr="00442B80">
        <w:rPr>
          <w:rFonts w:eastAsia="Calibri"/>
        </w:rPr>
        <w:t xml:space="preserve">Programoje </w:t>
      </w:r>
      <w:r>
        <w:rPr>
          <w:rFonts w:eastAsia="Calibri"/>
        </w:rPr>
        <w:t>nurodytose</w:t>
      </w:r>
      <w:r w:rsidRPr="00442B80">
        <w:rPr>
          <w:rFonts w:eastAsia="Calibri"/>
        </w:rPr>
        <w:t xml:space="preserve"> prioritetinėse srityse:</w:t>
      </w:r>
      <w:r>
        <w:rPr>
          <w:rFonts w:eastAsia="Calibri"/>
        </w:rPr>
        <w:t xml:space="preserve"> </w:t>
      </w:r>
      <w:r w:rsidRPr="00FE25A0">
        <w:rPr>
          <w:rFonts w:eastAsia="Calibri"/>
        </w:rPr>
        <w:t>politinėje veikloje ir teisėkūroje</w:t>
      </w:r>
      <w:r>
        <w:rPr>
          <w:rFonts w:eastAsia="Calibri"/>
        </w:rPr>
        <w:t xml:space="preserve"> (</w:t>
      </w:r>
      <w:r w:rsidRPr="00FE25A0">
        <w:rPr>
          <w:rFonts w:eastAsia="Calibri"/>
        </w:rPr>
        <w:t xml:space="preserve">nedeklaruota finansinė parama politinėms organizacijoms ir neteisėta įtaka gyventojų apsisprendimui skirti paramą; rinkėjų balsų pirkimas; paslėpta politinė reklama; </w:t>
      </w:r>
      <w:r>
        <w:rPr>
          <w:rFonts w:eastAsia="Calibri"/>
        </w:rPr>
        <w:t>didelė</w:t>
      </w:r>
      <w:r w:rsidRPr="00FE25A0">
        <w:rPr>
          <w:rFonts w:eastAsia="Calibri"/>
        </w:rPr>
        <w:t xml:space="preserve"> nepotizmo rizika savivaldoje; </w:t>
      </w:r>
      <w:r w:rsidRPr="00FE25A0">
        <w:rPr>
          <w:rFonts w:eastAsia="SimSun"/>
        </w:rPr>
        <w:t>politikų, valstybės pareigūnų ir tarnautojų vengimas viešinti bendravimą ir ryšius su interesų grupėmis, atskleisti tikruosius siūlomų ar priimamų sprendimų iniciatorius</w:t>
      </w:r>
      <w:r>
        <w:rPr>
          <w:rFonts w:eastAsia="SimSun"/>
        </w:rPr>
        <w:t>)</w:t>
      </w:r>
      <w:r w:rsidRPr="00FE25A0">
        <w:rPr>
          <w:rFonts w:eastAsia="SimSun"/>
        </w:rPr>
        <w:t>;</w:t>
      </w:r>
      <w:r>
        <w:rPr>
          <w:rFonts w:eastAsia="SimSun"/>
        </w:rPr>
        <w:t xml:space="preserve"> </w:t>
      </w:r>
      <w:r w:rsidRPr="00442B80">
        <w:rPr>
          <w:rFonts w:eastAsia="Calibri"/>
        </w:rPr>
        <w:t>teismų ir teisėsaugos institucijų veikloje</w:t>
      </w:r>
      <w:r>
        <w:rPr>
          <w:rFonts w:eastAsia="Calibri"/>
        </w:rPr>
        <w:t xml:space="preserve"> (skaidrumo trūkumas skirstant bylas; smulkioji korupcija);</w:t>
      </w:r>
      <w:r>
        <w:rPr>
          <w:rFonts w:eastAsia="SimSun"/>
        </w:rPr>
        <w:t xml:space="preserve"> </w:t>
      </w:r>
      <w:r w:rsidRPr="00442B80">
        <w:rPr>
          <w:rFonts w:eastAsia="Calibri"/>
        </w:rPr>
        <w:t>vieš</w:t>
      </w:r>
      <w:r>
        <w:rPr>
          <w:rFonts w:eastAsia="Calibri"/>
        </w:rPr>
        <w:t>ųjų</w:t>
      </w:r>
      <w:r w:rsidRPr="00442B80">
        <w:rPr>
          <w:rFonts w:eastAsia="Calibri"/>
        </w:rPr>
        <w:t xml:space="preserve"> pirkim</w:t>
      </w:r>
      <w:r>
        <w:rPr>
          <w:rFonts w:eastAsia="Calibri"/>
        </w:rPr>
        <w:t xml:space="preserve">ų srityje (didelė „vieno tiekėjo“ viešųjų pirkimų dalis; didelis vidaus sandorių savivaldybėse skaičius; neskaidrūs perkančiosios organizacijos ir tiekėjo ryšiai bei susitarimai tarp viešųjų pirkimų dalyvių; mažai kontroliuojami viešieji ir privatūs interesai viešųjų pirkimų srityje); </w:t>
      </w:r>
      <w:r w:rsidRPr="00442B80">
        <w:rPr>
          <w:rFonts w:eastAsia="Calibri"/>
        </w:rPr>
        <w:t xml:space="preserve">sveikatos </w:t>
      </w:r>
      <w:r w:rsidRPr="00442B80">
        <w:rPr>
          <w:rFonts w:eastAsia="Calibri"/>
        </w:rPr>
        <w:lastRenderedPageBreak/>
        <w:t>priežiūro</w:t>
      </w:r>
      <w:r>
        <w:rPr>
          <w:rFonts w:eastAsia="Calibri"/>
        </w:rPr>
        <w:t>s</w:t>
      </w:r>
      <w:r w:rsidRPr="00442B80">
        <w:rPr>
          <w:rFonts w:eastAsia="Calibri"/>
        </w:rPr>
        <w:t xml:space="preserve"> ir socialinė</w:t>
      </w:r>
      <w:r>
        <w:rPr>
          <w:rFonts w:eastAsia="Calibri"/>
        </w:rPr>
        <w:t>s</w:t>
      </w:r>
      <w:r w:rsidRPr="00442B80">
        <w:rPr>
          <w:rFonts w:eastAsia="Calibri"/>
        </w:rPr>
        <w:t xml:space="preserve"> apsaugo</w:t>
      </w:r>
      <w:r>
        <w:rPr>
          <w:rFonts w:eastAsia="Calibri"/>
        </w:rPr>
        <w:t xml:space="preserve">s srityje (nepakankamai valdomos rizikos, susijusios su parama; neužtikrinamas skaidrumas pacientų eilių sudarymo ir valdymo srityje; </w:t>
      </w:r>
      <w:r w:rsidRPr="00010230">
        <w:rPr>
          <w:rFonts w:eastAsia="Calibri"/>
        </w:rPr>
        <w:t>n</w:t>
      </w:r>
      <w:r w:rsidRPr="00FE25A0">
        <w:rPr>
          <w:rFonts w:eastAsia="Calibri"/>
        </w:rPr>
        <w:t>eužtikrinamas skaidrumas teikiant iš PSDF biudžeto apmokamas ir neapmokamas sveikatos priežiūros paslaugas</w:t>
      </w:r>
      <w:r>
        <w:rPr>
          <w:rFonts w:eastAsia="Calibri"/>
        </w:rPr>
        <w:t xml:space="preserve">); </w:t>
      </w:r>
      <w:r w:rsidRPr="00442B80">
        <w:rPr>
          <w:rFonts w:eastAsia="Calibri"/>
        </w:rPr>
        <w:t>teritorijų planavim</w:t>
      </w:r>
      <w:r>
        <w:rPr>
          <w:rFonts w:eastAsia="Calibri"/>
        </w:rPr>
        <w:t>o</w:t>
      </w:r>
      <w:r w:rsidRPr="00442B80">
        <w:rPr>
          <w:rFonts w:eastAsia="Calibri"/>
        </w:rPr>
        <w:t>, valstybinė</w:t>
      </w:r>
      <w:r>
        <w:rPr>
          <w:rFonts w:eastAsia="Calibri"/>
        </w:rPr>
        <w:t>s</w:t>
      </w:r>
      <w:r w:rsidRPr="00442B80">
        <w:rPr>
          <w:rFonts w:eastAsia="Calibri"/>
        </w:rPr>
        <w:t xml:space="preserve"> statybų priežiūro</w:t>
      </w:r>
      <w:r>
        <w:rPr>
          <w:rFonts w:eastAsia="Calibri"/>
        </w:rPr>
        <w:t>s</w:t>
      </w:r>
      <w:r w:rsidRPr="00442B80">
        <w:rPr>
          <w:rFonts w:eastAsia="Calibri"/>
        </w:rPr>
        <w:t xml:space="preserve"> ir atliekų tvarkym</w:t>
      </w:r>
      <w:r>
        <w:rPr>
          <w:rFonts w:eastAsia="Calibri"/>
        </w:rPr>
        <w:t>o srityje (</w:t>
      </w:r>
      <w:r w:rsidRPr="00010230">
        <w:rPr>
          <w:rFonts w:eastAsia="Calibri"/>
        </w:rPr>
        <w:t>k</w:t>
      </w:r>
      <w:r w:rsidRPr="00FE25A0">
        <w:rPr>
          <w:rFonts w:eastAsia="Calibri"/>
        </w:rPr>
        <w:t>orupcijos rizikos Valstybinės teritorijų planavimo ir statybos inspekcijos prie Aplinkos ministerijos veikloje</w:t>
      </w:r>
      <w:r>
        <w:rPr>
          <w:rFonts w:eastAsia="Calibri"/>
        </w:rPr>
        <w:t xml:space="preserve">, </w:t>
      </w:r>
      <w:r w:rsidRPr="00FE25A0">
        <w:rPr>
          <w:rFonts w:eastAsia="Calibri"/>
          <w:color w:val="000000"/>
        </w:rPr>
        <w:t>Kultūros paveldo departament</w:t>
      </w:r>
      <w:r w:rsidRPr="00010230">
        <w:rPr>
          <w:rFonts w:eastAsia="Calibri"/>
          <w:color w:val="000000"/>
        </w:rPr>
        <w:t>o veikloje</w:t>
      </w:r>
      <w:r w:rsidRPr="00FE25A0">
        <w:rPr>
          <w:rFonts w:eastAsia="Calibri"/>
          <w:color w:val="000000"/>
        </w:rPr>
        <w:t xml:space="preserve"> dalyvaujant teritorijų planavimo ir statybos priežiūros procesuose</w:t>
      </w:r>
      <w:r>
        <w:rPr>
          <w:rFonts w:eastAsia="Calibri"/>
          <w:color w:val="000000"/>
        </w:rPr>
        <w:t>,</w:t>
      </w:r>
      <w:r w:rsidRPr="00FE25A0">
        <w:rPr>
          <w:rFonts w:eastAsia="Calibri"/>
          <w:color w:val="000000"/>
        </w:rPr>
        <w:t xml:space="preserve"> </w:t>
      </w:r>
      <w:r w:rsidRPr="00FE25A0">
        <w:rPr>
          <w:rFonts w:eastAsia="SimSun"/>
          <w:color w:val="000000"/>
        </w:rPr>
        <w:t>Aplinkos apsaugos agentūros ir A</w:t>
      </w:r>
      <w:r w:rsidRPr="00FE25A0">
        <w:rPr>
          <w:rFonts w:eastAsia="SimSun"/>
          <w:bCs/>
          <w:iCs/>
        </w:rPr>
        <w:t xml:space="preserve">plinkos apsaugos departamento </w:t>
      </w:r>
      <w:r w:rsidRPr="00FE25A0">
        <w:t>veikloje</w:t>
      </w:r>
      <w:r>
        <w:t xml:space="preserve">, </w:t>
      </w:r>
      <w:r w:rsidRPr="00FE25A0">
        <w:t>leidimų išmesti šiltnamio efektą sukeliančias dujas administravimo procesuose</w:t>
      </w:r>
      <w:r>
        <w:t xml:space="preserve">; </w:t>
      </w:r>
      <w:r>
        <w:rPr>
          <w:rFonts w:eastAsia="SimSun"/>
          <w:color w:val="000000"/>
          <w:spacing w:val="6"/>
        </w:rPr>
        <w:t>nepakankamai</w:t>
      </w:r>
      <w:r w:rsidRPr="00FE25A0">
        <w:rPr>
          <w:rFonts w:eastAsia="SimSun"/>
          <w:color w:val="000000"/>
          <w:spacing w:val="6"/>
        </w:rPr>
        <w:t xml:space="preserve"> veiksmingas viešojo intereso gynimas teritorijų planavimo ir statybos srityje</w:t>
      </w:r>
      <w:r>
        <w:rPr>
          <w:rFonts w:eastAsia="SimSun"/>
          <w:color w:val="000000"/>
          <w:spacing w:val="6"/>
        </w:rPr>
        <w:t xml:space="preserve">); </w:t>
      </w:r>
      <w:r w:rsidRPr="00442B80">
        <w:rPr>
          <w:rFonts w:eastAsia="Calibri"/>
        </w:rPr>
        <w:t>ūkio subjektų veiklos priežiūro</w:t>
      </w:r>
      <w:r>
        <w:rPr>
          <w:rFonts w:eastAsia="Calibri"/>
        </w:rPr>
        <w:t>s srityje (</w:t>
      </w:r>
      <w:r w:rsidRPr="00010230">
        <w:rPr>
          <w:rFonts w:eastAsia="Calibri"/>
        </w:rPr>
        <w:t>s</w:t>
      </w:r>
      <w:r w:rsidRPr="00FE25A0">
        <w:rPr>
          <w:rFonts w:eastAsia="Calibri"/>
        </w:rPr>
        <w:t>istemiškai nevertinama, kokių priežiūros funkcijų, atsižvelgiant į rizikas, reikia, kurios priežiūros funkcijos perteklinės, kokios prioritetinės priežiūros sritys ir funkcijos, koks vykdomos priežiūros efektyvumas</w:t>
      </w:r>
      <w:r>
        <w:rPr>
          <w:rFonts w:eastAsia="Calibri"/>
        </w:rPr>
        <w:t xml:space="preserve">; </w:t>
      </w:r>
      <w:r w:rsidRPr="00010230">
        <w:rPr>
          <w:rFonts w:eastAsia="SimSun"/>
          <w:color w:val="000000"/>
          <w:spacing w:val="6"/>
        </w:rPr>
        <w:t>n</w:t>
      </w:r>
      <w:r w:rsidRPr="00FE25A0">
        <w:rPr>
          <w:rFonts w:eastAsia="SimSun"/>
          <w:color w:val="000000"/>
          <w:spacing w:val="6"/>
        </w:rPr>
        <w:t xml:space="preserve">eskaidrios ūkio subjektų </w:t>
      </w:r>
      <w:r w:rsidRPr="00010230">
        <w:rPr>
          <w:rFonts w:eastAsia="SimSun"/>
          <w:color w:val="000000"/>
          <w:spacing w:val="6"/>
        </w:rPr>
        <w:t>atrankos tikrinimams procedūros;</w:t>
      </w:r>
      <w:r w:rsidRPr="00636039">
        <w:rPr>
          <w:rFonts w:eastAsia="SimSun"/>
          <w:color w:val="000000"/>
          <w:spacing w:val="6"/>
        </w:rPr>
        <w:t xml:space="preserve"> n</w:t>
      </w:r>
      <w:r w:rsidRPr="00FE25A0">
        <w:rPr>
          <w:rFonts w:eastAsia="SimSun"/>
          <w:color w:val="000000"/>
          <w:spacing w:val="6"/>
        </w:rPr>
        <w:t xml:space="preserve">e visos priežiūros institucijos </w:t>
      </w:r>
      <w:r>
        <w:rPr>
          <w:rFonts w:eastAsia="SimSun"/>
          <w:color w:val="000000"/>
          <w:spacing w:val="6"/>
        </w:rPr>
        <w:t>turi</w:t>
      </w:r>
      <w:r w:rsidRPr="00FE25A0">
        <w:rPr>
          <w:rFonts w:eastAsia="SimSun"/>
          <w:color w:val="000000"/>
          <w:spacing w:val="6"/>
        </w:rPr>
        <w:t xml:space="preserve"> rizikos nustatymo sistemas</w:t>
      </w:r>
      <w:r>
        <w:rPr>
          <w:rFonts w:eastAsia="SimSun"/>
          <w:color w:val="000000"/>
          <w:spacing w:val="6"/>
        </w:rPr>
        <w:t xml:space="preserve">); </w:t>
      </w:r>
      <w:r w:rsidRPr="00442B80">
        <w:rPr>
          <w:rFonts w:eastAsia="Calibri"/>
        </w:rPr>
        <w:t>vieš</w:t>
      </w:r>
      <w:r>
        <w:rPr>
          <w:rFonts w:eastAsia="Calibri"/>
        </w:rPr>
        <w:t>ojo</w:t>
      </w:r>
      <w:r w:rsidRPr="00442B80">
        <w:rPr>
          <w:rFonts w:eastAsia="Calibri"/>
        </w:rPr>
        <w:t xml:space="preserve"> administravim</w:t>
      </w:r>
      <w:r>
        <w:rPr>
          <w:rFonts w:eastAsia="Calibri"/>
        </w:rPr>
        <w:t>o srityje</w:t>
      </w:r>
      <w:r w:rsidRPr="00442B80">
        <w:rPr>
          <w:rFonts w:eastAsia="Calibri"/>
        </w:rPr>
        <w:t>, valstybės tarnyboje ir turto valdym</w:t>
      </w:r>
      <w:r>
        <w:rPr>
          <w:rFonts w:eastAsia="Calibri"/>
        </w:rPr>
        <w:t xml:space="preserve">o srityje (nuomojant </w:t>
      </w:r>
      <w:r w:rsidRPr="00010230">
        <w:rPr>
          <w:rFonts w:eastAsia="Calibri"/>
          <w:bCs/>
        </w:rPr>
        <w:t>valstybės</w:t>
      </w:r>
      <w:r>
        <w:rPr>
          <w:rFonts w:eastAsia="Calibri"/>
          <w:bCs/>
        </w:rPr>
        <w:t xml:space="preserve"> bei valstybės valdomų </w:t>
      </w:r>
      <w:r w:rsidRPr="00010230">
        <w:rPr>
          <w:rFonts w:eastAsia="Calibri"/>
          <w:bCs/>
        </w:rPr>
        <w:t xml:space="preserve"> </w:t>
      </w:r>
      <w:r>
        <w:rPr>
          <w:rFonts w:eastAsia="Calibri"/>
          <w:bCs/>
        </w:rPr>
        <w:t xml:space="preserve">įmonių </w:t>
      </w:r>
      <w:r w:rsidRPr="00010230">
        <w:rPr>
          <w:rFonts w:eastAsia="Calibri"/>
          <w:bCs/>
        </w:rPr>
        <w:t>nekilnojamą turtą</w:t>
      </w:r>
      <w:r>
        <w:rPr>
          <w:rFonts w:eastAsia="Calibri"/>
          <w:bCs/>
        </w:rPr>
        <w:t>)</w:t>
      </w:r>
      <w:r w:rsidRPr="00010230">
        <w:rPr>
          <w:rFonts w:eastAsia="Calibri"/>
          <w:bCs/>
        </w:rPr>
        <w:t xml:space="preserve">; </w:t>
      </w:r>
      <w:r w:rsidRPr="00442B80">
        <w:rPr>
          <w:rFonts w:eastAsia="Calibri"/>
        </w:rPr>
        <w:t>privačiame sektoriuje</w:t>
      </w:r>
      <w:r>
        <w:rPr>
          <w:rFonts w:eastAsia="Calibri"/>
        </w:rPr>
        <w:t xml:space="preserve"> (korupcinio pobūdžio rizikos sporte; menkas verslo įsitraukimas į antikorupcinę veiklą ir antikorupcinių standartų diegimą). </w:t>
      </w:r>
    </w:p>
    <w:p w14:paraId="57052CE1" w14:textId="77777777" w:rsidR="008B10FF" w:rsidRDefault="008B10FF" w:rsidP="00E660EB">
      <w:pPr>
        <w:tabs>
          <w:tab w:val="left" w:pos="900"/>
        </w:tabs>
        <w:spacing w:line="250" w:lineRule="auto"/>
        <w:ind w:firstLine="709"/>
        <w:jc w:val="both"/>
        <w:rPr>
          <w:rFonts w:eastAsia="Calibri"/>
        </w:rPr>
      </w:pPr>
      <w:r w:rsidRPr="00DC6E79">
        <w:t>2020</w:t>
      </w:r>
      <w:r>
        <w:t xml:space="preserve"> m. lapkričio </w:t>
      </w:r>
      <w:r w:rsidRPr="00DC6E79">
        <w:t>4</w:t>
      </w:r>
      <w:r>
        <w:t xml:space="preserve"> d.</w:t>
      </w:r>
      <w:r w:rsidRPr="00DC6E79">
        <w:t xml:space="preserve"> Vyriausybė patvirtino </w:t>
      </w:r>
      <w:r w:rsidRPr="00DC6E79">
        <w:rPr>
          <w:rFonts w:eastAsia="Calibri"/>
        </w:rPr>
        <w:t>Programos įgyvendinimo 2020–2022 m. tarpinstitucinį veiklos planą</w:t>
      </w:r>
      <w:r w:rsidRPr="00DC6E79">
        <w:rPr>
          <w:rFonts w:eastAsia="Calibri"/>
          <w:vertAlign w:val="superscript"/>
        </w:rPr>
        <w:footnoteReference w:id="76"/>
      </w:r>
      <w:r w:rsidRPr="00DC6E79">
        <w:rPr>
          <w:rFonts w:eastAsia="Calibri"/>
        </w:rPr>
        <w:t>, skirt</w:t>
      </w:r>
      <w:r>
        <w:rPr>
          <w:rFonts w:eastAsia="Calibri"/>
        </w:rPr>
        <w:t>ą</w:t>
      </w:r>
      <w:r w:rsidRPr="00DC6E79">
        <w:rPr>
          <w:rFonts w:eastAsia="Calibri"/>
        </w:rPr>
        <w:t xml:space="preserve"> NKKP tikslams ir juos detalizuojantiems uždaviniams įgyvendinti, o svarbiausia – pažangai </w:t>
      </w:r>
      <w:r>
        <w:rPr>
          <w:rFonts w:eastAsia="Calibri"/>
          <w:lang w:val="en-GB"/>
        </w:rPr>
        <w:t>8</w:t>
      </w:r>
      <w:r w:rsidRPr="00DC6E79">
        <w:rPr>
          <w:rFonts w:eastAsia="Calibri"/>
        </w:rPr>
        <w:t xml:space="preserve"> prioritetinėse srityse</w:t>
      </w:r>
      <w:r w:rsidRPr="00DC6E79">
        <w:rPr>
          <w:rFonts w:eastAsia="Calibri"/>
          <w:vertAlign w:val="superscript"/>
        </w:rPr>
        <w:footnoteReference w:id="77"/>
      </w:r>
      <w:r w:rsidRPr="00DC6E79">
        <w:rPr>
          <w:rFonts w:eastAsia="Calibri"/>
        </w:rPr>
        <w:t xml:space="preserve">, kuriose korupcijos pasireiškimo tikimybė didžiausia, pasiekti: </w:t>
      </w:r>
      <w:r w:rsidRPr="00DC6E79">
        <w:rPr>
          <w:rFonts w:eastAsia="SimSun"/>
        </w:rPr>
        <w:t>politinėje veikloje ir teisėkūroje, teismų ir teisėsaugos institucijų veikloje, vieš</w:t>
      </w:r>
      <w:r>
        <w:rPr>
          <w:rFonts w:eastAsia="SimSun"/>
        </w:rPr>
        <w:t>ųjų</w:t>
      </w:r>
      <w:r w:rsidRPr="00DC6E79">
        <w:rPr>
          <w:rFonts w:eastAsia="SimSun"/>
        </w:rPr>
        <w:t xml:space="preserve"> pirkim</w:t>
      </w:r>
      <w:r>
        <w:rPr>
          <w:rFonts w:eastAsia="SimSun"/>
        </w:rPr>
        <w:t>ų srityje</w:t>
      </w:r>
      <w:r w:rsidRPr="00DC6E79">
        <w:rPr>
          <w:rFonts w:eastAsia="SimSun"/>
        </w:rPr>
        <w:t>,</w:t>
      </w:r>
      <w:r w:rsidRPr="00DC6E79">
        <w:rPr>
          <w:rFonts w:eastAsia="Calibri"/>
        </w:rPr>
        <w:t xml:space="preserve"> </w:t>
      </w:r>
      <w:r w:rsidRPr="00DC6E79">
        <w:rPr>
          <w:rFonts w:eastAsia="SimSun"/>
        </w:rPr>
        <w:t>sveikatos priežiūro</w:t>
      </w:r>
      <w:r>
        <w:rPr>
          <w:rFonts w:eastAsia="SimSun"/>
        </w:rPr>
        <w:t>s</w:t>
      </w:r>
      <w:r w:rsidRPr="00DC6E79">
        <w:rPr>
          <w:rFonts w:eastAsia="SimSun"/>
        </w:rPr>
        <w:t xml:space="preserve"> ir socialinė</w:t>
      </w:r>
      <w:r>
        <w:rPr>
          <w:rFonts w:eastAsia="SimSun"/>
        </w:rPr>
        <w:t>s</w:t>
      </w:r>
      <w:r w:rsidRPr="00DC6E79">
        <w:rPr>
          <w:rFonts w:eastAsia="SimSun"/>
        </w:rPr>
        <w:t xml:space="preserve"> apsaugo</w:t>
      </w:r>
      <w:r>
        <w:rPr>
          <w:rFonts w:eastAsia="SimSun"/>
        </w:rPr>
        <w:t>s srityje</w:t>
      </w:r>
      <w:r w:rsidRPr="00DC6E79">
        <w:rPr>
          <w:rFonts w:eastAsia="SimSun"/>
        </w:rPr>
        <w:t>,</w:t>
      </w:r>
      <w:r w:rsidRPr="00DC6E79">
        <w:rPr>
          <w:rFonts w:eastAsia="Calibri"/>
        </w:rPr>
        <w:t xml:space="preserve"> </w:t>
      </w:r>
      <w:r w:rsidRPr="00DC6E79">
        <w:rPr>
          <w:rFonts w:eastAsia="SimSun"/>
        </w:rPr>
        <w:t>teritorijų planavim</w:t>
      </w:r>
      <w:r>
        <w:rPr>
          <w:rFonts w:eastAsia="SimSun"/>
        </w:rPr>
        <w:t>o srityje</w:t>
      </w:r>
      <w:r w:rsidRPr="00DC6E79">
        <w:rPr>
          <w:rFonts w:eastAsia="SimSun"/>
        </w:rPr>
        <w:t>, valstybinė</w:t>
      </w:r>
      <w:r>
        <w:rPr>
          <w:rFonts w:eastAsia="SimSun"/>
        </w:rPr>
        <w:t>s</w:t>
      </w:r>
      <w:r w:rsidRPr="00DC6E79">
        <w:rPr>
          <w:rFonts w:eastAsia="SimSun"/>
        </w:rPr>
        <w:t xml:space="preserve"> statybų priežiūro</w:t>
      </w:r>
      <w:r>
        <w:rPr>
          <w:rFonts w:eastAsia="SimSun"/>
        </w:rPr>
        <w:t>s</w:t>
      </w:r>
      <w:r w:rsidRPr="00DC6E79">
        <w:rPr>
          <w:rFonts w:eastAsia="SimSun"/>
        </w:rPr>
        <w:t xml:space="preserve"> ir atliekų tvarkym</w:t>
      </w:r>
      <w:r>
        <w:rPr>
          <w:rFonts w:eastAsia="SimSun"/>
        </w:rPr>
        <w:t>o srityje</w:t>
      </w:r>
      <w:r w:rsidRPr="00DC6E79">
        <w:rPr>
          <w:rFonts w:eastAsia="SimSun"/>
        </w:rPr>
        <w:t>, ūkio subjektų veiklos priežiūro</w:t>
      </w:r>
      <w:r>
        <w:rPr>
          <w:rFonts w:eastAsia="SimSun"/>
        </w:rPr>
        <w:t>s srityje</w:t>
      </w:r>
      <w:r w:rsidRPr="00DC6E79">
        <w:rPr>
          <w:rFonts w:eastAsia="SimSun"/>
        </w:rPr>
        <w:t>,</w:t>
      </w:r>
      <w:r w:rsidRPr="00DC6E79">
        <w:rPr>
          <w:rFonts w:eastAsia="Calibri"/>
        </w:rPr>
        <w:t xml:space="preserve"> </w:t>
      </w:r>
      <w:r w:rsidRPr="00DC6E79">
        <w:rPr>
          <w:rFonts w:eastAsia="SimSun"/>
        </w:rPr>
        <w:t>vieš</w:t>
      </w:r>
      <w:r>
        <w:rPr>
          <w:rFonts w:eastAsia="SimSun"/>
        </w:rPr>
        <w:t>ojo</w:t>
      </w:r>
      <w:r w:rsidRPr="00DC6E79">
        <w:rPr>
          <w:rFonts w:eastAsia="SimSun"/>
        </w:rPr>
        <w:t xml:space="preserve"> administravim</w:t>
      </w:r>
      <w:r>
        <w:rPr>
          <w:rFonts w:eastAsia="SimSun"/>
        </w:rPr>
        <w:t>o srityje</w:t>
      </w:r>
      <w:r w:rsidRPr="00DC6E79">
        <w:rPr>
          <w:rFonts w:eastAsia="SimSun"/>
        </w:rPr>
        <w:t>, valstybės tarnyboje ir turto valdym</w:t>
      </w:r>
      <w:r>
        <w:rPr>
          <w:rFonts w:eastAsia="SimSun"/>
        </w:rPr>
        <w:t>o srityje</w:t>
      </w:r>
      <w:r w:rsidRPr="00DC6E79">
        <w:rPr>
          <w:rFonts w:eastAsia="SimSun"/>
        </w:rPr>
        <w:t>,</w:t>
      </w:r>
      <w:r w:rsidRPr="00DC6E79">
        <w:rPr>
          <w:rFonts w:eastAsia="Calibri"/>
        </w:rPr>
        <w:t xml:space="preserve"> </w:t>
      </w:r>
      <w:r w:rsidRPr="00DC6E79">
        <w:rPr>
          <w:rFonts w:eastAsia="SimSun"/>
        </w:rPr>
        <w:t>privačiame sektoriuje.</w:t>
      </w:r>
      <w:r w:rsidRPr="00DC6E79">
        <w:rPr>
          <w:rFonts w:eastAsia="Calibri"/>
        </w:rPr>
        <w:t xml:space="preserve"> </w:t>
      </w:r>
      <w:r>
        <w:rPr>
          <w:rFonts w:eastAsia="Calibri"/>
        </w:rPr>
        <w:t>Plane</w:t>
      </w:r>
      <w:r w:rsidRPr="00DC6E79">
        <w:rPr>
          <w:rFonts w:eastAsia="SimSun"/>
        </w:rPr>
        <w:t xml:space="preserve"> taip pat numatyta horizontali veiklos kryptis „Antikorupcinis švietimas“, skirta korupcijos rizikai mažinti viso</w:t>
      </w:r>
      <w:r>
        <w:rPr>
          <w:rFonts w:eastAsia="SimSun"/>
        </w:rPr>
        <w:t xml:space="preserve">se aukščiau nurodytose srityse. Naujajame plane patvirtintos </w:t>
      </w:r>
      <w:r w:rsidRPr="00D71428">
        <w:rPr>
          <w:rFonts w:eastAsia="Calibri"/>
        </w:rPr>
        <w:t>46 priemonės</w:t>
      </w:r>
      <w:r>
        <w:rPr>
          <w:rStyle w:val="Puslapioinaosnuoroda"/>
          <w:rFonts w:eastAsia="Calibri"/>
        </w:rPr>
        <w:footnoteReference w:id="78"/>
      </w:r>
      <w:r w:rsidRPr="00D71428">
        <w:rPr>
          <w:rFonts w:eastAsia="Calibri"/>
        </w:rPr>
        <w:t xml:space="preserve">, </w:t>
      </w:r>
      <w:r>
        <w:rPr>
          <w:rFonts w:eastAsia="Calibri"/>
        </w:rPr>
        <w:t xml:space="preserve">iš kurių </w:t>
      </w:r>
      <w:r w:rsidRPr="00D71428">
        <w:rPr>
          <w:rFonts w:eastAsia="Calibri"/>
        </w:rPr>
        <w:t xml:space="preserve">2020 m. turėjo būti įgyvendintos </w:t>
      </w:r>
      <w:r>
        <w:rPr>
          <w:rFonts w:eastAsia="Calibri"/>
          <w:lang w:val="en-GB"/>
        </w:rPr>
        <w:t>3</w:t>
      </w:r>
      <w:r w:rsidRPr="00D71428">
        <w:rPr>
          <w:rFonts w:eastAsia="Calibri"/>
        </w:rPr>
        <w:t>. Viena priemonė įgyvendinta, vieną įgyvendinti vėluojama, o viena įgyvendinta</w:t>
      </w:r>
      <w:r>
        <w:rPr>
          <w:rFonts w:eastAsia="Calibri"/>
        </w:rPr>
        <w:t xml:space="preserve"> iš dalies.</w:t>
      </w:r>
    </w:p>
    <w:p w14:paraId="7C97A1CE" w14:textId="77777777" w:rsidR="008B10FF" w:rsidRPr="008845AB" w:rsidRDefault="008B10FF" w:rsidP="00E660EB">
      <w:pPr>
        <w:spacing w:line="250" w:lineRule="auto"/>
        <w:ind w:firstLine="709"/>
        <w:jc w:val="both"/>
        <w:rPr>
          <w:szCs w:val="24"/>
        </w:rPr>
      </w:pPr>
      <w:r>
        <w:rPr>
          <w:szCs w:val="24"/>
        </w:rPr>
        <w:t>K</w:t>
      </w:r>
      <w:r w:rsidRPr="008845AB">
        <w:rPr>
          <w:szCs w:val="24"/>
        </w:rPr>
        <w:t>ultūros ministerija</w:t>
      </w:r>
      <w:r>
        <w:rPr>
          <w:szCs w:val="24"/>
        </w:rPr>
        <w:t>,</w:t>
      </w:r>
      <w:r w:rsidRPr="008845AB">
        <w:rPr>
          <w:szCs w:val="24"/>
        </w:rPr>
        <w:t xml:space="preserve"> įgyvendindama Nacionalinės kovos su korupcija </w:t>
      </w:r>
      <w:r w:rsidRPr="008845AB">
        <w:rPr>
          <w:szCs w:val="24"/>
          <w:lang w:val="en-US"/>
        </w:rPr>
        <w:t>2015</w:t>
      </w:r>
      <w:r>
        <w:rPr>
          <w:szCs w:val="24"/>
          <w:lang w:val="en-US"/>
        </w:rPr>
        <w:t>–</w:t>
      </w:r>
      <w:r w:rsidRPr="008845AB">
        <w:rPr>
          <w:szCs w:val="24"/>
          <w:lang w:val="en-US"/>
        </w:rPr>
        <w:t xml:space="preserve">2025 </w:t>
      </w:r>
      <w:r w:rsidRPr="008845AB">
        <w:rPr>
          <w:szCs w:val="24"/>
        </w:rPr>
        <w:t xml:space="preserve">metų programoje numatytas priemones, </w:t>
      </w:r>
      <w:r w:rsidRPr="008845AB">
        <w:rPr>
          <w:szCs w:val="24"/>
          <w:lang w:val="en-US"/>
        </w:rPr>
        <w:t>2020</w:t>
      </w:r>
      <w:r w:rsidRPr="008845AB">
        <w:rPr>
          <w:szCs w:val="24"/>
        </w:rPr>
        <w:t xml:space="preserve"> m</w:t>
      </w:r>
      <w:r>
        <w:rPr>
          <w:szCs w:val="24"/>
        </w:rPr>
        <w:t xml:space="preserve">. </w:t>
      </w:r>
      <w:r w:rsidRPr="008845AB">
        <w:rPr>
          <w:szCs w:val="24"/>
        </w:rPr>
        <w:t xml:space="preserve">centralizavo kultūros ministro valdymo srities įstaigų kultūros paskirties pastatų statybos ir remonto darbų pirkimus </w:t>
      </w:r>
      <w:r>
        <w:rPr>
          <w:szCs w:val="24"/>
        </w:rPr>
        <w:t>ir</w:t>
      </w:r>
      <w:r w:rsidRPr="008845AB">
        <w:rPr>
          <w:szCs w:val="24"/>
        </w:rPr>
        <w:t xml:space="preserve"> pirkimus paveldo</w:t>
      </w:r>
      <w:r>
        <w:rPr>
          <w:szCs w:val="24"/>
        </w:rPr>
        <w:t xml:space="preserve"> </w:t>
      </w:r>
      <w:r w:rsidRPr="008845AB">
        <w:rPr>
          <w:szCs w:val="24"/>
        </w:rPr>
        <w:t>tvarkos programoms įgyvendinti, šias funkcijas priskirdama Kultūros infrastruktūros centrui.</w:t>
      </w:r>
    </w:p>
    <w:p w14:paraId="60275585" w14:textId="77777777" w:rsidR="008B10FF" w:rsidRPr="009D2EDE" w:rsidRDefault="008B10FF" w:rsidP="00E660EB">
      <w:pPr>
        <w:spacing w:line="250" w:lineRule="auto"/>
        <w:ind w:firstLine="709"/>
        <w:jc w:val="both"/>
        <w:rPr>
          <w:bCs/>
          <w:szCs w:val="24"/>
        </w:rPr>
      </w:pPr>
      <w:r w:rsidRPr="006F350C">
        <w:rPr>
          <w:b/>
          <w:szCs w:val="24"/>
        </w:rPr>
        <w:t>Valstybinė narkotikų, tabako ir alkoholio kontrolės ir vartojimo prevencijos 2018–2028 m. programa</w:t>
      </w:r>
      <w:r w:rsidRPr="009B60A3">
        <w:rPr>
          <w:szCs w:val="24"/>
        </w:rPr>
        <w:t>.</w:t>
      </w:r>
      <w:r>
        <w:rPr>
          <w:szCs w:val="24"/>
        </w:rPr>
        <w:t xml:space="preserve"> </w:t>
      </w:r>
      <w:bookmarkEnd w:id="88"/>
      <w:r w:rsidRPr="006F350C">
        <w:rPr>
          <w:szCs w:val="24"/>
        </w:rPr>
        <w:t>Programoje nustatyti Lietuvos ilgalaikiai psichoaktyviųjų medžiagų kontrolės ir jų vartojimo prevencijos politikos tikslai, uždaviniai ir kryptys.</w:t>
      </w:r>
      <w:r w:rsidRPr="00FE641C">
        <w:t xml:space="preserve"> </w:t>
      </w:r>
      <w:r w:rsidRPr="00437241">
        <w:rPr>
          <w:rFonts w:eastAsia="Calibri"/>
          <w:szCs w:val="24"/>
        </w:rPr>
        <w:t>Siekiant įgyvendinti šios programos nuostatas</w:t>
      </w:r>
      <w:r>
        <w:rPr>
          <w:rFonts w:eastAsia="Calibri"/>
          <w:szCs w:val="24"/>
        </w:rPr>
        <w:t>,</w:t>
      </w:r>
      <w:r w:rsidRPr="00437241">
        <w:rPr>
          <w:rFonts w:eastAsia="Calibri"/>
          <w:szCs w:val="24"/>
        </w:rPr>
        <w:t xml:space="preserve"> buvo </w:t>
      </w:r>
      <w:r w:rsidRPr="00346671">
        <w:rPr>
          <w:rFonts w:eastAsia="Calibri"/>
          <w:szCs w:val="24"/>
        </w:rPr>
        <w:t>vykdomos Narkotikų, tabako ir alkoholio prevencijos tarpinstituciniame veiklos plane 2020–2023 m</w:t>
      </w:r>
      <w:r w:rsidRPr="008B10FF">
        <w:rPr>
          <w:rFonts w:eastAsia="Calibri"/>
          <w:szCs w:val="24"/>
        </w:rPr>
        <w:t>.</w:t>
      </w:r>
      <w:r w:rsidRPr="00774484">
        <w:rPr>
          <w:rFonts w:eastAsia="Calibri"/>
          <w:color w:val="FF0000"/>
          <w:szCs w:val="24"/>
        </w:rPr>
        <w:t xml:space="preserve"> </w:t>
      </w:r>
      <w:r w:rsidRPr="00437241">
        <w:rPr>
          <w:rFonts w:eastAsia="Calibri"/>
          <w:szCs w:val="24"/>
        </w:rPr>
        <w:t>ir kituose susijusiuose planavimo dokumentuose numatytos priemonės</w:t>
      </w:r>
      <w:r>
        <w:rPr>
          <w:rStyle w:val="Puslapioinaosnuoroda"/>
          <w:rFonts w:eastAsia="Calibri"/>
          <w:szCs w:val="24"/>
        </w:rPr>
        <w:footnoteReference w:id="79"/>
      </w:r>
      <w:r w:rsidRPr="00437241">
        <w:rPr>
          <w:rFonts w:eastAsia="Calibri"/>
          <w:szCs w:val="24"/>
        </w:rPr>
        <w:t>.</w:t>
      </w:r>
      <w:r>
        <w:rPr>
          <w:rFonts w:eastAsia="Calibri"/>
          <w:szCs w:val="24"/>
        </w:rPr>
        <w:t xml:space="preserve"> </w:t>
      </w:r>
      <w:r w:rsidRPr="00437241">
        <w:t>Tarpinstituciniame veiklos plane buvo numatytos 3</w:t>
      </w:r>
      <w:r>
        <w:t>3</w:t>
      </w:r>
      <w:r w:rsidRPr="00437241">
        <w:t xml:space="preserve"> priemonės, iš kurių 32 buvo įgyvendintos, 2 priemones įgyvendinti buvo vėluojama, viena priemonė neįgyvendinta, viena priemonė įgyvendinta iš dalies. </w:t>
      </w:r>
    </w:p>
    <w:p w14:paraId="4657DADD" w14:textId="4210FC3D" w:rsidR="005F0039" w:rsidRPr="00587EDF" w:rsidRDefault="008B10FF" w:rsidP="00587EDF">
      <w:pPr>
        <w:spacing w:line="300" w:lineRule="atLeast"/>
        <w:ind w:firstLine="709"/>
        <w:jc w:val="both"/>
        <w:rPr>
          <w:szCs w:val="24"/>
        </w:rPr>
      </w:pPr>
      <w:r>
        <w:rPr>
          <w:szCs w:val="24"/>
        </w:rPr>
        <w:t xml:space="preserve">Bendradarbiaujant </w:t>
      </w:r>
      <w:r w:rsidRPr="00FF18A7">
        <w:rPr>
          <w:szCs w:val="24"/>
        </w:rPr>
        <w:t xml:space="preserve">valstybės, savivaldybių ir verslo </w:t>
      </w:r>
      <w:r>
        <w:rPr>
          <w:szCs w:val="24"/>
        </w:rPr>
        <w:t>sektoriams</w:t>
      </w:r>
      <w:r w:rsidRPr="00FF18A7">
        <w:rPr>
          <w:szCs w:val="24"/>
        </w:rPr>
        <w:t>, įgyvendinamos psichoaktyviųjų medžiagų vartojimo prevencijos ir žalos mažinimo priemonės</w:t>
      </w:r>
      <w:r w:rsidRPr="0037626B">
        <w:rPr>
          <w:szCs w:val="24"/>
        </w:rPr>
        <w:t>.</w:t>
      </w:r>
      <w:r w:rsidRPr="0037626B">
        <w:t xml:space="preserve"> Reaguojant į ankstyvosios intervencijos paslaugų trūkumą jauniems asmenims, sukurta pagalbos sistema bei tęsiamas darbas diegiant ir koordinuojant ankstyvosios intervencijos programą nacionaliniu lygiu.</w:t>
      </w:r>
      <w:r w:rsidR="009943A7" w:rsidRPr="009943A7">
        <w:rPr>
          <w:szCs w:val="24"/>
        </w:rPr>
        <w:t xml:space="preserve"> </w:t>
      </w:r>
      <w:r w:rsidR="009943A7">
        <w:rPr>
          <w:szCs w:val="24"/>
        </w:rPr>
        <w:t>S</w:t>
      </w:r>
      <w:r w:rsidR="009943A7" w:rsidRPr="00FF18A7">
        <w:rPr>
          <w:szCs w:val="24"/>
        </w:rPr>
        <w:t>varbiu siekiu išlieka ne tik psichoaktyviųjų medžiagų vartojimo socialinių pasekmių asmeniui, jo artimiesiems ir visuomenei mažinimas, bet ir teikiamų psichologinės socialinės reabilitacijos paslaugų aprėpties ir prieinamumo didinimas</w:t>
      </w:r>
      <w:r w:rsidR="009943A7">
        <w:rPr>
          <w:szCs w:val="24"/>
        </w:rPr>
        <w:t>.</w:t>
      </w:r>
      <w:r>
        <w:t xml:space="preserve"> </w:t>
      </w:r>
    </w:p>
    <w:sectPr w:rsidR="005F0039" w:rsidRPr="00587EDF" w:rsidSect="005F0039">
      <w:pgSz w:w="11906" w:h="16838"/>
      <w:pgMar w:top="720" w:right="720" w:bottom="720" w:left="720"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4C4DB" w14:textId="77777777" w:rsidR="00C64DAC" w:rsidRDefault="00C64DAC">
      <w:r>
        <w:separator/>
      </w:r>
    </w:p>
  </w:endnote>
  <w:endnote w:type="continuationSeparator" w:id="0">
    <w:p w14:paraId="2EA6146B" w14:textId="77777777" w:rsidR="00C64DAC" w:rsidRDefault="00C6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Courier New"/>
    <w:charset w:val="00"/>
    <w:family w:val="auto"/>
    <w:pitch w:val="variable"/>
    <w:sig w:usb0="80000067" w:usb1="00000000" w:usb2="00000000" w:usb3="00000000" w:csb0="00000001"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coNewtext">
    <w:panose1 w:val="00000000000000000000"/>
    <w:charset w:val="80"/>
    <w:family w:val="roman"/>
    <w:notTrueType/>
    <w:pitch w:val="variable"/>
    <w:sig w:usb0="00000001" w:usb1="08070000" w:usb2="00000010" w:usb3="00000000" w:csb0="0002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Andale Sans UI">
    <w:altName w:val="Times New Roman"/>
    <w:charset w:val="00"/>
    <w:family w:val="auto"/>
    <w:pitch w:val="variable"/>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F7F2D" w14:textId="77777777" w:rsidR="007940F1" w:rsidRDefault="007940F1" w:rsidP="003A29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FEA96F" w14:textId="77777777" w:rsidR="007940F1" w:rsidRDefault="007940F1" w:rsidP="003A29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5405453"/>
      <w:docPartObj>
        <w:docPartGallery w:val="Page Numbers (Bottom of Page)"/>
        <w:docPartUnique/>
      </w:docPartObj>
    </w:sdtPr>
    <w:sdtEndPr/>
    <w:sdtContent>
      <w:p w14:paraId="2E6A144D" w14:textId="3B977879" w:rsidR="007940F1" w:rsidRDefault="007940F1">
        <w:pPr>
          <w:pStyle w:val="Porat"/>
          <w:jc w:val="right"/>
        </w:pPr>
        <w:r>
          <w:fldChar w:fldCharType="begin"/>
        </w:r>
        <w:r>
          <w:instrText>PAGE   \* MERGEFORMAT</w:instrText>
        </w:r>
        <w:r>
          <w:fldChar w:fldCharType="separate"/>
        </w:r>
        <w:r>
          <w:t>2</w:t>
        </w:r>
        <w:r>
          <w:fldChar w:fldCharType="end"/>
        </w:r>
      </w:p>
    </w:sdtContent>
  </w:sdt>
  <w:p w14:paraId="144E237C" w14:textId="77777777" w:rsidR="007940F1" w:rsidRDefault="007940F1" w:rsidP="003A29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DB272" w14:textId="77777777" w:rsidR="00C64DAC" w:rsidRDefault="00C64DAC">
      <w:r>
        <w:separator/>
      </w:r>
    </w:p>
  </w:footnote>
  <w:footnote w:type="continuationSeparator" w:id="0">
    <w:p w14:paraId="6BECCB15" w14:textId="77777777" w:rsidR="00C64DAC" w:rsidRDefault="00C64DAC">
      <w:r>
        <w:continuationSeparator/>
      </w:r>
    </w:p>
  </w:footnote>
  <w:footnote w:id="1">
    <w:p w14:paraId="4E06CC9A" w14:textId="77777777" w:rsidR="007940F1" w:rsidRPr="00070E6B" w:rsidRDefault="007940F1" w:rsidP="003037C7">
      <w:pPr>
        <w:pStyle w:val="Puslapioinaostekstas"/>
        <w:rPr>
          <w:rFonts w:ascii="Times New Roman" w:hAnsi="Times New Roman"/>
          <w:sz w:val="20"/>
        </w:rPr>
      </w:pPr>
      <w:r w:rsidRPr="00070E6B">
        <w:rPr>
          <w:rStyle w:val="Puslapioinaosnuoroda"/>
          <w:rFonts w:ascii="Times New Roman" w:hAnsi="Times New Roman"/>
          <w:sz w:val="20"/>
        </w:rPr>
        <w:footnoteRef/>
      </w:r>
      <w:r w:rsidRPr="00070E6B">
        <w:rPr>
          <w:rFonts w:ascii="Times New Roman" w:hAnsi="Times New Roman"/>
          <w:sz w:val="20"/>
        </w:rPr>
        <w:t xml:space="preserve"> Sveikatos apsaugos ministro 2020 m. gruodžio 23 d. įsakymas Nr. V-2997 „Dėl Gyventojų skiepijimo valstybės biudžeto lėšomis įsigyjama COVID-19 ligos (koronaviruso infekcijos) vakcina organizavimo tvarkos aprašo patvirtinimo“.</w:t>
      </w:r>
    </w:p>
  </w:footnote>
  <w:footnote w:id="2">
    <w:p w14:paraId="3E416652" w14:textId="77777777" w:rsidR="007940F1" w:rsidRPr="009E34EF" w:rsidRDefault="007940F1" w:rsidP="00057978">
      <w:pPr>
        <w:pStyle w:val="Puslapioinaostekstas"/>
        <w:rPr>
          <w:rFonts w:ascii="Times New Roman" w:hAnsi="Times New Roman"/>
          <w:sz w:val="20"/>
        </w:rPr>
      </w:pPr>
      <w:r w:rsidRPr="009E34EF">
        <w:rPr>
          <w:rStyle w:val="Puslapioinaosnuoroda"/>
          <w:rFonts w:ascii="Times New Roman" w:hAnsi="Times New Roman"/>
          <w:sz w:val="20"/>
        </w:rPr>
        <w:footnoteRef/>
      </w:r>
      <w:r w:rsidRPr="009E34EF">
        <w:rPr>
          <w:rFonts w:ascii="Times New Roman" w:hAnsi="Times New Roman"/>
          <w:sz w:val="20"/>
        </w:rPr>
        <w:t xml:space="preserve"> https://eimin.lrv.lt/lt/naujienos/antrojo-karantino-parama-verslui-tikslingesne-ir-greitesne-rodo-tyrimas</w:t>
      </w:r>
    </w:p>
  </w:footnote>
  <w:footnote w:id="3">
    <w:p w14:paraId="7F7F8246" w14:textId="77777777" w:rsidR="007940F1" w:rsidRPr="009E34EF" w:rsidRDefault="007940F1" w:rsidP="00057978">
      <w:pPr>
        <w:pStyle w:val="Puslapioinaostekstas"/>
        <w:rPr>
          <w:rFonts w:ascii="Times New Roman" w:hAnsi="Times New Roman"/>
          <w:sz w:val="20"/>
          <w:lang w:val="en-GB"/>
        </w:rPr>
      </w:pPr>
      <w:r w:rsidRPr="009E34EF">
        <w:rPr>
          <w:rStyle w:val="Puslapioinaosnuoroda"/>
          <w:rFonts w:ascii="Times New Roman" w:hAnsi="Times New Roman"/>
          <w:sz w:val="20"/>
        </w:rPr>
        <w:footnoteRef/>
      </w:r>
      <w:r w:rsidRPr="009E34EF">
        <w:rPr>
          <w:rFonts w:ascii="Times New Roman" w:hAnsi="Times New Roman"/>
          <w:sz w:val="20"/>
        </w:rPr>
        <w:t xml:space="preserve"> </w:t>
      </w:r>
      <w:r w:rsidRPr="009E34EF">
        <w:rPr>
          <w:rFonts w:ascii="Times New Roman" w:hAnsi="Times New Roman"/>
          <w:color w:val="000000" w:themeColor="text1"/>
          <w:sz w:val="20"/>
        </w:rPr>
        <w:t>V. Navickienė, I. Valantinaitė, G. Droessiger ir kt. Lietuvos mokslo ir švietimo institucijų poreikių, reikalavimų ir turimos patirties organizuojant ir vykdant nuotolinį mokymąsi ir nuotolinį darbą tyrimas ir įvertinimas. Studija. 2020.</w:t>
      </w:r>
    </w:p>
  </w:footnote>
  <w:footnote w:id="4">
    <w:p w14:paraId="6FDF470E" w14:textId="02ABB542" w:rsidR="007940F1" w:rsidRDefault="007940F1" w:rsidP="009605D4">
      <w:pPr>
        <w:pStyle w:val="Puslapioinaostekstas"/>
        <w:tabs>
          <w:tab w:val="left" w:pos="284"/>
        </w:tabs>
      </w:pPr>
      <w:r w:rsidRPr="009E34EF">
        <w:rPr>
          <w:rStyle w:val="Puslapioinaosnuoroda"/>
          <w:rFonts w:ascii="Times New Roman" w:hAnsi="Times New Roman"/>
          <w:sz w:val="20"/>
        </w:rPr>
        <w:footnoteRef/>
      </w:r>
      <w:r>
        <w:rPr>
          <w:rFonts w:ascii="Times New Roman" w:hAnsi="Times New Roman"/>
          <w:sz w:val="20"/>
        </w:rPr>
        <w:t xml:space="preserve"> </w:t>
      </w:r>
      <w:r w:rsidRPr="009E34EF">
        <w:rPr>
          <w:rFonts w:ascii="Times New Roman" w:hAnsi="Times New Roman"/>
          <w:sz w:val="20"/>
        </w:rPr>
        <w:t>https://koronastop.lrv.lt/lt/naujienos/del-nuotolinio-mokymo-sunkumu-patiriantiems-mokiniams-7-5-mln-euru-vertes-pagalba</w:t>
      </w:r>
    </w:p>
  </w:footnote>
  <w:footnote w:id="5">
    <w:p w14:paraId="218C0D0D" w14:textId="77777777" w:rsidR="007940F1" w:rsidRPr="008004A9" w:rsidRDefault="007940F1" w:rsidP="002A479B">
      <w:pPr>
        <w:pStyle w:val="Puslapioinaostekstas"/>
        <w:contextualSpacing/>
        <w:rPr>
          <w:rFonts w:ascii="Times New Roman" w:hAnsi="Times New Roman"/>
          <w:sz w:val="20"/>
        </w:rPr>
      </w:pPr>
      <w:r w:rsidRPr="008004A9">
        <w:rPr>
          <w:rStyle w:val="Puslapioinaosnuoroda"/>
          <w:rFonts w:ascii="Times New Roman" w:hAnsi="Times New Roman"/>
          <w:sz w:val="20"/>
        </w:rPr>
        <w:footnoteRef/>
      </w:r>
      <w:r w:rsidRPr="008004A9">
        <w:rPr>
          <w:rFonts w:ascii="Times New Roman" w:hAnsi="Times New Roman"/>
          <w:b/>
          <w:bCs/>
          <w:sz w:val="20"/>
        </w:rPr>
        <w:t xml:space="preserve"> </w:t>
      </w:r>
      <w:r w:rsidRPr="008004A9">
        <w:rPr>
          <w:rFonts w:ascii="Times New Roman" w:hAnsi="Times New Roman"/>
          <w:bCs/>
          <w:sz w:val="20"/>
        </w:rPr>
        <w:t>Europos Komisijos laiškas dėl bendrosios SAP išimties taikymo</w:t>
      </w:r>
      <w:r w:rsidRPr="008004A9">
        <w:rPr>
          <w:rFonts w:ascii="Times New Roman" w:hAnsi="Times New Roman"/>
          <w:sz w:val="20"/>
        </w:rPr>
        <w:t>, https://ec.europa.eu/info/sites/info/files/economy-finance/lt.pdf.</w:t>
      </w:r>
    </w:p>
  </w:footnote>
  <w:footnote w:id="6">
    <w:p w14:paraId="14DD67F8" w14:textId="77777777" w:rsidR="007940F1" w:rsidRPr="008004A9" w:rsidRDefault="007940F1" w:rsidP="002A479B">
      <w:pPr>
        <w:pStyle w:val="Puslapioinaostekstas"/>
        <w:rPr>
          <w:rFonts w:ascii="Times New Roman" w:hAnsi="Times New Roman"/>
          <w:sz w:val="20"/>
        </w:rPr>
      </w:pPr>
      <w:r w:rsidRPr="008004A9">
        <w:rPr>
          <w:rStyle w:val="Puslapioinaosnuoroda"/>
          <w:rFonts w:ascii="Times New Roman" w:hAnsi="Times New Roman"/>
          <w:sz w:val="20"/>
        </w:rPr>
        <w:footnoteRef/>
      </w:r>
      <w:r w:rsidRPr="008004A9">
        <w:rPr>
          <w:rFonts w:ascii="Times New Roman" w:hAnsi="Times New Roman"/>
          <w:sz w:val="20"/>
        </w:rPr>
        <w:t xml:space="preserve"> </w:t>
      </w:r>
      <w:r w:rsidRPr="008004A9">
        <w:rPr>
          <w:rFonts w:ascii="Times New Roman" w:hAnsi="Times New Roman"/>
          <w:bCs/>
          <w:sz w:val="20"/>
        </w:rPr>
        <w:t>Fiskalinių rizikų apžvalga</w:t>
      </w:r>
      <w:r w:rsidRPr="008004A9">
        <w:rPr>
          <w:rFonts w:ascii="Times New Roman" w:hAnsi="Times New Roman"/>
          <w:sz w:val="20"/>
        </w:rPr>
        <w:t>, https://finmin.lrv.lt/lt/veiklos-sritys/fiskaline-politika/fiskaliniu-riziku-apzvalga</w:t>
      </w:r>
    </w:p>
  </w:footnote>
  <w:footnote w:id="7">
    <w:p w14:paraId="529A1F3B" w14:textId="77777777" w:rsidR="007940F1" w:rsidRPr="000A1528" w:rsidRDefault="007940F1" w:rsidP="007A7540">
      <w:pPr>
        <w:pStyle w:val="Puslapioinaostekstas"/>
        <w:rPr>
          <w:rFonts w:ascii="Times New Roman" w:hAnsi="Times New Roman"/>
        </w:rPr>
      </w:pPr>
      <w:r w:rsidRPr="000A1528">
        <w:rPr>
          <w:rStyle w:val="Puslapioinaosnuoroda"/>
          <w:rFonts w:ascii="Times New Roman" w:hAnsi="Times New Roman"/>
        </w:rPr>
        <w:footnoteRef/>
      </w:r>
      <w:r w:rsidRPr="000A1528">
        <w:rPr>
          <w:rFonts w:ascii="Times New Roman" w:hAnsi="Times New Roman"/>
        </w:rPr>
        <w:t xml:space="preserve"> Apima ir sveikatos sistemos atsparumo grėsmėms užtikrinimo veiksmus.</w:t>
      </w:r>
    </w:p>
  </w:footnote>
  <w:footnote w:id="8">
    <w:p w14:paraId="232F638A" w14:textId="77777777" w:rsidR="007940F1" w:rsidRPr="0078025D" w:rsidRDefault="007940F1" w:rsidP="00975F26">
      <w:pPr>
        <w:pStyle w:val="Puslapioinaostekstas"/>
        <w:spacing w:line="240" w:lineRule="auto"/>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Rodiklis nebeskaičiuojamas.</w:t>
      </w:r>
    </w:p>
  </w:footnote>
  <w:footnote w:id="9">
    <w:p w14:paraId="6C0A6F62" w14:textId="77777777" w:rsidR="007940F1" w:rsidRPr="0078025D" w:rsidRDefault="007940F1" w:rsidP="00975F26">
      <w:pPr>
        <w:pStyle w:val="Puslapioinaostekstas"/>
        <w:spacing w:line="240" w:lineRule="auto"/>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Rodiklis nebeskaičiuojamas.</w:t>
      </w:r>
    </w:p>
  </w:footnote>
  <w:footnote w:id="10">
    <w:p w14:paraId="67600307" w14:textId="77777777" w:rsidR="007940F1" w:rsidRPr="00BE6B3B" w:rsidRDefault="007940F1" w:rsidP="00975F26">
      <w:pPr>
        <w:pStyle w:val="Puslapioinaostekstas"/>
        <w:spacing w:line="240" w:lineRule="auto"/>
        <w:rPr>
          <w:rFonts w:ascii="Times New Roman" w:hAnsi="Times New Roman"/>
        </w:rPr>
      </w:pPr>
      <w:r w:rsidRPr="0078025D">
        <w:rPr>
          <w:rStyle w:val="Puslapioinaosnuoroda"/>
          <w:rFonts w:ascii="Times New Roman" w:hAnsi="Times New Roman"/>
          <w:sz w:val="20"/>
        </w:rPr>
        <w:footnoteRef/>
      </w:r>
      <w:r w:rsidRPr="0078025D">
        <w:rPr>
          <w:rFonts w:ascii="Times New Roman" w:hAnsi="Times New Roman"/>
          <w:sz w:val="20"/>
        </w:rPr>
        <w:t xml:space="preserve"> Nuo 2019 m. Lietuvos indeksas neskaičiuojamas.</w:t>
      </w:r>
    </w:p>
  </w:footnote>
  <w:footnote w:id="11">
    <w:p w14:paraId="69610A44" w14:textId="77777777" w:rsidR="007940F1" w:rsidRPr="0078025D" w:rsidRDefault="007940F1" w:rsidP="00975F26">
      <w:pPr>
        <w:pStyle w:val="Puslapioinaostekstas"/>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Pasikeitė rodiklio skaičiavimo metodas. Rodiklis skaičiuojamas kaip</w:t>
      </w:r>
      <w:r w:rsidRPr="0078025D">
        <w:rPr>
          <w:sz w:val="20"/>
        </w:rPr>
        <w:t xml:space="preserve"> </w:t>
      </w:r>
      <w:r w:rsidRPr="0078025D">
        <w:rPr>
          <w:rFonts w:ascii="Times New Roman" w:hAnsi="Times New Roman"/>
          <w:sz w:val="20"/>
        </w:rPr>
        <w:t>„Gyventojų, kurie patys aktyviai dalyvauja kultūrinėse veiklose, dalis (proc.)“, numatytas NPP2030.</w:t>
      </w:r>
    </w:p>
  </w:footnote>
  <w:footnote w:id="12">
    <w:p w14:paraId="4AD3D407" w14:textId="77777777" w:rsidR="007940F1" w:rsidRPr="0078025D" w:rsidRDefault="007940F1" w:rsidP="00975F26">
      <w:pPr>
        <w:pStyle w:val="Puslapioinaostekstas"/>
        <w:spacing w:line="240" w:lineRule="auto"/>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Paskutiniai duomenys 2017 m., 2019–2020 m. duomenų nėra.</w:t>
      </w:r>
    </w:p>
  </w:footnote>
  <w:footnote w:id="13">
    <w:p w14:paraId="3B79FE04" w14:textId="77777777" w:rsidR="007940F1" w:rsidRPr="0078025D" w:rsidRDefault="007940F1" w:rsidP="00975F26">
      <w:pPr>
        <w:pStyle w:val="Puslapioinaostekstas"/>
        <w:spacing w:line="240" w:lineRule="auto"/>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2018 m., duomenų  šaltinis – Eurostatas.</w:t>
      </w:r>
    </w:p>
  </w:footnote>
  <w:footnote w:id="14">
    <w:p w14:paraId="5212A164" w14:textId="77777777" w:rsidR="007940F1" w:rsidRPr="003F26FC" w:rsidRDefault="007940F1" w:rsidP="00975F26">
      <w:pPr>
        <w:pStyle w:val="Puslapioinaostekstas"/>
        <w:spacing w:line="240" w:lineRule="auto"/>
        <w:rPr>
          <w:rFonts w:ascii="Times New Roman" w:hAnsi="Times New Roman"/>
        </w:rPr>
      </w:pPr>
      <w:r w:rsidRPr="0078025D">
        <w:rPr>
          <w:rStyle w:val="Puslapioinaosnuoroda"/>
          <w:rFonts w:ascii="Times New Roman" w:hAnsi="Times New Roman"/>
          <w:sz w:val="20"/>
        </w:rPr>
        <w:footnoteRef/>
      </w:r>
      <w:r w:rsidRPr="0078025D">
        <w:rPr>
          <w:rFonts w:ascii="Times New Roman" w:hAnsi="Times New Roman"/>
          <w:sz w:val="20"/>
        </w:rPr>
        <w:t xml:space="preserve"> </w:t>
      </w:r>
      <w:r w:rsidRPr="0078025D">
        <w:rPr>
          <w:rFonts w:ascii="Times New Roman" w:hAnsi="Times New Roman"/>
          <w:i/>
          <w:iCs/>
          <w:sz w:val="20"/>
        </w:rPr>
        <w:t>The World’s Business School</w:t>
      </w:r>
      <w:r w:rsidRPr="0078025D">
        <w:rPr>
          <w:rFonts w:ascii="Times New Roman" w:hAnsi="Times New Roman"/>
          <w:sz w:val="20"/>
        </w:rPr>
        <w:t xml:space="preserve"> INSEAD rodiklis nebeskaičiuojamas. Pasirinktas 2017 m. duomenų šaltinis – Eurostatas.</w:t>
      </w:r>
    </w:p>
  </w:footnote>
  <w:footnote w:id="15">
    <w:p w14:paraId="2FC64D2D" w14:textId="77777777" w:rsidR="007940F1" w:rsidRPr="0078025D" w:rsidRDefault="007940F1" w:rsidP="00975F26">
      <w:pPr>
        <w:pStyle w:val="Betarp2"/>
        <w:rPr>
          <w:sz w:val="20"/>
        </w:rPr>
      </w:pPr>
      <w:r w:rsidRPr="0078025D">
        <w:rPr>
          <w:rStyle w:val="Puslapioinaosnuoroda"/>
          <w:sz w:val="20"/>
        </w:rPr>
        <w:footnoteRef/>
      </w:r>
      <w:r w:rsidRPr="0078025D">
        <w:rPr>
          <w:sz w:val="20"/>
        </w:rPr>
        <w:t xml:space="preserve"> Svarbiausių kriterijų pasiekimo reikšmės pateikiamos pagal valstybės veiklos sritis, kurios apibrėžtos Lietuvos Respublikos strateginio valdymo įstatyme (2020 m. birželio 25 d. Nr. XIII-3096).</w:t>
      </w:r>
    </w:p>
  </w:footnote>
  <w:footnote w:id="16">
    <w:p w14:paraId="6E977B8D" w14:textId="7D6BE0B1" w:rsidR="007940F1" w:rsidRPr="007B039B" w:rsidRDefault="007940F1">
      <w:pPr>
        <w:pStyle w:val="Puslapioinaostekstas"/>
      </w:pPr>
      <w:r w:rsidRPr="0078025D">
        <w:rPr>
          <w:rStyle w:val="Puslapioinaosnuoroda"/>
          <w:rFonts w:ascii="Times New Roman" w:hAnsi="Times New Roman"/>
          <w:sz w:val="20"/>
        </w:rPr>
        <w:footnoteRef/>
      </w:r>
      <w:r w:rsidRPr="0078025D">
        <w:rPr>
          <w:rFonts w:ascii="Times New Roman" w:hAnsi="Times New Roman"/>
          <w:sz w:val="20"/>
        </w:rPr>
        <w:t xml:space="preserve"> VPS2030 – Valstybės pažangos strategija 2030 m. NPP2020 – Nacionalinė pažangos programa 2020 m., NPP2030 – Nacionalinis pažangos planas 2030 m., 17LRVP – Septynioliktosios Lietuvos Respublikos Vyriausybės programos įgyvendinimo planas, 18LRVP – Aštuonioliktosios Lietuvos Respublikos Vyriausybės programos nuostatų įgyvendinimo planas.</w:t>
      </w:r>
    </w:p>
  </w:footnote>
  <w:footnote w:id="17">
    <w:p w14:paraId="658B74A3" w14:textId="77777777" w:rsidR="007940F1" w:rsidRPr="0078025D" w:rsidRDefault="007940F1" w:rsidP="00975F26">
      <w:pPr>
        <w:rPr>
          <w:sz w:val="20"/>
        </w:rPr>
      </w:pPr>
      <w:r w:rsidRPr="0078025D">
        <w:rPr>
          <w:rStyle w:val="Puslapioinaosnuoroda"/>
          <w:sz w:val="20"/>
        </w:rPr>
        <w:footnoteRef/>
      </w:r>
      <w:r w:rsidRPr="0078025D">
        <w:rPr>
          <w:sz w:val="20"/>
        </w:rPr>
        <w:t xml:space="preserve"> Dalis valstybės veiklos srities „Valstybės saugumas ir gynyba“ rodiklių nepateikiama, nes yra su žyma „Riboto naudojimo“.</w:t>
      </w:r>
    </w:p>
  </w:footnote>
  <w:footnote w:id="18">
    <w:p w14:paraId="2FDBD337" w14:textId="77777777" w:rsidR="007940F1" w:rsidRPr="0078025D" w:rsidRDefault="007940F1" w:rsidP="008F10B3">
      <w:pPr>
        <w:pStyle w:val="Puslapioinaostekstas"/>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6 Struktūrinės reformos </w:t>
      </w:r>
      <w:hyperlink r:id="rId1" w:history="1">
        <w:r w:rsidRPr="0078025D">
          <w:rPr>
            <w:rStyle w:val="Hipersaitas"/>
            <w:rFonts w:ascii="Times New Roman" w:hAnsi="Times New Roman"/>
            <w:sz w:val="20"/>
          </w:rPr>
          <w:t>https://lrv.lt/uploads/main/documents/files/LRV%206%20strukturines%20reformos.pdf</w:t>
        </w:r>
      </w:hyperlink>
      <w:r w:rsidRPr="0078025D">
        <w:rPr>
          <w:rStyle w:val="Hipersaitas"/>
          <w:rFonts w:ascii="Times New Roman" w:hAnsi="Times New Roman"/>
          <w:sz w:val="20"/>
        </w:rPr>
        <w:t>.</w:t>
      </w:r>
    </w:p>
  </w:footnote>
  <w:footnote w:id="19">
    <w:p w14:paraId="1F42B17C" w14:textId="77777777" w:rsidR="007940F1" w:rsidRPr="005D295D" w:rsidRDefault="007940F1" w:rsidP="008F10B3">
      <w:pPr>
        <w:pStyle w:val="Puslapioinaostekstas"/>
      </w:pPr>
      <w:r w:rsidRPr="005D295D">
        <w:rPr>
          <w:rStyle w:val="Puslapioinaosnuoroda"/>
        </w:rPr>
        <w:footnoteRef/>
      </w:r>
      <w:r w:rsidRPr="005D295D">
        <w:t xml:space="preserve"> </w:t>
      </w:r>
      <w:r w:rsidRPr="005D295D">
        <w:rPr>
          <w:rFonts w:ascii="Times New Roman" w:hAnsi="Times New Roman"/>
        </w:rPr>
        <w:t>2021 m. sausio 21 d. duomenimis.</w:t>
      </w:r>
    </w:p>
  </w:footnote>
  <w:footnote w:id="20">
    <w:p w14:paraId="5C9FA6FB" w14:textId="77777777" w:rsidR="007940F1" w:rsidRDefault="007940F1" w:rsidP="008F10B3">
      <w:pPr>
        <w:pStyle w:val="Puslapioinaostekstas"/>
      </w:pPr>
      <w:r w:rsidRPr="005D295D">
        <w:rPr>
          <w:rStyle w:val="Puslapioinaosnuoroda"/>
        </w:rPr>
        <w:footnoteRef/>
      </w:r>
      <w:r w:rsidRPr="005D295D">
        <w:t xml:space="preserve"> </w:t>
      </w:r>
      <w:r w:rsidRPr="005D295D">
        <w:rPr>
          <w:rFonts w:ascii="Times New Roman" w:hAnsi="Times New Roman"/>
        </w:rPr>
        <w:t>2020 m. rugsėjo 10 d. duomenimis.</w:t>
      </w:r>
    </w:p>
  </w:footnote>
  <w:footnote w:id="21">
    <w:p w14:paraId="6C50093C" w14:textId="77777777" w:rsidR="007940F1" w:rsidRPr="00BA1380" w:rsidRDefault="007940F1" w:rsidP="00C6560C">
      <w:pPr>
        <w:pStyle w:val="Puslapioinaostekstas"/>
        <w:spacing w:line="240" w:lineRule="auto"/>
        <w:rPr>
          <w:rFonts w:ascii="Times New Roman" w:hAnsi="Times New Roman"/>
          <w:sz w:val="20"/>
        </w:rPr>
      </w:pPr>
      <w:r w:rsidRPr="00BA1380">
        <w:rPr>
          <w:rStyle w:val="Puslapioinaosnuoroda"/>
          <w:rFonts w:ascii="Times New Roman" w:hAnsi="Times New Roman"/>
          <w:sz w:val="20"/>
        </w:rPr>
        <w:footnoteRef/>
      </w:r>
      <w:r w:rsidRPr="00BA1380">
        <w:rPr>
          <w:rFonts w:ascii="Times New Roman" w:hAnsi="Times New Roman"/>
          <w:sz w:val="20"/>
        </w:rPr>
        <w:t xml:space="preserve"> Duomenys bus 2021 m. II ketv.</w:t>
      </w:r>
      <w:r>
        <w:rPr>
          <w:rFonts w:ascii="Times New Roman" w:hAnsi="Times New Roman"/>
          <w:sz w:val="20"/>
        </w:rPr>
        <w:t xml:space="preserve"> </w:t>
      </w:r>
    </w:p>
  </w:footnote>
  <w:footnote w:id="22">
    <w:p w14:paraId="557F4698" w14:textId="77777777" w:rsidR="007940F1" w:rsidRPr="00BA1380" w:rsidRDefault="007940F1" w:rsidP="00C6560C">
      <w:pPr>
        <w:pStyle w:val="Puslapioinaostekstas"/>
        <w:spacing w:line="240" w:lineRule="auto"/>
        <w:rPr>
          <w:rFonts w:ascii="Times New Roman" w:hAnsi="Times New Roman"/>
          <w:sz w:val="20"/>
        </w:rPr>
      </w:pPr>
      <w:r w:rsidRPr="00BA1380">
        <w:rPr>
          <w:rStyle w:val="Puslapioinaosnuoroda"/>
          <w:rFonts w:ascii="Times New Roman" w:hAnsi="Times New Roman"/>
          <w:sz w:val="20"/>
        </w:rPr>
        <w:footnoteRef/>
      </w:r>
      <w:r w:rsidRPr="00BA1380">
        <w:rPr>
          <w:rFonts w:ascii="Times New Roman" w:hAnsi="Times New Roman"/>
          <w:sz w:val="20"/>
        </w:rPr>
        <w:t xml:space="preserve"> Duomenys bus 2021 m. II ketv.</w:t>
      </w:r>
    </w:p>
  </w:footnote>
  <w:footnote w:id="23">
    <w:p w14:paraId="0EC4228B" w14:textId="77777777" w:rsidR="007940F1" w:rsidRPr="0078025D" w:rsidRDefault="007940F1" w:rsidP="00C6560C">
      <w:pPr>
        <w:pStyle w:val="Puslapioinaostekstas"/>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w:t>
      </w:r>
      <w:r w:rsidRPr="0078025D">
        <w:rPr>
          <w:rFonts w:ascii="Times New Roman" w:hAnsi="Times New Roman"/>
          <w:bCs/>
          <w:sz w:val="20"/>
        </w:rPr>
        <w:t>infrastruktūros projektai užbaigti 2019 m.</w:t>
      </w:r>
    </w:p>
  </w:footnote>
  <w:footnote w:id="24">
    <w:p w14:paraId="156DE280" w14:textId="77777777" w:rsidR="007940F1" w:rsidRDefault="007940F1" w:rsidP="00C6560C">
      <w:pPr>
        <w:pStyle w:val="Puslapioinaostekstas"/>
      </w:pPr>
      <w:r w:rsidRPr="0078025D">
        <w:rPr>
          <w:rStyle w:val="Puslapioinaosnuoroda"/>
          <w:rFonts w:ascii="Times New Roman" w:hAnsi="Times New Roman"/>
          <w:sz w:val="20"/>
        </w:rPr>
        <w:footnoteRef/>
      </w:r>
      <w:r w:rsidRPr="0078025D">
        <w:rPr>
          <w:rFonts w:ascii="Times New Roman" w:hAnsi="Times New Roman"/>
          <w:sz w:val="20"/>
        </w:rPr>
        <w:t xml:space="preserve"> r</w:t>
      </w:r>
      <w:r w:rsidRPr="0078025D">
        <w:rPr>
          <w:rFonts w:ascii="Times New Roman" w:eastAsia="Calibri" w:hAnsi="Times New Roman"/>
          <w:sz w:val="20"/>
        </w:rPr>
        <w:t>eikšmė nepasiekta dėl COVID-19 pandemijos</w:t>
      </w:r>
      <w:r w:rsidRPr="0078025D">
        <w:rPr>
          <w:rFonts w:ascii="Times New Roman" w:eastAsia="Calibri" w:hAnsi="Times New Roman"/>
          <w:color w:val="0070C0"/>
          <w:sz w:val="20"/>
        </w:rPr>
        <w:t>.</w:t>
      </w:r>
    </w:p>
  </w:footnote>
  <w:footnote w:id="25">
    <w:p w14:paraId="4737363D" w14:textId="77777777" w:rsidR="007940F1" w:rsidRPr="007B5703" w:rsidRDefault="007940F1" w:rsidP="008B10FF">
      <w:pPr>
        <w:jc w:val="both"/>
        <w:rPr>
          <w:sz w:val="20"/>
        </w:rPr>
      </w:pPr>
      <w:r w:rsidRPr="007B5703">
        <w:rPr>
          <w:rStyle w:val="Puslapioinaosnuoroda"/>
          <w:rFonts w:eastAsia="Calibri"/>
          <w:sz w:val="20"/>
        </w:rPr>
        <w:footnoteRef/>
      </w:r>
      <w:r w:rsidRPr="007B5703">
        <w:rPr>
          <w:sz w:val="20"/>
        </w:rPr>
        <w:t xml:space="preserve"> 2021 m. II ketv. numatytos </w:t>
      </w:r>
      <w:r w:rsidRPr="007B5703">
        <w:rPr>
          <w:rFonts w:eastAsia="BatangChe"/>
          <w:sz w:val="20"/>
        </w:rPr>
        <w:t xml:space="preserve">tarptautinės pratybos </w:t>
      </w:r>
      <w:r w:rsidRPr="007B5703">
        <w:rPr>
          <w:sz w:val="20"/>
        </w:rPr>
        <w:t>CORE 21-B (Nuoseklus Baltijos šalių atsparumas, 2021 m.)</w:t>
      </w:r>
      <w:r w:rsidRPr="007B5703">
        <w:rPr>
          <w:rFonts w:eastAsia="BatangChe"/>
          <w:sz w:val="20"/>
        </w:rPr>
        <w:t xml:space="preserve">, kurias organizuoja NATO </w:t>
      </w:r>
      <w:r w:rsidRPr="007B5703">
        <w:rPr>
          <w:sz w:val="20"/>
        </w:rPr>
        <w:t xml:space="preserve">energetinio saugumo kompetencijų centras kartu su Jungtiniu tyrimų centru. Pratybos, kuriose dalyvaus Baltijos šalių, Suomijos, Lenkijos, Švedijos ir tarptautinių organizacijų atstovai, susijusios su Baltijos šalių elektros energetikos sistemos atsparumu kibernetinėms ir hibridinėms grėsmėms bei </w:t>
      </w:r>
      <w:r>
        <w:rPr>
          <w:sz w:val="20"/>
        </w:rPr>
        <w:t>s</w:t>
      </w:r>
      <w:r w:rsidRPr="007B5703">
        <w:rPr>
          <w:sz w:val="20"/>
        </w:rPr>
        <w:t>inchronizacijos projektu.</w:t>
      </w:r>
    </w:p>
  </w:footnote>
  <w:footnote w:id="26">
    <w:p w14:paraId="2C289628" w14:textId="77777777" w:rsidR="007940F1" w:rsidRPr="0078025D" w:rsidRDefault="007940F1" w:rsidP="008B10FF">
      <w:pPr>
        <w:ind w:right="-1"/>
        <w:jc w:val="both"/>
        <w:textAlignment w:val="baseline"/>
        <w:rPr>
          <w:sz w:val="20"/>
        </w:rPr>
      </w:pPr>
      <w:r w:rsidRPr="0078025D">
        <w:rPr>
          <w:rStyle w:val="Puslapioinaosnuoroda"/>
          <w:rFonts w:eastAsia="Calibri"/>
          <w:sz w:val="20"/>
        </w:rPr>
        <w:footnoteRef/>
      </w:r>
      <w:r w:rsidRPr="0078025D">
        <w:rPr>
          <w:sz w:val="20"/>
        </w:rPr>
        <w:t xml:space="preserve"> Pvz., 2020 m. Rusijai, Baltarusijai ir Kinijai kartu teko 18,1 proc. dalis bendro Lietuvos prekių eksporto ir 15,75 proc. viso prekių importo. 2019 m. šių trijų šalių bendras svoris eksporto srityje buvo – 18,78 proc., o prekių importo srityje – 19,86 proc. </w:t>
      </w:r>
    </w:p>
  </w:footnote>
  <w:footnote w:id="27">
    <w:p w14:paraId="2C1547C3" w14:textId="77777777" w:rsidR="007940F1" w:rsidRPr="0078025D" w:rsidRDefault="007940F1" w:rsidP="008B10FF">
      <w:pPr>
        <w:widowControl w:val="0"/>
        <w:shd w:val="clear" w:color="auto" w:fill="FFFFFF"/>
        <w:autoSpaceDE w:val="0"/>
        <w:autoSpaceDN w:val="0"/>
        <w:adjustRightInd w:val="0"/>
        <w:jc w:val="both"/>
        <w:rPr>
          <w:sz w:val="20"/>
        </w:rPr>
      </w:pPr>
      <w:r w:rsidRPr="0078025D">
        <w:rPr>
          <w:rStyle w:val="Puslapioinaosnuoroda"/>
          <w:rFonts w:eastAsia="Calibri"/>
          <w:sz w:val="20"/>
        </w:rPr>
        <w:footnoteRef/>
      </w:r>
      <w:r w:rsidRPr="0078025D">
        <w:rPr>
          <w:sz w:val="20"/>
        </w:rPr>
        <w:t xml:space="preserve"> </w:t>
      </w:r>
      <w:r w:rsidRPr="0078025D">
        <w:rPr>
          <w:bCs/>
          <w:sz w:val="20"/>
        </w:rPr>
        <w:t>Pagal 2020 m. suformuluotą poziciją, projekto ,,Rail Baltica“ statybų veiklą toliau turi kontroliuoti valstybė, o  infrastruktūrą turi valdyti įmonė, kurios visos savininko teisės priklauso Lietuvos valstybei (ši įmonė numatyta Geležinkelių transporto kodekse – viešosios geležinkelių infrastruktūros valdytojas „LTG Infra“). Tokia pozicija buvo patvirtinta Seimo Europos reikalų komiteto ir Ekonomikos komiteto narių darbo grupės „Dėl ,,Rail Baltica‘‘ projekto įgyvendinimo parlamentinės kontrolės“ 2020 m. sausio 31 d. ir Seimo Europos reikalų komiteto ir Ekonomikos komiteto 2020 m. gegužės 27 d. protokolais, Valstybės gynimo tarybos 2020 m. birželio 29 d. sprendimu.</w:t>
      </w:r>
    </w:p>
  </w:footnote>
  <w:footnote w:id="28">
    <w:p w14:paraId="476EC567"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2020 m., palyginus su 2019 m., prekių importas iš Kinijos padidėjo 26,2 proc.</w:t>
      </w:r>
    </w:p>
  </w:footnote>
  <w:footnote w:id="29">
    <w:p w14:paraId="7F97D7C8" w14:textId="77777777" w:rsidR="007940F1" w:rsidRPr="0078025D" w:rsidRDefault="007940F1" w:rsidP="008B10FF">
      <w:pPr>
        <w:jc w:val="both"/>
        <w:textAlignment w:val="baseline"/>
        <w:rPr>
          <w:sz w:val="20"/>
        </w:rPr>
      </w:pPr>
      <w:r w:rsidRPr="0078025D">
        <w:rPr>
          <w:rStyle w:val="Puslapioinaosnuoroda"/>
          <w:rFonts w:eastAsia="Calibri"/>
          <w:sz w:val="20"/>
        </w:rPr>
        <w:footnoteRef/>
      </w:r>
      <w:r w:rsidRPr="0078025D">
        <w:rPr>
          <w:sz w:val="20"/>
        </w:rPr>
        <w:t xml:space="preserve"> Nuo 2020 m. spalio 11 d. pradėtas taikyti Europos Parlamento ir Tarybos Reglamentas (ES) 2019/452 ir pradėjo veikti ES tiesioginių užsienio investicijų iš trečių šalių tikrinimo sistema – sukurtas bendradarbiavimo mechanizmas, teisinės ir techninės procedūros, pagal kurias sudaroma</w:t>
      </w:r>
      <w:r w:rsidRPr="000B4B4D">
        <w:rPr>
          <w:sz w:val="18"/>
          <w:szCs w:val="18"/>
        </w:rPr>
        <w:t xml:space="preserve"> </w:t>
      </w:r>
      <w:r w:rsidRPr="0078025D">
        <w:rPr>
          <w:sz w:val="20"/>
        </w:rPr>
        <w:t xml:space="preserve">galimybė ES valstybėms narėms teikti pastabas dėl konkrečių investicijų poveikio saugumui ar viešajai tvarkai. 2020 m. į nacionalinį įstatymą buvo įtraukti ypatingos svarbos informacinės infrastruktūros valdytojai. </w:t>
      </w:r>
    </w:p>
  </w:footnote>
  <w:footnote w:id="30">
    <w:p w14:paraId="7F3E0BEA"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hAnsi="Times New Roman"/>
          <w:sz w:val="20"/>
        </w:rPr>
        <w:footnoteRef/>
      </w:r>
      <w:r w:rsidRPr="0078025D">
        <w:rPr>
          <w:rFonts w:ascii="Times New Roman" w:hAnsi="Times New Roman"/>
          <w:sz w:val="20"/>
        </w:rPr>
        <w:t xml:space="preserve"> 2020 m. rudenį paaiškėjo, kad Kinijos įmonė „Shenzen Zhenhua Data Information Technology“ rinko ir susistemino informaciją apie 2,4 mln. žmonių visame pasaulyje, daugiausia apie įtakingus asmenis, kurie priima sprendimus, ir jų artimuosius (tame sąraše buvo ir apie 500 asmenų iš Lietuvos).</w:t>
      </w:r>
    </w:p>
  </w:footnote>
  <w:footnote w:id="31">
    <w:p w14:paraId="0A5BFE61"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w:t>
      </w:r>
      <w:r w:rsidRPr="0078025D">
        <w:rPr>
          <w:rFonts w:ascii="Times New Roman" w:eastAsia="SimSun" w:hAnsi="Times New Roman"/>
          <w:sz w:val="20"/>
          <w:lang w:eastAsia="lt-LT"/>
        </w:rPr>
        <w:t>2020 m. toliau mažėjo užregistruotų papirkimo atvejų – 227 (2019 m. – 276).</w:t>
      </w:r>
    </w:p>
  </w:footnote>
  <w:footnote w:id="32">
    <w:p w14:paraId="063A9826" w14:textId="77777777" w:rsidR="007940F1" w:rsidRPr="00CF0CD8" w:rsidRDefault="007940F1" w:rsidP="008B10FF">
      <w:pPr>
        <w:pStyle w:val="Puslapioinaostekstas"/>
        <w:spacing w:line="240" w:lineRule="auto"/>
        <w:rPr>
          <w:rFonts w:ascii="Times New Roman" w:hAnsi="Times New Roman"/>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2020 m. – 120, 2019 m. – 165, 2018 m. – 265.</w:t>
      </w:r>
    </w:p>
  </w:footnote>
  <w:footnote w:id="33">
    <w:p w14:paraId="10EB932B"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w:t>
      </w:r>
      <w:r w:rsidRPr="0078025D">
        <w:rPr>
          <w:rFonts w:ascii="Times New Roman" w:eastAsia="SimSun" w:hAnsi="Times New Roman"/>
          <w:sz w:val="20"/>
          <w:lang w:eastAsia="lt-LT"/>
        </w:rPr>
        <w:t xml:space="preserve">13 proc. išaugo registruotų piktnaudžiavimo atvejų skaičius – 127, taip pat 13 proc. padaugėjo registruotų kyšininkavimo atvejų (2020 m. – 86, 2019 m. – 76), bet Specialiųjų tyrimų tarnyba pažymėjo, kad tai įprastas rodiklio svyravimas. Registruotas prekybos poveikiu atvejų skaičius 2020 m. siekė 49, palyginti su 2016 m., užregistruotas  prekybos poveikiu atvejų skaičius padidėjo beveik </w:t>
      </w:r>
      <w:r w:rsidRPr="0078025D">
        <w:rPr>
          <w:rFonts w:ascii="Times New Roman" w:eastAsia="SimSun" w:hAnsi="Times New Roman"/>
          <w:sz w:val="20"/>
          <w:lang w:val="en-GB" w:eastAsia="lt-LT"/>
        </w:rPr>
        <w:t>2</w:t>
      </w:r>
      <w:r w:rsidRPr="0078025D">
        <w:rPr>
          <w:rFonts w:ascii="Times New Roman" w:eastAsia="SimSun" w:hAnsi="Times New Roman"/>
          <w:sz w:val="20"/>
          <w:lang w:eastAsia="lt-LT"/>
        </w:rPr>
        <w:t xml:space="preserve"> kartus (</w:t>
      </w:r>
      <w:r w:rsidRPr="0078025D">
        <w:rPr>
          <w:rFonts w:ascii="Times New Roman" w:hAnsi="Times New Roman"/>
          <w:sz w:val="20"/>
        </w:rPr>
        <w:t>2020 m. – 49, 2019 m. – 43, 2018 m. – 53, 2017 m. – 32, 2016 m. – 25)</w:t>
      </w:r>
      <w:r w:rsidRPr="0078025D">
        <w:rPr>
          <w:rFonts w:ascii="Times New Roman" w:eastAsia="SimSun" w:hAnsi="Times New Roman"/>
          <w:sz w:val="20"/>
          <w:lang w:eastAsia="lt-LT"/>
        </w:rPr>
        <w:t>.</w:t>
      </w:r>
    </w:p>
  </w:footnote>
  <w:footnote w:id="34">
    <w:p w14:paraId="3879964A"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P</w:t>
      </w:r>
      <w:r w:rsidRPr="0078025D">
        <w:rPr>
          <w:rFonts w:ascii="Times New Roman" w:eastAsia="SimSun" w:hAnsi="Times New Roman"/>
          <w:bCs/>
          <w:sz w:val="20"/>
          <w:lang w:eastAsia="lt-LT"/>
        </w:rPr>
        <w:t>er pastaruosius 12 mėnesių kyšį nurodė davę 9 proc. gyventojų, 2019 m. – 10 proc., 2018 m. – 12 proc., 2016 m. – 16 proc., 2014 m. – 24 proc.</w:t>
      </w:r>
    </w:p>
  </w:footnote>
  <w:footnote w:id="35">
    <w:p w14:paraId="2B875B2B"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Pagal </w:t>
      </w:r>
      <w:r w:rsidRPr="0078025D">
        <w:rPr>
          <w:rFonts w:ascii="Times New Roman" w:eastAsia="SimSun" w:hAnsi="Times New Roman"/>
          <w:bCs/>
          <w:sz w:val="20"/>
          <w:lang w:eastAsia="lt-LT"/>
        </w:rPr>
        <w:t>sveikatos priežiūros įstaigų paslaugomis pasinaudojusių gyventojų patirtį, kyšio davimo rodikliai, palyginti su 2019 m., respublikinėse ligoninėse ir klinikose sumažėjo 12 proc., miestų ir rajonų ligoninėse – 4 proc.</w:t>
      </w:r>
    </w:p>
  </w:footnote>
  <w:footnote w:id="36">
    <w:p w14:paraId="02C142A3"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Gyventojų tikslinėje grupėje nepotizmą kaip paplitusį vertino: 2020 m. – 74 proc. gyventojų, 2019 m. – 70 proc. gyventojų; valstybės tarnautojų tikslinėje grupėje – 2020 m. – 55 proc., 2019 m. – 54 proc. Gyventojų tikslinėje grupėje politinių partijų narių protegavimą kaip paplitusį vertino 2020 m. – 66 proc. gyventojų, 2019 m. – 64 proc. gyventojų; valstybės tarnautojų tikslinėje grupėje – 2020 m. – 61 proc., 2019 m. – 60 proc. </w:t>
      </w:r>
      <w:r w:rsidRPr="0078025D">
        <w:rPr>
          <w:rFonts w:ascii="Times New Roman" w:eastAsia="SimSun" w:hAnsi="Times New Roman"/>
          <w:sz w:val="20"/>
          <w:lang w:eastAsia="lt-LT"/>
        </w:rPr>
        <w:t>Per dvejus metus 10 proc. sumažėjo valstybės tarnautojų dalis, kuriems teko girdėti atvejų, kuomet politikai ar valstybės tarnautojai, priimdami sprendimus, siektų naudos išskirtinai konkrečioms interesų grupėms, užuot paisę viešojo intereso. 2020 m. šis skaičius siekė 60 proc.,</w:t>
      </w:r>
      <w:r w:rsidRPr="0078025D">
        <w:rPr>
          <w:rFonts w:ascii="Times New Roman" w:hAnsi="Times New Roman"/>
          <w:sz w:val="20"/>
        </w:rPr>
        <w:t xml:space="preserve"> 2018 m. – 70 proc. („Lietuvos korupcijos žemėlapis 2020 m.“).</w:t>
      </w:r>
    </w:p>
  </w:footnote>
  <w:footnote w:id="37">
    <w:p w14:paraId="4B261BAA"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Korupciją, kaip problemą vykdant verslą Lietuvoje, nurodė 15 proc. įmonių vadovų. Palyginti su 2017 m., šis rodiklis yra 6 proc. mažesnis, o palyginti su 2015 m. – sumažėjęs beveik </w:t>
      </w:r>
      <w:r w:rsidRPr="0078025D">
        <w:rPr>
          <w:rFonts w:ascii="Times New Roman" w:hAnsi="Times New Roman"/>
          <w:sz w:val="20"/>
          <w:lang w:val="en-GB"/>
        </w:rPr>
        <w:t>2</w:t>
      </w:r>
      <w:r w:rsidRPr="0078025D">
        <w:rPr>
          <w:rFonts w:ascii="Times New Roman" w:hAnsi="Times New Roman"/>
          <w:sz w:val="20"/>
        </w:rPr>
        <w:t xml:space="preserve"> kartus (2015 m. – 28 proc.). Tarp 28 valstybių Lietuva atsidūrė 8 vietoje kaip šalis, kurioje korupcija mažiausiai aktuali problema plėtojant verslą. Taigi Lietuva lenkia ES vidurkį (37 proc.), o vertinant Lietuvą tarp kaimyninių valstybių pastebėta, kad rodiklis geresnis nei Lenkijoje (27 proc., 12 vieta) ir Latvijoje (19 proc., 9 vieta), bet Estijos verslo aplinka šiuo aspektu išlieka palankesnė (9 proc., 2 vieta) („Flash Eurobarometer Nr. 482: Verslo požiūris į korupciją ES“, 2019 m.).</w:t>
      </w:r>
    </w:p>
  </w:footnote>
  <w:footnote w:id="38">
    <w:p w14:paraId="1000284C"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37 proc. Lietuvos įmonių, dalyvaujančių viešuosiuose pirkimuose, nurodė, kad per pastaruosius </w:t>
      </w:r>
      <w:r w:rsidRPr="0078025D">
        <w:rPr>
          <w:rFonts w:ascii="Times New Roman" w:hAnsi="Times New Roman"/>
          <w:sz w:val="20"/>
          <w:lang w:val="en-GB"/>
        </w:rPr>
        <w:t>3</w:t>
      </w:r>
      <w:r w:rsidRPr="0078025D">
        <w:rPr>
          <w:rFonts w:ascii="Times New Roman" w:hAnsi="Times New Roman"/>
          <w:sz w:val="20"/>
        </w:rPr>
        <w:t xml:space="preserve"> metus korupcija jiems sukliudė laimėti viešąjį pirkimą. Tai 11 proc. daugiau, palyginti su 2017 m. tyrimo duomenimis, ir grįžo į 2015 m. lygį (39 proc.). Pagal susidūrimo su korupcija viešuosiuose pirkimuose vertinimą Lietuva atsiduria 20 vietoje tarp 28 ES valstybių narių. Tai prasčiau nei kaimyninės Latvija (19 vieta, 35 proc.) ir Estija (5 vieta, 21 proc.), bet Lenkijoje verslų susidūrimas su korupcija viešuosiuose pirkimuose yra aukštesnis nei Lietuvoje (25 vieta, 43 proc.). „Flash Eurobarometer Nr. 482: Verslo požiūris į korupciją ES“, 2019 m.</w:t>
      </w:r>
    </w:p>
  </w:footnote>
  <w:footnote w:id="39">
    <w:p w14:paraId="7116A66D" w14:textId="77777777" w:rsidR="007940F1" w:rsidRPr="0078025D" w:rsidRDefault="007940F1" w:rsidP="008B10FF">
      <w:pPr>
        <w:jc w:val="both"/>
        <w:rPr>
          <w:sz w:val="20"/>
        </w:rPr>
      </w:pPr>
      <w:r w:rsidRPr="0078025D">
        <w:rPr>
          <w:rStyle w:val="Puslapioinaosnuoroda"/>
          <w:rFonts w:eastAsia="Calibri"/>
          <w:sz w:val="20"/>
        </w:rPr>
        <w:footnoteRef/>
      </w:r>
      <w:r w:rsidRPr="0078025D">
        <w:rPr>
          <w:sz w:val="20"/>
        </w:rPr>
        <w:t xml:space="preserve"> </w:t>
      </w:r>
      <w:r w:rsidRPr="0078025D">
        <w:rPr>
          <w:i/>
          <w:iCs/>
          <w:sz w:val="20"/>
        </w:rPr>
        <w:t>Trace International</w:t>
      </w:r>
      <w:r w:rsidRPr="0078025D">
        <w:rPr>
          <w:sz w:val="20"/>
        </w:rPr>
        <w:t xml:space="preserve"> tyrime „</w:t>
      </w:r>
      <w:r w:rsidRPr="0078025D">
        <w:rPr>
          <w:i/>
          <w:iCs/>
          <w:sz w:val="20"/>
        </w:rPr>
        <w:t>Bribery Risk Matrix</w:t>
      </w:r>
      <w:r w:rsidRPr="0078025D">
        <w:rPr>
          <w:sz w:val="20"/>
        </w:rPr>
        <w:t xml:space="preserve">“, 2020 m., Lietuva įvardinta kaip valstybė, kurioje verslui susidurti su kyšio reikalavimu rizika yra žema. Lietuvai skirta 27 vieta tarp 194 vertinamų valstybių. Prieiga internete: https://www.traceinternational.org/trace-matrix </w:t>
      </w:r>
    </w:p>
  </w:footnote>
  <w:footnote w:id="40">
    <w:p w14:paraId="0CFB93FE"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w:t>
      </w:r>
      <w:r w:rsidRPr="0078025D">
        <w:rPr>
          <w:rFonts w:ascii="Times New Roman" w:hAnsi="Times New Roman"/>
          <w:i/>
          <w:iCs/>
          <w:sz w:val="20"/>
        </w:rPr>
        <w:t>Flash Eurobarometer</w:t>
      </w:r>
      <w:r w:rsidRPr="0078025D">
        <w:rPr>
          <w:rFonts w:ascii="Times New Roman" w:hAnsi="Times New Roman"/>
          <w:sz w:val="20"/>
        </w:rPr>
        <w:t xml:space="preserve"> Nr. 482: Verslo požiūris į korupciją ES“, 2019 m. Prieiga internete: https://ec.europa.eu/commfrontoffice </w:t>
      </w:r>
    </w:p>
  </w:footnote>
  <w:footnote w:id="41">
    <w:p w14:paraId="2A693C6F"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Prieiga internete: https://www.transparency.lt/korupcijos-suvokimo-indekse-lietuva-pazangos-nepadare/</w:t>
      </w:r>
    </w:p>
  </w:footnote>
  <w:footnote w:id="42">
    <w:p w14:paraId="22403AE7" w14:textId="77777777" w:rsidR="007940F1" w:rsidRPr="0078025D" w:rsidRDefault="007940F1" w:rsidP="008B10FF">
      <w:pPr>
        <w:pStyle w:val="Puslapioinaostekstas"/>
        <w:spacing w:line="240" w:lineRule="auto"/>
        <w:rPr>
          <w:rFonts w:ascii="Times New Roman" w:hAnsi="Times New Roman"/>
          <w:sz w:val="20"/>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w:t>
      </w:r>
      <w:r w:rsidRPr="0078025D">
        <w:rPr>
          <w:rFonts w:ascii="Times New Roman" w:eastAsia="SimSun" w:hAnsi="Times New Roman"/>
          <w:sz w:val="20"/>
          <w:lang w:eastAsia="lt-LT"/>
        </w:rPr>
        <w:t xml:space="preserve">Vertinant rezultatus regione, atkreiptinas dėmesys, kad Lietuvos įvertis yra </w:t>
      </w:r>
      <w:r w:rsidRPr="0078025D">
        <w:rPr>
          <w:rFonts w:ascii="Times New Roman" w:eastAsia="SimSun" w:hAnsi="Times New Roman"/>
          <w:sz w:val="20"/>
          <w:lang w:val="en-GB" w:eastAsia="lt-LT"/>
        </w:rPr>
        <w:t>4</w:t>
      </w:r>
      <w:r w:rsidRPr="0078025D">
        <w:rPr>
          <w:rFonts w:ascii="Times New Roman" w:eastAsia="SimSun" w:hAnsi="Times New Roman"/>
          <w:sz w:val="20"/>
          <w:lang w:eastAsia="lt-LT"/>
        </w:rPr>
        <w:t xml:space="preserve"> balais aukštesnis nei Lenkijos (56 balai), </w:t>
      </w:r>
      <w:r w:rsidRPr="0078025D">
        <w:rPr>
          <w:rFonts w:ascii="Times New Roman" w:eastAsia="SimSun" w:hAnsi="Times New Roman"/>
          <w:sz w:val="20"/>
          <w:lang w:val="en-GB" w:eastAsia="lt-LT"/>
        </w:rPr>
        <w:t>3</w:t>
      </w:r>
      <w:r w:rsidRPr="0078025D">
        <w:rPr>
          <w:rFonts w:ascii="Times New Roman" w:eastAsia="SimSun" w:hAnsi="Times New Roman"/>
          <w:sz w:val="20"/>
          <w:lang w:eastAsia="lt-LT"/>
        </w:rPr>
        <w:t xml:space="preserve"> balais aukštesnis nei Latvijos (5</w:t>
      </w:r>
      <w:r w:rsidRPr="0078025D">
        <w:rPr>
          <w:rFonts w:ascii="Times New Roman" w:eastAsia="SimSun" w:hAnsi="Times New Roman"/>
          <w:sz w:val="20"/>
          <w:lang w:val="en-US" w:eastAsia="lt-LT"/>
        </w:rPr>
        <w:t>7</w:t>
      </w:r>
      <w:r w:rsidRPr="0078025D">
        <w:rPr>
          <w:rFonts w:ascii="Times New Roman" w:eastAsia="SimSun" w:hAnsi="Times New Roman"/>
          <w:sz w:val="20"/>
          <w:lang w:eastAsia="lt-LT"/>
        </w:rPr>
        <w:t xml:space="preserve"> balai),  bet 15 balų žemesnis nei Estijos (75 balai).  2020 m., palyginti su 2019 m., Lietuvos balas liko nepakitęs,  Estijos ir Latvijos rodikliai padidėjo vienu balu, o Lenkijos – 2 sumažėjo.</w:t>
      </w:r>
    </w:p>
  </w:footnote>
  <w:footnote w:id="43">
    <w:p w14:paraId="15207BD3" w14:textId="77777777" w:rsidR="007940F1" w:rsidRPr="00CF0CD8" w:rsidRDefault="007940F1" w:rsidP="008B10FF">
      <w:pPr>
        <w:pStyle w:val="Puslapioinaostekstas"/>
        <w:spacing w:line="240" w:lineRule="auto"/>
        <w:rPr>
          <w:rFonts w:ascii="Times New Roman" w:hAnsi="Times New Roman"/>
          <w:szCs w:val="18"/>
        </w:rPr>
      </w:pPr>
      <w:r w:rsidRPr="0078025D">
        <w:rPr>
          <w:rStyle w:val="Puslapioinaosnuoroda"/>
          <w:rFonts w:ascii="Times New Roman" w:eastAsia="Calibri" w:hAnsi="Times New Roman"/>
          <w:sz w:val="20"/>
        </w:rPr>
        <w:footnoteRef/>
      </w:r>
      <w:r w:rsidRPr="0078025D">
        <w:rPr>
          <w:rFonts w:ascii="Times New Roman" w:hAnsi="Times New Roman"/>
          <w:sz w:val="20"/>
        </w:rPr>
        <w:t xml:space="preserve"> </w:t>
      </w:r>
      <w:r w:rsidRPr="0078025D">
        <w:rPr>
          <w:rFonts w:ascii="Times New Roman" w:hAnsi="Times New Roman"/>
          <w:i/>
          <w:iCs/>
          <w:sz w:val="20"/>
        </w:rPr>
        <w:t>World Bank, „The Worldwide Governance Indicators“</w:t>
      </w:r>
      <w:r w:rsidRPr="0078025D">
        <w:rPr>
          <w:rFonts w:ascii="Times New Roman" w:hAnsi="Times New Roman"/>
          <w:sz w:val="20"/>
        </w:rPr>
        <w:t xml:space="preserve">. Prieiga internete: http://info.worldbank.org/governance/WGI </w:t>
      </w:r>
    </w:p>
  </w:footnote>
  <w:footnote w:id="44">
    <w:p w14:paraId="1A3B0135" w14:textId="77777777" w:rsidR="007940F1" w:rsidRPr="00B87058" w:rsidRDefault="007940F1" w:rsidP="008B10FF">
      <w:pPr>
        <w:pStyle w:val="Puslapioinaostekstas"/>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Vyriausybės 2020 m. vasario 26 d. nutarimas Nr. 152 „Dėl Valstybės lygio ekstremaliosios situacijos paskelbimo“.</w:t>
      </w:r>
    </w:p>
  </w:footnote>
  <w:footnote w:id="45">
    <w:p w14:paraId="64AA0087" w14:textId="77777777" w:rsidR="007940F1" w:rsidRPr="00B87058" w:rsidRDefault="007940F1" w:rsidP="008B10FF">
      <w:pPr>
        <w:pStyle w:val="Betarp"/>
        <w:jc w:val="both"/>
        <w:rPr>
          <w:rFonts w:ascii="Times New Roman" w:hAnsi="Times New Roman"/>
          <w:sz w:val="20"/>
          <w:szCs w:val="20"/>
        </w:rPr>
      </w:pPr>
      <w:r w:rsidRPr="00B87058">
        <w:rPr>
          <w:rStyle w:val="Puslapioinaosnuoroda"/>
          <w:rFonts w:ascii="Times New Roman" w:eastAsia="Calibri" w:hAnsi="Times New Roman"/>
          <w:sz w:val="20"/>
          <w:szCs w:val="20"/>
        </w:rPr>
        <w:footnoteRef/>
      </w:r>
      <w:r w:rsidRPr="00B87058">
        <w:rPr>
          <w:rFonts w:ascii="Times New Roman" w:hAnsi="Times New Roman"/>
          <w:sz w:val="20"/>
          <w:szCs w:val="20"/>
        </w:rPr>
        <w:t xml:space="preserve"> </w:t>
      </w:r>
      <w:r w:rsidRPr="00B87058">
        <w:rPr>
          <w:rFonts w:ascii="Times New Roman" w:hAnsi="Times New Roman"/>
          <w:sz w:val="20"/>
          <w:szCs w:val="20"/>
          <w:lang w:val="lt-LT"/>
        </w:rPr>
        <w:t xml:space="preserve">Labai smarkus vėjas 2020 m. kovo 12–13 d. kai kuriuose vakariniuose rajonuose siekė 31 m/s; šalnos gegužę.; labai smarki audra daugelyje šalies rajonų birželio 7–9 d., škvalas 24 m/s ir kruša; labai smarkus lietus; viesulas Šakių r. Lukšių sen.; labai stambi kruša (kiaušinio dydžio); kaitra birželį (temperatūra viršijo 30 ºC); labai smarki audra birželio 30-osios naktį (vietomis stichinis lietus – 16–49 mm, o Lazdijuose iškritęs lietaus kiekis siekė </w:t>
      </w:r>
      <w:r w:rsidRPr="00B87058">
        <w:rPr>
          <w:rFonts w:ascii="Times New Roman" w:hAnsi="Times New Roman"/>
          <w:bCs/>
          <w:sz w:val="20"/>
          <w:szCs w:val="20"/>
          <w:lang w:val="lt-LT"/>
        </w:rPr>
        <w:t>katastrofinio meteorologinio reiškinio rodiklį (104,2 mm/11 val.); h</w:t>
      </w:r>
      <w:r w:rsidRPr="00B87058">
        <w:rPr>
          <w:rFonts w:ascii="Times New Roman" w:hAnsi="Times New Roman"/>
          <w:sz w:val="20"/>
          <w:szCs w:val="20"/>
          <w:lang w:val="lt-LT"/>
        </w:rPr>
        <w:t>idrologinė sausra (liepą–spalį vandens lygis upėse buvo arti žemiausių mėnesio vandens lygio reikšmių).</w:t>
      </w:r>
    </w:p>
  </w:footnote>
  <w:footnote w:id="46">
    <w:p w14:paraId="68E336AC" w14:textId="77777777" w:rsidR="007940F1" w:rsidRPr="00CF0CD8" w:rsidRDefault="007940F1" w:rsidP="008B10FF">
      <w:pPr>
        <w:pStyle w:val="Puslapioinaostekstas"/>
        <w:rPr>
          <w:rFonts w:ascii="Times New Roman" w:hAnsi="Times New Roman"/>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N</w:t>
      </w:r>
      <w:r w:rsidRPr="00B87058">
        <w:rPr>
          <w:rFonts w:ascii="Times New Roman" w:hAnsi="Times New Roman"/>
          <w:sz w:val="20"/>
          <w:shd w:val="clear" w:color="auto" w:fill="FFFFFF"/>
          <w:lang w:eastAsia="en-GB"/>
        </w:rPr>
        <w:t>uo 2020 m. lapkričio 11 d. draudžiamas audinių įvežimas į Lietuvos Respubliką iš šalių, kurių audini</w:t>
      </w:r>
      <w:r w:rsidRPr="00B87058">
        <w:rPr>
          <w:rFonts w:ascii="Times New Roman" w:hAnsi="Times New Roman" w:hint="eastAsia"/>
          <w:sz w:val="20"/>
          <w:shd w:val="clear" w:color="auto" w:fill="FFFFFF"/>
          <w:lang w:eastAsia="en-GB"/>
        </w:rPr>
        <w:t>ų</w:t>
      </w:r>
      <w:r w:rsidRPr="00B87058">
        <w:rPr>
          <w:rFonts w:ascii="Times New Roman" w:hAnsi="Times New Roman"/>
          <w:sz w:val="20"/>
          <w:shd w:val="clear" w:color="auto" w:fill="FFFFFF"/>
          <w:lang w:eastAsia="en-GB"/>
        </w:rPr>
        <w:t xml:space="preserve"> </w:t>
      </w:r>
      <w:r w:rsidRPr="00B87058">
        <w:rPr>
          <w:rFonts w:ascii="Times New Roman" w:hAnsi="Times New Roman" w:hint="eastAsia"/>
          <w:sz w:val="20"/>
          <w:shd w:val="clear" w:color="auto" w:fill="FFFFFF"/>
          <w:lang w:eastAsia="en-GB"/>
        </w:rPr>
        <w:t>ū</w:t>
      </w:r>
      <w:r w:rsidRPr="00B87058">
        <w:rPr>
          <w:rFonts w:ascii="Times New Roman" w:hAnsi="Times New Roman"/>
          <w:sz w:val="20"/>
          <w:shd w:val="clear" w:color="auto" w:fill="FFFFFF"/>
          <w:lang w:eastAsia="en-GB"/>
        </w:rPr>
        <w:t>kiuose nustatytas COVID-19 (</w:t>
      </w:r>
      <w:r w:rsidRPr="00B87058">
        <w:rPr>
          <w:rFonts w:ascii="Times New Roman" w:hAnsi="Times New Roman"/>
          <w:sz w:val="20"/>
          <w:lang w:eastAsia="en-GB"/>
        </w:rPr>
        <w:t>Danijos, Jungtinių Amerikos Valstijų, Italijos, Olandijos, Švedijos, Ispanijos, Graikijos, Kanados, Prancūzijos).</w:t>
      </w:r>
    </w:p>
  </w:footnote>
  <w:footnote w:id="47">
    <w:p w14:paraId="6FB55972" w14:textId="77777777" w:rsidR="007940F1" w:rsidRPr="00B87058" w:rsidRDefault="007940F1" w:rsidP="008B10FF">
      <w:pPr>
        <w:pStyle w:val="Puslapioinaostekstas"/>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w:t>
      </w:r>
      <w:r w:rsidRPr="00B87058">
        <w:rPr>
          <w:rFonts w:ascii="Times New Roman" w:hAnsi="Times New Roman"/>
          <w:bCs/>
          <w:sz w:val="20"/>
          <w:lang w:eastAsia="en-GB"/>
        </w:rPr>
        <w:t>2020 m. buvo nustatyti du didelio patogeniškumo paukščių gripo epidemijos sezonai – pirmasis, prasidėjęs 2019 m. gruodžio 31 d., iki 2020 m. kovo liga buvo patvirtinta Lenkijoje, Čekijoje, Vokietijoje, Vengrijoje, Slovakijoje ir Rumunijoje; antrasis, prasidėjęs 2020 m. spalio pabaigoje, Nyderlanduose nustačius pirmuosius atvejus (liga buvo patvirtinta ir naminiams paukščiams Kroatijoje, Danijoje, Prancūzijoje, Airijoje, Vokietijoje, Nyderlanduose, Lenkijoje, Švedijoje ir Jungtinėje Karalystėje). 2021 m. sausio 7 d. viruso H5N8 potipis buvo nustatytas laukiniams paukščiams Lietuvoje.</w:t>
      </w:r>
    </w:p>
  </w:footnote>
  <w:footnote w:id="48">
    <w:p w14:paraId="1B355903"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Lietuvos Respublikos Seimo 2002 m. gegužės 28 d. nutarimas Nr. IX-907 „Dėl Nacionalinio saugumo strategijos patvirtinimo“</w:t>
      </w:r>
    </w:p>
  </w:footnote>
  <w:footnote w:id="49">
    <w:p w14:paraId="68A47F76"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Vyriausybės 2019 m. liepos 10 d. nutarimas Nr. 700-9 „Dėl Grėsmių Lietuvos Respublikos nacionaliniam saugumui stebėjimo, vertinimo ir perspėjimo apie grėsmes tvarkos aprašo patvirtinimo“</w:t>
      </w:r>
    </w:p>
  </w:footnote>
  <w:footnote w:id="50">
    <w:p w14:paraId="09BAB4A0" w14:textId="77777777" w:rsidR="007940F1" w:rsidRPr="00E32899" w:rsidRDefault="007940F1" w:rsidP="008B10FF">
      <w:pPr>
        <w:pStyle w:val="Puslapioinaostekstas"/>
        <w:spacing w:line="240" w:lineRule="auto"/>
        <w:rPr>
          <w:rFonts w:ascii="Times New Roman" w:hAnsi="Times New Roman"/>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2020 m. rugpjūčio 26 d. Lietuvos Respublikos Vyriausybės nutarimu Nr. 955 „Dėl strateginės komunikacijos nacionalinio saugumo srityje koordinavimo tvarkos aprašo patvirtinimo“</w:t>
      </w:r>
    </w:p>
  </w:footnote>
  <w:footnote w:id="51">
    <w:p w14:paraId="5AB02109"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Energetikos ministerijos ekstremaliųjų situacijų valdymo planas, patvirtintas Lietuvos Respublikos energetikos ministro 2012 m. kovo 13 d. įsakymu Nr. 1-47 „Dėl Ekstremaliųjų situacijų valdymo plano“.</w:t>
      </w:r>
    </w:p>
  </w:footnote>
  <w:footnote w:id="52">
    <w:p w14:paraId="31F037FA"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Valstybinis ekstremaliųjų situacijų valdymo planas, patvirtintas Lietuvos Respublikos Vyriausybės 2010 m. spalio 20 d. nutarimu Nr. 1503 „Dėl Valstybinio ekstremaliųjų situacijų valdymo plano patvirtinimo“. </w:t>
      </w:r>
    </w:p>
  </w:footnote>
  <w:footnote w:id="53">
    <w:p w14:paraId="67A04643" w14:textId="77777777" w:rsidR="007940F1" w:rsidRPr="00E32899" w:rsidRDefault="007940F1" w:rsidP="008B10FF">
      <w:pPr>
        <w:pStyle w:val="Puslapioinaostekstas"/>
        <w:rPr>
          <w:rFonts w:ascii="Times New Roman" w:hAnsi="Times New Roman"/>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Vyriausybės 2020 m. vasario 26 d. nutarimas Nr. 152 „Dėl valstybės lygio ekstremaliosios situacijos paskelbimo“</w:t>
      </w:r>
    </w:p>
  </w:footnote>
  <w:footnote w:id="54">
    <w:p w14:paraId="0AB46D62" w14:textId="77777777" w:rsidR="007940F1" w:rsidRPr="00B87058" w:rsidRDefault="007940F1" w:rsidP="008B10FF">
      <w:pPr>
        <w:jc w:val="both"/>
        <w:rPr>
          <w:sz w:val="20"/>
        </w:rPr>
      </w:pPr>
      <w:r w:rsidRPr="00B87058">
        <w:rPr>
          <w:rStyle w:val="Puslapioinaosnuoroda"/>
          <w:sz w:val="20"/>
        </w:rPr>
        <w:footnoteRef/>
      </w:r>
      <w:r w:rsidRPr="00B87058">
        <w:rPr>
          <w:sz w:val="20"/>
        </w:rPr>
        <w:t xml:space="preserve"> Tinklalapyje Ugdymo sodas išskirta atskira skiltis, kurioje skelbiama informacija nacionalinio saugumo tema (https://duomenys.ugdome.lt/?/mm/dry/med=126). Parengta mokomoji medžiaga ,,Idėjos ugdymui: kaip atskleisti nacionalinio saugumo ir krašto gynybos temas“. Ji prieinama: https://sodas.ugdome.lt/metodiniai-dokumentai/perziura/9300</w:t>
      </w:r>
    </w:p>
  </w:footnote>
  <w:footnote w:id="55">
    <w:p w14:paraId="46D4F170" w14:textId="77777777" w:rsidR="007940F1" w:rsidRPr="00B87058" w:rsidRDefault="007940F1" w:rsidP="008B10FF">
      <w:pPr>
        <w:jc w:val="both"/>
        <w:rPr>
          <w:sz w:val="20"/>
        </w:rPr>
      </w:pPr>
      <w:r w:rsidRPr="00B87058">
        <w:rPr>
          <w:rStyle w:val="Puslapioinaosnuoroda"/>
          <w:sz w:val="20"/>
        </w:rPr>
        <w:footnoteRef/>
      </w:r>
      <w:r w:rsidRPr="00B87058">
        <w:rPr>
          <w:sz w:val="20"/>
        </w:rPr>
        <w:t xml:space="preserve"> https://mokytojotv.blogspot.com/</w:t>
      </w:r>
    </w:p>
  </w:footnote>
  <w:footnote w:id="56">
    <w:p w14:paraId="723F2F4D" w14:textId="77777777" w:rsidR="007940F1" w:rsidRPr="00E32899" w:rsidRDefault="007940F1" w:rsidP="008B10FF">
      <w:pPr>
        <w:jc w:val="both"/>
        <w:rPr>
          <w:sz w:val="18"/>
          <w:szCs w:val="18"/>
        </w:rPr>
      </w:pPr>
      <w:r w:rsidRPr="00B87058">
        <w:rPr>
          <w:rStyle w:val="Puslapioinaosnuoroda"/>
          <w:sz w:val="20"/>
        </w:rPr>
        <w:footnoteRef/>
      </w:r>
      <w:r w:rsidRPr="00B87058">
        <w:rPr>
          <w:sz w:val="20"/>
        </w:rPr>
        <w:t xml:space="preserve"> Programų projektai skelbiami https://www.mokykla2030.lt/bp-projektai/</w:t>
      </w:r>
    </w:p>
  </w:footnote>
  <w:footnote w:id="57">
    <w:p w14:paraId="7D068019"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w:t>
      </w:r>
      <w:r w:rsidRPr="00B87058">
        <w:rPr>
          <w:rFonts w:ascii="Times New Roman" w:hAnsi="Times New Roman"/>
          <w:noProof/>
          <w:sz w:val="20"/>
        </w:rPr>
        <w:t xml:space="preserve">Tautinių mažumų istorijos Lietuvoje reprezentavimo </w:t>
      </w:r>
      <w:r w:rsidRPr="00B87058">
        <w:rPr>
          <w:rFonts w:ascii="Times New Roman" w:hAnsi="Times New Roman"/>
          <w:color w:val="000000" w:themeColor="text1"/>
          <w:sz w:val="20"/>
        </w:rPr>
        <w:t>2020–2022 metų veiksmų planas</w:t>
      </w:r>
      <w:r w:rsidRPr="00B87058">
        <w:rPr>
          <w:rFonts w:ascii="Times New Roman" w:hAnsi="Times New Roman"/>
          <w:bCs/>
          <w:noProof/>
          <w:sz w:val="20"/>
        </w:rPr>
        <w:t xml:space="preserve"> patvirtintas 2020 m. kovo 16 d. kultūros ministro įsakymu Nr. ĮV-189. </w:t>
      </w:r>
    </w:p>
  </w:footnote>
  <w:footnote w:id="58">
    <w:p w14:paraId="7D6D4B45" w14:textId="77777777" w:rsidR="007940F1" w:rsidRPr="00B87058" w:rsidRDefault="007940F1" w:rsidP="008B10FF">
      <w:pPr>
        <w:jc w:val="both"/>
        <w:rPr>
          <w:sz w:val="20"/>
        </w:rPr>
      </w:pPr>
      <w:r w:rsidRPr="00B87058">
        <w:rPr>
          <w:rStyle w:val="Puslapioinaosnuoroda"/>
          <w:rFonts w:eastAsia="Calibri"/>
          <w:sz w:val="20"/>
        </w:rPr>
        <w:footnoteRef/>
      </w:r>
      <w:r w:rsidRPr="00B87058">
        <w:rPr>
          <w:sz w:val="20"/>
        </w:rPr>
        <w:t xml:space="preserve"> Lietuvos totorių istorijos ir kultūros metų minėjimo 2021 metais planas patvirtintas</w:t>
      </w:r>
      <w:r w:rsidRPr="00B87058">
        <w:rPr>
          <w:color w:val="000000"/>
          <w:sz w:val="20"/>
        </w:rPr>
        <w:t xml:space="preserve"> </w:t>
      </w:r>
      <w:r w:rsidRPr="00B87058">
        <w:rPr>
          <w:color w:val="000000" w:themeColor="text1"/>
          <w:sz w:val="20"/>
        </w:rPr>
        <w:t>2020 m.</w:t>
      </w:r>
      <w:r w:rsidRPr="00B87058">
        <w:rPr>
          <w:color w:val="000000"/>
          <w:sz w:val="20"/>
        </w:rPr>
        <w:t xml:space="preserve"> spalio 14 d. Vyriausybės nutarimu Nr. 1137.</w:t>
      </w:r>
    </w:p>
  </w:footnote>
  <w:footnote w:id="59">
    <w:p w14:paraId="64ED9092"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2017 m. balandžio 20 d. Lietuvos Respublikos būtinųjų priemonių, skirtų apsisaugoti nuo trečiųjų šalių nesaugių branduolinių elektrinių keliamų grėsmių, įstatymas Nr. XIII-306.</w:t>
      </w:r>
    </w:p>
  </w:footnote>
  <w:footnote w:id="60">
    <w:p w14:paraId="08D030A5" w14:textId="77777777" w:rsidR="007940F1" w:rsidRPr="00E32899" w:rsidRDefault="007940F1" w:rsidP="008B10FF">
      <w:pPr>
        <w:pStyle w:val="Puslapioinaostekstas"/>
        <w:spacing w:line="240" w:lineRule="auto"/>
        <w:rPr>
          <w:rFonts w:ascii="Times New Roman" w:hAnsi="Times New Roman"/>
          <w:szCs w:val="18"/>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w:t>
      </w:r>
      <w:r w:rsidRPr="00B87058">
        <w:rPr>
          <w:rFonts w:ascii="Times New Roman" w:eastAsia="Andale Sans UI" w:hAnsi="Times New Roman"/>
          <w:sz w:val="20"/>
          <w:lang w:bidi="en-US"/>
        </w:rPr>
        <w:t>Lietuvos Respublikos įstatymas „Dėl branduolinės elektrinės, statomos Baltarusijos Respublikoje, Astravo rajone, pripažinimo nesaugia, keliančia grėsmę Lietuvos Respublikos nacionaliniam saugumui, aplinkai ir visuomenės sveikatai“.</w:t>
      </w:r>
    </w:p>
  </w:footnote>
  <w:footnote w:id="61">
    <w:p w14:paraId="35E6EA3B"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Prekybos elektros energija taisyklės, patvirtintos Lietuvos Respublikos energetikos ministro 2009 m. gruodžio 9 d. įsakymu Nr. 1-244 „Dėl Prekybos elektros energija taisyklių patvirtinimo“. </w:t>
      </w:r>
    </w:p>
  </w:footnote>
  <w:footnote w:id="62">
    <w:p w14:paraId="76B4AD6D"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w:t>
      </w:r>
      <w:hyperlink r:id="rId2" w:anchor="/messages/fac68cd5-e9d0-495b-a9d9-d11770c87cd8/1" w:history="1">
        <w:r w:rsidRPr="00B87058">
          <w:rPr>
            <w:rStyle w:val="Hipersaitas"/>
            <w:rFonts w:ascii="Times New Roman" w:eastAsiaTheme="majorEastAsia" w:hAnsi="Times New Roman"/>
            <w:sz w:val="20"/>
          </w:rPr>
          <w:t>https://umm.nordpoolgroup.com/#/messages/fac68cd5-e9d0-495b-a9d9-d11770c87cd8/1</w:t>
        </w:r>
      </w:hyperlink>
      <w:r w:rsidRPr="00B87058">
        <w:rPr>
          <w:rFonts w:ascii="Times New Roman" w:hAnsi="Times New Roman"/>
          <w:sz w:val="20"/>
        </w:rPr>
        <w:t xml:space="preserve"> </w:t>
      </w:r>
    </w:p>
  </w:footnote>
  <w:footnote w:id="63">
    <w:p w14:paraId="0C6E2031"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w:t>
      </w:r>
      <w:hyperlink r:id="rId3" w:history="1">
        <w:r w:rsidRPr="00B87058">
          <w:rPr>
            <w:rStyle w:val="Hipersaitas"/>
            <w:rFonts w:ascii="Times New Roman" w:eastAsiaTheme="majorEastAsia" w:hAnsi="Times New Roman"/>
            <w:sz w:val="20"/>
          </w:rPr>
          <w:t>https://www.nordpoolgroup.com/Market-data1/Dayahead/Capacities1/Capacities/LV/Norway1/?view=table</w:t>
        </w:r>
      </w:hyperlink>
      <w:r w:rsidRPr="00B87058">
        <w:rPr>
          <w:rFonts w:ascii="Times New Roman" w:hAnsi="Times New Roman"/>
          <w:sz w:val="20"/>
        </w:rPr>
        <w:t xml:space="preserve"> </w:t>
      </w:r>
    </w:p>
  </w:footnote>
  <w:footnote w:id="64">
    <w:p w14:paraId="77D5B95C"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w:t>
      </w:r>
      <w:hyperlink r:id="rId4" w:history="1">
        <w:r w:rsidRPr="00B87058">
          <w:rPr>
            <w:rStyle w:val="Hipersaitas"/>
            <w:rFonts w:ascii="Times New Roman" w:eastAsiaTheme="majorEastAsia" w:hAnsi="Times New Roman"/>
            <w:sz w:val="20"/>
          </w:rPr>
          <w:t>https://www.ast.lv/en/events/methodology-trade-electricity-russia</w:t>
        </w:r>
      </w:hyperlink>
      <w:r w:rsidRPr="00B87058">
        <w:rPr>
          <w:rFonts w:ascii="Times New Roman" w:hAnsi="Times New Roman"/>
          <w:sz w:val="20"/>
        </w:rPr>
        <w:t xml:space="preserve"> </w:t>
      </w:r>
    </w:p>
  </w:footnote>
  <w:footnote w:id="65">
    <w:p w14:paraId="5D34FC26"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w:t>
      </w:r>
      <w:hyperlink r:id="rId5" w:history="1">
        <w:r w:rsidRPr="00B87058">
          <w:rPr>
            <w:rStyle w:val="Hipersaitas"/>
            <w:rFonts w:ascii="Times New Roman" w:eastAsiaTheme="majorEastAsia" w:hAnsi="Times New Roman"/>
            <w:sz w:val="20"/>
          </w:rPr>
          <w:t>https://www.regula.lt/SiteAssets/naujienu-medziaga/2020/2020-11/Pastabos_20201103.pdf</w:t>
        </w:r>
      </w:hyperlink>
      <w:r w:rsidRPr="00B87058">
        <w:rPr>
          <w:rFonts w:ascii="Times New Roman" w:hAnsi="Times New Roman"/>
          <w:sz w:val="20"/>
        </w:rPr>
        <w:t xml:space="preserve"> </w:t>
      </w:r>
    </w:p>
  </w:footnote>
  <w:footnote w:id="66">
    <w:p w14:paraId="54BA3637"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w:t>
      </w:r>
      <w:r w:rsidRPr="00B87058">
        <w:rPr>
          <w:rFonts w:ascii="Times New Roman" w:eastAsia="Calibri" w:hAnsi="Times New Roman"/>
          <w:sz w:val="20"/>
          <w:lang w:eastAsia="pl-PL"/>
        </w:rPr>
        <w:t>Parama bus skirta didžiausiems ir jau pradėtiems vykdyti sinchronizacijos projektams, užtikrinant 75 proc. intensyvumo finansavimą. Didžioji lėšų dalis, 493 mln. eurų, skirta „Harmony Link“ jungties tarp Lietuvos ir Lenkijos statybai, dar 166,5 mln. eurų bus skirta sinchroniniams kompensatoriams Lietuvoje, Latvijoje ir Estijoje įrengti . Likusi dalis skiriama Lenkijos tinklų modernizavimui ir plėtrai, reikalingai „Harmony Link“ jungties integracijai. Sinchronizacijos antrojo etapo projektams finansuoti Lietuvoje skirta suma sieks 301 mln. eurų. Įskaitant ankstesnę 323 mln. eurų ES paramą pirmajam sinchronizacijos etapui, programa jau viršijo 1 mlrd. eurų pagal ES finansavimą. Pirmasis etapas, kuris šiuo metu dar vykdomas, buvo skirtas trijų Baltijos šalių vidiniams elektros tinklams stiprinti. Bendra finansavimo suma –  rekordinė tarp visų ES finansuojamų energetikos projektų.</w:t>
      </w:r>
    </w:p>
  </w:footnote>
  <w:footnote w:id="67">
    <w:p w14:paraId="06BEB1DA"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Theme="majorEastAsia" w:hAnsi="Times New Roman"/>
          <w:sz w:val="20"/>
        </w:rPr>
        <w:footnoteRef/>
      </w:r>
      <w:r w:rsidRPr="00B87058">
        <w:rPr>
          <w:rFonts w:ascii="Times New Roman" w:hAnsi="Times New Roman"/>
          <w:sz w:val="20"/>
        </w:rPr>
        <w:t xml:space="preserve"> </w:t>
      </w:r>
      <w:r w:rsidRPr="00B87058">
        <w:rPr>
          <w:rFonts w:ascii="Times New Roman" w:eastAsia="Calibri" w:hAnsi="Times New Roman"/>
          <w:sz w:val="20"/>
          <w:lang w:eastAsia="pl-PL"/>
        </w:rPr>
        <w:t>Elektros energetikos sistemos savarankiškumo ir patikimumo stiprinimo priemonių planas, patvirtintas Lietuvos Respublikos Vyriausybės 2020 m. lapkričio 11 d. nutarimu Nr. 1270 „Dėl Elektros energetikos sistemos savarankiškumo ir patikimumo stiprinimo priemonių plano patvirtinimo“.</w:t>
      </w:r>
    </w:p>
  </w:footnote>
  <w:footnote w:id="68">
    <w:p w14:paraId="5CB9B1D0"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2020 m. b</w:t>
      </w:r>
      <w:r w:rsidRPr="00B87058">
        <w:rPr>
          <w:rFonts w:ascii="Times New Roman" w:hAnsi="Times New Roman"/>
          <w:iCs/>
          <w:sz w:val="20"/>
        </w:rPr>
        <w:t>uvo vykdyti Priešgaisrinės apsaugos ir gelbėjimo departamento prie Vidaus reikalų ministerijos, Lietuvos Respublikos vyriausiosios rinkimų komisijos, Aplinkos apsaugos agentūros, Nacionalinės teismų administracijos valdomų informacinių sistemų patikrinimai.</w:t>
      </w:r>
    </w:p>
  </w:footnote>
  <w:footnote w:id="69">
    <w:p w14:paraId="5AE76C8D" w14:textId="77777777" w:rsidR="007940F1" w:rsidRPr="00B87058" w:rsidRDefault="007940F1" w:rsidP="008B10FF">
      <w:pPr>
        <w:jc w:val="both"/>
        <w:rPr>
          <w:sz w:val="20"/>
        </w:rPr>
      </w:pPr>
      <w:r w:rsidRPr="00B87058">
        <w:rPr>
          <w:rStyle w:val="Puslapioinaosnuoroda"/>
          <w:rFonts w:eastAsia="Calibri"/>
          <w:sz w:val="20"/>
        </w:rPr>
        <w:footnoteRef/>
      </w:r>
      <w:r w:rsidRPr="00B87058">
        <w:rPr>
          <w:sz w:val="20"/>
        </w:rPr>
        <w:t xml:space="preserve"> Pratybose iš viso dalyvavo 73 organizacijos, iš jų – 64 valstybinių informacinių išteklių valdytojai ir ypatingos svarbos informacinių išteklių valdytojai arba tvarkytojai. Didžiąją pratybose dalyvaujančių organizacijų dalį sudarė valstybės institucijos.</w:t>
      </w:r>
      <w:r w:rsidRPr="00B87058">
        <w:rPr>
          <w:color w:val="000000" w:themeColor="text1"/>
          <w:sz w:val="20"/>
        </w:rPr>
        <w:t xml:space="preserve"> </w:t>
      </w:r>
      <w:r w:rsidRPr="00B87058">
        <w:rPr>
          <w:sz w:val="20"/>
        </w:rPr>
        <w:t>Taip pat dalyvavo asmens sveikatos priežiūros įstaigos, energetikos bendrovės, vandens tiekėjai, savivaldybės, bankai, universitetai, mobilaus ryšio operatoriai ir kitos organizacijos.</w:t>
      </w:r>
    </w:p>
    <w:p w14:paraId="7B3C3DF4" w14:textId="77777777" w:rsidR="007940F1" w:rsidRPr="00FA1A3D" w:rsidRDefault="007940F1" w:rsidP="008B10FF">
      <w:pPr>
        <w:pStyle w:val="Puslapioinaostekstas"/>
        <w:rPr>
          <w:rFonts w:ascii="Times New Roman" w:hAnsi="Times New Roman"/>
          <w:szCs w:val="18"/>
        </w:rPr>
      </w:pPr>
    </w:p>
  </w:footnote>
  <w:footnote w:id="70">
    <w:p w14:paraId="5121A696"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w:t>
      </w:r>
      <w:r w:rsidRPr="00B87058">
        <w:rPr>
          <w:rFonts w:ascii="Times New Roman" w:hAnsi="Times New Roman"/>
          <w:color w:val="000000"/>
          <w:sz w:val="20"/>
        </w:rPr>
        <w:t xml:space="preserve">Jos darbą pradėjo dviejose apskrityse – Vilniaus ir Kauno. Vilniaus apskrityje jos dirbs Vilniaus ir Vilniaus rajono savivaldybėse, taip pat Elektrėnų savivaldybėje bei dar </w:t>
      </w:r>
      <w:r w:rsidRPr="00B87058">
        <w:rPr>
          <w:rFonts w:ascii="Times New Roman" w:hAnsi="Times New Roman"/>
          <w:color w:val="000000"/>
          <w:sz w:val="20"/>
          <w:lang w:val="en-GB"/>
        </w:rPr>
        <w:t>5</w:t>
      </w:r>
      <w:r w:rsidRPr="00B87058">
        <w:rPr>
          <w:rFonts w:ascii="Times New Roman" w:hAnsi="Times New Roman"/>
          <w:color w:val="000000"/>
          <w:sz w:val="20"/>
        </w:rPr>
        <w:t xml:space="preserve"> rajonų savivaldybėse – Šalčininkų, Širvintų, Švenčionių, Trakų bei Ukmergės. Kauno apskrityje komandos darbuosis Kauno miesto ir Birštono savivaldybėse, taip pat </w:t>
      </w:r>
      <w:r w:rsidRPr="00B87058">
        <w:rPr>
          <w:rFonts w:ascii="Times New Roman" w:hAnsi="Times New Roman"/>
          <w:color w:val="000000"/>
          <w:sz w:val="20"/>
          <w:lang w:val="en-GB"/>
        </w:rPr>
        <w:t>6</w:t>
      </w:r>
      <w:r w:rsidRPr="00B87058">
        <w:rPr>
          <w:rFonts w:ascii="Times New Roman" w:hAnsi="Times New Roman"/>
          <w:color w:val="000000"/>
          <w:sz w:val="20"/>
        </w:rPr>
        <w:t xml:space="preserve"> rajonų savivaldybėse – Kauno, Kėdainių, Kaišiadorių, Jonavos, Prienų bei Raseinių.</w:t>
      </w:r>
    </w:p>
  </w:footnote>
  <w:footnote w:id="71">
    <w:p w14:paraId="1300A688"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Lietuvos Respublikos Seimo 2018 m. gruodžio 20 d. nutarimu Nr. XIII-1825 „Dėl Lietuvos Respublikos Seimo 2006 m. liepos 4 d. nutarimo Nr. X-743 „Dėl Krašto apsaugos sistemos plėtros programos patvirtinimo“ pakeitimo“ ši programa išdėstyta nauja redakcija.</w:t>
      </w:r>
    </w:p>
  </w:footnote>
  <w:footnote w:id="72">
    <w:p w14:paraId="1B016150"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Lietuvos Respublikos Vyriausybės 2019 m. birželio 12 d. nutarimas Nr. 579-7.</w:t>
      </w:r>
    </w:p>
  </w:footnote>
  <w:footnote w:id="73">
    <w:p w14:paraId="1EFEEC7E" w14:textId="77777777" w:rsidR="007940F1" w:rsidRPr="00FA1A3D" w:rsidRDefault="007940F1" w:rsidP="008B10FF">
      <w:pPr>
        <w:pStyle w:val="Puslapioinaostekstas"/>
        <w:spacing w:line="240" w:lineRule="auto"/>
        <w:rPr>
          <w:rFonts w:ascii="Times New Roman" w:hAnsi="Times New Roman"/>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Lietuvos Respublikos Vyriausybės </w:t>
      </w:r>
      <w:r w:rsidRPr="00B87058">
        <w:rPr>
          <w:rFonts w:ascii="Times New Roman" w:hAnsi="Times New Roman"/>
          <w:bCs/>
          <w:sz w:val="20"/>
        </w:rPr>
        <w:t>2019 m. birželio 5 d. nutarimas Nr. 536, galiojanti suvestinė redakcija nuo 2020 m. rugpjūčio 12 d. (nutarimas Nr. 896).</w:t>
      </w:r>
    </w:p>
  </w:footnote>
  <w:footnote w:id="74">
    <w:p w14:paraId="34C35A9E"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Nusikaltimai, </w:t>
      </w:r>
      <w:r w:rsidRPr="00B87058">
        <w:rPr>
          <w:rFonts w:ascii="Times New Roman" w:hAnsi="Times New Roman"/>
          <w:bCs/>
          <w:sz w:val="20"/>
        </w:rPr>
        <w:t>numatyti Lietuvos Respublikos baudžiamojo kodekso XX, XXVIII, XXX–XXXIII, XXXVI ir XXXVII skyriuose.</w:t>
      </w:r>
    </w:p>
  </w:footnote>
  <w:footnote w:id="75">
    <w:p w14:paraId="457825C2" w14:textId="77777777" w:rsidR="007940F1" w:rsidRPr="00B87058" w:rsidRDefault="007940F1" w:rsidP="008B10FF">
      <w:pPr>
        <w:pStyle w:val="Puslapioinaostekstas"/>
        <w:spacing w:line="240" w:lineRule="auto"/>
        <w:rPr>
          <w:rFonts w:ascii="Times New Roman" w:hAnsi="Times New Roman"/>
          <w:sz w:val="20"/>
        </w:rPr>
      </w:pPr>
      <w:r w:rsidRPr="00B87058">
        <w:rPr>
          <w:rStyle w:val="Puslapioinaosnuoroda"/>
          <w:rFonts w:ascii="Times New Roman" w:eastAsia="Calibri" w:hAnsi="Times New Roman"/>
          <w:sz w:val="20"/>
        </w:rPr>
        <w:footnoteRef/>
      </w:r>
      <w:r w:rsidRPr="00B87058">
        <w:rPr>
          <w:rFonts w:ascii="Times New Roman" w:hAnsi="Times New Roman"/>
          <w:sz w:val="20"/>
        </w:rPr>
        <w:t xml:space="preserve"> Išsami Programos įgyvendinimo 2015–2019 m. stebėsenos ataskaita: </w:t>
      </w:r>
    </w:p>
    <w:p w14:paraId="2D4D4C75" w14:textId="77777777" w:rsidR="007940F1" w:rsidRPr="00FA1A3D" w:rsidRDefault="007940F1" w:rsidP="008B10FF">
      <w:pPr>
        <w:pStyle w:val="Puslapioinaostekstas"/>
        <w:spacing w:line="240" w:lineRule="auto"/>
        <w:rPr>
          <w:rFonts w:ascii="Times New Roman" w:hAnsi="Times New Roman"/>
          <w:szCs w:val="18"/>
        </w:rPr>
      </w:pPr>
      <w:r w:rsidRPr="00B87058">
        <w:rPr>
          <w:rFonts w:ascii="Times New Roman" w:hAnsi="Times New Roman"/>
          <w:sz w:val="20"/>
        </w:rPr>
        <w:t>https://www.stt.lt/doclib/iwlpfjmqm2krucnq2u28zyguhkhv7ddy</w:t>
      </w:r>
    </w:p>
  </w:footnote>
  <w:footnote w:id="76">
    <w:p w14:paraId="097AFB33" w14:textId="77777777" w:rsidR="007940F1" w:rsidRPr="000740EA" w:rsidRDefault="007940F1" w:rsidP="008B10FF">
      <w:pPr>
        <w:pStyle w:val="Puslapioinaostekstas"/>
        <w:spacing w:line="240" w:lineRule="auto"/>
        <w:rPr>
          <w:rFonts w:ascii="Times New Roman" w:hAnsi="Times New Roman"/>
          <w:sz w:val="20"/>
        </w:rPr>
      </w:pPr>
      <w:r w:rsidRPr="000740EA">
        <w:rPr>
          <w:rStyle w:val="Puslapioinaosnuoroda"/>
          <w:rFonts w:ascii="Times New Roman" w:eastAsia="Calibri" w:hAnsi="Times New Roman"/>
          <w:sz w:val="20"/>
        </w:rPr>
        <w:footnoteRef/>
      </w:r>
      <w:r w:rsidRPr="000740EA">
        <w:rPr>
          <w:rFonts w:ascii="Times New Roman" w:hAnsi="Times New Roman"/>
          <w:sz w:val="20"/>
        </w:rPr>
        <w:t xml:space="preserve"> Prieiga internete: https://www.e-tar.lt/portal/lt/legalAct/1f7c4180227f11eb932eb1ed7f923910</w:t>
      </w:r>
    </w:p>
  </w:footnote>
  <w:footnote w:id="77">
    <w:p w14:paraId="4E038D12" w14:textId="77777777" w:rsidR="007940F1" w:rsidRPr="000740EA" w:rsidRDefault="007940F1" w:rsidP="008B10FF">
      <w:pPr>
        <w:pStyle w:val="Puslapioinaostekstas"/>
        <w:spacing w:line="240" w:lineRule="auto"/>
        <w:rPr>
          <w:rFonts w:ascii="Times New Roman" w:hAnsi="Times New Roman"/>
          <w:sz w:val="20"/>
        </w:rPr>
      </w:pPr>
      <w:r w:rsidRPr="000740EA">
        <w:rPr>
          <w:rStyle w:val="Puslapioinaosnuoroda"/>
          <w:rFonts w:ascii="Times New Roman" w:eastAsia="Calibri" w:hAnsi="Times New Roman"/>
          <w:sz w:val="20"/>
        </w:rPr>
        <w:footnoteRef/>
      </w:r>
      <w:r w:rsidRPr="000740EA">
        <w:rPr>
          <w:rFonts w:ascii="Times New Roman" w:hAnsi="Times New Roman"/>
          <w:sz w:val="20"/>
        </w:rPr>
        <w:t xml:space="preserve"> NKKP 14.1 – 14.8 punktai.</w:t>
      </w:r>
    </w:p>
  </w:footnote>
  <w:footnote w:id="78">
    <w:p w14:paraId="7947D88E" w14:textId="77777777" w:rsidR="007940F1" w:rsidRPr="000740EA" w:rsidRDefault="007940F1" w:rsidP="008B10FF">
      <w:pPr>
        <w:pStyle w:val="Puslapioinaostekstas"/>
        <w:spacing w:line="240" w:lineRule="auto"/>
        <w:rPr>
          <w:rFonts w:ascii="Times New Roman" w:hAnsi="Times New Roman"/>
          <w:sz w:val="20"/>
        </w:rPr>
      </w:pPr>
      <w:r w:rsidRPr="000740EA">
        <w:rPr>
          <w:rStyle w:val="Puslapioinaosnuoroda"/>
          <w:rFonts w:ascii="Times New Roman" w:eastAsia="Calibri" w:hAnsi="Times New Roman"/>
          <w:sz w:val="20"/>
        </w:rPr>
        <w:footnoteRef/>
      </w:r>
      <w:r w:rsidRPr="000740EA">
        <w:rPr>
          <w:rFonts w:ascii="Times New Roman" w:hAnsi="Times New Roman"/>
          <w:sz w:val="20"/>
        </w:rPr>
        <w:t xml:space="preserve"> Tarp kurių 2015–2019 m. tarpinstituciniame veiklos plane numatytos, tačiau neįgyvendintos priemonės ir  priemonės, kurias įgyvendinti buvo vėluojama.</w:t>
      </w:r>
    </w:p>
  </w:footnote>
  <w:footnote w:id="79">
    <w:p w14:paraId="544BCACD" w14:textId="77777777" w:rsidR="007940F1" w:rsidRPr="000740EA" w:rsidRDefault="007940F1" w:rsidP="008B10FF">
      <w:pPr>
        <w:jc w:val="both"/>
        <w:rPr>
          <w:bCs/>
          <w:sz w:val="20"/>
        </w:rPr>
      </w:pPr>
      <w:r w:rsidRPr="000740EA">
        <w:rPr>
          <w:rStyle w:val="Puslapioinaosnuoroda"/>
          <w:sz w:val="20"/>
        </w:rPr>
        <w:footnoteRef/>
      </w:r>
      <w:r w:rsidRPr="000740EA">
        <w:rPr>
          <w:sz w:val="20"/>
        </w:rPr>
        <w:t xml:space="preserve"> Priemones vykdo</w:t>
      </w:r>
      <w:r w:rsidRPr="000740EA">
        <w:rPr>
          <w:bCs/>
          <w:iCs/>
          <w:sz w:val="20"/>
        </w:rPr>
        <w:t xml:space="preserve"> 11 institucijų</w:t>
      </w:r>
      <w:r w:rsidRPr="000740EA">
        <w:rPr>
          <w:bCs/>
          <w:sz w:val="20"/>
        </w:rPr>
        <w:t xml:space="preserve"> (12 priemonių vykdo Narkotikų, tabako ir alkoholio kontrolės departamentas, po 4 priemones Sveikatos apsaugos ministerija, Švietimo, mokslo ir sporto ministerija, Kalėjimų departamentas prie Teisingumo ministerijos, 3 priemones – Policijos departamentas prie Vidaus reikalų ministerijos, 2 priemones – Muitinės departamentas prie Finansų ministerijos, po 1 Socialinės apsaugos ir darbo ministerija, Lietuvos statistikos departamentas, Valstybinė vartotojų teisių apsaugos tarnyba, Valstybės sienos apsaugos tarnyba prie Vidaus reikalų ministerijos ir Finansinių nusikaltimų tyrimo tarnyba prie Vidaus reikalų ministerijos)</w:t>
      </w:r>
    </w:p>
    <w:p w14:paraId="7AB00731" w14:textId="77777777" w:rsidR="007940F1" w:rsidRDefault="007940F1" w:rsidP="008B10F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794109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BE22014"/>
    <w:multiLevelType w:val="multilevel"/>
    <w:tmpl w:val="A054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EE04E8"/>
    <w:multiLevelType w:val="hybridMultilevel"/>
    <w:tmpl w:val="D9CA944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E910EC4"/>
    <w:multiLevelType w:val="hybridMultilevel"/>
    <w:tmpl w:val="85765F9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46EC7"/>
    <w:multiLevelType w:val="multilevel"/>
    <w:tmpl w:val="3484260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7A3F3E"/>
    <w:multiLevelType w:val="hybridMultilevel"/>
    <w:tmpl w:val="EF287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D3485B"/>
    <w:multiLevelType w:val="hybridMultilevel"/>
    <w:tmpl w:val="150CC148"/>
    <w:lvl w:ilvl="0" w:tplc="04090001">
      <w:start w:val="1"/>
      <w:numFmt w:val="bullet"/>
      <w:pStyle w:val="Sraassuenkleliais"/>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D480987"/>
    <w:multiLevelType w:val="multilevel"/>
    <w:tmpl w:val="BCDA97D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0A132E"/>
    <w:multiLevelType w:val="hybridMultilevel"/>
    <w:tmpl w:val="0ECE38DC"/>
    <w:lvl w:ilvl="0" w:tplc="B6904258">
      <w:start w:val="1"/>
      <w:numFmt w:val="bullet"/>
      <w:lvlText w:val="•"/>
      <w:lvlJc w:val="left"/>
      <w:pPr>
        <w:tabs>
          <w:tab w:val="num" w:pos="720"/>
        </w:tabs>
        <w:ind w:left="720" w:hanging="360"/>
      </w:pPr>
      <w:rPr>
        <w:rFonts w:ascii="Arial" w:hAnsi="Arial" w:hint="default"/>
      </w:rPr>
    </w:lvl>
    <w:lvl w:ilvl="1" w:tplc="84F65254" w:tentative="1">
      <w:start w:val="1"/>
      <w:numFmt w:val="bullet"/>
      <w:lvlText w:val="•"/>
      <w:lvlJc w:val="left"/>
      <w:pPr>
        <w:tabs>
          <w:tab w:val="num" w:pos="1440"/>
        </w:tabs>
        <w:ind w:left="1440" w:hanging="360"/>
      </w:pPr>
      <w:rPr>
        <w:rFonts w:ascii="Arial" w:hAnsi="Arial" w:hint="default"/>
      </w:rPr>
    </w:lvl>
    <w:lvl w:ilvl="2" w:tplc="E58CBFF2" w:tentative="1">
      <w:start w:val="1"/>
      <w:numFmt w:val="bullet"/>
      <w:lvlText w:val="•"/>
      <w:lvlJc w:val="left"/>
      <w:pPr>
        <w:tabs>
          <w:tab w:val="num" w:pos="2160"/>
        </w:tabs>
        <w:ind w:left="2160" w:hanging="360"/>
      </w:pPr>
      <w:rPr>
        <w:rFonts w:ascii="Arial" w:hAnsi="Arial" w:hint="default"/>
      </w:rPr>
    </w:lvl>
    <w:lvl w:ilvl="3" w:tplc="17EE4A18" w:tentative="1">
      <w:start w:val="1"/>
      <w:numFmt w:val="bullet"/>
      <w:lvlText w:val="•"/>
      <w:lvlJc w:val="left"/>
      <w:pPr>
        <w:tabs>
          <w:tab w:val="num" w:pos="2880"/>
        </w:tabs>
        <w:ind w:left="2880" w:hanging="360"/>
      </w:pPr>
      <w:rPr>
        <w:rFonts w:ascii="Arial" w:hAnsi="Arial" w:hint="default"/>
      </w:rPr>
    </w:lvl>
    <w:lvl w:ilvl="4" w:tplc="01C66A68" w:tentative="1">
      <w:start w:val="1"/>
      <w:numFmt w:val="bullet"/>
      <w:lvlText w:val="•"/>
      <w:lvlJc w:val="left"/>
      <w:pPr>
        <w:tabs>
          <w:tab w:val="num" w:pos="3600"/>
        </w:tabs>
        <w:ind w:left="3600" w:hanging="360"/>
      </w:pPr>
      <w:rPr>
        <w:rFonts w:ascii="Arial" w:hAnsi="Arial" w:hint="default"/>
      </w:rPr>
    </w:lvl>
    <w:lvl w:ilvl="5" w:tplc="A414087E" w:tentative="1">
      <w:start w:val="1"/>
      <w:numFmt w:val="bullet"/>
      <w:lvlText w:val="•"/>
      <w:lvlJc w:val="left"/>
      <w:pPr>
        <w:tabs>
          <w:tab w:val="num" w:pos="4320"/>
        </w:tabs>
        <w:ind w:left="4320" w:hanging="360"/>
      </w:pPr>
      <w:rPr>
        <w:rFonts w:ascii="Arial" w:hAnsi="Arial" w:hint="default"/>
      </w:rPr>
    </w:lvl>
    <w:lvl w:ilvl="6" w:tplc="194CF686" w:tentative="1">
      <w:start w:val="1"/>
      <w:numFmt w:val="bullet"/>
      <w:lvlText w:val="•"/>
      <w:lvlJc w:val="left"/>
      <w:pPr>
        <w:tabs>
          <w:tab w:val="num" w:pos="5040"/>
        </w:tabs>
        <w:ind w:left="5040" w:hanging="360"/>
      </w:pPr>
      <w:rPr>
        <w:rFonts w:ascii="Arial" w:hAnsi="Arial" w:hint="default"/>
      </w:rPr>
    </w:lvl>
    <w:lvl w:ilvl="7" w:tplc="F43C29B8" w:tentative="1">
      <w:start w:val="1"/>
      <w:numFmt w:val="bullet"/>
      <w:lvlText w:val="•"/>
      <w:lvlJc w:val="left"/>
      <w:pPr>
        <w:tabs>
          <w:tab w:val="num" w:pos="5760"/>
        </w:tabs>
        <w:ind w:left="5760" w:hanging="360"/>
      </w:pPr>
      <w:rPr>
        <w:rFonts w:ascii="Arial" w:hAnsi="Arial" w:hint="default"/>
      </w:rPr>
    </w:lvl>
    <w:lvl w:ilvl="8" w:tplc="BFFA51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D65E16"/>
    <w:multiLevelType w:val="multilevel"/>
    <w:tmpl w:val="85C8BFB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2111B04"/>
    <w:multiLevelType w:val="multilevel"/>
    <w:tmpl w:val="B82E40F4"/>
    <w:lvl w:ilvl="0">
      <w:start w:val="1"/>
      <w:numFmt w:val="decimal"/>
      <w:lvlText w:val="%1."/>
      <w:lvlJc w:val="left"/>
      <w:pPr>
        <w:tabs>
          <w:tab w:val="num" w:pos="720"/>
        </w:tabs>
        <w:ind w:left="720" w:hanging="360"/>
      </w:pPr>
      <w:rPr>
        <w:rFonts w:ascii="Times New Roman" w:eastAsia="Times New Roman" w:hAnsi="Times New Roman" w:cs="Times New Roman"/>
        <w:b w:val="0"/>
        <w:i w:val="0"/>
      </w:rPr>
    </w:lvl>
    <w:lvl w:ilvl="1">
      <w:start w:val="1"/>
      <w:numFmt w:val="decimal"/>
      <w:lvlText w:val="%1.%2."/>
      <w:lvlJc w:val="left"/>
      <w:pPr>
        <w:tabs>
          <w:tab w:val="num" w:pos="432"/>
        </w:tabs>
        <w:ind w:left="432" w:hanging="432"/>
      </w:pPr>
      <w:rPr>
        <w:rFonts w:cs="Times New Roman"/>
        <w:b w:val="0"/>
        <w:i w:val="0"/>
      </w:rPr>
    </w:lvl>
    <w:lvl w:ilvl="2">
      <w:start w:val="1"/>
      <w:numFmt w:val="decimal"/>
      <w:pStyle w:val="StyleItalicUnderlineJustified"/>
      <w:lvlText w:val="%1.%2.%3."/>
      <w:lvlJc w:val="left"/>
      <w:pPr>
        <w:tabs>
          <w:tab w:val="num" w:pos="1800"/>
        </w:tabs>
        <w:ind w:left="1584" w:hanging="504"/>
      </w:pPr>
      <w:rPr>
        <w:rFonts w:cs="Times New Roman"/>
        <w:i w:val="0"/>
      </w:rPr>
    </w:lvl>
    <w:lvl w:ilvl="3">
      <w:start w:val="1"/>
      <w:numFmt w:val="decimal"/>
      <w:pStyle w:val="StyleStyleItalicUnderlineJustifiedItalicUnderline"/>
      <w:lvlText w:val="%1.%2.%3.%4."/>
      <w:lvlJc w:val="left"/>
      <w:pPr>
        <w:tabs>
          <w:tab w:val="num" w:pos="2160"/>
        </w:tabs>
        <w:ind w:left="208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1" w15:restartNumberingAfterBreak="0">
    <w:nsid w:val="25AA2E74"/>
    <w:multiLevelType w:val="hybridMultilevel"/>
    <w:tmpl w:val="B33EFCC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8A92656"/>
    <w:multiLevelType w:val="hybridMultilevel"/>
    <w:tmpl w:val="E028EEC8"/>
    <w:lvl w:ilvl="0" w:tplc="08090001">
      <w:start w:val="1"/>
      <w:numFmt w:val="bullet"/>
      <w:lvlText w:val=""/>
      <w:lvlJc w:val="left"/>
      <w:pPr>
        <w:ind w:left="900" w:hanging="360"/>
      </w:pPr>
      <w:rPr>
        <w:rFonts w:ascii="Symbol" w:hAnsi="Symbol"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3" w15:restartNumberingAfterBreak="0">
    <w:nsid w:val="2AAE10E8"/>
    <w:multiLevelType w:val="hybridMultilevel"/>
    <w:tmpl w:val="97E479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EBD54F0"/>
    <w:multiLevelType w:val="multilevel"/>
    <w:tmpl w:val="082E36A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DE419C"/>
    <w:multiLevelType w:val="hybridMultilevel"/>
    <w:tmpl w:val="77C68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3C5CB2"/>
    <w:multiLevelType w:val="multilevel"/>
    <w:tmpl w:val="A054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0437B8"/>
    <w:multiLevelType w:val="hybridMultilevel"/>
    <w:tmpl w:val="85D6EF96"/>
    <w:lvl w:ilvl="0" w:tplc="08090001">
      <w:start w:val="1"/>
      <w:numFmt w:val="bullet"/>
      <w:lvlText w:val=""/>
      <w:lvlJc w:val="left"/>
      <w:pPr>
        <w:ind w:left="3338" w:hanging="360"/>
      </w:pPr>
      <w:rPr>
        <w:rFonts w:ascii="Symbol" w:hAnsi="Symbol" w:hint="default"/>
      </w:rPr>
    </w:lvl>
    <w:lvl w:ilvl="1" w:tplc="08090003" w:tentative="1">
      <w:start w:val="1"/>
      <w:numFmt w:val="bullet"/>
      <w:lvlText w:val="o"/>
      <w:lvlJc w:val="left"/>
      <w:pPr>
        <w:ind w:left="4058" w:hanging="360"/>
      </w:pPr>
      <w:rPr>
        <w:rFonts w:ascii="Courier New" w:hAnsi="Courier New" w:cs="Courier New" w:hint="default"/>
      </w:rPr>
    </w:lvl>
    <w:lvl w:ilvl="2" w:tplc="08090005" w:tentative="1">
      <w:start w:val="1"/>
      <w:numFmt w:val="bullet"/>
      <w:lvlText w:val=""/>
      <w:lvlJc w:val="left"/>
      <w:pPr>
        <w:ind w:left="4778" w:hanging="360"/>
      </w:pPr>
      <w:rPr>
        <w:rFonts w:ascii="Wingdings" w:hAnsi="Wingdings" w:hint="default"/>
      </w:rPr>
    </w:lvl>
    <w:lvl w:ilvl="3" w:tplc="08090001" w:tentative="1">
      <w:start w:val="1"/>
      <w:numFmt w:val="bullet"/>
      <w:lvlText w:val=""/>
      <w:lvlJc w:val="left"/>
      <w:pPr>
        <w:ind w:left="5498" w:hanging="360"/>
      </w:pPr>
      <w:rPr>
        <w:rFonts w:ascii="Symbol" w:hAnsi="Symbol" w:hint="default"/>
      </w:rPr>
    </w:lvl>
    <w:lvl w:ilvl="4" w:tplc="08090003" w:tentative="1">
      <w:start w:val="1"/>
      <w:numFmt w:val="bullet"/>
      <w:lvlText w:val="o"/>
      <w:lvlJc w:val="left"/>
      <w:pPr>
        <w:ind w:left="6218" w:hanging="360"/>
      </w:pPr>
      <w:rPr>
        <w:rFonts w:ascii="Courier New" w:hAnsi="Courier New" w:cs="Courier New" w:hint="default"/>
      </w:rPr>
    </w:lvl>
    <w:lvl w:ilvl="5" w:tplc="08090005" w:tentative="1">
      <w:start w:val="1"/>
      <w:numFmt w:val="bullet"/>
      <w:lvlText w:val=""/>
      <w:lvlJc w:val="left"/>
      <w:pPr>
        <w:ind w:left="6938" w:hanging="360"/>
      </w:pPr>
      <w:rPr>
        <w:rFonts w:ascii="Wingdings" w:hAnsi="Wingdings" w:hint="default"/>
      </w:rPr>
    </w:lvl>
    <w:lvl w:ilvl="6" w:tplc="08090001" w:tentative="1">
      <w:start w:val="1"/>
      <w:numFmt w:val="bullet"/>
      <w:lvlText w:val=""/>
      <w:lvlJc w:val="left"/>
      <w:pPr>
        <w:ind w:left="7658" w:hanging="360"/>
      </w:pPr>
      <w:rPr>
        <w:rFonts w:ascii="Symbol" w:hAnsi="Symbol" w:hint="default"/>
      </w:rPr>
    </w:lvl>
    <w:lvl w:ilvl="7" w:tplc="08090003" w:tentative="1">
      <w:start w:val="1"/>
      <w:numFmt w:val="bullet"/>
      <w:lvlText w:val="o"/>
      <w:lvlJc w:val="left"/>
      <w:pPr>
        <w:ind w:left="8378" w:hanging="360"/>
      </w:pPr>
      <w:rPr>
        <w:rFonts w:ascii="Courier New" w:hAnsi="Courier New" w:cs="Courier New" w:hint="default"/>
      </w:rPr>
    </w:lvl>
    <w:lvl w:ilvl="8" w:tplc="08090005" w:tentative="1">
      <w:start w:val="1"/>
      <w:numFmt w:val="bullet"/>
      <w:lvlText w:val=""/>
      <w:lvlJc w:val="left"/>
      <w:pPr>
        <w:ind w:left="9098" w:hanging="360"/>
      </w:pPr>
      <w:rPr>
        <w:rFonts w:ascii="Wingdings" w:hAnsi="Wingdings" w:hint="default"/>
      </w:rPr>
    </w:lvl>
  </w:abstractNum>
  <w:abstractNum w:abstractNumId="18" w15:restartNumberingAfterBreak="0">
    <w:nsid w:val="3FBB3734"/>
    <w:multiLevelType w:val="hybridMultilevel"/>
    <w:tmpl w:val="F440F5F8"/>
    <w:lvl w:ilvl="0" w:tplc="006A3E6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1316EA"/>
    <w:multiLevelType w:val="multilevel"/>
    <w:tmpl w:val="A054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5959D4"/>
    <w:multiLevelType w:val="multilevel"/>
    <w:tmpl w:val="A054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114EA3"/>
    <w:multiLevelType w:val="hybridMultilevel"/>
    <w:tmpl w:val="21B6A1C8"/>
    <w:lvl w:ilvl="0" w:tplc="F566E6D6">
      <w:start w:val="1"/>
      <w:numFmt w:val="bullet"/>
      <w:lvlText w:val="•"/>
      <w:lvlJc w:val="left"/>
      <w:pPr>
        <w:tabs>
          <w:tab w:val="num" w:pos="720"/>
        </w:tabs>
        <w:ind w:left="720" w:hanging="360"/>
      </w:pPr>
      <w:rPr>
        <w:rFonts w:ascii="Arial" w:hAnsi="Arial" w:hint="default"/>
      </w:rPr>
    </w:lvl>
    <w:lvl w:ilvl="1" w:tplc="44C824D0" w:tentative="1">
      <w:start w:val="1"/>
      <w:numFmt w:val="bullet"/>
      <w:lvlText w:val="•"/>
      <w:lvlJc w:val="left"/>
      <w:pPr>
        <w:tabs>
          <w:tab w:val="num" w:pos="1440"/>
        </w:tabs>
        <w:ind w:left="1440" w:hanging="360"/>
      </w:pPr>
      <w:rPr>
        <w:rFonts w:ascii="Arial" w:hAnsi="Arial" w:hint="default"/>
      </w:rPr>
    </w:lvl>
    <w:lvl w:ilvl="2" w:tplc="C1E4D2E6" w:tentative="1">
      <w:start w:val="1"/>
      <w:numFmt w:val="bullet"/>
      <w:lvlText w:val="•"/>
      <w:lvlJc w:val="left"/>
      <w:pPr>
        <w:tabs>
          <w:tab w:val="num" w:pos="2160"/>
        </w:tabs>
        <w:ind w:left="2160" w:hanging="360"/>
      </w:pPr>
      <w:rPr>
        <w:rFonts w:ascii="Arial" w:hAnsi="Arial" w:hint="default"/>
      </w:rPr>
    </w:lvl>
    <w:lvl w:ilvl="3" w:tplc="5AA018CE" w:tentative="1">
      <w:start w:val="1"/>
      <w:numFmt w:val="bullet"/>
      <w:lvlText w:val="•"/>
      <w:lvlJc w:val="left"/>
      <w:pPr>
        <w:tabs>
          <w:tab w:val="num" w:pos="2880"/>
        </w:tabs>
        <w:ind w:left="2880" w:hanging="360"/>
      </w:pPr>
      <w:rPr>
        <w:rFonts w:ascii="Arial" w:hAnsi="Arial" w:hint="default"/>
      </w:rPr>
    </w:lvl>
    <w:lvl w:ilvl="4" w:tplc="E7E4A83A" w:tentative="1">
      <w:start w:val="1"/>
      <w:numFmt w:val="bullet"/>
      <w:lvlText w:val="•"/>
      <w:lvlJc w:val="left"/>
      <w:pPr>
        <w:tabs>
          <w:tab w:val="num" w:pos="3600"/>
        </w:tabs>
        <w:ind w:left="3600" w:hanging="360"/>
      </w:pPr>
      <w:rPr>
        <w:rFonts w:ascii="Arial" w:hAnsi="Arial" w:hint="default"/>
      </w:rPr>
    </w:lvl>
    <w:lvl w:ilvl="5" w:tplc="6088BCE2" w:tentative="1">
      <w:start w:val="1"/>
      <w:numFmt w:val="bullet"/>
      <w:lvlText w:val="•"/>
      <w:lvlJc w:val="left"/>
      <w:pPr>
        <w:tabs>
          <w:tab w:val="num" w:pos="4320"/>
        </w:tabs>
        <w:ind w:left="4320" w:hanging="360"/>
      </w:pPr>
      <w:rPr>
        <w:rFonts w:ascii="Arial" w:hAnsi="Arial" w:hint="default"/>
      </w:rPr>
    </w:lvl>
    <w:lvl w:ilvl="6" w:tplc="B55E4588" w:tentative="1">
      <w:start w:val="1"/>
      <w:numFmt w:val="bullet"/>
      <w:lvlText w:val="•"/>
      <w:lvlJc w:val="left"/>
      <w:pPr>
        <w:tabs>
          <w:tab w:val="num" w:pos="5040"/>
        </w:tabs>
        <w:ind w:left="5040" w:hanging="360"/>
      </w:pPr>
      <w:rPr>
        <w:rFonts w:ascii="Arial" w:hAnsi="Arial" w:hint="default"/>
      </w:rPr>
    </w:lvl>
    <w:lvl w:ilvl="7" w:tplc="BD5ADE1A" w:tentative="1">
      <w:start w:val="1"/>
      <w:numFmt w:val="bullet"/>
      <w:lvlText w:val="•"/>
      <w:lvlJc w:val="left"/>
      <w:pPr>
        <w:tabs>
          <w:tab w:val="num" w:pos="5760"/>
        </w:tabs>
        <w:ind w:left="5760" w:hanging="360"/>
      </w:pPr>
      <w:rPr>
        <w:rFonts w:ascii="Arial" w:hAnsi="Arial" w:hint="default"/>
      </w:rPr>
    </w:lvl>
    <w:lvl w:ilvl="8" w:tplc="32C884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1561CF"/>
    <w:multiLevelType w:val="hybridMultilevel"/>
    <w:tmpl w:val="1AD0F36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7424965"/>
    <w:multiLevelType w:val="hybridMultilevel"/>
    <w:tmpl w:val="2580E55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BCE2E4B"/>
    <w:multiLevelType w:val="multilevel"/>
    <w:tmpl w:val="4644EB60"/>
    <w:lvl w:ilvl="0">
      <w:start w:val="2"/>
      <w:numFmt w:val="decimal"/>
      <w:lvlText w:val="%1."/>
      <w:lvlJc w:val="left"/>
      <w:pPr>
        <w:ind w:left="480" w:hanging="480"/>
      </w:pPr>
      <w:rPr>
        <w:rFonts w:hint="default"/>
      </w:rPr>
    </w:lvl>
    <w:lvl w:ilvl="1">
      <w:start w:val="14"/>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5" w15:restartNumberingAfterBreak="0">
    <w:nsid w:val="664A7EA2"/>
    <w:multiLevelType w:val="multilevel"/>
    <w:tmpl w:val="A91410F8"/>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6" w15:restartNumberingAfterBreak="0">
    <w:nsid w:val="68363332"/>
    <w:multiLevelType w:val="multilevel"/>
    <w:tmpl w:val="A0545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0D3247"/>
    <w:multiLevelType w:val="hybridMultilevel"/>
    <w:tmpl w:val="09F44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D149FE"/>
    <w:multiLevelType w:val="hybridMultilevel"/>
    <w:tmpl w:val="C3AADEEC"/>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9" w15:restartNumberingAfterBreak="0">
    <w:nsid w:val="70C047EF"/>
    <w:multiLevelType w:val="multilevel"/>
    <w:tmpl w:val="A15AACC4"/>
    <w:lvl w:ilvl="0">
      <w:start w:val="2"/>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0" w15:restartNumberingAfterBreak="0">
    <w:nsid w:val="7173287D"/>
    <w:multiLevelType w:val="hybridMultilevel"/>
    <w:tmpl w:val="E8D85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E02F54"/>
    <w:multiLevelType w:val="hybridMultilevel"/>
    <w:tmpl w:val="B3D0C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5B634F"/>
    <w:multiLevelType w:val="hybridMultilevel"/>
    <w:tmpl w:val="37C84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A02DA1"/>
    <w:multiLevelType w:val="hybridMultilevel"/>
    <w:tmpl w:val="48649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E83921"/>
    <w:multiLevelType w:val="hybridMultilevel"/>
    <w:tmpl w:val="9DB0D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
  </w:num>
  <w:num w:numId="3">
    <w:abstractNumId w:val="12"/>
  </w:num>
  <w:num w:numId="4">
    <w:abstractNumId w:val="30"/>
  </w:num>
  <w:num w:numId="5">
    <w:abstractNumId w:val="22"/>
  </w:num>
  <w:num w:numId="6">
    <w:abstractNumId w:val="5"/>
  </w:num>
  <w:num w:numId="7">
    <w:abstractNumId w:val="33"/>
  </w:num>
  <w:num w:numId="8">
    <w:abstractNumId w:val="15"/>
  </w:num>
  <w:num w:numId="9">
    <w:abstractNumId w:val="31"/>
  </w:num>
  <w:num w:numId="10">
    <w:abstractNumId w:val="17"/>
  </w:num>
  <w:num w:numId="11">
    <w:abstractNumId w:val="3"/>
  </w:num>
  <w:num w:numId="12">
    <w:abstractNumId w:val="7"/>
  </w:num>
  <w:num w:numId="13">
    <w:abstractNumId w:val="34"/>
  </w:num>
  <w:num w:numId="14">
    <w:abstractNumId w:val="29"/>
  </w:num>
  <w:num w:numId="15">
    <w:abstractNumId w:val="4"/>
  </w:num>
  <w:num w:numId="16">
    <w:abstractNumId w:val="24"/>
  </w:num>
  <w:num w:numId="17">
    <w:abstractNumId w:val="9"/>
  </w:num>
  <w:num w:numId="18">
    <w:abstractNumId w:val="25"/>
  </w:num>
  <w:num w:numId="19">
    <w:abstractNumId w:val="6"/>
  </w:num>
  <w:num w:numId="20">
    <w:abstractNumId w:val="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7"/>
  </w:num>
  <w:num w:numId="24">
    <w:abstractNumId w:val="21"/>
  </w:num>
  <w:num w:numId="25">
    <w:abstractNumId w:val="8"/>
  </w:num>
  <w:num w:numId="26">
    <w:abstractNumId w:val="18"/>
  </w:num>
  <w:num w:numId="27">
    <w:abstractNumId w:val="19"/>
  </w:num>
  <w:num w:numId="28">
    <w:abstractNumId w:val="1"/>
  </w:num>
  <w:num w:numId="29">
    <w:abstractNumId w:val="20"/>
  </w:num>
  <w:num w:numId="30">
    <w:abstractNumId w:val="26"/>
  </w:num>
  <w:num w:numId="31">
    <w:abstractNumId w:val="16"/>
  </w:num>
  <w:num w:numId="32">
    <w:abstractNumId w:val="13"/>
  </w:num>
  <w:num w:numId="33">
    <w:abstractNumId w:val="32"/>
  </w:num>
  <w:num w:numId="34">
    <w:abstractNumId w:val="23"/>
  </w:num>
  <w:num w:numId="35">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C6"/>
    <w:rsid w:val="00002080"/>
    <w:rsid w:val="00003518"/>
    <w:rsid w:val="00003CEA"/>
    <w:rsid w:val="00004191"/>
    <w:rsid w:val="000068E7"/>
    <w:rsid w:val="00011623"/>
    <w:rsid w:val="00011B43"/>
    <w:rsid w:val="00013103"/>
    <w:rsid w:val="000158CE"/>
    <w:rsid w:val="00020325"/>
    <w:rsid w:val="00020816"/>
    <w:rsid w:val="0002156D"/>
    <w:rsid w:val="000223C0"/>
    <w:rsid w:val="00024E23"/>
    <w:rsid w:val="000254E7"/>
    <w:rsid w:val="0002580A"/>
    <w:rsid w:val="000268DD"/>
    <w:rsid w:val="0002771B"/>
    <w:rsid w:val="00032043"/>
    <w:rsid w:val="00032539"/>
    <w:rsid w:val="00033BDF"/>
    <w:rsid w:val="00035731"/>
    <w:rsid w:val="00042353"/>
    <w:rsid w:val="0004242D"/>
    <w:rsid w:val="0004350F"/>
    <w:rsid w:val="00044879"/>
    <w:rsid w:val="000460EF"/>
    <w:rsid w:val="00047227"/>
    <w:rsid w:val="0004754A"/>
    <w:rsid w:val="00050701"/>
    <w:rsid w:val="000523C5"/>
    <w:rsid w:val="000538C5"/>
    <w:rsid w:val="00053B1B"/>
    <w:rsid w:val="00057978"/>
    <w:rsid w:val="000601D5"/>
    <w:rsid w:val="00060A7A"/>
    <w:rsid w:val="00060E78"/>
    <w:rsid w:val="00060FED"/>
    <w:rsid w:val="0006118B"/>
    <w:rsid w:val="000615DB"/>
    <w:rsid w:val="00063F12"/>
    <w:rsid w:val="00064FF5"/>
    <w:rsid w:val="00065288"/>
    <w:rsid w:val="00065353"/>
    <w:rsid w:val="00065651"/>
    <w:rsid w:val="00066567"/>
    <w:rsid w:val="00066861"/>
    <w:rsid w:val="00066D8E"/>
    <w:rsid w:val="00066E1F"/>
    <w:rsid w:val="00067B15"/>
    <w:rsid w:val="00070118"/>
    <w:rsid w:val="0007051B"/>
    <w:rsid w:val="00070E6B"/>
    <w:rsid w:val="00071C26"/>
    <w:rsid w:val="00073E0C"/>
    <w:rsid w:val="000740EA"/>
    <w:rsid w:val="00075077"/>
    <w:rsid w:val="0007560A"/>
    <w:rsid w:val="0007706F"/>
    <w:rsid w:val="00077C62"/>
    <w:rsid w:val="00077C87"/>
    <w:rsid w:val="000813B8"/>
    <w:rsid w:val="0008419C"/>
    <w:rsid w:val="0008488D"/>
    <w:rsid w:val="000855D3"/>
    <w:rsid w:val="00086B3C"/>
    <w:rsid w:val="00087635"/>
    <w:rsid w:val="000918FD"/>
    <w:rsid w:val="00092B75"/>
    <w:rsid w:val="000953BA"/>
    <w:rsid w:val="000954CD"/>
    <w:rsid w:val="000A0B05"/>
    <w:rsid w:val="000A0FE3"/>
    <w:rsid w:val="000A4232"/>
    <w:rsid w:val="000A4762"/>
    <w:rsid w:val="000A7E47"/>
    <w:rsid w:val="000B176E"/>
    <w:rsid w:val="000B35D8"/>
    <w:rsid w:val="000B4CFA"/>
    <w:rsid w:val="000B5783"/>
    <w:rsid w:val="000B6549"/>
    <w:rsid w:val="000B74E1"/>
    <w:rsid w:val="000C3326"/>
    <w:rsid w:val="000C4868"/>
    <w:rsid w:val="000C4B02"/>
    <w:rsid w:val="000C5911"/>
    <w:rsid w:val="000C6402"/>
    <w:rsid w:val="000D1242"/>
    <w:rsid w:val="000D126F"/>
    <w:rsid w:val="000D17EF"/>
    <w:rsid w:val="000E00F1"/>
    <w:rsid w:val="000E012E"/>
    <w:rsid w:val="000E0AF4"/>
    <w:rsid w:val="000E0E92"/>
    <w:rsid w:val="000E2BEA"/>
    <w:rsid w:val="000E4F99"/>
    <w:rsid w:val="000F0076"/>
    <w:rsid w:val="000F02E2"/>
    <w:rsid w:val="000F125B"/>
    <w:rsid w:val="000F28A4"/>
    <w:rsid w:val="000F405F"/>
    <w:rsid w:val="000F5FD8"/>
    <w:rsid w:val="000F7D80"/>
    <w:rsid w:val="00101DCE"/>
    <w:rsid w:val="00105144"/>
    <w:rsid w:val="0010718E"/>
    <w:rsid w:val="00107C5D"/>
    <w:rsid w:val="00107CE9"/>
    <w:rsid w:val="0011324B"/>
    <w:rsid w:val="00114B45"/>
    <w:rsid w:val="001214B0"/>
    <w:rsid w:val="00121A50"/>
    <w:rsid w:val="001239A2"/>
    <w:rsid w:val="001243B5"/>
    <w:rsid w:val="001252CF"/>
    <w:rsid w:val="001263E7"/>
    <w:rsid w:val="00127A13"/>
    <w:rsid w:val="001319AB"/>
    <w:rsid w:val="001331CB"/>
    <w:rsid w:val="0013444A"/>
    <w:rsid w:val="00134E60"/>
    <w:rsid w:val="0014004C"/>
    <w:rsid w:val="0014216B"/>
    <w:rsid w:val="00143B6C"/>
    <w:rsid w:val="00144074"/>
    <w:rsid w:val="00145026"/>
    <w:rsid w:val="0014606A"/>
    <w:rsid w:val="00147AD9"/>
    <w:rsid w:val="00151678"/>
    <w:rsid w:val="001529A3"/>
    <w:rsid w:val="001543BC"/>
    <w:rsid w:val="00154577"/>
    <w:rsid w:val="001575A8"/>
    <w:rsid w:val="001577C5"/>
    <w:rsid w:val="001605ED"/>
    <w:rsid w:val="00160D74"/>
    <w:rsid w:val="00161990"/>
    <w:rsid w:val="00161BED"/>
    <w:rsid w:val="00163B14"/>
    <w:rsid w:val="001655AE"/>
    <w:rsid w:val="001713A6"/>
    <w:rsid w:val="0017411D"/>
    <w:rsid w:val="00175F93"/>
    <w:rsid w:val="0017652D"/>
    <w:rsid w:val="00176754"/>
    <w:rsid w:val="00176771"/>
    <w:rsid w:val="00180156"/>
    <w:rsid w:val="00182BFB"/>
    <w:rsid w:val="00185F91"/>
    <w:rsid w:val="00186808"/>
    <w:rsid w:val="00186862"/>
    <w:rsid w:val="001873DD"/>
    <w:rsid w:val="0019067E"/>
    <w:rsid w:val="00195776"/>
    <w:rsid w:val="001A0446"/>
    <w:rsid w:val="001A11A8"/>
    <w:rsid w:val="001A1354"/>
    <w:rsid w:val="001A3873"/>
    <w:rsid w:val="001B18CE"/>
    <w:rsid w:val="001B1978"/>
    <w:rsid w:val="001B3AF7"/>
    <w:rsid w:val="001B4BC6"/>
    <w:rsid w:val="001B6EF4"/>
    <w:rsid w:val="001B7D8A"/>
    <w:rsid w:val="001C14CB"/>
    <w:rsid w:val="001C180D"/>
    <w:rsid w:val="001C1DDE"/>
    <w:rsid w:val="001C4B99"/>
    <w:rsid w:val="001C5D4D"/>
    <w:rsid w:val="001C73D8"/>
    <w:rsid w:val="001D0A92"/>
    <w:rsid w:val="001D1A8C"/>
    <w:rsid w:val="001D3C3A"/>
    <w:rsid w:val="001D51AE"/>
    <w:rsid w:val="001D64C5"/>
    <w:rsid w:val="001D6B8F"/>
    <w:rsid w:val="001D7CCB"/>
    <w:rsid w:val="001E39ED"/>
    <w:rsid w:val="001E3EC8"/>
    <w:rsid w:val="001E4434"/>
    <w:rsid w:val="001F1C8A"/>
    <w:rsid w:val="001F2C02"/>
    <w:rsid w:val="001F2D7D"/>
    <w:rsid w:val="001F2E2E"/>
    <w:rsid w:val="001F36EC"/>
    <w:rsid w:val="001F3DB3"/>
    <w:rsid w:val="001F47BA"/>
    <w:rsid w:val="001F5161"/>
    <w:rsid w:val="001F6847"/>
    <w:rsid w:val="001F75C2"/>
    <w:rsid w:val="001F76F9"/>
    <w:rsid w:val="00201C4A"/>
    <w:rsid w:val="00203BBC"/>
    <w:rsid w:val="002046F5"/>
    <w:rsid w:val="0020582C"/>
    <w:rsid w:val="0020738D"/>
    <w:rsid w:val="002077F5"/>
    <w:rsid w:val="00207EA7"/>
    <w:rsid w:val="00207EFB"/>
    <w:rsid w:val="00210A86"/>
    <w:rsid w:val="00211366"/>
    <w:rsid w:val="00211F34"/>
    <w:rsid w:val="00214F31"/>
    <w:rsid w:val="00215A2E"/>
    <w:rsid w:val="00216538"/>
    <w:rsid w:val="00221B6E"/>
    <w:rsid w:val="00223C36"/>
    <w:rsid w:val="002262EC"/>
    <w:rsid w:val="002263A5"/>
    <w:rsid w:val="00226C71"/>
    <w:rsid w:val="002276AE"/>
    <w:rsid w:val="0023196D"/>
    <w:rsid w:val="00232A6E"/>
    <w:rsid w:val="002339E3"/>
    <w:rsid w:val="002350FE"/>
    <w:rsid w:val="00236E0F"/>
    <w:rsid w:val="00241F7A"/>
    <w:rsid w:val="00242863"/>
    <w:rsid w:val="00243107"/>
    <w:rsid w:val="002436A6"/>
    <w:rsid w:val="00243B23"/>
    <w:rsid w:val="00245FFA"/>
    <w:rsid w:val="0024723F"/>
    <w:rsid w:val="00247D02"/>
    <w:rsid w:val="0025180F"/>
    <w:rsid w:val="00251DAB"/>
    <w:rsid w:val="0025481E"/>
    <w:rsid w:val="002551AA"/>
    <w:rsid w:val="002552A6"/>
    <w:rsid w:val="00256143"/>
    <w:rsid w:val="002624F5"/>
    <w:rsid w:val="00262D25"/>
    <w:rsid w:val="00270CA6"/>
    <w:rsid w:val="00273D25"/>
    <w:rsid w:val="002748AE"/>
    <w:rsid w:val="00275FE9"/>
    <w:rsid w:val="00281BB7"/>
    <w:rsid w:val="002825F6"/>
    <w:rsid w:val="00282AE6"/>
    <w:rsid w:val="0028472E"/>
    <w:rsid w:val="00285D0A"/>
    <w:rsid w:val="00286E76"/>
    <w:rsid w:val="00287E5E"/>
    <w:rsid w:val="00290897"/>
    <w:rsid w:val="00291900"/>
    <w:rsid w:val="00292051"/>
    <w:rsid w:val="00293A26"/>
    <w:rsid w:val="00294E85"/>
    <w:rsid w:val="002961CC"/>
    <w:rsid w:val="00296EAA"/>
    <w:rsid w:val="002A3F13"/>
    <w:rsid w:val="002A3F4B"/>
    <w:rsid w:val="002A479B"/>
    <w:rsid w:val="002A7470"/>
    <w:rsid w:val="002A7CEB"/>
    <w:rsid w:val="002B1A43"/>
    <w:rsid w:val="002B7688"/>
    <w:rsid w:val="002C35CB"/>
    <w:rsid w:val="002C367C"/>
    <w:rsid w:val="002C3C35"/>
    <w:rsid w:val="002C7079"/>
    <w:rsid w:val="002D10B8"/>
    <w:rsid w:val="002D2620"/>
    <w:rsid w:val="002D37E2"/>
    <w:rsid w:val="002D406D"/>
    <w:rsid w:val="002D524B"/>
    <w:rsid w:val="002D7C56"/>
    <w:rsid w:val="002E0381"/>
    <w:rsid w:val="002E0CB1"/>
    <w:rsid w:val="002E2D22"/>
    <w:rsid w:val="002E35F6"/>
    <w:rsid w:val="002E5447"/>
    <w:rsid w:val="002E5614"/>
    <w:rsid w:val="002E56B3"/>
    <w:rsid w:val="002E6F88"/>
    <w:rsid w:val="002F500C"/>
    <w:rsid w:val="002F5355"/>
    <w:rsid w:val="003037C7"/>
    <w:rsid w:val="003045EA"/>
    <w:rsid w:val="00305D85"/>
    <w:rsid w:val="00306CFD"/>
    <w:rsid w:val="0030726B"/>
    <w:rsid w:val="003113CC"/>
    <w:rsid w:val="003143EA"/>
    <w:rsid w:val="00315E5B"/>
    <w:rsid w:val="00320865"/>
    <w:rsid w:val="003208B3"/>
    <w:rsid w:val="00321ADF"/>
    <w:rsid w:val="00323075"/>
    <w:rsid w:val="003238A5"/>
    <w:rsid w:val="003238F4"/>
    <w:rsid w:val="00323EE0"/>
    <w:rsid w:val="00324DA6"/>
    <w:rsid w:val="003271A3"/>
    <w:rsid w:val="00327FDC"/>
    <w:rsid w:val="00330C32"/>
    <w:rsid w:val="00330E0F"/>
    <w:rsid w:val="0033173C"/>
    <w:rsid w:val="0033566C"/>
    <w:rsid w:val="003410A1"/>
    <w:rsid w:val="00344490"/>
    <w:rsid w:val="003452EB"/>
    <w:rsid w:val="00345FCD"/>
    <w:rsid w:val="00347B35"/>
    <w:rsid w:val="00350A1F"/>
    <w:rsid w:val="003512CD"/>
    <w:rsid w:val="00355AFF"/>
    <w:rsid w:val="00357D09"/>
    <w:rsid w:val="0036179E"/>
    <w:rsid w:val="003633C0"/>
    <w:rsid w:val="003659AD"/>
    <w:rsid w:val="0037108D"/>
    <w:rsid w:val="0037706C"/>
    <w:rsid w:val="00377FA9"/>
    <w:rsid w:val="0038100C"/>
    <w:rsid w:val="00383250"/>
    <w:rsid w:val="0038409F"/>
    <w:rsid w:val="003865CB"/>
    <w:rsid w:val="0039083D"/>
    <w:rsid w:val="00390ABE"/>
    <w:rsid w:val="0039252F"/>
    <w:rsid w:val="0039389B"/>
    <w:rsid w:val="00395A8D"/>
    <w:rsid w:val="003A1E62"/>
    <w:rsid w:val="003A1E81"/>
    <w:rsid w:val="003A2998"/>
    <w:rsid w:val="003A2A71"/>
    <w:rsid w:val="003A4E4F"/>
    <w:rsid w:val="003A6A11"/>
    <w:rsid w:val="003B3E5A"/>
    <w:rsid w:val="003B4791"/>
    <w:rsid w:val="003B6F5A"/>
    <w:rsid w:val="003C2DAF"/>
    <w:rsid w:val="003C5910"/>
    <w:rsid w:val="003C652B"/>
    <w:rsid w:val="003D070B"/>
    <w:rsid w:val="003D6525"/>
    <w:rsid w:val="003E0026"/>
    <w:rsid w:val="003E2B39"/>
    <w:rsid w:val="003E3853"/>
    <w:rsid w:val="003E3D7E"/>
    <w:rsid w:val="003E43CA"/>
    <w:rsid w:val="003E491A"/>
    <w:rsid w:val="003F050C"/>
    <w:rsid w:val="003F0BA6"/>
    <w:rsid w:val="00404276"/>
    <w:rsid w:val="004053A5"/>
    <w:rsid w:val="00405454"/>
    <w:rsid w:val="004057D6"/>
    <w:rsid w:val="00405C47"/>
    <w:rsid w:val="00406AC5"/>
    <w:rsid w:val="0041064A"/>
    <w:rsid w:val="004114C1"/>
    <w:rsid w:val="00413622"/>
    <w:rsid w:val="004138EC"/>
    <w:rsid w:val="00413C7B"/>
    <w:rsid w:val="00414021"/>
    <w:rsid w:val="0041502C"/>
    <w:rsid w:val="00415C0C"/>
    <w:rsid w:val="00421A77"/>
    <w:rsid w:val="00423CAA"/>
    <w:rsid w:val="00426742"/>
    <w:rsid w:val="00427B2D"/>
    <w:rsid w:val="0043075F"/>
    <w:rsid w:val="0043082A"/>
    <w:rsid w:val="00431229"/>
    <w:rsid w:val="004315F6"/>
    <w:rsid w:val="00434144"/>
    <w:rsid w:val="00436FA7"/>
    <w:rsid w:val="00437801"/>
    <w:rsid w:val="00440F0E"/>
    <w:rsid w:val="00444D11"/>
    <w:rsid w:val="0044582D"/>
    <w:rsid w:val="00446214"/>
    <w:rsid w:val="00446A3C"/>
    <w:rsid w:val="00447568"/>
    <w:rsid w:val="00447609"/>
    <w:rsid w:val="00447EAD"/>
    <w:rsid w:val="0045049D"/>
    <w:rsid w:val="00450B81"/>
    <w:rsid w:val="00451AB6"/>
    <w:rsid w:val="00451B50"/>
    <w:rsid w:val="00452994"/>
    <w:rsid w:val="0045643F"/>
    <w:rsid w:val="004604FC"/>
    <w:rsid w:val="00462000"/>
    <w:rsid w:val="004647FF"/>
    <w:rsid w:val="00464904"/>
    <w:rsid w:val="00466FA0"/>
    <w:rsid w:val="00470A79"/>
    <w:rsid w:val="00473385"/>
    <w:rsid w:val="00473C38"/>
    <w:rsid w:val="00475C12"/>
    <w:rsid w:val="0047718D"/>
    <w:rsid w:val="00480A0C"/>
    <w:rsid w:val="0048159E"/>
    <w:rsid w:val="00482943"/>
    <w:rsid w:val="004837C3"/>
    <w:rsid w:val="00490BD3"/>
    <w:rsid w:val="004920D1"/>
    <w:rsid w:val="004951A7"/>
    <w:rsid w:val="0049561C"/>
    <w:rsid w:val="0049662D"/>
    <w:rsid w:val="004A0C8C"/>
    <w:rsid w:val="004A0E1D"/>
    <w:rsid w:val="004A0F10"/>
    <w:rsid w:val="004A4143"/>
    <w:rsid w:val="004A67B7"/>
    <w:rsid w:val="004B2CC0"/>
    <w:rsid w:val="004B3A8D"/>
    <w:rsid w:val="004B4391"/>
    <w:rsid w:val="004B66C4"/>
    <w:rsid w:val="004B7C64"/>
    <w:rsid w:val="004B7D4D"/>
    <w:rsid w:val="004C0A9B"/>
    <w:rsid w:val="004C1244"/>
    <w:rsid w:val="004C1617"/>
    <w:rsid w:val="004C1672"/>
    <w:rsid w:val="004C1B81"/>
    <w:rsid w:val="004C7A28"/>
    <w:rsid w:val="004D075A"/>
    <w:rsid w:val="004D09F3"/>
    <w:rsid w:val="004D24A3"/>
    <w:rsid w:val="004D27CF"/>
    <w:rsid w:val="004D429E"/>
    <w:rsid w:val="004D494F"/>
    <w:rsid w:val="004D5187"/>
    <w:rsid w:val="004D52E8"/>
    <w:rsid w:val="004D68E1"/>
    <w:rsid w:val="004D6F7F"/>
    <w:rsid w:val="004E18E0"/>
    <w:rsid w:val="004E19FF"/>
    <w:rsid w:val="004E511E"/>
    <w:rsid w:val="004E623E"/>
    <w:rsid w:val="004E79F3"/>
    <w:rsid w:val="004F178F"/>
    <w:rsid w:val="004F2447"/>
    <w:rsid w:val="004F30AB"/>
    <w:rsid w:val="004F6630"/>
    <w:rsid w:val="005018ED"/>
    <w:rsid w:val="00504160"/>
    <w:rsid w:val="00506964"/>
    <w:rsid w:val="005079F9"/>
    <w:rsid w:val="0051007A"/>
    <w:rsid w:val="0051069F"/>
    <w:rsid w:val="00511FC2"/>
    <w:rsid w:val="005129D5"/>
    <w:rsid w:val="0051338D"/>
    <w:rsid w:val="0051346D"/>
    <w:rsid w:val="00514CEE"/>
    <w:rsid w:val="0052121A"/>
    <w:rsid w:val="005220C3"/>
    <w:rsid w:val="005235B7"/>
    <w:rsid w:val="005275D3"/>
    <w:rsid w:val="005305C8"/>
    <w:rsid w:val="00531CEA"/>
    <w:rsid w:val="00532C72"/>
    <w:rsid w:val="00533210"/>
    <w:rsid w:val="00533E15"/>
    <w:rsid w:val="00536201"/>
    <w:rsid w:val="005366AC"/>
    <w:rsid w:val="0053762B"/>
    <w:rsid w:val="005402F4"/>
    <w:rsid w:val="0054045A"/>
    <w:rsid w:val="00540860"/>
    <w:rsid w:val="00540F2A"/>
    <w:rsid w:val="00542E49"/>
    <w:rsid w:val="00543CD7"/>
    <w:rsid w:val="005500AD"/>
    <w:rsid w:val="00550ACE"/>
    <w:rsid w:val="00551BCC"/>
    <w:rsid w:val="00551C20"/>
    <w:rsid w:val="005546EE"/>
    <w:rsid w:val="005564C2"/>
    <w:rsid w:val="005571CE"/>
    <w:rsid w:val="00557401"/>
    <w:rsid w:val="005579CE"/>
    <w:rsid w:val="005608FC"/>
    <w:rsid w:val="00561CEE"/>
    <w:rsid w:val="00563F08"/>
    <w:rsid w:val="005662C3"/>
    <w:rsid w:val="00567CF7"/>
    <w:rsid w:val="0057172F"/>
    <w:rsid w:val="00571B0A"/>
    <w:rsid w:val="00571C35"/>
    <w:rsid w:val="00572CA0"/>
    <w:rsid w:val="005753CC"/>
    <w:rsid w:val="005763AD"/>
    <w:rsid w:val="005803DA"/>
    <w:rsid w:val="005809AF"/>
    <w:rsid w:val="005809F2"/>
    <w:rsid w:val="00580EB0"/>
    <w:rsid w:val="00581A53"/>
    <w:rsid w:val="00582FEE"/>
    <w:rsid w:val="00584D37"/>
    <w:rsid w:val="00585425"/>
    <w:rsid w:val="0058571D"/>
    <w:rsid w:val="00587EDF"/>
    <w:rsid w:val="00590FD9"/>
    <w:rsid w:val="00591C5B"/>
    <w:rsid w:val="00594D0B"/>
    <w:rsid w:val="0059583F"/>
    <w:rsid w:val="005958B1"/>
    <w:rsid w:val="005A26B5"/>
    <w:rsid w:val="005A36A5"/>
    <w:rsid w:val="005A3A04"/>
    <w:rsid w:val="005A59CA"/>
    <w:rsid w:val="005B2291"/>
    <w:rsid w:val="005B3AF6"/>
    <w:rsid w:val="005B5E10"/>
    <w:rsid w:val="005B6A6E"/>
    <w:rsid w:val="005B73A1"/>
    <w:rsid w:val="005B7451"/>
    <w:rsid w:val="005C1132"/>
    <w:rsid w:val="005C1D21"/>
    <w:rsid w:val="005C4135"/>
    <w:rsid w:val="005C4E1E"/>
    <w:rsid w:val="005C602F"/>
    <w:rsid w:val="005C66E9"/>
    <w:rsid w:val="005C6BF2"/>
    <w:rsid w:val="005D157B"/>
    <w:rsid w:val="005D192E"/>
    <w:rsid w:val="005D3E2E"/>
    <w:rsid w:val="005D5564"/>
    <w:rsid w:val="005D6172"/>
    <w:rsid w:val="005D7354"/>
    <w:rsid w:val="005D763F"/>
    <w:rsid w:val="005E05A3"/>
    <w:rsid w:val="005E1523"/>
    <w:rsid w:val="005E1819"/>
    <w:rsid w:val="005E1C97"/>
    <w:rsid w:val="005E25BA"/>
    <w:rsid w:val="005E2BBA"/>
    <w:rsid w:val="005E37AE"/>
    <w:rsid w:val="005F0039"/>
    <w:rsid w:val="005F0618"/>
    <w:rsid w:val="005F6212"/>
    <w:rsid w:val="005F6891"/>
    <w:rsid w:val="00600F76"/>
    <w:rsid w:val="00602150"/>
    <w:rsid w:val="00604959"/>
    <w:rsid w:val="00606749"/>
    <w:rsid w:val="00606760"/>
    <w:rsid w:val="006132A4"/>
    <w:rsid w:val="006137AF"/>
    <w:rsid w:val="00615AA2"/>
    <w:rsid w:val="00616C9C"/>
    <w:rsid w:val="006225D0"/>
    <w:rsid w:val="00622C12"/>
    <w:rsid w:val="00623840"/>
    <w:rsid w:val="00625B75"/>
    <w:rsid w:val="00626339"/>
    <w:rsid w:val="0062771D"/>
    <w:rsid w:val="00630D79"/>
    <w:rsid w:val="00630F28"/>
    <w:rsid w:val="006311C7"/>
    <w:rsid w:val="00631948"/>
    <w:rsid w:val="00632031"/>
    <w:rsid w:val="00632B8A"/>
    <w:rsid w:val="00632EE7"/>
    <w:rsid w:val="00636379"/>
    <w:rsid w:val="00637BE8"/>
    <w:rsid w:val="0064114D"/>
    <w:rsid w:val="006423EB"/>
    <w:rsid w:val="00642575"/>
    <w:rsid w:val="00642680"/>
    <w:rsid w:val="00642D75"/>
    <w:rsid w:val="00643E2F"/>
    <w:rsid w:val="00644860"/>
    <w:rsid w:val="00645666"/>
    <w:rsid w:val="006460F4"/>
    <w:rsid w:val="006466FF"/>
    <w:rsid w:val="00651908"/>
    <w:rsid w:val="00651A85"/>
    <w:rsid w:val="00651EAA"/>
    <w:rsid w:val="00652334"/>
    <w:rsid w:val="00653E0A"/>
    <w:rsid w:val="00654ABE"/>
    <w:rsid w:val="00655094"/>
    <w:rsid w:val="006550EB"/>
    <w:rsid w:val="00655D69"/>
    <w:rsid w:val="0066666F"/>
    <w:rsid w:val="00670950"/>
    <w:rsid w:val="00676FF5"/>
    <w:rsid w:val="006803A0"/>
    <w:rsid w:val="0068151E"/>
    <w:rsid w:val="006818A1"/>
    <w:rsid w:val="00683082"/>
    <w:rsid w:val="006838A8"/>
    <w:rsid w:val="00684155"/>
    <w:rsid w:val="00690A6B"/>
    <w:rsid w:val="006917E2"/>
    <w:rsid w:val="006927C5"/>
    <w:rsid w:val="00692F10"/>
    <w:rsid w:val="00693339"/>
    <w:rsid w:val="006939C9"/>
    <w:rsid w:val="00694421"/>
    <w:rsid w:val="006948B1"/>
    <w:rsid w:val="0069522D"/>
    <w:rsid w:val="006A4A36"/>
    <w:rsid w:val="006B01DF"/>
    <w:rsid w:val="006B0CFD"/>
    <w:rsid w:val="006B22B8"/>
    <w:rsid w:val="006B3D3F"/>
    <w:rsid w:val="006B43F5"/>
    <w:rsid w:val="006B492F"/>
    <w:rsid w:val="006B4C06"/>
    <w:rsid w:val="006B5441"/>
    <w:rsid w:val="006B7B80"/>
    <w:rsid w:val="006B7C37"/>
    <w:rsid w:val="006C0023"/>
    <w:rsid w:val="006C02FD"/>
    <w:rsid w:val="006C4A02"/>
    <w:rsid w:val="006C52B2"/>
    <w:rsid w:val="006C6997"/>
    <w:rsid w:val="006C78DC"/>
    <w:rsid w:val="006D0836"/>
    <w:rsid w:val="006D2FBC"/>
    <w:rsid w:val="006D386F"/>
    <w:rsid w:val="006E05BD"/>
    <w:rsid w:val="006E1126"/>
    <w:rsid w:val="006E2946"/>
    <w:rsid w:val="006E56CB"/>
    <w:rsid w:val="006E6176"/>
    <w:rsid w:val="006F18EE"/>
    <w:rsid w:val="006F4AC7"/>
    <w:rsid w:val="006F55C9"/>
    <w:rsid w:val="006F667E"/>
    <w:rsid w:val="007000BF"/>
    <w:rsid w:val="007006BE"/>
    <w:rsid w:val="0070133E"/>
    <w:rsid w:val="00705F11"/>
    <w:rsid w:val="00707C82"/>
    <w:rsid w:val="00710E76"/>
    <w:rsid w:val="00712BFC"/>
    <w:rsid w:val="0071381E"/>
    <w:rsid w:val="00713D82"/>
    <w:rsid w:val="00713DC1"/>
    <w:rsid w:val="0071781B"/>
    <w:rsid w:val="00717FD7"/>
    <w:rsid w:val="00721560"/>
    <w:rsid w:val="007304AB"/>
    <w:rsid w:val="007318AE"/>
    <w:rsid w:val="00731D82"/>
    <w:rsid w:val="007321F3"/>
    <w:rsid w:val="00732215"/>
    <w:rsid w:val="00733287"/>
    <w:rsid w:val="00733C18"/>
    <w:rsid w:val="007371A2"/>
    <w:rsid w:val="00741CE3"/>
    <w:rsid w:val="00743C52"/>
    <w:rsid w:val="0074467B"/>
    <w:rsid w:val="00746D85"/>
    <w:rsid w:val="007473E5"/>
    <w:rsid w:val="0075057D"/>
    <w:rsid w:val="007522BE"/>
    <w:rsid w:val="007579A4"/>
    <w:rsid w:val="007619A7"/>
    <w:rsid w:val="00761FFE"/>
    <w:rsid w:val="00770979"/>
    <w:rsid w:val="0077198F"/>
    <w:rsid w:val="0078025D"/>
    <w:rsid w:val="00780406"/>
    <w:rsid w:val="007827F4"/>
    <w:rsid w:val="00783EF6"/>
    <w:rsid w:val="00785A90"/>
    <w:rsid w:val="00790686"/>
    <w:rsid w:val="0079132E"/>
    <w:rsid w:val="007925AE"/>
    <w:rsid w:val="007940F1"/>
    <w:rsid w:val="00795F77"/>
    <w:rsid w:val="007960F6"/>
    <w:rsid w:val="00796FFB"/>
    <w:rsid w:val="007A0F9B"/>
    <w:rsid w:val="007A5B3C"/>
    <w:rsid w:val="007A5EB8"/>
    <w:rsid w:val="007A62DE"/>
    <w:rsid w:val="007A7540"/>
    <w:rsid w:val="007B039B"/>
    <w:rsid w:val="007B127A"/>
    <w:rsid w:val="007B1E06"/>
    <w:rsid w:val="007B2FAD"/>
    <w:rsid w:val="007B3156"/>
    <w:rsid w:val="007B393F"/>
    <w:rsid w:val="007B4B84"/>
    <w:rsid w:val="007B4DC6"/>
    <w:rsid w:val="007B7C4D"/>
    <w:rsid w:val="007C0AD2"/>
    <w:rsid w:val="007C0CB8"/>
    <w:rsid w:val="007C28A6"/>
    <w:rsid w:val="007C5A13"/>
    <w:rsid w:val="007D0C23"/>
    <w:rsid w:val="007D1745"/>
    <w:rsid w:val="007D27A8"/>
    <w:rsid w:val="007D51F5"/>
    <w:rsid w:val="007D573C"/>
    <w:rsid w:val="007E1D47"/>
    <w:rsid w:val="007E2012"/>
    <w:rsid w:val="007E332C"/>
    <w:rsid w:val="007E3C72"/>
    <w:rsid w:val="007E42CE"/>
    <w:rsid w:val="007E4312"/>
    <w:rsid w:val="007E6D13"/>
    <w:rsid w:val="007F035D"/>
    <w:rsid w:val="007F0699"/>
    <w:rsid w:val="007F25CA"/>
    <w:rsid w:val="007F62F7"/>
    <w:rsid w:val="007F78DE"/>
    <w:rsid w:val="008004A9"/>
    <w:rsid w:val="00804CAF"/>
    <w:rsid w:val="00804CF0"/>
    <w:rsid w:val="00804EFB"/>
    <w:rsid w:val="00805629"/>
    <w:rsid w:val="0080750D"/>
    <w:rsid w:val="00810113"/>
    <w:rsid w:val="00810247"/>
    <w:rsid w:val="008115FD"/>
    <w:rsid w:val="008129B9"/>
    <w:rsid w:val="00815743"/>
    <w:rsid w:val="00816260"/>
    <w:rsid w:val="00816A3A"/>
    <w:rsid w:val="00820E75"/>
    <w:rsid w:val="008212BE"/>
    <w:rsid w:val="0082161C"/>
    <w:rsid w:val="00821663"/>
    <w:rsid w:val="00821F6E"/>
    <w:rsid w:val="00822190"/>
    <w:rsid w:val="008234E5"/>
    <w:rsid w:val="00823620"/>
    <w:rsid w:val="00824737"/>
    <w:rsid w:val="00824DA5"/>
    <w:rsid w:val="00826C1C"/>
    <w:rsid w:val="00827EC2"/>
    <w:rsid w:val="008304E6"/>
    <w:rsid w:val="00830826"/>
    <w:rsid w:val="00834DB4"/>
    <w:rsid w:val="00834F0C"/>
    <w:rsid w:val="00836F47"/>
    <w:rsid w:val="008372CF"/>
    <w:rsid w:val="00841C59"/>
    <w:rsid w:val="008432F9"/>
    <w:rsid w:val="00843D00"/>
    <w:rsid w:val="00844F5A"/>
    <w:rsid w:val="008452ED"/>
    <w:rsid w:val="0084565A"/>
    <w:rsid w:val="00845CB5"/>
    <w:rsid w:val="00846646"/>
    <w:rsid w:val="008467E8"/>
    <w:rsid w:val="00846A55"/>
    <w:rsid w:val="00847420"/>
    <w:rsid w:val="008511D7"/>
    <w:rsid w:val="00853681"/>
    <w:rsid w:val="008559DE"/>
    <w:rsid w:val="008578A1"/>
    <w:rsid w:val="008603B9"/>
    <w:rsid w:val="00861D4A"/>
    <w:rsid w:val="00863005"/>
    <w:rsid w:val="00864337"/>
    <w:rsid w:val="00864398"/>
    <w:rsid w:val="00865A0B"/>
    <w:rsid w:val="00866080"/>
    <w:rsid w:val="0086688C"/>
    <w:rsid w:val="00870FA1"/>
    <w:rsid w:val="00871563"/>
    <w:rsid w:val="00872294"/>
    <w:rsid w:val="00872A3A"/>
    <w:rsid w:val="00872E99"/>
    <w:rsid w:val="00874776"/>
    <w:rsid w:val="00875DF9"/>
    <w:rsid w:val="00875F5A"/>
    <w:rsid w:val="00876FE1"/>
    <w:rsid w:val="00877722"/>
    <w:rsid w:val="00882021"/>
    <w:rsid w:val="00883A63"/>
    <w:rsid w:val="008846A1"/>
    <w:rsid w:val="00884AEA"/>
    <w:rsid w:val="00884EC8"/>
    <w:rsid w:val="00885E4A"/>
    <w:rsid w:val="00885E7A"/>
    <w:rsid w:val="008869CE"/>
    <w:rsid w:val="00891472"/>
    <w:rsid w:val="00892372"/>
    <w:rsid w:val="00892C88"/>
    <w:rsid w:val="00894000"/>
    <w:rsid w:val="008943B8"/>
    <w:rsid w:val="00894F12"/>
    <w:rsid w:val="00896281"/>
    <w:rsid w:val="008968CC"/>
    <w:rsid w:val="00896E88"/>
    <w:rsid w:val="008A1081"/>
    <w:rsid w:val="008A143D"/>
    <w:rsid w:val="008A18A5"/>
    <w:rsid w:val="008A18C2"/>
    <w:rsid w:val="008A3C08"/>
    <w:rsid w:val="008A46AB"/>
    <w:rsid w:val="008A5DB6"/>
    <w:rsid w:val="008A6B7E"/>
    <w:rsid w:val="008A78D6"/>
    <w:rsid w:val="008A7DE8"/>
    <w:rsid w:val="008B10FF"/>
    <w:rsid w:val="008B7D83"/>
    <w:rsid w:val="008C323F"/>
    <w:rsid w:val="008C4D71"/>
    <w:rsid w:val="008C506D"/>
    <w:rsid w:val="008C513F"/>
    <w:rsid w:val="008C5413"/>
    <w:rsid w:val="008D0AAA"/>
    <w:rsid w:val="008D1363"/>
    <w:rsid w:val="008D2115"/>
    <w:rsid w:val="008D364A"/>
    <w:rsid w:val="008D37AD"/>
    <w:rsid w:val="008D3F1F"/>
    <w:rsid w:val="008D5D76"/>
    <w:rsid w:val="008D6350"/>
    <w:rsid w:val="008E44EB"/>
    <w:rsid w:val="008E4721"/>
    <w:rsid w:val="008E4E94"/>
    <w:rsid w:val="008E5EA9"/>
    <w:rsid w:val="008E7030"/>
    <w:rsid w:val="008E71CF"/>
    <w:rsid w:val="008F10B3"/>
    <w:rsid w:val="008F2113"/>
    <w:rsid w:val="008F224C"/>
    <w:rsid w:val="008F51FC"/>
    <w:rsid w:val="008F671E"/>
    <w:rsid w:val="009132E7"/>
    <w:rsid w:val="009143B3"/>
    <w:rsid w:val="00914C86"/>
    <w:rsid w:val="00916B6F"/>
    <w:rsid w:val="00922FE5"/>
    <w:rsid w:val="0092450B"/>
    <w:rsid w:val="00924603"/>
    <w:rsid w:val="00925B78"/>
    <w:rsid w:val="00925C7D"/>
    <w:rsid w:val="009265D3"/>
    <w:rsid w:val="00927028"/>
    <w:rsid w:val="00930FC1"/>
    <w:rsid w:val="009330AC"/>
    <w:rsid w:val="00933D48"/>
    <w:rsid w:val="00934030"/>
    <w:rsid w:val="00935886"/>
    <w:rsid w:val="00941897"/>
    <w:rsid w:val="00942258"/>
    <w:rsid w:val="00944497"/>
    <w:rsid w:val="00944F23"/>
    <w:rsid w:val="00944FE9"/>
    <w:rsid w:val="009456B0"/>
    <w:rsid w:val="00946179"/>
    <w:rsid w:val="009464B1"/>
    <w:rsid w:val="00946C8D"/>
    <w:rsid w:val="00947838"/>
    <w:rsid w:val="00950E3D"/>
    <w:rsid w:val="00952CA4"/>
    <w:rsid w:val="00953475"/>
    <w:rsid w:val="009540C4"/>
    <w:rsid w:val="009543AE"/>
    <w:rsid w:val="00954C6A"/>
    <w:rsid w:val="009553CE"/>
    <w:rsid w:val="00957263"/>
    <w:rsid w:val="009605D4"/>
    <w:rsid w:val="009615B8"/>
    <w:rsid w:val="00970405"/>
    <w:rsid w:val="0097596F"/>
    <w:rsid w:val="00975F26"/>
    <w:rsid w:val="00981FE6"/>
    <w:rsid w:val="00982833"/>
    <w:rsid w:val="00982F59"/>
    <w:rsid w:val="009904D5"/>
    <w:rsid w:val="00990D3E"/>
    <w:rsid w:val="009934D1"/>
    <w:rsid w:val="00993E64"/>
    <w:rsid w:val="00993F34"/>
    <w:rsid w:val="009943A7"/>
    <w:rsid w:val="00995023"/>
    <w:rsid w:val="00997594"/>
    <w:rsid w:val="009A717A"/>
    <w:rsid w:val="009B1986"/>
    <w:rsid w:val="009B331A"/>
    <w:rsid w:val="009C0405"/>
    <w:rsid w:val="009C1857"/>
    <w:rsid w:val="009C2C56"/>
    <w:rsid w:val="009C303D"/>
    <w:rsid w:val="009C36B4"/>
    <w:rsid w:val="009C5032"/>
    <w:rsid w:val="009C51C5"/>
    <w:rsid w:val="009C540D"/>
    <w:rsid w:val="009C62C0"/>
    <w:rsid w:val="009C6675"/>
    <w:rsid w:val="009D0183"/>
    <w:rsid w:val="009D11ED"/>
    <w:rsid w:val="009D1A94"/>
    <w:rsid w:val="009D3379"/>
    <w:rsid w:val="009D366E"/>
    <w:rsid w:val="009D55BD"/>
    <w:rsid w:val="009D60B2"/>
    <w:rsid w:val="009D69EA"/>
    <w:rsid w:val="009D69EB"/>
    <w:rsid w:val="009D6A70"/>
    <w:rsid w:val="009E34EF"/>
    <w:rsid w:val="009E3CA4"/>
    <w:rsid w:val="009E50DB"/>
    <w:rsid w:val="009E5CC8"/>
    <w:rsid w:val="009E7D29"/>
    <w:rsid w:val="009F06CB"/>
    <w:rsid w:val="009F239A"/>
    <w:rsid w:val="009F3055"/>
    <w:rsid w:val="009F3112"/>
    <w:rsid w:val="009F3712"/>
    <w:rsid w:val="009F5756"/>
    <w:rsid w:val="009F6049"/>
    <w:rsid w:val="009F6F86"/>
    <w:rsid w:val="009F75D9"/>
    <w:rsid w:val="00A002EA"/>
    <w:rsid w:val="00A01532"/>
    <w:rsid w:val="00A04C79"/>
    <w:rsid w:val="00A10888"/>
    <w:rsid w:val="00A110B1"/>
    <w:rsid w:val="00A1117C"/>
    <w:rsid w:val="00A11F8B"/>
    <w:rsid w:val="00A120EC"/>
    <w:rsid w:val="00A12270"/>
    <w:rsid w:val="00A16468"/>
    <w:rsid w:val="00A17761"/>
    <w:rsid w:val="00A2211D"/>
    <w:rsid w:val="00A2280A"/>
    <w:rsid w:val="00A22FA8"/>
    <w:rsid w:val="00A25043"/>
    <w:rsid w:val="00A27758"/>
    <w:rsid w:val="00A311FB"/>
    <w:rsid w:val="00A32B5F"/>
    <w:rsid w:val="00A33752"/>
    <w:rsid w:val="00A3555F"/>
    <w:rsid w:val="00A403A5"/>
    <w:rsid w:val="00A413E7"/>
    <w:rsid w:val="00A447EE"/>
    <w:rsid w:val="00A44F65"/>
    <w:rsid w:val="00A45873"/>
    <w:rsid w:val="00A46550"/>
    <w:rsid w:val="00A4660B"/>
    <w:rsid w:val="00A46807"/>
    <w:rsid w:val="00A46E65"/>
    <w:rsid w:val="00A503FE"/>
    <w:rsid w:val="00A51B99"/>
    <w:rsid w:val="00A52941"/>
    <w:rsid w:val="00A5523C"/>
    <w:rsid w:val="00A572AC"/>
    <w:rsid w:val="00A57D87"/>
    <w:rsid w:val="00A6089B"/>
    <w:rsid w:val="00A61704"/>
    <w:rsid w:val="00A6220F"/>
    <w:rsid w:val="00A6621B"/>
    <w:rsid w:val="00A70258"/>
    <w:rsid w:val="00A72D0E"/>
    <w:rsid w:val="00A80E71"/>
    <w:rsid w:val="00A81582"/>
    <w:rsid w:val="00A82194"/>
    <w:rsid w:val="00A825BB"/>
    <w:rsid w:val="00A86A9E"/>
    <w:rsid w:val="00A87B00"/>
    <w:rsid w:val="00A91669"/>
    <w:rsid w:val="00A9232A"/>
    <w:rsid w:val="00A95018"/>
    <w:rsid w:val="00A95A9C"/>
    <w:rsid w:val="00A97454"/>
    <w:rsid w:val="00AA1497"/>
    <w:rsid w:val="00AA29BE"/>
    <w:rsid w:val="00AA3331"/>
    <w:rsid w:val="00AA4522"/>
    <w:rsid w:val="00AA5716"/>
    <w:rsid w:val="00AA5E6F"/>
    <w:rsid w:val="00AB0D09"/>
    <w:rsid w:val="00AB271A"/>
    <w:rsid w:val="00AB4CB8"/>
    <w:rsid w:val="00AC0F79"/>
    <w:rsid w:val="00AC2C32"/>
    <w:rsid w:val="00AC3A8B"/>
    <w:rsid w:val="00AC4B99"/>
    <w:rsid w:val="00AC4E31"/>
    <w:rsid w:val="00AD1133"/>
    <w:rsid w:val="00AD1624"/>
    <w:rsid w:val="00AD2872"/>
    <w:rsid w:val="00AD36E0"/>
    <w:rsid w:val="00AE0818"/>
    <w:rsid w:val="00AE0EE2"/>
    <w:rsid w:val="00AE551E"/>
    <w:rsid w:val="00AE6160"/>
    <w:rsid w:val="00AF0BA3"/>
    <w:rsid w:val="00AF1E8A"/>
    <w:rsid w:val="00AF28F7"/>
    <w:rsid w:val="00AF3174"/>
    <w:rsid w:val="00AF337F"/>
    <w:rsid w:val="00AF421D"/>
    <w:rsid w:val="00AF5852"/>
    <w:rsid w:val="00AF6DB0"/>
    <w:rsid w:val="00AF754C"/>
    <w:rsid w:val="00AF7D78"/>
    <w:rsid w:val="00B023CB"/>
    <w:rsid w:val="00B0271F"/>
    <w:rsid w:val="00B033E2"/>
    <w:rsid w:val="00B065AF"/>
    <w:rsid w:val="00B0765E"/>
    <w:rsid w:val="00B07ABA"/>
    <w:rsid w:val="00B10186"/>
    <w:rsid w:val="00B1278E"/>
    <w:rsid w:val="00B12C9C"/>
    <w:rsid w:val="00B133B9"/>
    <w:rsid w:val="00B13940"/>
    <w:rsid w:val="00B1496D"/>
    <w:rsid w:val="00B15DA9"/>
    <w:rsid w:val="00B20E88"/>
    <w:rsid w:val="00B232B7"/>
    <w:rsid w:val="00B25443"/>
    <w:rsid w:val="00B26765"/>
    <w:rsid w:val="00B27214"/>
    <w:rsid w:val="00B30037"/>
    <w:rsid w:val="00B31252"/>
    <w:rsid w:val="00B3159D"/>
    <w:rsid w:val="00B31976"/>
    <w:rsid w:val="00B3241B"/>
    <w:rsid w:val="00B337EB"/>
    <w:rsid w:val="00B34CEE"/>
    <w:rsid w:val="00B35902"/>
    <w:rsid w:val="00B3667F"/>
    <w:rsid w:val="00B36A14"/>
    <w:rsid w:val="00B420BE"/>
    <w:rsid w:val="00B42427"/>
    <w:rsid w:val="00B446C4"/>
    <w:rsid w:val="00B449A6"/>
    <w:rsid w:val="00B44A7D"/>
    <w:rsid w:val="00B44F24"/>
    <w:rsid w:val="00B468E6"/>
    <w:rsid w:val="00B5113B"/>
    <w:rsid w:val="00B5269A"/>
    <w:rsid w:val="00B53A01"/>
    <w:rsid w:val="00B53F8C"/>
    <w:rsid w:val="00B558DB"/>
    <w:rsid w:val="00B568CC"/>
    <w:rsid w:val="00B601F6"/>
    <w:rsid w:val="00B606CA"/>
    <w:rsid w:val="00B60966"/>
    <w:rsid w:val="00B62365"/>
    <w:rsid w:val="00B6299E"/>
    <w:rsid w:val="00B6361C"/>
    <w:rsid w:val="00B63D66"/>
    <w:rsid w:val="00B661C8"/>
    <w:rsid w:val="00B661D1"/>
    <w:rsid w:val="00B665FE"/>
    <w:rsid w:val="00B67126"/>
    <w:rsid w:val="00B6758D"/>
    <w:rsid w:val="00B701A7"/>
    <w:rsid w:val="00B70353"/>
    <w:rsid w:val="00B71E4C"/>
    <w:rsid w:val="00B7663B"/>
    <w:rsid w:val="00B7671F"/>
    <w:rsid w:val="00B7795E"/>
    <w:rsid w:val="00B77A25"/>
    <w:rsid w:val="00B81598"/>
    <w:rsid w:val="00B82522"/>
    <w:rsid w:val="00B84325"/>
    <w:rsid w:val="00B86748"/>
    <w:rsid w:val="00B87058"/>
    <w:rsid w:val="00B87D0C"/>
    <w:rsid w:val="00B907E9"/>
    <w:rsid w:val="00B9128C"/>
    <w:rsid w:val="00B91ECF"/>
    <w:rsid w:val="00B92B23"/>
    <w:rsid w:val="00B9423F"/>
    <w:rsid w:val="00B944C7"/>
    <w:rsid w:val="00B95389"/>
    <w:rsid w:val="00B95B6F"/>
    <w:rsid w:val="00B9626D"/>
    <w:rsid w:val="00B962C4"/>
    <w:rsid w:val="00B97155"/>
    <w:rsid w:val="00BA0101"/>
    <w:rsid w:val="00BA06D0"/>
    <w:rsid w:val="00BA0711"/>
    <w:rsid w:val="00BA209E"/>
    <w:rsid w:val="00BA3D94"/>
    <w:rsid w:val="00BA5EB8"/>
    <w:rsid w:val="00BA62AF"/>
    <w:rsid w:val="00BA6BA7"/>
    <w:rsid w:val="00BB1621"/>
    <w:rsid w:val="00BB17DA"/>
    <w:rsid w:val="00BB37B0"/>
    <w:rsid w:val="00BB3F34"/>
    <w:rsid w:val="00BB554F"/>
    <w:rsid w:val="00BB78F7"/>
    <w:rsid w:val="00BC0651"/>
    <w:rsid w:val="00BC100D"/>
    <w:rsid w:val="00BC1F80"/>
    <w:rsid w:val="00BC4988"/>
    <w:rsid w:val="00BC607E"/>
    <w:rsid w:val="00BD4F6C"/>
    <w:rsid w:val="00BD6DA8"/>
    <w:rsid w:val="00BD6F5F"/>
    <w:rsid w:val="00BD7564"/>
    <w:rsid w:val="00BE05B3"/>
    <w:rsid w:val="00BE24CB"/>
    <w:rsid w:val="00BE28BD"/>
    <w:rsid w:val="00BE4D91"/>
    <w:rsid w:val="00BE5C32"/>
    <w:rsid w:val="00BF02D3"/>
    <w:rsid w:val="00BF1F07"/>
    <w:rsid w:val="00BF2048"/>
    <w:rsid w:val="00BF38DC"/>
    <w:rsid w:val="00BF5712"/>
    <w:rsid w:val="00BF583A"/>
    <w:rsid w:val="00BF67F2"/>
    <w:rsid w:val="00BF7A82"/>
    <w:rsid w:val="00C031B1"/>
    <w:rsid w:val="00C05955"/>
    <w:rsid w:val="00C05B01"/>
    <w:rsid w:val="00C06007"/>
    <w:rsid w:val="00C06998"/>
    <w:rsid w:val="00C06CCC"/>
    <w:rsid w:val="00C10D92"/>
    <w:rsid w:val="00C13447"/>
    <w:rsid w:val="00C138F6"/>
    <w:rsid w:val="00C13B96"/>
    <w:rsid w:val="00C14C8F"/>
    <w:rsid w:val="00C14DC4"/>
    <w:rsid w:val="00C15FDD"/>
    <w:rsid w:val="00C16297"/>
    <w:rsid w:val="00C24F1F"/>
    <w:rsid w:val="00C25A96"/>
    <w:rsid w:val="00C25E54"/>
    <w:rsid w:val="00C312CD"/>
    <w:rsid w:val="00C3627D"/>
    <w:rsid w:val="00C407A0"/>
    <w:rsid w:val="00C40D39"/>
    <w:rsid w:val="00C43276"/>
    <w:rsid w:val="00C439A7"/>
    <w:rsid w:val="00C450D9"/>
    <w:rsid w:val="00C47464"/>
    <w:rsid w:val="00C47FA0"/>
    <w:rsid w:val="00C515ED"/>
    <w:rsid w:val="00C518DF"/>
    <w:rsid w:val="00C54FAC"/>
    <w:rsid w:val="00C55D71"/>
    <w:rsid w:val="00C56FC6"/>
    <w:rsid w:val="00C60F48"/>
    <w:rsid w:val="00C6202E"/>
    <w:rsid w:val="00C642B1"/>
    <w:rsid w:val="00C64DAC"/>
    <w:rsid w:val="00C6560C"/>
    <w:rsid w:val="00C6614E"/>
    <w:rsid w:val="00C701BD"/>
    <w:rsid w:val="00C71F7C"/>
    <w:rsid w:val="00C7442E"/>
    <w:rsid w:val="00C75BB7"/>
    <w:rsid w:val="00C76216"/>
    <w:rsid w:val="00C81A39"/>
    <w:rsid w:val="00C86005"/>
    <w:rsid w:val="00C8665B"/>
    <w:rsid w:val="00C915B1"/>
    <w:rsid w:val="00C94439"/>
    <w:rsid w:val="00C94D27"/>
    <w:rsid w:val="00CA13A1"/>
    <w:rsid w:val="00CA2660"/>
    <w:rsid w:val="00CA2F34"/>
    <w:rsid w:val="00CA2F95"/>
    <w:rsid w:val="00CA3203"/>
    <w:rsid w:val="00CA399D"/>
    <w:rsid w:val="00CA3C94"/>
    <w:rsid w:val="00CA524F"/>
    <w:rsid w:val="00CA5B84"/>
    <w:rsid w:val="00CA5D06"/>
    <w:rsid w:val="00CB22CF"/>
    <w:rsid w:val="00CB3171"/>
    <w:rsid w:val="00CB37F6"/>
    <w:rsid w:val="00CB4149"/>
    <w:rsid w:val="00CC35AA"/>
    <w:rsid w:val="00CC51C4"/>
    <w:rsid w:val="00CC65B1"/>
    <w:rsid w:val="00CC6A52"/>
    <w:rsid w:val="00CC7191"/>
    <w:rsid w:val="00CD3C5C"/>
    <w:rsid w:val="00CD534F"/>
    <w:rsid w:val="00CD7B97"/>
    <w:rsid w:val="00CE3794"/>
    <w:rsid w:val="00CF0100"/>
    <w:rsid w:val="00CF08A5"/>
    <w:rsid w:val="00CF1D59"/>
    <w:rsid w:val="00CF25DB"/>
    <w:rsid w:val="00CF3379"/>
    <w:rsid w:val="00CF48E7"/>
    <w:rsid w:val="00CF6F5C"/>
    <w:rsid w:val="00D008DE"/>
    <w:rsid w:val="00D018F6"/>
    <w:rsid w:val="00D0323C"/>
    <w:rsid w:val="00D03A32"/>
    <w:rsid w:val="00D05B9C"/>
    <w:rsid w:val="00D06B21"/>
    <w:rsid w:val="00D0726A"/>
    <w:rsid w:val="00D0798A"/>
    <w:rsid w:val="00D10F21"/>
    <w:rsid w:val="00D111B1"/>
    <w:rsid w:val="00D11F81"/>
    <w:rsid w:val="00D12BD0"/>
    <w:rsid w:val="00D1314C"/>
    <w:rsid w:val="00D14719"/>
    <w:rsid w:val="00D15289"/>
    <w:rsid w:val="00D17AD7"/>
    <w:rsid w:val="00D21B14"/>
    <w:rsid w:val="00D2387E"/>
    <w:rsid w:val="00D26894"/>
    <w:rsid w:val="00D27D72"/>
    <w:rsid w:val="00D32039"/>
    <w:rsid w:val="00D33137"/>
    <w:rsid w:val="00D3557D"/>
    <w:rsid w:val="00D40E01"/>
    <w:rsid w:val="00D4105A"/>
    <w:rsid w:val="00D43296"/>
    <w:rsid w:val="00D4426C"/>
    <w:rsid w:val="00D461F5"/>
    <w:rsid w:val="00D510A1"/>
    <w:rsid w:val="00D51C5A"/>
    <w:rsid w:val="00D53115"/>
    <w:rsid w:val="00D53BE6"/>
    <w:rsid w:val="00D56555"/>
    <w:rsid w:val="00D61804"/>
    <w:rsid w:val="00D61A51"/>
    <w:rsid w:val="00D62692"/>
    <w:rsid w:val="00D63006"/>
    <w:rsid w:val="00D64C6C"/>
    <w:rsid w:val="00D70B89"/>
    <w:rsid w:val="00D71951"/>
    <w:rsid w:val="00D71B99"/>
    <w:rsid w:val="00D721AE"/>
    <w:rsid w:val="00D765B7"/>
    <w:rsid w:val="00D7723D"/>
    <w:rsid w:val="00D8054D"/>
    <w:rsid w:val="00D81C3C"/>
    <w:rsid w:val="00D82224"/>
    <w:rsid w:val="00D822B6"/>
    <w:rsid w:val="00D825AE"/>
    <w:rsid w:val="00D86618"/>
    <w:rsid w:val="00D87FA1"/>
    <w:rsid w:val="00D91112"/>
    <w:rsid w:val="00D919A8"/>
    <w:rsid w:val="00D91D53"/>
    <w:rsid w:val="00D92595"/>
    <w:rsid w:val="00D93B32"/>
    <w:rsid w:val="00D966E5"/>
    <w:rsid w:val="00D96A81"/>
    <w:rsid w:val="00D97D49"/>
    <w:rsid w:val="00DA2392"/>
    <w:rsid w:val="00DA3DEC"/>
    <w:rsid w:val="00DA4231"/>
    <w:rsid w:val="00DA5458"/>
    <w:rsid w:val="00DA6312"/>
    <w:rsid w:val="00DB1803"/>
    <w:rsid w:val="00DB41DB"/>
    <w:rsid w:val="00DB4BF7"/>
    <w:rsid w:val="00DC559F"/>
    <w:rsid w:val="00DC772F"/>
    <w:rsid w:val="00DD195E"/>
    <w:rsid w:val="00DD326F"/>
    <w:rsid w:val="00DD37BE"/>
    <w:rsid w:val="00DD73A8"/>
    <w:rsid w:val="00DE0971"/>
    <w:rsid w:val="00DE4015"/>
    <w:rsid w:val="00DE4D1A"/>
    <w:rsid w:val="00DE7C7F"/>
    <w:rsid w:val="00DF0E4F"/>
    <w:rsid w:val="00DF3561"/>
    <w:rsid w:val="00DF69E8"/>
    <w:rsid w:val="00DF6D08"/>
    <w:rsid w:val="00DF77C8"/>
    <w:rsid w:val="00DF7DB6"/>
    <w:rsid w:val="00E05AFE"/>
    <w:rsid w:val="00E0724C"/>
    <w:rsid w:val="00E14084"/>
    <w:rsid w:val="00E162C9"/>
    <w:rsid w:val="00E17250"/>
    <w:rsid w:val="00E21BE2"/>
    <w:rsid w:val="00E23DBC"/>
    <w:rsid w:val="00E257EE"/>
    <w:rsid w:val="00E25D33"/>
    <w:rsid w:val="00E30055"/>
    <w:rsid w:val="00E30135"/>
    <w:rsid w:val="00E31985"/>
    <w:rsid w:val="00E31C8F"/>
    <w:rsid w:val="00E32472"/>
    <w:rsid w:val="00E32CF5"/>
    <w:rsid w:val="00E341FE"/>
    <w:rsid w:val="00E36952"/>
    <w:rsid w:val="00E42857"/>
    <w:rsid w:val="00E42DF6"/>
    <w:rsid w:val="00E430CE"/>
    <w:rsid w:val="00E437CD"/>
    <w:rsid w:val="00E453C7"/>
    <w:rsid w:val="00E47EE0"/>
    <w:rsid w:val="00E509E9"/>
    <w:rsid w:val="00E51585"/>
    <w:rsid w:val="00E53659"/>
    <w:rsid w:val="00E537DD"/>
    <w:rsid w:val="00E53A91"/>
    <w:rsid w:val="00E5713E"/>
    <w:rsid w:val="00E60A99"/>
    <w:rsid w:val="00E60DFC"/>
    <w:rsid w:val="00E6242C"/>
    <w:rsid w:val="00E633AF"/>
    <w:rsid w:val="00E6360D"/>
    <w:rsid w:val="00E63884"/>
    <w:rsid w:val="00E64929"/>
    <w:rsid w:val="00E660EB"/>
    <w:rsid w:val="00E6757B"/>
    <w:rsid w:val="00E7060D"/>
    <w:rsid w:val="00E712A7"/>
    <w:rsid w:val="00E73DDA"/>
    <w:rsid w:val="00E73FDF"/>
    <w:rsid w:val="00E8194D"/>
    <w:rsid w:val="00E81FAD"/>
    <w:rsid w:val="00E825E3"/>
    <w:rsid w:val="00E827E5"/>
    <w:rsid w:val="00E8666F"/>
    <w:rsid w:val="00E90008"/>
    <w:rsid w:val="00E9429C"/>
    <w:rsid w:val="00E9610F"/>
    <w:rsid w:val="00E9667D"/>
    <w:rsid w:val="00EA0738"/>
    <w:rsid w:val="00EA184C"/>
    <w:rsid w:val="00EA225A"/>
    <w:rsid w:val="00EA3B79"/>
    <w:rsid w:val="00EA4DDF"/>
    <w:rsid w:val="00EA5FCE"/>
    <w:rsid w:val="00EA6C2B"/>
    <w:rsid w:val="00EB182D"/>
    <w:rsid w:val="00EB6C4B"/>
    <w:rsid w:val="00EC11DB"/>
    <w:rsid w:val="00EC16E9"/>
    <w:rsid w:val="00EC1906"/>
    <w:rsid w:val="00EC4C50"/>
    <w:rsid w:val="00EC7AC0"/>
    <w:rsid w:val="00EC7CE1"/>
    <w:rsid w:val="00ED0568"/>
    <w:rsid w:val="00ED1272"/>
    <w:rsid w:val="00ED2038"/>
    <w:rsid w:val="00ED4119"/>
    <w:rsid w:val="00ED4AB3"/>
    <w:rsid w:val="00ED61C2"/>
    <w:rsid w:val="00ED676A"/>
    <w:rsid w:val="00EE068F"/>
    <w:rsid w:val="00EE1AEE"/>
    <w:rsid w:val="00EE4ADD"/>
    <w:rsid w:val="00EE6D31"/>
    <w:rsid w:val="00EF37EF"/>
    <w:rsid w:val="00EF4140"/>
    <w:rsid w:val="00EF69B0"/>
    <w:rsid w:val="00EF7FB3"/>
    <w:rsid w:val="00F0119D"/>
    <w:rsid w:val="00F0216D"/>
    <w:rsid w:val="00F023FC"/>
    <w:rsid w:val="00F0352A"/>
    <w:rsid w:val="00F03FCB"/>
    <w:rsid w:val="00F04749"/>
    <w:rsid w:val="00F049C9"/>
    <w:rsid w:val="00F05471"/>
    <w:rsid w:val="00F057BA"/>
    <w:rsid w:val="00F05882"/>
    <w:rsid w:val="00F0619C"/>
    <w:rsid w:val="00F07E08"/>
    <w:rsid w:val="00F11C21"/>
    <w:rsid w:val="00F15A80"/>
    <w:rsid w:val="00F15C4B"/>
    <w:rsid w:val="00F16A0C"/>
    <w:rsid w:val="00F20402"/>
    <w:rsid w:val="00F210C0"/>
    <w:rsid w:val="00F24D99"/>
    <w:rsid w:val="00F2719C"/>
    <w:rsid w:val="00F30128"/>
    <w:rsid w:val="00F3061B"/>
    <w:rsid w:val="00F337CD"/>
    <w:rsid w:val="00F37DC0"/>
    <w:rsid w:val="00F40215"/>
    <w:rsid w:val="00F4110F"/>
    <w:rsid w:val="00F4256A"/>
    <w:rsid w:val="00F42BB1"/>
    <w:rsid w:val="00F4357A"/>
    <w:rsid w:val="00F43FE9"/>
    <w:rsid w:val="00F442CC"/>
    <w:rsid w:val="00F45703"/>
    <w:rsid w:val="00F45752"/>
    <w:rsid w:val="00F4770A"/>
    <w:rsid w:val="00F478A1"/>
    <w:rsid w:val="00F52B74"/>
    <w:rsid w:val="00F53176"/>
    <w:rsid w:val="00F5378C"/>
    <w:rsid w:val="00F54277"/>
    <w:rsid w:val="00F54947"/>
    <w:rsid w:val="00F550C6"/>
    <w:rsid w:val="00F57500"/>
    <w:rsid w:val="00F57AA6"/>
    <w:rsid w:val="00F57B27"/>
    <w:rsid w:val="00F6134A"/>
    <w:rsid w:val="00F61A52"/>
    <w:rsid w:val="00F62423"/>
    <w:rsid w:val="00F62AEA"/>
    <w:rsid w:val="00F64291"/>
    <w:rsid w:val="00F643E4"/>
    <w:rsid w:val="00F643EA"/>
    <w:rsid w:val="00F675A3"/>
    <w:rsid w:val="00F67DE2"/>
    <w:rsid w:val="00F71368"/>
    <w:rsid w:val="00F7336D"/>
    <w:rsid w:val="00F749D6"/>
    <w:rsid w:val="00F756D9"/>
    <w:rsid w:val="00F7667B"/>
    <w:rsid w:val="00F76D7A"/>
    <w:rsid w:val="00F77027"/>
    <w:rsid w:val="00F80218"/>
    <w:rsid w:val="00F808EA"/>
    <w:rsid w:val="00F81040"/>
    <w:rsid w:val="00F87E34"/>
    <w:rsid w:val="00F92ACD"/>
    <w:rsid w:val="00F92D7E"/>
    <w:rsid w:val="00F94402"/>
    <w:rsid w:val="00F94433"/>
    <w:rsid w:val="00F97468"/>
    <w:rsid w:val="00FA09F1"/>
    <w:rsid w:val="00FA10A7"/>
    <w:rsid w:val="00FA1594"/>
    <w:rsid w:val="00FA1CED"/>
    <w:rsid w:val="00FA2F5E"/>
    <w:rsid w:val="00FA3753"/>
    <w:rsid w:val="00FA3849"/>
    <w:rsid w:val="00FA49FD"/>
    <w:rsid w:val="00FA7B26"/>
    <w:rsid w:val="00FB00F6"/>
    <w:rsid w:val="00FB11A6"/>
    <w:rsid w:val="00FB2A35"/>
    <w:rsid w:val="00FB32F6"/>
    <w:rsid w:val="00FB368B"/>
    <w:rsid w:val="00FB4E76"/>
    <w:rsid w:val="00FB553E"/>
    <w:rsid w:val="00FB5FA5"/>
    <w:rsid w:val="00FB7CA6"/>
    <w:rsid w:val="00FC23B2"/>
    <w:rsid w:val="00FC2747"/>
    <w:rsid w:val="00FC40ED"/>
    <w:rsid w:val="00FC5B80"/>
    <w:rsid w:val="00FC6219"/>
    <w:rsid w:val="00FD1195"/>
    <w:rsid w:val="00FD21D2"/>
    <w:rsid w:val="00FD3EE0"/>
    <w:rsid w:val="00FD4541"/>
    <w:rsid w:val="00FD4A2C"/>
    <w:rsid w:val="00FD61E5"/>
    <w:rsid w:val="00FD648B"/>
    <w:rsid w:val="00FE05B4"/>
    <w:rsid w:val="00FE13CA"/>
    <w:rsid w:val="00FE18FF"/>
    <w:rsid w:val="00FE1A20"/>
    <w:rsid w:val="00FE3181"/>
    <w:rsid w:val="00FE5141"/>
    <w:rsid w:val="00FE58E9"/>
    <w:rsid w:val="00FE5937"/>
    <w:rsid w:val="00FE7C9D"/>
    <w:rsid w:val="00FE7CE7"/>
    <w:rsid w:val="00FF0504"/>
    <w:rsid w:val="00FF0D00"/>
    <w:rsid w:val="00FF1CF0"/>
    <w:rsid w:val="00FF3318"/>
    <w:rsid w:val="00FF4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500D5"/>
  <w15:docId w15:val="{1734BF61-1B84-43C7-A479-EBDF5D27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aliases w:val="Title Header2"/>
    <w:basedOn w:val="prastasis"/>
    <w:next w:val="prastasis"/>
    <w:link w:val="Antrat2Diagrama"/>
    <w:uiPriority w:val="9"/>
    <w:unhideWhenUsed/>
    <w:qFormat/>
    <w:rsid w:val="00FA7B26"/>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iPriority w:val="9"/>
    <w:unhideWhenUsed/>
    <w:qFormat/>
    <w:rsid w:val="00ED2038"/>
    <w:pPr>
      <w:keepNext/>
      <w:keepLines/>
      <w:spacing w:before="40" w:line="259" w:lineRule="auto"/>
      <w:outlineLvl w:val="2"/>
    </w:pPr>
    <w:rPr>
      <w:rFonts w:ascii="Calibri Light" w:hAnsi="Calibri Light"/>
      <w:color w:val="1F3763"/>
      <w:szCs w:val="24"/>
      <w:lang w:eastAsia="en-US"/>
    </w:rPr>
  </w:style>
  <w:style w:type="paragraph" w:styleId="Antrat4">
    <w:name w:val="heading 4"/>
    <w:basedOn w:val="prastasis"/>
    <w:next w:val="prastasis"/>
    <w:link w:val="Antrat4Diagrama"/>
    <w:uiPriority w:val="9"/>
    <w:unhideWhenUsed/>
    <w:qFormat/>
    <w:rsid w:val="00FA7B26"/>
    <w:pPr>
      <w:keepNext/>
      <w:spacing w:before="240" w:after="60" w:line="276" w:lineRule="auto"/>
      <w:jc w:val="both"/>
      <w:outlineLvl w:val="3"/>
    </w:pPr>
    <w:rPr>
      <w:rFonts w:ascii="Calibri" w:eastAsia="Calibri" w:hAnsi="Calibri"/>
      <w:b/>
      <w:bCs/>
      <w:sz w:val="28"/>
      <w:szCs w:val="28"/>
      <w:lang w:val="x-none" w:eastAsia="x-none"/>
    </w:rPr>
  </w:style>
  <w:style w:type="paragraph" w:styleId="Antrat5">
    <w:name w:val="heading 5"/>
    <w:basedOn w:val="prastasis"/>
    <w:next w:val="prastasis"/>
    <w:link w:val="Antrat5Diagrama"/>
    <w:unhideWhenUsed/>
    <w:qFormat/>
    <w:rsid w:val="00FA7B26"/>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nhideWhenUsed/>
    <w:qFormat/>
    <w:rsid w:val="00FA7B26"/>
    <w:pPr>
      <w:spacing w:before="240" w:after="60" w:line="276" w:lineRule="auto"/>
      <w:jc w:val="both"/>
      <w:outlineLvl w:val="5"/>
    </w:pPr>
    <w:rPr>
      <w:rFonts w:ascii="Calibri" w:eastAsia="Calibri" w:hAnsi="Calibri"/>
      <w:b/>
      <w:bCs/>
      <w:sz w:val="20"/>
      <w:lang w:val="en-US" w:eastAsia="en-US"/>
    </w:rPr>
  </w:style>
  <w:style w:type="paragraph" w:styleId="Antrat7">
    <w:name w:val="heading 7"/>
    <w:basedOn w:val="prastasis"/>
    <w:next w:val="prastasis"/>
    <w:link w:val="Antrat7Diagrama"/>
    <w:unhideWhenUsed/>
    <w:qFormat/>
    <w:rsid w:val="00FA7B26"/>
    <w:pPr>
      <w:spacing w:before="240" w:after="60" w:line="276" w:lineRule="auto"/>
      <w:jc w:val="both"/>
      <w:outlineLvl w:val="6"/>
    </w:pPr>
    <w:rPr>
      <w:rFonts w:ascii="Calibri" w:eastAsia="Calibri" w:hAnsi="Calibri"/>
      <w:szCs w:val="24"/>
      <w:lang w:val="en-US" w:eastAsia="en-US"/>
    </w:rPr>
  </w:style>
  <w:style w:type="paragraph" w:styleId="Antrat8">
    <w:name w:val="heading 8"/>
    <w:basedOn w:val="prastasis"/>
    <w:next w:val="prastasis"/>
    <w:link w:val="Antrat8Diagrama"/>
    <w:unhideWhenUsed/>
    <w:qFormat/>
    <w:rsid w:val="00FA7B26"/>
    <w:pPr>
      <w:spacing w:before="240" w:after="60" w:line="276" w:lineRule="auto"/>
      <w:jc w:val="both"/>
      <w:outlineLvl w:val="7"/>
    </w:pPr>
    <w:rPr>
      <w:rFonts w:ascii="Calibri" w:eastAsia="Calibri" w:hAnsi="Calibri"/>
      <w:i/>
      <w:iCs/>
      <w:szCs w:val="24"/>
      <w:lang w:val="en-US" w:eastAsia="en-US"/>
    </w:rPr>
  </w:style>
  <w:style w:type="paragraph" w:styleId="Antrat9">
    <w:name w:val="heading 9"/>
    <w:basedOn w:val="prastasis"/>
    <w:next w:val="prastasis"/>
    <w:link w:val="Antrat9Diagrama"/>
    <w:uiPriority w:val="9"/>
    <w:unhideWhenUsed/>
    <w:qFormat/>
    <w:rsid w:val="00FA7B26"/>
    <w:pPr>
      <w:spacing w:before="240" w:after="60" w:line="276" w:lineRule="auto"/>
      <w:jc w:val="both"/>
      <w:outlineLvl w:val="8"/>
    </w:pPr>
    <w:rPr>
      <w:rFonts w:ascii="Cambria" w:hAnsi="Cambria"/>
      <w:sz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1,Hipersaitas1,Hyperlink2"/>
    <w:basedOn w:val="prastasis"/>
    <w:link w:val="PagrindinistekstasDiagrama"/>
    <w:uiPriority w:val="99"/>
    <w:qFormat/>
    <w:pPr>
      <w:jc w:val="both"/>
    </w:pPr>
  </w:style>
  <w:style w:type="paragraph" w:styleId="Debesliotekstas">
    <w:name w:val="Balloon Text"/>
    <w:basedOn w:val="prastasis"/>
    <w:link w:val="DebesliotekstasDiagrama"/>
    <w:uiPriority w:val="99"/>
    <w:rsid w:val="007B4DC6"/>
    <w:rPr>
      <w:rFonts w:ascii="Tahoma" w:hAnsi="Tahoma" w:cs="Tahoma"/>
      <w:sz w:val="16"/>
      <w:szCs w:val="16"/>
    </w:rPr>
  </w:style>
  <w:style w:type="paragraph" w:styleId="Porat">
    <w:name w:val="footer"/>
    <w:basedOn w:val="prastasis"/>
    <w:link w:val="PoratDiagrama"/>
    <w:uiPriority w:val="99"/>
    <w:rsid w:val="003A2998"/>
    <w:pPr>
      <w:tabs>
        <w:tab w:val="center" w:pos="4819"/>
        <w:tab w:val="right" w:pos="9638"/>
      </w:tabs>
    </w:pPr>
  </w:style>
  <w:style w:type="character" w:styleId="Puslapionumeris">
    <w:name w:val="page number"/>
    <w:basedOn w:val="Numatytasispastraiposriftas"/>
    <w:rsid w:val="003A2998"/>
  </w:style>
  <w:style w:type="table" w:styleId="Lentelstinklelis">
    <w:name w:val="Table Grid"/>
    <w:aliases w:val="Lentelė (default'inė)"/>
    <w:basedOn w:val="prastojilentel"/>
    <w:uiPriority w:val="39"/>
    <w:rsid w:val="0081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rsid w:val="00ED2038"/>
    <w:rPr>
      <w:rFonts w:ascii="Calibri Light" w:hAnsi="Calibri Light"/>
      <w:color w:val="1F3763"/>
      <w:sz w:val="24"/>
      <w:szCs w:val="24"/>
      <w:lang w:eastAsia="en-US"/>
    </w:rPr>
  </w:style>
  <w:style w:type="paragraph" w:styleId="Betarp">
    <w:name w:val="No Spacing"/>
    <w:link w:val="BetarpDiagrama"/>
    <w:uiPriority w:val="1"/>
    <w:qFormat/>
    <w:rsid w:val="00ED2038"/>
    <w:rPr>
      <w:rFonts w:ascii="Calibri" w:hAnsi="Calibri"/>
      <w:sz w:val="22"/>
      <w:szCs w:val="22"/>
      <w:lang w:val="en-US" w:eastAsia="en-US"/>
    </w:rPr>
  </w:style>
  <w:style w:type="character" w:customStyle="1" w:styleId="BetarpDiagrama">
    <w:name w:val="Be tarpų Diagrama"/>
    <w:link w:val="Betarp"/>
    <w:uiPriority w:val="1"/>
    <w:rsid w:val="00ED2038"/>
    <w:rPr>
      <w:rFonts w:ascii="Calibri" w:hAnsi="Calibri"/>
      <w:sz w:val="22"/>
      <w:szCs w:val="22"/>
      <w:lang w:val="en-US" w:eastAsia="en-US"/>
    </w:rPr>
  </w:style>
  <w:style w:type="paragraph" w:styleId="Sraopastraipa">
    <w:name w:val="List Paragraph"/>
    <w:aliases w:val="Bullet EY,List Paragraph2,ERP-List Paragraph,List Paragraph11,Normal bullet 2,Paragraph,List L1,Teksto skyrius,List Paragraph1,Bullet list,Numbered List,1st level - Bullet List Paragraph,Lettre d'introduction,Paragrafo elenco,Dot pt,3"/>
    <w:basedOn w:val="prastasis"/>
    <w:link w:val="SraopastraipaDiagrama"/>
    <w:uiPriority w:val="34"/>
    <w:qFormat/>
    <w:rsid w:val="00ED2038"/>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Bullet EY Diagrama,List Paragraph2 Diagrama,ERP-List Paragraph Diagrama,List Paragraph11 Diagrama,Normal bullet 2 Diagrama,Paragraph Diagrama,List L1 Diagrama,Teksto skyrius Diagrama,List Paragraph1 Diagrama,Dot pt Diagrama"/>
    <w:link w:val="Sraopastraipa"/>
    <w:uiPriority w:val="34"/>
    <w:qFormat/>
    <w:locked/>
    <w:rsid w:val="00ED2038"/>
    <w:rPr>
      <w:rFonts w:ascii="Calibri" w:eastAsia="Calibri" w:hAnsi="Calibri"/>
      <w:sz w:val="22"/>
      <w:szCs w:val="22"/>
      <w:lang w:eastAsia="en-US"/>
    </w:rPr>
  </w:style>
  <w:style w:type="character" w:styleId="Hipersaitas">
    <w:name w:val="Hyperlink"/>
    <w:uiPriority w:val="99"/>
    <w:unhideWhenUsed/>
    <w:rsid w:val="0051069F"/>
    <w:rPr>
      <w:color w:val="0563C1"/>
      <w:u w:val="single"/>
    </w:rPr>
  </w:style>
  <w:style w:type="paragraph" w:styleId="Puslapioinaostekstas">
    <w:name w:val="footnote text"/>
    <w:aliases w:val="Footnote,Fußnote,Footnote Text Char Char,Footnote Text Char Char Char Char Char Char,Footnote Text Char Char Char Char Char,Footnote text,fn,Footnote Text Blue,Footnote Text Blue Char Char Char Char,stile 1,Footnote1,Footnote2,f"/>
    <w:basedOn w:val="prastasis"/>
    <w:link w:val="PuslapioinaostekstasDiagrama"/>
    <w:uiPriority w:val="99"/>
    <w:qFormat/>
    <w:rsid w:val="0051069F"/>
    <w:pPr>
      <w:spacing w:line="288" w:lineRule="auto"/>
      <w:jc w:val="both"/>
    </w:pPr>
    <w:rPr>
      <w:rFonts w:ascii="Arial Narrow" w:hAnsi="Arial Narrow"/>
      <w:sz w:val="18"/>
      <w:lang w:eastAsia="en-US"/>
    </w:rPr>
  </w:style>
  <w:style w:type="character" w:customStyle="1" w:styleId="PuslapioinaostekstasDiagrama">
    <w:name w:val="Puslapio išnašos tekstas Diagrama"/>
    <w:aliases w:val="Footnote Diagrama,Fußnote Diagrama,Footnote Text Char Char Diagrama,Footnote Text Char Char Char Char Char Char Diagrama,Footnote Text Char Char Char Char Char Diagrama,Footnote text Diagrama,fn Diagrama,f Diagrama"/>
    <w:link w:val="Puslapioinaostekstas"/>
    <w:uiPriority w:val="99"/>
    <w:qFormat/>
    <w:rsid w:val="0051069F"/>
    <w:rPr>
      <w:rFonts w:ascii="Arial Narrow" w:hAnsi="Arial Narrow"/>
      <w:sz w:val="18"/>
      <w:lang w:val="lt-LT"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link w:val="SUPERSChar"/>
    <w:uiPriority w:val="99"/>
    <w:qFormat/>
    <w:rsid w:val="0051069F"/>
    <w:rPr>
      <w:vertAlign w:val="superscript"/>
    </w:rPr>
  </w:style>
  <w:style w:type="paragraph" w:customStyle="1" w:styleId="Betarp2">
    <w:name w:val="Be tarpų2"/>
    <w:qFormat/>
    <w:rsid w:val="0051069F"/>
    <w:rPr>
      <w:sz w:val="24"/>
      <w:lang w:eastAsia="en-US"/>
    </w:rPr>
  </w:style>
  <w:style w:type="table" w:customStyle="1" w:styleId="TableGrid45">
    <w:name w:val="Table Grid45"/>
    <w:basedOn w:val="prastojilentel"/>
    <w:next w:val="Lentelstinklelis"/>
    <w:uiPriority w:val="39"/>
    <w:rsid w:val="005106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prastojilentel"/>
    <w:next w:val="Lentelstinklelis"/>
    <w:uiPriority w:val="39"/>
    <w:rsid w:val="005106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CB3171"/>
    <w:rPr>
      <w:b/>
      <w:bCs/>
    </w:rPr>
  </w:style>
  <w:style w:type="paragraph" w:styleId="Dokumentoinaostekstas">
    <w:name w:val="endnote text"/>
    <w:basedOn w:val="prastasis"/>
    <w:link w:val="DokumentoinaostekstasDiagrama"/>
    <w:unhideWhenUsed/>
    <w:rsid w:val="000B6549"/>
    <w:rPr>
      <w:sz w:val="20"/>
    </w:rPr>
  </w:style>
  <w:style w:type="character" w:customStyle="1" w:styleId="DokumentoinaostekstasDiagrama">
    <w:name w:val="Dokumento išnašos tekstas Diagrama"/>
    <w:basedOn w:val="Numatytasispastraiposriftas"/>
    <w:link w:val="Dokumentoinaostekstas"/>
    <w:rsid w:val="000B6549"/>
  </w:style>
  <w:style w:type="character" w:styleId="Dokumentoinaosnumeris">
    <w:name w:val="endnote reference"/>
    <w:basedOn w:val="Numatytasispastraiposriftas"/>
    <w:unhideWhenUsed/>
    <w:rsid w:val="000B6549"/>
    <w:rPr>
      <w:vertAlign w:val="superscript"/>
    </w:rPr>
  </w:style>
  <w:style w:type="character" w:styleId="Komentaronuoroda">
    <w:name w:val="annotation reference"/>
    <w:basedOn w:val="Numatytasispastraiposriftas"/>
    <w:uiPriority w:val="99"/>
    <w:unhideWhenUsed/>
    <w:rsid w:val="005C4E1E"/>
    <w:rPr>
      <w:sz w:val="16"/>
      <w:szCs w:val="16"/>
    </w:rPr>
  </w:style>
  <w:style w:type="paragraph" w:styleId="Komentarotekstas">
    <w:name w:val="annotation text"/>
    <w:basedOn w:val="prastasis"/>
    <w:link w:val="KomentarotekstasDiagrama"/>
    <w:uiPriority w:val="99"/>
    <w:unhideWhenUsed/>
    <w:rsid w:val="005C4E1E"/>
    <w:rPr>
      <w:sz w:val="20"/>
    </w:rPr>
  </w:style>
  <w:style w:type="character" w:customStyle="1" w:styleId="KomentarotekstasDiagrama">
    <w:name w:val="Komentaro tekstas Diagrama"/>
    <w:basedOn w:val="Numatytasispastraiposriftas"/>
    <w:link w:val="Komentarotekstas"/>
    <w:uiPriority w:val="99"/>
    <w:rsid w:val="005C4E1E"/>
  </w:style>
  <w:style w:type="paragraph" w:styleId="Komentarotema">
    <w:name w:val="annotation subject"/>
    <w:basedOn w:val="Komentarotekstas"/>
    <w:next w:val="Komentarotekstas"/>
    <w:link w:val="KomentarotemaDiagrama"/>
    <w:uiPriority w:val="99"/>
    <w:semiHidden/>
    <w:unhideWhenUsed/>
    <w:rsid w:val="005C4E1E"/>
    <w:rPr>
      <w:b/>
      <w:bCs/>
    </w:rPr>
  </w:style>
  <w:style w:type="character" w:customStyle="1" w:styleId="KomentarotemaDiagrama">
    <w:name w:val="Komentaro tema Diagrama"/>
    <w:basedOn w:val="KomentarotekstasDiagrama"/>
    <w:link w:val="Komentarotema"/>
    <w:uiPriority w:val="99"/>
    <w:semiHidden/>
    <w:rsid w:val="005C4E1E"/>
    <w:rPr>
      <w:b/>
      <w:bCs/>
    </w:rPr>
  </w:style>
  <w:style w:type="paragraph" w:customStyle="1" w:styleId="SUPERSChar">
    <w:name w:val="SUPERS Char"/>
    <w:aliases w:val="EN Footnote Reference Char"/>
    <w:basedOn w:val="prastasis"/>
    <w:link w:val="Puslapioinaosnuoroda"/>
    <w:uiPriority w:val="99"/>
    <w:rsid w:val="00982833"/>
    <w:pPr>
      <w:spacing w:after="160" w:line="240" w:lineRule="exact"/>
    </w:pPr>
    <w:rPr>
      <w:sz w:val="20"/>
      <w:vertAlign w:val="superscript"/>
    </w:rPr>
  </w:style>
  <w:style w:type="paragraph" w:styleId="HTMLiankstoformatuotas">
    <w:name w:val="HTML Preformatted"/>
    <w:basedOn w:val="prastasis"/>
    <w:link w:val="HTMLiankstoformatuotasDiagrama"/>
    <w:rsid w:val="00630D79"/>
    <w:rPr>
      <w:rFonts w:ascii="Courier New" w:hAnsi="Courier New" w:cs="Courier New"/>
      <w:sz w:val="20"/>
      <w:lang w:eastAsia="en-US"/>
    </w:rPr>
  </w:style>
  <w:style w:type="character" w:customStyle="1" w:styleId="HTMLiankstoformatuotasDiagrama">
    <w:name w:val="HTML iš anksto formatuotas Diagrama"/>
    <w:basedOn w:val="Numatytasispastraiposriftas"/>
    <w:link w:val="HTMLiankstoformatuotas"/>
    <w:rsid w:val="00630D79"/>
    <w:rPr>
      <w:rFonts w:ascii="Courier New" w:hAnsi="Courier New" w:cs="Courier New"/>
      <w:lang w:eastAsia="en-US"/>
    </w:rPr>
  </w:style>
  <w:style w:type="paragraph" w:styleId="Turinioantrat">
    <w:name w:val="TOC Heading"/>
    <w:basedOn w:val="Antrat1"/>
    <w:next w:val="prastasis"/>
    <w:uiPriority w:val="39"/>
    <w:unhideWhenUsed/>
    <w:qFormat/>
    <w:rsid w:val="00551C20"/>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GB" w:eastAsia="en-GB"/>
    </w:rPr>
  </w:style>
  <w:style w:type="paragraph" w:styleId="Turinys1">
    <w:name w:val="toc 1"/>
    <w:basedOn w:val="prastasis"/>
    <w:next w:val="prastasis"/>
    <w:autoRedefine/>
    <w:uiPriority w:val="39"/>
    <w:unhideWhenUsed/>
    <w:rsid w:val="00551C20"/>
    <w:pPr>
      <w:spacing w:after="100"/>
    </w:pPr>
  </w:style>
  <w:style w:type="paragraph" w:customStyle="1" w:styleId="xmsonormal">
    <w:name w:val="x_msonormal"/>
    <w:basedOn w:val="prastasis"/>
    <w:rsid w:val="006939C9"/>
    <w:rPr>
      <w:rFonts w:ascii="Calibri" w:eastAsiaTheme="minorHAnsi" w:hAnsi="Calibri" w:cs="Calibri"/>
      <w:sz w:val="22"/>
      <w:szCs w:val="22"/>
    </w:rPr>
  </w:style>
  <w:style w:type="character" w:customStyle="1" w:styleId="KomentarotekstasDiagrama1">
    <w:name w:val="Komentaro tekstas Diagrama1"/>
    <w:basedOn w:val="Numatytasispastraiposriftas"/>
    <w:uiPriority w:val="99"/>
    <w:semiHidden/>
    <w:rsid w:val="004D494F"/>
  </w:style>
  <w:style w:type="paragraph" w:customStyle="1" w:styleId="paragraph">
    <w:name w:val="paragraph"/>
    <w:basedOn w:val="prastasis"/>
    <w:rsid w:val="004D494F"/>
    <w:pPr>
      <w:spacing w:before="100" w:beforeAutospacing="1" w:after="100" w:afterAutospacing="1"/>
    </w:pPr>
    <w:rPr>
      <w:szCs w:val="24"/>
      <w:lang w:val="en-GB" w:eastAsia="en-GB"/>
    </w:rPr>
  </w:style>
  <w:style w:type="character" w:customStyle="1" w:styleId="normaltextrun">
    <w:name w:val="normaltextrun"/>
    <w:basedOn w:val="Numatytasispastraiposriftas"/>
    <w:rsid w:val="004D494F"/>
  </w:style>
  <w:style w:type="character" w:customStyle="1" w:styleId="eop">
    <w:name w:val="eop"/>
    <w:basedOn w:val="Numatytasispastraiposriftas"/>
    <w:rsid w:val="004D494F"/>
  </w:style>
  <w:style w:type="character" w:customStyle="1" w:styleId="scxw162382823">
    <w:name w:val="scxw162382823"/>
    <w:basedOn w:val="Numatytasispastraiposriftas"/>
    <w:rsid w:val="004D494F"/>
  </w:style>
  <w:style w:type="character" w:customStyle="1" w:styleId="DebesliotekstasDiagrama">
    <w:name w:val="Debesėlio tekstas Diagrama"/>
    <w:link w:val="Debesliotekstas"/>
    <w:uiPriority w:val="99"/>
    <w:rsid w:val="004D494F"/>
    <w:rPr>
      <w:rFonts w:ascii="Tahoma" w:hAnsi="Tahoma" w:cs="Tahoma"/>
      <w:sz w:val="16"/>
      <w:szCs w:val="16"/>
    </w:rPr>
  </w:style>
  <w:style w:type="paragraph" w:styleId="prastasiniatinklio">
    <w:name w:val="Normal (Web)"/>
    <w:basedOn w:val="prastasis"/>
    <w:link w:val="prastasiniatinklioDiagrama1"/>
    <w:uiPriority w:val="99"/>
    <w:unhideWhenUsed/>
    <w:qFormat/>
    <w:rsid w:val="00287E5E"/>
    <w:pPr>
      <w:spacing w:before="100" w:beforeAutospacing="1" w:after="100" w:afterAutospacing="1"/>
    </w:pPr>
    <w:rPr>
      <w:szCs w:val="24"/>
      <w:lang w:val="en-GB" w:eastAsia="en-GB"/>
    </w:rPr>
  </w:style>
  <w:style w:type="character" w:styleId="Neapdorotaspaminjimas">
    <w:name w:val="Unresolved Mention"/>
    <w:basedOn w:val="Numatytasispastraiposriftas"/>
    <w:uiPriority w:val="99"/>
    <w:semiHidden/>
    <w:unhideWhenUsed/>
    <w:rsid w:val="003D6525"/>
    <w:rPr>
      <w:color w:val="605E5C"/>
      <w:shd w:val="clear" w:color="auto" w:fill="E1DFDD"/>
    </w:rPr>
  </w:style>
  <w:style w:type="character" w:styleId="Perirtashipersaitas">
    <w:name w:val="FollowedHyperlink"/>
    <w:basedOn w:val="Numatytasispastraiposriftas"/>
    <w:unhideWhenUsed/>
    <w:rsid w:val="003D6525"/>
    <w:rPr>
      <w:color w:val="800080" w:themeColor="followedHyperlink"/>
      <w:u w:val="single"/>
    </w:rPr>
  </w:style>
  <w:style w:type="paragraph" w:customStyle="1" w:styleId="Default">
    <w:name w:val="Default"/>
    <w:rsid w:val="00925C7D"/>
    <w:pPr>
      <w:autoSpaceDE w:val="0"/>
      <w:autoSpaceDN w:val="0"/>
      <w:adjustRightInd w:val="0"/>
    </w:pPr>
    <w:rPr>
      <w:rFonts w:eastAsiaTheme="minorHAnsi"/>
      <w:color w:val="000000"/>
      <w:sz w:val="24"/>
      <w:szCs w:val="24"/>
      <w:lang w:eastAsia="en-US"/>
    </w:rPr>
  </w:style>
  <w:style w:type="character" w:customStyle="1" w:styleId="Antrat5Diagrama">
    <w:name w:val="Antraštė 5 Diagrama"/>
    <w:basedOn w:val="Numatytasispastraiposriftas"/>
    <w:link w:val="Antrat5"/>
    <w:rsid w:val="00FA7B26"/>
    <w:rPr>
      <w:rFonts w:asciiTheme="majorHAnsi" w:eastAsiaTheme="majorEastAsia" w:hAnsiTheme="majorHAnsi" w:cstheme="majorBidi"/>
      <w:color w:val="365F91" w:themeColor="accent1" w:themeShade="BF"/>
      <w:sz w:val="24"/>
    </w:rPr>
  </w:style>
  <w:style w:type="character" w:customStyle="1" w:styleId="Antrat2Diagrama">
    <w:name w:val="Antraštė 2 Diagrama"/>
    <w:aliases w:val="Title Header2 Diagrama"/>
    <w:basedOn w:val="Numatytasispastraiposriftas"/>
    <w:link w:val="Antrat2"/>
    <w:uiPriority w:val="9"/>
    <w:rsid w:val="00FA7B26"/>
    <w:rPr>
      <w:rFonts w:asciiTheme="majorHAnsi" w:eastAsiaTheme="majorEastAsia" w:hAnsiTheme="majorHAnsi" w:cstheme="majorBidi"/>
      <w:color w:val="365F91" w:themeColor="accent1" w:themeShade="BF"/>
      <w:sz w:val="26"/>
      <w:szCs w:val="26"/>
      <w:lang w:eastAsia="en-US"/>
    </w:rPr>
  </w:style>
  <w:style w:type="character" w:customStyle="1" w:styleId="Antrat4Diagrama">
    <w:name w:val="Antraštė 4 Diagrama"/>
    <w:basedOn w:val="Numatytasispastraiposriftas"/>
    <w:link w:val="Antrat4"/>
    <w:uiPriority w:val="9"/>
    <w:rsid w:val="00FA7B26"/>
    <w:rPr>
      <w:rFonts w:ascii="Calibri" w:eastAsia="Calibri" w:hAnsi="Calibri"/>
      <w:b/>
      <w:bCs/>
      <w:sz w:val="28"/>
      <w:szCs w:val="28"/>
      <w:lang w:val="x-none" w:eastAsia="x-none"/>
    </w:rPr>
  </w:style>
  <w:style w:type="character" w:customStyle="1" w:styleId="Antrat6Diagrama">
    <w:name w:val="Antraštė 6 Diagrama"/>
    <w:basedOn w:val="Numatytasispastraiposriftas"/>
    <w:link w:val="Antrat6"/>
    <w:rsid w:val="00FA7B26"/>
    <w:rPr>
      <w:rFonts w:ascii="Calibri" w:eastAsia="Calibri" w:hAnsi="Calibri"/>
      <w:b/>
      <w:bCs/>
      <w:lang w:val="en-US" w:eastAsia="en-US"/>
    </w:rPr>
  </w:style>
  <w:style w:type="character" w:customStyle="1" w:styleId="Antrat7Diagrama">
    <w:name w:val="Antraštė 7 Diagrama"/>
    <w:basedOn w:val="Numatytasispastraiposriftas"/>
    <w:link w:val="Antrat7"/>
    <w:rsid w:val="00FA7B26"/>
    <w:rPr>
      <w:rFonts w:ascii="Calibri" w:eastAsia="Calibri" w:hAnsi="Calibri"/>
      <w:sz w:val="24"/>
      <w:szCs w:val="24"/>
      <w:lang w:val="en-US" w:eastAsia="en-US"/>
    </w:rPr>
  </w:style>
  <w:style w:type="character" w:customStyle="1" w:styleId="Antrat8Diagrama">
    <w:name w:val="Antraštė 8 Diagrama"/>
    <w:basedOn w:val="Numatytasispastraiposriftas"/>
    <w:link w:val="Antrat8"/>
    <w:rsid w:val="00FA7B26"/>
    <w:rPr>
      <w:rFonts w:ascii="Calibri" w:eastAsia="Calibri" w:hAnsi="Calibri"/>
      <w:i/>
      <w:iCs/>
      <w:sz w:val="24"/>
      <w:szCs w:val="24"/>
      <w:lang w:val="en-US" w:eastAsia="en-US"/>
    </w:rPr>
  </w:style>
  <w:style w:type="character" w:customStyle="1" w:styleId="Antrat9Diagrama">
    <w:name w:val="Antraštė 9 Diagrama"/>
    <w:basedOn w:val="Numatytasispastraiposriftas"/>
    <w:link w:val="Antrat9"/>
    <w:uiPriority w:val="9"/>
    <w:rsid w:val="00FA7B26"/>
    <w:rPr>
      <w:rFonts w:ascii="Cambria" w:hAnsi="Cambria"/>
      <w:lang w:val="en-US" w:eastAsia="en-US"/>
    </w:rPr>
  </w:style>
  <w:style w:type="character" w:customStyle="1" w:styleId="Antrat1Diagrama">
    <w:name w:val="Antraštė 1 Diagrama"/>
    <w:basedOn w:val="Numatytasispastraiposriftas"/>
    <w:link w:val="Antrat1"/>
    <w:uiPriority w:val="9"/>
    <w:rsid w:val="00FA7B26"/>
    <w:rPr>
      <w:b/>
      <w:sz w:val="24"/>
    </w:rPr>
  </w:style>
  <w:style w:type="paragraph" w:styleId="Pavadinimas">
    <w:name w:val="Title"/>
    <w:basedOn w:val="prastasis"/>
    <w:next w:val="prastasis"/>
    <w:link w:val="PavadinimasDiagrama"/>
    <w:qFormat/>
    <w:rsid w:val="00FA7B26"/>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PavadinimasDiagrama">
    <w:name w:val="Pavadinimas Diagrama"/>
    <w:basedOn w:val="Numatytasispastraiposriftas"/>
    <w:link w:val="Pavadinimas"/>
    <w:rsid w:val="00FA7B26"/>
    <w:rPr>
      <w:rFonts w:asciiTheme="majorHAnsi" w:eastAsiaTheme="majorEastAsia" w:hAnsiTheme="majorHAnsi" w:cstheme="majorBidi"/>
      <w:color w:val="404040" w:themeColor="text1" w:themeTint="BF"/>
      <w:spacing w:val="-10"/>
      <w:kern w:val="28"/>
      <w:sz w:val="56"/>
      <w:szCs w:val="56"/>
      <w:lang w:val="en-US" w:eastAsia="en-US"/>
    </w:rPr>
  </w:style>
  <w:style w:type="paragraph" w:styleId="Paantrat">
    <w:name w:val="Subtitle"/>
    <w:basedOn w:val="prastasis"/>
    <w:next w:val="prastasis"/>
    <w:link w:val="PaantratDiagrama"/>
    <w:uiPriority w:val="11"/>
    <w:qFormat/>
    <w:rsid w:val="00FA7B26"/>
    <w:pPr>
      <w:numPr>
        <w:ilvl w:val="1"/>
      </w:numPr>
      <w:spacing w:after="160" w:line="259" w:lineRule="auto"/>
    </w:pPr>
    <w:rPr>
      <w:rFonts w:eastAsiaTheme="minorEastAsia"/>
      <w:color w:val="5A5A5A" w:themeColor="text1" w:themeTint="A5"/>
      <w:spacing w:val="15"/>
      <w:szCs w:val="22"/>
      <w:lang w:val="en-US" w:eastAsia="en-US"/>
    </w:rPr>
  </w:style>
  <w:style w:type="character" w:customStyle="1" w:styleId="PaantratDiagrama">
    <w:name w:val="Paantraštė Diagrama"/>
    <w:basedOn w:val="Numatytasispastraiposriftas"/>
    <w:link w:val="Paantrat"/>
    <w:uiPriority w:val="11"/>
    <w:rsid w:val="00FA7B26"/>
    <w:rPr>
      <w:rFonts w:eastAsiaTheme="minorEastAsia"/>
      <w:color w:val="5A5A5A" w:themeColor="text1" w:themeTint="A5"/>
      <w:spacing w:val="15"/>
      <w:sz w:val="24"/>
      <w:szCs w:val="22"/>
      <w:lang w:val="en-US" w:eastAsia="en-US"/>
    </w:rPr>
  </w:style>
  <w:style w:type="paragraph" w:styleId="Turinys2">
    <w:name w:val="toc 2"/>
    <w:basedOn w:val="prastasis"/>
    <w:next w:val="prastasis"/>
    <w:autoRedefine/>
    <w:uiPriority w:val="39"/>
    <w:unhideWhenUsed/>
    <w:rsid w:val="00FA7B26"/>
    <w:pPr>
      <w:spacing w:after="100" w:line="259" w:lineRule="auto"/>
      <w:ind w:left="220"/>
    </w:pPr>
    <w:rPr>
      <w:rFonts w:eastAsiaTheme="minorHAnsi"/>
      <w:szCs w:val="22"/>
      <w:lang w:eastAsia="en-US"/>
    </w:rPr>
  </w:style>
  <w:style w:type="paragraph" w:styleId="Antrats">
    <w:name w:val="header"/>
    <w:aliases w:val="laivas,Diagrama Diagrama Diagrama,Char,Diagrama"/>
    <w:basedOn w:val="prastasis"/>
    <w:link w:val="AntratsDiagrama"/>
    <w:unhideWhenUsed/>
    <w:rsid w:val="00FA7B26"/>
    <w:pPr>
      <w:tabs>
        <w:tab w:val="center" w:pos="4819"/>
        <w:tab w:val="right" w:pos="9638"/>
      </w:tabs>
    </w:pPr>
    <w:rPr>
      <w:rFonts w:eastAsiaTheme="minorHAnsi"/>
      <w:szCs w:val="22"/>
      <w:lang w:eastAsia="en-US"/>
    </w:rPr>
  </w:style>
  <w:style w:type="character" w:customStyle="1" w:styleId="AntratsDiagrama">
    <w:name w:val="Antraštės Diagrama"/>
    <w:aliases w:val="laivas Diagrama,Diagrama Diagrama Diagrama Diagrama,Char Diagrama,Diagrama Diagrama"/>
    <w:basedOn w:val="Numatytasispastraiposriftas"/>
    <w:link w:val="Antrats"/>
    <w:rsid w:val="00FA7B26"/>
    <w:rPr>
      <w:rFonts w:eastAsiaTheme="minorHAnsi"/>
      <w:sz w:val="24"/>
      <w:szCs w:val="22"/>
      <w:lang w:eastAsia="en-US"/>
    </w:rPr>
  </w:style>
  <w:style w:type="character" w:customStyle="1" w:styleId="PoratDiagrama">
    <w:name w:val="Poraštė Diagrama"/>
    <w:basedOn w:val="Numatytasispastraiposriftas"/>
    <w:link w:val="Porat"/>
    <w:uiPriority w:val="99"/>
    <w:rsid w:val="00FA7B26"/>
    <w:rPr>
      <w:sz w:val="24"/>
    </w:rPr>
  </w:style>
  <w:style w:type="numbering" w:customStyle="1" w:styleId="NoList1">
    <w:name w:val="No List1"/>
    <w:next w:val="Sraonra"/>
    <w:uiPriority w:val="99"/>
    <w:semiHidden/>
    <w:unhideWhenUsed/>
    <w:rsid w:val="00FA7B26"/>
  </w:style>
  <w:style w:type="table" w:customStyle="1" w:styleId="TableGrid1">
    <w:name w:val="Table Grid1"/>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FA7B26"/>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FA7B26"/>
    <w:rPr>
      <w:sz w:val="16"/>
      <w:szCs w:val="16"/>
      <w:lang w:val="x-none" w:eastAsia="x-none"/>
    </w:rPr>
  </w:style>
  <w:style w:type="table" w:customStyle="1" w:styleId="TableGrid18">
    <w:name w:val="Table Grid18"/>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aliases w:val="Hyperlink1 Diagrama,Hipersaitas1 Diagrama,Hyperlink2 Diagrama"/>
    <w:basedOn w:val="Numatytasispastraiposriftas"/>
    <w:link w:val="Pagrindinistekstas"/>
    <w:uiPriority w:val="99"/>
    <w:rsid w:val="00FA7B26"/>
    <w:rPr>
      <w:sz w:val="24"/>
    </w:rPr>
  </w:style>
  <w:style w:type="paragraph" w:customStyle="1" w:styleId="Caption1">
    <w:name w:val="Caption1"/>
    <w:basedOn w:val="prastasis"/>
    <w:next w:val="prastasis"/>
    <w:unhideWhenUsed/>
    <w:qFormat/>
    <w:locked/>
    <w:rsid w:val="00FA7B26"/>
    <w:pPr>
      <w:spacing w:after="200"/>
    </w:pPr>
    <w:rPr>
      <w:i/>
      <w:iCs/>
      <w:color w:val="1F497D"/>
      <w:sz w:val="18"/>
      <w:szCs w:val="18"/>
      <w:lang w:eastAsia="en-US"/>
    </w:rPr>
  </w:style>
  <w:style w:type="paragraph" w:customStyle="1" w:styleId="Caption2">
    <w:name w:val="Caption2"/>
    <w:basedOn w:val="prastasis"/>
    <w:next w:val="prastasis"/>
    <w:unhideWhenUsed/>
    <w:qFormat/>
    <w:locked/>
    <w:rsid w:val="00FA7B26"/>
    <w:pPr>
      <w:spacing w:after="200"/>
    </w:pPr>
    <w:rPr>
      <w:i/>
      <w:iCs/>
      <w:color w:val="1F497D"/>
      <w:sz w:val="18"/>
      <w:szCs w:val="18"/>
      <w:lang w:eastAsia="en-US"/>
    </w:rPr>
  </w:style>
  <w:style w:type="paragraph" w:styleId="Pagrindinistekstas2">
    <w:name w:val="Body Text 2"/>
    <w:basedOn w:val="prastasis"/>
    <w:link w:val="Pagrindinistekstas2Diagrama"/>
    <w:unhideWhenUsed/>
    <w:rsid w:val="00FA7B26"/>
    <w:pPr>
      <w:spacing w:after="120" w:line="480" w:lineRule="auto"/>
    </w:pPr>
    <w:rPr>
      <w:rFonts w:eastAsiaTheme="minorHAnsi"/>
      <w:szCs w:val="22"/>
      <w:lang w:eastAsia="en-US"/>
    </w:rPr>
  </w:style>
  <w:style w:type="character" w:customStyle="1" w:styleId="Pagrindinistekstas2Diagrama">
    <w:name w:val="Pagrindinis tekstas 2 Diagrama"/>
    <w:basedOn w:val="Numatytasispastraiposriftas"/>
    <w:link w:val="Pagrindinistekstas2"/>
    <w:rsid w:val="00FA7B26"/>
    <w:rPr>
      <w:rFonts w:eastAsiaTheme="minorHAnsi"/>
      <w:sz w:val="24"/>
      <w:szCs w:val="22"/>
      <w:lang w:eastAsia="en-US"/>
    </w:rPr>
  </w:style>
  <w:style w:type="table" w:customStyle="1" w:styleId="TableGrid20">
    <w:name w:val="Table Grid20"/>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uiPriority w:val="9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uiPriority w:val="3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prastojilentel"/>
    <w:next w:val="Lentelstinklelis"/>
    <w:uiPriority w:val="3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rastojilentel"/>
    <w:next w:val="Lentelstinklelis"/>
    <w:uiPriority w:val="3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prastojilentel"/>
    <w:next w:val="Lentelstinklelis"/>
    <w:uiPriority w:val="3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FA7B26"/>
    <w:rPr>
      <w:rFonts w:eastAsiaTheme="minorHAns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FA7B26"/>
    <w:pPr>
      <w:spacing w:after="100" w:line="259" w:lineRule="auto"/>
      <w:ind w:left="440"/>
    </w:pPr>
    <w:rPr>
      <w:rFonts w:eastAsiaTheme="minorHAnsi"/>
      <w:szCs w:val="22"/>
      <w:lang w:eastAsia="en-US"/>
    </w:rPr>
  </w:style>
  <w:style w:type="table" w:customStyle="1" w:styleId="TableGrid33">
    <w:name w:val="Table Grid33"/>
    <w:basedOn w:val="prastojilentel"/>
    <w:next w:val="Lentelstinklelis"/>
    <w:uiPriority w:val="59"/>
    <w:rsid w:val="00FA7B26"/>
    <w:rPr>
      <w:rFonts w:eastAsiaTheme="minorHAns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FA7B26"/>
    <w:rPr>
      <w:b/>
      <w:bCs/>
      <w:i w:val="0"/>
      <w:iCs w:val="0"/>
    </w:rPr>
  </w:style>
  <w:style w:type="character" w:customStyle="1" w:styleId="st1">
    <w:name w:val="st1"/>
    <w:basedOn w:val="Numatytasispastraiposriftas"/>
    <w:rsid w:val="00FA7B26"/>
  </w:style>
  <w:style w:type="paragraph" w:customStyle="1" w:styleId="Standard">
    <w:name w:val="Standard"/>
    <w:qFormat/>
    <w:rsid w:val="00FA7B26"/>
    <w:pPr>
      <w:suppressAutoHyphens/>
      <w:autoSpaceDN w:val="0"/>
      <w:textAlignment w:val="baseline"/>
    </w:pPr>
    <w:rPr>
      <w:rFonts w:eastAsia="Calibri"/>
      <w:kern w:val="3"/>
      <w:sz w:val="24"/>
      <w:szCs w:val="24"/>
    </w:rPr>
  </w:style>
  <w:style w:type="character" w:customStyle="1" w:styleId="SingleTxtGChar">
    <w:name w:val="_ Single Txt_G Char"/>
    <w:link w:val="SingleTxtG"/>
    <w:locked/>
    <w:rsid w:val="00FA7B26"/>
    <w:rPr>
      <w:lang w:val="en-GB"/>
    </w:rPr>
  </w:style>
  <w:style w:type="paragraph" w:customStyle="1" w:styleId="SingleTxtG">
    <w:name w:val="_ Single Txt_G"/>
    <w:basedOn w:val="prastasis"/>
    <w:link w:val="SingleTxtGChar"/>
    <w:rsid w:val="00FA7B26"/>
    <w:pPr>
      <w:suppressAutoHyphens/>
      <w:spacing w:after="120" w:line="240" w:lineRule="atLeast"/>
      <w:ind w:left="1134" w:right="1134"/>
      <w:jc w:val="both"/>
    </w:pPr>
    <w:rPr>
      <w:sz w:val="20"/>
      <w:lang w:val="en-GB"/>
    </w:rPr>
  </w:style>
  <w:style w:type="table" w:customStyle="1" w:styleId="Lentelbevertikalilinij">
    <w:name w:val="Lentelė be vertikalių linijų"/>
    <w:basedOn w:val="prastojilentel"/>
    <w:uiPriority w:val="99"/>
    <w:rsid w:val="00FA7B26"/>
    <w:rPr>
      <w:rFonts w:eastAsiaTheme="minorHAnsi"/>
      <w:sz w:val="24"/>
      <w:szCs w:val="24"/>
      <w:lang w:eastAsia="en-US"/>
    </w:rPr>
    <w:tblPr/>
  </w:style>
  <w:style w:type="character" w:customStyle="1" w:styleId="prastasiniatinklioDiagrama1">
    <w:name w:val="Įprastas (žiniatinklio) Diagrama1"/>
    <w:basedOn w:val="Numatytasispastraiposriftas"/>
    <w:link w:val="prastasiniatinklio"/>
    <w:uiPriority w:val="99"/>
    <w:rsid w:val="00FA7B26"/>
    <w:rPr>
      <w:sz w:val="24"/>
      <w:szCs w:val="24"/>
      <w:lang w:val="en-GB" w:eastAsia="en-GB"/>
    </w:rPr>
  </w:style>
  <w:style w:type="character" w:customStyle="1" w:styleId="Bodytext2Exact">
    <w:name w:val="Body text (2) Exact"/>
    <w:basedOn w:val="Numatytasispastraiposriftas"/>
    <w:rsid w:val="00FA7B26"/>
    <w:rPr>
      <w:rFonts w:ascii="Times New Roman" w:hAnsi="Times New Roman" w:cs="Times New Roman" w:hint="default"/>
      <w:b w:val="0"/>
      <w:bCs w:val="0"/>
      <w:i w:val="0"/>
      <w:iCs w:val="0"/>
      <w:smallCaps w:val="0"/>
      <w:strike w:val="0"/>
      <w:dstrike w:val="0"/>
      <w:u w:val="none"/>
      <w:effect w:val="none"/>
    </w:rPr>
  </w:style>
  <w:style w:type="table" w:customStyle="1" w:styleId="TableGrid39">
    <w:name w:val="Table Grid39"/>
    <w:basedOn w:val="prastojilentel"/>
    <w:next w:val="Lentelstinklelis"/>
    <w:uiPriority w:val="59"/>
    <w:rsid w:val="00FA7B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prastojilentel"/>
    <w:next w:val="Lentelstinklelis"/>
    <w:uiPriority w:val="59"/>
    <w:rsid w:val="00FA7B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FA7B26"/>
    <w:rPr>
      <w:rFonts w:cs="Times New Roman"/>
      <w:color w:val="808080"/>
    </w:rPr>
  </w:style>
  <w:style w:type="table" w:customStyle="1" w:styleId="TableGrid110">
    <w:name w:val="Table Grid110"/>
    <w:uiPriority w:val="99"/>
    <w:rsid w:val="00FA7B26"/>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rtefontsize-41">
    <w:name w:val="ms-rtefontsize-41"/>
    <w:basedOn w:val="Numatytasispastraiposriftas"/>
    <w:rsid w:val="00FA7B26"/>
  </w:style>
  <w:style w:type="character" w:customStyle="1" w:styleId="Neapdorotaspaminjimas1">
    <w:name w:val="Neapdorotas paminėjimas1"/>
    <w:basedOn w:val="Numatytasispastraiposriftas"/>
    <w:uiPriority w:val="99"/>
    <w:semiHidden/>
    <w:unhideWhenUsed/>
    <w:rsid w:val="00FA7B26"/>
    <w:rPr>
      <w:color w:val="808080"/>
      <w:shd w:val="clear" w:color="auto" w:fill="E6E6E6"/>
    </w:rPr>
  </w:style>
  <w:style w:type="paragraph" w:styleId="Pataisymai">
    <w:name w:val="Revision"/>
    <w:hidden/>
    <w:uiPriority w:val="99"/>
    <w:semiHidden/>
    <w:rsid w:val="00FA7B26"/>
    <w:rPr>
      <w:sz w:val="24"/>
      <w:lang w:eastAsia="en-US"/>
    </w:rPr>
  </w:style>
  <w:style w:type="character" w:customStyle="1" w:styleId="st">
    <w:name w:val="st"/>
    <w:basedOn w:val="Numatytasispastraiposriftas"/>
    <w:rsid w:val="00FA7B26"/>
  </w:style>
  <w:style w:type="numbering" w:customStyle="1" w:styleId="NoList2">
    <w:name w:val="No List2"/>
    <w:next w:val="Sraonra"/>
    <w:uiPriority w:val="99"/>
    <w:semiHidden/>
    <w:unhideWhenUsed/>
    <w:rsid w:val="00FA7B26"/>
  </w:style>
  <w:style w:type="paragraph" w:customStyle="1" w:styleId="CharCharCharCharChar">
    <w:name w:val="Char Char Char Char Char"/>
    <w:aliases w:val="Char Char Char Char,Char Char Char Char Char Char Char Char"/>
    <w:basedOn w:val="prastasis"/>
    <w:next w:val="prastasiniatinklio"/>
    <w:link w:val="prastasistinklapisDiagrama"/>
    <w:uiPriority w:val="99"/>
    <w:rsid w:val="00FA7B26"/>
    <w:pPr>
      <w:spacing w:before="100" w:beforeAutospacing="1" w:after="100" w:afterAutospacing="1" w:line="276" w:lineRule="auto"/>
      <w:jc w:val="both"/>
    </w:pPr>
    <w:rPr>
      <w:szCs w:val="24"/>
      <w:lang w:val="x-none" w:eastAsia="x-none"/>
    </w:rPr>
  </w:style>
  <w:style w:type="character" w:customStyle="1" w:styleId="prastasistinklapisDiagrama">
    <w:name w:val="Įprastasis (tinklapis) Diagrama"/>
    <w:aliases w:val="Char Char Char Char Char Diagrama,Char Char Char Char Diagrama,Char Char Char Char Char Char Char Char Diagrama,Įprastas (žiniatinklio) Diagrama"/>
    <w:link w:val="CharCharCharCharChar"/>
    <w:uiPriority w:val="99"/>
    <w:rsid w:val="00FA7B26"/>
    <w:rPr>
      <w:sz w:val="24"/>
      <w:szCs w:val="24"/>
      <w:lang w:val="x-none" w:eastAsia="x-none"/>
    </w:rPr>
  </w:style>
  <w:style w:type="paragraph" w:customStyle="1" w:styleId="bodytext">
    <w:name w:val="bodytext"/>
    <w:basedOn w:val="prastasis"/>
    <w:rsid w:val="00FA7B26"/>
    <w:pPr>
      <w:spacing w:before="15" w:after="100" w:afterAutospacing="1" w:line="276" w:lineRule="auto"/>
      <w:jc w:val="both"/>
    </w:pPr>
    <w:rPr>
      <w:szCs w:val="24"/>
    </w:rPr>
  </w:style>
  <w:style w:type="paragraph" w:styleId="Citata">
    <w:name w:val="Quote"/>
    <w:basedOn w:val="prastasis"/>
    <w:next w:val="prastasis"/>
    <w:link w:val="CitataDiagrama"/>
    <w:uiPriority w:val="29"/>
    <w:qFormat/>
    <w:rsid w:val="00FA7B26"/>
    <w:pPr>
      <w:spacing w:line="276" w:lineRule="auto"/>
      <w:jc w:val="both"/>
    </w:pPr>
    <w:rPr>
      <w:rFonts w:ascii="Calibri" w:eastAsia="Calibri" w:hAnsi="Calibri"/>
      <w:i/>
      <w:szCs w:val="24"/>
      <w:lang w:val="en-US" w:eastAsia="en-US"/>
    </w:rPr>
  </w:style>
  <w:style w:type="character" w:customStyle="1" w:styleId="CitataDiagrama">
    <w:name w:val="Citata Diagrama"/>
    <w:basedOn w:val="Numatytasispastraiposriftas"/>
    <w:link w:val="Citata"/>
    <w:uiPriority w:val="29"/>
    <w:rsid w:val="00FA7B26"/>
    <w:rPr>
      <w:rFonts w:ascii="Calibri" w:eastAsia="Calibri" w:hAnsi="Calibri"/>
      <w:i/>
      <w:sz w:val="24"/>
      <w:szCs w:val="24"/>
      <w:lang w:val="en-US" w:eastAsia="en-US"/>
    </w:rPr>
  </w:style>
  <w:style w:type="paragraph" w:styleId="Iskirtacitata">
    <w:name w:val="Intense Quote"/>
    <w:basedOn w:val="prastasis"/>
    <w:next w:val="prastasis"/>
    <w:link w:val="IskirtacitataDiagrama"/>
    <w:uiPriority w:val="30"/>
    <w:qFormat/>
    <w:rsid w:val="00FA7B26"/>
    <w:pPr>
      <w:spacing w:line="276" w:lineRule="auto"/>
      <w:ind w:left="720" w:right="720"/>
      <w:jc w:val="both"/>
    </w:pPr>
    <w:rPr>
      <w:rFonts w:ascii="Calibri" w:eastAsia="Calibri" w:hAnsi="Calibri"/>
      <w:b/>
      <w:i/>
      <w:lang w:val="en-US" w:eastAsia="en-US"/>
    </w:rPr>
  </w:style>
  <w:style w:type="character" w:customStyle="1" w:styleId="IskirtacitataDiagrama">
    <w:name w:val="Išskirta citata Diagrama"/>
    <w:basedOn w:val="Numatytasispastraiposriftas"/>
    <w:link w:val="Iskirtacitata"/>
    <w:uiPriority w:val="30"/>
    <w:rsid w:val="00FA7B26"/>
    <w:rPr>
      <w:rFonts w:ascii="Calibri" w:eastAsia="Calibri" w:hAnsi="Calibri"/>
      <w:b/>
      <w:i/>
      <w:sz w:val="24"/>
      <w:lang w:val="en-US" w:eastAsia="en-US"/>
    </w:rPr>
  </w:style>
  <w:style w:type="character" w:styleId="Nerykuspabraukimas">
    <w:name w:val="Subtle Emphasis"/>
    <w:uiPriority w:val="19"/>
    <w:qFormat/>
    <w:rsid w:val="00FA7B26"/>
    <w:rPr>
      <w:i/>
      <w:color w:val="5A5A5A"/>
    </w:rPr>
  </w:style>
  <w:style w:type="character" w:styleId="Rykuspabraukimas">
    <w:name w:val="Intense Emphasis"/>
    <w:uiPriority w:val="21"/>
    <w:qFormat/>
    <w:rsid w:val="00FA7B26"/>
    <w:rPr>
      <w:b/>
      <w:i/>
      <w:sz w:val="24"/>
      <w:szCs w:val="24"/>
      <w:u w:val="single"/>
    </w:rPr>
  </w:style>
  <w:style w:type="character" w:styleId="Nerykinuoroda">
    <w:name w:val="Subtle Reference"/>
    <w:uiPriority w:val="31"/>
    <w:qFormat/>
    <w:rsid w:val="00FA7B26"/>
    <w:rPr>
      <w:sz w:val="24"/>
      <w:szCs w:val="24"/>
      <w:u w:val="single"/>
    </w:rPr>
  </w:style>
  <w:style w:type="character" w:styleId="Rykinuoroda">
    <w:name w:val="Intense Reference"/>
    <w:uiPriority w:val="32"/>
    <w:qFormat/>
    <w:rsid w:val="00FA7B26"/>
    <w:rPr>
      <w:b/>
      <w:sz w:val="24"/>
      <w:u w:val="single"/>
    </w:rPr>
  </w:style>
  <w:style w:type="character" w:styleId="Knygospavadinimas">
    <w:name w:val="Book Title"/>
    <w:uiPriority w:val="33"/>
    <w:qFormat/>
    <w:rsid w:val="00FA7B26"/>
    <w:rPr>
      <w:rFonts w:ascii="Cambria" w:eastAsia="Times New Roman" w:hAnsi="Cambria"/>
      <w:b/>
      <w:i/>
      <w:sz w:val="24"/>
      <w:szCs w:val="24"/>
    </w:rPr>
  </w:style>
  <w:style w:type="paragraph" w:customStyle="1" w:styleId="Sraopastraipa2">
    <w:name w:val="Sąrašo pastraipa2"/>
    <w:basedOn w:val="prastasis"/>
    <w:qFormat/>
    <w:rsid w:val="00FA7B26"/>
    <w:pPr>
      <w:spacing w:line="276" w:lineRule="auto"/>
      <w:ind w:left="720"/>
      <w:contextualSpacing/>
      <w:jc w:val="both"/>
    </w:pPr>
    <w:rPr>
      <w:szCs w:val="24"/>
    </w:rPr>
  </w:style>
  <w:style w:type="paragraph" w:styleId="Pagrindiniotekstotrauka">
    <w:name w:val="Body Text Indent"/>
    <w:basedOn w:val="prastasis"/>
    <w:link w:val="PagrindiniotekstotraukaDiagrama"/>
    <w:unhideWhenUsed/>
    <w:rsid w:val="00FA7B26"/>
    <w:pPr>
      <w:spacing w:after="120" w:line="276" w:lineRule="auto"/>
      <w:ind w:left="283"/>
      <w:jc w:val="both"/>
    </w:pPr>
    <w:rPr>
      <w:rFonts w:ascii="Calibri" w:eastAsia="Calibri" w:hAnsi="Calibri"/>
      <w:szCs w:val="24"/>
      <w:lang w:val="en-US" w:eastAsia="en-US" w:bidi="en-US"/>
    </w:rPr>
  </w:style>
  <w:style w:type="character" w:customStyle="1" w:styleId="PagrindiniotekstotraukaDiagrama">
    <w:name w:val="Pagrindinio teksto įtrauka Diagrama"/>
    <w:basedOn w:val="Numatytasispastraiposriftas"/>
    <w:link w:val="Pagrindiniotekstotrauka"/>
    <w:rsid w:val="00FA7B26"/>
    <w:rPr>
      <w:rFonts w:ascii="Calibri" w:eastAsia="Calibri" w:hAnsi="Calibri"/>
      <w:sz w:val="24"/>
      <w:szCs w:val="24"/>
      <w:lang w:val="en-US" w:eastAsia="en-US" w:bidi="en-US"/>
    </w:rPr>
  </w:style>
  <w:style w:type="paragraph" w:customStyle="1" w:styleId="ColorfulList-Accent11">
    <w:name w:val="Colorful List - Accent 11"/>
    <w:basedOn w:val="prastasis"/>
    <w:qFormat/>
    <w:rsid w:val="00FA7B26"/>
    <w:pPr>
      <w:spacing w:after="200" w:line="276" w:lineRule="auto"/>
      <w:ind w:left="720"/>
      <w:contextualSpacing/>
      <w:jc w:val="both"/>
    </w:pPr>
    <w:rPr>
      <w:rFonts w:eastAsia="Calibri"/>
      <w:szCs w:val="24"/>
      <w:lang w:eastAsia="en-US"/>
    </w:rPr>
  </w:style>
  <w:style w:type="paragraph" w:customStyle="1" w:styleId="Point0number">
    <w:name w:val="Point 0 (number)"/>
    <w:basedOn w:val="prastasis"/>
    <w:rsid w:val="00FA7B26"/>
    <w:pPr>
      <w:numPr>
        <w:numId w:val="18"/>
      </w:numPr>
      <w:spacing w:before="120" w:after="120"/>
      <w:jc w:val="both"/>
    </w:pPr>
    <w:rPr>
      <w:snapToGrid w:val="0"/>
      <w:szCs w:val="24"/>
      <w:lang w:eastAsia="en-GB"/>
    </w:rPr>
  </w:style>
  <w:style w:type="paragraph" w:customStyle="1" w:styleId="Point1number">
    <w:name w:val="Point 1 (number)"/>
    <w:basedOn w:val="prastasis"/>
    <w:rsid w:val="00FA7B26"/>
    <w:pPr>
      <w:numPr>
        <w:ilvl w:val="2"/>
        <w:numId w:val="18"/>
      </w:numPr>
      <w:spacing w:before="120" w:after="120"/>
      <w:jc w:val="both"/>
    </w:pPr>
    <w:rPr>
      <w:snapToGrid w:val="0"/>
      <w:szCs w:val="24"/>
      <w:lang w:eastAsia="en-GB"/>
    </w:rPr>
  </w:style>
  <w:style w:type="paragraph" w:customStyle="1" w:styleId="Point2number">
    <w:name w:val="Point 2 (number)"/>
    <w:basedOn w:val="prastasis"/>
    <w:rsid w:val="00FA7B26"/>
    <w:pPr>
      <w:numPr>
        <w:ilvl w:val="4"/>
        <w:numId w:val="18"/>
      </w:numPr>
      <w:spacing w:before="120" w:after="120"/>
      <w:jc w:val="both"/>
    </w:pPr>
    <w:rPr>
      <w:snapToGrid w:val="0"/>
      <w:szCs w:val="24"/>
      <w:lang w:eastAsia="en-GB"/>
    </w:rPr>
  </w:style>
  <w:style w:type="paragraph" w:customStyle="1" w:styleId="Point3number">
    <w:name w:val="Point 3 (number)"/>
    <w:basedOn w:val="prastasis"/>
    <w:rsid w:val="00FA7B26"/>
    <w:pPr>
      <w:numPr>
        <w:ilvl w:val="6"/>
        <w:numId w:val="18"/>
      </w:numPr>
      <w:spacing w:before="120" w:after="120"/>
      <w:jc w:val="both"/>
    </w:pPr>
    <w:rPr>
      <w:snapToGrid w:val="0"/>
      <w:szCs w:val="24"/>
      <w:lang w:eastAsia="en-GB"/>
    </w:rPr>
  </w:style>
  <w:style w:type="paragraph" w:customStyle="1" w:styleId="Point0letter">
    <w:name w:val="Point 0 (letter)"/>
    <w:basedOn w:val="prastasis"/>
    <w:rsid w:val="00FA7B26"/>
    <w:pPr>
      <w:numPr>
        <w:ilvl w:val="1"/>
        <w:numId w:val="18"/>
      </w:numPr>
      <w:spacing w:before="120" w:after="120"/>
      <w:jc w:val="both"/>
    </w:pPr>
    <w:rPr>
      <w:snapToGrid w:val="0"/>
      <w:szCs w:val="24"/>
      <w:lang w:eastAsia="en-GB"/>
    </w:rPr>
  </w:style>
  <w:style w:type="paragraph" w:customStyle="1" w:styleId="Point1letter">
    <w:name w:val="Point 1 (letter)"/>
    <w:basedOn w:val="prastasis"/>
    <w:rsid w:val="00FA7B26"/>
    <w:pPr>
      <w:numPr>
        <w:ilvl w:val="3"/>
        <w:numId w:val="18"/>
      </w:numPr>
      <w:spacing w:before="120" w:after="120"/>
      <w:jc w:val="both"/>
    </w:pPr>
    <w:rPr>
      <w:snapToGrid w:val="0"/>
      <w:szCs w:val="24"/>
      <w:lang w:eastAsia="en-GB"/>
    </w:rPr>
  </w:style>
  <w:style w:type="paragraph" w:customStyle="1" w:styleId="Point2letter">
    <w:name w:val="Point 2 (letter)"/>
    <w:basedOn w:val="prastasis"/>
    <w:rsid w:val="00FA7B26"/>
    <w:pPr>
      <w:numPr>
        <w:ilvl w:val="5"/>
        <w:numId w:val="18"/>
      </w:numPr>
      <w:spacing w:before="120" w:after="120"/>
      <w:jc w:val="both"/>
    </w:pPr>
    <w:rPr>
      <w:snapToGrid w:val="0"/>
      <w:szCs w:val="24"/>
      <w:lang w:eastAsia="en-GB"/>
    </w:rPr>
  </w:style>
  <w:style w:type="paragraph" w:customStyle="1" w:styleId="Point3letter">
    <w:name w:val="Point 3 (letter)"/>
    <w:basedOn w:val="prastasis"/>
    <w:rsid w:val="00FA7B26"/>
    <w:pPr>
      <w:numPr>
        <w:ilvl w:val="7"/>
        <w:numId w:val="18"/>
      </w:numPr>
      <w:spacing w:before="120" w:after="120"/>
      <w:jc w:val="both"/>
    </w:pPr>
    <w:rPr>
      <w:snapToGrid w:val="0"/>
      <w:szCs w:val="24"/>
      <w:lang w:eastAsia="en-GB"/>
    </w:rPr>
  </w:style>
  <w:style w:type="paragraph" w:customStyle="1" w:styleId="Point4letter">
    <w:name w:val="Point 4 (letter)"/>
    <w:basedOn w:val="prastasis"/>
    <w:rsid w:val="00FA7B26"/>
    <w:pPr>
      <w:numPr>
        <w:ilvl w:val="8"/>
        <w:numId w:val="18"/>
      </w:numPr>
      <w:spacing w:before="120" w:after="120"/>
      <w:jc w:val="both"/>
    </w:pPr>
    <w:rPr>
      <w:snapToGrid w:val="0"/>
      <w:szCs w:val="24"/>
      <w:lang w:eastAsia="en-GB"/>
    </w:rPr>
  </w:style>
  <w:style w:type="character" w:customStyle="1" w:styleId="hps">
    <w:name w:val="hps"/>
    <w:basedOn w:val="Numatytasispastraiposriftas"/>
    <w:rsid w:val="00FA7B26"/>
  </w:style>
  <w:style w:type="character" w:customStyle="1" w:styleId="ww-htmltypewriter">
    <w:name w:val="ww-htmltypewriter"/>
    <w:basedOn w:val="Numatytasispastraiposriftas"/>
    <w:rsid w:val="00FA7B26"/>
  </w:style>
  <w:style w:type="paragraph" w:customStyle="1" w:styleId="DiagramaDiagramaChar">
    <w:name w:val="Diagrama Diagrama Char"/>
    <w:basedOn w:val="prastasis"/>
    <w:rsid w:val="00FA7B26"/>
    <w:pPr>
      <w:spacing w:after="160" w:line="240" w:lineRule="exact"/>
    </w:pPr>
    <w:rPr>
      <w:rFonts w:ascii="Tahoma" w:hAnsi="Tahoma"/>
      <w:sz w:val="20"/>
      <w:lang w:val="en-US" w:eastAsia="en-US"/>
    </w:rPr>
  </w:style>
  <w:style w:type="paragraph" w:customStyle="1" w:styleId="Pagrindinistekstas1">
    <w:name w:val="Pagrindinis tekstas1"/>
    <w:basedOn w:val="prastasis"/>
    <w:rsid w:val="00FA7B26"/>
    <w:pPr>
      <w:suppressAutoHyphens/>
      <w:autoSpaceDE w:val="0"/>
      <w:autoSpaceDN w:val="0"/>
      <w:adjustRightInd w:val="0"/>
      <w:spacing w:line="298" w:lineRule="auto"/>
      <w:ind w:firstLine="312"/>
      <w:jc w:val="both"/>
      <w:textAlignment w:val="center"/>
    </w:pPr>
    <w:rPr>
      <w:color w:val="000000"/>
      <w:sz w:val="20"/>
      <w:lang w:val="en-US"/>
    </w:rPr>
  </w:style>
  <w:style w:type="character" w:customStyle="1" w:styleId="msoins0">
    <w:name w:val="msoins"/>
    <w:basedOn w:val="Numatytasispastraiposriftas"/>
    <w:rsid w:val="00FA7B26"/>
  </w:style>
  <w:style w:type="paragraph" w:customStyle="1" w:styleId="DefinitionTerm">
    <w:name w:val="Definition Term"/>
    <w:basedOn w:val="prastasis"/>
    <w:next w:val="prastasis"/>
    <w:rsid w:val="00FA7B26"/>
    <w:rPr>
      <w:szCs w:val="24"/>
    </w:rPr>
  </w:style>
  <w:style w:type="character" w:customStyle="1" w:styleId="PoratDiagrama1">
    <w:name w:val="Poraštė Diagrama1"/>
    <w:uiPriority w:val="99"/>
    <w:semiHidden/>
    <w:rsid w:val="00FA7B26"/>
    <w:rPr>
      <w:rFonts w:ascii="Times New Roman" w:eastAsia="Times New Roman" w:hAnsi="Times New Roman" w:cs="Times New Roman"/>
      <w:sz w:val="24"/>
      <w:szCs w:val="24"/>
      <w:lang w:eastAsia="lt-LT"/>
    </w:rPr>
  </w:style>
  <w:style w:type="paragraph" w:customStyle="1" w:styleId="sraopastraipa1">
    <w:name w:val="sraopastraipa1"/>
    <w:basedOn w:val="prastasis"/>
    <w:rsid w:val="00FA7B26"/>
    <w:pPr>
      <w:spacing w:before="100" w:beforeAutospacing="1" w:after="100" w:afterAutospacing="1"/>
    </w:pPr>
    <w:rPr>
      <w:rFonts w:eastAsia="Calibri"/>
      <w:szCs w:val="24"/>
    </w:rPr>
  </w:style>
  <w:style w:type="paragraph" w:customStyle="1" w:styleId="a3520normal">
    <w:name w:val="a___35__20_normal"/>
    <w:basedOn w:val="prastasis"/>
    <w:uiPriority w:val="99"/>
    <w:rsid w:val="00FA7B26"/>
    <w:pPr>
      <w:spacing w:after="120"/>
    </w:pPr>
    <w:rPr>
      <w:szCs w:val="24"/>
      <w:lang w:val="en-US" w:eastAsia="en-US"/>
    </w:rPr>
  </w:style>
  <w:style w:type="numbering" w:customStyle="1" w:styleId="Sraonra1">
    <w:name w:val="Sąrašo nėra1"/>
    <w:next w:val="Sraonra"/>
    <w:uiPriority w:val="99"/>
    <w:semiHidden/>
    <w:unhideWhenUsed/>
    <w:rsid w:val="00FA7B26"/>
  </w:style>
  <w:style w:type="numbering" w:customStyle="1" w:styleId="Sraonra11">
    <w:name w:val="Sąrašo nėra11"/>
    <w:next w:val="Sraonra"/>
    <w:uiPriority w:val="99"/>
    <w:semiHidden/>
    <w:unhideWhenUsed/>
    <w:rsid w:val="00FA7B26"/>
  </w:style>
  <w:style w:type="table" w:customStyle="1" w:styleId="Lentelstinklelis1">
    <w:name w:val="Lentelės tinklelis1"/>
    <w:basedOn w:val="prastojilentel"/>
    <w:next w:val="Lentelstinklelis"/>
    <w:uiPriority w:val="39"/>
    <w:rsid w:val="00FA7B2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1">
    <w:name w:val="Diagrama Diagrama Char1"/>
    <w:basedOn w:val="prastasis"/>
    <w:rsid w:val="00FA7B26"/>
    <w:pPr>
      <w:spacing w:after="160" w:line="240" w:lineRule="exact"/>
    </w:pPr>
    <w:rPr>
      <w:rFonts w:ascii="Tahoma" w:hAnsi="Tahoma"/>
      <w:sz w:val="20"/>
      <w:lang w:val="en-US" w:eastAsia="en-US"/>
    </w:rPr>
  </w:style>
  <w:style w:type="paragraph" w:customStyle="1" w:styleId="Pagrindinistekstas11">
    <w:name w:val="Pagrindinis tekstas11"/>
    <w:basedOn w:val="prastasis"/>
    <w:rsid w:val="00FA7B26"/>
    <w:pPr>
      <w:suppressAutoHyphens/>
      <w:autoSpaceDE w:val="0"/>
      <w:autoSpaceDN w:val="0"/>
      <w:adjustRightInd w:val="0"/>
      <w:spacing w:line="298" w:lineRule="auto"/>
      <w:ind w:firstLine="312"/>
      <w:jc w:val="both"/>
      <w:textAlignment w:val="center"/>
    </w:pPr>
    <w:rPr>
      <w:color w:val="000000"/>
      <w:sz w:val="20"/>
      <w:lang w:val="en-US"/>
    </w:rPr>
  </w:style>
  <w:style w:type="numbering" w:customStyle="1" w:styleId="Sraonra111">
    <w:name w:val="Sąrašo nėra111"/>
    <w:next w:val="Sraonra"/>
    <w:uiPriority w:val="99"/>
    <w:semiHidden/>
    <w:unhideWhenUsed/>
    <w:rsid w:val="00FA7B26"/>
  </w:style>
  <w:style w:type="character" w:customStyle="1" w:styleId="bumpedfont15">
    <w:name w:val="bumpedfont15"/>
    <w:basedOn w:val="Numatytasispastraiposriftas"/>
    <w:rsid w:val="00FA7B26"/>
  </w:style>
  <w:style w:type="paragraph" w:customStyle="1" w:styleId="BasicParagraph">
    <w:name w:val="[Basic Paragraph]"/>
    <w:basedOn w:val="prastasis"/>
    <w:uiPriority w:val="99"/>
    <w:rsid w:val="00FA7B26"/>
    <w:pPr>
      <w:suppressAutoHyphens/>
      <w:autoSpaceDE w:val="0"/>
      <w:autoSpaceDN w:val="0"/>
      <w:adjustRightInd w:val="0"/>
      <w:spacing w:line="288" w:lineRule="auto"/>
    </w:pPr>
    <w:rPr>
      <w:color w:val="000000"/>
      <w:szCs w:val="24"/>
      <w:lang w:eastAsia="en-US"/>
    </w:rPr>
  </w:style>
  <w:style w:type="paragraph" w:customStyle="1" w:styleId="TableContents">
    <w:name w:val="Table Contents"/>
    <w:basedOn w:val="prastasis"/>
    <w:rsid w:val="00FA7B26"/>
    <w:pPr>
      <w:suppressLineNumbers/>
      <w:suppressAutoHyphens/>
      <w:autoSpaceDN w:val="0"/>
      <w:textAlignment w:val="baseline"/>
    </w:pPr>
    <w:rPr>
      <w:color w:val="00000A"/>
      <w:kern w:val="3"/>
    </w:rPr>
  </w:style>
  <w:style w:type="character" w:customStyle="1" w:styleId="FollowedHyperlink1">
    <w:name w:val="FollowedHyperlink1"/>
    <w:basedOn w:val="Numatytasispastraiposriftas"/>
    <w:uiPriority w:val="99"/>
    <w:semiHidden/>
    <w:unhideWhenUsed/>
    <w:rsid w:val="00FA7B26"/>
    <w:rPr>
      <w:color w:val="800080"/>
      <w:u w:val="single"/>
    </w:rPr>
  </w:style>
  <w:style w:type="character" w:customStyle="1" w:styleId="FontStyle12">
    <w:name w:val="Font Style12"/>
    <w:uiPriority w:val="99"/>
    <w:qFormat/>
    <w:rsid w:val="00FA7B26"/>
    <w:rPr>
      <w:rFonts w:ascii="Times New Roman" w:hAnsi="Times New Roman" w:cs="Times New Roman" w:hint="default"/>
      <w:sz w:val="22"/>
    </w:rPr>
  </w:style>
  <w:style w:type="table" w:customStyle="1" w:styleId="Lentelstinklelis2">
    <w:name w:val="Lentelės tinklelis2"/>
    <w:basedOn w:val="prastojilentel"/>
    <w:next w:val="Lentelstinklelis"/>
    <w:uiPriority w:val="39"/>
    <w:rsid w:val="00FA7B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FA7B26"/>
    <w:pPr>
      <w:spacing w:before="100" w:beforeAutospacing="1" w:after="119"/>
      <w:ind w:firstLine="851"/>
      <w:jc w:val="both"/>
    </w:pPr>
    <w:rPr>
      <w:rFonts w:eastAsiaTheme="minorHAnsi"/>
      <w:color w:val="000000"/>
      <w:szCs w:val="24"/>
    </w:rPr>
  </w:style>
  <w:style w:type="character" w:customStyle="1" w:styleId="apple-converted-space">
    <w:name w:val="apple-converted-space"/>
    <w:basedOn w:val="Numatytasispastraiposriftas"/>
    <w:rsid w:val="00FA7B26"/>
  </w:style>
  <w:style w:type="character" w:customStyle="1" w:styleId="Numatytasispastraiposriftas1">
    <w:name w:val="Numatytasis pastraipos šriftas1"/>
    <w:qFormat/>
    <w:rsid w:val="00FA7B26"/>
  </w:style>
  <w:style w:type="paragraph" w:customStyle="1" w:styleId="Betarp1">
    <w:name w:val="Be tarpų1"/>
    <w:rsid w:val="00FA7B26"/>
    <w:pPr>
      <w:suppressAutoHyphens/>
    </w:pPr>
    <w:rPr>
      <w:rFonts w:ascii="Calibri" w:hAnsi="Calibri"/>
      <w:color w:val="00000A"/>
      <w:kern w:val="1"/>
      <w:sz w:val="22"/>
      <w:szCs w:val="22"/>
      <w:lang w:val="en-US" w:eastAsia="en-US"/>
    </w:rPr>
  </w:style>
  <w:style w:type="paragraph" w:customStyle="1" w:styleId="Lentelsturinys">
    <w:name w:val="Lentelės turinys"/>
    <w:basedOn w:val="prastasis"/>
    <w:rsid w:val="00FA7B26"/>
    <w:pPr>
      <w:suppressLineNumbers/>
      <w:suppressAutoHyphens/>
      <w:textAlignment w:val="baseline"/>
    </w:pPr>
    <w:rPr>
      <w:color w:val="00000A"/>
      <w:kern w:val="1"/>
    </w:rPr>
  </w:style>
  <w:style w:type="paragraph" w:customStyle="1" w:styleId="Sraopastraipa10">
    <w:name w:val="Sąrašo pastraipa1"/>
    <w:basedOn w:val="prastasis"/>
    <w:qFormat/>
    <w:rsid w:val="00FA7B26"/>
    <w:pPr>
      <w:shd w:val="clear" w:color="auto" w:fill="B6DDE8" w:themeFill="accent5" w:themeFillTint="66"/>
      <w:suppressAutoHyphens/>
      <w:spacing w:after="240" w:line="276" w:lineRule="auto"/>
      <w:contextualSpacing/>
      <w:jc w:val="both"/>
    </w:pPr>
    <w:rPr>
      <w:rFonts w:eastAsia="Calibri"/>
      <w:color w:val="00000A"/>
      <w:kern w:val="1"/>
      <w:szCs w:val="22"/>
      <w:lang w:eastAsia="en-US"/>
    </w:rPr>
  </w:style>
  <w:style w:type="character" w:customStyle="1" w:styleId="nwt1">
    <w:name w:val="nwt1"/>
    <w:rsid w:val="00FA7B26"/>
    <w:rPr>
      <w:vertAlign w:val="baseline"/>
    </w:rPr>
  </w:style>
  <w:style w:type="paragraph" w:styleId="Pagrindinistekstas3">
    <w:name w:val="Body Text 3"/>
    <w:basedOn w:val="prastasis"/>
    <w:link w:val="Pagrindinistekstas3Diagrama"/>
    <w:rsid w:val="00FA7B26"/>
    <w:pPr>
      <w:suppressAutoHyphens/>
      <w:autoSpaceDN w:val="0"/>
      <w:spacing w:after="120" w:line="276" w:lineRule="auto"/>
      <w:textAlignment w:val="baseline"/>
    </w:pPr>
    <w:rPr>
      <w:rFonts w:ascii="Calibri" w:eastAsia="Calibri" w:hAnsi="Calibri"/>
      <w:sz w:val="16"/>
      <w:szCs w:val="16"/>
      <w:lang w:eastAsia="en-US"/>
    </w:rPr>
  </w:style>
  <w:style w:type="character" w:customStyle="1" w:styleId="Pagrindinistekstas3Diagrama">
    <w:name w:val="Pagrindinis tekstas 3 Diagrama"/>
    <w:basedOn w:val="Numatytasispastraiposriftas"/>
    <w:link w:val="Pagrindinistekstas3"/>
    <w:rsid w:val="00FA7B26"/>
    <w:rPr>
      <w:rFonts w:ascii="Calibri" w:eastAsia="Calibri" w:hAnsi="Calibri"/>
      <w:sz w:val="16"/>
      <w:szCs w:val="16"/>
      <w:lang w:eastAsia="en-US"/>
    </w:rPr>
  </w:style>
  <w:style w:type="numbering" w:customStyle="1" w:styleId="NoList3">
    <w:name w:val="No List3"/>
    <w:next w:val="Sraonra"/>
    <w:uiPriority w:val="99"/>
    <w:semiHidden/>
    <w:unhideWhenUsed/>
    <w:rsid w:val="00FA7B26"/>
  </w:style>
  <w:style w:type="numbering" w:customStyle="1" w:styleId="Sraonra12">
    <w:name w:val="Sąrašo nėra12"/>
    <w:next w:val="Sraonra"/>
    <w:uiPriority w:val="99"/>
    <w:semiHidden/>
    <w:unhideWhenUsed/>
    <w:rsid w:val="00FA7B26"/>
  </w:style>
  <w:style w:type="numbering" w:customStyle="1" w:styleId="Sraonra112">
    <w:name w:val="Sąrašo nėra112"/>
    <w:next w:val="Sraonra"/>
    <w:uiPriority w:val="99"/>
    <w:semiHidden/>
    <w:unhideWhenUsed/>
    <w:rsid w:val="00FA7B26"/>
  </w:style>
  <w:style w:type="table" w:customStyle="1" w:styleId="Lentelstinklelis11">
    <w:name w:val="Lentelės tinklelis11"/>
    <w:basedOn w:val="prastojilentel"/>
    <w:next w:val="Lentelstinklelis"/>
    <w:uiPriority w:val="39"/>
    <w:rsid w:val="00FA7B2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uiPriority w:val="99"/>
    <w:semiHidden/>
    <w:unhideWhenUsed/>
    <w:rsid w:val="00FA7B26"/>
  </w:style>
  <w:style w:type="table" w:customStyle="1" w:styleId="Lentelstinklelis21">
    <w:name w:val="Lentelės tinklelis21"/>
    <w:basedOn w:val="prastojilentel"/>
    <w:next w:val="Lentelstinklelis"/>
    <w:uiPriority w:val="39"/>
    <w:rsid w:val="00FA7B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prastojilentel"/>
    <w:uiPriority w:val="99"/>
    <w:rsid w:val="00FA7B26"/>
    <w:rPr>
      <w:rFonts w:eastAsiaTheme="minorHAnsi" w:cstheme="minorBidi"/>
      <w:szCs w:val="22"/>
      <w:lang w:eastAsia="en-US"/>
    </w:rPr>
    <w:tblPr/>
  </w:style>
  <w:style w:type="numbering" w:customStyle="1" w:styleId="NoList4">
    <w:name w:val="No List4"/>
    <w:next w:val="Sraonra"/>
    <w:uiPriority w:val="99"/>
    <w:semiHidden/>
    <w:unhideWhenUsed/>
    <w:rsid w:val="00FA7B26"/>
  </w:style>
  <w:style w:type="paragraph" w:customStyle="1" w:styleId="TOC31">
    <w:name w:val="TOC 31"/>
    <w:basedOn w:val="prastasis"/>
    <w:next w:val="prastasis"/>
    <w:autoRedefine/>
    <w:uiPriority w:val="39"/>
    <w:rsid w:val="00FA7B26"/>
    <w:pPr>
      <w:tabs>
        <w:tab w:val="right" w:leader="dot" w:pos="9629"/>
      </w:tabs>
      <w:spacing w:after="100" w:line="300" w:lineRule="auto"/>
      <w:ind w:left="284"/>
    </w:pPr>
    <w:rPr>
      <w:rFonts w:ascii="Cambria" w:hAnsi="Cambria" w:cstheme="minorBidi"/>
      <w:caps/>
      <w:noProof/>
      <w:color w:val="7030A0"/>
      <w:sz w:val="21"/>
      <w:szCs w:val="21"/>
      <w:lang w:eastAsia="en-US"/>
    </w:rPr>
  </w:style>
  <w:style w:type="character" w:customStyle="1" w:styleId="HTMLspausdinimomainl1">
    <w:name w:val="HTML spausdinimo mašinėlė1"/>
    <w:rsid w:val="00FA7B26"/>
    <w:rPr>
      <w:rFonts w:ascii="Courier New" w:eastAsia="Times New Roman" w:hAnsi="Courier New" w:cs="Tahoma"/>
      <w:sz w:val="20"/>
      <w:szCs w:val="20"/>
    </w:rPr>
  </w:style>
  <w:style w:type="paragraph" w:styleId="Paprastasistekstas">
    <w:name w:val="Plain Text"/>
    <w:basedOn w:val="prastasis"/>
    <w:link w:val="PaprastasistekstasDiagrama"/>
    <w:uiPriority w:val="99"/>
    <w:rsid w:val="00FA7B26"/>
    <w:rPr>
      <w:rFonts w:ascii="Courier New" w:hAnsi="Courier New"/>
      <w:sz w:val="20"/>
      <w:lang w:eastAsia="en-US"/>
    </w:rPr>
  </w:style>
  <w:style w:type="character" w:customStyle="1" w:styleId="PaprastasistekstasDiagrama">
    <w:name w:val="Paprastasis tekstas Diagrama"/>
    <w:basedOn w:val="Numatytasispastraiposriftas"/>
    <w:link w:val="Paprastasistekstas"/>
    <w:uiPriority w:val="99"/>
    <w:rsid w:val="00FA7B26"/>
    <w:rPr>
      <w:rFonts w:ascii="Courier New" w:hAnsi="Courier New"/>
      <w:lang w:eastAsia="en-US"/>
    </w:rPr>
  </w:style>
  <w:style w:type="paragraph" w:customStyle="1" w:styleId="Normal1">
    <w:name w:val="Normal1"/>
    <w:rsid w:val="00FA7B26"/>
    <w:pPr>
      <w:widowControl w:val="0"/>
    </w:pPr>
    <w:rPr>
      <w:rFonts w:eastAsia="Arial Unicode MS" w:cs="Mangal"/>
      <w:kern w:val="1"/>
      <w:sz w:val="24"/>
      <w:szCs w:val="24"/>
      <w:lang w:eastAsia="hi-IN" w:bidi="hi-IN"/>
    </w:rPr>
  </w:style>
  <w:style w:type="paragraph" w:customStyle="1" w:styleId="CharChar1Diagrama">
    <w:name w:val="Char Char1 Diagrama"/>
    <w:basedOn w:val="prastasis"/>
    <w:rsid w:val="00FA7B26"/>
    <w:pPr>
      <w:spacing w:after="160" w:line="240" w:lineRule="exact"/>
    </w:pPr>
    <w:rPr>
      <w:rFonts w:ascii="Tahoma" w:hAnsi="Tahoma"/>
      <w:sz w:val="20"/>
      <w:lang w:val="en-US" w:eastAsia="en-US"/>
    </w:rPr>
  </w:style>
  <w:style w:type="paragraph" w:customStyle="1" w:styleId="ListBullet1">
    <w:name w:val="List Bullet1"/>
    <w:basedOn w:val="prastasis"/>
    <w:next w:val="Sraassuenkleliais"/>
    <w:uiPriority w:val="99"/>
    <w:unhideWhenUsed/>
    <w:rsid w:val="00FA7B26"/>
    <w:pPr>
      <w:numPr>
        <w:numId w:val="20"/>
      </w:numPr>
      <w:tabs>
        <w:tab w:val="clear" w:pos="360"/>
      </w:tabs>
      <w:spacing w:after="200" w:line="276" w:lineRule="auto"/>
      <w:ind w:left="1287"/>
      <w:contextualSpacing/>
    </w:pPr>
    <w:rPr>
      <w:rFonts w:ascii="Calibri" w:eastAsia="SimSun" w:hAnsi="Calibri" w:cstheme="minorBidi"/>
      <w:sz w:val="22"/>
      <w:szCs w:val="22"/>
      <w:lang w:val="en-US" w:eastAsia="en-US"/>
    </w:rPr>
  </w:style>
  <w:style w:type="paragraph" w:styleId="Pagrindiniotekstotrauka2">
    <w:name w:val="Body Text Indent 2"/>
    <w:basedOn w:val="prastasis"/>
    <w:link w:val="Pagrindiniotekstotrauka2Diagrama"/>
    <w:rsid w:val="00FA7B26"/>
    <w:pPr>
      <w:ind w:left="1080" w:firstLine="30"/>
      <w:jc w:val="both"/>
    </w:pPr>
    <w:rPr>
      <w:sz w:val="22"/>
      <w:lang w:eastAsia="en-US"/>
    </w:rPr>
  </w:style>
  <w:style w:type="character" w:customStyle="1" w:styleId="Pagrindiniotekstotrauka2Diagrama">
    <w:name w:val="Pagrindinio teksto įtrauka 2 Diagrama"/>
    <w:basedOn w:val="Numatytasispastraiposriftas"/>
    <w:link w:val="Pagrindiniotekstotrauka2"/>
    <w:rsid w:val="00FA7B26"/>
    <w:rPr>
      <w:sz w:val="22"/>
      <w:lang w:eastAsia="en-US"/>
    </w:rPr>
  </w:style>
  <w:style w:type="paragraph" w:customStyle="1" w:styleId="BodyText21">
    <w:name w:val="Body Text 21"/>
    <w:basedOn w:val="prastasis"/>
    <w:rsid w:val="00FA7B26"/>
    <w:pPr>
      <w:jc w:val="both"/>
    </w:pPr>
    <w:rPr>
      <w:sz w:val="20"/>
      <w:lang w:val="en-US" w:eastAsia="en-US"/>
    </w:rPr>
  </w:style>
  <w:style w:type="paragraph" w:customStyle="1" w:styleId="H2">
    <w:name w:val="H2"/>
    <w:basedOn w:val="prastasis"/>
    <w:next w:val="prastasis"/>
    <w:rsid w:val="00FA7B26"/>
    <w:pPr>
      <w:keepNext/>
      <w:spacing w:before="100" w:after="100"/>
    </w:pPr>
    <w:rPr>
      <w:b/>
      <w:sz w:val="36"/>
      <w:lang w:eastAsia="en-US"/>
    </w:rPr>
  </w:style>
  <w:style w:type="paragraph" w:customStyle="1" w:styleId="DefinitionList">
    <w:name w:val="Definition List"/>
    <w:basedOn w:val="prastasis"/>
    <w:next w:val="DefinitionTerm"/>
    <w:rsid w:val="00FA7B26"/>
    <w:pPr>
      <w:ind w:left="360"/>
    </w:pPr>
    <w:rPr>
      <w:lang w:eastAsia="en-US"/>
    </w:rPr>
  </w:style>
  <w:style w:type="paragraph" w:customStyle="1" w:styleId="BodyText22">
    <w:name w:val="Body Text 22"/>
    <w:basedOn w:val="prastasis"/>
    <w:rsid w:val="00FA7B26"/>
    <w:pPr>
      <w:ind w:firstLine="284"/>
    </w:pPr>
    <w:rPr>
      <w:lang w:eastAsia="en-US"/>
    </w:rPr>
  </w:style>
  <w:style w:type="paragraph" w:customStyle="1" w:styleId="H1">
    <w:name w:val="H1"/>
    <w:basedOn w:val="prastasis"/>
    <w:next w:val="prastasis"/>
    <w:rsid w:val="00FA7B26"/>
    <w:pPr>
      <w:keepNext/>
      <w:spacing w:before="100" w:after="100"/>
    </w:pPr>
    <w:rPr>
      <w:b/>
      <w:kern w:val="36"/>
      <w:sz w:val="48"/>
      <w:lang w:eastAsia="en-US"/>
    </w:rPr>
  </w:style>
  <w:style w:type="paragraph" w:customStyle="1" w:styleId="Linija">
    <w:name w:val="Linija"/>
    <w:basedOn w:val="prastasis"/>
    <w:rsid w:val="00FA7B26"/>
    <w:pPr>
      <w:jc w:val="center"/>
    </w:pPr>
    <w:rPr>
      <w:rFonts w:ascii="TimesLT" w:hAnsi="TimesLT"/>
      <w:snapToGrid w:val="0"/>
      <w:sz w:val="12"/>
      <w:lang w:val="en-US" w:eastAsia="en-US"/>
    </w:rPr>
  </w:style>
  <w:style w:type="paragraph" w:customStyle="1" w:styleId="Pavadinimas2">
    <w:name w:val="Pavadinimas2"/>
    <w:rsid w:val="00FA7B26"/>
    <w:pPr>
      <w:ind w:left="850"/>
    </w:pPr>
    <w:rPr>
      <w:rFonts w:ascii="TimesLT" w:hAnsi="TimesLT"/>
      <w:b/>
      <w:caps/>
      <w:snapToGrid w:val="0"/>
      <w:sz w:val="22"/>
      <w:lang w:val="en-US" w:eastAsia="en-US"/>
    </w:rPr>
  </w:style>
  <w:style w:type="paragraph" w:customStyle="1" w:styleId="ISTATYMAS">
    <w:name w:val="ISTATYMAS"/>
    <w:rsid w:val="00FA7B26"/>
    <w:pPr>
      <w:jc w:val="center"/>
    </w:pPr>
    <w:rPr>
      <w:rFonts w:ascii="TimesLT" w:hAnsi="TimesLT"/>
      <w:snapToGrid w:val="0"/>
      <w:lang w:val="en-US" w:eastAsia="en-US"/>
    </w:rPr>
  </w:style>
  <w:style w:type="paragraph" w:customStyle="1" w:styleId="Prezidentas">
    <w:name w:val="Prezidentas"/>
    <w:rsid w:val="00FA7B26"/>
    <w:pPr>
      <w:tabs>
        <w:tab w:val="right" w:pos="9808"/>
      </w:tabs>
    </w:pPr>
    <w:rPr>
      <w:rFonts w:ascii="TimesLT" w:hAnsi="TimesLT"/>
      <w:caps/>
      <w:snapToGrid w:val="0"/>
      <w:lang w:val="en-US" w:eastAsia="en-US"/>
    </w:rPr>
  </w:style>
  <w:style w:type="paragraph" w:customStyle="1" w:styleId="Patvirtinta">
    <w:name w:val="Patvirtinta"/>
    <w:rsid w:val="00FA7B26"/>
    <w:pPr>
      <w:tabs>
        <w:tab w:val="left" w:pos="1304"/>
        <w:tab w:val="left" w:pos="1457"/>
        <w:tab w:val="left" w:pos="1604"/>
        <w:tab w:val="left" w:pos="1757"/>
      </w:tabs>
      <w:ind w:left="5953"/>
      <w:jc w:val="center"/>
    </w:pPr>
    <w:rPr>
      <w:rFonts w:ascii="TimesLT" w:hAnsi="TimesLT"/>
      <w:snapToGrid w:val="0"/>
      <w:lang w:val="en-US" w:eastAsia="en-US"/>
    </w:rPr>
  </w:style>
  <w:style w:type="paragraph" w:styleId="Tekstoblokas">
    <w:name w:val="Block Text"/>
    <w:basedOn w:val="prastasis"/>
    <w:rsid w:val="00FA7B26"/>
    <w:pPr>
      <w:ind w:left="-851" w:right="-1043"/>
      <w:jc w:val="both"/>
    </w:pPr>
    <w:rPr>
      <w:rFonts w:ascii="TimesLT" w:hAnsi="TimesLT"/>
      <w:lang w:eastAsia="en-US"/>
    </w:rPr>
  </w:style>
  <w:style w:type="character" w:customStyle="1" w:styleId="Typewriter">
    <w:name w:val="Typewriter"/>
    <w:rsid w:val="00FA7B26"/>
    <w:rPr>
      <w:rFonts w:ascii="Courier New" w:hAnsi="Courier New"/>
      <w:sz w:val="20"/>
    </w:rPr>
  </w:style>
  <w:style w:type="character" w:customStyle="1" w:styleId="DokumentostruktraDiagrama">
    <w:name w:val="Dokumento struktūra Diagrama"/>
    <w:basedOn w:val="Numatytasispastraiposriftas"/>
    <w:link w:val="Dokumentostruktra"/>
    <w:semiHidden/>
    <w:rsid w:val="00FA7B26"/>
    <w:rPr>
      <w:rFonts w:ascii="Tahoma" w:hAnsi="Tahoma"/>
      <w:shd w:val="clear" w:color="auto" w:fill="000080"/>
    </w:rPr>
  </w:style>
  <w:style w:type="paragraph" w:styleId="Dokumentostruktra">
    <w:name w:val="Document Map"/>
    <w:basedOn w:val="prastasis"/>
    <w:link w:val="DokumentostruktraDiagrama"/>
    <w:semiHidden/>
    <w:rsid w:val="00FA7B26"/>
    <w:pPr>
      <w:shd w:val="clear" w:color="auto" w:fill="000080"/>
    </w:pPr>
    <w:rPr>
      <w:rFonts w:ascii="Tahoma" w:hAnsi="Tahoma"/>
      <w:sz w:val="20"/>
    </w:rPr>
  </w:style>
  <w:style w:type="character" w:customStyle="1" w:styleId="DokumentostruktraDiagrama1">
    <w:name w:val="Dokumento struktūra Diagrama1"/>
    <w:basedOn w:val="Numatytasispastraiposriftas"/>
    <w:uiPriority w:val="99"/>
    <w:semiHidden/>
    <w:rsid w:val="00FA7B26"/>
    <w:rPr>
      <w:rFonts w:ascii="Segoe UI" w:hAnsi="Segoe UI" w:cs="Segoe UI"/>
      <w:sz w:val="16"/>
      <w:szCs w:val="16"/>
    </w:rPr>
  </w:style>
  <w:style w:type="character" w:customStyle="1" w:styleId="DocumentMapChar1">
    <w:name w:val="Document Map Char1"/>
    <w:basedOn w:val="Numatytasispastraiposriftas"/>
    <w:uiPriority w:val="99"/>
    <w:semiHidden/>
    <w:rsid w:val="00FA7B26"/>
    <w:rPr>
      <w:rFonts w:ascii="Segoe UI" w:hAnsi="Segoe UI" w:cs="Segoe UI"/>
      <w:sz w:val="16"/>
      <w:szCs w:val="16"/>
    </w:rPr>
  </w:style>
  <w:style w:type="paragraph" w:customStyle="1" w:styleId="Pavadinimas1">
    <w:name w:val="Pavadinimas1"/>
    <w:rsid w:val="00FA7B26"/>
    <w:pPr>
      <w:ind w:left="850"/>
    </w:pPr>
    <w:rPr>
      <w:rFonts w:ascii="TimesLT" w:hAnsi="TimesLT"/>
      <w:b/>
      <w:caps/>
      <w:snapToGrid w:val="0"/>
      <w:sz w:val="22"/>
      <w:lang w:val="en-US" w:eastAsia="en-US"/>
    </w:rPr>
  </w:style>
  <w:style w:type="paragraph" w:customStyle="1" w:styleId="statymopavad">
    <w:name w:val="Ástatymo pavad."/>
    <w:basedOn w:val="prastasis"/>
    <w:rsid w:val="00FA7B26"/>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FA7B26"/>
    <w:pPr>
      <w:spacing w:after="160" w:line="240" w:lineRule="exact"/>
    </w:pPr>
    <w:rPr>
      <w:rFonts w:ascii="Tahoma" w:hAnsi="Tahoma"/>
      <w:sz w:val="20"/>
      <w:lang w:eastAsia="en-US"/>
    </w:rPr>
  </w:style>
  <w:style w:type="paragraph" w:customStyle="1" w:styleId="CentrBold">
    <w:name w:val="CentrBold"/>
    <w:rsid w:val="00FA7B26"/>
    <w:pPr>
      <w:jc w:val="center"/>
    </w:pPr>
    <w:rPr>
      <w:rFonts w:ascii="TimesLT" w:hAnsi="TimesLT"/>
      <w:b/>
      <w:caps/>
      <w:lang w:val="en-GB" w:eastAsia="en-US"/>
    </w:rPr>
  </w:style>
  <w:style w:type="character" w:customStyle="1" w:styleId="Sample">
    <w:name w:val="Sample"/>
    <w:rsid w:val="00FA7B26"/>
    <w:rPr>
      <w:rFonts w:ascii="Courier New" w:hAnsi="Courier New"/>
    </w:rPr>
  </w:style>
  <w:style w:type="paragraph" w:customStyle="1" w:styleId="DiagramaCharCharCharDiagramaCharDiagramaCharCharDiagramaCharDiagramaCharDiagrama">
    <w:name w:val="Diagrama Char Char Char Diagrama Char Diagrama Char Char Diagrama Char Diagrama Char Diagrama"/>
    <w:basedOn w:val="prastasis"/>
    <w:rsid w:val="00FA7B26"/>
    <w:pPr>
      <w:spacing w:after="160" w:line="240" w:lineRule="exact"/>
    </w:pPr>
    <w:rPr>
      <w:rFonts w:ascii="Tahoma" w:hAnsi="Tahoma"/>
      <w:sz w:val="20"/>
      <w:lang w:val="en-US" w:eastAsia="en-US"/>
    </w:rPr>
  </w:style>
  <w:style w:type="character" w:customStyle="1" w:styleId="TitleHeader2CharChar">
    <w:name w:val="Title Header2 Char Char"/>
    <w:rsid w:val="00FA7B26"/>
    <w:rPr>
      <w:b/>
      <w:caps/>
      <w:sz w:val="24"/>
      <w:lang w:eastAsia="en-US"/>
    </w:rPr>
  </w:style>
  <w:style w:type="paragraph" w:customStyle="1" w:styleId="CharChar3DiagramaDiagramaCharCharDiagramaDiagramaCharCharDiagramaDiagramaDiagrama">
    <w:name w:val="Char Char3 Diagrama Diagrama Char Char Diagrama Diagrama Char Char Diagrama Diagrama Diagrama"/>
    <w:basedOn w:val="prastasis"/>
    <w:rsid w:val="00FA7B26"/>
    <w:pPr>
      <w:spacing w:after="160" w:line="240" w:lineRule="exact"/>
    </w:pPr>
    <w:rPr>
      <w:rFonts w:ascii="Tahoma" w:hAnsi="Tahoma"/>
      <w:sz w:val="20"/>
      <w:lang w:val="en-US" w:eastAsia="en-US"/>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rsid w:val="00FA7B26"/>
    <w:pPr>
      <w:spacing w:after="160" w:line="240" w:lineRule="exact"/>
    </w:pPr>
    <w:rPr>
      <w:rFonts w:ascii="Tahoma" w:hAnsi="Tahoma"/>
      <w:sz w:val="20"/>
      <w:lang w:val="en-US" w:eastAsia="en-US"/>
    </w:rPr>
  </w:style>
  <w:style w:type="paragraph" w:customStyle="1" w:styleId="DiagramaDiagrama2CharCharDiagramaDiagramaCharCharCharCharCharCharDiagramaDiagrama">
    <w:name w:val="Diagrama Diagrama2 Char Char Diagrama Diagrama Char Char Char Char Char Char Diagrama Diagrama"/>
    <w:basedOn w:val="prastasis"/>
    <w:rsid w:val="00FA7B26"/>
    <w:pPr>
      <w:spacing w:after="160" w:line="240" w:lineRule="exact"/>
    </w:pPr>
    <w:rPr>
      <w:rFonts w:ascii="Tahoma" w:hAnsi="Tahoma"/>
      <w:sz w:val="20"/>
      <w:lang w:val="en-US" w:eastAsia="en-US"/>
    </w:rPr>
  </w:style>
  <w:style w:type="character" w:customStyle="1" w:styleId="CommentSubjectChar1">
    <w:name w:val="Comment Subject Char1"/>
    <w:basedOn w:val="KomentarotekstasDiagrama"/>
    <w:uiPriority w:val="99"/>
    <w:semiHidden/>
    <w:rsid w:val="00FA7B26"/>
    <w:rPr>
      <w:rFonts w:ascii="Times New Roman" w:eastAsia="Calibri" w:hAnsi="Times New Roman" w:cs="Times New Roman"/>
      <w:b/>
      <w:bCs/>
      <w:sz w:val="20"/>
      <w:szCs w:val="20"/>
      <w:lang w:val="lt-LT"/>
    </w:rPr>
  </w:style>
  <w:style w:type="paragraph" w:customStyle="1" w:styleId="CharChar1DiagramaDiagramaCharCharDiagramaDiagramaCharCharDiagramaDiagramaCharCharDiagramaDiagramaCharCharCharChar">
    <w:name w:val="Char Char1 Diagrama Diagrama Char Char Diagrama Diagrama Char Char Diagrama Diagrama Char Char Diagrama Diagrama Char Char Char Char"/>
    <w:basedOn w:val="prastasis"/>
    <w:rsid w:val="00FA7B26"/>
    <w:pPr>
      <w:spacing w:after="160" w:line="240" w:lineRule="exact"/>
    </w:pPr>
    <w:rPr>
      <w:rFonts w:ascii="Tahoma" w:hAnsi="Tahoma"/>
      <w:sz w:val="20"/>
      <w:lang w:val="en-US" w:eastAsia="en-US"/>
    </w:rPr>
  </w:style>
  <w:style w:type="character" w:customStyle="1" w:styleId="apple-style-span">
    <w:name w:val="apple-style-span"/>
    <w:basedOn w:val="Numatytasispastraiposriftas"/>
    <w:uiPriority w:val="99"/>
    <w:rsid w:val="00FA7B26"/>
  </w:style>
  <w:style w:type="paragraph" w:customStyle="1" w:styleId="CharChar1DiagramaDiagramaCharCharDiagramaDiagramaCharCharDiagramaDiagramaCharCharDiagramaDiagramaCharCharCharChar1">
    <w:name w:val="Char Char1 Diagrama Diagrama Char Char Diagrama Diagrama Char Char Diagrama Diagrama Char Char Diagrama Diagrama Char Char Char Char1"/>
    <w:basedOn w:val="prastasis"/>
    <w:rsid w:val="00FA7B26"/>
    <w:pPr>
      <w:spacing w:after="160" w:line="240" w:lineRule="exact"/>
    </w:pPr>
    <w:rPr>
      <w:rFonts w:ascii="Tahoma" w:hAnsi="Tahoma"/>
      <w:sz w:val="20"/>
      <w:lang w:val="en-US" w:eastAsia="en-US"/>
    </w:rPr>
  </w:style>
  <w:style w:type="paragraph" w:customStyle="1" w:styleId="sectionaprs">
    <w:name w:val="section_après"/>
    <w:basedOn w:val="prastasis"/>
    <w:rsid w:val="00FA7B26"/>
    <w:pPr>
      <w:spacing w:after="120"/>
      <w:ind w:left="3402"/>
      <w:jc w:val="both"/>
    </w:pPr>
    <w:rPr>
      <w:rFonts w:ascii="Optima" w:hAnsi="Optima"/>
      <w:sz w:val="22"/>
      <w:lang w:val="en-GB" w:eastAsia="en-US"/>
    </w:rPr>
  </w:style>
  <w:style w:type="paragraph" w:customStyle="1" w:styleId="xl37">
    <w:name w:val="xl37"/>
    <w:basedOn w:val="prastasis"/>
    <w:rsid w:val="00FA7B26"/>
    <w:pPr>
      <w:pBdr>
        <w:left w:val="single" w:sz="4" w:space="0" w:color="auto"/>
        <w:bottom w:val="single" w:sz="4" w:space="0" w:color="auto"/>
        <w:right w:val="single" w:sz="4" w:space="0" w:color="auto"/>
      </w:pBdr>
      <w:spacing w:before="100" w:after="100"/>
    </w:pPr>
    <w:rPr>
      <w:rFonts w:ascii="Arial" w:hAnsi="Arial"/>
      <w:b/>
      <w:lang w:eastAsia="en-US"/>
    </w:rPr>
  </w:style>
  <w:style w:type="paragraph" w:customStyle="1" w:styleId="CharChar1DiagramaDiagramaCharCharDiagramaDiagramaCharCharDiagramaDiagramaCharCharDiagramaDiagramaCharCharCharCharDiagramaDiagramaCharChar1DiagramaDiagrama">
    <w:name w:val="Char Char1 Diagrama Diagrama Char Char Diagrama Diagrama Char Char Diagrama Diagrama Char Char Diagrama Diagrama Char Char Char Char Diagrama Diagrama Char Char1 Diagrama Diagrama"/>
    <w:basedOn w:val="prastasis"/>
    <w:rsid w:val="00FA7B26"/>
    <w:pPr>
      <w:spacing w:after="160" w:line="240" w:lineRule="exact"/>
    </w:pPr>
    <w:rPr>
      <w:rFonts w:ascii="Tahoma" w:hAnsi="Tahoma"/>
      <w:sz w:val="20"/>
      <w:lang w:val="en-US" w:eastAsia="en-US"/>
    </w:rPr>
  </w:style>
  <w:style w:type="paragraph" w:customStyle="1" w:styleId="CharChar1DiagramaDiagramaCharCharDiagramaDiagramaCharCharDiagramaDiagramaCharCharDiagramaDiagramaCharCharCharCharDiagramaDiagramaCharChar1DiagramaDiagramaDiagramaDiagramaCharCharDiagramaCharChar">
    <w:name w:val="Char Char1 Diagrama Diagrama Char Char Diagrama Diagrama Char Char Diagrama Diagrama Char Char Diagrama Diagrama Char Char Char Char Diagrama Diagrama Char Char1 Diagrama Diagrama Diagrama Diagrama Char Char Diagrama Char Char"/>
    <w:basedOn w:val="prastasis"/>
    <w:rsid w:val="00FA7B26"/>
    <w:pPr>
      <w:spacing w:after="160" w:line="240" w:lineRule="exact"/>
    </w:pPr>
    <w:rPr>
      <w:rFonts w:ascii="Tahoma" w:hAnsi="Tahoma"/>
      <w:sz w:val="20"/>
      <w:lang w:val="en-US" w:eastAsia="en-US"/>
    </w:rPr>
  </w:style>
  <w:style w:type="paragraph" w:customStyle="1" w:styleId="1">
    <w:name w:val="1"/>
    <w:basedOn w:val="prastasis"/>
    <w:rsid w:val="00FA7B26"/>
    <w:pPr>
      <w:spacing w:after="160" w:line="240" w:lineRule="exact"/>
    </w:pPr>
    <w:rPr>
      <w:rFonts w:ascii="Tahoma" w:hAnsi="Tahoma"/>
      <w:sz w:val="20"/>
      <w:lang w:val="en-US" w:eastAsia="en-US"/>
    </w:rPr>
  </w:style>
  <w:style w:type="paragraph" w:customStyle="1" w:styleId="DiagramaDiagrama2CharCharDiagramaDiagrama">
    <w:name w:val="Diagrama Diagrama2 Char Char Diagrama Diagrama"/>
    <w:basedOn w:val="prastasis"/>
    <w:rsid w:val="00FA7B26"/>
    <w:pPr>
      <w:spacing w:after="160" w:line="240" w:lineRule="exact"/>
    </w:pPr>
    <w:rPr>
      <w:rFonts w:ascii="Tahoma" w:hAnsi="Tahoma"/>
      <w:sz w:val="20"/>
      <w:lang w:val="en-US" w:eastAsia="en-US"/>
    </w:rPr>
  </w:style>
  <w:style w:type="paragraph" w:customStyle="1" w:styleId="DiagramaDiagrama2CharCharDiagramaDiagramaCharCharDiagramaDiagrama">
    <w:name w:val="Diagrama Diagrama2 Char Char Diagrama Diagrama Char Char Diagrama Diagrama"/>
    <w:basedOn w:val="prastasis"/>
    <w:rsid w:val="00FA7B26"/>
    <w:pPr>
      <w:spacing w:after="160" w:line="240" w:lineRule="exact"/>
    </w:pPr>
    <w:rPr>
      <w:rFonts w:ascii="Tahoma" w:hAnsi="Tahoma"/>
      <w:sz w:val="20"/>
      <w:lang w:val="en-US" w:eastAsia="en-US"/>
    </w:rPr>
  </w:style>
  <w:style w:type="paragraph" w:customStyle="1" w:styleId="CharChar1DiagramaDiagrama1CharChar">
    <w:name w:val="Char Char1 Diagrama Diagrama1 Char Char"/>
    <w:basedOn w:val="prastasis"/>
    <w:rsid w:val="00FA7B26"/>
    <w:pPr>
      <w:spacing w:after="160" w:line="240" w:lineRule="exact"/>
    </w:pPr>
    <w:rPr>
      <w:rFonts w:ascii="Tahoma" w:hAnsi="Tahoma"/>
      <w:sz w:val="20"/>
      <w:lang w:val="en-US" w:eastAsia="en-US"/>
    </w:rPr>
  </w:style>
  <w:style w:type="paragraph" w:customStyle="1" w:styleId="DiagramaDiagrama2CharChar">
    <w:name w:val="Diagrama Diagrama2 Char Char"/>
    <w:basedOn w:val="prastasis"/>
    <w:rsid w:val="00FA7B26"/>
    <w:pPr>
      <w:spacing w:after="160" w:line="240" w:lineRule="exact"/>
    </w:pPr>
    <w:rPr>
      <w:rFonts w:ascii="Tahoma" w:hAnsi="Tahoma"/>
      <w:sz w:val="20"/>
      <w:lang w:val="en-US" w:eastAsia="en-US"/>
    </w:rPr>
  </w:style>
  <w:style w:type="paragraph" w:customStyle="1" w:styleId="DiagramaDiagrama2CharCharDiagramaDiagramaCharChar">
    <w:name w:val="Diagrama Diagrama2 Char Char Diagrama Diagrama Char Char"/>
    <w:basedOn w:val="prastasis"/>
    <w:rsid w:val="00FA7B26"/>
    <w:pPr>
      <w:spacing w:after="160" w:line="240" w:lineRule="exact"/>
    </w:pPr>
    <w:rPr>
      <w:rFonts w:ascii="Tahoma" w:hAnsi="Tahoma"/>
      <w:sz w:val="20"/>
      <w:lang w:val="en-US" w:eastAsia="en-US"/>
    </w:rPr>
  </w:style>
  <w:style w:type="paragraph" w:customStyle="1" w:styleId="DiagramaDiagrama2CharCharDiagramaDiagramaCharCharCharCharCharCharDiagramaDiagramaCharCharDiagramaDiagramaCharCharDiagrama">
    <w:name w:val="Diagrama Diagrama2 Char Char Diagrama Diagrama Char Char Char Char Char Char Diagrama Diagrama Char Char Diagrama Diagrama Char Char Diagrama"/>
    <w:basedOn w:val="prastasis"/>
    <w:rsid w:val="00FA7B26"/>
    <w:pPr>
      <w:spacing w:after="160" w:line="240" w:lineRule="exact"/>
    </w:pPr>
    <w:rPr>
      <w:rFonts w:ascii="Tahoma" w:hAnsi="Tahoma"/>
      <w:sz w:val="20"/>
      <w:lang w:val="en-US" w:eastAsia="en-US"/>
    </w:rPr>
  </w:style>
  <w:style w:type="paragraph" w:customStyle="1" w:styleId="DiagramaDiagrama2CharCharDiagramaDiagramaCharCharCharChar">
    <w:name w:val="Diagrama Diagrama2 Char Char Diagrama Diagrama Char Char Char Char"/>
    <w:basedOn w:val="prastasis"/>
    <w:rsid w:val="00FA7B26"/>
    <w:pPr>
      <w:spacing w:after="160" w:line="240" w:lineRule="exact"/>
    </w:pPr>
    <w:rPr>
      <w:rFonts w:ascii="Tahoma" w:hAnsi="Tahoma"/>
      <w:sz w:val="20"/>
      <w:lang w:val="en-US" w:eastAsia="en-US"/>
    </w:rPr>
  </w:style>
  <w:style w:type="paragraph" w:customStyle="1" w:styleId="Preformatted">
    <w:name w:val="Preformatted"/>
    <w:basedOn w:val="prastasis"/>
    <w:rsid w:val="00FA7B2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FA7B26"/>
    <w:rPr>
      <w:sz w:val="24"/>
      <w:lang w:val="lt-LT" w:eastAsia="lt-LT" w:bidi="ar-SA"/>
    </w:rPr>
  </w:style>
  <w:style w:type="paragraph" w:customStyle="1" w:styleId="MediumGrid1-Accent21">
    <w:name w:val="Medium Grid 1 - Accent 21"/>
    <w:basedOn w:val="prastasis"/>
    <w:uiPriority w:val="34"/>
    <w:qFormat/>
    <w:rsid w:val="00FA7B26"/>
    <w:pPr>
      <w:spacing w:after="200" w:line="276" w:lineRule="auto"/>
      <w:ind w:left="720"/>
      <w:contextualSpacing/>
    </w:pPr>
    <w:rPr>
      <w:rFonts w:eastAsia="Calibri"/>
      <w:szCs w:val="24"/>
      <w:lang w:eastAsia="en-US"/>
    </w:rPr>
  </w:style>
  <w:style w:type="paragraph" w:customStyle="1" w:styleId="NoSpacing1">
    <w:name w:val="No Spacing1"/>
    <w:rsid w:val="00FA7B26"/>
    <w:rPr>
      <w:rFonts w:ascii="Calibri" w:eastAsia="Calibri" w:hAnsi="Calibri"/>
      <w:sz w:val="22"/>
      <w:szCs w:val="22"/>
      <w:lang w:val="en-US" w:eastAsia="en-US"/>
    </w:rPr>
  </w:style>
  <w:style w:type="paragraph" w:customStyle="1" w:styleId="listparagraph">
    <w:name w:val="listparagraph"/>
    <w:basedOn w:val="prastasis"/>
    <w:rsid w:val="00FA7B26"/>
    <w:pPr>
      <w:ind w:left="720"/>
    </w:pPr>
    <w:rPr>
      <w:rFonts w:eastAsia="Calibri"/>
      <w:szCs w:val="24"/>
    </w:rPr>
  </w:style>
  <w:style w:type="paragraph" w:customStyle="1" w:styleId="dokumtekstas">
    <w:name w:val="dokum. tekstas"/>
    <w:basedOn w:val="prastasis"/>
    <w:uiPriority w:val="99"/>
    <w:rsid w:val="00FA7B26"/>
    <w:pPr>
      <w:ind w:firstLine="720"/>
      <w:jc w:val="both"/>
    </w:pPr>
    <w:rPr>
      <w:szCs w:val="24"/>
      <w:lang w:eastAsia="en-US"/>
    </w:rPr>
  </w:style>
  <w:style w:type="paragraph" w:customStyle="1" w:styleId="TableText">
    <w:name w:val="Table Text"/>
    <w:basedOn w:val="prastasis"/>
    <w:rsid w:val="00FA7B26"/>
    <w:pPr>
      <w:autoSpaceDE w:val="0"/>
      <w:autoSpaceDN w:val="0"/>
      <w:jc w:val="right"/>
    </w:pPr>
    <w:rPr>
      <w:szCs w:val="24"/>
    </w:rPr>
  </w:style>
  <w:style w:type="paragraph" w:customStyle="1" w:styleId="newsteaser1">
    <w:name w:val="newsteaser1"/>
    <w:basedOn w:val="prastasis"/>
    <w:rsid w:val="00FA7B26"/>
    <w:pPr>
      <w:spacing w:after="210"/>
      <w:jc w:val="both"/>
    </w:pPr>
    <w:rPr>
      <w:szCs w:val="24"/>
    </w:rPr>
  </w:style>
  <w:style w:type="paragraph" w:customStyle="1" w:styleId="betarp20">
    <w:name w:val="betarp2"/>
    <w:basedOn w:val="prastasis"/>
    <w:uiPriority w:val="99"/>
    <w:rsid w:val="00FA7B26"/>
    <w:rPr>
      <w:rFonts w:ascii="TimesLT" w:hAnsi="TimesLT"/>
      <w:szCs w:val="24"/>
      <w:lang w:val="en-GB" w:eastAsia="en-GB"/>
    </w:rPr>
  </w:style>
  <w:style w:type="character" w:customStyle="1" w:styleId="statymonr">
    <w:name w:val="statymonr"/>
    <w:basedOn w:val="Numatytasispastraiposriftas"/>
    <w:uiPriority w:val="99"/>
    <w:rsid w:val="00FA7B26"/>
  </w:style>
  <w:style w:type="character" w:customStyle="1" w:styleId="Stilius11pt">
    <w:name w:val="Stilius 11 pt"/>
    <w:rsid w:val="00FA7B26"/>
    <w:rPr>
      <w:sz w:val="22"/>
    </w:rPr>
  </w:style>
  <w:style w:type="paragraph" w:customStyle="1" w:styleId="Sraopastraipa3">
    <w:name w:val="Sąrašo pastraipa3"/>
    <w:basedOn w:val="prastasis"/>
    <w:rsid w:val="00FA7B26"/>
    <w:pPr>
      <w:ind w:left="720"/>
    </w:pPr>
    <w:rPr>
      <w:rFonts w:eastAsia="Calibri"/>
      <w:lang w:eastAsia="en-US"/>
    </w:rPr>
  </w:style>
  <w:style w:type="paragraph" w:customStyle="1" w:styleId="Normal2">
    <w:name w:val="Normal2"/>
    <w:rsid w:val="00FA7B26"/>
    <w:pPr>
      <w:widowControl w:val="0"/>
    </w:pPr>
    <w:rPr>
      <w:rFonts w:eastAsia="Arial Unicode MS" w:cs="Mangal"/>
      <w:kern w:val="1"/>
      <w:sz w:val="24"/>
      <w:szCs w:val="24"/>
      <w:lang w:eastAsia="hi-IN" w:bidi="hi-IN"/>
    </w:rPr>
  </w:style>
  <w:style w:type="paragraph" w:customStyle="1" w:styleId="prastasis1">
    <w:name w:val="Įprastasis1"/>
    <w:uiPriority w:val="99"/>
    <w:rsid w:val="00FA7B26"/>
    <w:pPr>
      <w:widowControl w:val="0"/>
    </w:pPr>
    <w:rPr>
      <w:rFonts w:eastAsia="Arial Unicode MS" w:cs="Mangal"/>
      <w:kern w:val="1"/>
      <w:sz w:val="24"/>
      <w:szCs w:val="24"/>
      <w:lang w:eastAsia="hi-IN" w:bidi="hi-IN"/>
    </w:rPr>
  </w:style>
  <w:style w:type="character" w:customStyle="1" w:styleId="FontStyle35">
    <w:name w:val="Font Style35"/>
    <w:uiPriority w:val="99"/>
    <w:rsid w:val="00FA7B26"/>
    <w:rPr>
      <w:rFonts w:ascii="Times New Roman" w:hAnsi="Times New Roman" w:cs="Times New Roman" w:hint="default"/>
      <w:b/>
      <w:bCs/>
      <w:sz w:val="20"/>
      <w:szCs w:val="20"/>
    </w:rPr>
  </w:style>
  <w:style w:type="character" w:customStyle="1" w:styleId="DefaultParagraphFont1">
    <w:name w:val="Default Paragraph Font1"/>
    <w:uiPriority w:val="99"/>
    <w:rsid w:val="00FA7B26"/>
  </w:style>
  <w:style w:type="paragraph" w:customStyle="1" w:styleId="PointManual">
    <w:name w:val="Point Manual"/>
    <w:basedOn w:val="prastasis"/>
    <w:uiPriority w:val="99"/>
    <w:rsid w:val="00FA7B26"/>
    <w:pPr>
      <w:spacing w:before="200"/>
      <w:ind w:left="567" w:hanging="567"/>
    </w:pPr>
    <w:rPr>
      <w:szCs w:val="24"/>
      <w:lang w:val="en-GB" w:eastAsia="fr-BE"/>
    </w:rPr>
  </w:style>
  <w:style w:type="character" w:customStyle="1" w:styleId="PagrindinistekstasDiagrama1">
    <w:name w:val="Pagrindinis tekstas Diagrama1"/>
    <w:aliases w:val="Hipersaitas1 Diagrama1,Hyperlink2 Diagrama1"/>
    <w:rsid w:val="00FA7B26"/>
    <w:rPr>
      <w:sz w:val="24"/>
      <w:lang w:eastAsia="en-US"/>
    </w:rPr>
  </w:style>
  <w:style w:type="character" w:customStyle="1" w:styleId="igc-table-cell-span1">
    <w:name w:val="igc-table-cell-span1"/>
    <w:basedOn w:val="Numatytasispastraiposriftas"/>
    <w:rsid w:val="00FA7B26"/>
    <w:rPr>
      <w:rFonts w:ascii="inherit" w:hAnsi="inherit" w:hint="default"/>
    </w:rPr>
  </w:style>
  <w:style w:type="paragraph" w:customStyle="1" w:styleId="x">
    <w:name w:val="x"/>
    <w:rsid w:val="00FA7B26"/>
    <w:rPr>
      <w:rFonts w:ascii="Arial" w:hAnsi="Arial" w:cs="Arial"/>
    </w:rPr>
  </w:style>
  <w:style w:type="character" w:customStyle="1" w:styleId="date1">
    <w:name w:val="date1"/>
    <w:basedOn w:val="Numatytasispastraiposriftas"/>
    <w:rsid w:val="00FA7B26"/>
  </w:style>
  <w:style w:type="character" w:customStyle="1" w:styleId="date-current2">
    <w:name w:val="date-current2"/>
    <w:basedOn w:val="Numatytasispastraiposriftas"/>
    <w:rsid w:val="00FA7B26"/>
  </w:style>
  <w:style w:type="character" w:styleId="HTMLcitata">
    <w:name w:val="HTML Cite"/>
    <w:basedOn w:val="Numatytasispastraiposriftas"/>
    <w:uiPriority w:val="99"/>
    <w:semiHidden/>
    <w:unhideWhenUsed/>
    <w:rsid w:val="00FA7B26"/>
    <w:rPr>
      <w:i/>
      <w:iCs/>
    </w:rPr>
  </w:style>
  <w:style w:type="character" w:customStyle="1" w:styleId="ratingcontainter">
    <w:name w:val="ratingcontainter"/>
    <w:basedOn w:val="Numatytasispastraiposriftas"/>
    <w:rsid w:val="00FA7B26"/>
  </w:style>
  <w:style w:type="paragraph" w:customStyle="1" w:styleId="hyperlink1">
    <w:name w:val="hyperlink1"/>
    <w:basedOn w:val="prastasis"/>
    <w:rsid w:val="00FA7B26"/>
    <w:pPr>
      <w:spacing w:before="100" w:beforeAutospacing="1" w:after="100" w:afterAutospacing="1"/>
    </w:pPr>
    <w:rPr>
      <w:szCs w:val="24"/>
    </w:rPr>
  </w:style>
  <w:style w:type="paragraph" w:customStyle="1" w:styleId="LenteleSA">
    <w:name w:val="Lentele_SA"/>
    <w:basedOn w:val="prastasis"/>
    <w:rsid w:val="00FA7B26"/>
    <w:pPr>
      <w:spacing w:line="276" w:lineRule="auto"/>
      <w:jc w:val="both"/>
    </w:pPr>
    <w:rPr>
      <w:rFonts w:cs="Calibri"/>
      <w:sz w:val="20"/>
      <w:szCs w:val="24"/>
      <w:lang w:eastAsia="en-US"/>
    </w:rPr>
  </w:style>
  <w:style w:type="character" w:customStyle="1" w:styleId="f1">
    <w:name w:val="f1"/>
    <w:basedOn w:val="Numatytasispastraiposriftas"/>
    <w:rsid w:val="00FA7B26"/>
    <w:rPr>
      <w:color w:val="666666"/>
    </w:rPr>
  </w:style>
  <w:style w:type="character" w:customStyle="1" w:styleId="t">
    <w:name w:val="t"/>
    <w:rsid w:val="00FA7B26"/>
  </w:style>
  <w:style w:type="paragraph" w:customStyle="1" w:styleId="BodyText1">
    <w:name w:val="Body Text1"/>
    <w:basedOn w:val="prastasis"/>
    <w:rsid w:val="00FA7B26"/>
    <w:pPr>
      <w:suppressAutoHyphens/>
      <w:autoSpaceDE w:val="0"/>
      <w:autoSpaceDN w:val="0"/>
      <w:adjustRightInd w:val="0"/>
      <w:spacing w:line="298" w:lineRule="auto"/>
      <w:ind w:firstLine="312"/>
      <w:jc w:val="both"/>
      <w:textAlignment w:val="center"/>
    </w:pPr>
    <w:rPr>
      <w:color w:val="000000"/>
      <w:sz w:val="20"/>
      <w:lang w:eastAsia="en-US"/>
    </w:rPr>
  </w:style>
  <w:style w:type="paragraph" w:styleId="Sraassuenkleliais">
    <w:name w:val="List Bullet"/>
    <w:basedOn w:val="prastasis"/>
    <w:uiPriority w:val="99"/>
    <w:unhideWhenUsed/>
    <w:rsid w:val="00FA7B26"/>
    <w:pPr>
      <w:numPr>
        <w:numId w:val="19"/>
      </w:numPr>
      <w:spacing w:after="120" w:line="259" w:lineRule="auto"/>
      <w:contextualSpacing/>
    </w:pPr>
    <w:rPr>
      <w:rFonts w:eastAsiaTheme="minorHAnsi" w:cstheme="minorBidi"/>
      <w:szCs w:val="22"/>
      <w:lang w:eastAsia="en-US"/>
    </w:rPr>
  </w:style>
  <w:style w:type="table" w:customStyle="1" w:styleId="TableGrid34">
    <w:name w:val="Table Grid34"/>
    <w:basedOn w:val="prastojilentel"/>
    <w:next w:val="Lentelstinklelis"/>
    <w:uiPriority w:val="59"/>
    <w:rsid w:val="00FA7B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prastojilentel"/>
    <w:next w:val="Lentelstinklelis"/>
    <w:uiPriority w:val="59"/>
    <w:rsid w:val="00FA7B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Sraonra"/>
    <w:uiPriority w:val="99"/>
    <w:semiHidden/>
    <w:unhideWhenUsed/>
    <w:rsid w:val="00FA7B26"/>
  </w:style>
  <w:style w:type="paragraph" w:customStyle="1" w:styleId="Style13">
    <w:name w:val="Style13"/>
    <w:basedOn w:val="prastasis"/>
    <w:uiPriority w:val="99"/>
    <w:rsid w:val="00FA7B26"/>
    <w:pPr>
      <w:widowControl w:val="0"/>
      <w:autoSpaceDE w:val="0"/>
      <w:autoSpaceDN w:val="0"/>
      <w:adjustRightInd w:val="0"/>
      <w:spacing w:line="264" w:lineRule="exact"/>
      <w:ind w:firstLine="384"/>
      <w:jc w:val="both"/>
    </w:pPr>
    <w:rPr>
      <w:szCs w:val="24"/>
    </w:rPr>
  </w:style>
  <w:style w:type="character" w:customStyle="1" w:styleId="FontStyle316">
    <w:name w:val="Font Style316"/>
    <w:uiPriority w:val="99"/>
    <w:rsid w:val="00FA7B26"/>
    <w:rPr>
      <w:rFonts w:ascii="Times New Roman" w:hAnsi="Times New Roman" w:cs="Times New Roman" w:hint="default"/>
      <w:sz w:val="18"/>
      <w:szCs w:val="18"/>
    </w:rPr>
  </w:style>
  <w:style w:type="character" w:customStyle="1" w:styleId="UnresolvedMention1">
    <w:name w:val="Unresolved Mention1"/>
    <w:basedOn w:val="Numatytasispastraiposriftas"/>
    <w:uiPriority w:val="99"/>
    <w:semiHidden/>
    <w:unhideWhenUsed/>
    <w:rsid w:val="00FA7B26"/>
    <w:rPr>
      <w:color w:val="808080"/>
      <w:shd w:val="clear" w:color="auto" w:fill="E6E6E6"/>
    </w:rPr>
  </w:style>
  <w:style w:type="table" w:customStyle="1" w:styleId="TableGrid36">
    <w:name w:val="Table Grid36"/>
    <w:basedOn w:val="prastojilentel"/>
    <w:next w:val="Lentelstinklelis"/>
    <w:uiPriority w:val="59"/>
    <w:rsid w:val="00FA7B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prastojilentel"/>
    <w:next w:val="Lentelstinklelis"/>
    <w:uiPriority w:val="59"/>
    <w:rsid w:val="00FA7B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prastojilentel"/>
    <w:next w:val="Lentelstinklelis"/>
    <w:uiPriority w:val="59"/>
    <w:rsid w:val="00FA7B2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59"/>
    <w:rsid w:val="00FA7B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rastojilentel"/>
    <w:next w:val="Lentelstinklelis"/>
    <w:uiPriority w:val="59"/>
    <w:rsid w:val="00FA7B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nhideWhenUsed/>
    <w:qFormat/>
    <w:rsid w:val="00FA7B26"/>
    <w:pPr>
      <w:spacing w:after="160"/>
    </w:pPr>
    <w:rPr>
      <w:rFonts w:asciiTheme="minorHAnsi" w:eastAsiaTheme="minorEastAsia" w:hAnsiTheme="minorHAnsi" w:cstheme="minorBidi"/>
      <w:b/>
      <w:bCs/>
      <w:color w:val="404040" w:themeColor="text1" w:themeTint="BF"/>
      <w:sz w:val="16"/>
      <w:szCs w:val="16"/>
      <w:lang w:eastAsia="en-US"/>
    </w:rPr>
  </w:style>
  <w:style w:type="numbering" w:customStyle="1" w:styleId="NoList6">
    <w:name w:val="No List6"/>
    <w:next w:val="Sraonra"/>
    <w:uiPriority w:val="99"/>
    <w:semiHidden/>
    <w:unhideWhenUsed/>
    <w:rsid w:val="00FA7B26"/>
  </w:style>
  <w:style w:type="paragraph" w:customStyle="1" w:styleId="StyleItalicUnderlineJustified">
    <w:name w:val="Style Italic Underline Justified"/>
    <w:basedOn w:val="prastasis"/>
    <w:uiPriority w:val="99"/>
    <w:rsid w:val="00FA7B26"/>
    <w:pPr>
      <w:numPr>
        <w:ilvl w:val="2"/>
        <w:numId w:val="21"/>
      </w:numPr>
      <w:spacing w:after="120"/>
      <w:jc w:val="both"/>
    </w:pPr>
    <w:rPr>
      <w:szCs w:val="24"/>
    </w:rPr>
  </w:style>
  <w:style w:type="paragraph" w:customStyle="1" w:styleId="StyleStyleItalicUnderlineJustifiedItalicUnderline">
    <w:name w:val="Style Style Italic Underline Justified + Italic Underline"/>
    <w:basedOn w:val="prastasis"/>
    <w:uiPriority w:val="99"/>
    <w:rsid w:val="00FA7B26"/>
    <w:pPr>
      <w:numPr>
        <w:ilvl w:val="3"/>
        <w:numId w:val="21"/>
      </w:numPr>
      <w:spacing w:after="120"/>
      <w:jc w:val="both"/>
    </w:pPr>
    <w:rPr>
      <w:i/>
      <w:iCs/>
      <w:szCs w:val="24"/>
    </w:rPr>
  </w:style>
  <w:style w:type="paragraph" w:customStyle="1" w:styleId="Antrat10">
    <w:name w:val="Antraštė1"/>
    <w:basedOn w:val="prastasis"/>
    <w:next w:val="Pagrindinistekstas"/>
    <w:rsid w:val="00FA7B26"/>
    <w:pPr>
      <w:keepNext/>
      <w:widowControl w:val="0"/>
      <w:suppressAutoHyphens/>
      <w:spacing w:before="240" w:after="120"/>
    </w:pPr>
    <w:rPr>
      <w:rFonts w:ascii="Arial" w:eastAsia="Microsoft YaHei" w:hAnsi="Arial" w:cs="Lucida Sans"/>
      <w:kern w:val="1"/>
      <w:sz w:val="28"/>
      <w:szCs w:val="28"/>
      <w:lang w:eastAsia="hi-IN" w:bidi="hi-IN"/>
    </w:rPr>
  </w:style>
  <w:style w:type="paragraph" w:customStyle="1" w:styleId="lentelsturinys0">
    <w:name w:val="lentelsturinys"/>
    <w:basedOn w:val="prastasis"/>
    <w:rsid w:val="00FA7B26"/>
    <w:rPr>
      <w:rFonts w:eastAsia="Calibri"/>
      <w:szCs w:val="24"/>
    </w:rPr>
  </w:style>
  <w:style w:type="paragraph" w:customStyle="1" w:styleId="Pastraipanenumeruota">
    <w:name w:val="Pastraipa (nenumeruota)"/>
    <w:basedOn w:val="prastasis"/>
    <w:uiPriority w:val="9"/>
    <w:qFormat/>
    <w:rsid w:val="00FA7B26"/>
    <w:pPr>
      <w:ind w:firstLine="720"/>
      <w:jc w:val="both"/>
    </w:pPr>
    <w:rPr>
      <w:rFonts w:eastAsiaTheme="minorHAnsi" w:cstheme="minorBidi"/>
      <w:szCs w:val="24"/>
      <w:lang w:eastAsia="en-US"/>
    </w:rPr>
  </w:style>
  <w:style w:type="paragraph" w:customStyle="1" w:styleId="Standarduser">
    <w:name w:val="Standard (user)"/>
    <w:rsid w:val="00FA7B26"/>
    <w:pPr>
      <w:suppressAutoHyphens/>
      <w:autoSpaceDN w:val="0"/>
      <w:textAlignment w:val="baseline"/>
    </w:pPr>
    <w:rPr>
      <w:rFonts w:ascii="Calibri" w:eastAsia="Calibri" w:hAnsi="Calibri"/>
      <w:kern w:val="3"/>
    </w:rPr>
  </w:style>
  <w:style w:type="character" w:customStyle="1" w:styleId="tlid-translation">
    <w:name w:val="tlid-translation"/>
    <w:basedOn w:val="Numatytasispastraiposriftas"/>
    <w:rsid w:val="00FA7B26"/>
  </w:style>
  <w:style w:type="paragraph" w:customStyle="1" w:styleId="standard0">
    <w:name w:val="standard"/>
    <w:basedOn w:val="prastasis"/>
    <w:rsid w:val="00FA7B26"/>
    <w:pPr>
      <w:spacing w:before="100" w:beforeAutospacing="1" w:after="100" w:afterAutospacing="1"/>
    </w:pPr>
    <w:rPr>
      <w:szCs w:val="24"/>
    </w:rPr>
  </w:style>
  <w:style w:type="table" w:styleId="1tinkleliolentelviesi6parykinimas">
    <w:name w:val="Grid Table 1 Light Accent 6"/>
    <w:basedOn w:val="prastojilentel"/>
    <w:uiPriority w:val="46"/>
    <w:rsid w:val="00FA7B26"/>
    <w:rPr>
      <w:rFonts w:asciiTheme="minorHAnsi" w:eastAsiaTheme="minorHAnsi" w:hAnsiTheme="minorHAnsi" w:cstheme="minorBidi"/>
      <w:sz w:val="22"/>
      <w:szCs w:val="22"/>
      <w:lang w:val="en-US"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customStyle="1" w:styleId="xxxmsonormal">
    <w:name w:val="x_x_x_msonormal"/>
    <w:basedOn w:val="prastasis"/>
    <w:rsid w:val="009C5032"/>
    <w:rPr>
      <w:rFonts w:ascii="Calibri" w:eastAsiaTheme="minorHAnsi" w:hAnsi="Calibri" w:cs="Calibri"/>
      <w:sz w:val="22"/>
      <w:szCs w:val="22"/>
      <w:lang w:val="en-GB" w:eastAsia="en-GB"/>
    </w:rPr>
  </w:style>
  <w:style w:type="paragraph" w:customStyle="1" w:styleId="Stilius1">
    <w:name w:val="Stilius1"/>
    <w:basedOn w:val="Antrat1"/>
    <w:qFormat/>
    <w:rsid w:val="0058571D"/>
    <w:pPr>
      <w:keepLines/>
    </w:pPr>
    <w:rPr>
      <w:rFonts w:asciiTheme="minorHAnsi" w:eastAsiaTheme="majorEastAsia" w:hAnsiTheme="minorHAnsi" w:cstheme="minorHAnsi"/>
      <w:bCs/>
      <w:color w:val="1E9FEE"/>
      <w:sz w:val="28"/>
      <w:szCs w:val="28"/>
      <w:lang w:eastAsia="en-US"/>
    </w:rPr>
  </w:style>
  <w:style w:type="character" w:customStyle="1" w:styleId="acopre">
    <w:name w:val="acopre"/>
    <w:basedOn w:val="Numatytasispastraiposriftas"/>
    <w:rsid w:val="00CA5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2218">
      <w:bodyDiv w:val="1"/>
      <w:marLeft w:val="0"/>
      <w:marRight w:val="0"/>
      <w:marTop w:val="0"/>
      <w:marBottom w:val="0"/>
      <w:divBdr>
        <w:top w:val="none" w:sz="0" w:space="0" w:color="auto"/>
        <w:left w:val="none" w:sz="0" w:space="0" w:color="auto"/>
        <w:bottom w:val="none" w:sz="0" w:space="0" w:color="auto"/>
        <w:right w:val="none" w:sz="0" w:space="0" w:color="auto"/>
      </w:divBdr>
    </w:div>
    <w:div w:id="96562079">
      <w:bodyDiv w:val="1"/>
      <w:marLeft w:val="0"/>
      <w:marRight w:val="0"/>
      <w:marTop w:val="0"/>
      <w:marBottom w:val="0"/>
      <w:divBdr>
        <w:top w:val="none" w:sz="0" w:space="0" w:color="auto"/>
        <w:left w:val="none" w:sz="0" w:space="0" w:color="auto"/>
        <w:bottom w:val="none" w:sz="0" w:space="0" w:color="auto"/>
        <w:right w:val="none" w:sz="0" w:space="0" w:color="auto"/>
      </w:divBdr>
    </w:div>
    <w:div w:id="115608392">
      <w:bodyDiv w:val="1"/>
      <w:marLeft w:val="0"/>
      <w:marRight w:val="0"/>
      <w:marTop w:val="0"/>
      <w:marBottom w:val="0"/>
      <w:divBdr>
        <w:top w:val="none" w:sz="0" w:space="0" w:color="auto"/>
        <w:left w:val="none" w:sz="0" w:space="0" w:color="auto"/>
        <w:bottom w:val="none" w:sz="0" w:space="0" w:color="auto"/>
        <w:right w:val="none" w:sz="0" w:space="0" w:color="auto"/>
      </w:divBdr>
      <w:divsChild>
        <w:div w:id="1991053127">
          <w:marLeft w:val="360"/>
          <w:marRight w:val="0"/>
          <w:marTop w:val="200"/>
          <w:marBottom w:val="0"/>
          <w:divBdr>
            <w:top w:val="none" w:sz="0" w:space="0" w:color="auto"/>
            <w:left w:val="none" w:sz="0" w:space="0" w:color="auto"/>
            <w:bottom w:val="none" w:sz="0" w:space="0" w:color="auto"/>
            <w:right w:val="none" w:sz="0" w:space="0" w:color="auto"/>
          </w:divBdr>
        </w:div>
        <w:div w:id="1972706462">
          <w:marLeft w:val="360"/>
          <w:marRight w:val="0"/>
          <w:marTop w:val="200"/>
          <w:marBottom w:val="0"/>
          <w:divBdr>
            <w:top w:val="none" w:sz="0" w:space="0" w:color="auto"/>
            <w:left w:val="none" w:sz="0" w:space="0" w:color="auto"/>
            <w:bottom w:val="none" w:sz="0" w:space="0" w:color="auto"/>
            <w:right w:val="none" w:sz="0" w:space="0" w:color="auto"/>
          </w:divBdr>
        </w:div>
        <w:div w:id="1653949802">
          <w:marLeft w:val="360"/>
          <w:marRight w:val="0"/>
          <w:marTop w:val="200"/>
          <w:marBottom w:val="0"/>
          <w:divBdr>
            <w:top w:val="none" w:sz="0" w:space="0" w:color="auto"/>
            <w:left w:val="none" w:sz="0" w:space="0" w:color="auto"/>
            <w:bottom w:val="none" w:sz="0" w:space="0" w:color="auto"/>
            <w:right w:val="none" w:sz="0" w:space="0" w:color="auto"/>
          </w:divBdr>
        </w:div>
      </w:divsChild>
    </w:div>
    <w:div w:id="276761015">
      <w:bodyDiv w:val="1"/>
      <w:marLeft w:val="0"/>
      <w:marRight w:val="0"/>
      <w:marTop w:val="0"/>
      <w:marBottom w:val="0"/>
      <w:divBdr>
        <w:top w:val="none" w:sz="0" w:space="0" w:color="auto"/>
        <w:left w:val="none" w:sz="0" w:space="0" w:color="auto"/>
        <w:bottom w:val="none" w:sz="0" w:space="0" w:color="auto"/>
        <w:right w:val="none" w:sz="0" w:space="0" w:color="auto"/>
      </w:divBdr>
      <w:divsChild>
        <w:div w:id="498425916">
          <w:marLeft w:val="446"/>
          <w:marRight w:val="0"/>
          <w:marTop w:val="0"/>
          <w:marBottom w:val="0"/>
          <w:divBdr>
            <w:top w:val="none" w:sz="0" w:space="0" w:color="auto"/>
            <w:left w:val="none" w:sz="0" w:space="0" w:color="auto"/>
            <w:bottom w:val="none" w:sz="0" w:space="0" w:color="auto"/>
            <w:right w:val="none" w:sz="0" w:space="0" w:color="auto"/>
          </w:divBdr>
        </w:div>
        <w:div w:id="495809139">
          <w:marLeft w:val="446"/>
          <w:marRight w:val="0"/>
          <w:marTop w:val="0"/>
          <w:marBottom w:val="0"/>
          <w:divBdr>
            <w:top w:val="none" w:sz="0" w:space="0" w:color="auto"/>
            <w:left w:val="none" w:sz="0" w:space="0" w:color="auto"/>
            <w:bottom w:val="none" w:sz="0" w:space="0" w:color="auto"/>
            <w:right w:val="none" w:sz="0" w:space="0" w:color="auto"/>
          </w:divBdr>
        </w:div>
        <w:div w:id="944533964">
          <w:marLeft w:val="446"/>
          <w:marRight w:val="0"/>
          <w:marTop w:val="0"/>
          <w:marBottom w:val="0"/>
          <w:divBdr>
            <w:top w:val="none" w:sz="0" w:space="0" w:color="auto"/>
            <w:left w:val="none" w:sz="0" w:space="0" w:color="auto"/>
            <w:bottom w:val="none" w:sz="0" w:space="0" w:color="auto"/>
            <w:right w:val="none" w:sz="0" w:space="0" w:color="auto"/>
          </w:divBdr>
        </w:div>
      </w:divsChild>
    </w:div>
    <w:div w:id="368192601">
      <w:bodyDiv w:val="1"/>
      <w:marLeft w:val="0"/>
      <w:marRight w:val="0"/>
      <w:marTop w:val="0"/>
      <w:marBottom w:val="0"/>
      <w:divBdr>
        <w:top w:val="none" w:sz="0" w:space="0" w:color="auto"/>
        <w:left w:val="none" w:sz="0" w:space="0" w:color="auto"/>
        <w:bottom w:val="none" w:sz="0" w:space="0" w:color="auto"/>
        <w:right w:val="none" w:sz="0" w:space="0" w:color="auto"/>
      </w:divBdr>
    </w:div>
    <w:div w:id="434012136">
      <w:bodyDiv w:val="1"/>
      <w:marLeft w:val="0"/>
      <w:marRight w:val="0"/>
      <w:marTop w:val="0"/>
      <w:marBottom w:val="0"/>
      <w:divBdr>
        <w:top w:val="none" w:sz="0" w:space="0" w:color="auto"/>
        <w:left w:val="none" w:sz="0" w:space="0" w:color="auto"/>
        <w:bottom w:val="none" w:sz="0" w:space="0" w:color="auto"/>
        <w:right w:val="none" w:sz="0" w:space="0" w:color="auto"/>
      </w:divBdr>
    </w:div>
    <w:div w:id="440271777">
      <w:bodyDiv w:val="1"/>
      <w:marLeft w:val="0"/>
      <w:marRight w:val="0"/>
      <w:marTop w:val="0"/>
      <w:marBottom w:val="0"/>
      <w:divBdr>
        <w:top w:val="none" w:sz="0" w:space="0" w:color="auto"/>
        <w:left w:val="none" w:sz="0" w:space="0" w:color="auto"/>
        <w:bottom w:val="none" w:sz="0" w:space="0" w:color="auto"/>
        <w:right w:val="none" w:sz="0" w:space="0" w:color="auto"/>
      </w:divBdr>
    </w:div>
    <w:div w:id="454451401">
      <w:bodyDiv w:val="1"/>
      <w:marLeft w:val="0"/>
      <w:marRight w:val="0"/>
      <w:marTop w:val="0"/>
      <w:marBottom w:val="0"/>
      <w:divBdr>
        <w:top w:val="none" w:sz="0" w:space="0" w:color="auto"/>
        <w:left w:val="none" w:sz="0" w:space="0" w:color="auto"/>
        <w:bottom w:val="none" w:sz="0" w:space="0" w:color="auto"/>
        <w:right w:val="none" w:sz="0" w:space="0" w:color="auto"/>
      </w:divBdr>
    </w:div>
    <w:div w:id="591083669">
      <w:bodyDiv w:val="1"/>
      <w:marLeft w:val="0"/>
      <w:marRight w:val="0"/>
      <w:marTop w:val="0"/>
      <w:marBottom w:val="0"/>
      <w:divBdr>
        <w:top w:val="none" w:sz="0" w:space="0" w:color="auto"/>
        <w:left w:val="none" w:sz="0" w:space="0" w:color="auto"/>
        <w:bottom w:val="none" w:sz="0" w:space="0" w:color="auto"/>
        <w:right w:val="none" w:sz="0" w:space="0" w:color="auto"/>
      </w:divBdr>
    </w:div>
    <w:div w:id="827358270">
      <w:bodyDiv w:val="1"/>
      <w:marLeft w:val="0"/>
      <w:marRight w:val="0"/>
      <w:marTop w:val="0"/>
      <w:marBottom w:val="0"/>
      <w:divBdr>
        <w:top w:val="none" w:sz="0" w:space="0" w:color="auto"/>
        <w:left w:val="none" w:sz="0" w:space="0" w:color="auto"/>
        <w:bottom w:val="none" w:sz="0" w:space="0" w:color="auto"/>
        <w:right w:val="none" w:sz="0" w:space="0" w:color="auto"/>
      </w:divBdr>
    </w:div>
    <w:div w:id="904756084">
      <w:bodyDiv w:val="1"/>
      <w:marLeft w:val="0"/>
      <w:marRight w:val="0"/>
      <w:marTop w:val="0"/>
      <w:marBottom w:val="0"/>
      <w:divBdr>
        <w:top w:val="none" w:sz="0" w:space="0" w:color="auto"/>
        <w:left w:val="none" w:sz="0" w:space="0" w:color="auto"/>
        <w:bottom w:val="none" w:sz="0" w:space="0" w:color="auto"/>
        <w:right w:val="none" w:sz="0" w:space="0" w:color="auto"/>
      </w:divBdr>
    </w:div>
    <w:div w:id="914128516">
      <w:bodyDiv w:val="1"/>
      <w:marLeft w:val="0"/>
      <w:marRight w:val="0"/>
      <w:marTop w:val="0"/>
      <w:marBottom w:val="0"/>
      <w:divBdr>
        <w:top w:val="none" w:sz="0" w:space="0" w:color="auto"/>
        <w:left w:val="none" w:sz="0" w:space="0" w:color="auto"/>
        <w:bottom w:val="none" w:sz="0" w:space="0" w:color="auto"/>
        <w:right w:val="none" w:sz="0" w:space="0" w:color="auto"/>
      </w:divBdr>
    </w:div>
    <w:div w:id="1010379300">
      <w:bodyDiv w:val="1"/>
      <w:marLeft w:val="0"/>
      <w:marRight w:val="0"/>
      <w:marTop w:val="0"/>
      <w:marBottom w:val="0"/>
      <w:divBdr>
        <w:top w:val="none" w:sz="0" w:space="0" w:color="auto"/>
        <w:left w:val="none" w:sz="0" w:space="0" w:color="auto"/>
        <w:bottom w:val="none" w:sz="0" w:space="0" w:color="auto"/>
        <w:right w:val="none" w:sz="0" w:space="0" w:color="auto"/>
      </w:divBdr>
    </w:div>
    <w:div w:id="1247495358">
      <w:bodyDiv w:val="1"/>
      <w:marLeft w:val="0"/>
      <w:marRight w:val="0"/>
      <w:marTop w:val="0"/>
      <w:marBottom w:val="0"/>
      <w:divBdr>
        <w:top w:val="none" w:sz="0" w:space="0" w:color="auto"/>
        <w:left w:val="none" w:sz="0" w:space="0" w:color="auto"/>
        <w:bottom w:val="none" w:sz="0" w:space="0" w:color="auto"/>
        <w:right w:val="none" w:sz="0" w:space="0" w:color="auto"/>
      </w:divBdr>
    </w:div>
    <w:div w:id="1264269761">
      <w:bodyDiv w:val="1"/>
      <w:marLeft w:val="0"/>
      <w:marRight w:val="0"/>
      <w:marTop w:val="0"/>
      <w:marBottom w:val="0"/>
      <w:divBdr>
        <w:top w:val="none" w:sz="0" w:space="0" w:color="auto"/>
        <w:left w:val="none" w:sz="0" w:space="0" w:color="auto"/>
        <w:bottom w:val="none" w:sz="0" w:space="0" w:color="auto"/>
        <w:right w:val="none" w:sz="0" w:space="0" w:color="auto"/>
      </w:divBdr>
    </w:div>
    <w:div w:id="1436242028">
      <w:bodyDiv w:val="1"/>
      <w:marLeft w:val="0"/>
      <w:marRight w:val="0"/>
      <w:marTop w:val="0"/>
      <w:marBottom w:val="0"/>
      <w:divBdr>
        <w:top w:val="none" w:sz="0" w:space="0" w:color="auto"/>
        <w:left w:val="none" w:sz="0" w:space="0" w:color="auto"/>
        <w:bottom w:val="none" w:sz="0" w:space="0" w:color="auto"/>
        <w:right w:val="none" w:sz="0" w:space="0" w:color="auto"/>
      </w:divBdr>
    </w:div>
    <w:div w:id="1531336606">
      <w:bodyDiv w:val="1"/>
      <w:marLeft w:val="0"/>
      <w:marRight w:val="0"/>
      <w:marTop w:val="0"/>
      <w:marBottom w:val="0"/>
      <w:divBdr>
        <w:top w:val="none" w:sz="0" w:space="0" w:color="auto"/>
        <w:left w:val="none" w:sz="0" w:space="0" w:color="auto"/>
        <w:bottom w:val="none" w:sz="0" w:space="0" w:color="auto"/>
        <w:right w:val="none" w:sz="0" w:space="0" w:color="auto"/>
      </w:divBdr>
    </w:div>
    <w:div w:id="1592928183">
      <w:bodyDiv w:val="1"/>
      <w:marLeft w:val="0"/>
      <w:marRight w:val="0"/>
      <w:marTop w:val="0"/>
      <w:marBottom w:val="0"/>
      <w:divBdr>
        <w:top w:val="none" w:sz="0" w:space="0" w:color="auto"/>
        <w:left w:val="none" w:sz="0" w:space="0" w:color="auto"/>
        <w:bottom w:val="none" w:sz="0" w:space="0" w:color="auto"/>
        <w:right w:val="none" w:sz="0" w:space="0" w:color="auto"/>
      </w:divBdr>
      <w:divsChild>
        <w:div w:id="1794397283">
          <w:marLeft w:val="446"/>
          <w:marRight w:val="0"/>
          <w:marTop w:val="0"/>
          <w:marBottom w:val="0"/>
          <w:divBdr>
            <w:top w:val="none" w:sz="0" w:space="0" w:color="auto"/>
            <w:left w:val="none" w:sz="0" w:space="0" w:color="auto"/>
            <w:bottom w:val="none" w:sz="0" w:space="0" w:color="auto"/>
            <w:right w:val="none" w:sz="0" w:space="0" w:color="auto"/>
          </w:divBdr>
        </w:div>
        <w:div w:id="65349478">
          <w:marLeft w:val="446"/>
          <w:marRight w:val="0"/>
          <w:marTop w:val="0"/>
          <w:marBottom w:val="0"/>
          <w:divBdr>
            <w:top w:val="none" w:sz="0" w:space="0" w:color="auto"/>
            <w:left w:val="none" w:sz="0" w:space="0" w:color="auto"/>
            <w:bottom w:val="none" w:sz="0" w:space="0" w:color="auto"/>
            <w:right w:val="none" w:sz="0" w:space="0" w:color="auto"/>
          </w:divBdr>
        </w:div>
        <w:div w:id="824200797">
          <w:marLeft w:val="446"/>
          <w:marRight w:val="0"/>
          <w:marTop w:val="0"/>
          <w:marBottom w:val="0"/>
          <w:divBdr>
            <w:top w:val="none" w:sz="0" w:space="0" w:color="auto"/>
            <w:left w:val="none" w:sz="0" w:space="0" w:color="auto"/>
            <w:bottom w:val="none" w:sz="0" w:space="0" w:color="auto"/>
            <w:right w:val="none" w:sz="0" w:space="0" w:color="auto"/>
          </w:divBdr>
        </w:div>
      </w:divsChild>
    </w:div>
    <w:div w:id="1711688629">
      <w:bodyDiv w:val="1"/>
      <w:marLeft w:val="0"/>
      <w:marRight w:val="0"/>
      <w:marTop w:val="0"/>
      <w:marBottom w:val="0"/>
      <w:divBdr>
        <w:top w:val="none" w:sz="0" w:space="0" w:color="auto"/>
        <w:left w:val="none" w:sz="0" w:space="0" w:color="auto"/>
        <w:bottom w:val="none" w:sz="0" w:space="0" w:color="auto"/>
        <w:right w:val="none" w:sz="0" w:space="0" w:color="auto"/>
      </w:divBdr>
    </w:div>
    <w:div w:id="1759055459">
      <w:bodyDiv w:val="1"/>
      <w:marLeft w:val="0"/>
      <w:marRight w:val="0"/>
      <w:marTop w:val="0"/>
      <w:marBottom w:val="0"/>
      <w:divBdr>
        <w:top w:val="none" w:sz="0" w:space="0" w:color="auto"/>
        <w:left w:val="none" w:sz="0" w:space="0" w:color="auto"/>
        <w:bottom w:val="none" w:sz="0" w:space="0" w:color="auto"/>
        <w:right w:val="none" w:sz="0" w:space="0" w:color="auto"/>
      </w:divBdr>
    </w:div>
    <w:div w:id="1804542720">
      <w:bodyDiv w:val="1"/>
      <w:marLeft w:val="0"/>
      <w:marRight w:val="0"/>
      <w:marTop w:val="0"/>
      <w:marBottom w:val="0"/>
      <w:divBdr>
        <w:top w:val="none" w:sz="0" w:space="0" w:color="auto"/>
        <w:left w:val="none" w:sz="0" w:space="0" w:color="auto"/>
        <w:bottom w:val="none" w:sz="0" w:space="0" w:color="auto"/>
        <w:right w:val="none" w:sz="0" w:space="0" w:color="auto"/>
      </w:divBdr>
    </w:div>
    <w:div w:id="1820002470">
      <w:bodyDiv w:val="1"/>
      <w:marLeft w:val="0"/>
      <w:marRight w:val="0"/>
      <w:marTop w:val="0"/>
      <w:marBottom w:val="0"/>
      <w:divBdr>
        <w:top w:val="none" w:sz="0" w:space="0" w:color="auto"/>
        <w:left w:val="none" w:sz="0" w:space="0" w:color="auto"/>
        <w:bottom w:val="none" w:sz="0" w:space="0" w:color="auto"/>
        <w:right w:val="none" w:sz="0" w:space="0" w:color="auto"/>
      </w:divBdr>
    </w:div>
    <w:div w:id="1992827814">
      <w:bodyDiv w:val="1"/>
      <w:marLeft w:val="0"/>
      <w:marRight w:val="0"/>
      <w:marTop w:val="0"/>
      <w:marBottom w:val="0"/>
      <w:divBdr>
        <w:top w:val="none" w:sz="0" w:space="0" w:color="auto"/>
        <w:left w:val="none" w:sz="0" w:space="0" w:color="auto"/>
        <w:bottom w:val="none" w:sz="0" w:space="0" w:color="auto"/>
        <w:right w:val="none" w:sz="0" w:space="0" w:color="auto"/>
      </w:divBdr>
    </w:div>
    <w:div w:id="20094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3.xml"
                 Type="http://schemas.openxmlformats.org/officeDocument/2006/relationships/chart"/>
   <Relationship Id="rId11" Target="https://koronastop.lrv.lt/" TargetMode="External"
                 Type="http://schemas.openxmlformats.org/officeDocument/2006/relationships/hyperlink"/>
   <Relationship Id="rId12"
                 Target="https://osp.stat.gov.lt/praejusios-paros-covid-19-statistika?fbclid=IwAR2k-ZDnUHNyrb0jfxECFI0xWjWNEN2Xewh-i8C19Lz_1u9BBNxJnghwraQ"
                 TargetMode="External"
                 Type="http://schemas.openxmlformats.org/officeDocument/2006/relationships/hyperlink"/>
   <Relationship Id="rId13" Target="media/image1.emf"
                 Type="http://schemas.openxmlformats.org/officeDocument/2006/relationships/image"/>
   <Relationship Id="rId14" Target="media/image2.png"
                 Type="http://schemas.openxmlformats.org/officeDocument/2006/relationships/image"/>
   <Relationship Id="rId15" Target="http://www.pagalbasau.lt/" TargetMode="External"
                 Type="http://schemas.openxmlformats.org/officeDocument/2006/relationships/hyperlink"/>
   <Relationship Id="rId16"
                 Target="https://eimin.lrv.lt/lt/priemones-verslui/ekonomine-situacija-ir-paramos-verslui-statistika"
                 TargetMode="External"
                 Type="http://schemas.openxmlformats.org/officeDocument/2006/relationships/hyperlink"/>
   <Relationship Id="rId17" Target="https://koronastop.lrv.lt/lt/pagalba-verslui"
                 TargetMode="External"
                 Type="http://schemas.openxmlformats.org/officeDocument/2006/relationships/hyperlink"/>
   <Relationship Id="rId18" Target="https://lt.wikipedia.org/wiki/Sausio_25"
                 TargetMode="External"
                 Type="http://schemas.openxmlformats.org/officeDocument/2006/relationships/hyperlink"/>
   <Relationship Id="rId19" Target="https://lt.wikipedia.org/wiki/Vasario_28"
                 TargetMode="External"
                 Type="http://schemas.openxmlformats.org/officeDocument/2006/relationships/hyperlink"/>
   <Relationship Id="rId2" Target="numbering.xml"
                 Type="http://schemas.openxmlformats.org/officeDocument/2006/relationships/numbering"/>
   <Relationship Id="rId20" Target="https://lt.wikipedia.org/wiki/Kovo_12" TargetMode="External"
                 Type="http://schemas.openxmlformats.org/officeDocument/2006/relationships/hyperlink"/>
   <Relationship Id="rId21" Target="https://lt.wikipedia.org/wiki/Kovo_12" TargetMode="External"
                 Type="http://schemas.openxmlformats.org/officeDocument/2006/relationships/hyperlink"/>
   <Relationship Id="rId22" Target="https://lt.wikipedia.org/wiki/Kovo_16" TargetMode="External"
                 Type="http://schemas.openxmlformats.org/officeDocument/2006/relationships/hyperlink"/>
   <Relationship Id="rId23" Target="https://lt.wikipedia.org/wiki/Kovo_16" TargetMode="External"
                 Type="http://schemas.openxmlformats.org/officeDocument/2006/relationships/hyperlink"/>
   <Relationship Id="rId24" Target="https://lt.wikipedia.org/wiki/Kovo_18" TargetMode="External"
                 Type="http://schemas.openxmlformats.org/officeDocument/2006/relationships/hyperlink"/>
   <Relationship Id="rId25" Target="https://lt.wikipedia.org/wiki/Kovo_17" TargetMode="External"
                 Type="http://schemas.openxmlformats.org/officeDocument/2006/relationships/hyperlink"/>
   <Relationship Id="rId26" Target="https://lt.wikipedia.org/wiki/Kovo_17" TargetMode="External"
                 Type="http://schemas.openxmlformats.org/officeDocument/2006/relationships/hyperlink"/>
   <Relationship Id="rId27" Target="http://www.koronastop.lt" TargetMode="External"
                 Type="http://schemas.openxmlformats.org/officeDocument/2006/relationships/hyperlink"/>
   <Relationship Id="rId28" Target="https://lt.wikipedia.org/wiki/Kovo_17" TargetMode="External"
                 Type="http://schemas.openxmlformats.org/officeDocument/2006/relationships/hyperlink"/>
   <Relationship Id="rId29" Target="https://lt.wikipedia.org/wiki/Kovo_17" TargetMode="External"
                 Type="http://schemas.openxmlformats.org/officeDocument/2006/relationships/hyperlink"/>
   <Relationship Id="rId3" Target="styles.xml"
                 Type="http://schemas.openxmlformats.org/officeDocument/2006/relationships/styles"/>
   <Relationship Id="rId30" Target="https://lt.wikipedia.org/wiki/Kovo_17" TargetMode="External"
                 Type="http://schemas.openxmlformats.org/officeDocument/2006/relationships/hyperlink"/>
   <Relationship Id="rId31" Target="https://lt.wikipedia.org/wiki/Kovo_17" TargetMode="External"
                 Type="http://schemas.openxmlformats.org/officeDocument/2006/relationships/hyperlink"/>
   <Relationship Id="rId32" Target="https://lt.wikipedia.org/wiki/Kovo_25" TargetMode="External"
                 Type="http://schemas.openxmlformats.org/officeDocument/2006/relationships/hyperlink"/>
   <Relationship Id="rId33" Target="https://lt.wikipedia.org/wiki/Baland%C5%BEio_8"
                 TargetMode="External"
                 Type="http://schemas.openxmlformats.org/officeDocument/2006/relationships/hyperlink"/>
   <Relationship Id="rId34" Target="https://lt.wikipedia.org/wiki/Baland%C5%BEio_8"
                 TargetMode="External"
                 Type="http://schemas.openxmlformats.org/officeDocument/2006/relationships/hyperlink"/>
   <Relationship Id="rId35" Target="https://lt.wikipedia.org/wiki/Baland%C5%BEio_15"
                 TargetMode="External"
                 Type="http://schemas.openxmlformats.org/officeDocument/2006/relationships/hyperlink"/>
   <Relationship Id="rId36" Target="https://lt.wikipedia.org/wiki/Baland%C5%BEio_15"
                 TargetMode="External"
                 Type="http://schemas.openxmlformats.org/officeDocument/2006/relationships/hyperlink"/>
   <Relationship Id="rId37" Target="https://lt.wikipedia.org/wiki/Baland%C5%BEio_15"
                 TargetMode="External"
                 Type="http://schemas.openxmlformats.org/officeDocument/2006/relationships/hyperlink"/>
   <Relationship Id="rId38" Target="http://www.pagalbasau.lt" TargetMode="External"
                 Type="http://schemas.openxmlformats.org/officeDocument/2006/relationships/hyperlink"/>
   <Relationship Id="rId39" Target="footer1.xml"
                 Type="http://schemas.openxmlformats.org/officeDocument/2006/relationships/footer"/>
   <Relationship Id="rId4" Target="settings.xml"
                 Type="http://schemas.openxmlformats.org/officeDocument/2006/relationships/settings"/>
   <Relationship Id="rId40" Target="footer2.xml"
                 Type="http://schemas.openxmlformats.org/officeDocument/2006/relationships/footer"/>
   <Relationship Id="rId41"
                 Target="http://appsso.eurostat.ec.europa.eu/nui/submitViewTableAction.do"
                 TargetMode="External"
                 Type="http://schemas.openxmlformats.org/officeDocument/2006/relationships/hyperlink"/>
   <Relationship Id="rId42"
                 Target="http://https/ec.europa.eu/eurostat/databrowser/view/sdg_06_20/default/table?lang=en"
                 TargetMode="External"
                 Type="http://schemas.openxmlformats.org/officeDocument/2006/relationships/hyperlink"/>
   <Relationship Id="rId43" Target="http://www.esveikata.lt/ipr" TargetMode="External"
                 Type="http://schemas.openxmlformats.org/officeDocument/2006/relationships/hyperlink"/>
   <Relationship Id="rId44"
                 Target="http://vidinis/_layouts/15/TelefonuKnyga/Pareigybes.aspx?ID=18601&amp;ReturnSearch=romualdas%20petkev"
                 TargetMode="External"
                 Type="http://schemas.openxmlformats.org/officeDocument/2006/relationships/hyperlink"/>
   <Relationship Id="rId45" Target="fontTable.xml"
                 Type="http://schemas.openxmlformats.org/officeDocument/2006/relationships/fontTable"/>
   <Relationship Id="rId46" Target="glossary/document.xml"
                 Type="http://schemas.openxmlformats.org/officeDocument/2006/relationships/glossaryDocument"/>
   <Relationship Id="rId47" Target="theme/theme1.xml"
                 Type="http://schemas.openxmlformats.org/officeDocument/2006/relationships/theme"/>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charts/chart2.xml"
                 Type="http://schemas.openxmlformats.org/officeDocument/2006/relationships/chart"/>
</Relationships>
</file>

<file path=word/_rels/footnotes.xml.rels><?xml version="1.0" encoding="UTF-8" standalone="yes"?>
<Relationships xmlns="http://schemas.openxmlformats.org/package/2006/relationships">
   <Relationship Id="rId1"
                 Target="https://lrv.lt/uploads/main/documents/files/LRV%206%20strukturines%20reformos.pdf"
                 TargetMode="External"
                 Type="http://schemas.openxmlformats.org/officeDocument/2006/relationships/hyperlink"/>
   <Relationship Id="rId2" Target="https://umm.nordpoolgroup.com/" TargetMode="External"
                 Type="http://schemas.openxmlformats.org/officeDocument/2006/relationships/hyperlink"/>
   <Relationship Id="rId3"
                 Target="https://www.nordpoolgroup.com/Market-data1/Dayahead/Capacities1/Capacities/LV/Norway1/?view=table"
                 TargetMode="External"
                 Type="http://schemas.openxmlformats.org/officeDocument/2006/relationships/hyperlink"/>
   <Relationship Id="rId4"
                 Target="https://www.ast.lv/en/events/methodology-trade-electricity-russia"
                 TargetMode="External"
                 Type="http://schemas.openxmlformats.org/officeDocument/2006/relationships/hyperlink"/>
   <Relationship Id="rId5"
                 Target="https://www.regula.lt/SiteAssets/naujienu-medziaga/2020/2020-11/Pastabos_20201103.pdf"
                 TargetMode="External"
                 Type="http://schemas.openxmlformats.org/officeDocument/2006/relationships/hyperlink"/>
</Relationships>
</file>

<file path=word/charts/_rels/chart1.xml.rels><?xml version="1.0" encoding="UTF-8" standalone="yes"?>
<Relationships xmlns="http://schemas.openxmlformats.org/package/2006/relationships">
   <Relationship Id="rId1" Target="style1.xml"
                 Type="http://schemas.microsoft.com/office/2011/relationships/chartStyle"/>
   <Relationship Id="rId2" Target="colors1.xml"
                 Type="http://schemas.microsoft.com/office/2011/relationships/chartColorStyle"/>
   <Relationship Id="rId3" Target="../theme/themeOverride1.xml"
                 Type="http://schemas.openxmlformats.org/officeDocument/2006/relationships/themeOverride"/>
   <Relationship Id="rId4"
                 Target="file:///C:/Users/v.budzeviciene/AppData/Local/Microsoft/Windows/INetCache/Content.Outlook/RY56K042/covid%20grafikai.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style2.xml"
                 Type="http://schemas.microsoft.com/office/2011/relationships/chartStyle"/>
   <Relationship Id="rId2" Target="colors2.xml"
                 Type="http://schemas.microsoft.com/office/2011/relationships/chartColorStyle"/>
   <Relationship Id="rId3" Target="../theme/themeOverride2.xml"
                 Type="http://schemas.openxmlformats.org/officeDocument/2006/relationships/themeOverride"/>
   <Relationship Id="rId4" Target="../embeddings/Microsoft_Excel_Worksheet.xlsx"
                 Type="http://schemas.openxmlformats.org/officeDocument/2006/relationships/package"/>
</Relationships>
</file>

<file path=word/charts/_rels/chart3.xml.rels><?xml version="1.0" encoding="UTF-8" standalone="yes"?>
<Relationships xmlns="http://schemas.openxmlformats.org/package/2006/relationships">
   <Relationship Id="rId1" Target="style3.xml"
                 Type="http://schemas.microsoft.com/office/2011/relationships/chartStyle"/>
   <Relationship Id="rId2" Target="colors3.xml"
                 Type="http://schemas.microsoft.com/office/2011/relationships/chartColorStyle"/>
   <Relationship Id="rId3" Target="../theme/themeOverride3.xml"
                 Type="http://schemas.openxmlformats.org/officeDocument/2006/relationships/themeOverride"/>
   <Relationship Id="rId4" Target="../embeddings/Microsoft_Excel_Worksheet1.xlsx"
                 Type="http://schemas.openxmlformats.org/officeDocument/2006/relationships/package"/>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8804032239332912E-2"/>
          <c:y val="2.6397919375812744E-2"/>
          <c:w val="0.94363424151627062"/>
          <c:h val="0.74731986525091387"/>
        </c:manualLayout>
      </c:layout>
      <c:areaChart>
        <c:grouping val="standard"/>
        <c:varyColors val="0"/>
        <c:ser>
          <c:idx val="0"/>
          <c:order val="0"/>
          <c:tx>
            <c:strRef>
              <c:f>atvejai!$B$1</c:f>
              <c:strCache>
                <c:ptCount val="1"/>
                <c:pt idx="0">
                  <c:v>Nauji Covid-19 atvejai per dieną</c:v>
                </c:pt>
              </c:strCache>
            </c:strRef>
          </c:tx>
          <c:spPr>
            <a:solidFill>
              <a:schemeClr val="accent1"/>
            </a:solidFill>
            <a:ln>
              <a:noFill/>
            </a:ln>
            <a:effectLst/>
          </c:spPr>
          <c:dLbls>
            <c:dLbl>
              <c:idx val="273"/>
              <c:layout>
                <c:manualLayout>
                  <c:x val="0"/>
                  <c:y val="-0.3294321629822279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04-44A2-8890-522B0FED395C}"/>
                </c:ext>
              </c:extLst>
            </c:dLbl>
            <c:dLbl>
              <c:idx val="361"/>
              <c:layout>
                <c:manualLayout>
                  <c:x val="-1.2522624007888518E-16"/>
                  <c:y val="-8.6692674469007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04-44A2-8890-522B0FED39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atvejai!$A$2:$A$364</c:f>
              <c:strCache>
                <c:ptCount val="363"/>
                <c:pt idx="0">
                  <c:v>2020-03-20</c:v>
                </c:pt>
                <c:pt idx="1">
                  <c:v>2020-03-21</c:v>
                </c:pt>
                <c:pt idx="2">
                  <c:v>2020-03-22</c:v>
                </c:pt>
                <c:pt idx="3">
                  <c:v>2020-03-23</c:v>
                </c:pt>
                <c:pt idx="4">
                  <c:v>2020-03-24</c:v>
                </c:pt>
                <c:pt idx="5">
                  <c:v>2020-03-25</c:v>
                </c:pt>
                <c:pt idx="6">
                  <c:v>2020-03-26</c:v>
                </c:pt>
                <c:pt idx="7">
                  <c:v>2020-03-27</c:v>
                </c:pt>
                <c:pt idx="8">
                  <c:v>2020-03-28</c:v>
                </c:pt>
                <c:pt idx="9">
                  <c:v>2020-03-29</c:v>
                </c:pt>
                <c:pt idx="10">
                  <c:v>2020-03-30</c:v>
                </c:pt>
                <c:pt idx="11">
                  <c:v>2020-03-31</c:v>
                </c:pt>
                <c:pt idx="12">
                  <c:v>2020-04-01</c:v>
                </c:pt>
                <c:pt idx="13">
                  <c:v>2020-04-02</c:v>
                </c:pt>
                <c:pt idx="14">
                  <c:v>2020-04-03</c:v>
                </c:pt>
                <c:pt idx="15">
                  <c:v>2020-04-04</c:v>
                </c:pt>
                <c:pt idx="16">
                  <c:v>2020-04-05</c:v>
                </c:pt>
                <c:pt idx="17">
                  <c:v>2020-04-06</c:v>
                </c:pt>
                <c:pt idx="18">
                  <c:v>2020-04-07</c:v>
                </c:pt>
                <c:pt idx="19">
                  <c:v>2020-04-08</c:v>
                </c:pt>
                <c:pt idx="20">
                  <c:v>2020-04-09</c:v>
                </c:pt>
                <c:pt idx="21">
                  <c:v>2020-04-10</c:v>
                </c:pt>
                <c:pt idx="22">
                  <c:v>2020-04-11</c:v>
                </c:pt>
                <c:pt idx="23">
                  <c:v>2020-04-12</c:v>
                </c:pt>
                <c:pt idx="24">
                  <c:v>2020-04-13</c:v>
                </c:pt>
                <c:pt idx="25">
                  <c:v>2020-04-14</c:v>
                </c:pt>
                <c:pt idx="26">
                  <c:v>2020-04-15</c:v>
                </c:pt>
                <c:pt idx="27">
                  <c:v>2020-04-16</c:v>
                </c:pt>
                <c:pt idx="28">
                  <c:v>2020-04-17</c:v>
                </c:pt>
                <c:pt idx="29">
                  <c:v>2020-04-18</c:v>
                </c:pt>
                <c:pt idx="30">
                  <c:v>2020-04-19</c:v>
                </c:pt>
                <c:pt idx="31">
                  <c:v>2020-04-20</c:v>
                </c:pt>
                <c:pt idx="32">
                  <c:v>2020-04-21</c:v>
                </c:pt>
                <c:pt idx="33">
                  <c:v>2020-04-22</c:v>
                </c:pt>
                <c:pt idx="34">
                  <c:v>2020-04-23</c:v>
                </c:pt>
                <c:pt idx="35">
                  <c:v>2020-04-24</c:v>
                </c:pt>
                <c:pt idx="36">
                  <c:v>2020-04-25</c:v>
                </c:pt>
                <c:pt idx="37">
                  <c:v>2020-04-26</c:v>
                </c:pt>
                <c:pt idx="38">
                  <c:v>2020-04-27</c:v>
                </c:pt>
                <c:pt idx="39">
                  <c:v>2020-04-28</c:v>
                </c:pt>
                <c:pt idx="40">
                  <c:v>2020-04-29</c:v>
                </c:pt>
                <c:pt idx="41">
                  <c:v>2020-04-30</c:v>
                </c:pt>
                <c:pt idx="42">
                  <c:v>2020-05-01</c:v>
                </c:pt>
                <c:pt idx="43">
                  <c:v>2020-05-02</c:v>
                </c:pt>
                <c:pt idx="44">
                  <c:v>2020-05-03</c:v>
                </c:pt>
                <c:pt idx="45">
                  <c:v>2020-05-04</c:v>
                </c:pt>
                <c:pt idx="46">
                  <c:v>2020-05-05</c:v>
                </c:pt>
                <c:pt idx="47">
                  <c:v>2020-05-06</c:v>
                </c:pt>
                <c:pt idx="48">
                  <c:v>2020-05-07</c:v>
                </c:pt>
                <c:pt idx="49">
                  <c:v>2020-05-08</c:v>
                </c:pt>
                <c:pt idx="50">
                  <c:v>2020-05-09</c:v>
                </c:pt>
                <c:pt idx="51">
                  <c:v>2020-05-10</c:v>
                </c:pt>
                <c:pt idx="52">
                  <c:v>2020-05-11</c:v>
                </c:pt>
                <c:pt idx="53">
                  <c:v>2020-05-12</c:v>
                </c:pt>
                <c:pt idx="54">
                  <c:v>2020-05-13</c:v>
                </c:pt>
                <c:pt idx="55">
                  <c:v>2020-05-14</c:v>
                </c:pt>
                <c:pt idx="56">
                  <c:v>2020-05-15</c:v>
                </c:pt>
                <c:pt idx="57">
                  <c:v>2020-05-16</c:v>
                </c:pt>
                <c:pt idx="58">
                  <c:v>2020-05-17</c:v>
                </c:pt>
                <c:pt idx="59">
                  <c:v>2020-05-18</c:v>
                </c:pt>
                <c:pt idx="60">
                  <c:v>2020-05-19</c:v>
                </c:pt>
                <c:pt idx="61">
                  <c:v>2020-05-20</c:v>
                </c:pt>
                <c:pt idx="62">
                  <c:v>2020-05-21</c:v>
                </c:pt>
                <c:pt idx="63">
                  <c:v>2020-05-22</c:v>
                </c:pt>
                <c:pt idx="64">
                  <c:v>2020-05-23</c:v>
                </c:pt>
                <c:pt idx="65">
                  <c:v>2020-05-24</c:v>
                </c:pt>
                <c:pt idx="66">
                  <c:v>2020-05-25</c:v>
                </c:pt>
                <c:pt idx="67">
                  <c:v>2020-05-26</c:v>
                </c:pt>
                <c:pt idx="68">
                  <c:v>2020-05-27</c:v>
                </c:pt>
                <c:pt idx="69">
                  <c:v>2020-05-28</c:v>
                </c:pt>
                <c:pt idx="70">
                  <c:v>2020-05-29</c:v>
                </c:pt>
                <c:pt idx="71">
                  <c:v>2020-05-30</c:v>
                </c:pt>
                <c:pt idx="72">
                  <c:v>2020-05-31</c:v>
                </c:pt>
                <c:pt idx="73">
                  <c:v>2020-06-01</c:v>
                </c:pt>
                <c:pt idx="74">
                  <c:v>2020-06-02</c:v>
                </c:pt>
                <c:pt idx="75">
                  <c:v>2020-06-03</c:v>
                </c:pt>
                <c:pt idx="76">
                  <c:v>2020-06-04</c:v>
                </c:pt>
                <c:pt idx="77">
                  <c:v>2020-06-05</c:v>
                </c:pt>
                <c:pt idx="78">
                  <c:v>2020-06-06</c:v>
                </c:pt>
                <c:pt idx="79">
                  <c:v>2020-06-07</c:v>
                </c:pt>
                <c:pt idx="80">
                  <c:v>2020-06-08</c:v>
                </c:pt>
                <c:pt idx="81">
                  <c:v>2020-06-09</c:v>
                </c:pt>
                <c:pt idx="82">
                  <c:v>2020-06-10</c:v>
                </c:pt>
                <c:pt idx="83">
                  <c:v>2020-06-11</c:v>
                </c:pt>
                <c:pt idx="84">
                  <c:v>2020-06-12</c:v>
                </c:pt>
                <c:pt idx="85">
                  <c:v>2020-06-13</c:v>
                </c:pt>
                <c:pt idx="86">
                  <c:v>2020-06-14</c:v>
                </c:pt>
                <c:pt idx="87">
                  <c:v>2020-06-15</c:v>
                </c:pt>
                <c:pt idx="88">
                  <c:v>2020-06-16</c:v>
                </c:pt>
                <c:pt idx="89">
                  <c:v>2020-06-17</c:v>
                </c:pt>
                <c:pt idx="90">
                  <c:v>2020-06-18</c:v>
                </c:pt>
                <c:pt idx="91">
                  <c:v>2020-06-19</c:v>
                </c:pt>
                <c:pt idx="92">
                  <c:v>2020-06-20</c:v>
                </c:pt>
                <c:pt idx="93">
                  <c:v>2020-06-21</c:v>
                </c:pt>
                <c:pt idx="94">
                  <c:v>2020-06-22</c:v>
                </c:pt>
                <c:pt idx="95">
                  <c:v>2020-06-23</c:v>
                </c:pt>
                <c:pt idx="96">
                  <c:v>2020-06-24</c:v>
                </c:pt>
                <c:pt idx="97">
                  <c:v>2020-06-25</c:v>
                </c:pt>
                <c:pt idx="98">
                  <c:v>2020-06-26</c:v>
                </c:pt>
                <c:pt idx="99">
                  <c:v>2020-06-27</c:v>
                </c:pt>
                <c:pt idx="100">
                  <c:v>2020-06-28</c:v>
                </c:pt>
                <c:pt idx="101">
                  <c:v>2020-06-29</c:v>
                </c:pt>
                <c:pt idx="102">
                  <c:v>2020-06-30</c:v>
                </c:pt>
                <c:pt idx="103">
                  <c:v>2020-07-01</c:v>
                </c:pt>
                <c:pt idx="104">
                  <c:v>2020-07-02</c:v>
                </c:pt>
                <c:pt idx="105">
                  <c:v>2020-07-03</c:v>
                </c:pt>
                <c:pt idx="106">
                  <c:v>2020-07-04</c:v>
                </c:pt>
                <c:pt idx="107">
                  <c:v>2020-07-05</c:v>
                </c:pt>
                <c:pt idx="108">
                  <c:v>2020-07-06</c:v>
                </c:pt>
                <c:pt idx="109">
                  <c:v>2020-07-07</c:v>
                </c:pt>
                <c:pt idx="110">
                  <c:v>2020-07-08</c:v>
                </c:pt>
                <c:pt idx="111">
                  <c:v>2020-07-09</c:v>
                </c:pt>
                <c:pt idx="112">
                  <c:v>2020-07-10</c:v>
                </c:pt>
                <c:pt idx="113">
                  <c:v>2020-07-11</c:v>
                </c:pt>
                <c:pt idx="114">
                  <c:v>2020-07-12</c:v>
                </c:pt>
                <c:pt idx="115">
                  <c:v>2020-07-13</c:v>
                </c:pt>
                <c:pt idx="116">
                  <c:v>2020-07-14</c:v>
                </c:pt>
                <c:pt idx="117">
                  <c:v>2020-07-15</c:v>
                </c:pt>
                <c:pt idx="118">
                  <c:v>2020-07-16</c:v>
                </c:pt>
                <c:pt idx="119">
                  <c:v>2020-07-17</c:v>
                </c:pt>
                <c:pt idx="120">
                  <c:v>2020-07-18</c:v>
                </c:pt>
                <c:pt idx="121">
                  <c:v>2020-07-19</c:v>
                </c:pt>
                <c:pt idx="122">
                  <c:v>2020-07-20</c:v>
                </c:pt>
                <c:pt idx="123">
                  <c:v>2020-07-21</c:v>
                </c:pt>
                <c:pt idx="124">
                  <c:v>2020-07-22</c:v>
                </c:pt>
                <c:pt idx="125">
                  <c:v>2020-07-23</c:v>
                </c:pt>
                <c:pt idx="126">
                  <c:v>2020-07-24</c:v>
                </c:pt>
                <c:pt idx="127">
                  <c:v>2020-07-25</c:v>
                </c:pt>
                <c:pt idx="128">
                  <c:v>2020-07-26</c:v>
                </c:pt>
                <c:pt idx="129">
                  <c:v>2020-07-27</c:v>
                </c:pt>
                <c:pt idx="130">
                  <c:v>2020-07-28</c:v>
                </c:pt>
                <c:pt idx="131">
                  <c:v>2020-07-29</c:v>
                </c:pt>
                <c:pt idx="132">
                  <c:v>2020-07-30</c:v>
                </c:pt>
                <c:pt idx="133">
                  <c:v>2020-07-31</c:v>
                </c:pt>
                <c:pt idx="134">
                  <c:v>2020-08-01</c:v>
                </c:pt>
                <c:pt idx="135">
                  <c:v>2020-08-02</c:v>
                </c:pt>
                <c:pt idx="136">
                  <c:v>2020-08-03</c:v>
                </c:pt>
                <c:pt idx="137">
                  <c:v>2020-08-04</c:v>
                </c:pt>
                <c:pt idx="138">
                  <c:v>2020-08-05</c:v>
                </c:pt>
                <c:pt idx="139">
                  <c:v>2020-08-06</c:v>
                </c:pt>
                <c:pt idx="140">
                  <c:v>2020-08-07</c:v>
                </c:pt>
                <c:pt idx="141">
                  <c:v>2020-08-08</c:v>
                </c:pt>
                <c:pt idx="142">
                  <c:v>2020-08-09</c:v>
                </c:pt>
                <c:pt idx="143">
                  <c:v>2020-08-10</c:v>
                </c:pt>
                <c:pt idx="144">
                  <c:v>2020-08-11</c:v>
                </c:pt>
                <c:pt idx="145">
                  <c:v>2020-08-12</c:v>
                </c:pt>
                <c:pt idx="146">
                  <c:v>2020-08-13</c:v>
                </c:pt>
                <c:pt idx="147">
                  <c:v>2020-08-14</c:v>
                </c:pt>
                <c:pt idx="148">
                  <c:v>2020-08-15</c:v>
                </c:pt>
                <c:pt idx="149">
                  <c:v>2020-08-16</c:v>
                </c:pt>
                <c:pt idx="150">
                  <c:v>2020-08-17</c:v>
                </c:pt>
                <c:pt idx="151">
                  <c:v>2020-08-18</c:v>
                </c:pt>
                <c:pt idx="152">
                  <c:v>2020-08-19</c:v>
                </c:pt>
                <c:pt idx="153">
                  <c:v>2020-08-20</c:v>
                </c:pt>
                <c:pt idx="154">
                  <c:v>2020-08-21</c:v>
                </c:pt>
                <c:pt idx="155">
                  <c:v>2020-08-22</c:v>
                </c:pt>
                <c:pt idx="156">
                  <c:v>2020-08-23</c:v>
                </c:pt>
                <c:pt idx="157">
                  <c:v>2020-08-24</c:v>
                </c:pt>
                <c:pt idx="158">
                  <c:v>2020-08-25</c:v>
                </c:pt>
                <c:pt idx="159">
                  <c:v>2020-08-26</c:v>
                </c:pt>
                <c:pt idx="160">
                  <c:v>2020-08-27</c:v>
                </c:pt>
                <c:pt idx="161">
                  <c:v>2020-08-28</c:v>
                </c:pt>
                <c:pt idx="162">
                  <c:v>2020-08-29</c:v>
                </c:pt>
                <c:pt idx="163">
                  <c:v>2020-08-30</c:v>
                </c:pt>
                <c:pt idx="164">
                  <c:v>2020-08-31</c:v>
                </c:pt>
                <c:pt idx="165">
                  <c:v>2020-09-01</c:v>
                </c:pt>
                <c:pt idx="166">
                  <c:v>2020-09-02</c:v>
                </c:pt>
                <c:pt idx="167">
                  <c:v>2020-09-03</c:v>
                </c:pt>
                <c:pt idx="168">
                  <c:v>2020-09-04</c:v>
                </c:pt>
                <c:pt idx="169">
                  <c:v>2020-09-05</c:v>
                </c:pt>
                <c:pt idx="170">
                  <c:v>2020-09-06</c:v>
                </c:pt>
                <c:pt idx="171">
                  <c:v>2020-09-07</c:v>
                </c:pt>
                <c:pt idx="172">
                  <c:v>2020-09-08</c:v>
                </c:pt>
                <c:pt idx="173">
                  <c:v>2020-09-09</c:v>
                </c:pt>
                <c:pt idx="174">
                  <c:v>2020-09-10</c:v>
                </c:pt>
                <c:pt idx="175">
                  <c:v>2020-09-11</c:v>
                </c:pt>
                <c:pt idx="176">
                  <c:v>2020-09-12</c:v>
                </c:pt>
                <c:pt idx="177">
                  <c:v>2020-09-13</c:v>
                </c:pt>
                <c:pt idx="178">
                  <c:v>2020-09-14</c:v>
                </c:pt>
                <c:pt idx="179">
                  <c:v>2020-09-15</c:v>
                </c:pt>
                <c:pt idx="180">
                  <c:v>2020-09-16</c:v>
                </c:pt>
                <c:pt idx="181">
                  <c:v>2020-09-17</c:v>
                </c:pt>
                <c:pt idx="182">
                  <c:v>2020-09-18</c:v>
                </c:pt>
                <c:pt idx="183">
                  <c:v>2020-09-19</c:v>
                </c:pt>
                <c:pt idx="184">
                  <c:v>2020-09-20</c:v>
                </c:pt>
                <c:pt idx="185">
                  <c:v>2020-09-21</c:v>
                </c:pt>
                <c:pt idx="186">
                  <c:v>2020-09-22</c:v>
                </c:pt>
                <c:pt idx="187">
                  <c:v>2020-09-23</c:v>
                </c:pt>
                <c:pt idx="188">
                  <c:v>2020-09-24</c:v>
                </c:pt>
                <c:pt idx="189">
                  <c:v>2020-09-25</c:v>
                </c:pt>
                <c:pt idx="190">
                  <c:v>2020-09-26</c:v>
                </c:pt>
                <c:pt idx="191">
                  <c:v>2020-09-27</c:v>
                </c:pt>
                <c:pt idx="192">
                  <c:v>2020-09-28</c:v>
                </c:pt>
                <c:pt idx="193">
                  <c:v>2020-09-29</c:v>
                </c:pt>
                <c:pt idx="194">
                  <c:v>2020-09-30</c:v>
                </c:pt>
                <c:pt idx="195">
                  <c:v>2020-10-01</c:v>
                </c:pt>
                <c:pt idx="196">
                  <c:v>2020-10-02</c:v>
                </c:pt>
                <c:pt idx="197">
                  <c:v>2020-10-03</c:v>
                </c:pt>
                <c:pt idx="198">
                  <c:v>2020-10-04</c:v>
                </c:pt>
                <c:pt idx="199">
                  <c:v>2020-10-05</c:v>
                </c:pt>
                <c:pt idx="200">
                  <c:v>2020-10-06</c:v>
                </c:pt>
                <c:pt idx="201">
                  <c:v>2020-10-07</c:v>
                </c:pt>
                <c:pt idx="202">
                  <c:v>2020-10-08</c:v>
                </c:pt>
                <c:pt idx="203">
                  <c:v>2020-10-09</c:v>
                </c:pt>
                <c:pt idx="204">
                  <c:v>2020-10-10</c:v>
                </c:pt>
                <c:pt idx="205">
                  <c:v>2020-10-11</c:v>
                </c:pt>
                <c:pt idx="206">
                  <c:v>2020-10-12</c:v>
                </c:pt>
                <c:pt idx="207">
                  <c:v>2020-10-13</c:v>
                </c:pt>
                <c:pt idx="208">
                  <c:v>2020-10-14</c:v>
                </c:pt>
                <c:pt idx="209">
                  <c:v>2020-10-15</c:v>
                </c:pt>
                <c:pt idx="210">
                  <c:v>2020-10-16</c:v>
                </c:pt>
                <c:pt idx="211">
                  <c:v>2020-10-17</c:v>
                </c:pt>
                <c:pt idx="212">
                  <c:v>2020-10-18</c:v>
                </c:pt>
                <c:pt idx="213">
                  <c:v>2020-10-19</c:v>
                </c:pt>
                <c:pt idx="214">
                  <c:v>2020-10-20</c:v>
                </c:pt>
                <c:pt idx="215">
                  <c:v>2020-10-21</c:v>
                </c:pt>
                <c:pt idx="216">
                  <c:v>2020-10-22</c:v>
                </c:pt>
                <c:pt idx="217">
                  <c:v>2020-10-23</c:v>
                </c:pt>
                <c:pt idx="218">
                  <c:v>2020-10-24</c:v>
                </c:pt>
                <c:pt idx="219">
                  <c:v>2020-10-25</c:v>
                </c:pt>
                <c:pt idx="220">
                  <c:v>2020-10-26</c:v>
                </c:pt>
                <c:pt idx="221">
                  <c:v>2020-10-27</c:v>
                </c:pt>
                <c:pt idx="222">
                  <c:v>2020-10-28</c:v>
                </c:pt>
                <c:pt idx="223">
                  <c:v>2020-10-29</c:v>
                </c:pt>
                <c:pt idx="224">
                  <c:v>2020-10-30</c:v>
                </c:pt>
                <c:pt idx="225">
                  <c:v>2020-10-31</c:v>
                </c:pt>
                <c:pt idx="226">
                  <c:v>2020-11-01</c:v>
                </c:pt>
                <c:pt idx="227">
                  <c:v>2020-11-02</c:v>
                </c:pt>
                <c:pt idx="228">
                  <c:v>2020-11-03</c:v>
                </c:pt>
                <c:pt idx="229">
                  <c:v>2020-11-04</c:v>
                </c:pt>
                <c:pt idx="230">
                  <c:v>2020-11-05</c:v>
                </c:pt>
                <c:pt idx="231">
                  <c:v>2020-11-06</c:v>
                </c:pt>
                <c:pt idx="232">
                  <c:v>2020-11-07</c:v>
                </c:pt>
                <c:pt idx="233">
                  <c:v>2020-11-08</c:v>
                </c:pt>
                <c:pt idx="234">
                  <c:v>2020-11-09</c:v>
                </c:pt>
                <c:pt idx="235">
                  <c:v>2020-11-10</c:v>
                </c:pt>
                <c:pt idx="236">
                  <c:v>2020-11-11</c:v>
                </c:pt>
                <c:pt idx="237">
                  <c:v>2020-11-12</c:v>
                </c:pt>
                <c:pt idx="238">
                  <c:v>2020-11-13</c:v>
                </c:pt>
                <c:pt idx="239">
                  <c:v>2020-11-14</c:v>
                </c:pt>
                <c:pt idx="240">
                  <c:v>2020-11-15</c:v>
                </c:pt>
                <c:pt idx="241">
                  <c:v>2020-11-16</c:v>
                </c:pt>
                <c:pt idx="242">
                  <c:v>2020-11-17</c:v>
                </c:pt>
                <c:pt idx="243">
                  <c:v>2020-11-18</c:v>
                </c:pt>
                <c:pt idx="244">
                  <c:v>2020-11-19</c:v>
                </c:pt>
                <c:pt idx="245">
                  <c:v>2020-11-20</c:v>
                </c:pt>
                <c:pt idx="246">
                  <c:v>2020-11-21</c:v>
                </c:pt>
                <c:pt idx="247">
                  <c:v>2020-11-22</c:v>
                </c:pt>
                <c:pt idx="248">
                  <c:v>2020-11-23</c:v>
                </c:pt>
                <c:pt idx="249">
                  <c:v>2020-11-24</c:v>
                </c:pt>
                <c:pt idx="250">
                  <c:v>2020-11-25</c:v>
                </c:pt>
                <c:pt idx="251">
                  <c:v>2020-11-26</c:v>
                </c:pt>
                <c:pt idx="252">
                  <c:v>2020-11-27</c:v>
                </c:pt>
                <c:pt idx="253">
                  <c:v>2020-11-28</c:v>
                </c:pt>
                <c:pt idx="254">
                  <c:v>2020-11-29</c:v>
                </c:pt>
                <c:pt idx="255">
                  <c:v>2020-11-30</c:v>
                </c:pt>
                <c:pt idx="256">
                  <c:v>2020-12-01</c:v>
                </c:pt>
                <c:pt idx="257">
                  <c:v>2020-12-02</c:v>
                </c:pt>
                <c:pt idx="258">
                  <c:v>2020-12-03</c:v>
                </c:pt>
                <c:pt idx="259">
                  <c:v>2020-12-04</c:v>
                </c:pt>
                <c:pt idx="260">
                  <c:v>2020-12-05</c:v>
                </c:pt>
                <c:pt idx="261">
                  <c:v>2020-12-06</c:v>
                </c:pt>
                <c:pt idx="262">
                  <c:v>2020-12-07</c:v>
                </c:pt>
                <c:pt idx="263">
                  <c:v>2020-12-08</c:v>
                </c:pt>
                <c:pt idx="264">
                  <c:v>2020-12-09</c:v>
                </c:pt>
                <c:pt idx="265">
                  <c:v>2020-12-10</c:v>
                </c:pt>
                <c:pt idx="266">
                  <c:v>2020-12-11</c:v>
                </c:pt>
                <c:pt idx="267">
                  <c:v>2020-12-12</c:v>
                </c:pt>
                <c:pt idx="268">
                  <c:v>2020-12-13</c:v>
                </c:pt>
                <c:pt idx="269">
                  <c:v>2020-12-14</c:v>
                </c:pt>
                <c:pt idx="270">
                  <c:v>2020-12-15</c:v>
                </c:pt>
                <c:pt idx="271">
                  <c:v>2020-12-16</c:v>
                </c:pt>
                <c:pt idx="272">
                  <c:v>2020-12-17</c:v>
                </c:pt>
                <c:pt idx="273">
                  <c:v>2020-12-18</c:v>
                </c:pt>
                <c:pt idx="274">
                  <c:v>2020-12-19</c:v>
                </c:pt>
                <c:pt idx="275">
                  <c:v>2020-12-20</c:v>
                </c:pt>
                <c:pt idx="276">
                  <c:v>2020-12-21</c:v>
                </c:pt>
                <c:pt idx="277">
                  <c:v>2020-12-22</c:v>
                </c:pt>
                <c:pt idx="278">
                  <c:v>2020-12-23</c:v>
                </c:pt>
                <c:pt idx="279">
                  <c:v>2020-12-24</c:v>
                </c:pt>
                <c:pt idx="280">
                  <c:v>2020-12-25</c:v>
                </c:pt>
                <c:pt idx="281">
                  <c:v>2020-12-26</c:v>
                </c:pt>
                <c:pt idx="282">
                  <c:v>2020-12-27</c:v>
                </c:pt>
                <c:pt idx="283">
                  <c:v>2020-12-28</c:v>
                </c:pt>
                <c:pt idx="284">
                  <c:v>2020-12-29</c:v>
                </c:pt>
                <c:pt idx="285">
                  <c:v>2020-12-30</c:v>
                </c:pt>
                <c:pt idx="286">
                  <c:v>2020-12-31</c:v>
                </c:pt>
                <c:pt idx="287">
                  <c:v>2021-01-01</c:v>
                </c:pt>
                <c:pt idx="288">
                  <c:v>2021-01-02</c:v>
                </c:pt>
                <c:pt idx="289">
                  <c:v>2021-01-03</c:v>
                </c:pt>
                <c:pt idx="290">
                  <c:v>2021-01-04</c:v>
                </c:pt>
                <c:pt idx="291">
                  <c:v>2021-01-05</c:v>
                </c:pt>
                <c:pt idx="292">
                  <c:v>2021-01-06</c:v>
                </c:pt>
                <c:pt idx="293">
                  <c:v>2021-01-07</c:v>
                </c:pt>
                <c:pt idx="294">
                  <c:v>2021-01-08</c:v>
                </c:pt>
                <c:pt idx="295">
                  <c:v>2021-01-09</c:v>
                </c:pt>
                <c:pt idx="296">
                  <c:v>2021-01-10</c:v>
                </c:pt>
                <c:pt idx="297">
                  <c:v>2021-01-11</c:v>
                </c:pt>
                <c:pt idx="298">
                  <c:v>2021-01-12</c:v>
                </c:pt>
                <c:pt idx="299">
                  <c:v>2021-01-13</c:v>
                </c:pt>
                <c:pt idx="300">
                  <c:v>2021-01-14</c:v>
                </c:pt>
                <c:pt idx="301">
                  <c:v>2021-01-15</c:v>
                </c:pt>
                <c:pt idx="302">
                  <c:v>2021-01-16</c:v>
                </c:pt>
                <c:pt idx="303">
                  <c:v>2021-01-17</c:v>
                </c:pt>
                <c:pt idx="304">
                  <c:v>2021-01-18</c:v>
                </c:pt>
                <c:pt idx="305">
                  <c:v>2021-01-19</c:v>
                </c:pt>
                <c:pt idx="306">
                  <c:v>2021-01-20</c:v>
                </c:pt>
                <c:pt idx="307">
                  <c:v>2021-01-21</c:v>
                </c:pt>
                <c:pt idx="308">
                  <c:v>2021-01-22</c:v>
                </c:pt>
                <c:pt idx="309">
                  <c:v>2021-01-23</c:v>
                </c:pt>
                <c:pt idx="310">
                  <c:v>2021-01-24</c:v>
                </c:pt>
                <c:pt idx="311">
                  <c:v>2021-01-25</c:v>
                </c:pt>
                <c:pt idx="312">
                  <c:v>2021-01-26</c:v>
                </c:pt>
                <c:pt idx="313">
                  <c:v>2021-01-27</c:v>
                </c:pt>
                <c:pt idx="314">
                  <c:v>2021-01-28</c:v>
                </c:pt>
                <c:pt idx="315">
                  <c:v>2021-01-29</c:v>
                </c:pt>
                <c:pt idx="316">
                  <c:v>2021-01-30</c:v>
                </c:pt>
                <c:pt idx="317">
                  <c:v>2021-01-31</c:v>
                </c:pt>
                <c:pt idx="318">
                  <c:v>2021-02-01</c:v>
                </c:pt>
                <c:pt idx="319">
                  <c:v>2021-02-02</c:v>
                </c:pt>
                <c:pt idx="320">
                  <c:v>2021-02-03</c:v>
                </c:pt>
                <c:pt idx="321">
                  <c:v>2021-02-04</c:v>
                </c:pt>
                <c:pt idx="322">
                  <c:v>2021-02-05</c:v>
                </c:pt>
                <c:pt idx="323">
                  <c:v>2021-02-06</c:v>
                </c:pt>
                <c:pt idx="324">
                  <c:v>2021-02-07</c:v>
                </c:pt>
                <c:pt idx="325">
                  <c:v>2021-02-08</c:v>
                </c:pt>
                <c:pt idx="326">
                  <c:v>2021-02-09</c:v>
                </c:pt>
                <c:pt idx="327">
                  <c:v>2021-02-10</c:v>
                </c:pt>
                <c:pt idx="328">
                  <c:v>2021-02-11</c:v>
                </c:pt>
                <c:pt idx="329">
                  <c:v>2021-02-12</c:v>
                </c:pt>
                <c:pt idx="330">
                  <c:v>2021-02-13</c:v>
                </c:pt>
                <c:pt idx="331">
                  <c:v>2021-02-14</c:v>
                </c:pt>
                <c:pt idx="332">
                  <c:v>2021-02-15</c:v>
                </c:pt>
                <c:pt idx="333">
                  <c:v>2021-02-16</c:v>
                </c:pt>
                <c:pt idx="334">
                  <c:v>2021-02-17</c:v>
                </c:pt>
                <c:pt idx="335">
                  <c:v>2021-02-18</c:v>
                </c:pt>
                <c:pt idx="336">
                  <c:v>2021-02-19</c:v>
                </c:pt>
                <c:pt idx="337">
                  <c:v>2021-02-20</c:v>
                </c:pt>
                <c:pt idx="338">
                  <c:v>2021-02-21</c:v>
                </c:pt>
                <c:pt idx="339">
                  <c:v>2021-02-22</c:v>
                </c:pt>
                <c:pt idx="340">
                  <c:v>2021-02-23</c:v>
                </c:pt>
                <c:pt idx="341">
                  <c:v>2021-02-24</c:v>
                </c:pt>
                <c:pt idx="342">
                  <c:v>2021-02-25</c:v>
                </c:pt>
                <c:pt idx="343">
                  <c:v>2021-02-26</c:v>
                </c:pt>
                <c:pt idx="344">
                  <c:v>2021-02-27</c:v>
                </c:pt>
                <c:pt idx="345">
                  <c:v>2021-02-28</c:v>
                </c:pt>
                <c:pt idx="346">
                  <c:v>2021-03-01</c:v>
                </c:pt>
                <c:pt idx="347">
                  <c:v>2021-03-02</c:v>
                </c:pt>
                <c:pt idx="348">
                  <c:v>2021-03-03</c:v>
                </c:pt>
                <c:pt idx="349">
                  <c:v>2021-03-04</c:v>
                </c:pt>
                <c:pt idx="350">
                  <c:v>2021-03-05</c:v>
                </c:pt>
                <c:pt idx="351">
                  <c:v>2021-03-06</c:v>
                </c:pt>
                <c:pt idx="352">
                  <c:v>2021-03-07</c:v>
                </c:pt>
                <c:pt idx="353">
                  <c:v>2021-03-08</c:v>
                </c:pt>
                <c:pt idx="354">
                  <c:v>2021-03-09</c:v>
                </c:pt>
                <c:pt idx="355">
                  <c:v>2021-03-10</c:v>
                </c:pt>
                <c:pt idx="356">
                  <c:v>2021-03-11</c:v>
                </c:pt>
                <c:pt idx="357">
                  <c:v>2021-03-12</c:v>
                </c:pt>
                <c:pt idx="358">
                  <c:v>2021-03-13</c:v>
                </c:pt>
                <c:pt idx="359">
                  <c:v>2021-03-14</c:v>
                </c:pt>
                <c:pt idx="360">
                  <c:v>2021-03-15</c:v>
                </c:pt>
                <c:pt idx="361">
                  <c:v>2021-03-16</c:v>
                </c:pt>
                <c:pt idx="362">
                  <c:v>2021-03-17</c:v>
                </c:pt>
              </c:strCache>
            </c:strRef>
          </c:cat>
          <c:val>
            <c:numRef>
              <c:f>atvejai!$B$2:$B$364</c:f>
              <c:numCache>
                <c:formatCode>General</c:formatCode>
                <c:ptCount val="363"/>
                <c:pt idx="0">
                  <c:v>6</c:v>
                </c:pt>
                <c:pt idx="1">
                  <c:v>25</c:v>
                </c:pt>
                <c:pt idx="2">
                  <c:v>27</c:v>
                </c:pt>
                <c:pt idx="3">
                  <c:v>30</c:v>
                </c:pt>
                <c:pt idx="4">
                  <c:v>23</c:v>
                </c:pt>
                <c:pt idx="5">
                  <c:v>54</c:v>
                </c:pt>
                <c:pt idx="6">
                  <c:v>16</c:v>
                </c:pt>
                <c:pt idx="7">
                  <c:v>44</c:v>
                </c:pt>
                <c:pt idx="8">
                  <c:v>35</c:v>
                </c:pt>
                <c:pt idx="9">
                  <c:v>17</c:v>
                </c:pt>
                <c:pt idx="10">
                  <c:v>86</c:v>
                </c:pt>
                <c:pt idx="11">
                  <c:v>39</c:v>
                </c:pt>
                <c:pt idx="12">
                  <c:v>69</c:v>
                </c:pt>
                <c:pt idx="13">
                  <c:v>57</c:v>
                </c:pt>
                <c:pt idx="14">
                  <c:v>51</c:v>
                </c:pt>
                <c:pt idx="15">
                  <c:v>39</c:v>
                </c:pt>
                <c:pt idx="16">
                  <c:v>30</c:v>
                </c:pt>
                <c:pt idx="17">
                  <c:v>43</c:v>
                </c:pt>
                <c:pt idx="18">
                  <c:v>30</c:v>
                </c:pt>
                <c:pt idx="19">
                  <c:v>48</c:v>
                </c:pt>
                <c:pt idx="20">
                  <c:v>42</c:v>
                </c:pt>
                <c:pt idx="21">
                  <c:v>38</c:v>
                </c:pt>
                <c:pt idx="22">
                  <c:v>30</c:v>
                </c:pt>
                <c:pt idx="23">
                  <c:v>19</c:v>
                </c:pt>
                <c:pt idx="24">
                  <c:v>7</c:v>
                </c:pt>
                <c:pt idx="25">
                  <c:v>19</c:v>
                </c:pt>
                <c:pt idx="26">
                  <c:v>24</c:v>
                </c:pt>
                <c:pt idx="27">
                  <c:v>28</c:v>
                </c:pt>
                <c:pt idx="28">
                  <c:v>81</c:v>
                </c:pt>
                <c:pt idx="29">
                  <c:v>61</c:v>
                </c:pt>
                <c:pt idx="30">
                  <c:v>25</c:v>
                </c:pt>
                <c:pt idx="31">
                  <c:v>21</c:v>
                </c:pt>
                <c:pt idx="32">
                  <c:v>22</c:v>
                </c:pt>
                <c:pt idx="33">
                  <c:v>20</c:v>
                </c:pt>
                <c:pt idx="34">
                  <c:v>13</c:v>
                </c:pt>
                <c:pt idx="35">
                  <c:v>14</c:v>
                </c:pt>
                <c:pt idx="36">
                  <c:v>11</c:v>
                </c:pt>
                <c:pt idx="37">
                  <c:v>14</c:v>
                </c:pt>
                <c:pt idx="38">
                  <c:v>2</c:v>
                </c:pt>
                <c:pt idx="39">
                  <c:v>30</c:v>
                </c:pt>
                <c:pt idx="40">
                  <c:v>18</c:v>
                </c:pt>
                <c:pt idx="41">
                  <c:v>6</c:v>
                </c:pt>
                <c:pt idx="42">
                  <c:v>8</c:v>
                </c:pt>
                <c:pt idx="43">
                  <c:v>3</c:v>
                </c:pt>
                <c:pt idx="44">
                  <c:v>8</c:v>
                </c:pt>
                <c:pt idx="45">
                  <c:v>4</c:v>
                </c:pt>
                <c:pt idx="46">
                  <c:v>6</c:v>
                </c:pt>
                <c:pt idx="47">
                  <c:v>7</c:v>
                </c:pt>
                <c:pt idx="48">
                  <c:v>12</c:v>
                </c:pt>
                <c:pt idx="49">
                  <c:v>22</c:v>
                </c:pt>
                <c:pt idx="50">
                  <c:v>13</c:v>
                </c:pt>
                <c:pt idx="51">
                  <c:v>10</c:v>
                </c:pt>
                <c:pt idx="52">
                  <c:v>8</c:v>
                </c:pt>
                <c:pt idx="53">
                  <c:v>16</c:v>
                </c:pt>
                <c:pt idx="54">
                  <c:v>6</c:v>
                </c:pt>
                <c:pt idx="55">
                  <c:v>12</c:v>
                </c:pt>
                <c:pt idx="56">
                  <c:v>17</c:v>
                </c:pt>
                <c:pt idx="57">
                  <c:v>7</c:v>
                </c:pt>
                <c:pt idx="58">
                  <c:v>6</c:v>
                </c:pt>
                <c:pt idx="59">
                  <c:v>12</c:v>
                </c:pt>
                <c:pt idx="60">
                  <c:v>16</c:v>
                </c:pt>
                <c:pt idx="61">
                  <c:v>15</c:v>
                </c:pt>
                <c:pt idx="62">
                  <c:v>13</c:v>
                </c:pt>
                <c:pt idx="63">
                  <c:v>12</c:v>
                </c:pt>
                <c:pt idx="64">
                  <c:v>10</c:v>
                </c:pt>
                <c:pt idx="65">
                  <c:v>4</c:v>
                </c:pt>
                <c:pt idx="66">
                  <c:v>7</c:v>
                </c:pt>
                <c:pt idx="67">
                  <c:v>6</c:v>
                </c:pt>
                <c:pt idx="68">
                  <c:v>9</c:v>
                </c:pt>
                <c:pt idx="69">
                  <c:v>7</c:v>
                </c:pt>
                <c:pt idx="70">
                  <c:v>10</c:v>
                </c:pt>
                <c:pt idx="71">
                  <c:v>4</c:v>
                </c:pt>
                <c:pt idx="72">
                  <c:v>5</c:v>
                </c:pt>
                <c:pt idx="73">
                  <c:v>4</c:v>
                </c:pt>
                <c:pt idx="74">
                  <c:v>2</c:v>
                </c:pt>
                <c:pt idx="75">
                  <c:v>6</c:v>
                </c:pt>
                <c:pt idx="76">
                  <c:v>10</c:v>
                </c:pt>
                <c:pt idx="77">
                  <c:v>10</c:v>
                </c:pt>
                <c:pt idx="78">
                  <c:v>6</c:v>
                </c:pt>
                <c:pt idx="79">
                  <c:v>7</c:v>
                </c:pt>
                <c:pt idx="80">
                  <c:v>5</c:v>
                </c:pt>
                <c:pt idx="81">
                  <c:v>17</c:v>
                </c:pt>
                <c:pt idx="82">
                  <c:v>8</c:v>
                </c:pt>
                <c:pt idx="83">
                  <c:v>5</c:v>
                </c:pt>
                <c:pt idx="84">
                  <c:v>3</c:v>
                </c:pt>
                <c:pt idx="85">
                  <c:v>7</c:v>
                </c:pt>
                <c:pt idx="86">
                  <c:v>4</c:v>
                </c:pt>
                <c:pt idx="87">
                  <c:v>2</c:v>
                </c:pt>
                <c:pt idx="88">
                  <c:v>4</c:v>
                </c:pt>
                <c:pt idx="89">
                  <c:v>9</c:v>
                </c:pt>
                <c:pt idx="90">
                  <c:v>1</c:v>
                </c:pt>
                <c:pt idx="91">
                  <c:v>6</c:v>
                </c:pt>
                <c:pt idx="92">
                  <c:v>3</c:v>
                </c:pt>
                <c:pt idx="93">
                  <c:v>1</c:v>
                </c:pt>
                <c:pt idx="94">
                  <c:v>2</c:v>
                </c:pt>
                <c:pt idx="95">
                  <c:v>1</c:v>
                </c:pt>
                <c:pt idx="96">
                  <c:v>2</c:v>
                </c:pt>
                <c:pt idx="97">
                  <c:v>3</c:v>
                </c:pt>
                <c:pt idx="98">
                  <c:v>6</c:v>
                </c:pt>
                <c:pt idx="99">
                  <c:v>0</c:v>
                </c:pt>
                <c:pt idx="100">
                  <c:v>1</c:v>
                </c:pt>
                <c:pt idx="101">
                  <c:v>1</c:v>
                </c:pt>
                <c:pt idx="102">
                  <c:v>7</c:v>
                </c:pt>
                <c:pt idx="103">
                  <c:v>3</c:v>
                </c:pt>
                <c:pt idx="104">
                  <c:v>4</c:v>
                </c:pt>
                <c:pt idx="105">
                  <c:v>5</c:v>
                </c:pt>
                <c:pt idx="106">
                  <c:v>5</c:v>
                </c:pt>
                <c:pt idx="107">
                  <c:v>4</c:v>
                </c:pt>
                <c:pt idx="108">
                  <c:v>8</c:v>
                </c:pt>
                <c:pt idx="109">
                  <c:v>3</c:v>
                </c:pt>
                <c:pt idx="110">
                  <c:v>4</c:v>
                </c:pt>
                <c:pt idx="111">
                  <c:v>7</c:v>
                </c:pt>
                <c:pt idx="112">
                  <c:v>3</c:v>
                </c:pt>
                <c:pt idx="113">
                  <c:v>3</c:v>
                </c:pt>
                <c:pt idx="114">
                  <c:v>2</c:v>
                </c:pt>
                <c:pt idx="115">
                  <c:v>5</c:v>
                </c:pt>
                <c:pt idx="116">
                  <c:v>21</c:v>
                </c:pt>
                <c:pt idx="117">
                  <c:v>5</c:v>
                </c:pt>
                <c:pt idx="118">
                  <c:v>9</c:v>
                </c:pt>
                <c:pt idx="119">
                  <c:v>16</c:v>
                </c:pt>
                <c:pt idx="120">
                  <c:v>14</c:v>
                </c:pt>
                <c:pt idx="121">
                  <c:v>6</c:v>
                </c:pt>
                <c:pt idx="122">
                  <c:v>4</c:v>
                </c:pt>
                <c:pt idx="123">
                  <c:v>3</c:v>
                </c:pt>
                <c:pt idx="124">
                  <c:v>4</c:v>
                </c:pt>
                <c:pt idx="125">
                  <c:v>4</c:v>
                </c:pt>
                <c:pt idx="126">
                  <c:v>5</c:v>
                </c:pt>
                <c:pt idx="127">
                  <c:v>6</c:v>
                </c:pt>
                <c:pt idx="128">
                  <c:v>0</c:v>
                </c:pt>
                <c:pt idx="129">
                  <c:v>7</c:v>
                </c:pt>
                <c:pt idx="130">
                  <c:v>18</c:v>
                </c:pt>
                <c:pt idx="131">
                  <c:v>76</c:v>
                </c:pt>
                <c:pt idx="132">
                  <c:v>8</c:v>
                </c:pt>
                <c:pt idx="133">
                  <c:v>20</c:v>
                </c:pt>
                <c:pt idx="134">
                  <c:v>13</c:v>
                </c:pt>
                <c:pt idx="135">
                  <c:v>7</c:v>
                </c:pt>
                <c:pt idx="136">
                  <c:v>14</c:v>
                </c:pt>
                <c:pt idx="137">
                  <c:v>18</c:v>
                </c:pt>
                <c:pt idx="138">
                  <c:v>30</c:v>
                </c:pt>
                <c:pt idx="139">
                  <c:v>19</c:v>
                </c:pt>
                <c:pt idx="140">
                  <c:v>36</c:v>
                </c:pt>
                <c:pt idx="141">
                  <c:v>17</c:v>
                </c:pt>
                <c:pt idx="142">
                  <c:v>16</c:v>
                </c:pt>
                <c:pt idx="143">
                  <c:v>27</c:v>
                </c:pt>
                <c:pt idx="144">
                  <c:v>31</c:v>
                </c:pt>
                <c:pt idx="145">
                  <c:v>20</c:v>
                </c:pt>
                <c:pt idx="146">
                  <c:v>36</c:v>
                </c:pt>
                <c:pt idx="147">
                  <c:v>36</c:v>
                </c:pt>
                <c:pt idx="148">
                  <c:v>32</c:v>
                </c:pt>
                <c:pt idx="149">
                  <c:v>25</c:v>
                </c:pt>
                <c:pt idx="150">
                  <c:v>15</c:v>
                </c:pt>
                <c:pt idx="151">
                  <c:v>38</c:v>
                </c:pt>
                <c:pt idx="152">
                  <c:v>37</c:v>
                </c:pt>
                <c:pt idx="153">
                  <c:v>32</c:v>
                </c:pt>
                <c:pt idx="154">
                  <c:v>42</c:v>
                </c:pt>
                <c:pt idx="155">
                  <c:v>42</c:v>
                </c:pt>
                <c:pt idx="156">
                  <c:v>25</c:v>
                </c:pt>
                <c:pt idx="157">
                  <c:v>24</c:v>
                </c:pt>
                <c:pt idx="158">
                  <c:v>37</c:v>
                </c:pt>
                <c:pt idx="159">
                  <c:v>46</c:v>
                </c:pt>
                <c:pt idx="160">
                  <c:v>25</c:v>
                </c:pt>
                <c:pt idx="161">
                  <c:v>36</c:v>
                </c:pt>
                <c:pt idx="162">
                  <c:v>36</c:v>
                </c:pt>
                <c:pt idx="163">
                  <c:v>15</c:v>
                </c:pt>
                <c:pt idx="164">
                  <c:v>27</c:v>
                </c:pt>
                <c:pt idx="165">
                  <c:v>34</c:v>
                </c:pt>
                <c:pt idx="166">
                  <c:v>24</c:v>
                </c:pt>
                <c:pt idx="167">
                  <c:v>36</c:v>
                </c:pt>
                <c:pt idx="168">
                  <c:v>52</c:v>
                </c:pt>
                <c:pt idx="169">
                  <c:v>25</c:v>
                </c:pt>
                <c:pt idx="170">
                  <c:v>17</c:v>
                </c:pt>
                <c:pt idx="171">
                  <c:v>28</c:v>
                </c:pt>
                <c:pt idx="172">
                  <c:v>37</c:v>
                </c:pt>
                <c:pt idx="173">
                  <c:v>44</c:v>
                </c:pt>
                <c:pt idx="174">
                  <c:v>49</c:v>
                </c:pt>
                <c:pt idx="175">
                  <c:v>60</c:v>
                </c:pt>
                <c:pt idx="176">
                  <c:v>55</c:v>
                </c:pt>
                <c:pt idx="177">
                  <c:v>15</c:v>
                </c:pt>
                <c:pt idx="178">
                  <c:v>28</c:v>
                </c:pt>
                <c:pt idx="179">
                  <c:v>60</c:v>
                </c:pt>
                <c:pt idx="180">
                  <c:v>62</c:v>
                </c:pt>
                <c:pt idx="181">
                  <c:v>92</c:v>
                </c:pt>
                <c:pt idx="182">
                  <c:v>95</c:v>
                </c:pt>
                <c:pt idx="183">
                  <c:v>83</c:v>
                </c:pt>
                <c:pt idx="184">
                  <c:v>41</c:v>
                </c:pt>
                <c:pt idx="185">
                  <c:v>47</c:v>
                </c:pt>
                <c:pt idx="186">
                  <c:v>129</c:v>
                </c:pt>
                <c:pt idx="187">
                  <c:v>127</c:v>
                </c:pt>
                <c:pt idx="188">
                  <c:v>83</c:v>
                </c:pt>
                <c:pt idx="189">
                  <c:v>156</c:v>
                </c:pt>
                <c:pt idx="190">
                  <c:v>129</c:v>
                </c:pt>
                <c:pt idx="191">
                  <c:v>58</c:v>
                </c:pt>
                <c:pt idx="192">
                  <c:v>71</c:v>
                </c:pt>
                <c:pt idx="193">
                  <c:v>140</c:v>
                </c:pt>
                <c:pt idx="194">
                  <c:v>135</c:v>
                </c:pt>
                <c:pt idx="195">
                  <c:v>157</c:v>
                </c:pt>
                <c:pt idx="196">
                  <c:v>114</c:v>
                </c:pt>
                <c:pt idx="197">
                  <c:v>109</c:v>
                </c:pt>
                <c:pt idx="198">
                  <c:v>97</c:v>
                </c:pt>
                <c:pt idx="199">
                  <c:v>92</c:v>
                </c:pt>
                <c:pt idx="200">
                  <c:v>165</c:v>
                </c:pt>
                <c:pt idx="201">
                  <c:v>125</c:v>
                </c:pt>
                <c:pt idx="202">
                  <c:v>213</c:v>
                </c:pt>
                <c:pt idx="203">
                  <c:v>185</c:v>
                </c:pt>
                <c:pt idx="204">
                  <c:v>183</c:v>
                </c:pt>
                <c:pt idx="205">
                  <c:v>98</c:v>
                </c:pt>
                <c:pt idx="206">
                  <c:v>112</c:v>
                </c:pt>
                <c:pt idx="207">
                  <c:v>245</c:v>
                </c:pt>
                <c:pt idx="208">
                  <c:v>256</c:v>
                </c:pt>
                <c:pt idx="209">
                  <c:v>286</c:v>
                </c:pt>
                <c:pt idx="210">
                  <c:v>287</c:v>
                </c:pt>
                <c:pt idx="211">
                  <c:v>257</c:v>
                </c:pt>
                <c:pt idx="212">
                  <c:v>214</c:v>
                </c:pt>
                <c:pt idx="213">
                  <c:v>238</c:v>
                </c:pt>
                <c:pt idx="214">
                  <c:v>493</c:v>
                </c:pt>
                <c:pt idx="215">
                  <c:v>442</c:v>
                </c:pt>
                <c:pt idx="216">
                  <c:v>467</c:v>
                </c:pt>
                <c:pt idx="217">
                  <c:v>576</c:v>
                </c:pt>
                <c:pt idx="218">
                  <c:v>678</c:v>
                </c:pt>
                <c:pt idx="219">
                  <c:v>519</c:v>
                </c:pt>
                <c:pt idx="220">
                  <c:v>467</c:v>
                </c:pt>
                <c:pt idx="221">
                  <c:v>979</c:v>
                </c:pt>
                <c:pt idx="222">
                  <c:v>869</c:v>
                </c:pt>
                <c:pt idx="223">
                  <c:v>1033</c:v>
                </c:pt>
                <c:pt idx="224">
                  <c:v>908</c:v>
                </c:pt>
                <c:pt idx="225">
                  <c:v>1155</c:v>
                </c:pt>
                <c:pt idx="226">
                  <c:v>694</c:v>
                </c:pt>
                <c:pt idx="227">
                  <c:v>719</c:v>
                </c:pt>
                <c:pt idx="228">
                  <c:v>758</c:v>
                </c:pt>
                <c:pt idx="229">
                  <c:v>1419</c:v>
                </c:pt>
                <c:pt idx="230">
                  <c:v>1477</c:v>
                </c:pt>
                <c:pt idx="231">
                  <c:v>1697</c:v>
                </c:pt>
                <c:pt idx="232">
                  <c:v>1632</c:v>
                </c:pt>
                <c:pt idx="233">
                  <c:v>1088</c:v>
                </c:pt>
                <c:pt idx="234">
                  <c:v>1140</c:v>
                </c:pt>
                <c:pt idx="235">
                  <c:v>1496</c:v>
                </c:pt>
                <c:pt idx="236">
                  <c:v>1553</c:v>
                </c:pt>
                <c:pt idx="237">
                  <c:v>1879</c:v>
                </c:pt>
                <c:pt idx="238">
                  <c:v>1823</c:v>
                </c:pt>
                <c:pt idx="239">
                  <c:v>1284</c:v>
                </c:pt>
                <c:pt idx="240">
                  <c:v>1054</c:v>
                </c:pt>
                <c:pt idx="241">
                  <c:v>1187</c:v>
                </c:pt>
                <c:pt idx="242">
                  <c:v>1930</c:v>
                </c:pt>
                <c:pt idx="243">
                  <c:v>1771</c:v>
                </c:pt>
                <c:pt idx="244">
                  <c:v>2244</c:v>
                </c:pt>
                <c:pt idx="245">
                  <c:v>2110</c:v>
                </c:pt>
                <c:pt idx="246">
                  <c:v>2211</c:v>
                </c:pt>
                <c:pt idx="247">
                  <c:v>1010</c:v>
                </c:pt>
                <c:pt idx="248">
                  <c:v>1436</c:v>
                </c:pt>
                <c:pt idx="249">
                  <c:v>2397</c:v>
                </c:pt>
                <c:pt idx="250">
                  <c:v>2064</c:v>
                </c:pt>
                <c:pt idx="251">
                  <c:v>2449</c:v>
                </c:pt>
                <c:pt idx="252">
                  <c:v>2120</c:v>
                </c:pt>
                <c:pt idx="253">
                  <c:v>1802</c:v>
                </c:pt>
                <c:pt idx="254">
                  <c:v>1174</c:v>
                </c:pt>
                <c:pt idx="255">
                  <c:v>1487</c:v>
                </c:pt>
                <c:pt idx="256">
                  <c:v>2213</c:v>
                </c:pt>
                <c:pt idx="257">
                  <c:v>2532</c:v>
                </c:pt>
                <c:pt idx="258">
                  <c:v>2500</c:v>
                </c:pt>
                <c:pt idx="259">
                  <c:v>2805</c:v>
                </c:pt>
                <c:pt idx="260">
                  <c:v>2281</c:v>
                </c:pt>
                <c:pt idx="261">
                  <c:v>1376</c:v>
                </c:pt>
                <c:pt idx="262">
                  <c:v>1646</c:v>
                </c:pt>
                <c:pt idx="263">
                  <c:v>3275</c:v>
                </c:pt>
                <c:pt idx="264">
                  <c:v>3269</c:v>
                </c:pt>
                <c:pt idx="265">
                  <c:v>3228</c:v>
                </c:pt>
                <c:pt idx="266">
                  <c:v>3525</c:v>
                </c:pt>
                <c:pt idx="267">
                  <c:v>2760</c:v>
                </c:pt>
                <c:pt idx="268">
                  <c:v>1274</c:v>
                </c:pt>
                <c:pt idx="269">
                  <c:v>2208</c:v>
                </c:pt>
                <c:pt idx="270">
                  <c:v>3503</c:v>
                </c:pt>
                <c:pt idx="271">
                  <c:v>3443</c:v>
                </c:pt>
                <c:pt idx="272">
                  <c:v>3610</c:v>
                </c:pt>
                <c:pt idx="273">
                  <c:v>3927</c:v>
                </c:pt>
                <c:pt idx="274">
                  <c:v>2765</c:v>
                </c:pt>
                <c:pt idx="275">
                  <c:v>1745</c:v>
                </c:pt>
                <c:pt idx="276">
                  <c:v>2641</c:v>
                </c:pt>
                <c:pt idx="277">
                  <c:v>3692</c:v>
                </c:pt>
                <c:pt idx="278">
                  <c:v>3736</c:v>
                </c:pt>
                <c:pt idx="279">
                  <c:v>2862</c:v>
                </c:pt>
                <c:pt idx="280">
                  <c:v>1678</c:v>
                </c:pt>
                <c:pt idx="281">
                  <c:v>1804</c:v>
                </c:pt>
                <c:pt idx="282">
                  <c:v>1602</c:v>
                </c:pt>
                <c:pt idx="283">
                  <c:v>2733</c:v>
                </c:pt>
                <c:pt idx="284">
                  <c:v>3356</c:v>
                </c:pt>
                <c:pt idx="285">
                  <c:v>3263</c:v>
                </c:pt>
                <c:pt idx="286">
                  <c:v>2713</c:v>
                </c:pt>
                <c:pt idx="287">
                  <c:v>1174</c:v>
                </c:pt>
                <c:pt idx="288">
                  <c:v>1404</c:v>
                </c:pt>
                <c:pt idx="289">
                  <c:v>1248</c:v>
                </c:pt>
                <c:pt idx="290">
                  <c:v>2272</c:v>
                </c:pt>
                <c:pt idx="291">
                  <c:v>2653</c:v>
                </c:pt>
                <c:pt idx="292">
                  <c:v>2217</c:v>
                </c:pt>
                <c:pt idx="293">
                  <c:v>1971</c:v>
                </c:pt>
                <c:pt idx="294">
                  <c:v>1752</c:v>
                </c:pt>
                <c:pt idx="295">
                  <c:v>1372</c:v>
                </c:pt>
                <c:pt idx="296">
                  <c:v>596</c:v>
                </c:pt>
                <c:pt idx="297">
                  <c:v>1349</c:v>
                </c:pt>
                <c:pt idx="298">
                  <c:v>1664</c:v>
                </c:pt>
                <c:pt idx="299">
                  <c:v>1310</c:v>
                </c:pt>
                <c:pt idx="300">
                  <c:v>1132</c:v>
                </c:pt>
                <c:pt idx="301">
                  <c:v>1242</c:v>
                </c:pt>
                <c:pt idx="302">
                  <c:v>703</c:v>
                </c:pt>
                <c:pt idx="303">
                  <c:v>430</c:v>
                </c:pt>
                <c:pt idx="304">
                  <c:v>918</c:v>
                </c:pt>
                <c:pt idx="305">
                  <c:v>1257</c:v>
                </c:pt>
                <c:pt idx="306">
                  <c:v>1132</c:v>
                </c:pt>
                <c:pt idx="307">
                  <c:v>1012</c:v>
                </c:pt>
                <c:pt idx="308">
                  <c:v>1143</c:v>
                </c:pt>
                <c:pt idx="309">
                  <c:v>647</c:v>
                </c:pt>
                <c:pt idx="310">
                  <c:v>469</c:v>
                </c:pt>
                <c:pt idx="311">
                  <c:v>843</c:v>
                </c:pt>
                <c:pt idx="312">
                  <c:v>1288</c:v>
                </c:pt>
                <c:pt idx="313">
                  <c:v>932</c:v>
                </c:pt>
                <c:pt idx="314">
                  <c:v>882</c:v>
                </c:pt>
                <c:pt idx="315">
                  <c:v>797</c:v>
                </c:pt>
                <c:pt idx="316">
                  <c:v>677</c:v>
                </c:pt>
                <c:pt idx="317">
                  <c:v>305</c:v>
                </c:pt>
                <c:pt idx="318">
                  <c:v>690</c:v>
                </c:pt>
                <c:pt idx="319">
                  <c:v>728</c:v>
                </c:pt>
                <c:pt idx="320">
                  <c:v>721</c:v>
                </c:pt>
                <c:pt idx="321">
                  <c:v>668</c:v>
                </c:pt>
                <c:pt idx="322">
                  <c:v>697</c:v>
                </c:pt>
                <c:pt idx="323">
                  <c:v>386</c:v>
                </c:pt>
                <c:pt idx="324">
                  <c:v>275</c:v>
                </c:pt>
                <c:pt idx="325">
                  <c:v>503</c:v>
                </c:pt>
                <c:pt idx="326">
                  <c:v>530</c:v>
                </c:pt>
                <c:pt idx="327">
                  <c:v>629</c:v>
                </c:pt>
                <c:pt idx="328">
                  <c:v>536</c:v>
                </c:pt>
                <c:pt idx="329">
                  <c:v>622</c:v>
                </c:pt>
                <c:pt idx="330">
                  <c:v>385</c:v>
                </c:pt>
                <c:pt idx="331">
                  <c:v>221</c:v>
                </c:pt>
                <c:pt idx="332">
                  <c:v>480</c:v>
                </c:pt>
                <c:pt idx="333">
                  <c:v>381</c:v>
                </c:pt>
                <c:pt idx="334">
                  <c:v>496</c:v>
                </c:pt>
                <c:pt idx="335">
                  <c:v>680</c:v>
                </c:pt>
                <c:pt idx="336">
                  <c:v>605</c:v>
                </c:pt>
                <c:pt idx="337">
                  <c:v>481</c:v>
                </c:pt>
                <c:pt idx="338">
                  <c:v>265</c:v>
                </c:pt>
                <c:pt idx="339">
                  <c:v>507</c:v>
                </c:pt>
                <c:pt idx="340">
                  <c:v>651</c:v>
                </c:pt>
                <c:pt idx="341">
                  <c:v>557</c:v>
                </c:pt>
                <c:pt idx="342">
                  <c:v>651</c:v>
                </c:pt>
                <c:pt idx="343">
                  <c:v>668</c:v>
                </c:pt>
                <c:pt idx="344">
                  <c:v>365</c:v>
                </c:pt>
                <c:pt idx="345">
                  <c:v>247</c:v>
                </c:pt>
                <c:pt idx="346">
                  <c:v>455</c:v>
                </c:pt>
                <c:pt idx="347">
                  <c:v>517</c:v>
                </c:pt>
                <c:pt idx="348">
                  <c:v>534</c:v>
                </c:pt>
                <c:pt idx="349">
                  <c:v>451</c:v>
                </c:pt>
                <c:pt idx="350">
                  <c:v>478</c:v>
                </c:pt>
                <c:pt idx="351">
                  <c:v>392</c:v>
                </c:pt>
                <c:pt idx="352">
                  <c:v>214</c:v>
                </c:pt>
                <c:pt idx="353">
                  <c:v>488</c:v>
                </c:pt>
                <c:pt idx="354">
                  <c:v>465</c:v>
                </c:pt>
                <c:pt idx="355">
                  <c:v>610</c:v>
                </c:pt>
                <c:pt idx="356">
                  <c:v>362</c:v>
                </c:pt>
                <c:pt idx="357">
                  <c:v>625</c:v>
                </c:pt>
                <c:pt idx="358">
                  <c:v>407</c:v>
                </c:pt>
                <c:pt idx="359">
                  <c:v>261</c:v>
                </c:pt>
                <c:pt idx="360">
                  <c:v>656</c:v>
                </c:pt>
                <c:pt idx="361">
                  <c:v>596</c:v>
                </c:pt>
                <c:pt idx="362">
                  <c:v>590</c:v>
                </c:pt>
              </c:numCache>
            </c:numRef>
          </c:val>
          <c:extLst>
            <c:ext xmlns:c16="http://schemas.microsoft.com/office/drawing/2014/chart" uri="{C3380CC4-5D6E-409C-BE32-E72D297353CC}">
              <c16:uniqueId val="{00000002-8C04-44A2-8890-522B0FED395C}"/>
            </c:ext>
          </c:extLst>
        </c:ser>
        <c:dLbls>
          <c:showLegendKey val="0"/>
          <c:showVal val="0"/>
          <c:showCatName val="0"/>
          <c:showSerName val="0"/>
          <c:showPercent val="0"/>
          <c:showBubbleSize val="0"/>
        </c:dLbls>
        <c:axId val="530125952"/>
        <c:axId val="530128192"/>
      </c:areaChart>
      <c:catAx>
        <c:axId val="53012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128192"/>
        <c:crosses val="autoZero"/>
        <c:auto val="1"/>
        <c:lblAlgn val="ctr"/>
        <c:lblOffset val="100"/>
        <c:noMultiLvlLbl val="0"/>
      </c:catAx>
      <c:valAx>
        <c:axId val="530128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012595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268296991722186E-2"/>
          <c:y val="6.9861111111111124E-2"/>
          <c:w val="0.93305398874419543"/>
          <c:h val="0.49401246719160102"/>
        </c:manualLayout>
      </c:layout>
      <c:barChart>
        <c:barDir val="col"/>
        <c:grouping val="clustered"/>
        <c:varyColors val="0"/>
        <c:ser>
          <c:idx val="0"/>
          <c:order val="0"/>
          <c:tx>
            <c:strRef>
              <c:f>lovos!$B$1</c:f>
              <c:strCache>
                <c:ptCount val="1"/>
                <c:pt idx="0">
                  <c:v>Užimtos COVID-19 gydymui skirtos lovos</c:v>
                </c:pt>
              </c:strCache>
            </c:strRef>
          </c:tx>
          <c:spPr>
            <a:solidFill>
              <a:schemeClr val="accent1"/>
            </a:solidFill>
            <a:ln>
              <a:noFill/>
            </a:ln>
            <a:effectLst/>
          </c:spPr>
          <c:invertIfNegative val="0"/>
          <c:dLbls>
            <c:dLbl>
              <c:idx val="14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9F-43BC-9C8E-7BE8FF613496}"/>
                </c:ext>
              </c:extLst>
            </c:dLbl>
            <c:dLbl>
              <c:idx val="17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9F-43BC-9C8E-7BE8FF613496}"/>
                </c:ext>
              </c:extLst>
            </c:dLbl>
            <c:dLbl>
              <c:idx val="20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9F-43BC-9C8E-7BE8FF613496}"/>
                </c:ext>
              </c:extLst>
            </c:dLbl>
            <c:dLbl>
              <c:idx val="244"/>
              <c:layout>
                <c:manualLayout>
                  <c:x val="-6.00961538461538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9F-43BC-9C8E-7BE8FF613496}"/>
                </c:ext>
              </c:extLst>
            </c:dLbl>
            <c:dLbl>
              <c:idx val="256"/>
              <c:layout>
                <c:manualLayout>
                  <c:x val="-6.0096153846153849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9F-43BC-9C8E-7BE8FF613496}"/>
                </c:ext>
              </c:extLst>
            </c:dLbl>
            <c:dLbl>
              <c:idx val="269"/>
              <c:layout>
                <c:manualLayout>
                  <c:x val="4.0064102564102561E-3"/>
                  <c:y val="2.777777777777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9F-43BC-9C8E-7BE8FF6134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lovos!$A$2:$A$344</c:f>
              <c:strCache>
                <c:ptCount val="343"/>
                <c:pt idx="0">
                  <c:v>2020-04-10</c:v>
                </c:pt>
                <c:pt idx="1">
                  <c:v>2020-04-11</c:v>
                </c:pt>
                <c:pt idx="2">
                  <c:v>2020-04-12</c:v>
                </c:pt>
                <c:pt idx="3">
                  <c:v>2020-04-13</c:v>
                </c:pt>
                <c:pt idx="4">
                  <c:v>2020-04-14</c:v>
                </c:pt>
                <c:pt idx="5">
                  <c:v>2020-04-15</c:v>
                </c:pt>
                <c:pt idx="6">
                  <c:v>2020-04-16</c:v>
                </c:pt>
                <c:pt idx="7">
                  <c:v>2020-04-17</c:v>
                </c:pt>
                <c:pt idx="8">
                  <c:v>2020-04-18</c:v>
                </c:pt>
                <c:pt idx="9">
                  <c:v>2020-04-19</c:v>
                </c:pt>
                <c:pt idx="10">
                  <c:v>2020-04-20</c:v>
                </c:pt>
                <c:pt idx="11">
                  <c:v>2020-04-21</c:v>
                </c:pt>
                <c:pt idx="12">
                  <c:v>2020-04-22</c:v>
                </c:pt>
                <c:pt idx="13">
                  <c:v>2020-04-23</c:v>
                </c:pt>
                <c:pt idx="14">
                  <c:v>2020-04-24</c:v>
                </c:pt>
                <c:pt idx="15">
                  <c:v>2020-04-25</c:v>
                </c:pt>
                <c:pt idx="16">
                  <c:v>2020-04-26</c:v>
                </c:pt>
                <c:pt idx="17">
                  <c:v>2020-04-27</c:v>
                </c:pt>
                <c:pt idx="18">
                  <c:v>2020-04-28</c:v>
                </c:pt>
                <c:pt idx="19">
                  <c:v>2020-04-29</c:v>
                </c:pt>
                <c:pt idx="20">
                  <c:v>2020-04-30</c:v>
                </c:pt>
                <c:pt idx="21">
                  <c:v>2020-05-01</c:v>
                </c:pt>
                <c:pt idx="22">
                  <c:v>2020-05-02</c:v>
                </c:pt>
                <c:pt idx="23">
                  <c:v>2020-05-03</c:v>
                </c:pt>
                <c:pt idx="24">
                  <c:v>2020-05-04</c:v>
                </c:pt>
                <c:pt idx="25">
                  <c:v>2020-05-05</c:v>
                </c:pt>
                <c:pt idx="26">
                  <c:v>2020-05-06</c:v>
                </c:pt>
                <c:pt idx="27">
                  <c:v>2020-05-07</c:v>
                </c:pt>
                <c:pt idx="28">
                  <c:v>2020-05-08</c:v>
                </c:pt>
                <c:pt idx="29">
                  <c:v>2020-05-09</c:v>
                </c:pt>
                <c:pt idx="30">
                  <c:v>2020-05-10</c:v>
                </c:pt>
                <c:pt idx="31">
                  <c:v>2020-05-11</c:v>
                </c:pt>
                <c:pt idx="32">
                  <c:v>2020-05-12</c:v>
                </c:pt>
                <c:pt idx="33">
                  <c:v>2020-05-13</c:v>
                </c:pt>
                <c:pt idx="34">
                  <c:v>2020-05-14</c:v>
                </c:pt>
                <c:pt idx="35">
                  <c:v>2020-05-15</c:v>
                </c:pt>
                <c:pt idx="36">
                  <c:v>2020-05-16</c:v>
                </c:pt>
                <c:pt idx="37">
                  <c:v>2020-05-17</c:v>
                </c:pt>
                <c:pt idx="38">
                  <c:v>2020-05-18</c:v>
                </c:pt>
                <c:pt idx="39">
                  <c:v>2020-05-19</c:v>
                </c:pt>
                <c:pt idx="40">
                  <c:v>2020-05-20</c:v>
                </c:pt>
                <c:pt idx="41">
                  <c:v>2020-05-21</c:v>
                </c:pt>
                <c:pt idx="42">
                  <c:v>2020-05-22</c:v>
                </c:pt>
                <c:pt idx="43">
                  <c:v>2020-05-23</c:v>
                </c:pt>
                <c:pt idx="44">
                  <c:v>2020-05-24</c:v>
                </c:pt>
                <c:pt idx="45">
                  <c:v>2020-05-25</c:v>
                </c:pt>
                <c:pt idx="46">
                  <c:v>2020-05-26</c:v>
                </c:pt>
                <c:pt idx="47">
                  <c:v>2020-05-27</c:v>
                </c:pt>
                <c:pt idx="48">
                  <c:v>2020-05-28</c:v>
                </c:pt>
                <c:pt idx="49">
                  <c:v>2020-05-29</c:v>
                </c:pt>
                <c:pt idx="50">
                  <c:v>2020-05-30</c:v>
                </c:pt>
                <c:pt idx="51">
                  <c:v>2020-05-31</c:v>
                </c:pt>
                <c:pt idx="52">
                  <c:v>2020-06-01</c:v>
                </c:pt>
                <c:pt idx="53">
                  <c:v>2020-06-02</c:v>
                </c:pt>
                <c:pt idx="54">
                  <c:v>2020-06-03</c:v>
                </c:pt>
                <c:pt idx="55">
                  <c:v>2020-06-04</c:v>
                </c:pt>
                <c:pt idx="56">
                  <c:v>2020-06-05</c:v>
                </c:pt>
                <c:pt idx="57">
                  <c:v>2020-06-06</c:v>
                </c:pt>
                <c:pt idx="58">
                  <c:v>2020-06-07</c:v>
                </c:pt>
                <c:pt idx="59">
                  <c:v>2020-06-08</c:v>
                </c:pt>
                <c:pt idx="60">
                  <c:v>2020-06-09</c:v>
                </c:pt>
                <c:pt idx="61">
                  <c:v>2020-06-10</c:v>
                </c:pt>
                <c:pt idx="62">
                  <c:v>2020-06-11</c:v>
                </c:pt>
                <c:pt idx="63">
                  <c:v>2020-06-12</c:v>
                </c:pt>
                <c:pt idx="64">
                  <c:v>2020-06-13</c:v>
                </c:pt>
                <c:pt idx="65">
                  <c:v>2020-06-14</c:v>
                </c:pt>
                <c:pt idx="66">
                  <c:v>2020-06-15</c:v>
                </c:pt>
                <c:pt idx="67">
                  <c:v>2020-06-16</c:v>
                </c:pt>
                <c:pt idx="68">
                  <c:v>2020-06-17</c:v>
                </c:pt>
                <c:pt idx="69">
                  <c:v>2020-06-18</c:v>
                </c:pt>
                <c:pt idx="70">
                  <c:v>2020-06-19</c:v>
                </c:pt>
                <c:pt idx="71">
                  <c:v>2020-06-20</c:v>
                </c:pt>
                <c:pt idx="72">
                  <c:v>2020-06-21</c:v>
                </c:pt>
                <c:pt idx="73">
                  <c:v>2020-06-22</c:v>
                </c:pt>
                <c:pt idx="74">
                  <c:v>2020-06-23</c:v>
                </c:pt>
                <c:pt idx="75">
                  <c:v>2020-06-24</c:v>
                </c:pt>
                <c:pt idx="76">
                  <c:v>2020-06-25</c:v>
                </c:pt>
                <c:pt idx="77">
                  <c:v>2020-06-26</c:v>
                </c:pt>
                <c:pt idx="78">
                  <c:v>2020-06-27</c:v>
                </c:pt>
                <c:pt idx="79">
                  <c:v>2020-06-28</c:v>
                </c:pt>
                <c:pt idx="80">
                  <c:v>2020-06-29</c:v>
                </c:pt>
                <c:pt idx="81">
                  <c:v>2020-06-30</c:v>
                </c:pt>
                <c:pt idx="82">
                  <c:v>2020-07-01</c:v>
                </c:pt>
                <c:pt idx="83">
                  <c:v>2020-07-02</c:v>
                </c:pt>
                <c:pt idx="84">
                  <c:v>2020-07-03</c:v>
                </c:pt>
                <c:pt idx="85">
                  <c:v>2020-07-04</c:v>
                </c:pt>
                <c:pt idx="86">
                  <c:v>2020-07-05</c:v>
                </c:pt>
                <c:pt idx="87">
                  <c:v>2020-07-06</c:v>
                </c:pt>
                <c:pt idx="88">
                  <c:v>2020-07-07</c:v>
                </c:pt>
                <c:pt idx="89">
                  <c:v>2020-07-08</c:v>
                </c:pt>
                <c:pt idx="90">
                  <c:v>2020-07-09</c:v>
                </c:pt>
                <c:pt idx="91">
                  <c:v>2020-07-10</c:v>
                </c:pt>
                <c:pt idx="92">
                  <c:v>2020-07-11</c:v>
                </c:pt>
                <c:pt idx="93">
                  <c:v>2020-07-12</c:v>
                </c:pt>
                <c:pt idx="94">
                  <c:v>2020-07-13</c:v>
                </c:pt>
                <c:pt idx="95">
                  <c:v>2020-07-14</c:v>
                </c:pt>
                <c:pt idx="96">
                  <c:v>2020-07-15</c:v>
                </c:pt>
                <c:pt idx="97">
                  <c:v>2020-07-16</c:v>
                </c:pt>
                <c:pt idx="98">
                  <c:v>2020-07-17</c:v>
                </c:pt>
                <c:pt idx="99">
                  <c:v>2020-07-18</c:v>
                </c:pt>
                <c:pt idx="100">
                  <c:v>2020-07-19</c:v>
                </c:pt>
                <c:pt idx="101">
                  <c:v>2020-07-20</c:v>
                </c:pt>
                <c:pt idx="102">
                  <c:v>2020-07-21</c:v>
                </c:pt>
                <c:pt idx="103">
                  <c:v>2020-07-22</c:v>
                </c:pt>
                <c:pt idx="104">
                  <c:v>2020-07-23</c:v>
                </c:pt>
                <c:pt idx="105">
                  <c:v>2020-07-24</c:v>
                </c:pt>
                <c:pt idx="106">
                  <c:v>2020-07-25</c:v>
                </c:pt>
                <c:pt idx="107">
                  <c:v>2020-07-26</c:v>
                </c:pt>
                <c:pt idx="108">
                  <c:v>2020-07-27</c:v>
                </c:pt>
                <c:pt idx="109">
                  <c:v>2020-07-28</c:v>
                </c:pt>
                <c:pt idx="110">
                  <c:v>2020-07-29</c:v>
                </c:pt>
                <c:pt idx="111">
                  <c:v>2020-07-30</c:v>
                </c:pt>
                <c:pt idx="112">
                  <c:v>2020-07-31</c:v>
                </c:pt>
                <c:pt idx="113">
                  <c:v>2020-08-01</c:v>
                </c:pt>
                <c:pt idx="114">
                  <c:v>2020-08-02</c:v>
                </c:pt>
                <c:pt idx="115">
                  <c:v>2020-08-03</c:v>
                </c:pt>
                <c:pt idx="116">
                  <c:v>2020-08-04</c:v>
                </c:pt>
                <c:pt idx="117">
                  <c:v>2020-08-05</c:v>
                </c:pt>
                <c:pt idx="118">
                  <c:v>2020-08-06</c:v>
                </c:pt>
                <c:pt idx="119">
                  <c:v>2020-08-07</c:v>
                </c:pt>
                <c:pt idx="120">
                  <c:v>2020-08-08</c:v>
                </c:pt>
                <c:pt idx="121">
                  <c:v>2020-08-09</c:v>
                </c:pt>
                <c:pt idx="122">
                  <c:v>2020-08-10</c:v>
                </c:pt>
                <c:pt idx="123">
                  <c:v>2020-08-11</c:v>
                </c:pt>
                <c:pt idx="124">
                  <c:v>2020-08-12</c:v>
                </c:pt>
                <c:pt idx="125">
                  <c:v>2020-08-13</c:v>
                </c:pt>
                <c:pt idx="126">
                  <c:v>2020-08-14</c:v>
                </c:pt>
                <c:pt idx="127">
                  <c:v>2020-08-15</c:v>
                </c:pt>
                <c:pt idx="128">
                  <c:v>2020-08-16</c:v>
                </c:pt>
                <c:pt idx="129">
                  <c:v>2020-08-17</c:v>
                </c:pt>
                <c:pt idx="130">
                  <c:v>2020-08-18</c:v>
                </c:pt>
                <c:pt idx="131">
                  <c:v>2020-08-19</c:v>
                </c:pt>
                <c:pt idx="132">
                  <c:v>2020-08-20</c:v>
                </c:pt>
                <c:pt idx="133">
                  <c:v>2020-08-21</c:v>
                </c:pt>
                <c:pt idx="134">
                  <c:v>2020-08-22</c:v>
                </c:pt>
                <c:pt idx="135">
                  <c:v>2020-08-23</c:v>
                </c:pt>
                <c:pt idx="136">
                  <c:v>2020-08-24</c:v>
                </c:pt>
                <c:pt idx="137">
                  <c:v>2020-08-25</c:v>
                </c:pt>
                <c:pt idx="138">
                  <c:v>2020-08-26</c:v>
                </c:pt>
                <c:pt idx="139">
                  <c:v>2020-08-27</c:v>
                </c:pt>
                <c:pt idx="140">
                  <c:v>2020-08-28</c:v>
                </c:pt>
                <c:pt idx="141">
                  <c:v>2020-08-29</c:v>
                </c:pt>
                <c:pt idx="142">
                  <c:v>2020-08-30</c:v>
                </c:pt>
                <c:pt idx="143">
                  <c:v>2020-08-31</c:v>
                </c:pt>
                <c:pt idx="144">
                  <c:v>2020-09-01</c:v>
                </c:pt>
                <c:pt idx="145">
                  <c:v>2020-09-02</c:v>
                </c:pt>
                <c:pt idx="146">
                  <c:v>2020-09-03</c:v>
                </c:pt>
                <c:pt idx="147">
                  <c:v>2020-09-04</c:v>
                </c:pt>
                <c:pt idx="148">
                  <c:v>2020-09-05</c:v>
                </c:pt>
                <c:pt idx="149">
                  <c:v>2020-09-06</c:v>
                </c:pt>
                <c:pt idx="150">
                  <c:v>2020-09-07</c:v>
                </c:pt>
                <c:pt idx="151">
                  <c:v>2020-09-08</c:v>
                </c:pt>
                <c:pt idx="152">
                  <c:v>2020-09-09</c:v>
                </c:pt>
                <c:pt idx="153">
                  <c:v>2020-09-10</c:v>
                </c:pt>
                <c:pt idx="154">
                  <c:v>2020-09-11</c:v>
                </c:pt>
                <c:pt idx="155">
                  <c:v>2020-09-12</c:v>
                </c:pt>
                <c:pt idx="156">
                  <c:v>2020-09-13</c:v>
                </c:pt>
                <c:pt idx="157">
                  <c:v>2020-09-14</c:v>
                </c:pt>
                <c:pt idx="158">
                  <c:v>2020-09-15</c:v>
                </c:pt>
                <c:pt idx="159">
                  <c:v>2020-09-16</c:v>
                </c:pt>
                <c:pt idx="160">
                  <c:v>2020-09-17</c:v>
                </c:pt>
                <c:pt idx="161">
                  <c:v>2020-09-18</c:v>
                </c:pt>
                <c:pt idx="162">
                  <c:v>2020-09-19</c:v>
                </c:pt>
                <c:pt idx="163">
                  <c:v>2020-09-20</c:v>
                </c:pt>
                <c:pt idx="164">
                  <c:v>2020-09-21</c:v>
                </c:pt>
                <c:pt idx="165">
                  <c:v>2020-09-22</c:v>
                </c:pt>
                <c:pt idx="166">
                  <c:v>2020-09-23</c:v>
                </c:pt>
                <c:pt idx="167">
                  <c:v>2020-09-24</c:v>
                </c:pt>
                <c:pt idx="168">
                  <c:v>2020-09-25</c:v>
                </c:pt>
                <c:pt idx="169">
                  <c:v>2020-09-26</c:v>
                </c:pt>
                <c:pt idx="170">
                  <c:v>2020-09-27</c:v>
                </c:pt>
                <c:pt idx="171">
                  <c:v>2020-09-28</c:v>
                </c:pt>
                <c:pt idx="172">
                  <c:v>2020-09-29</c:v>
                </c:pt>
                <c:pt idx="173">
                  <c:v>2020-09-30</c:v>
                </c:pt>
                <c:pt idx="174">
                  <c:v>2020-10-01</c:v>
                </c:pt>
                <c:pt idx="175">
                  <c:v>2020-10-02</c:v>
                </c:pt>
                <c:pt idx="176">
                  <c:v>2020-10-03</c:v>
                </c:pt>
                <c:pt idx="177">
                  <c:v>2020-10-04</c:v>
                </c:pt>
                <c:pt idx="178">
                  <c:v>2020-10-05</c:v>
                </c:pt>
                <c:pt idx="179">
                  <c:v>2020-10-06</c:v>
                </c:pt>
                <c:pt idx="180">
                  <c:v>2020-10-07</c:v>
                </c:pt>
                <c:pt idx="181">
                  <c:v>2020-10-08</c:v>
                </c:pt>
                <c:pt idx="182">
                  <c:v>2020-10-09</c:v>
                </c:pt>
                <c:pt idx="183">
                  <c:v>2020-10-10</c:v>
                </c:pt>
                <c:pt idx="184">
                  <c:v>2020-10-11</c:v>
                </c:pt>
                <c:pt idx="185">
                  <c:v>2020-10-12</c:v>
                </c:pt>
                <c:pt idx="186">
                  <c:v>2020-10-13</c:v>
                </c:pt>
                <c:pt idx="187">
                  <c:v>2020-10-14</c:v>
                </c:pt>
                <c:pt idx="188">
                  <c:v>2020-10-15</c:v>
                </c:pt>
                <c:pt idx="189">
                  <c:v>2020-10-16</c:v>
                </c:pt>
                <c:pt idx="190">
                  <c:v>2020-10-17</c:v>
                </c:pt>
                <c:pt idx="191">
                  <c:v>2020-10-18</c:v>
                </c:pt>
                <c:pt idx="192">
                  <c:v>2020-10-19</c:v>
                </c:pt>
                <c:pt idx="193">
                  <c:v>2020-10-20</c:v>
                </c:pt>
                <c:pt idx="194">
                  <c:v>2020-10-21</c:v>
                </c:pt>
                <c:pt idx="195">
                  <c:v>2020-10-22</c:v>
                </c:pt>
                <c:pt idx="196">
                  <c:v>2020-10-23</c:v>
                </c:pt>
                <c:pt idx="197">
                  <c:v>2020-10-24</c:v>
                </c:pt>
                <c:pt idx="198">
                  <c:v>2020-10-25</c:v>
                </c:pt>
                <c:pt idx="199">
                  <c:v>2020-10-26</c:v>
                </c:pt>
                <c:pt idx="200">
                  <c:v>2020-10-27</c:v>
                </c:pt>
                <c:pt idx="201">
                  <c:v>2020-10-28</c:v>
                </c:pt>
                <c:pt idx="202">
                  <c:v>2020-10-29</c:v>
                </c:pt>
                <c:pt idx="203">
                  <c:v>2020-10-30</c:v>
                </c:pt>
                <c:pt idx="204">
                  <c:v>2020-10-31</c:v>
                </c:pt>
                <c:pt idx="205">
                  <c:v>2020-11-01</c:v>
                </c:pt>
                <c:pt idx="206">
                  <c:v>2020-11-02</c:v>
                </c:pt>
                <c:pt idx="207">
                  <c:v>2020-11-03</c:v>
                </c:pt>
                <c:pt idx="208">
                  <c:v>2020-11-04</c:v>
                </c:pt>
                <c:pt idx="209">
                  <c:v>2020-11-05</c:v>
                </c:pt>
                <c:pt idx="210">
                  <c:v>2020-11-06</c:v>
                </c:pt>
                <c:pt idx="211">
                  <c:v>2020-11-07</c:v>
                </c:pt>
                <c:pt idx="212">
                  <c:v>2020-11-08</c:v>
                </c:pt>
                <c:pt idx="213">
                  <c:v>2020-11-09</c:v>
                </c:pt>
                <c:pt idx="214">
                  <c:v>2020-11-10</c:v>
                </c:pt>
                <c:pt idx="215">
                  <c:v>2020-11-11</c:v>
                </c:pt>
                <c:pt idx="216">
                  <c:v>2020-11-12</c:v>
                </c:pt>
                <c:pt idx="217">
                  <c:v>2020-11-13</c:v>
                </c:pt>
                <c:pt idx="218">
                  <c:v>2020-11-14</c:v>
                </c:pt>
                <c:pt idx="219">
                  <c:v>2020-11-15</c:v>
                </c:pt>
                <c:pt idx="220">
                  <c:v>2020-11-16</c:v>
                </c:pt>
                <c:pt idx="221">
                  <c:v>2020-11-17</c:v>
                </c:pt>
                <c:pt idx="222">
                  <c:v>2020-11-18</c:v>
                </c:pt>
                <c:pt idx="223">
                  <c:v>2020-11-19</c:v>
                </c:pt>
                <c:pt idx="224">
                  <c:v>2020-11-20</c:v>
                </c:pt>
                <c:pt idx="225">
                  <c:v>2020-11-21</c:v>
                </c:pt>
                <c:pt idx="226">
                  <c:v>2020-11-22</c:v>
                </c:pt>
                <c:pt idx="227">
                  <c:v>2020-11-23</c:v>
                </c:pt>
                <c:pt idx="228">
                  <c:v>2020-11-24</c:v>
                </c:pt>
                <c:pt idx="229">
                  <c:v>2020-11-25</c:v>
                </c:pt>
                <c:pt idx="230">
                  <c:v>2020-11-26</c:v>
                </c:pt>
                <c:pt idx="231">
                  <c:v>2020-11-27</c:v>
                </c:pt>
                <c:pt idx="232">
                  <c:v>2020-11-28</c:v>
                </c:pt>
                <c:pt idx="233">
                  <c:v>2020-11-29</c:v>
                </c:pt>
                <c:pt idx="234">
                  <c:v>2020-11-30</c:v>
                </c:pt>
                <c:pt idx="235">
                  <c:v>2020-12-01</c:v>
                </c:pt>
                <c:pt idx="236">
                  <c:v>2020-12-02</c:v>
                </c:pt>
                <c:pt idx="237">
                  <c:v>2020-12-03</c:v>
                </c:pt>
                <c:pt idx="238">
                  <c:v>2020-12-04</c:v>
                </c:pt>
                <c:pt idx="239">
                  <c:v>2020-12-05</c:v>
                </c:pt>
                <c:pt idx="240">
                  <c:v>2020-12-06</c:v>
                </c:pt>
                <c:pt idx="241">
                  <c:v>2020-12-07</c:v>
                </c:pt>
                <c:pt idx="242">
                  <c:v>2020-12-08</c:v>
                </c:pt>
                <c:pt idx="243">
                  <c:v>2020-12-09</c:v>
                </c:pt>
                <c:pt idx="244">
                  <c:v>2020-12-10</c:v>
                </c:pt>
                <c:pt idx="245">
                  <c:v>2020-12-11</c:v>
                </c:pt>
                <c:pt idx="246">
                  <c:v>2020-12-12</c:v>
                </c:pt>
                <c:pt idx="247">
                  <c:v>2020-12-13</c:v>
                </c:pt>
                <c:pt idx="248">
                  <c:v>2020-12-14</c:v>
                </c:pt>
                <c:pt idx="249">
                  <c:v>2020-12-15</c:v>
                </c:pt>
                <c:pt idx="250">
                  <c:v>2020-12-16</c:v>
                </c:pt>
                <c:pt idx="251">
                  <c:v>2020-12-17</c:v>
                </c:pt>
                <c:pt idx="252">
                  <c:v>2020-12-18</c:v>
                </c:pt>
                <c:pt idx="253">
                  <c:v>2020-12-19</c:v>
                </c:pt>
                <c:pt idx="254">
                  <c:v>2020-12-20</c:v>
                </c:pt>
                <c:pt idx="255">
                  <c:v>2020-12-21</c:v>
                </c:pt>
                <c:pt idx="256">
                  <c:v>2020-12-22</c:v>
                </c:pt>
                <c:pt idx="257">
                  <c:v>2020-12-23</c:v>
                </c:pt>
                <c:pt idx="258">
                  <c:v>2020-12-24</c:v>
                </c:pt>
                <c:pt idx="259">
                  <c:v>2020-12-25</c:v>
                </c:pt>
                <c:pt idx="260">
                  <c:v>2020-12-26</c:v>
                </c:pt>
                <c:pt idx="261">
                  <c:v>2020-12-27</c:v>
                </c:pt>
                <c:pt idx="262">
                  <c:v>2020-12-28</c:v>
                </c:pt>
                <c:pt idx="263">
                  <c:v>2020-12-29</c:v>
                </c:pt>
                <c:pt idx="264">
                  <c:v>2020-12-30</c:v>
                </c:pt>
                <c:pt idx="265">
                  <c:v>2020-12-31</c:v>
                </c:pt>
                <c:pt idx="266">
                  <c:v>2021-01-01</c:v>
                </c:pt>
                <c:pt idx="267">
                  <c:v>2021-01-02</c:v>
                </c:pt>
                <c:pt idx="268">
                  <c:v>2021-01-03</c:v>
                </c:pt>
                <c:pt idx="269">
                  <c:v>2021-01-04</c:v>
                </c:pt>
                <c:pt idx="270">
                  <c:v>2021-01-05</c:v>
                </c:pt>
                <c:pt idx="271">
                  <c:v>2021-01-06</c:v>
                </c:pt>
                <c:pt idx="272">
                  <c:v>2021-01-07</c:v>
                </c:pt>
                <c:pt idx="273">
                  <c:v>2021-01-08</c:v>
                </c:pt>
                <c:pt idx="274">
                  <c:v>2021-01-09</c:v>
                </c:pt>
                <c:pt idx="275">
                  <c:v>2021-01-10</c:v>
                </c:pt>
                <c:pt idx="276">
                  <c:v>2021-01-11</c:v>
                </c:pt>
                <c:pt idx="277">
                  <c:v>2021-01-12</c:v>
                </c:pt>
                <c:pt idx="278">
                  <c:v>2021-01-13</c:v>
                </c:pt>
                <c:pt idx="279">
                  <c:v>2021-01-14</c:v>
                </c:pt>
                <c:pt idx="280">
                  <c:v>2021-01-15</c:v>
                </c:pt>
                <c:pt idx="281">
                  <c:v>2021-01-16</c:v>
                </c:pt>
                <c:pt idx="282">
                  <c:v>2021-01-17</c:v>
                </c:pt>
                <c:pt idx="283">
                  <c:v>2021-01-18</c:v>
                </c:pt>
                <c:pt idx="284">
                  <c:v>2021-01-19</c:v>
                </c:pt>
                <c:pt idx="285">
                  <c:v>2021-01-20</c:v>
                </c:pt>
                <c:pt idx="286">
                  <c:v>2021-01-21</c:v>
                </c:pt>
                <c:pt idx="287">
                  <c:v>2021-01-22</c:v>
                </c:pt>
                <c:pt idx="288">
                  <c:v>2021-01-23</c:v>
                </c:pt>
                <c:pt idx="289">
                  <c:v>2021-01-24</c:v>
                </c:pt>
                <c:pt idx="290">
                  <c:v>2021-01-25</c:v>
                </c:pt>
                <c:pt idx="291">
                  <c:v>2021-01-26</c:v>
                </c:pt>
                <c:pt idx="292">
                  <c:v>2021-01-27</c:v>
                </c:pt>
                <c:pt idx="293">
                  <c:v>2021-01-28</c:v>
                </c:pt>
                <c:pt idx="294">
                  <c:v>2021-01-29</c:v>
                </c:pt>
                <c:pt idx="295">
                  <c:v>2021-01-30</c:v>
                </c:pt>
                <c:pt idx="296">
                  <c:v>2021-01-31</c:v>
                </c:pt>
                <c:pt idx="297">
                  <c:v>2021-02-01</c:v>
                </c:pt>
                <c:pt idx="298">
                  <c:v>2021-02-02</c:v>
                </c:pt>
                <c:pt idx="299">
                  <c:v>2021-02-03</c:v>
                </c:pt>
                <c:pt idx="300">
                  <c:v>2021-02-04</c:v>
                </c:pt>
                <c:pt idx="301">
                  <c:v>2021-02-05</c:v>
                </c:pt>
                <c:pt idx="302">
                  <c:v>2021-02-06</c:v>
                </c:pt>
                <c:pt idx="303">
                  <c:v>2021-02-07</c:v>
                </c:pt>
                <c:pt idx="304">
                  <c:v>2021-02-08</c:v>
                </c:pt>
                <c:pt idx="305">
                  <c:v>2021-02-09</c:v>
                </c:pt>
                <c:pt idx="306">
                  <c:v>2021-02-10</c:v>
                </c:pt>
                <c:pt idx="307">
                  <c:v>2021-02-11</c:v>
                </c:pt>
                <c:pt idx="308">
                  <c:v>2021-02-12</c:v>
                </c:pt>
                <c:pt idx="309">
                  <c:v>2021-02-13</c:v>
                </c:pt>
                <c:pt idx="310">
                  <c:v>2021-02-14</c:v>
                </c:pt>
                <c:pt idx="311">
                  <c:v>2021-02-15</c:v>
                </c:pt>
                <c:pt idx="312">
                  <c:v>2021-02-16</c:v>
                </c:pt>
                <c:pt idx="313">
                  <c:v>2021-02-17</c:v>
                </c:pt>
                <c:pt idx="314">
                  <c:v>2021-02-18</c:v>
                </c:pt>
                <c:pt idx="315">
                  <c:v>2021-02-19</c:v>
                </c:pt>
                <c:pt idx="316">
                  <c:v>2021-02-20</c:v>
                </c:pt>
                <c:pt idx="317">
                  <c:v>2021-02-21</c:v>
                </c:pt>
                <c:pt idx="318">
                  <c:v>2021-02-22</c:v>
                </c:pt>
                <c:pt idx="319">
                  <c:v>2021-02-23</c:v>
                </c:pt>
                <c:pt idx="320">
                  <c:v>2021-02-24</c:v>
                </c:pt>
                <c:pt idx="321">
                  <c:v>2021-02-25</c:v>
                </c:pt>
                <c:pt idx="322">
                  <c:v>2021-02-26</c:v>
                </c:pt>
                <c:pt idx="323">
                  <c:v>2021-02-27</c:v>
                </c:pt>
                <c:pt idx="324">
                  <c:v>2021-02-28</c:v>
                </c:pt>
                <c:pt idx="325">
                  <c:v>2021-03-01</c:v>
                </c:pt>
                <c:pt idx="326">
                  <c:v>2021-03-02</c:v>
                </c:pt>
                <c:pt idx="327">
                  <c:v>2021-03-03</c:v>
                </c:pt>
                <c:pt idx="328">
                  <c:v>2021-03-04</c:v>
                </c:pt>
                <c:pt idx="329">
                  <c:v>2021-03-05</c:v>
                </c:pt>
                <c:pt idx="330">
                  <c:v>2021-03-06</c:v>
                </c:pt>
                <c:pt idx="331">
                  <c:v>2021-03-07</c:v>
                </c:pt>
                <c:pt idx="332">
                  <c:v>2021-03-08</c:v>
                </c:pt>
                <c:pt idx="333">
                  <c:v>2021-03-09</c:v>
                </c:pt>
                <c:pt idx="334">
                  <c:v>2021-03-10</c:v>
                </c:pt>
                <c:pt idx="335">
                  <c:v>2021-03-11</c:v>
                </c:pt>
                <c:pt idx="336">
                  <c:v>2021-03-12</c:v>
                </c:pt>
                <c:pt idx="337">
                  <c:v>2021-03-13</c:v>
                </c:pt>
                <c:pt idx="338">
                  <c:v>2021-03-14</c:v>
                </c:pt>
                <c:pt idx="339">
                  <c:v>2021-03-15</c:v>
                </c:pt>
                <c:pt idx="340">
                  <c:v>2021-03-16</c:v>
                </c:pt>
                <c:pt idx="341">
                  <c:v>2021-03-17</c:v>
                </c:pt>
                <c:pt idx="342">
                  <c:v>2021-03-18</c:v>
                </c:pt>
              </c:strCache>
            </c:strRef>
          </c:cat>
          <c:val>
            <c:numRef>
              <c:f>lovos!$B$2:$B$344</c:f>
              <c:numCache>
                <c:formatCode>General</c:formatCode>
                <c:ptCount val="343"/>
                <c:pt idx="0">
                  <c:v>129</c:v>
                </c:pt>
                <c:pt idx="1">
                  <c:v>123</c:v>
                </c:pt>
                <c:pt idx="2">
                  <c:v>122</c:v>
                </c:pt>
                <c:pt idx="3">
                  <c:v>128</c:v>
                </c:pt>
                <c:pt idx="4">
                  <c:v>123</c:v>
                </c:pt>
                <c:pt idx="5">
                  <c:v>118</c:v>
                </c:pt>
                <c:pt idx="6">
                  <c:v>120</c:v>
                </c:pt>
                <c:pt idx="7">
                  <c:v>116</c:v>
                </c:pt>
                <c:pt idx="8">
                  <c:v>126</c:v>
                </c:pt>
                <c:pt idx="9">
                  <c:v>131</c:v>
                </c:pt>
                <c:pt idx="10">
                  <c:v>130</c:v>
                </c:pt>
                <c:pt idx="11">
                  <c:v>123</c:v>
                </c:pt>
                <c:pt idx="12">
                  <c:v>120</c:v>
                </c:pt>
                <c:pt idx="13">
                  <c:v>120</c:v>
                </c:pt>
                <c:pt idx="14">
                  <c:v>112</c:v>
                </c:pt>
                <c:pt idx="15">
                  <c:v>111</c:v>
                </c:pt>
                <c:pt idx="16">
                  <c:v>113</c:v>
                </c:pt>
                <c:pt idx="17">
                  <c:v>102</c:v>
                </c:pt>
                <c:pt idx="18">
                  <c:v>108</c:v>
                </c:pt>
                <c:pt idx="19">
                  <c:v>97</c:v>
                </c:pt>
                <c:pt idx="20">
                  <c:v>89</c:v>
                </c:pt>
                <c:pt idx="21">
                  <c:v>98</c:v>
                </c:pt>
                <c:pt idx="22">
                  <c:v>100</c:v>
                </c:pt>
                <c:pt idx="23">
                  <c:v>103</c:v>
                </c:pt>
                <c:pt idx="24">
                  <c:v>81</c:v>
                </c:pt>
                <c:pt idx="25">
                  <c:v>78</c:v>
                </c:pt>
                <c:pt idx="26">
                  <c:v>73</c:v>
                </c:pt>
                <c:pt idx="27">
                  <c:v>87</c:v>
                </c:pt>
                <c:pt idx="28">
                  <c:v>73</c:v>
                </c:pt>
                <c:pt idx="29">
                  <c:v>80</c:v>
                </c:pt>
                <c:pt idx="30">
                  <c:v>92</c:v>
                </c:pt>
                <c:pt idx="31">
                  <c:v>93</c:v>
                </c:pt>
                <c:pt idx="32">
                  <c:v>89</c:v>
                </c:pt>
                <c:pt idx="33">
                  <c:v>74</c:v>
                </c:pt>
                <c:pt idx="34">
                  <c:v>87</c:v>
                </c:pt>
                <c:pt idx="35">
                  <c:v>90</c:v>
                </c:pt>
                <c:pt idx="36">
                  <c:v>99</c:v>
                </c:pt>
                <c:pt idx="37">
                  <c:v>95</c:v>
                </c:pt>
                <c:pt idx="38">
                  <c:v>89</c:v>
                </c:pt>
                <c:pt idx="39">
                  <c:v>89</c:v>
                </c:pt>
                <c:pt idx="40">
                  <c:v>72</c:v>
                </c:pt>
                <c:pt idx="41">
                  <c:v>88</c:v>
                </c:pt>
                <c:pt idx="42">
                  <c:v>91</c:v>
                </c:pt>
                <c:pt idx="43">
                  <c:v>93</c:v>
                </c:pt>
                <c:pt idx="44">
                  <c:v>70</c:v>
                </c:pt>
                <c:pt idx="45">
                  <c:v>80</c:v>
                </c:pt>
                <c:pt idx="46">
                  <c:v>68</c:v>
                </c:pt>
                <c:pt idx="47">
                  <c:v>67</c:v>
                </c:pt>
                <c:pt idx="48">
                  <c:v>66</c:v>
                </c:pt>
                <c:pt idx="49">
                  <c:v>63</c:v>
                </c:pt>
                <c:pt idx="50">
                  <c:v>62</c:v>
                </c:pt>
                <c:pt idx="51">
                  <c:v>59</c:v>
                </c:pt>
                <c:pt idx="52">
                  <c:v>56</c:v>
                </c:pt>
                <c:pt idx="53">
                  <c:v>51</c:v>
                </c:pt>
                <c:pt idx="54">
                  <c:v>37</c:v>
                </c:pt>
                <c:pt idx="55">
                  <c:v>44</c:v>
                </c:pt>
                <c:pt idx="56">
                  <c:v>39</c:v>
                </c:pt>
                <c:pt idx="57">
                  <c:v>37</c:v>
                </c:pt>
                <c:pt idx="58">
                  <c:v>26</c:v>
                </c:pt>
                <c:pt idx="59">
                  <c:v>30</c:v>
                </c:pt>
                <c:pt idx="60">
                  <c:v>31</c:v>
                </c:pt>
                <c:pt idx="61">
                  <c:v>30</c:v>
                </c:pt>
                <c:pt idx="62">
                  <c:v>30</c:v>
                </c:pt>
                <c:pt idx="63">
                  <c:v>30</c:v>
                </c:pt>
                <c:pt idx="64">
                  <c:v>30</c:v>
                </c:pt>
                <c:pt idx="65">
                  <c:v>28</c:v>
                </c:pt>
                <c:pt idx="66">
                  <c:v>26</c:v>
                </c:pt>
                <c:pt idx="67">
                  <c:v>25</c:v>
                </c:pt>
                <c:pt idx="68">
                  <c:v>26</c:v>
                </c:pt>
                <c:pt idx="69">
                  <c:v>22</c:v>
                </c:pt>
                <c:pt idx="70">
                  <c:v>22</c:v>
                </c:pt>
                <c:pt idx="71">
                  <c:v>21</c:v>
                </c:pt>
                <c:pt idx="72">
                  <c:v>18</c:v>
                </c:pt>
                <c:pt idx="73">
                  <c:v>18</c:v>
                </c:pt>
                <c:pt idx="74">
                  <c:v>15</c:v>
                </c:pt>
                <c:pt idx="75">
                  <c:v>15</c:v>
                </c:pt>
                <c:pt idx="76">
                  <c:v>13</c:v>
                </c:pt>
                <c:pt idx="77">
                  <c:v>9</c:v>
                </c:pt>
                <c:pt idx="78">
                  <c:v>9</c:v>
                </c:pt>
                <c:pt idx="79">
                  <c:v>9</c:v>
                </c:pt>
                <c:pt idx="80">
                  <c:v>8</c:v>
                </c:pt>
                <c:pt idx="81">
                  <c:v>9</c:v>
                </c:pt>
                <c:pt idx="82">
                  <c:v>8</c:v>
                </c:pt>
                <c:pt idx="83">
                  <c:v>7</c:v>
                </c:pt>
                <c:pt idx="84">
                  <c:v>7</c:v>
                </c:pt>
                <c:pt idx="85">
                  <c:v>9</c:v>
                </c:pt>
                <c:pt idx="86">
                  <c:v>9</c:v>
                </c:pt>
                <c:pt idx="87">
                  <c:v>11</c:v>
                </c:pt>
                <c:pt idx="88">
                  <c:v>13</c:v>
                </c:pt>
                <c:pt idx="89">
                  <c:v>13</c:v>
                </c:pt>
                <c:pt idx="90">
                  <c:v>12</c:v>
                </c:pt>
                <c:pt idx="91">
                  <c:v>13</c:v>
                </c:pt>
                <c:pt idx="92">
                  <c:v>12</c:v>
                </c:pt>
                <c:pt idx="93">
                  <c:v>13</c:v>
                </c:pt>
                <c:pt idx="94">
                  <c:v>15</c:v>
                </c:pt>
                <c:pt idx="95">
                  <c:v>19</c:v>
                </c:pt>
                <c:pt idx="96">
                  <c:v>18</c:v>
                </c:pt>
                <c:pt idx="97">
                  <c:v>20</c:v>
                </c:pt>
                <c:pt idx="98">
                  <c:v>19</c:v>
                </c:pt>
                <c:pt idx="99">
                  <c:v>20</c:v>
                </c:pt>
                <c:pt idx="100">
                  <c:v>21</c:v>
                </c:pt>
                <c:pt idx="101">
                  <c:v>23</c:v>
                </c:pt>
                <c:pt idx="102">
                  <c:v>23</c:v>
                </c:pt>
                <c:pt idx="103">
                  <c:v>19</c:v>
                </c:pt>
                <c:pt idx="104">
                  <c:v>19</c:v>
                </c:pt>
                <c:pt idx="105">
                  <c:v>24</c:v>
                </c:pt>
                <c:pt idx="106">
                  <c:v>26</c:v>
                </c:pt>
                <c:pt idx="107">
                  <c:v>26</c:v>
                </c:pt>
                <c:pt idx="108">
                  <c:v>30</c:v>
                </c:pt>
                <c:pt idx="109">
                  <c:v>32</c:v>
                </c:pt>
                <c:pt idx="110">
                  <c:v>28</c:v>
                </c:pt>
                <c:pt idx="111">
                  <c:v>27</c:v>
                </c:pt>
                <c:pt idx="112">
                  <c:v>25</c:v>
                </c:pt>
                <c:pt idx="113">
                  <c:v>25</c:v>
                </c:pt>
                <c:pt idx="114">
                  <c:v>26</c:v>
                </c:pt>
                <c:pt idx="115">
                  <c:v>26</c:v>
                </c:pt>
                <c:pt idx="116">
                  <c:v>29</c:v>
                </c:pt>
                <c:pt idx="117">
                  <c:v>30</c:v>
                </c:pt>
                <c:pt idx="118">
                  <c:v>30</c:v>
                </c:pt>
                <c:pt idx="119">
                  <c:v>33</c:v>
                </c:pt>
                <c:pt idx="120">
                  <c:v>32</c:v>
                </c:pt>
                <c:pt idx="121">
                  <c:v>34</c:v>
                </c:pt>
                <c:pt idx="122">
                  <c:v>42</c:v>
                </c:pt>
                <c:pt idx="123">
                  <c:v>44</c:v>
                </c:pt>
                <c:pt idx="124">
                  <c:v>47</c:v>
                </c:pt>
                <c:pt idx="125">
                  <c:v>52</c:v>
                </c:pt>
                <c:pt idx="126">
                  <c:v>52</c:v>
                </c:pt>
                <c:pt idx="127">
                  <c:v>53</c:v>
                </c:pt>
                <c:pt idx="128">
                  <c:v>55</c:v>
                </c:pt>
                <c:pt idx="129">
                  <c:v>57</c:v>
                </c:pt>
                <c:pt idx="130">
                  <c:v>59</c:v>
                </c:pt>
                <c:pt idx="131">
                  <c:v>64</c:v>
                </c:pt>
                <c:pt idx="132">
                  <c:v>61</c:v>
                </c:pt>
                <c:pt idx="133">
                  <c:v>54</c:v>
                </c:pt>
                <c:pt idx="134">
                  <c:v>57</c:v>
                </c:pt>
                <c:pt idx="135">
                  <c:v>59</c:v>
                </c:pt>
                <c:pt idx="136">
                  <c:v>53</c:v>
                </c:pt>
                <c:pt idx="137">
                  <c:v>55</c:v>
                </c:pt>
                <c:pt idx="138">
                  <c:v>55</c:v>
                </c:pt>
                <c:pt idx="139">
                  <c:v>56</c:v>
                </c:pt>
                <c:pt idx="140">
                  <c:v>50</c:v>
                </c:pt>
                <c:pt idx="141">
                  <c:v>50</c:v>
                </c:pt>
                <c:pt idx="142">
                  <c:v>51</c:v>
                </c:pt>
                <c:pt idx="143">
                  <c:v>53</c:v>
                </c:pt>
                <c:pt idx="144">
                  <c:v>49</c:v>
                </c:pt>
                <c:pt idx="145">
                  <c:v>50</c:v>
                </c:pt>
                <c:pt idx="146">
                  <c:v>44</c:v>
                </c:pt>
                <c:pt idx="147">
                  <c:v>41</c:v>
                </c:pt>
                <c:pt idx="148">
                  <c:v>45</c:v>
                </c:pt>
                <c:pt idx="149">
                  <c:v>42</c:v>
                </c:pt>
                <c:pt idx="150">
                  <c:v>40</c:v>
                </c:pt>
                <c:pt idx="151">
                  <c:v>38</c:v>
                </c:pt>
                <c:pt idx="152">
                  <c:v>34</c:v>
                </c:pt>
                <c:pt idx="153">
                  <c:v>34</c:v>
                </c:pt>
                <c:pt idx="154">
                  <c:v>35</c:v>
                </c:pt>
                <c:pt idx="155">
                  <c:v>36</c:v>
                </c:pt>
                <c:pt idx="156">
                  <c:v>37</c:v>
                </c:pt>
                <c:pt idx="157">
                  <c:v>35</c:v>
                </c:pt>
                <c:pt idx="158">
                  <c:v>46</c:v>
                </c:pt>
                <c:pt idx="159">
                  <c:v>41</c:v>
                </c:pt>
                <c:pt idx="160">
                  <c:v>62</c:v>
                </c:pt>
                <c:pt idx="161">
                  <c:v>69</c:v>
                </c:pt>
                <c:pt idx="162">
                  <c:v>74</c:v>
                </c:pt>
                <c:pt idx="163">
                  <c:v>78</c:v>
                </c:pt>
                <c:pt idx="164">
                  <c:v>82</c:v>
                </c:pt>
                <c:pt idx="165">
                  <c:v>103</c:v>
                </c:pt>
                <c:pt idx="166">
                  <c:v>106</c:v>
                </c:pt>
                <c:pt idx="167">
                  <c:v>105</c:v>
                </c:pt>
                <c:pt idx="168">
                  <c:v>109</c:v>
                </c:pt>
                <c:pt idx="169">
                  <c:v>111</c:v>
                </c:pt>
                <c:pt idx="170">
                  <c:v>118</c:v>
                </c:pt>
                <c:pt idx="171">
                  <c:v>126</c:v>
                </c:pt>
                <c:pt idx="172">
                  <c:v>128</c:v>
                </c:pt>
                <c:pt idx="173">
                  <c:v>130</c:v>
                </c:pt>
                <c:pt idx="174">
                  <c:v>135</c:v>
                </c:pt>
                <c:pt idx="175">
                  <c:v>137</c:v>
                </c:pt>
                <c:pt idx="176">
                  <c:v>138</c:v>
                </c:pt>
                <c:pt idx="177">
                  <c:v>149</c:v>
                </c:pt>
                <c:pt idx="178">
                  <c:v>145</c:v>
                </c:pt>
                <c:pt idx="179">
                  <c:v>117</c:v>
                </c:pt>
                <c:pt idx="180">
                  <c:v>122</c:v>
                </c:pt>
                <c:pt idx="181">
                  <c:v>131</c:v>
                </c:pt>
                <c:pt idx="182">
                  <c:v>126</c:v>
                </c:pt>
                <c:pt idx="183">
                  <c:v>129</c:v>
                </c:pt>
                <c:pt idx="184">
                  <c:v>133</c:v>
                </c:pt>
                <c:pt idx="185">
                  <c:v>127</c:v>
                </c:pt>
                <c:pt idx="186">
                  <c:v>123</c:v>
                </c:pt>
                <c:pt idx="187">
                  <c:v>157</c:v>
                </c:pt>
                <c:pt idx="188">
                  <c:v>180</c:v>
                </c:pt>
                <c:pt idx="189">
                  <c:v>181</c:v>
                </c:pt>
                <c:pt idx="190">
                  <c:v>186</c:v>
                </c:pt>
                <c:pt idx="191">
                  <c:v>209</c:v>
                </c:pt>
                <c:pt idx="192">
                  <c:v>209</c:v>
                </c:pt>
                <c:pt idx="193">
                  <c:v>224</c:v>
                </c:pt>
                <c:pt idx="194">
                  <c:v>221</c:v>
                </c:pt>
                <c:pt idx="195">
                  <c:v>229</c:v>
                </c:pt>
                <c:pt idx="196">
                  <c:v>226</c:v>
                </c:pt>
                <c:pt idx="197">
                  <c:v>242</c:v>
                </c:pt>
                <c:pt idx="198">
                  <c:v>301</c:v>
                </c:pt>
                <c:pt idx="199">
                  <c:v>310</c:v>
                </c:pt>
                <c:pt idx="200">
                  <c:v>318</c:v>
                </c:pt>
                <c:pt idx="201">
                  <c:v>336</c:v>
                </c:pt>
                <c:pt idx="202">
                  <c:v>383</c:v>
                </c:pt>
                <c:pt idx="203">
                  <c:v>428</c:v>
                </c:pt>
                <c:pt idx="204">
                  <c:v>455</c:v>
                </c:pt>
                <c:pt idx="205">
                  <c:v>504</c:v>
                </c:pt>
                <c:pt idx="206">
                  <c:v>562</c:v>
                </c:pt>
                <c:pt idx="207">
                  <c:v>619</c:v>
                </c:pt>
                <c:pt idx="208">
                  <c:v>633</c:v>
                </c:pt>
                <c:pt idx="209">
                  <c:v>721</c:v>
                </c:pt>
                <c:pt idx="210">
                  <c:v>715</c:v>
                </c:pt>
                <c:pt idx="211">
                  <c:v>784</c:v>
                </c:pt>
                <c:pt idx="212">
                  <c:v>864</c:v>
                </c:pt>
                <c:pt idx="213">
                  <c:v>907</c:v>
                </c:pt>
                <c:pt idx="214">
                  <c:v>828</c:v>
                </c:pt>
                <c:pt idx="215">
                  <c:v>1009</c:v>
                </c:pt>
                <c:pt idx="216">
                  <c:v>1118</c:v>
                </c:pt>
                <c:pt idx="217">
                  <c:v>1184</c:v>
                </c:pt>
                <c:pt idx="218">
                  <c:v>1163</c:v>
                </c:pt>
                <c:pt idx="219">
                  <c:v>1259</c:v>
                </c:pt>
                <c:pt idx="220">
                  <c:v>1262</c:v>
                </c:pt>
                <c:pt idx="221">
                  <c:v>1270</c:v>
                </c:pt>
                <c:pt idx="222">
                  <c:v>1328</c:v>
                </c:pt>
                <c:pt idx="223">
                  <c:v>1384</c:v>
                </c:pt>
                <c:pt idx="224">
                  <c:v>1345</c:v>
                </c:pt>
                <c:pt idx="225">
                  <c:v>1319</c:v>
                </c:pt>
                <c:pt idx="226">
                  <c:v>1503</c:v>
                </c:pt>
                <c:pt idx="227">
                  <c:v>1535</c:v>
                </c:pt>
                <c:pt idx="228">
                  <c:v>1581</c:v>
                </c:pt>
                <c:pt idx="229">
                  <c:v>1568</c:v>
                </c:pt>
                <c:pt idx="230">
                  <c:v>1639</c:v>
                </c:pt>
                <c:pt idx="231">
                  <c:v>1680</c:v>
                </c:pt>
                <c:pt idx="232">
                  <c:v>1639</c:v>
                </c:pt>
                <c:pt idx="233">
                  <c:v>1717</c:v>
                </c:pt>
                <c:pt idx="234">
                  <c:v>1759</c:v>
                </c:pt>
                <c:pt idx="235">
                  <c:v>1777</c:v>
                </c:pt>
                <c:pt idx="236">
                  <c:v>1762</c:v>
                </c:pt>
                <c:pt idx="237">
                  <c:v>1812</c:v>
                </c:pt>
                <c:pt idx="238">
                  <c:v>1883</c:v>
                </c:pt>
                <c:pt idx="239">
                  <c:v>1940</c:v>
                </c:pt>
                <c:pt idx="240">
                  <c:v>1961</c:v>
                </c:pt>
                <c:pt idx="241">
                  <c:v>2002</c:v>
                </c:pt>
                <c:pt idx="242">
                  <c:v>1950</c:v>
                </c:pt>
                <c:pt idx="243">
                  <c:v>1961</c:v>
                </c:pt>
                <c:pt idx="244">
                  <c:v>1953</c:v>
                </c:pt>
                <c:pt idx="245">
                  <c:v>2012</c:v>
                </c:pt>
                <c:pt idx="246">
                  <c:v>1987</c:v>
                </c:pt>
                <c:pt idx="247">
                  <c:v>2074</c:v>
                </c:pt>
                <c:pt idx="248">
                  <c:v>2138</c:v>
                </c:pt>
                <c:pt idx="249">
                  <c:v>2185</c:v>
                </c:pt>
                <c:pt idx="250">
                  <c:v>2183</c:v>
                </c:pt>
                <c:pt idx="251">
                  <c:v>2197</c:v>
                </c:pt>
                <c:pt idx="252">
                  <c:v>2252</c:v>
                </c:pt>
                <c:pt idx="253">
                  <c:v>2120</c:v>
                </c:pt>
                <c:pt idx="254">
                  <c:v>2267</c:v>
                </c:pt>
                <c:pt idx="255">
                  <c:v>2326</c:v>
                </c:pt>
                <c:pt idx="256">
                  <c:v>2279</c:v>
                </c:pt>
                <c:pt idx="257">
                  <c:v>2159</c:v>
                </c:pt>
                <c:pt idx="258">
                  <c:v>2031</c:v>
                </c:pt>
                <c:pt idx="259">
                  <c:v>2054</c:v>
                </c:pt>
                <c:pt idx="260">
                  <c:v>2137</c:v>
                </c:pt>
                <c:pt idx="261">
                  <c:v>2217</c:v>
                </c:pt>
                <c:pt idx="262">
                  <c:v>2290</c:v>
                </c:pt>
                <c:pt idx="263">
                  <c:v>2298</c:v>
                </c:pt>
                <c:pt idx="264">
                  <c:v>2260</c:v>
                </c:pt>
                <c:pt idx="265">
                  <c:v>2252</c:v>
                </c:pt>
                <c:pt idx="266">
                  <c:v>2159</c:v>
                </c:pt>
                <c:pt idx="267">
                  <c:v>2264</c:v>
                </c:pt>
                <c:pt idx="268">
                  <c:v>2317</c:v>
                </c:pt>
                <c:pt idx="269">
                  <c:v>2391</c:v>
                </c:pt>
                <c:pt idx="270">
                  <c:v>2327</c:v>
                </c:pt>
                <c:pt idx="271">
                  <c:v>2230</c:v>
                </c:pt>
                <c:pt idx="272">
                  <c:v>2209</c:v>
                </c:pt>
                <c:pt idx="273">
                  <c:v>2176</c:v>
                </c:pt>
                <c:pt idx="274">
                  <c:v>2094</c:v>
                </c:pt>
                <c:pt idx="275">
                  <c:v>2101</c:v>
                </c:pt>
                <c:pt idx="276">
                  <c:v>2123</c:v>
                </c:pt>
                <c:pt idx="277">
                  <c:v>1999</c:v>
                </c:pt>
                <c:pt idx="278">
                  <c:v>1937</c:v>
                </c:pt>
                <c:pt idx="279">
                  <c:v>1891</c:v>
                </c:pt>
                <c:pt idx="280">
                  <c:v>1870</c:v>
                </c:pt>
                <c:pt idx="281">
                  <c:v>1793</c:v>
                </c:pt>
                <c:pt idx="282">
                  <c:v>1813</c:v>
                </c:pt>
                <c:pt idx="283">
                  <c:v>1718</c:v>
                </c:pt>
                <c:pt idx="284">
                  <c:v>1591</c:v>
                </c:pt>
                <c:pt idx="285">
                  <c:v>1541</c:v>
                </c:pt>
                <c:pt idx="286">
                  <c:v>1515</c:v>
                </c:pt>
                <c:pt idx="287">
                  <c:v>1398</c:v>
                </c:pt>
                <c:pt idx="288">
                  <c:v>1442</c:v>
                </c:pt>
                <c:pt idx="289">
                  <c:v>1486</c:v>
                </c:pt>
                <c:pt idx="290">
                  <c:v>1460</c:v>
                </c:pt>
                <c:pt idx="291">
                  <c:v>1427</c:v>
                </c:pt>
                <c:pt idx="292">
                  <c:v>1414</c:v>
                </c:pt>
                <c:pt idx="293">
                  <c:v>1395</c:v>
                </c:pt>
                <c:pt idx="294">
                  <c:v>1302</c:v>
                </c:pt>
                <c:pt idx="295">
                  <c:v>1318</c:v>
                </c:pt>
                <c:pt idx="296">
                  <c:v>1339</c:v>
                </c:pt>
                <c:pt idx="297">
                  <c:v>1294</c:v>
                </c:pt>
                <c:pt idx="298">
                  <c:v>1199</c:v>
                </c:pt>
                <c:pt idx="299">
                  <c:v>1166</c:v>
                </c:pt>
                <c:pt idx="300">
                  <c:v>1155</c:v>
                </c:pt>
                <c:pt idx="301">
                  <c:v>1102</c:v>
                </c:pt>
                <c:pt idx="302">
                  <c:v>1105</c:v>
                </c:pt>
                <c:pt idx="303">
                  <c:v>1143</c:v>
                </c:pt>
                <c:pt idx="304">
                  <c:v>1095</c:v>
                </c:pt>
                <c:pt idx="305">
                  <c:v>1048</c:v>
                </c:pt>
                <c:pt idx="306">
                  <c:v>1016</c:v>
                </c:pt>
                <c:pt idx="307">
                  <c:v>1023</c:v>
                </c:pt>
                <c:pt idx="308">
                  <c:v>962</c:v>
                </c:pt>
                <c:pt idx="309">
                  <c:v>979</c:v>
                </c:pt>
                <c:pt idx="310">
                  <c:v>998</c:v>
                </c:pt>
                <c:pt idx="311">
                  <c:v>955</c:v>
                </c:pt>
                <c:pt idx="312">
                  <c:v>950</c:v>
                </c:pt>
                <c:pt idx="313">
                  <c:v>903</c:v>
                </c:pt>
                <c:pt idx="314">
                  <c:v>848</c:v>
                </c:pt>
                <c:pt idx="315">
                  <c:v>830</c:v>
                </c:pt>
                <c:pt idx="316">
                  <c:v>850</c:v>
                </c:pt>
                <c:pt idx="317">
                  <c:v>903</c:v>
                </c:pt>
                <c:pt idx="318">
                  <c:v>910</c:v>
                </c:pt>
                <c:pt idx="319">
                  <c:v>899</c:v>
                </c:pt>
                <c:pt idx="320">
                  <c:v>902</c:v>
                </c:pt>
                <c:pt idx="321">
                  <c:v>872</c:v>
                </c:pt>
                <c:pt idx="322">
                  <c:v>833</c:v>
                </c:pt>
                <c:pt idx="323">
                  <c:v>878</c:v>
                </c:pt>
                <c:pt idx="324">
                  <c:v>894</c:v>
                </c:pt>
                <c:pt idx="325">
                  <c:v>858</c:v>
                </c:pt>
                <c:pt idx="326">
                  <c:v>837</c:v>
                </c:pt>
                <c:pt idx="327">
                  <c:v>827</c:v>
                </c:pt>
                <c:pt idx="328">
                  <c:v>811</c:v>
                </c:pt>
                <c:pt idx="329">
                  <c:v>784</c:v>
                </c:pt>
                <c:pt idx="330">
                  <c:v>798</c:v>
                </c:pt>
                <c:pt idx="331">
                  <c:v>823</c:v>
                </c:pt>
                <c:pt idx="332">
                  <c:v>789</c:v>
                </c:pt>
                <c:pt idx="333">
                  <c:v>762</c:v>
                </c:pt>
                <c:pt idx="334">
                  <c:v>749</c:v>
                </c:pt>
                <c:pt idx="335">
                  <c:v>767</c:v>
                </c:pt>
                <c:pt idx="336">
                  <c:v>717</c:v>
                </c:pt>
                <c:pt idx="337">
                  <c:v>748</c:v>
                </c:pt>
                <c:pt idx="338">
                  <c:v>778</c:v>
                </c:pt>
                <c:pt idx="339">
                  <c:v>763</c:v>
                </c:pt>
                <c:pt idx="340">
                  <c:v>773</c:v>
                </c:pt>
                <c:pt idx="341">
                  <c:v>762</c:v>
                </c:pt>
                <c:pt idx="342">
                  <c:v>764</c:v>
                </c:pt>
              </c:numCache>
            </c:numRef>
          </c:val>
          <c:extLst>
            <c:ext xmlns:c16="http://schemas.microsoft.com/office/drawing/2014/chart" uri="{C3380CC4-5D6E-409C-BE32-E72D297353CC}">
              <c16:uniqueId val="{00000006-C49F-43BC-9C8E-7BE8FF613496}"/>
            </c:ext>
          </c:extLst>
        </c:ser>
        <c:dLbls>
          <c:showLegendKey val="0"/>
          <c:showVal val="0"/>
          <c:showCatName val="0"/>
          <c:showSerName val="0"/>
          <c:showPercent val="0"/>
          <c:showBubbleSize val="0"/>
        </c:dLbls>
        <c:gapWidth val="219"/>
        <c:axId val="531908176"/>
        <c:axId val="531908736"/>
      </c:barChart>
      <c:lineChart>
        <c:grouping val="standard"/>
        <c:varyColors val="0"/>
        <c:ser>
          <c:idx val="1"/>
          <c:order val="1"/>
          <c:tx>
            <c:strRef>
              <c:f>lovos!$C$1</c:f>
              <c:strCache>
                <c:ptCount val="1"/>
                <c:pt idx="0">
                  <c:v>COVID-19 gydymui skirtų lovų skaičius </c:v>
                </c:pt>
              </c:strCache>
            </c:strRef>
          </c:tx>
          <c:spPr>
            <a:ln w="28575" cap="rnd">
              <a:solidFill>
                <a:schemeClr val="accent2"/>
              </a:solidFill>
              <a:round/>
            </a:ln>
            <a:effectLst/>
          </c:spPr>
          <c:marker>
            <c:symbol val="none"/>
          </c:marker>
          <c:dLbls>
            <c:dLbl>
              <c:idx val="273"/>
              <c:layout>
                <c:manualLayout>
                  <c:x val="-2.40384615384615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9F-43BC-9C8E-7BE8FF613496}"/>
                </c:ext>
              </c:extLst>
            </c:dLbl>
            <c:dLbl>
              <c:idx val="341"/>
              <c:layout>
                <c:manualLayout>
                  <c:x val="-2.003205128205128E-3"/>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49F-43BC-9C8E-7BE8FF6134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lovos!$A$2:$A$344</c:f>
              <c:strCache>
                <c:ptCount val="343"/>
                <c:pt idx="0">
                  <c:v>2020-04-10</c:v>
                </c:pt>
                <c:pt idx="1">
                  <c:v>2020-04-11</c:v>
                </c:pt>
                <c:pt idx="2">
                  <c:v>2020-04-12</c:v>
                </c:pt>
                <c:pt idx="3">
                  <c:v>2020-04-13</c:v>
                </c:pt>
                <c:pt idx="4">
                  <c:v>2020-04-14</c:v>
                </c:pt>
                <c:pt idx="5">
                  <c:v>2020-04-15</c:v>
                </c:pt>
                <c:pt idx="6">
                  <c:v>2020-04-16</c:v>
                </c:pt>
                <c:pt idx="7">
                  <c:v>2020-04-17</c:v>
                </c:pt>
                <c:pt idx="8">
                  <c:v>2020-04-18</c:v>
                </c:pt>
                <c:pt idx="9">
                  <c:v>2020-04-19</c:v>
                </c:pt>
                <c:pt idx="10">
                  <c:v>2020-04-20</c:v>
                </c:pt>
                <c:pt idx="11">
                  <c:v>2020-04-21</c:v>
                </c:pt>
                <c:pt idx="12">
                  <c:v>2020-04-22</c:v>
                </c:pt>
                <c:pt idx="13">
                  <c:v>2020-04-23</c:v>
                </c:pt>
                <c:pt idx="14">
                  <c:v>2020-04-24</c:v>
                </c:pt>
                <c:pt idx="15">
                  <c:v>2020-04-25</c:v>
                </c:pt>
                <c:pt idx="16">
                  <c:v>2020-04-26</c:v>
                </c:pt>
                <c:pt idx="17">
                  <c:v>2020-04-27</c:v>
                </c:pt>
                <c:pt idx="18">
                  <c:v>2020-04-28</c:v>
                </c:pt>
                <c:pt idx="19">
                  <c:v>2020-04-29</c:v>
                </c:pt>
                <c:pt idx="20">
                  <c:v>2020-04-30</c:v>
                </c:pt>
                <c:pt idx="21">
                  <c:v>2020-05-01</c:v>
                </c:pt>
                <c:pt idx="22">
                  <c:v>2020-05-02</c:v>
                </c:pt>
                <c:pt idx="23">
                  <c:v>2020-05-03</c:v>
                </c:pt>
                <c:pt idx="24">
                  <c:v>2020-05-04</c:v>
                </c:pt>
                <c:pt idx="25">
                  <c:v>2020-05-05</c:v>
                </c:pt>
                <c:pt idx="26">
                  <c:v>2020-05-06</c:v>
                </c:pt>
                <c:pt idx="27">
                  <c:v>2020-05-07</c:v>
                </c:pt>
                <c:pt idx="28">
                  <c:v>2020-05-08</c:v>
                </c:pt>
                <c:pt idx="29">
                  <c:v>2020-05-09</c:v>
                </c:pt>
                <c:pt idx="30">
                  <c:v>2020-05-10</c:v>
                </c:pt>
                <c:pt idx="31">
                  <c:v>2020-05-11</c:v>
                </c:pt>
                <c:pt idx="32">
                  <c:v>2020-05-12</c:v>
                </c:pt>
                <c:pt idx="33">
                  <c:v>2020-05-13</c:v>
                </c:pt>
                <c:pt idx="34">
                  <c:v>2020-05-14</c:v>
                </c:pt>
                <c:pt idx="35">
                  <c:v>2020-05-15</c:v>
                </c:pt>
                <c:pt idx="36">
                  <c:v>2020-05-16</c:v>
                </c:pt>
                <c:pt idx="37">
                  <c:v>2020-05-17</c:v>
                </c:pt>
                <c:pt idx="38">
                  <c:v>2020-05-18</c:v>
                </c:pt>
                <c:pt idx="39">
                  <c:v>2020-05-19</c:v>
                </c:pt>
                <c:pt idx="40">
                  <c:v>2020-05-20</c:v>
                </c:pt>
                <c:pt idx="41">
                  <c:v>2020-05-21</c:v>
                </c:pt>
                <c:pt idx="42">
                  <c:v>2020-05-22</c:v>
                </c:pt>
                <c:pt idx="43">
                  <c:v>2020-05-23</c:v>
                </c:pt>
                <c:pt idx="44">
                  <c:v>2020-05-24</c:v>
                </c:pt>
                <c:pt idx="45">
                  <c:v>2020-05-25</c:v>
                </c:pt>
                <c:pt idx="46">
                  <c:v>2020-05-26</c:v>
                </c:pt>
                <c:pt idx="47">
                  <c:v>2020-05-27</c:v>
                </c:pt>
                <c:pt idx="48">
                  <c:v>2020-05-28</c:v>
                </c:pt>
                <c:pt idx="49">
                  <c:v>2020-05-29</c:v>
                </c:pt>
                <c:pt idx="50">
                  <c:v>2020-05-30</c:v>
                </c:pt>
                <c:pt idx="51">
                  <c:v>2020-05-31</c:v>
                </c:pt>
                <c:pt idx="52">
                  <c:v>2020-06-01</c:v>
                </c:pt>
                <c:pt idx="53">
                  <c:v>2020-06-02</c:v>
                </c:pt>
                <c:pt idx="54">
                  <c:v>2020-06-03</c:v>
                </c:pt>
                <c:pt idx="55">
                  <c:v>2020-06-04</c:v>
                </c:pt>
                <c:pt idx="56">
                  <c:v>2020-06-05</c:v>
                </c:pt>
                <c:pt idx="57">
                  <c:v>2020-06-06</c:v>
                </c:pt>
                <c:pt idx="58">
                  <c:v>2020-06-07</c:v>
                </c:pt>
                <c:pt idx="59">
                  <c:v>2020-06-08</c:v>
                </c:pt>
                <c:pt idx="60">
                  <c:v>2020-06-09</c:v>
                </c:pt>
                <c:pt idx="61">
                  <c:v>2020-06-10</c:v>
                </c:pt>
                <c:pt idx="62">
                  <c:v>2020-06-11</c:v>
                </c:pt>
                <c:pt idx="63">
                  <c:v>2020-06-12</c:v>
                </c:pt>
                <c:pt idx="64">
                  <c:v>2020-06-13</c:v>
                </c:pt>
                <c:pt idx="65">
                  <c:v>2020-06-14</c:v>
                </c:pt>
                <c:pt idx="66">
                  <c:v>2020-06-15</c:v>
                </c:pt>
                <c:pt idx="67">
                  <c:v>2020-06-16</c:v>
                </c:pt>
                <c:pt idx="68">
                  <c:v>2020-06-17</c:v>
                </c:pt>
                <c:pt idx="69">
                  <c:v>2020-06-18</c:v>
                </c:pt>
                <c:pt idx="70">
                  <c:v>2020-06-19</c:v>
                </c:pt>
                <c:pt idx="71">
                  <c:v>2020-06-20</c:v>
                </c:pt>
                <c:pt idx="72">
                  <c:v>2020-06-21</c:v>
                </c:pt>
                <c:pt idx="73">
                  <c:v>2020-06-22</c:v>
                </c:pt>
                <c:pt idx="74">
                  <c:v>2020-06-23</c:v>
                </c:pt>
                <c:pt idx="75">
                  <c:v>2020-06-24</c:v>
                </c:pt>
                <c:pt idx="76">
                  <c:v>2020-06-25</c:v>
                </c:pt>
                <c:pt idx="77">
                  <c:v>2020-06-26</c:v>
                </c:pt>
                <c:pt idx="78">
                  <c:v>2020-06-27</c:v>
                </c:pt>
                <c:pt idx="79">
                  <c:v>2020-06-28</c:v>
                </c:pt>
                <c:pt idx="80">
                  <c:v>2020-06-29</c:v>
                </c:pt>
                <c:pt idx="81">
                  <c:v>2020-06-30</c:v>
                </c:pt>
                <c:pt idx="82">
                  <c:v>2020-07-01</c:v>
                </c:pt>
                <c:pt idx="83">
                  <c:v>2020-07-02</c:v>
                </c:pt>
                <c:pt idx="84">
                  <c:v>2020-07-03</c:v>
                </c:pt>
                <c:pt idx="85">
                  <c:v>2020-07-04</c:v>
                </c:pt>
                <c:pt idx="86">
                  <c:v>2020-07-05</c:v>
                </c:pt>
                <c:pt idx="87">
                  <c:v>2020-07-06</c:v>
                </c:pt>
                <c:pt idx="88">
                  <c:v>2020-07-07</c:v>
                </c:pt>
                <c:pt idx="89">
                  <c:v>2020-07-08</c:v>
                </c:pt>
                <c:pt idx="90">
                  <c:v>2020-07-09</c:v>
                </c:pt>
                <c:pt idx="91">
                  <c:v>2020-07-10</c:v>
                </c:pt>
                <c:pt idx="92">
                  <c:v>2020-07-11</c:v>
                </c:pt>
                <c:pt idx="93">
                  <c:v>2020-07-12</c:v>
                </c:pt>
                <c:pt idx="94">
                  <c:v>2020-07-13</c:v>
                </c:pt>
                <c:pt idx="95">
                  <c:v>2020-07-14</c:v>
                </c:pt>
                <c:pt idx="96">
                  <c:v>2020-07-15</c:v>
                </c:pt>
                <c:pt idx="97">
                  <c:v>2020-07-16</c:v>
                </c:pt>
                <c:pt idx="98">
                  <c:v>2020-07-17</c:v>
                </c:pt>
                <c:pt idx="99">
                  <c:v>2020-07-18</c:v>
                </c:pt>
                <c:pt idx="100">
                  <c:v>2020-07-19</c:v>
                </c:pt>
                <c:pt idx="101">
                  <c:v>2020-07-20</c:v>
                </c:pt>
                <c:pt idx="102">
                  <c:v>2020-07-21</c:v>
                </c:pt>
                <c:pt idx="103">
                  <c:v>2020-07-22</c:v>
                </c:pt>
                <c:pt idx="104">
                  <c:v>2020-07-23</c:v>
                </c:pt>
                <c:pt idx="105">
                  <c:v>2020-07-24</c:v>
                </c:pt>
                <c:pt idx="106">
                  <c:v>2020-07-25</c:v>
                </c:pt>
                <c:pt idx="107">
                  <c:v>2020-07-26</c:v>
                </c:pt>
                <c:pt idx="108">
                  <c:v>2020-07-27</c:v>
                </c:pt>
                <c:pt idx="109">
                  <c:v>2020-07-28</c:v>
                </c:pt>
                <c:pt idx="110">
                  <c:v>2020-07-29</c:v>
                </c:pt>
                <c:pt idx="111">
                  <c:v>2020-07-30</c:v>
                </c:pt>
                <c:pt idx="112">
                  <c:v>2020-07-31</c:v>
                </c:pt>
                <c:pt idx="113">
                  <c:v>2020-08-01</c:v>
                </c:pt>
                <c:pt idx="114">
                  <c:v>2020-08-02</c:v>
                </c:pt>
                <c:pt idx="115">
                  <c:v>2020-08-03</c:v>
                </c:pt>
                <c:pt idx="116">
                  <c:v>2020-08-04</c:v>
                </c:pt>
                <c:pt idx="117">
                  <c:v>2020-08-05</c:v>
                </c:pt>
                <c:pt idx="118">
                  <c:v>2020-08-06</c:v>
                </c:pt>
                <c:pt idx="119">
                  <c:v>2020-08-07</c:v>
                </c:pt>
                <c:pt idx="120">
                  <c:v>2020-08-08</c:v>
                </c:pt>
                <c:pt idx="121">
                  <c:v>2020-08-09</c:v>
                </c:pt>
                <c:pt idx="122">
                  <c:v>2020-08-10</c:v>
                </c:pt>
                <c:pt idx="123">
                  <c:v>2020-08-11</c:v>
                </c:pt>
                <c:pt idx="124">
                  <c:v>2020-08-12</c:v>
                </c:pt>
                <c:pt idx="125">
                  <c:v>2020-08-13</c:v>
                </c:pt>
                <c:pt idx="126">
                  <c:v>2020-08-14</c:v>
                </c:pt>
                <c:pt idx="127">
                  <c:v>2020-08-15</c:v>
                </c:pt>
                <c:pt idx="128">
                  <c:v>2020-08-16</c:v>
                </c:pt>
                <c:pt idx="129">
                  <c:v>2020-08-17</c:v>
                </c:pt>
                <c:pt idx="130">
                  <c:v>2020-08-18</c:v>
                </c:pt>
                <c:pt idx="131">
                  <c:v>2020-08-19</c:v>
                </c:pt>
                <c:pt idx="132">
                  <c:v>2020-08-20</c:v>
                </c:pt>
                <c:pt idx="133">
                  <c:v>2020-08-21</c:v>
                </c:pt>
                <c:pt idx="134">
                  <c:v>2020-08-22</c:v>
                </c:pt>
                <c:pt idx="135">
                  <c:v>2020-08-23</c:v>
                </c:pt>
                <c:pt idx="136">
                  <c:v>2020-08-24</c:v>
                </c:pt>
                <c:pt idx="137">
                  <c:v>2020-08-25</c:v>
                </c:pt>
                <c:pt idx="138">
                  <c:v>2020-08-26</c:v>
                </c:pt>
                <c:pt idx="139">
                  <c:v>2020-08-27</c:v>
                </c:pt>
                <c:pt idx="140">
                  <c:v>2020-08-28</c:v>
                </c:pt>
                <c:pt idx="141">
                  <c:v>2020-08-29</c:v>
                </c:pt>
                <c:pt idx="142">
                  <c:v>2020-08-30</c:v>
                </c:pt>
                <c:pt idx="143">
                  <c:v>2020-08-31</c:v>
                </c:pt>
                <c:pt idx="144">
                  <c:v>2020-09-01</c:v>
                </c:pt>
                <c:pt idx="145">
                  <c:v>2020-09-02</c:v>
                </c:pt>
                <c:pt idx="146">
                  <c:v>2020-09-03</c:v>
                </c:pt>
                <c:pt idx="147">
                  <c:v>2020-09-04</c:v>
                </c:pt>
                <c:pt idx="148">
                  <c:v>2020-09-05</c:v>
                </c:pt>
                <c:pt idx="149">
                  <c:v>2020-09-06</c:v>
                </c:pt>
                <c:pt idx="150">
                  <c:v>2020-09-07</c:v>
                </c:pt>
                <c:pt idx="151">
                  <c:v>2020-09-08</c:v>
                </c:pt>
                <c:pt idx="152">
                  <c:v>2020-09-09</c:v>
                </c:pt>
                <c:pt idx="153">
                  <c:v>2020-09-10</c:v>
                </c:pt>
                <c:pt idx="154">
                  <c:v>2020-09-11</c:v>
                </c:pt>
                <c:pt idx="155">
                  <c:v>2020-09-12</c:v>
                </c:pt>
                <c:pt idx="156">
                  <c:v>2020-09-13</c:v>
                </c:pt>
                <c:pt idx="157">
                  <c:v>2020-09-14</c:v>
                </c:pt>
                <c:pt idx="158">
                  <c:v>2020-09-15</c:v>
                </c:pt>
                <c:pt idx="159">
                  <c:v>2020-09-16</c:v>
                </c:pt>
                <c:pt idx="160">
                  <c:v>2020-09-17</c:v>
                </c:pt>
                <c:pt idx="161">
                  <c:v>2020-09-18</c:v>
                </c:pt>
                <c:pt idx="162">
                  <c:v>2020-09-19</c:v>
                </c:pt>
                <c:pt idx="163">
                  <c:v>2020-09-20</c:v>
                </c:pt>
                <c:pt idx="164">
                  <c:v>2020-09-21</c:v>
                </c:pt>
                <c:pt idx="165">
                  <c:v>2020-09-22</c:v>
                </c:pt>
                <c:pt idx="166">
                  <c:v>2020-09-23</c:v>
                </c:pt>
                <c:pt idx="167">
                  <c:v>2020-09-24</c:v>
                </c:pt>
                <c:pt idx="168">
                  <c:v>2020-09-25</c:v>
                </c:pt>
                <c:pt idx="169">
                  <c:v>2020-09-26</c:v>
                </c:pt>
                <c:pt idx="170">
                  <c:v>2020-09-27</c:v>
                </c:pt>
                <c:pt idx="171">
                  <c:v>2020-09-28</c:v>
                </c:pt>
                <c:pt idx="172">
                  <c:v>2020-09-29</c:v>
                </c:pt>
                <c:pt idx="173">
                  <c:v>2020-09-30</c:v>
                </c:pt>
                <c:pt idx="174">
                  <c:v>2020-10-01</c:v>
                </c:pt>
                <c:pt idx="175">
                  <c:v>2020-10-02</c:v>
                </c:pt>
                <c:pt idx="176">
                  <c:v>2020-10-03</c:v>
                </c:pt>
                <c:pt idx="177">
                  <c:v>2020-10-04</c:v>
                </c:pt>
                <c:pt idx="178">
                  <c:v>2020-10-05</c:v>
                </c:pt>
                <c:pt idx="179">
                  <c:v>2020-10-06</c:v>
                </c:pt>
                <c:pt idx="180">
                  <c:v>2020-10-07</c:v>
                </c:pt>
                <c:pt idx="181">
                  <c:v>2020-10-08</c:v>
                </c:pt>
                <c:pt idx="182">
                  <c:v>2020-10-09</c:v>
                </c:pt>
                <c:pt idx="183">
                  <c:v>2020-10-10</c:v>
                </c:pt>
                <c:pt idx="184">
                  <c:v>2020-10-11</c:v>
                </c:pt>
                <c:pt idx="185">
                  <c:v>2020-10-12</c:v>
                </c:pt>
                <c:pt idx="186">
                  <c:v>2020-10-13</c:v>
                </c:pt>
                <c:pt idx="187">
                  <c:v>2020-10-14</c:v>
                </c:pt>
                <c:pt idx="188">
                  <c:v>2020-10-15</c:v>
                </c:pt>
                <c:pt idx="189">
                  <c:v>2020-10-16</c:v>
                </c:pt>
                <c:pt idx="190">
                  <c:v>2020-10-17</c:v>
                </c:pt>
                <c:pt idx="191">
                  <c:v>2020-10-18</c:v>
                </c:pt>
                <c:pt idx="192">
                  <c:v>2020-10-19</c:v>
                </c:pt>
                <c:pt idx="193">
                  <c:v>2020-10-20</c:v>
                </c:pt>
                <c:pt idx="194">
                  <c:v>2020-10-21</c:v>
                </c:pt>
                <c:pt idx="195">
                  <c:v>2020-10-22</c:v>
                </c:pt>
                <c:pt idx="196">
                  <c:v>2020-10-23</c:v>
                </c:pt>
                <c:pt idx="197">
                  <c:v>2020-10-24</c:v>
                </c:pt>
                <c:pt idx="198">
                  <c:v>2020-10-25</c:v>
                </c:pt>
                <c:pt idx="199">
                  <c:v>2020-10-26</c:v>
                </c:pt>
                <c:pt idx="200">
                  <c:v>2020-10-27</c:v>
                </c:pt>
                <c:pt idx="201">
                  <c:v>2020-10-28</c:v>
                </c:pt>
                <c:pt idx="202">
                  <c:v>2020-10-29</c:v>
                </c:pt>
                <c:pt idx="203">
                  <c:v>2020-10-30</c:v>
                </c:pt>
                <c:pt idx="204">
                  <c:v>2020-10-31</c:v>
                </c:pt>
                <c:pt idx="205">
                  <c:v>2020-11-01</c:v>
                </c:pt>
                <c:pt idx="206">
                  <c:v>2020-11-02</c:v>
                </c:pt>
                <c:pt idx="207">
                  <c:v>2020-11-03</c:v>
                </c:pt>
                <c:pt idx="208">
                  <c:v>2020-11-04</c:v>
                </c:pt>
                <c:pt idx="209">
                  <c:v>2020-11-05</c:v>
                </c:pt>
                <c:pt idx="210">
                  <c:v>2020-11-06</c:v>
                </c:pt>
                <c:pt idx="211">
                  <c:v>2020-11-07</c:v>
                </c:pt>
                <c:pt idx="212">
                  <c:v>2020-11-08</c:v>
                </c:pt>
                <c:pt idx="213">
                  <c:v>2020-11-09</c:v>
                </c:pt>
                <c:pt idx="214">
                  <c:v>2020-11-10</c:v>
                </c:pt>
                <c:pt idx="215">
                  <c:v>2020-11-11</c:v>
                </c:pt>
                <c:pt idx="216">
                  <c:v>2020-11-12</c:v>
                </c:pt>
                <c:pt idx="217">
                  <c:v>2020-11-13</c:v>
                </c:pt>
                <c:pt idx="218">
                  <c:v>2020-11-14</c:v>
                </c:pt>
                <c:pt idx="219">
                  <c:v>2020-11-15</c:v>
                </c:pt>
                <c:pt idx="220">
                  <c:v>2020-11-16</c:v>
                </c:pt>
                <c:pt idx="221">
                  <c:v>2020-11-17</c:v>
                </c:pt>
                <c:pt idx="222">
                  <c:v>2020-11-18</c:v>
                </c:pt>
                <c:pt idx="223">
                  <c:v>2020-11-19</c:v>
                </c:pt>
                <c:pt idx="224">
                  <c:v>2020-11-20</c:v>
                </c:pt>
                <c:pt idx="225">
                  <c:v>2020-11-21</c:v>
                </c:pt>
                <c:pt idx="226">
                  <c:v>2020-11-22</c:v>
                </c:pt>
                <c:pt idx="227">
                  <c:v>2020-11-23</c:v>
                </c:pt>
                <c:pt idx="228">
                  <c:v>2020-11-24</c:v>
                </c:pt>
                <c:pt idx="229">
                  <c:v>2020-11-25</c:v>
                </c:pt>
                <c:pt idx="230">
                  <c:v>2020-11-26</c:v>
                </c:pt>
                <c:pt idx="231">
                  <c:v>2020-11-27</c:v>
                </c:pt>
                <c:pt idx="232">
                  <c:v>2020-11-28</c:v>
                </c:pt>
                <c:pt idx="233">
                  <c:v>2020-11-29</c:v>
                </c:pt>
                <c:pt idx="234">
                  <c:v>2020-11-30</c:v>
                </c:pt>
                <c:pt idx="235">
                  <c:v>2020-12-01</c:v>
                </c:pt>
                <c:pt idx="236">
                  <c:v>2020-12-02</c:v>
                </c:pt>
                <c:pt idx="237">
                  <c:v>2020-12-03</c:v>
                </c:pt>
                <c:pt idx="238">
                  <c:v>2020-12-04</c:v>
                </c:pt>
                <c:pt idx="239">
                  <c:v>2020-12-05</c:v>
                </c:pt>
                <c:pt idx="240">
                  <c:v>2020-12-06</c:v>
                </c:pt>
                <c:pt idx="241">
                  <c:v>2020-12-07</c:v>
                </c:pt>
                <c:pt idx="242">
                  <c:v>2020-12-08</c:v>
                </c:pt>
                <c:pt idx="243">
                  <c:v>2020-12-09</c:v>
                </c:pt>
                <c:pt idx="244">
                  <c:v>2020-12-10</c:v>
                </c:pt>
                <c:pt idx="245">
                  <c:v>2020-12-11</c:v>
                </c:pt>
                <c:pt idx="246">
                  <c:v>2020-12-12</c:v>
                </c:pt>
                <c:pt idx="247">
                  <c:v>2020-12-13</c:v>
                </c:pt>
                <c:pt idx="248">
                  <c:v>2020-12-14</c:v>
                </c:pt>
                <c:pt idx="249">
                  <c:v>2020-12-15</c:v>
                </c:pt>
                <c:pt idx="250">
                  <c:v>2020-12-16</c:v>
                </c:pt>
                <c:pt idx="251">
                  <c:v>2020-12-17</c:v>
                </c:pt>
                <c:pt idx="252">
                  <c:v>2020-12-18</c:v>
                </c:pt>
                <c:pt idx="253">
                  <c:v>2020-12-19</c:v>
                </c:pt>
                <c:pt idx="254">
                  <c:v>2020-12-20</c:v>
                </c:pt>
                <c:pt idx="255">
                  <c:v>2020-12-21</c:v>
                </c:pt>
                <c:pt idx="256">
                  <c:v>2020-12-22</c:v>
                </c:pt>
                <c:pt idx="257">
                  <c:v>2020-12-23</c:v>
                </c:pt>
                <c:pt idx="258">
                  <c:v>2020-12-24</c:v>
                </c:pt>
                <c:pt idx="259">
                  <c:v>2020-12-25</c:v>
                </c:pt>
                <c:pt idx="260">
                  <c:v>2020-12-26</c:v>
                </c:pt>
                <c:pt idx="261">
                  <c:v>2020-12-27</c:v>
                </c:pt>
                <c:pt idx="262">
                  <c:v>2020-12-28</c:v>
                </c:pt>
                <c:pt idx="263">
                  <c:v>2020-12-29</c:v>
                </c:pt>
                <c:pt idx="264">
                  <c:v>2020-12-30</c:v>
                </c:pt>
                <c:pt idx="265">
                  <c:v>2020-12-31</c:v>
                </c:pt>
                <c:pt idx="266">
                  <c:v>2021-01-01</c:v>
                </c:pt>
                <c:pt idx="267">
                  <c:v>2021-01-02</c:v>
                </c:pt>
                <c:pt idx="268">
                  <c:v>2021-01-03</c:v>
                </c:pt>
                <c:pt idx="269">
                  <c:v>2021-01-04</c:v>
                </c:pt>
                <c:pt idx="270">
                  <c:v>2021-01-05</c:v>
                </c:pt>
                <c:pt idx="271">
                  <c:v>2021-01-06</c:v>
                </c:pt>
                <c:pt idx="272">
                  <c:v>2021-01-07</c:v>
                </c:pt>
                <c:pt idx="273">
                  <c:v>2021-01-08</c:v>
                </c:pt>
                <c:pt idx="274">
                  <c:v>2021-01-09</c:v>
                </c:pt>
                <c:pt idx="275">
                  <c:v>2021-01-10</c:v>
                </c:pt>
                <c:pt idx="276">
                  <c:v>2021-01-11</c:v>
                </c:pt>
                <c:pt idx="277">
                  <c:v>2021-01-12</c:v>
                </c:pt>
                <c:pt idx="278">
                  <c:v>2021-01-13</c:v>
                </c:pt>
                <c:pt idx="279">
                  <c:v>2021-01-14</c:v>
                </c:pt>
                <c:pt idx="280">
                  <c:v>2021-01-15</c:v>
                </c:pt>
                <c:pt idx="281">
                  <c:v>2021-01-16</c:v>
                </c:pt>
                <c:pt idx="282">
                  <c:v>2021-01-17</c:v>
                </c:pt>
                <c:pt idx="283">
                  <c:v>2021-01-18</c:v>
                </c:pt>
                <c:pt idx="284">
                  <c:v>2021-01-19</c:v>
                </c:pt>
                <c:pt idx="285">
                  <c:v>2021-01-20</c:v>
                </c:pt>
                <c:pt idx="286">
                  <c:v>2021-01-21</c:v>
                </c:pt>
                <c:pt idx="287">
                  <c:v>2021-01-22</c:v>
                </c:pt>
                <c:pt idx="288">
                  <c:v>2021-01-23</c:v>
                </c:pt>
                <c:pt idx="289">
                  <c:v>2021-01-24</c:v>
                </c:pt>
                <c:pt idx="290">
                  <c:v>2021-01-25</c:v>
                </c:pt>
                <c:pt idx="291">
                  <c:v>2021-01-26</c:v>
                </c:pt>
                <c:pt idx="292">
                  <c:v>2021-01-27</c:v>
                </c:pt>
                <c:pt idx="293">
                  <c:v>2021-01-28</c:v>
                </c:pt>
                <c:pt idx="294">
                  <c:v>2021-01-29</c:v>
                </c:pt>
                <c:pt idx="295">
                  <c:v>2021-01-30</c:v>
                </c:pt>
                <c:pt idx="296">
                  <c:v>2021-01-31</c:v>
                </c:pt>
                <c:pt idx="297">
                  <c:v>2021-02-01</c:v>
                </c:pt>
                <c:pt idx="298">
                  <c:v>2021-02-02</c:v>
                </c:pt>
                <c:pt idx="299">
                  <c:v>2021-02-03</c:v>
                </c:pt>
                <c:pt idx="300">
                  <c:v>2021-02-04</c:v>
                </c:pt>
                <c:pt idx="301">
                  <c:v>2021-02-05</c:v>
                </c:pt>
                <c:pt idx="302">
                  <c:v>2021-02-06</c:v>
                </c:pt>
                <c:pt idx="303">
                  <c:v>2021-02-07</c:v>
                </c:pt>
                <c:pt idx="304">
                  <c:v>2021-02-08</c:v>
                </c:pt>
                <c:pt idx="305">
                  <c:v>2021-02-09</c:v>
                </c:pt>
                <c:pt idx="306">
                  <c:v>2021-02-10</c:v>
                </c:pt>
                <c:pt idx="307">
                  <c:v>2021-02-11</c:v>
                </c:pt>
                <c:pt idx="308">
                  <c:v>2021-02-12</c:v>
                </c:pt>
                <c:pt idx="309">
                  <c:v>2021-02-13</c:v>
                </c:pt>
                <c:pt idx="310">
                  <c:v>2021-02-14</c:v>
                </c:pt>
                <c:pt idx="311">
                  <c:v>2021-02-15</c:v>
                </c:pt>
                <c:pt idx="312">
                  <c:v>2021-02-16</c:v>
                </c:pt>
                <c:pt idx="313">
                  <c:v>2021-02-17</c:v>
                </c:pt>
                <c:pt idx="314">
                  <c:v>2021-02-18</c:v>
                </c:pt>
                <c:pt idx="315">
                  <c:v>2021-02-19</c:v>
                </c:pt>
                <c:pt idx="316">
                  <c:v>2021-02-20</c:v>
                </c:pt>
                <c:pt idx="317">
                  <c:v>2021-02-21</c:v>
                </c:pt>
                <c:pt idx="318">
                  <c:v>2021-02-22</c:v>
                </c:pt>
                <c:pt idx="319">
                  <c:v>2021-02-23</c:v>
                </c:pt>
                <c:pt idx="320">
                  <c:v>2021-02-24</c:v>
                </c:pt>
                <c:pt idx="321">
                  <c:v>2021-02-25</c:v>
                </c:pt>
                <c:pt idx="322">
                  <c:v>2021-02-26</c:v>
                </c:pt>
                <c:pt idx="323">
                  <c:v>2021-02-27</c:v>
                </c:pt>
                <c:pt idx="324">
                  <c:v>2021-02-28</c:v>
                </c:pt>
                <c:pt idx="325">
                  <c:v>2021-03-01</c:v>
                </c:pt>
                <c:pt idx="326">
                  <c:v>2021-03-02</c:v>
                </c:pt>
                <c:pt idx="327">
                  <c:v>2021-03-03</c:v>
                </c:pt>
                <c:pt idx="328">
                  <c:v>2021-03-04</c:v>
                </c:pt>
                <c:pt idx="329">
                  <c:v>2021-03-05</c:v>
                </c:pt>
                <c:pt idx="330">
                  <c:v>2021-03-06</c:v>
                </c:pt>
                <c:pt idx="331">
                  <c:v>2021-03-07</c:v>
                </c:pt>
                <c:pt idx="332">
                  <c:v>2021-03-08</c:v>
                </c:pt>
                <c:pt idx="333">
                  <c:v>2021-03-09</c:v>
                </c:pt>
                <c:pt idx="334">
                  <c:v>2021-03-10</c:v>
                </c:pt>
                <c:pt idx="335">
                  <c:v>2021-03-11</c:v>
                </c:pt>
                <c:pt idx="336">
                  <c:v>2021-03-12</c:v>
                </c:pt>
                <c:pt idx="337">
                  <c:v>2021-03-13</c:v>
                </c:pt>
                <c:pt idx="338">
                  <c:v>2021-03-14</c:v>
                </c:pt>
                <c:pt idx="339">
                  <c:v>2021-03-15</c:v>
                </c:pt>
                <c:pt idx="340">
                  <c:v>2021-03-16</c:v>
                </c:pt>
                <c:pt idx="341">
                  <c:v>2021-03-17</c:v>
                </c:pt>
                <c:pt idx="342">
                  <c:v>2021-03-18</c:v>
                </c:pt>
              </c:strCache>
            </c:strRef>
          </c:cat>
          <c:val>
            <c:numRef>
              <c:f>lovos!$C$2:$C$344</c:f>
              <c:numCache>
                <c:formatCode>General</c:formatCode>
                <c:ptCount val="343"/>
                <c:pt idx="229">
                  <c:v>1780</c:v>
                </c:pt>
                <c:pt idx="230">
                  <c:v>2166</c:v>
                </c:pt>
                <c:pt idx="231">
                  <c:v>2275</c:v>
                </c:pt>
                <c:pt idx="232">
                  <c:v>2276</c:v>
                </c:pt>
                <c:pt idx="233">
                  <c:v>2361</c:v>
                </c:pt>
                <c:pt idx="234">
                  <c:v>2361</c:v>
                </c:pt>
                <c:pt idx="235">
                  <c:v>2365</c:v>
                </c:pt>
                <c:pt idx="236">
                  <c:v>2347</c:v>
                </c:pt>
                <c:pt idx="237">
                  <c:v>2392</c:v>
                </c:pt>
                <c:pt idx="238">
                  <c:v>2456</c:v>
                </c:pt>
                <c:pt idx="239">
                  <c:v>2473</c:v>
                </c:pt>
                <c:pt idx="240">
                  <c:v>2490</c:v>
                </c:pt>
                <c:pt idx="241">
                  <c:v>2501</c:v>
                </c:pt>
                <c:pt idx="242">
                  <c:v>2545</c:v>
                </c:pt>
                <c:pt idx="243">
                  <c:v>2563</c:v>
                </c:pt>
                <c:pt idx="244">
                  <c:v>2551</c:v>
                </c:pt>
                <c:pt idx="245">
                  <c:v>2600</c:v>
                </c:pt>
                <c:pt idx="246">
                  <c:v>2627</c:v>
                </c:pt>
                <c:pt idx="247">
                  <c:v>2654</c:v>
                </c:pt>
                <c:pt idx="248">
                  <c:v>2678</c:v>
                </c:pt>
                <c:pt idx="249">
                  <c:v>2770</c:v>
                </c:pt>
                <c:pt idx="250">
                  <c:v>2769</c:v>
                </c:pt>
                <c:pt idx="251">
                  <c:v>2766</c:v>
                </c:pt>
                <c:pt idx="252">
                  <c:v>2826</c:v>
                </c:pt>
                <c:pt idx="253">
                  <c:v>2816</c:v>
                </c:pt>
                <c:pt idx="254">
                  <c:v>2862</c:v>
                </c:pt>
                <c:pt idx="255">
                  <c:v>2858</c:v>
                </c:pt>
                <c:pt idx="256">
                  <c:v>2883</c:v>
                </c:pt>
                <c:pt idx="257">
                  <c:v>2818</c:v>
                </c:pt>
                <c:pt idx="258">
                  <c:v>2847</c:v>
                </c:pt>
                <c:pt idx="259">
                  <c:v>2846</c:v>
                </c:pt>
                <c:pt idx="260">
                  <c:v>2861</c:v>
                </c:pt>
                <c:pt idx="261">
                  <c:v>2862</c:v>
                </c:pt>
                <c:pt idx="262">
                  <c:v>2859</c:v>
                </c:pt>
                <c:pt idx="263">
                  <c:v>2907</c:v>
                </c:pt>
                <c:pt idx="264">
                  <c:v>2893</c:v>
                </c:pt>
                <c:pt idx="265">
                  <c:v>2904</c:v>
                </c:pt>
                <c:pt idx="266">
                  <c:v>2886</c:v>
                </c:pt>
                <c:pt idx="267">
                  <c:v>2900</c:v>
                </c:pt>
                <c:pt idx="268">
                  <c:v>2913</c:v>
                </c:pt>
                <c:pt idx="269">
                  <c:v>2941</c:v>
                </c:pt>
                <c:pt idx="270">
                  <c:v>2953</c:v>
                </c:pt>
                <c:pt idx="271">
                  <c:v>2944</c:v>
                </c:pt>
                <c:pt idx="272">
                  <c:v>2950</c:v>
                </c:pt>
                <c:pt idx="273">
                  <c:v>2999</c:v>
                </c:pt>
                <c:pt idx="274">
                  <c:v>2995</c:v>
                </c:pt>
                <c:pt idx="275">
                  <c:v>2982</c:v>
                </c:pt>
                <c:pt idx="276">
                  <c:v>2980</c:v>
                </c:pt>
                <c:pt idx="277">
                  <c:v>2969</c:v>
                </c:pt>
                <c:pt idx="278">
                  <c:v>2979</c:v>
                </c:pt>
                <c:pt idx="279">
                  <c:v>2953</c:v>
                </c:pt>
                <c:pt idx="280">
                  <c:v>2975</c:v>
                </c:pt>
                <c:pt idx="281">
                  <c:v>2980</c:v>
                </c:pt>
                <c:pt idx="282">
                  <c:v>2981</c:v>
                </c:pt>
                <c:pt idx="283">
                  <c:v>2798</c:v>
                </c:pt>
                <c:pt idx="284">
                  <c:v>2705</c:v>
                </c:pt>
                <c:pt idx="285">
                  <c:v>2709</c:v>
                </c:pt>
                <c:pt idx="286">
                  <c:v>2709</c:v>
                </c:pt>
                <c:pt idx="287">
                  <c:v>2649</c:v>
                </c:pt>
                <c:pt idx="288">
                  <c:v>2620</c:v>
                </c:pt>
                <c:pt idx="289">
                  <c:v>2621</c:v>
                </c:pt>
                <c:pt idx="290">
                  <c:v>2506</c:v>
                </c:pt>
                <c:pt idx="291">
                  <c:v>2446</c:v>
                </c:pt>
                <c:pt idx="292">
                  <c:v>2449</c:v>
                </c:pt>
                <c:pt idx="293">
                  <c:v>2444</c:v>
                </c:pt>
                <c:pt idx="294">
                  <c:v>2440</c:v>
                </c:pt>
                <c:pt idx="295">
                  <c:v>2438</c:v>
                </c:pt>
                <c:pt idx="296">
                  <c:v>2438</c:v>
                </c:pt>
                <c:pt idx="297">
                  <c:v>2390</c:v>
                </c:pt>
                <c:pt idx="298">
                  <c:v>2357</c:v>
                </c:pt>
                <c:pt idx="299">
                  <c:v>2313</c:v>
                </c:pt>
                <c:pt idx="300">
                  <c:v>2261</c:v>
                </c:pt>
                <c:pt idx="301">
                  <c:v>2272</c:v>
                </c:pt>
                <c:pt idx="302">
                  <c:v>2222</c:v>
                </c:pt>
                <c:pt idx="303">
                  <c:v>2212</c:v>
                </c:pt>
                <c:pt idx="304">
                  <c:v>2108</c:v>
                </c:pt>
                <c:pt idx="305">
                  <c:v>2090</c:v>
                </c:pt>
                <c:pt idx="306">
                  <c:v>2071</c:v>
                </c:pt>
                <c:pt idx="307">
                  <c:v>2071</c:v>
                </c:pt>
                <c:pt idx="308">
                  <c:v>2071</c:v>
                </c:pt>
                <c:pt idx="309">
                  <c:v>2071</c:v>
                </c:pt>
                <c:pt idx="310">
                  <c:v>2071</c:v>
                </c:pt>
                <c:pt idx="311">
                  <c:v>2050</c:v>
                </c:pt>
                <c:pt idx="312">
                  <c:v>1935</c:v>
                </c:pt>
                <c:pt idx="313">
                  <c:v>1938</c:v>
                </c:pt>
                <c:pt idx="314">
                  <c:v>1870</c:v>
                </c:pt>
                <c:pt idx="315">
                  <c:v>1870</c:v>
                </c:pt>
                <c:pt idx="316">
                  <c:v>1860</c:v>
                </c:pt>
                <c:pt idx="317">
                  <c:v>1860</c:v>
                </c:pt>
                <c:pt idx="318">
                  <c:v>1801</c:v>
                </c:pt>
                <c:pt idx="319">
                  <c:v>1786</c:v>
                </c:pt>
                <c:pt idx="320">
                  <c:v>1746</c:v>
                </c:pt>
                <c:pt idx="321">
                  <c:v>1679</c:v>
                </c:pt>
                <c:pt idx="322">
                  <c:v>1679</c:v>
                </c:pt>
                <c:pt idx="323">
                  <c:v>1664</c:v>
                </c:pt>
                <c:pt idx="324">
                  <c:v>1664</c:v>
                </c:pt>
                <c:pt idx="325">
                  <c:v>1626</c:v>
                </c:pt>
                <c:pt idx="326">
                  <c:v>1605</c:v>
                </c:pt>
                <c:pt idx="327">
                  <c:v>1612</c:v>
                </c:pt>
                <c:pt idx="328">
                  <c:v>1573</c:v>
                </c:pt>
                <c:pt idx="329">
                  <c:v>1572</c:v>
                </c:pt>
                <c:pt idx="330">
                  <c:v>1572</c:v>
                </c:pt>
                <c:pt idx="331">
                  <c:v>1547</c:v>
                </c:pt>
                <c:pt idx="332">
                  <c:v>1532</c:v>
                </c:pt>
                <c:pt idx="333">
                  <c:v>1532</c:v>
                </c:pt>
                <c:pt idx="334">
                  <c:v>1524</c:v>
                </c:pt>
                <c:pt idx="335">
                  <c:v>1524</c:v>
                </c:pt>
                <c:pt idx="336">
                  <c:v>1532</c:v>
                </c:pt>
                <c:pt idx="337">
                  <c:v>1550</c:v>
                </c:pt>
                <c:pt idx="338">
                  <c:v>1550</c:v>
                </c:pt>
                <c:pt idx="339">
                  <c:v>1560</c:v>
                </c:pt>
                <c:pt idx="340">
                  <c:v>1540</c:v>
                </c:pt>
                <c:pt idx="341">
                  <c:v>1536</c:v>
                </c:pt>
                <c:pt idx="342">
                  <c:v>1536</c:v>
                </c:pt>
              </c:numCache>
            </c:numRef>
          </c:val>
          <c:smooth val="0"/>
          <c:extLst>
            <c:ext xmlns:c16="http://schemas.microsoft.com/office/drawing/2014/chart" uri="{C3380CC4-5D6E-409C-BE32-E72D297353CC}">
              <c16:uniqueId val="{00000009-C49F-43BC-9C8E-7BE8FF613496}"/>
            </c:ext>
          </c:extLst>
        </c:ser>
        <c:dLbls>
          <c:showLegendKey val="0"/>
          <c:showVal val="0"/>
          <c:showCatName val="0"/>
          <c:showSerName val="0"/>
          <c:showPercent val="0"/>
          <c:showBubbleSize val="0"/>
        </c:dLbls>
        <c:marker val="1"/>
        <c:smooth val="0"/>
        <c:axId val="531908176"/>
        <c:axId val="531908736"/>
      </c:lineChart>
      <c:catAx>
        <c:axId val="53190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908736"/>
        <c:crosses val="autoZero"/>
        <c:auto val="1"/>
        <c:lblAlgn val="ctr"/>
        <c:lblOffset val="100"/>
        <c:noMultiLvlLbl val="0"/>
      </c:catAx>
      <c:valAx>
        <c:axId val="53190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908176"/>
        <c:crosses val="autoZero"/>
        <c:crossBetween val="between"/>
      </c:valAx>
      <c:spPr>
        <a:noFill/>
        <a:ln w="25400">
          <a:noFill/>
        </a:ln>
        <a:effectLst/>
      </c:spPr>
    </c:plotArea>
    <c:legend>
      <c:legendPos val="r"/>
      <c:layout>
        <c:manualLayout>
          <c:xMode val="edge"/>
          <c:yMode val="edge"/>
          <c:x val="0.10718062285483546"/>
          <c:y val="0.84337890055409737"/>
          <c:w val="0.75059181304260048"/>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mirtys!$B$1</c:f>
              <c:strCache>
                <c:ptCount val="1"/>
                <c:pt idx="0">
                  <c:v>Mirtys be COVID-19</c:v>
                </c:pt>
              </c:strCache>
            </c:strRef>
          </c:tx>
          <c:spPr>
            <a:solidFill>
              <a:schemeClr val="accent1"/>
            </a:solidFill>
            <a:ln>
              <a:solidFill>
                <a:schemeClr val="tx1"/>
              </a:solidFill>
            </a:ln>
            <a:effectLst/>
          </c:spPr>
          <c:invertIfNegative val="0"/>
          <c:cat>
            <c:strRef>
              <c:f>mirtys!$A$2:$A$443</c:f>
              <c:strCache>
                <c:ptCount val="442"/>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pt idx="91">
                  <c:v>2020-04-01</c:v>
                </c:pt>
                <c:pt idx="92">
                  <c:v>2020-04-02</c:v>
                </c:pt>
                <c:pt idx="93">
                  <c:v>2020-04-03</c:v>
                </c:pt>
                <c:pt idx="94">
                  <c:v>2020-04-04</c:v>
                </c:pt>
                <c:pt idx="95">
                  <c:v>2020-04-05</c:v>
                </c:pt>
                <c:pt idx="96">
                  <c:v>2020-04-06</c:v>
                </c:pt>
                <c:pt idx="97">
                  <c:v>2020-04-07</c:v>
                </c:pt>
                <c:pt idx="98">
                  <c:v>2020-04-08</c:v>
                </c:pt>
                <c:pt idx="99">
                  <c:v>2020-04-09</c:v>
                </c:pt>
                <c:pt idx="100">
                  <c:v>2020-04-10</c:v>
                </c:pt>
                <c:pt idx="101">
                  <c:v>2020-04-11</c:v>
                </c:pt>
                <c:pt idx="102">
                  <c:v>2020-04-12</c:v>
                </c:pt>
                <c:pt idx="103">
                  <c:v>2020-04-13</c:v>
                </c:pt>
                <c:pt idx="104">
                  <c:v>2020-04-14</c:v>
                </c:pt>
                <c:pt idx="105">
                  <c:v>2020-04-15</c:v>
                </c:pt>
                <c:pt idx="106">
                  <c:v>2020-04-16</c:v>
                </c:pt>
                <c:pt idx="107">
                  <c:v>2020-04-17</c:v>
                </c:pt>
                <c:pt idx="108">
                  <c:v>2020-04-18</c:v>
                </c:pt>
                <c:pt idx="109">
                  <c:v>2020-04-19</c:v>
                </c:pt>
                <c:pt idx="110">
                  <c:v>2020-04-20</c:v>
                </c:pt>
                <c:pt idx="111">
                  <c:v>2020-04-21</c:v>
                </c:pt>
                <c:pt idx="112">
                  <c:v>2020-04-22</c:v>
                </c:pt>
                <c:pt idx="113">
                  <c:v>2020-04-23</c:v>
                </c:pt>
                <c:pt idx="114">
                  <c:v>2020-04-24</c:v>
                </c:pt>
                <c:pt idx="115">
                  <c:v>2020-04-25</c:v>
                </c:pt>
                <c:pt idx="116">
                  <c:v>2020-04-26</c:v>
                </c:pt>
                <c:pt idx="117">
                  <c:v>2020-04-27</c:v>
                </c:pt>
                <c:pt idx="118">
                  <c:v>2020-04-28</c:v>
                </c:pt>
                <c:pt idx="119">
                  <c:v>2020-04-29</c:v>
                </c:pt>
                <c:pt idx="120">
                  <c:v>2020-04-30</c:v>
                </c:pt>
                <c:pt idx="121">
                  <c:v>2020-05-01</c:v>
                </c:pt>
                <c:pt idx="122">
                  <c:v>2020-05-02</c:v>
                </c:pt>
                <c:pt idx="123">
                  <c:v>2020-05-03</c:v>
                </c:pt>
                <c:pt idx="124">
                  <c:v>2020-05-04</c:v>
                </c:pt>
                <c:pt idx="125">
                  <c:v>2020-05-05</c:v>
                </c:pt>
                <c:pt idx="126">
                  <c:v>2020-05-06</c:v>
                </c:pt>
                <c:pt idx="127">
                  <c:v>2020-05-07</c:v>
                </c:pt>
                <c:pt idx="128">
                  <c:v>2020-05-08</c:v>
                </c:pt>
                <c:pt idx="129">
                  <c:v>2020-05-09</c:v>
                </c:pt>
                <c:pt idx="130">
                  <c:v>2020-05-10</c:v>
                </c:pt>
                <c:pt idx="131">
                  <c:v>2020-05-11</c:v>
                </c:pt>
                <c:pt idx="132">
                  <c:v>2020-05-12</c:v>
                </c:pt>
                <c:pt idx="133">
                  <c:v>2020-05-13</c:v>
                </c:pt>
                <c:pt idx="134">
                  <c:v>2020-05-14</c:v>
                </c:pt>
                <c:pt idx="135">
                  <c:v>2020-05-15</c:v>
                </c:pt>
                <c:pt idx="136">
                  <c:v>2020-05-16</c:v>
                </c:pt>
                <c:pt idx="137">
                  <c:v>2020-05-17</c:v>
                </c:pt>
                <c:pt idx="138">
                  <c:v>2020-05-18</c:v>
                </c:pt>
                <c:pt idx="139">
                  <c:v>2020-05-19</c:v>
                </c:pt>
                <c:pt idx="140">
                  <c:v>2020-05-20</c:v>
                </c:pt>
                <c:pt idx="141">
                  <c:v>2020-05-21</c:v>
                </c:pt>
                <c:pt idx="142">
                  <c:v>2020-05-22</c:v>
                </c:pt>
                <c:pt idx="143">
                  <c:v>2020-05-23</c:v>
                </c:pt>
                <c:pt idx="144">
                  <c:v>2020-05-24</c:v>
                </c:pt>
                <c:pt idx="145">
                  <c:v>2020-05-25</c:v>
                </c:pt>
                <c:pt idx="146">
                  <c:v>2020-05-26</c:v>
                </c:pt>
                <c:pt idx="147">
                  <c:v>2020-05-27</c:v>
                </c:pt>
                <c:pt idx="148">
                  <c:v>2020-05-28</c:v>
                </c:pt>
                <c:pt idx="149">
                  <c:v>2020-05-29</c:v>
                </c:pt>
                <c:pt idx="150">
                  <c:v>2020-05-30</c:v>
                </c:pt>
                <c:pt idx="151">
                  <c:v>2020-05-31</c:v>
                </c:pt>
                <c:pt idx="152">
                  <c:v>2020-06-01</c:v>
                </c:pt>
                <c:pt idx="153">
                  <c:v>2020-06-02</c:v>
                </c:pt>
                <c:pt idx="154">
                  <c:v>2020-06-03</c:v>
                </c:pt>
                <c:pt idx="155">
                  <c:v>2020-06-04</c:v>
                </c:pt>
                <c:pt idx="156">
                  <c:v>2020-06-05</c:v>
                </c:pt>
                <c:pt idx="157">
                  <c:v>2020-06-06</c:v>
                </c:pt>
                <c:pt idx="158">
                  <c:v>2020-06-07</c:v>
                </c:pt>
                <c:pt idx="159">
                  <c:v>2020-06-08</c:v>
                </c:pt>
                <c:pt idx="160">
                  <c:v>2020-06-09</c:v>
                </c:pt>
                <c:pt idx="161">
                  <c:v>2020-06-10</c:v>
                </c:pt>
                <c:pt idx="162">
                  <c:v>2020-06-11</c:v>
                </c:pt>
                <c:pt idx="163">
                  <c:v>2020-06-12</c:v>
                </c:pt>
                <c:pt idx="164">
                  <c:v>2020-06-13</c:v>
                </c:pt>
                <c:pt idx="165">
                  <c:v>2020-06-14</c:v>
                </c:pt>
                <c:pt idx="166">
                  <c:v>2020-06-15</c:v>
                </c:pt>
                <c:pt idx="167">
                  <c:v>2020-06-16</c:v>
                </c:pt>
                <c:pt idx="168">
                  <c:v>2020-06-17</c:v>
                </c:pt>
                <c:pt idx="169">
                  <c:v>2020-06-18</c:v>
                </c:pt>
                <c:pt idx="170">
                  <c:v>2020-06-19</c:v>
                </c:pt>
                <c:pt idx="171">
                  <c:v>2020-06-20</c:v>
                </c:pt>
                <c:pt idx="172">
                  <c:v>2020-06-21</c:v>
                </c:pt>
                <c:pt idx="173">
                  <c:v>2020-06-22</c:v>
                </c:pt>
                <c:pt idx="174">
                  <c:v>2020-06-23</c:v>
                </c:pt>
                <c:pt idx="175">
                  <c:v>2020-06-24</c:v>
                </c:pt>
                <c:pt idx="176">
                  <c:v>2020-06-25</c:v>
                </c:pt>
                <c:pt idx="177">
                  <c:v>2020-06-26</c:v>
                </c:pt>
                <c:pt idx="178">
                  <c:v>2020-06-27</c:v>
                </c:pt>
                <c:pt idx="179">
                  <c:v>2020-06-28</c:v>
                </c:pt>
                <c:pt idx="180">
                  <c:v>2020-06-29</c:v>
                </c:pt>
                <c:pt idx="181">
                  <c:v>2020-06-30</c:v>
                </c:pt>
                <c:pt idx="182">
                  <c:v>2020-07-01</c:v>
                </c:pt>
                <c:pt idx="183">
                  <c:v>2020-07-02</c:v>
                </c:pt>
                <c:pt idx="184">
                  <c:v>2020-07-03</c:v>
                </c:pt>
                <c:pt idx="185">
                  <c:v>2020-07-04</c:v>
                </c:pt>
                <c:pt idx="186">
                  <c:v>2020-07-05</c:v>
                </c:pt>
                <c:pt idx="187">
                  <c:v>2020-07-06</c:v>
                </c:pt>
                <c:pt idx="188">
                  <c:v>2020-07-07</c:v>
                </c:pt>
                <c:pt idx="189">
                  <c:v>2020-07-08</c:v>
                </c:pt>
                <c:pt idx="190">
                  <c:v>2020-07-09</c:v>
                </c:pt>
                <c:pt idx="191">
                  <c:v>2020-07-10</c:v>
                </c:pt>
                <c:pt idx="192">
                  <c:v>2020-07-11</c:v>
                </c:pt>
                <c:pt idx="193">
                  <c:v>2020-07-12</c:v>
                </c:pt>
                <c:pt idx="194">
                  <c:v>2020-07-13</c:v>
                </c:pt>
                <c:pt idx="195">
                  <c:v>2020-07-14</c:v>
                </c:pt>
                <c:pt idx="196">
                  <c:v>2020-07-15</c:v>
                </c:pt>
                <c:pt idx="197">
                  <c:v>2020-07-16</c:v>
                </c:pt>
                <c:pt idx="198">
                  <c:v>2020-07-17</c:v>
                </c:pt>
                <c:pt idx="199">
                  <c:v>2020-07-18</c:v>
                </c:pt>
                <c:pt idx="200">
                  <c:v>2020-07-19</c:v>
                </c:pt>
                <c:pt idx="201">
                  <c:v>2020-07-20</c:v>
                </c:pt>
                <c:pt idx="202">
                  <c:v>2020-07-21</c:v>
                </c:pt>
                <c:pt idx="203">
                  <c:v>2020-07-22</c:v>
                </c:pt>
                <c:pt idx="204">
                  <c:v>2020-07-23</c:v>
                </c:pt>
                <c:pt idx="205">
                  <c:v>2020-07-24</c:v>
                </c:pt>
                <c:pt idx="206">
                  <c:v>2020-07-25</c:v>
                </c:pt>
                <c:pt idx="207">
                  <c:v>2020-07-26</c:v>
                </c:pt>
                <c:pt idx="208">
                  <c:v>2020-07-27</c:v>
                </c:pt>
                <c:pt idx="209">
                  <c:v>2020-07-28</c:v>
                </c:pt>
                <c:pt idx="210">
                  <c:v>2020-07-29</c:v>
                </c:pt>
                <c:pt idx="211">
                  <c:v>2020-07-30</c:v>
                </c:pt>
                <c:pt idx="212">
                  <c:v>2020-07-31</c:v>
                </c:pt>
                <c:pt idx="213">
                  <c:v>2020-08-01</c:v>
                </c:pt>
                <c:pt idx="214">
                  <c:v>2020-08-02</c:v>
                </c:pt>
                <c:pt idx="215">
                  <c:v>2020-08-03</c:v>
                </c:pt>
                <c:pt idx="216">
                  <c:v>2020-08-04</c:v>
                </c:pt>
                <c:pt idx="217">
                  <c:v>2020-08-05</c:v>
                </c:pt>
                <c:pt idx="218">
                  <c:v>2020-08-06</c:v>
                </c:pt>
                <c:pt idx="219">
                  <c:v>2020-08-07</c:v>
                </c:pt>
                <c:pt idx="220">
                  <c:v>2020-08-08</c:v>
                </c:pt>
                <c:pt idx="221">
                  <c:v>2020-08-09</c:v>
                </c:pt>
                <c:pt idx="222">
                  <c:v>2020-08-10</c:v>
                </c:pt>
                <c:pt idx="223">
                  <c:v>2020-08-11</c:v>
                </c:pt>
                <c:pt idx="224">
                  <c:v>2020-08-12</c:v>
                </c:pt>
                <c:pt idx="225">
                  <c:v>2020-08-13</c:v>
                </c:pt>
                <c:pt idx="226">
                  <c:v>2020-08-14</c:v>
                </c:pt>
                <c:pt idx="227">
                  <c:v>2020-08-15</c:v>
                </c:pt>
                <c:pt idx="228">
                  <c:v>2020-08-16</c:v>
                </c:pt>
                <c:pt idx="229">
                  <c:v>2020-08-17</c:v>
                </c:pt>
                <c:pt idx="230">
                  <c:v>2020-08-18</c:v>
                </c:pt>
                <c:pt idx="231">
                  <c:v>2020-08-19</c:v>
                </c:pt>
                <c:pt idx="232">
                  <c:v>2020-08-20</c:v>
                </c:pt>
                <c:pt idx="233">
                  <c:v>2020-08-21</c:v>
                </c:pt>
                <c:pt idx="234">
                  <c:v>2020-08-22</c:v>
                </c:pt>
                <c:pt idx="235">
                  <c:v>2020-08-23</c:v>
                </c:pt>
                <c:pt idx="236">
                  <c:v>2020-08-24</c:v>
                </c:pt>
                <c:pt idx="237">
                  <c:v>2020-08-25</c:v>
                </c:pt>
                <c:pt idx="238">
                  <c:v>2020-08-26</c:v>
                </c:pt>
                <c:pt idx="239">
                  <c:v>2020-08-27</c:v>
                </c:pt>
                <c:pt idx="240">
                  <c:v>2020-08-28</c:v>
                </c:pt>
                <c:pt idx="241">
                  <c:v>2020-08-29</c:v>
                </c:pt>
                <c:pt idx="242">
                  <c:v>2020-08-30</c:v>
                </c:pt>
                <c:pt idx="243">
                  <c:v>2020-08-31</c:v>
                </c:pt>
                <c:pt idx="244">
                  <c:v>2020-09-01</c:v>
                </c:pt>
                <c:pt idx="245">
                  <c:v>2020-09-02</c:v>
                </c:pt>
                <c:pt idx="246">
                  <c:v>2020-09-03</c:v>
                </c:pt>
                <c:pt idx="247">
                  <c:v>2020-09-04</c:v>
                </c:pt>
                <c:pt idx="248">
                  <c:v>2020-09-05</c:v>
                </c:pt>
                <c:pt idx="249">
                  <c:v>2020-09-06</c:v>
                </c:pt>
                <c:pt idx="250">
                  <c:v>2020-09-07</c:v>
                </c:pt>
                <c:pt idx="251">
                  <c:v>2020-09-08</c:v>
                </c:pt>
                <c:pt idx="252">
                  <c:v>2020-09-09</c:v>
                </c:pt>
                <c:pt idx="253">
                  <c:v>2020-09-10</c:v>
                </c:pt>
                <c:pt idx="254">
                  <c:v>2020-09-11</c:v>
                </c:pt>
                <c:pt idx="255">
                  <c:v>2020-09-12</c:v>
                </c:pt>
                <c:pt idx="256">
                  <c:v>2020-09-13</c:v>
                </c:pt>
                <c:pt idx="257">
                  <c:v>2020-09-14</c:v>
                </c:pt>
                <c:pt idx="258">
                  <c:v>2020-09-15</c:v>
                </c:pt>
                <c:pt idx="259">
                  <c:v>2020-09-16</c:v>
                </c:pt>
                <c:pt idx="260">
                  <c:v>2020-09-17</c:v>
                </c:pt>
                <c:pt idx="261">
                  <c:v>2020-09-18</c:v>
                </c:pt>
                <c:pt idx="262">
                  <c:v>2020-09-19</c:v>
                </c:pt>
                <c:pt idx="263">
                  <c:v>2020-09-20</c:v>
                </c:pt>
                <c:pt idx="264">
                  <c:v>2020-09-21</c:v>
                </c:pt>
                <c:pt idx="265">
                  <c:v>2020-09-22</c:v>
                </c:pt>
                <c:pt idx="266">
                  <c:v>2020-09-23</c:v>
                </c:pt>
                <c:pt idx="267">
                  <c:v>2020-09-24</c:v>
                </c:pt>
                <c:pt idx="268">
                  <c:v>2020-09-25</c:v>
                </c:pt>
                <c:pt idx="269">
                  <c:v>2020-09-26</c:v>
                </c:pt>
                <c:pt idx="270">
                  <c:v>2020-09-27</c:v>
                </c:pt>
                <c:pt idx="271">
                  <c:v>2020-09-28</c:v>
                </c:pt>
                <c:pt idx="272">
                  <c:v>2020-09-29</c:v>
                </c:pt>
                <c:pt idx="273">
                  <c:v>2020-09-30</c:v>
                </c:pt>
                <c:pt idx="274">
                  <c:v>2020-10-01</c:v>
                </c:pt>
                <c:pt idx="275">
                  <c:v>2020-10-02</c:v>
                </c:pt>
                <c:pt idx="276">
                  <c:v>2020-10-03</c:v>
                </c:pt>
                <c:pt idx="277">
                  <c:v>2020-10-04</c:v>
                </c:pt>
                <c:pt idx="278">
                  <c:v>2020-10-05</c:v>
                </c:pt>
                <c:pt idx="279">
                  <c:v>2020-10-06</c:v>
                </c:pt>
                <c:pt idx="280">
                  <c:v>2020-10-07</c:v>
                </c:pt>
                <c:pt idx="281">
                  <c:v>2020-10-08</c:v>
                </c:pt>
                <c:pt idx="282">
                  <c:v>2020-10-09</c:v>
                </c:pt>
                <c:pt idx="283">
                  <c:v>2020-10-10</c:v>
                </c:pt>
                <c:pt idx="284">
                  <c:v>2020-10-11</c:v>
                </c:pt>
                <c:pt idx="285">
                  <c:v>2020-10-12</c:v>
                </c:pt>
                <c:pt idx="286">
                  <c:v>2020-10-13</c:v>
                </c:pt>
                <c:pt idx="287">
                  <c:v>2020-10-14</c:v>
                </c:pt>
                <c:pt idx="288">
                  <c:v>2020-10-15</c:v>
                </c:pt>
                <c:pt idx="289">
                  <c:v>2020-10-16</c:v>
                </c:pt>
                <c:pt idx="290">
                  <c:v>2020-10-17</c:v>
                </c:pt>
                <c:pt idx="291">
                  <c:v>2020-10-18</c:v>
                </c:pt>
                <c:pt idx="292">
                  <c:v>2020-10-19</c:v>
                </c:pt>
                <c:pt idx="293">
                  <c:v>2020-10-20</c:v>
                </c:pt>
                <c:pt idx="294">
                  <c:v>2020-10-21</c:v>
                </c:pt>
                <c:pt idx="295">
                  <c:v>2020-10-22</c:v>
                </c:pt>
                <c:pt idx="296">
                  <c:v>2020-10-23</c:v>
                </c:pt>
                <c:pt idx="297">
                  <c:v>2020-10-24</c:v>
                </c:pt>
                <c:pt idx="298">
                  <c:v>2020-10-25</c:v>
                </c:pt>
                <c:pt idx="299">
                  <c:v>2020-10-26</c:v>
                </c:pt>
                <c:pt idx="300">
                  <c:v>2020-10-27</c:v>
                </c:pt>
                <c:pt idx="301">
                  <c:v>2020-10-28</c:v>
                </c:pt>
                <c:pt idx="302">
                  <c:v>2020-10-29</c:v>
                </c:pt>
                <c:pt idx="303">
                  <c:v>2020-10-30</c:v>
                </c:pt>
                <c:pt idx="304">
                  <c:v>2020-10-31</c:v>
                </c:pt>
                <c:pt idx="305">
                  <c:v>2020-11-01</c:v>
                </c:pt>
                <c:pt idx="306">
                  <c:v>2020-11-02</c:v>
                </c:pt>
                <c:pt idx="307">
                  <c:v>2020-11-03</c:v>
                </c:pt>
                <c:pt idx="308">
                  <c:v>2020-11-04</c:v>
                </c:pt>
                <c:pt idx="309">
                  <c:v>2020-11-05</c:v>
                </c:pt>
                <c:pt idx="310">
                  <c:v>2020-11-06</c:v>
                </c:pt>
                <c:pt idx="311">
                  <c:v>2020-11-07</c:v>
                </c:pt>
                <c:pt idx="312">
                  <c:v>2020-11-08</c:v>
                </c:pt>
                <c:pt idx="313">
                  <c:v>2020-11-09</c:v>
                </c:pt>
                <c:pt idx="314">
                  <c:v>2020-11-10</c:v>
                </c:pt>
                <c:pt idx="315">
                  <c:v>2020-11-11</c:v>
                </c:pt>
                <c:pt idx="316">
                  <c:v>2020-11-12</c:v>
                </c:pt>
                <c:pt idx="317">
                  <c:v>2020-11-13</c:v>
                </c:pt>
                <c:pt idx="318">
                  <c:v>2020-11-14</c:v>
                </c:pt>
                <c:pt idx="319">
                  <c:v>2020-11-15</c:v>
                </c:pt>
                <c:pt idx="320">
                  <c:v>2020-11-16</c:v>
                </c:pt>
                <c:pt idx="321">
                  <c:v>2020-11-17</c:v>
                </c:pt>
                <c:pt idx="322">
                  <c:v>2020-11-18</c:v>
                </c:pt>
                <c:pt idx="323">
                  <c:v>2020-11-19</c:v>
                </c:pt>
                <c:pt idx="324">
                  <c:v>2020-11-20</c:v>
                </c:pt>
                <c:pt idx="325">
                  <c:v>2020-11-21</c:v>
                </c:pt>
                <c:pt idx="326">
                  <c:v>2020-11-22</c:v>
                </c:pt>
                <c:pt idx="327">
                  <c:v>2020-11-23</c:v>
                </c:pt>
                <c:pt idx="328">
                  <c:v>2020-11-24</c:v>
                </c:pt>
                <c:pt idx="329">
                  <c:v>2020-11-25</c:v>
                </c:pt>
                <c:pt idx="330">
                  <c:v>2020-11-26</c:v>
                </c:pt>
                <c:pt idx="331">
                  <c:v>2020-11-27</c:v>
                </c:pt>
                <c:pt idx="332">
                  <c:v>2020-11-28</c:v>
                </c:pt>
                <c:pt idx="333">
                  <c:v>2020-11-29</c:v>
                </c:pt>
                <c:pt idx="334">
                  <c:v>2020-11-30</c:v>
                </c:pt>
                <c:pt idx="335">
                  <c:v>2020-12-01</c:v>
                </c:pt>
                <c:pt idx="336">
                  <c:v>2020-12-02</c:v>
                </c:pt>
                <c:pt idx="337">
                  <c:v>2020-12-03</c:v>
                </c:pt>
                <c:pt idx="338">
                  <c:v>2020-12-04</c:v>
                </c:pt>
                <c:pt idx="339">
                  <c:v>2020-12-05</c:v>
                </c:pt>
                <c:pt idx="340">
                  <c:v>2020-12-06</c:v>
                </c:pt>
                <c:pt idx="341">
                  <c:v>2020-12-07</c:v>
                </c:pt>
                <c:pt idx="342">
                  <c:v>2020-12-08</c:v>
                </c:pt>
                <c:pt idx="343">
                  <c:v>2020-12-09</c:v>
                </c:pt>
                <c:pt idx="344">
                  <c:v>2020-12-10</c:v>
                </c:pt>
                <c:pt idx="345">
                  <c:v>2020-12-11</c:v>
                </c:pt>
                <c:pt idx="346">
                  <c:v>2020-12-12</c:v>
                </c:pt>
                <c:pt idx="347">
                  <c:v>2020-12-13</c:v>
                </c:pt>
                <c:pt idx="348">
                  <c:v>2020-12-14</c:v>
                </c:pt>
                <c:pt idx="349">
                  <c:v>2020-12-15</c:v>
                </c:pt>
                <c:pt idx="350">
                  <c:v>2020-12-16</c:v>
                </c:pt>
                <c:pt idx="351">
                  <c:v>2020-12-17</c:v>
                </c:pt>
                <c:pt idx="352">
                  <c:v>2020-12-18</c:v>
                </c:pt>
                <c:pt idx="353">
                  <c:v>2020-12-19</c:v>
                </c:pt>
                <c:pt idx="354">
                  <c:v>2020-12-20</c:v>
                </c:pt>
                <c:pt idx="355">
                  <c:v>2020-12-21</c:v>
                </c:pt>
                <c:pt idx="356">
                  <c:v>2020-12-22</c:v>
                </c:pt>
                <c:pt idx="357">
                  <c:v>2020-12-23</c:v>
                </c:pt>
                <c:pt idx="358">
                  <c:v>2020-12-24</c:v>
                </c:pt>
                <c:pt idx="359">
                  <c:v>2020-12-25</c:v>
                </c:pt>
                <c:pt idx="360">
                  <c:v>2020-12-26</c:v>
                </c:pt>
                <c:pt idx="361">
                  <c:v>2020-12-27</c:v>
                </c:pt>
                <c:pt idx="362">
                  <c:v>2020-12-28</c:v>
                </c:pt>
                <c:pt idx="363">
                  <c:v>2020-12-29</c:v>
                </c:pt>
                <c:pt idx="364">
                  <c:v>2020-12-30</c:v>
                </c:pt>
                <c:pt idx="365">
                  <c:v>2020-12-31</c:v>
                </c:pt>
                <c:pt idx="366">
                  <c:v>2021-01-01</c:v>
                </c:pt>
                <c:pt idx="367">
                  <c:v>2021-01-02</c:v>
                </c:pt>
                <c:pt idx="368">
                  <c:v>2021-01-03</c:v>
                </c:pt>
                <c:pt idx="369">
                  <c:v>2021-01-04</c:v>
                </c:pt>
                <c:pt idx="370">
                  <c:v>2021-01-05</c:v>
                </c:pt>
                <c:pt idx="371">
                  <c:v>2021-01-06</c:v>
                </c:pt>
                <c:pt idx="372">
                  <c:v>2021-01-07</c:v>
                </c:pt>
                <c:pt idx="373">
                  <c:v>2021-01-08</c:v>
                </c:pt>
                <c:pt idx="374">
                  <c:v>2021-01-09</c:v>
                </c:pt>
                <c:pt idx="375">
                  <c:v>2021-01-10</c:v>
                </c:pt>
                <c:pt idx="376">
                  <c:v>2021-01-11</c:v>
                </c:pt>
                <c:pt idx="377">
                  <c:v>2021-01-12</c:v>
                </c:pt>
                <c:pt idx="378">
                  <c:v>2021-01-13</c:v>
                </c:pt>
                <c:pt idx="379">
                  <c:v>2021-01-14</c:v>
                </c:pt>
                <c:pt idx="380">
                  <c:v>2021-01-15</c:v>
                </c:pt>
                <c:pt idx="381">
                  <c:v>2021-01-16</c:v>
                </c:pt>
                <c:pt idx="382">
                  <c:v>2021-01-17</c:v>
                </c:pt>
                <c:pt idx="383">
                  <c:v>2021-01-18</c:v>
                </c:pt>
                <c:pt idx="384">
                  <c:v>2021-01-19</c:v>
                </c:pt>
                <c:pt idx="385">
                  <c:v>2021-01-20</c:v>
                </c:pt>
                <c:pt idx="386">
                  <c:v>2021-01-21</c:v>
                </c:pt>
                <c:pt idx="387">
                  <c:v>2021-01-22</c:v>
                </c:pt>
                <c:pt idx="388">
                  <c:v>2021-01-23</c:v>
                </c:pt>
                <c:pt idx="389">
                  <c:v>2021-01-24</c:v>
                </c:pt>
                <c:pt idx="390">
                  <c:v>2021-01-25</c:v>
                </c:pt>
                <c:pt idx="391">
                  <c:v>2021-01-26</c:v>
                </c:pt>
                <c:pt idx="392">
                  <c:v>2021-01-27</c:v>
                </c:pt>
                <c:pt idx="393">
                  <c:v>2021-01-28</c:v>
                </c:pt>
                <c:pt idx="394">
                  <c:v>2021-01-29</c:v>
                </c:pt>
                <c:pt idx="395">
                  <c:v>2021-01-30</c:v>
                </c:pt>
                <c:pt idx="396">
                  <c:v>2021-01-31</c:v>
                </c:pt>
                <c:pt idx="397">
                  <c:v>2021-02-01</c:v>
                </c:pt>
                <c:pt idx="398">
                  <c:v>2021-02-02</c:v>
                </c:pt>
                <c:pt idx="399">
                  <c:v>2021-02-03</c:v>
                </c:pt>
                <c:pt idx="400">
                  <c:v>2021-02-04</c:v>
                </c:pt>
                <c:pt idx="401">
                  <c:v>2021-02-05</c:v>
                </c:pt>
                <c:pt idx="402">
                  <c:v>2021-02-06</c:v>
                </c:pt>
                <c:pt idx="403">
                  <c:v>2021-02-07</c:v>
                </c:pt>
                <c:pt idx="404">
                  <c:v>2021-02-08</c:v>
                </c:pt>
                <c:pt idx="405">
                  <c:v>2021-02-09</c:v>
                </c:pt>
                <c:pt idx="406">
                  <c:v>2021-02-10</c:v>
                </c:pt>
                <c:pt idx="407">
                  <c:v>2021-02-11</c:v>
                </c:pt>
                <c:pt idx="408">
                  <c:v>2021-02-12</c:v>
                </c:pt>
                <c:pt idx="409">
                  <c:v>2021-02-13</c:v>
                </c:pt>
                <c:pt idx="410">
                  <c:v>2021-02-14</c:v>
                </c:pt>
                <c:pt idx="411">
                  <c:v>2021-02-15</c:v>
                </c:pt>
                <c:pt idx="412">
                  <c:v>2021-02-16</c:v>
                </c:pt>
                <c:pt idx="413">
                  <c:v>2021-02-17</c:v>
                </c:pt>
                <c:pt idx="414">
                  <c:v>2021-02-18</c:v>
                </c:pt>
                <c:pt idx="415">
                  <c:v>2021-02-19</c:v>
                </c:pt>
                <c:pt idx="416">
                  <c:v>2021-02-20</c:v>
                </c:pt>
                <c:pt idx="417">
                  <c:v>2021-02-21</c:v>
                </c:pt>
                <c:pt idx="418">
                  <c:v>2021-02-22</c:v>
                </c:pt>
                <c:pt idx="419">
                  <c:v>2021-02-23</c:v>
                </c:pt>
                <c:pt idx="420">
                  <c:v>2021-02-24</c:v>
                </c:pt>
                <c:pt idx="421">
                  <c:v>2021-02-25</c:v>
                </c:pt>
                <c:pt idx="422">
                  <c:v>2021-02-26</c:v>
                </c:pt>
                <c:pt idx="423">
                  <c:v>2021-02-27</c:v>
                </c:pt>
                <c:pt idx="424">
                  <c:v>2021-02-28</c:v>
                </c:pt>
                <c:pt idx="425">
                  <c:v>2021-03-01</c:v>
                </c:pt>
                <c:pt idx="426">
                  <c:v>2021-03-02</c:v>
                </c:pt>
                <c:pt idx="427">
                  <c:v>2021-03-03</c:v>
                </c:pt>
                <c:pt idx="428">
                  <c:v>2021-03-04</c:v>
                </c:pt>
                <c:pt idx="429">
                  <c:v>2021-03-05</c:v>
                </c:pt>
                <c:pt idx="430">
                  <c:v>2021-03-06</c:v>
                </c:pt>
                <c:pt idx="431">
                  <c:v>2021-03-07</c:v>
                </c:pt>
                <c:pt idx="432">
                  <c:v>2021-03-08</c:v>
                </c:pt>
                <c:pt idx="433">
                  <c:v>2021-03-09</c:v>
                </c:pt>
                <c:pt idx="434">
                  <c:v>2021-03-10</c:v>
                </c:pt>
                <c:pt idx="435">
                  <c:v>2021-03-11</c:v>
                </c:pt>
                <c:pt idx="436">
                  <c:v>2021-03-12</c:v>
                </c:pt>
                <c:pt idx="437">
                  <c:v>2021-03-13</c:v>
                </c:pt>
                <c:pt idx="438">
                  <c:v>2021-03-14</c:v>
                </c:pt>
                <c:pt idx="439">
                  <c:v>2021-03-15</c:v>
                </c:pt>
                <c:pt idx="440">
                  <c:v>2021-03-16</c:v>
                </c:pt>
                <c:pt idx="441">
                  <c:v>2021-03-17</c:v>
                </c:pt>
              </c:strCache>
            </c:strRef>
          </c:cat>
          <c:val>
            <c:numRef>
              <c:f>mirtys!$B$2:$B$443</c:f>
              <c:numCache>
                <c:formatCode>General</c:formatCode>
                <c:ptCount val="442"/>
                <c:pt idx="0">
                  <c:v>107</c:v>
                </c:pt>
                <c:pt idx="1">
                  <c:v>139</c:v>
                </c:pt>
                <c:pt idx="2">
                  <c:v>111</c:v>
                </c:pt>
                <c:pt idx="3">
                  <c:v>115</c:v>
                </c:pt>
                <c:pt idx="4">
                  <c:v>108</c:v>
                </c:pt>
                <c:pt idx="5">
                  <c:v>105</c:v>
                </c:pt>
                <c:pt idx="6">
                  <c:v>116</c:v>
                </c:pt>
                <c:pt idx="7">
                  <c:v>120</c:v>
                </c:pt>
                <c:pt idx="8">
                  <c:v>116</c:v>
                </c:pt>
                <c:pt idx="9">
                  <c:v>119</c:v>
                </c:pt>
                <c:pt idx="10">
                  <c:v>99</c:v>
                </c:pt>
                <c:pt idx="11">
                  <c:v>108</c:v>
                </c:pt>
                <c:pt idx="12">
                  <c:v>109</c:v>
                </c:pt>
                <c:pt idx="13">
                  <c:v>111</c:v>
                </c:pt>
                <c:pt idx="14">
                  <c:v>112</c:v>
                </c:pt>
                <c:pt idx="15">
                  <c:v>136</c:v>
                </c:pt>
                <c:pt idx="16">
                  <c:v>107</c:v>
                </c:pt>
                <c:pt idx="17">
                  <c:v>86</c:v>
                </c:pt>
                <c:pt idx="18">
                  <c:v>113</c:v>
                </c:pt>
                <c:pt idx="19">
                  <c:v>107</c:v>
                </c:pt>
                <c:pt idx="20">
                  <c:v>107</c:v>
                </c:pt>
                <c:pt idx="21">
                  <c:v>124</c:v>
                </c:pt>
                <c:pt idx="22">
                  <c:v>98</c:v>
                </c:pt>
                <c:pt idx="23">
                  <c:v>106</c:v>
                </c:pt>
                <c:pt idx="24">
                  <c:v>112</c:v>
                </c:pt>
                <c:pt idx="25">
                  <c:v>120</c:v>
                </c:pt>
                <c:pt idx="26">
                  <c:v>110</c:v>
                </c:pt>
                <c:pt idx="27">
                  <c:v>119</c:v>
                </c:pt>
                <c:pt idx="28">
                  <c:v>119</c:v>
                </c:pt>
                <c:pt idx="29">
                  <c:v>109</c:v>
                </c:pt>
                <c:pt idx="30">
                  <c:v>97</c:v>
                </c:pt>
                <c:pt idx="31">
                  <c:v>92</c:v>
                </c:pt>
                <c:pt idx="32">
                  <c:v>102</c:v>
                </c:pt>
                <c:pt idx="33">
                  <c:v>103</c:v>
                </c:pt>
                <c:pt idx="34">
                  <c:v>116</c:v>
                </c:pt>
                <c:pt idx="35">
                  <c:v>114</c:v>
                </c:pt>
                <c:pt idx="36">
                  <c:v>109</c:v>
                </c:pt>
                <c:pt idx="37">
                  <c:v>100</c:v>
                </c:pt>
                <c:pt idx="38">
                  <c:v>99</c:v>
                </c:pt>
                <c:pt idx="39">
                  <c:v>108</c:v>
                </c:pt>
                <c:pt idx="40">
                  <c:v>121</c:v>
                </c:pt>
                <c:pt idx="41">
                  <c:v>105</c:v>
                </c:pt>
                <c:pt idx="42">
                  <c:v>135</c:v>
                </c:pt>
                <c:pt idx="43">
                  <c:v>114</c:v>
                </c:pt>
                <c:pt idx="44">
                  <c:v>115</c:v>
                </c:pt>
                <c:pt idx="45">
                  <c:v>104</c:v>
                </c:pt>
                <c:pt idx="46">
                  <c:v>109</c:v>
                </c:pt>
                <c:pt idx="47">
                  <c:v>97</c:v>
                </c:pt>
                <c:pt idx="48">
                  <c:v>100</c:v>
                </c:pt>
                <c:pt idx="49">
                  <c:v>106</c:v>
                </c:pt>
                <c:pt idx="50">
                  <c:v>84</c:v>
                </c:pt>
                <c:pt idx="51">
                  <c:v>83</c:v>
                </c:pt>
                <c:pt idx="52">
                  <c:v>104</c:v>
                </c:pt>
                <c:pt idx="53">
                  <c:v>118</c:v>
                </c:pt>
                <c:pt idx="54">
                  <c:v>117</c:v>
                </c:pt>
                <c:pt idx="55">
                  <c:v>106</c:v>
                </c:pt>
                <c:pt idx="56">
                  <c:v>102</c:v>
                </c:pt>
                <c:pt idx="57">
                  <c:v>131</c:v>
                </c:pt>
                <c:pt idx="58">
                  <c:v>98</c:v>
                </c:pt>
                <c:pt idx="59">
                  <c:v>126</c:v>
                </c:pt>
                <c:pt idx="60">
                  <c:v>116</c:v>
                </c:pt>
                <c:pt idx="61">
                  <c:v>109</c:v>
                </c:pt>
                <c:pt idx="62">
                  <c:v>122</c:v>
                </c:pt>
                <c:pt idx="63">
                  <c:v>107</c:v>
                </c:pt>
                <c:pt idx="64">
                  <c:v>117</c:v>
                </c:pt>
                <c:pt idx="65">
                  <c:v>121</c:v>
                </c:pt>
                <c:pt idx="66">
                  <c:v>99</c:v>
                </c:pt>
                <c:pt idx="67">
                  <c:v>85</c:v>
                </c:pt>
                <c:pt idx="68">
                  <c:v>116</c:v>
                </c:pt>
                <c:pt idx="69">
                  <c:v>99</c:v>
                </c:pt>
                <c:pt idx="70">
                  <c:v>113</c:v>
                </c:pt>
                <c:pt idx="71">
                  <c:v>108</c:v>
                </c:pt>
                <c:pt idx="72">
                  <c:v>105</c:v>
                </c:pt>
                <c:pt idx="73">
                  <c:v>113</c:v>
                </c:pt>
                <c:pt idx="74">
                  <c:v>99</c:v>
                </c:pt>
                <c:pt idx="75">
                  <c:v>110</c:v>
                </c:pt>
                <c:pt idx="76">
                  <c:v>131</c:v>
                </c:pt>
                <c:pt idx="77">
                  <c:v>129</c:v>
                </c:pt>
                <c:pt idx="78">
                  <c:v>114</c:v>
                </c:pt>
                <c:pt idx="79">
                  <c:v>103</c:v>
                </c:pt>
                <c:pt idx="80">
                  <c:v>98</c:v>
                </c:pt>
                <c:pt idx="81">
                  <c:v>109</c:v>
                </c:pt>
                <c:pt idx="82">
                  <c:v>107</c:v>
                </c:pt>
                <c:pt idx="83">
                  <c:v>123</c:v>
                </c:pt>
                <c:pt idx="84">
                  <c:v>106</c:v>
                </c:pt>
                <c:pt idx="85">
                  <c:v>100</c:v>
                </c:pt>
                <c:pt idx="86">
                  <c:v>128</c:v>
                </c:pt>
                <c:pt idx="87">
                  <c:v>124</c:v>
                </c:pt>
                <c:pt idx="88">
                  <c:v>107</c:v>
                </c:pt>
                <c:pt idx="89">
                  <c:v>124</c:v>
                </c:pt>
                <c:pt idx="90">
                  <c:v>121</c:v>
                </c:pt>
                <c:pt idx="91">
                  <c:v>101</c:v>
                </c:pt>
                <c:pt idx="92">
                  <c:v>104</c:v>
                </c:pt>
                <c:pt idx="93">
                  <c:v>109</c:v>
                </c:pt>
                <c:pt idx="94">
                  <c:v>100</c:v>
                </c:pt>
                <c:pt idx="95">
                  <c:v>96</c:v>
                </c:pt>
                <c:pt idx="96">
                  <c:v>109</c:v>
                </c:pt>
                <c:pt idx="97">
                  <c:v>116</c:v>
                </c:pt>
                <c:pt idx="98">
                  <c:v>108</c:v>
                </c:pt>
                <c:pt idx="99">
                  <c:v>116</c:v>
                </c:pt>
                <c:pt idx="100">
                  <c:v>107</c:v>
                </c:pt>
                <c:pt idx="101">
                  <c:v>106</c:v>
                </c:pt>
                <c:pt idx="102">
                  <c:v>111</c:v>
                </c:pt>
                <c:pt idx="103">
                  <c:v>122</c:v>
                </c:pt>
                <c:pt idx="104">
                  <c:v>100</c:v>
                </c:pt>
                <c:pt idx="105">
                  <c:v>103</c:v>
                </c:pt>
                <c:pt idx="106">
                  <c:v>110</c:v>
                </c:pt>
                <c:pt idx="107">
                  <c:v>105</c:v>
                </c:pt>
                <c:pt idx="108">
                  <c:v>117</c:v>
                </c:pt>
                <c:pt idx="109">
                  <c:v>95</c:v>
                </c:pt>
                <c:pt idx="110">
                  <c:v>108</c:v>
                </c:pt>
                <c:pt idx="111">
                  <c:v>116</c:v>
                </c:pt>
                <c:pt idx="112">
                  <c:v>105</c:v>
                </c:pt>
                <c:pt idx="113">
                  <c:v>121</c:v>
                </c:pt>
                <c:pt idx="114">
                  <c:v>99</c:v>
                </c:pt>
                <c:pt idx="115">
                  <c:v>121</c:v>
                </c:pt>
                <c:pt idx="116">
                  <c:v>98</c:v>
                </c:pt>
                <c:pt idx="117">
                  <c:v>107</c:v>
                </c:pt>
                <c:pt idx="118">
                  <c:v>118</c:v>
                </c:pt>
                <c:pt idx="119">
                  <c:v>104</c:v>
                </c:pt>
                <c:pt idx="120">
                  <c:v>96</c:v>
                </c:pt>
                <c:pt idx="121">
                  <c:v>111</c:v>
                </c:pt>
                <c:pt idx="122">
                  <c:v>93</c:v>
                </c:pt>
                <c:pt idx="123">
                  <c:v>110</c:v>
                </c:pt>
                <c:pt idx="124">
                  <c:v>94</c:v>
                </c:pt>
                <c:pt idx="125">
                  <c:v>104</c:v>
                </c:pt>
                <c:pt idx="126">
                  <c:v>99</c:v>
                </c:pt>
                <c:pt idx="127">
                  <c:v>111</c:v>
                </c:pt>
                <c:pt idx="128">
                  <c:v>82</c:v>
                </c:pt>
                <c:pt idx="129">
                  <c:v>95</c:v>
                </c:pt>
                <c:pt idx="130">
                  <c:v>101</c:v>
                </c:pt>
                <c:pt idx="131">
                  <c:v>112</c:v>
                </c:pt>
                <c:pt idx="132">
                  <c:v>92</c:v>
                </c:pt>
                <c:pt idx="133">
                  <c:v>99</c:v>
                </c:pt>
                <c:pt idx="134">
                  <c:v>86</c:v>
                </c:pt>
                <c:pt idx="135">
                  <c:v>108</c:v>
                </c:pt>
                <c:pt idx="136">
                  <c:v>112</c:v>
                </c:pt>
                <c:pt idx="137">
                  <c:v>89</c:v>
                </c:pt>
                <c:pt idx="138">
                  <c:v>93</c:v>
                </c:pt>
                <c:pt idx="139">
                  <c:v>84</c:v>
                </c:pt>
                <c:pt idx="140">
                  <c:v>106</c:v>
                </c:pt>
                <c:pt idx="141">
                  <c:v>109</c:v>
                </c:pt>
                <c:pt idx="142">
                  <c:v>107</c:v>
                </c:pt>
                <c:pt idx="143">
                  <c:v>98</c:v>
                </c:pt>
                <c:pt idx="144">
                  <c:v>97</c:v>
                </c:pt>
                <c:pt idx="145">
                  <c:v>111</c:v>
                </c:pt>
                <c:pt idx="146">
                  <c:v>113</c:v>
                </c:pt>
                <c:pt idx="147">
                  <c:v>89</c:v>
                </c:pt>
                <c:pt idx="148">
                  <c:v>104</c:v>
                </c:pt>
                <c:pt idx="149">
                  <c:v>107</c:v>
                </c:pt>
                <c:pt idx="150">
                  <c:v>93</c:v>
                </c:pt>
                <c:pt idx="151">
                  <c:v>102</c:v>
                </c:pt>
                <c:pt idx="152">
                  <c:v>100</c:v>
                </c:pt>
                <c:pt idx="153">
                  <c:v>105</c:v>
                </c:pt>
                <c:pt idx="154">
                  <c:v>100</c:v>
                </c:pt>
                <c:pt idx="155">
                  <c:v>100</c:v>
                </c:pt>
                <c:pt idx="156">
                  <c:v>101</c:v>
                </c:pt>
                <c:pt idx="157">
                  <c:v>100</c:v>
                </c:pt>
                <c:pt idx="158">
                  <c:v>107</c:v>
                </c:pt>
                <c:pt idx="159">
                  <c:v>132</c:v>
                </c:pt>
                <c:pt idx="160">
                  <c:v>115</c:v>
                </c:pt>
                <c:pt idx="161">
                  <c:v>105</c:v>
                </c:pt>
                <c:pt idx="162">
                  <c:v>129</c:v>
                </c:pt>
                <c:pt idx="163">
                  <c:v>112</c:v>
                </c:pt>
                <c:pt idx="164">
                  <c:v>107</c:v>
                </c:pt>
                <c:pt idx="165">
                  <c:v>101</c:v>
                </c:pt>
                <c:pt idx="166">
                  <c:v>85</c:v>
                </c:pt>
                <c:pt idx="167">
                  <c:v>109</c:v>
                </c:pt>
                <c:pt idx="168">
                  <c:v>111</c:v>
                </c:pt>
                <c:pt idx="169">
                  <c:v>112</c:v>
                </c:pt>
                <c:pt idx="170">
                  <c:v>99</c:v>
                </c:pt>
                <c:pt idx="171">
                  <c:v>119</c:v>
                </c:pt>
                <c:pt idx="172">
                  <c:v>109</c:v>
                </c:pt>
                <c:pt idx="173">
                  <c:v>122</c:v>
                </c:pt>
                <c:pt idx="174">
                  <c:v>109</c:v>
                </c:pt>
                <c:pt idx="175">
                  <c:v>120</c:v>
                </c:pt>
                <c:pt idx="176">
                  <c:v>106</c:v>
                </c:pt>
                <c:pt idx="177">
                  <c:v>121</c:v>
                </c:pt>
                <c:pt idx="178">
                  <c:v>107</c:v>
                </c:pt>
                <c:pt idx="179">
                  <c:v>112</c:v>
                </c:pt>
                <c:pt idx="180">
                  <c:v>114</c:v>
                </c:pt>
                <c:pt idx="181">
                  <c:v>102</c:v>
                </c:pt>
                <c:pt idx="182">
                  <c:v>77</c:v>
                </c:pt>
                <c:pt idx="183">
                  <c:v>101</c:v>
                </c:pt>
                <c:pt idx="184">
                  <c:v>98</c:v>
                </c:pt>
                <c:pt idx="185">
                  <c:v>100</c:v>
                </c:pt>
                <c:pt idx="186">
                  <c:v>80</c:v>
                </c:pt>
                <c:pt idx="187">
                  <c:v>110</c:v>
                </c:pt>
                <c:pt idx="188">
                  <c:v>108</c:v>
                </c:pt>
                <c:pt idx="189">
                  <c:v>97</c:v>
                </c:pt>
                <c:pt idx="190">
                  <c:v>74</c:v>
                </c:pt>
                <c:pt idx="191">
                  <c:v>101</c:v>
                </c:pt>
                <c:pt idx="192">
                  <c:v>95</c:v>
                </c:pt>
                <c:pt idx="193">
                  <c:v>96</c:v>
                </c:pt>
                <c:pt idx="194">
                  <c:v>105</c:v>
                </c:pt>
                <c:pt idx="195">
                  <c:v>112</c:v>
                </c:pt>
                <c:pt idx="196">
                  <c:v>102</c:v>
                </c:pt>
                <c:pt idx="197">
                  <c:v>102</c:v>
                </c:pt>
                <c:pt idx="198">
                  <c:v>93</c:v>
                </c:pt>
                <c:pt idx="199">
                  <c:v>121</c:v>
                </c:pt>
                <c:pt idx="200">
                  <c:v>103</c:v>
                </c:pt>
                <c:pt idx="201">
                  <c:v>81</c:v>
                </c:pt>
                <c:pt idx="202">
                  <c:v>81</c:v>
                </c:pt>
                <c:pt idx="203">
                  <c:v>71</c:v>
                </c:pt>
                <c:pt idx="204">
                  <c:v>67</c:v>
                </c:pt>
                <c:pt idx="205">
                  <c:v>66</c:v>
                </c:pt>
                <c:pt idx="206">
                  <c:v>87</c:v>
                </c:pt>
                <c:pt idx="207">
                  <c:v>56</c:v>
                </c:pt>
                <c:pt idx="208">
                  <c:v>77</c:v>
                </c:pt>
                <c:pt idx="209">
                  <c:v>67</c:v>
                </c:pt>
                <c:pt idx="210">
                  <c:v>96</c:v>
                </c:pt>
                <c:pt idx="211">
                  <c:v>92</c:v>
                </c:pt>
                <c:pt idx="212">
                  <c:v>90</c:v>
                </c:pt>
                <c:pt idx="213">
                  <c:v>114</c:v>
                </c:pt>
                <c:pt idx="214">
                  <c:v>111</c:v>
                </c:pt>
                <c:pt idx="215">
                  <c:v>88</c:v>
                </c:pt>
                <c:pt idx="216">
                  <c:v>96</c:v>
                </c:pt>
                <c:pt idx="217">
                  <c:v>99</c:v>
                </c:pt>
                <c:pt idx="218">
                  <c:v>115</c:v>
                </c:pt>
                <c:pt idx="219">
                  <c:v>92</c:v>
                </c:pt>
                <c:pt idx="220">
                  <c:v>103</c:v>
                </c:pt>
                <c:pt idx="221">
                  <c:v>116</c:v>
                </c:pt>
                <c:pt idx="222">
                  <c:v>114</c:v>
                </c:pt>
                <c:pt idx="223">
                  <c:v>113</c:v>
                </c:pt>
                <c:pt idx="224">
                  <c:v>112</c:v>
                </c:pt>
                <c:pt idx="225">
                  <c:v>100</c:v>
                </c:pt>
                <c:pt idx="226">
                  <c:v>96</c:v>
                </c:pt>
                <c:pt idx="227">
                  <c:v>112</c:v>
                </c:pt>
                <c:pt idx="228">
                  <c:v>90</c:v>
                </c:pt>
                <c:pt idx="229">
                  <c:v>102</c:v>
                </c:pt>
                <c:pt idx="230">
                  <c:v>105</c:v>
                </c:pt>
                <c:pt idx="231">
                  <c:v>113</c:v>
                </c:pt>
                <c:pt idx="232">
                  <c:v>103</c:v>
                </c:pt>
                <c:pt idx="233">
                  <c:v>99</c:v>
                </c:pt>
                <c:pt idx="234">
                  <c:v>115</c:v>
                </c:pt>
                <c:pt idx="235">
                  <c:v>106</c:v>
                </c:pt>
                <c:pt idx="236">
                  <c:v>104</c:v>
                </c:pt>
                <c:pt idx="237">
                  <c:v>83</c:v>
                </c:pt>
                <c:pt idx="238">
                  <c:v>98</c:v>
                </c:pt>
                <c:pt idx="239">
                  <c:v>96</c:v>
                </c:pt>
                <c:pt idx="240">
                  <c:v>100</c:v>
                </c:pt>
                <c:pt idx="241">
                  <c:v>114</c:v>
                </c:pt>
                <c:pt idx="242">
                  <c:v>103</c:v>
                </c:pt>
                <c:pt idx="243">
                  <c:v>98</c:v>
                </c:pt>
                <c:pt idx="244">
                  <c:v>85</c:v>
                </c:pt>
                <c:pt idx="245">
                  <c:v>86</c:v>
                </c:pt>
                <c:pt idx="246">
                  <c:v>111</c:v>
                </c:pt>
                <c:pt idx="247">
                  <c:v>81</c:v>
                </c:pt>
                <c:pt idx="248">
                  <c:v>99</c:v>
                </c:pt>
                <c:pt idx="249">
                  <c:v>102</c:v>
                </c:pt>
                <c:pt idx="250">
                  <c:v>117</c:v>
                </c:pt>
                <c:pt idx="251">
                  <c:v>88</c:v>
                </c:pt>
                <c:pt idx="252">
                  <c:v>109</c:v>
                </c:pt>
                <c:pt idx="253">
                  <c:v>98</c:v>
                </c:pt>
                <c:pt idx="254">
                  <c:v>87</c:v>
                </c:pt>
                <c:pt idx="255">
                  <c:v>110</c:v>
                </c:pt>
                <c:pt idx="256">
                  <c:v>96</c:v>
                </c:pt>
                <c:pt idx="257">
                  <c:v>108</c:v>
                </c:pt>
                <c:pt idx="258">
                  <c:v>99</c:v>
                </c:pt>
                <c:pt idx="259">
                  <c:v>109</c:v>
                </c:pt>
                <c:pt idx="260">
                  <c:v>107</c:v>
                </c:pt>
                <c:pt idx="261">
                  <c:v>99</c:v>
                </c:pt>
                <c:pt idx="262">
                  <c:v>93</c:v>
                </c:pt>
                <c:pt idx="263">
                  <c:v>93</c:v>
                </c:pt>
                <c:pt idx="264">
                  <c:v>108</c:v>
                </c:pt>
                <c:pt idx="265">
                  <c:v>101</c:v>
                </c:pt>
                <c:pt idx="266">
                  <c:v>111</c:v>
                </c:pt>
                <c:pt idx="267">
                  <c:v>77</c:v>
                </c:pt>
                <c:pt idx="268">
                  <c:v>114</c:v>
                </c:pt>
                <c:pt idx="269">
                  <c:v>131</c:v>
                </c:pt>
                <c:pt idx="270">
                  <c:v>118</c:v>
                </c:pt>
                <c:pt idx="271">
                  <c:v>85</c:v>
                </c:pt>
                <c:pt idx="272">
                  <c:v>107</c:v>
                </c:pt>
                <c:pt idx="273">
                  <c:v>95</c:v>
                </c:pt>
                <c:pt idx="274">
                  <c:v>117</c:v>
                </c:pt>
                <c:pt idx="275">
                  <c:v>103</c:v>
                </c:pt>
                <c:pt idx="276">
                  <c:v>104</c:v>
                </c:pt>
                <c:pt idx="277">
                  <c:v>102</c:v>
                </c:pt>
                <c:pt idx="278">
                  <c:v>100</c:v>
                </c:pt>
                <c:pt idx="279">
                  <c:v>121</c:v>
                </c:pt>
                <c:pt idx="280">
                  <c:v>120</c:v>
                </c:pt>
                <c:pt idx="281">
                  <c:v>83</c:v>
                </c:pt>
                <c:pt idx="282">
                  <c:v>122</c:v>
                </c:pt>
                <c:pt idx="283">
                  <c:v>117</c:v>
                </c:pt>
                <c:pt idx="284">
                  <c:v>97</c:v>
                </c:pt>
                <c:pt idx="285">
                  <c:v>112</c:v>
                </c:pt>
                <c:pt idx="286">
                  <c:v>126</c:v>
                </c:pt>
                <c:pt idx="287">
                  <c:v>110</c:v>
                </c:pt>
                <c:pt idx="288">
                  <c:v>107</c:v>
                </c:pt>
                <c:pt idx="289">
                  <c:v>114</c:v>
                </c:pt>
                <c:pt idx="290">
                  <c:v>98</c:v>
                </c:pt>
                <c:pt idx="291">
                  <c:v>133</c:v>
                </c:pt>
                <c:pt idx="292">
                  <c:v>101</c:v>
                </c:pt>
                <c:pt idx="293">
                  <c:v>112</c:v>
                </c:pt>
                <c:pt idx="294">
                  <c:v>120</c:v>
                </c:pt>
                <c:pt idx="295">
                  <c:v>116</c:v>
                </c:pt>
                <c:pt idx="296">
                  <c:v>117</c:v>
                </c:pt>
                <c:pt idx="297">
                  <c:v>117</c:v>
                </c:pt>
                <c:pt idx="298">
                  <c:v>111</c:v>
                </c:pt>
                <c:pt idx="299">
                  <c:v>107</c:v>
                </c:pt>
                <c:pt idx="300">
                  <c:v>109</c:v>
                </c:pt>
                <c:pt idx="301">
                  <c:v>124</c:v>
                </c:pt>
                <c:pt idx="302">
                  <c:v>96</c:v>
                </c:pt>
                <c:pt idx="303">
                  <c:v>114</c:v>
                </c:pt>
                <c:pt idx="304">
                  <c:v>113</c:v>
                </c:pt>
                <c:pt idx="305">
                  <c:v>94</c:v>
                </c:pt>
                <c:pt idx="306">
                  <c:v>116</c:v>
                </c:pt>
                <c:pt idx="307">
                  <c:v>114</c:v>
                </c:pt>
                <c:pt idx="308">
                  <c:v>91</c:v>
                </c:pt>
                <c:pt idx="309">
                  <c:v>115</c:v>
                </c:pt>
                <c:pt idx="310">
                  <c:v>119</c:v>
                </c:pt>
                <c:pt idx="311">
                  <c:v>103</c:v>
                </c:pt>
                <c:pt idx="312">
                  <c:v>102</c:v>
                </c:pt>
                <c:pt idx="313">
                  <c:v>107</c:v>
                </c:pt>
                <c:pt idx="314">
                  <c:v>95</c:v>
                </c:pt>
                <c:pt idx="315">
                  <c:v>92</c:v>
                </c:pt>
                <c:pt idx="316">
                  <c:v>117</c:v>
                </c:pt>
                <c:pt idx="317">
                  <c:v>108</c:v>
                </c:pt>
                <c:pt idx="318">
                  <c:v>102</c:v>
                </c:pt>
                <c:pt idx="319">
                  <c:v>130</c:v>
                </c:pt>
                <c:pt idx="320">
                  <c:v>121</c:v>
                </c:pt>
                <c:pt idx="321">
                  <c:v>98</c:v>
                </c:pt>
                <c:pt idx="322">
                  <c:v>104</c:v>
                </c:pt>
                <c:pt idx="323">
                  <c:v>93</c:v>
                </c:pt>
                <c:pt idx="324">
                  <c:v>110</c:v>
                </c:pt>
                <c:pt idx="325">
                  <c:v>122</c:v>
                </c:pt>
                <c:pt idx="326">
                  <c:v>137</c:v>
                </c:pt>
                <c:pt idx="327">
                  <c:v>110</c:v>
                </c:pt>
                <c:pt idx="328">
                  <c:v>103</c:v>
                </c:pt>
                <c:pt idx="329">
                  <c:v>122</c:v>
                </c:pt>
                <c:pt idx="330">
                  <c:v>107</c:v>
                </c:pt>
                <c:pt idx="331">
                  <c:v>122</c:v>
                </c:pt>
                <c:pt idx="332">
                  <c:v>100</c:v>
                </c:pt>
                <c:pt idx="333">
                  <c:v>101</c:v>
                </c:pt>
                <c:pt idx="334">
                  <c:v>118</c:v>
                </c:pt>
                <c:pt idx="335">
                  <c:v>117</c:v>
                </c:pt>
                <c:pt idx="336">
                  <c:v>118</c:v>
                </c:pt>
                <c:pt idx="337">
                  <c:v>125</c:v>
                </c:pt>
                <c:pt idx="338">
                  <c:v>116</c:v>
                </c:pt>
                <c:pt idx="339">
                  <c:v>103</c:v>
                </c:pt>
                <c:pt idx="340">
                  <c:v>98</c:v>
                </c:pt>
                <c:pt idx="341">
                  <c:v>108</c:v>
                </c:pt>
                <c:pt idx="342">
                  <c:v>99</c:v>
                </c:pt>
                <c:pt idx="343">
                  <c:v>106</c:v>
                </c:pt>
                <c:pt idx="344">
                  <c:v>99</c:v>
                </c:pt>
                <c:pt idx="345">
                  <c:v>95</c:v>
                </c:pt>
                <c:pt idx="346">
                  <c:v>85</c:v>
                </c:pt>
                <c:pt idx="347">
                  <c:v>111</c:v>
                </c:pt>
                <c:pt idx="348">
                  <c:v>124</c:v>
                </c:pt>
                <c:pt idx="349">
                  <c:v>112</c:v>
                </c:pt>
                <c:pt idx="350">
                  <c:v>112</c:v>
                </c:pt>
                <c:pt idx="351">
                  <c:v>125</c:v>
                </c:pt>
                <c:pt idx="352">
                  <c:v>106</c:v>
                </c:pt>
                <c:pt idx="353">
                  <c:v>95</c:v>
                </c:pt>
                <c:pt idx="354">
                  <c:v>101</c:v>
                </c:pt>
                <c:pt idx="355">
                  <c:v>110</c:v>
                </c:pt>
                <c:pt idx="356">
                  <c:v>111</c:v>
                </c:pt>
                <c:pt idx="357">
                  <c:v>119</c:v>
                </c:pt>
                <c:pt idx="358">
                  <c:v>102</c:v>
                </c:pt>
                <c:pt idx="359">
                  <c:v>116</c:v>
                </c:pt>
                <c:pt idx="360">
                  <c:v>104</c:v>
                </c:pt>
                <c:pt idx="361">
                  <c:v>105</c:v>
                </c:pt>
                <c:pt idx="362">
                  <c:v>111</c:v>
                </c:pt>
                <c:pt idx="363">
                  <c:v>118</c:v>
                </c:pt>
                <c:pt idx="364">
                  <c:v>109</c:v>
                </c:pt>
                <c:pt idx="365">
                  <c:v>108</c:v>
                </c:pt>
                <c:pt idx="366">
                  <c:v>88</c:v>
                </c:pt>
                <c:pt idx="367">
                  <c:v>108</c:v>
                </c:pt>
                <c:pt idx="368">
                  <c:v>92</c:v>
                </c:pt>
                <c:pt idx="369">
                  <c:v>117</c:v>
                </c:pt>
                <c:pt idx="370">
                  <c:v>92</c:v>
                </c:pt>
                <c:pt idx="371">
                  <c:v>91</c:v>
                </c:pt>
                <c:pt idx="372">
                  <c:v>105</c:v>
                </c:pt>
                <c:pt idx="373">
                  <c:v>104</c:v>
                </c:pt>
                <c:pt idx="374">
                  <c:v>90</c:v>
                </c:pt>
                <c:pt idx="375">
                  <c:v>99</c:v>
                </c:pt>
                <c:pt idx="376">
                  <c:v>105</c:v>
                </c:pt>
                <c:pt idx="377">
                  <c:v>103</c:v>
                </c:pt>
                <c:pt idx="378">
                  <c:v>100</c:v>
                </c:pt>
                <c:pt idx="379">
                  <c:v>115</c:v>
                </c:pt>
                <c:pt idx="380">
                  <c:v>105</c:v>
                </c:pt>
                <c:pt idx="381">
                  <c:v>105</c:v>
                </c:pt>
                <c:pt idx="382">
                  <c:v>90</c:v>
                </c:pt>
                <c:pt idx="383">
                  <c:v>113</c:v>
                </c:pt>
                <c:pt idx="384">
                  <c:v>92</c:v>
                </c:pt>
                <c:pt idx="385">
                  <c:v>106</c:v>
                </c:pt>
                <c:pt idx="386">
                  <c:v>94</c:v>
                </c:pt>
                <c:pt idx="387">
                  <c:v>97</c:v>
                </c:pt>
                <c:pt idx="388">
                  <c:v>88</c:v>
                </c:pt>
                <c:pt idx="389">
                  <c:v>95</c:v>
                </c:pt>
                <c:pt idx="390">
                  <c:v>111</c:v>
                </c:pt>
                <c:pt idx="391">
                  <c:v>119</c:v>
                </c:pt>
                <c:pt idx="392">
                  <c:v>94</c:v>
                </c:pt>
                <c:pt idx="393">
                  <c:v>100</c:v>
                </c:pt>
                <c:pt idx="394">
                  <c:v>117</c:v>
                </c:pt>
                <c:pt idx="395">
                  <c:v>90</c:v>
                </c:pt>
                <c:pt idx="396">
                  <c:v>89</c:v>
                </c:pt>
                <c:pt idx="397">
                  <c:v>86</c:v>
                </c:pt>
                <c:pt idx="398">
                  <c:v>93</c:v>
                </c:pt>
                <c:pt idx="399">
                  <c:v>100</c:v>
                </c:pt>
                <c:pt idx="400">
                  <c:v>96</c:v>
                </c:pt>
                <c:pt idx="401">
                  <c:v>96</c:v>
                </c:pt>
                <c:pt idx="402">
                  <c:v>87</c:v>
                </c:pt>
                <c:pt idx="403">
                  <c:v>95</c:v>
                </c:pt>
                <c:pt idx="404">
                  <c:v>89</c:v>
                </c:pt>
                <c:pt idx="405">
                  <c:v>102</c:v>
                </c:pt>
                <c:pt idx="406">
                  <c:v>104</c:v>
                </c:pt>
                <c:pt idx="407">
                  <c:v>100</c:v>
                </c:pt>
                <c:pt idx="408">
                  <c:v>101</c:v>
                </c:pt>
                <c:pt idx="409">
                  <c:v>107</c:v>
                </c:pt>
                <c:pt idx="410">
                  <c:v>98</c:v>
                </c:pt>
                <c:pt idx="411">
                  <c:v>94</c:v>
                </c:pt>
                <c:pt idx="412">
                  <c:v>91</c:v>
                </c:pt>
                <c:pt idx="413">
                  <c:v>113</c:v>
                </c:pt>
                <c:pt idx="414">
                  <c:v>96</c:v>
                </c:pt>
                <c:pt idx="415">
                  <c:v>106</c:v>
                </c:pt>
                <c:pt idx="416">
                  <c:v>83</c:v>
                </c:pt>
                <c:pt idx="417">
                  <c:v>103</c:v>
                </c:pt>
                <c:pt idx="418">
                  <c:v>84</c:v>
                </c:pt>
                <c:pt idx="419">
                  <c:v>71</c:v>
                </c:pt>
                <c:pt idx="420">
                  <c:v>94</c:v>
                </c:pt>
                <c:pt idx="421">
                  <c:v>90</c:v>
                </c:pt>
                <c:pt idx="422">
                  <c:v>82</c:v>
                </c:pt>
                <c:pt idx="423">
                  <c:v>71</c:v>
                </c:pt>
                <c:pt idx="424">
                  <c:v>81</c:v>
                </c:pt>
                <c:pt idx="425">
                  <c:v>86</c:v>
                </c:pt>
                <c:pt idx="426">
                  <c:v>103</c:v>
                </c:pt>
                <c:pt idx="427">
                  <c:v>90</c:v>
                </c:pt>
                <c:pt idx="428">
                  <c:v>81</c:v>
                </c:pt>
                <c:pt idx="429">
                  <c:v>91</c:v>
                </c:pt>
                <c:pt idx="430">
                  <c:v>106</c:v>
                </c:pt>
                <c:pt idx="431">
                  <c:v>96</c:v>
                </c:pt>
                <c:pt idx="432">
                  <c:v>92</c:v>
                </c:pt>
                <c:pt idx="433">
                  <c:v>105</c:v>
                </c:pt>
                <c:pt idx="434">
                  <c:v>108</c:v>
                </c:pt>
                <c:pt idx="435">
                  <c:v>91</c:v>
                </c:pt>
                <c:pt idx="436">
                  <c:v>104</c:v>
                </c:pt>
                <c:pt idx="437">
                  <c:v>97</c:v>
                </c:pt>
                <c:pt idx="438">
                  <c:v>90</c:v>
                </c:pt>
                <c:pt idx="439">
                  <c:v>81</c:v>
                </c:pt>
                <c:pt idx="440">
                  <c:v>106</c:v>
                </c:pt>
                <c:pt idx="441">
                  <c:v>49</c:v>
                </c:pt>
              </c:numCache>
            </c:numRef>
          </c:val>
          <c:extLst>
            <c:ext xmlns:c16="http://schemas.microsoft.com/office/drawing/2014/chart" uri="{C3380CC4-5D6E-409C-BE32-E72D297353CC}">
              <c16:uniqueId val="{00000000-3E58-4EA8-9617-CAB190D7362A}"/>
            </c:ext>
          </c:extLst>
        </c:ser>
        <c:ser>
          <c:idx val="1"/>
          <c:order val="1"/>
          <c:tx>
            <c:strRef>
              <c:f>mirtys!$C$1</c:f>
              <c:strCache>
                <c:ptCount val="1"/>
                <c:pt idx="0">
                  <c:v>Mirtys nuo COVID-19</c:v>
                </c:pt>
              </c:strCache>
            </c:strRef>
          </c:tx>
          <c:spPr>
            <a:solidFill>
              <a:schemeClr val="accent2"/>
            </a:solidFill>
            <a:ln>
              <a:solidFill>
                <a:schemeClr val="accent2"/>
              </a:solidFill>
            </a:ln>
            <a:effectLst/>
          </c:spPr>
          <c:invertIfNegative val="0"/>
          <c:cat>
            <c:strRef>
              <c:f>mirtys!$A$2:$A$443</c:f>
              <c:strCache>
                <c:ptCount val="442"/>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pt idx="91">
                  <c:v>2020-04-01</c:v>
                </c:pt>
                <c:pt idx="92">
                  <c:v>2020-04-02</c:v>
                </c:pt>
                <c:pt idx="93">
                  <c:v>2020-04-03</c:v>
                </c:pt>
                <c:pt idx="94">
                  <c:v>2020-04-04</c:v>
                </c:pt>
                <c:pt idx="95">
                  <c:v>2020-04-05</c:v>
                </c:pt>
                <c:pt idx="96">
                  <c:v>2020-04-06</c:v>
                </c:pt>
                <c:pt idx="97">
                  <c:v>2020-04-07</c:v>
                </c:pt>
                <c:pt idx="98">
                  <c:v>2020-04-08</c:v>
                </c:pt>
                <c:pt idx="99">
                  <c:v>2020-04-09</c:v>
                </c:pt>
                <c:pt idx="100">
                  <c:v>2020-04-10</c:v>
                </c:pt>
                <c:pt idx="101">
                  <c:v>2020-04-11</c:v>
                </c:pt>
                <c:pt idx="102">
                  <c:v>2020-04-12</c:v>
                </c:pt>
                <c:pt idx="103">
                  <c:v>2020-04-13</c:v>
                </c:pt>
                <c:pt idx="104">
                  <c:v>2020-04-14</c:v>
                </c:pt>
                <c:pt idx="105">
                  <c:v>2020-04-15</c:v>
                </c:pt>
                <c:pt idx="106">
                  <c:v>2020-04-16</c:v>
                </c:pt>
                <c:pt idx="107">
                  <c:v>2020-04-17</c:v>
                </c:pt>
                <c:pt idx="108">
                  <c:v>2020-04-18</c:v>
                </c:pt>
                <c:pt idx="109">
                  <c:v>2020-04-19</c:v>
                </c:pt>
                <c:pt idx="110">
                  <c:v>2020-04-20</c:v>
                </c:pt>
                <c:pt idx="111">
                  <c:v>2020-04-21</c:v>
                </c:pt>
                <c:pt idx="112">
                  <c:v>2020-04-22</c:v>
                </c:pt>
                <c:pt idx="113">
                  <c:v>2020-04-23</c:v>
                </c:pt>
                <c:pt idx="114">
                  <c:v>2020-04-24</c:v>
                </c:pt>
                <c:pt idx="115">
                  <c:v>2020-04-25</c:v>
                </c:pt>
                <c:pt idx="116">
                  <c:v>2020-04-26</c:v>
                </c:pt>
                <c:pt idx="117">
                  <c:v>2020-04-27</c:v>
                </c:pt>
                <c:pt idx="118">
                  <c:v>2020-04-28</c:v>
                </c:pt>
                <c:pt idx="119">
                  <c:v>2020-04-29</c:v>
                </c:pt>
                <c:pt idx="120">
                  <c:v>2020-04-30</c:v>
                </c:pt>
                <c:pt idx="121">
                  <c:v>2020-05-01</c:v>
                </c:pt>
                <c:pt idx="122">
                  <c:v>2020-05-02</c:v>
                </c:pt>
                <c:pt idx="123">
                  <c:v>2020-05-03</c:v>
                </c:pt>
                <c:pt idx="124">
                  <c:v>2020-05-04</c:v>
                </c:pt>
                <c:pt idx="125">
                  <c:v>2020-05-05</c:v>
                </c:pt>
                <c:pt idx="126">
                  <c:v>2020-05-06</c:v>
                </c:pt>
                <c:pt idx="127">
                  <c:v>2020-05-07</c:v>
                </c:pt>
                <c:pt idx="128">
                  <c:v>2020-05-08</c:v>
                </c:pt>
                <c:pt idx="129">
                  <c:v>2020-05-09</c:v>
                </c:pt>
                <c:pt idx="130">
                  <c:v>2020-05-10</c:v>
                </c:pt>
                <c:pt idx="131">
                  <c:v>2020-05-11</c:v>
                </c:pt>
                <c:pt idx="132">
                  <c:v>2020-05-12</c:v>
                </c:pt>
                <c:pt idx="133">
                  <c:v>2020-05-13</c:v>
                </c:pt>
                <c:pt idx="134">
                  <c:v>2020-05-14</c:v>
                </c:pt>
                <c:pt idx="135">
                  <c:v>2020-05-15</c:v>
                </c:pt>
                <c:pt idx="136">
                  <c:v>2020-05-16</c:v>
                </c:pt>
                <c:pt idx="137">
                  <c:v>2020-05-17</c:v>
                </c:pt>
                <c:pt idx="138">
                  <c:v>2020-05-18</c:v>
                </c:pt>
                <c:pt idx="139">
                  <c:v>2020-05-19</c:v>
                </c:pt>
                <c:pt idx="140">
                  <c:v>2020-05-20</c:v>
                </c:pt>
                <c:pt idx="141">
                  <c:v>2020-05-21</c:v>
                </c:pt>
                <c:pt idx="142">
                  <c:v>2020-05-22</c:v>
                </c:pt>
                <c:pt idx="143">
                  <c:v>2020-05-23</c:v>
                </c:pt>
                <c:pt idx="144">
                  <c:v>2020-05-24</c:v>
                </c:pt>
                <c:pt idx="145">
                  <c:v>2020-05-25</c:v>
                </c:pt>
                <c:pt idx="146">
                  <c:v>2020-05-26</c:v>
                </c:pt>
                <c:pt idx="147">
                  <c:v>2020-05-27</c:v>
                </c:pt>
                <c:pt idx="148">
                  <c:v>2020-05-28</c:v>
                </c:pt>
                <c:pt idx="149">
                  <c:v>2020-05-29</c:v>
                </c:pt>
                <c:pt idx="150">
                  <c:v>2020-05-30</c:v>
                </c:pt>
                <c:pt idx="151">
                  <c:v>2020-05-31</c:v>
                </c:pt>
                <c:pt idx="152">
                  <c:v>2020-06-01</c:v>
                </c:pt>
                <c:pt idx="153">
                  <c:v>2020-06-02</c:v>
                </c:pt>
                <c:pt idx="154">
                  <c:v>2020-06-03</c:v>
                </c:pt>
                <c:pt idx="155">
                  <c:v>2020-06-04</c:v>
                </c:pt>
                <c:pt idx="156">
                  <c:v>2020-06-05</c:v>
                </c:pt>
                <c:pt idx="157">
                  <c:v>2020-06-06</c:v>
                </c:pt>
                <c:pt idx="158">
                  <c:v>2020-06-07</c:v>
                </c:pt>
                <c:pt idx="159">
                  <c:v>2020-06-08</c:v>
                </c:pt>
                <c:pt idx="160">
                  <c:v>2020-06-09</c:v>
                </c:pt>
                <c:pt idx="161">
                  <c:v>2020-06-10</c:v>
                </c:pt>
                <c:pt idx="162">
                  <c:v>2020-06-11</c:v>
                </c:pt>
                <c:pt idx="163">
                  <c:v>2020-06-12</c:v>
                </c:pt>
                <c:pt idx="164">
                  <c:v>2020-06-13</c:v>
                </c:pt>
                <c:pt idx="165">
                  <c:v>2020-06-14</c:v>
                </c:pt>
                <c:pt idx="166">
                  <c:v>2020-06-15</c:v>
                </c:pt>
                <c:pt idx="167">
                  <c:v>2020-06-16</c:v>
                </c:pt>
                <c:pt idx="168">
                  <c:v>2020-06-17</c:v>
                </c:pt>
                <c:pt idx="169">
                  <c:v>2020-06-18</c:v>
                </c:pt>
                <c:pt idx="170">
                  <c:v>2020-06-19</c:v>
                </c:pt>
                <c:pt idx="171">
                  <c:v>2020-06-20</c:v>
                </c:pt>
                <c:pt idx="172">
                  <c:v>2020-06-21</c:v>
                </c:pt>
                <c:pt idx="173">
                  <c:v>2020-06-22</c:v>
                </c:pt>
                <c:pt idx="174">
                  <c:v>2020-06-23</c:v>
                </c:pt>
                <c:pt idx="175">
                  <c:v>2020-06-24</c:v>
                </c:pt>
                <c:pt idx="176">
                  <c:v>2020-06-25</c:v>
                </c:pt>
                <c:pt idx="177">
                  <c:v>2020-06-26</c:v>
                </c:pt>
                <c:pt idx="178">
                  <c:v>2020-06-27</c:v>
                </c:pt>
                <c:pt idx="179">
                  <c:v>2020-06-28</c:v>
                </c:pt>
                <c:pt idx="180">
                  <c:v>2020-06-29</c:v>
                </c:pt>
                <c:pt idx="181">
                  <c:v>2020-06-30</c:v>
                </c:pt>
                <c:pt idx="182">
                  <c:v>2020-07-01</c:v>
                </c:pt>
                <c:pt idx="183">
                  <c:v>2020-07-02</c:v>
                </c:pt>
                <c:pt idx="184">
                  <c:v>2020-07-03</c:v>
                </c:pt>
                <c:pt idx="185">
                  <c:v>2020-07-04</c:v>
                </c:pt>
                <c:pt idx="186">
                  <c:v>2020-07-05</c:v>
                </c:pt>
                <c:pt idx="187">
                  <c:v>2020-07-06</c:v>
                </c:pt>
                <c:pt idx="188">
                  <c:v>2020-07-07</c:v>
                </c:pt>
                <c:pt idx="189">
                  <c:v>2020-07-08</c:v>
                </c:pt>
                <c:pt idx="190">
                  <c:v>2020-07-09</c:v>
                </c:pt>
                <c:pt idx="191">
                  <c:v>2020-07-10</c:v>
                </c:pt>
                <c:pt idx="192">
                  <c:v>2020-07-11</c:v>
                </c:pt>
                <c:pt idx="193">
                  <c:v>2020-07-12</c:v>
                </c:pt>
                <c:pt idx="194">
                  <c:v>2020-07-13</c:v>
                </c:pt>
                <c:pt idx="195">
                  <c:v>2020-07-14</c:v>
                </c:pt>
                <c:pt idx="196">
                  <c:v>2020-07-15</c:v>
                </c:pt>
                <c:pt idx="197">
                  <c:v>2020-07-16</c:v>
                </c:pt>
                <c:pt idx="198">
                  <c:v>2020-07-17</c:v>
                </c:pt>
                <c:pt idx="199">
                  <c:v>2020-07-18</c:v>
                </c:pt>
                <c:pt idx="200">
                  <c:v>2020-07-19</c:v>
                </c:pt>
                <c:pt idx="201">
                  <c:v>2020-07-20</c:v>
                </c:pt>
                <c:pt idx="202">
                  <c:v>2020-07-21</c:v>
                </c:pt>
                <c:pt idx="203">
                  <c:v>2020-07-22</c:v>
                </c:pt>
                <c:pt idx="204">
                  <c:v>2020-07-23</c:v>
                </c:pt>
                <c:pt idx="205">
                  <c:v>2020-07-24</c:v>
                </c:pt>
                <c:pt idx="206">
                  <c:v>2020-07-25</c:v>
                </c:pt>
                <c:pt idx="207">
                  <c:v>2020-07-26</c:v>
                </c:pt>
                <c:pt idx="208">
                  <c:v>2020-07-27</c:v>
                </c:pt>
                <c:pt idx="209">
                  <c:v>2020-07-28</c:v>
                </c:pt>
                <c:pt idx="210">
                  <c:v>2020-07-29</c:v>
                </c:pt>
                <c:pt idx="211">
                  <c:v>2020-07-30</c:v>
                </c:pt>
                <c:pt idx="212">
                  <c:v>2020-07-31</c:v>
                </c:pt>
                <c:pt idx="213">
                  <c:v>2020-08-01</c:v>
                </c:pt>
                <c:pt idx="214">
                  <c:v>2020-08-02</c:v>
                </c:pt>
                <c:pt idx="215">
                  <c:v>2020-08-03</c:v>
                </c:pt>
                <c:pt idx="216">
                  <c:v>2020-08-04</c:v>
                </c:pt>
                <c:pt idx="217">
                  <c:v>2020-08-05</c:v>
                </c:pt>
                <c:pt idx="218">
                  <c:v>2020-08-06</c:v>
                </c:pt>
                <c:pt idx="219">
                  <c:v>2020-08-07</c:v>
                </c:pt>
                <c:pt idx="220">
                  <c:v>2020-08-08</c:v>
                </c:pt>
                <c:pt idx="221">
                  <c:v>2020-08-09</c:v>
                </c:pt>
                <c:pt idx="222">
                  <c:v>2020-08-10</c:v>
                </c:pt>
                <c:pt idx="223">
                  <c:v>2020-08-11</c:v>
                </c:pt>
                <c:pt idx="224">
                  <c:v>2020-08-12</c:v>
                </c:pt>
                <c:pt idx="225">
                  <c:v>2020-08-13</c:v>
                </c:pt>
                <c:pt idx="226">
                  <c:v>2020-08-14</c:v>
                </c:pt>
                <c:pt idx="227">
                  <c:v>2020-08-15</c:v>
                </c:pt>
                <c:pt idx="228">
                  <c:v>2020-08-16</c:v>
                </c:pt>
                <c:pt idx="229">
                  <c:v>2020-08-17</c:v>
                </c:pt>
                <c:pt idx="230">
                  <c:v>2020-08-18</c:v>
                </c:pt>
                <c:pt idx="231">
                  <c:v>2020-08-19</c:v>
                </c:pt>
                <c:pt idx="232">
                  <c:v>2020-08-20</c:v>
                </c:pt>
                <c:pt idx="233">
                  <c:v>2020-08-21</c:v>
                </c:pt>
                <c:pt idx="234">
                  <c:v>2020-08-22</c:v>
                </c:pt>
                <c:pt idx="235">
                  <c:v>2020-08-23</c:v>
                </c:pt>
                <c:pt idx="236">
                  <c:v>2020-08-24</c:v>
                </c:pt>
                <c:pt idx="237">
                  <c:v>2020-08-25</c:v>
                </c:pt>
                <c:pt idx="238">
                  <c:v>2020-08-26</c:v>
                </c:pt>
                <c:pt idx="239">
                  <c:v>2020-08-27</c:v>
                </c:pt>
                <c:pt idx="240">
                  <c:v>2020-08-28</c:v>
                </c:pt>
                <c:pt idx="241">
                  <c:v>2020-08-29</c:v>
                </c:pt>
                <c:pt idx="242">
                  <c:v>2020-08-30</c:v>
                </c:pt>
                <c:pt idx="243">
                  <c:v>2020-08-31</c:v>
                </c:pt>
                <c:pt idx="244">
                  <c:v>2020-09-01</c:v>
                </c:pt>
                <c:pt idx="245">
                  <c:v>2020-09-02</c:v>
                </c:pt>
                <c:pt idx="246">
                  <c:v>2020-09-03</c:v>
                </c:pt>
                <c:pt idx="247">
                  <c:v>2020-09-04</c:v>
                </c:pt>
                <c:pt idx="248">
                  <c:v>2020-09-05</c:v>
                </c:pt>
                <c:pt idx="249">
                  <c:v>2020-09-06</c:v>
                </c:pt>
                <c:pt idx="250">
                  <c:v>2020-09-07</c:v>
                </c:pt>
                <c:pt idx="251">
                  <c:v>2020-09-08</c:v>
                </c:pt>
                <c:pt idx="252">
                  <c:v>2020-09-09</c:v>
                </c:pt>
                <c:pt idx="253">
                  <c:v>2020-09-10</c:v>
                </c:pt>
                <c:pt idx="254">
                  <c:v>2020-09-11</c:v>
                </c:pt>
                <c:pt idx="255">
                  <c:v>2020-09-12</c:v>
                </c:pt>
                <c:pt idx="256">
                  <c:v>2020-09-13</c:v>
                </c:pt>
                <c:pt idx="257">
                  <c:v>2020-09-14</c:v>
                </c:pt>
                <c:pt idx="258">
                  <c:v>2020-09-15</c:v>
                </c:pt>
                <c:pt idx="259">
                  <c:v>2020-09-16</c:v>
                </c:pt>
                <c:pt idx="260">
                  <c:v>2020-09-17</c:v>
                </c:pt>
                <c:pt idx="261">
                  <c:v>2020-09-18</c:v>
                </c:pt>
                <c:pt idx="262">
                  <c:v>2020-09-19</c:v>
                </c:pt>
                <c:pt idx="263">
                  <c:v>2020-09-20</c:v>
                </c:pt>
                <c:pt idx="264">
                  <c:v>2020-09-21</c:v>
                </c:pt>
                <c:pt idx="265">
                  <c:v>2020-09-22</c:v>
                </c:pt>
                <c:pt idx="266">
                  <c:v>2020-09-23</c:v>
                </c:pt>
                <c:pt idx="267">
                  <c:v>2020-09-24</c:v>
                </c:pt>
                <c:pt idx="268">
                  <c:v>2020-09-25</c:v>
                </c:pt>
                <c:pt idx="269">
                  <c:v>2020-09-26</c:v>
                </c:pt>
                <c:pt idx="270">
                  <c:v>2020-09-27</c:v>
                </c:pt>
                <c:pt idx="271">
                  <c:v>2020-09-28</c:v>
                </c:pt>
                <c:pt idx="272">
                  <c:v>2020-09-29</c:v>
                </c:pt>
                <c:pt idx="273">
                  <c:v>2020-09-30</c:v>
                </c:pt>
                <c:pt idx="274">
                  <c:v>2020-10-01</c:v>
                </c:pt>
                <c:pt idx="275">
                  <c:v>2020-10-02</c:v>
                </c:pt>
                <c:pt idx="276">
                  <c:v>2020-10-03</c:v>
                </c:pt>
                <c:pt idx="277">
                  <c:v>2020-10-04</c:v>
                </c:pt>
                <c:pt idx="278">
                  <c:v>2020-10-05</c:v>
                </c:pt>
                <c:pt idx="279">
                  <c:v>2020-10-06</c:v>
                </c:pt>
                <c:pt idx="280">
                  <c:v>2020-10-07</c:v>
                </c:pt>
                <c:pt idx="281">
                  <c:v>2020-10-08</c:v>
                </c:pt>
                <c:pt idx="282">
                  <c:v>2020-10-09</c:v>
                </c:pt>
                <c:pt idx="283">
                  <c:v>2020-10-10</c:v>
                </c:pt>
                <c:pt idx="284">
                  <c:v>2020-10-11</c:v>
                </c:pt>
                <c:pt idx="285">
                  <c:v>2020-10-12</c:v>
                </c:pt>
                <c:pt idx="286">
                  <c:v>2020-10-13</c:v>
                </c:pt>
                <c:pt idx="287">
                  <c:v>2020-10-14</c:v>
                </c:pt>
                <c:pt idx="288">
                  <c:v>2020-10-15</c:v>
                </c:pt>
                <c:pt idx="289">
                  <c:v>2020-10-16</c:v>
                </c:pt>
                <c:pt idx="290">
                  <c:v>2020-10-17</c:v>
                </c:pt>
                <c:pt idx="291">
                  <c:v>2020-10-18</c:v>
                </c:pt>
                <c:pt idx="292">
                  <c:v>2020-10-19</c:v>
                </c:pt>
                <c:pt idx="293">
                  <c:v>2020-10-20</c:v>
                </c:pt>
                <c:pt idx="294">
                  <c:v>2020-10-21</c:v>
                </c:pt>
                <c:pt idx="295">
                  <c:v>2020-10-22</c:v>
                </c:pt>
                <c:pt idx="296">
                  <c:v>2020-10-23</c:v>
                </c:pt>
                <c:pt idx="297">
                  <c:v>2020-10-24</c:v>
                </c:pt>
                <c:pt idx="298">
                  <c:v>2020-10-25</c:v>
                </c:pt>
                <c:pt idx="299">
                  <c:v>2020-10-26</c:v>
                </c:pt>
                <c:pt idx="300">
                  <c:v>2020-10-27</c:v>
                </c:pt>
                <c:pt idx="301">
                  <c:v>2020-10-28</c:v>
                </c:pt>
                <c:pt idx="302">
                  <c:v>2020-10-29</c:v>
                </c:pt>
                <c:pt idx="303">
                  <c:v>2020-10-30</c:v>
                </c:pt>
                <c:pt idx="304">
                  <c:v>2020-10-31</c:v>
                </c:pt>
                <c:pt idx="305">
                  <c:v>2020-11-01</c:v>
                </c:pt>
                <c:pt idx="306">
                  <c:v>2020-11-02</c:v>
                </c:pt>
                <c:pt idx="307">
                  <c:v>2020-11-03</c:v>
                </c:pt>
                <c:pt idx="308">
                  <c:v>2020-11-04</c:v>
                </c:pt>
                <c:pt idx="309">
                  <c:v>2020-11-05</c:v>
                </c:pt>
                <c:pt idx="310">
                  <c:v>2020-11-06</c:v>
                </c:pt>
                <c:pt idx="311">
                  <c:v>2020-11-07</c:v>
                </c:pt>
                <c:pt idx="312">
                  <c:v>2020-11-08</c:v>
                </c:pt>
                <c:pt idx="313">
                  <c:v>2020-11-09</c:v>
                </c:pt>
                <c:pt idx="314">
                  <c:v>2020-11-10</c:v>
                </c:pt>
                <c:pt idx="315">
                  <c:v>2020-11-11</c:v>
                </c:pt>
                <c:pt idx="316">
                  <c:v>2020-11-12</c:v>
                </c:pt>
                <c:pt idx="317">
                  <c:v>2020-11-13</c:v>
                </c:pt>
                <c:pt idx="318">
                  <c:v>2020-11-14</c:v>
                </c:pt>
                <c:pt idx="319">
                  <c:v>2020-11-15</c:v>
                </c:pt>
                <c:pt idx="320">
                  <c:v>2020-11-16</c:v>
                </c:pt>
                <c:pt idx="321">
                  <c:v>2020-11-17</c:v>
                </c:pt>
                <c:pt idx="322">
                  <c:v>2020-11-18</c:v>
                </c:pt>
                <c:pt idx="323">
                  <c:v>2020-11-19</c:v>
                </c:pt>
                <c:pt idx="324">
                  <c:v>2020-11-20</c:v>
                </c:pt>
                <c:pt idx="325">
                  <c:v>2020-11-21</c:v>
                </c:pt>
                <c:pt idx="326">
                  <c:v>2020-11-22</c:v>
                </c:pt>
                <c:pt idx="327">
                  <c:v>2020-11-23</c:v>
                </c:pt>
                <c:pt idx="328">
                  <c:v>2020-11-24</c:v>
                </c:pt>
                <c:pt idx="329">
                  <c:v>2020-11-25</c:v>
                </c:pt>
                <c:pt idx="330">
                  <c:v>2020-11-26</c:v>
                </c:pt>
                <c:pt idx="331">
                  <c:v>2020-11-27</c:v>
                </c:pt>
                <c:pt idx="332">
                  <c:v>2020-11-28</c:v>
                </c:pt>
                <c:pt idx="333">
                  <c:v>2020-11-29</c:v>
                </c:pt>
                <c:pt idx="334">
                  <c:v>2020-11-30</c:v>
                </c:pt>
                <c:pt idx="335">
                  <c:v>2020-12-01</c:v>
                </c:pt>
                <c:pt idx="336">
                  <c:v>2020-12-02</c:v>
                </c:pt>
                <c:pt idx="337">
                  <c:v>2020-12-03</c:v>
                </c:pt>
                <c:pt idx="338">
                  <c:v>2020-12-04</c:v>
                </c:pt>
                <c:pt idx="339">
                  <c:v>2020-12-05</c:v>
                </c:pt>
                <c:pt idx="340">
                  <c:v>2020-12-06</c:v>
                </c:pt>
                <c:pt idx="341">
                  <c:v>2020-12-07</c:v>
                </c:pt>
                <c:pt idx="342">
                  <c:v>2020-12-08</c:v>
                </c:pt>
                <c:pt idx="343">
                  <c:v>2020-12-09</c:v>
                </c:pt>
                <c:pt idx="344">
                  <c:v>2020-12-10</c:v>
                </c:pt>
                <c:pt idx="345">
                  <c:v>2020-12-11</c:v>
                </c:pt>
                <c:pt idx="346">
                  <c:v>2020-12-12</c:v>
                </c:pt>
                <c:pt idx="347">
                  <c:v>2020-12-13</c:v>
                </c:pt>
                <c:pt idx="348">
                  <c:v>2020-12-14</c:v>
                </c:pt>
                <c:pt idx="349">
                  <c:v>2020-12-15</c:v>
                </c:pt>
                <c:pt idx="350">
                  <c:v>2020-12-16</c:v>
                </c:pt>
                <c:pt idx="351">
                  <c:v>2020-12-17</c:v>
                </c:pt>
                <c:pt idx="352">
                  <c:v>2020-12-18</c:v>
                </c:pt>
                <c:pt idx="353">
                  <c:v>2020-12-19</c:v>
                </c:pt>
                <c:pt idx="354">
                  <c:v>2020-12-20</c:v>
                </c:pt>
                <c:pt idx="355">
                  <c:v>2020-12-21</c:v>
                </c:pt>
                <c:pt idx="356">
                  <c:v>2020-12-22</c:v>
                </c:pt>
                <c:pt idx="357">
                  <c:v>2020-12-23</c:v>
                </c:pt>
                <c:pt idx="358">
                  <c:v>2020-12-24</c:v>
                </c:pt>
                <c:pt idx="359">
                  <c:v>2020-12-25</c:v>
                </c:pt>
                <c:pt idx="360">
                  <c:v>2020-12-26</c:v>
                </c:pt>
                <c:pt idx="361">
                  <c:v>2020-12-27</c:v>
                </c:pt>
                <c:pt idx="362">
                  <c:v>2020-12-28</c:v>
                </c:pt>
                <c:pt idx="363">
                  <c:v>2020-12-29</c:v>
                </c:pt>
                <c:pt idx="364">
                  <c:v>2020-12-30</c:v>
                </c:pt>
                <c:pt idx="365">
                  <c:v>2020-12-31</c:v>
                </c:pt>
                <c:pt idx="366">
                  <c:v>2021-01-01</c:v>
                </c:pt>
                <c:pt idx="367">
                  <c:v>2021-01-02</c:v>
                </c:pt>
                <c:pt idx="368">
                  <c:v>2021-01-03</c:v>
                </c:pt>
                <c:pt idx="369">
                  <c:v>2021-01-04</c:v>
                </c:pt>
                <c:pt idx="370">
                  <c:v>2021-01-05</c:v>
                </c:pt>
                <c:pt idx="371">
                  <c:v>2021-01-06</c:v>
                </c:pt>
                <c:pt idx="372">
                  <c:v>2021-01-07</c:v>
                </c:pt>
                <c:pt idx="373">
                  <c:v>2021-01-08</c:v>
                </c:pt>
                <c:pt idx="374">
                  <c:v>2021-01-09</c:v>
                </c:pt>
                <c:pt idx="375">
                  <c:v>2021-01-10</c:v>
                </c:pt>
                <c:pt idx="376">
                  <c:v>2021-01-11</c:v>
                </c:pt>
                <c:pt idx="377">
                  <c:v>2021-01-12</c:v>
                </c:pt>
                <c:pt idx="378">
                  <c:v>2021-01-13</c:v>
                </c:pt>
                <c:pt idx="379">
                  <c:v>2021-01-14</c:v>
                </c:pt>
                <c:pt idx="380">
                  <c:v>2021-01-15</c:v>
                </c:pt>
                <c:pt idx="381">
                  <c:v>2021-01-16</c:v>
                </c:pt>
                <c:pt idx="382">
                  <c:v>2021-01-17</c:v>
                </c:pt>
                <c:pt idx="383">
                  <c:v>2021-01-18</c:v>
                </c:pt>
                <c:pt idx="384">
                  <c:v>2021-01-19</c:v>
                </c:pt>
                <c:pt idx="385">
                  <c:v>2021-01-20</c:v>
                </c:pt>
                <c:pt idx="386">
                  <c:v>2021-01-21</c:v>
                </c:pt>
                <c:pt idx="387">
                  <c:v>2021-01-22</c:v>
                </c:pt>
                <c:pt idx="388">
                  <c:v>2021-01-23</c:v>
                </c:pt>
                <c:pt idx="389">
                  <c:v>2021-01-24</c:v>
                </c:pt>
                <c:pt idx="390">
                  <c:v>2021-01-25</c:v>
                </c:pt>
                <c:pt idx="391">
                  <c:v>2021-01-26</c:v>
                </c:pt>
                <c:pt idx="392">
                  <c:v>2021-01-27</c:v>
                </c:pt>
                <c:pt idx="393">
                  <c:v>2021-01-28</c:v>
                </c:pt>
                <c:pt idx="394">
                  <c:v>2021-01-29</c:v>
                </c:pt>
                <c:pt idx="395">
                  <c:v>2021-01-30</c:v>
                </c:pt>
                <c:pt idx="396">
                  <c:v>2021-01-31</c:v>
                </c:pt>
                <c:pt idx="397">
                  <c:v>2021-02-01</c:v>
                </c:pt>
                <c:pt idx="398">
                  <c:v>2021-02-02</c:v>
                </c:pt>
                <c:pt idx="399">
                  <c:v>2021-02-03</c:v>
                </c:pt>
                <c:pt idx="400">
                  <c:v>2021-02-04</c:v>
                </c:pt>
                <c:pt idx="401">
                  <c:v>2021-02-05</c:v>
                </c:pt>
                <c:pt idx="402">
                  <c:v>2021-02-06</c:v>
                </c:pt>
                <c:pt idx="403">
                  <c:v>2021-02-07</c:v>
                </c:pt>
                <c:pt idx="404">
                  <c:v>2021-02-08</c:v>
                </c:pt>
                <c:pt idx="405">
                  <c:v>2021-02-09</c:v>
                </c:pt>
                <c:pt idx="406">
                  <c:v>2021-02-10</c:v>
                </c:pt>
                <c:pt idx="407">
                  <c:v>2021-02-11</c:v>
                </c:pt>
                <c:pt idx="408">
                  <c:v>2021-02-12</c:v>
                </c:pt>
                <c:pt idx="409">
                  <c:v>2021-02-13</c:v>
                </c:pt>
                <c:pt idx="410">
                  <c:v>2021-02-14</c:v>
                </c:pt>
                <c:pt idx="411">
                  <c:v>2021-02-15</c:v>
                </c:pt>
                <c:pt idx="412">
                  <c:v>2021-02-16</c:v>
                </c:pt>
                <c:pt idx="413">
                  <c:v>2021-02-17</c:v>
                </c:pt>
                <c:pt idx="414">
                  <c:v>2021-02-18</c:v>
                </c:pt>
                <c:pt idx="415">
                  <c:v>2021-02-19</c:v>
                </c:pt>
                <c:pt idx="416">
                  <c:v>2021-02-20</c:v>
                </c:pt>
                <c:pt idx="417">
                  <c:v>2021-02-21</c:v>
                </c:pt>
                <c:pt idx="418">
                  <c:v>2021-02-22</c:v>
                </c:pt>
                <c:pt idx="419">
                  <c:v>2021-02-23</c:v>
                </c:pt>
                <c:pt idx="420">
                  <c:v>2021-02-24</c:v>
                </c:pt>
                <c:pt idx="421">
                  <c:v>2021-02-25</c:v>
                </c:pt>
                <c:pt idx="422">
                  <c:v>2021-02-26</c:v>
                </c:pt>
                <c:pt idx="423">
                  <c:v>2021-02-27</c:v>
                </c:pt>
                <c:pt idx="424">
                  <c:v>2021-02-28</c:v>
                </c:pt>
                <c:pt idx="425">
                  <c:v>2021-03-01</c:v>
                </c:pt>
                <c:pt idx="426">
                  <c:v>2021-03-02</c:v>
                </c:pt>
                <c:pt idx="427">
                  <c:v>2021-03-03</c:v>
                </c:pt>
                <c:pt idx="428">
                  <c:v>2021-03-04</c:v>
                </c:pt>
                <c:pt idx="429">
                  <c:v>2021-03-05</c:v>
                </c:pt>
                <c:pt idx="430">
                  <c:v>2021-03-06</c:v>
                </c:pt>
                <c:pt idx="431">
                  <c:v>2021-03-07</c:v>
                </c:pt>
                <c:pt idx="432">
                  <c:v>2021-03-08</c:v>
                </c:pt>
                <c:pt idx="433">
                  <c:v>2021-03-09</c:v>
                </c:pt>
                <c:pt idx="434">
                  <c:v>2021-03-10</c:v>
                </c:pt>
                <c:pt idx="435">
                  <c:v>2021-03-11</c:v>
                </c:pt>
                <c:pt idx="436">
                  <c:v>2021-03-12</c:v>
                </c:pt>
                <c:pt idx="437">
                  <c:v>2021-03-13</c:v>
                </c:pt>
                <c:pt idx="438">
                  <c:v>2021-03-14</c:v>
                </c:pt>
                <c:pt idx="439">
                  <c:v>2021-03-15</c:v>
                </c:pt>
                <c:pt idx="440">
                  <c:v>2021-03-16</c:v>
                </c:pt>
                <c:pt idx="441">
                  <c:v>2021-03-17</c:v>
                </c:pt>
              </c:strCache>
            </c:strRef>
          </c:cat>
          <c:val>
            <c:numRef>
              <c:f>mirtys!$C$2:$C$443</c:f>
              <c:numCache>
                <c:formatCode>General</c:formatCode>
                <c:ptCount val="4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1</c:v>
                </c:pt>
                <c:pt idx="83">
                  <c:v>1</c:v>
                </c:pt>
                <c:pt idx="84">
                  <c:v>1</c:v>
                </c:pt>
                <c:pt idx="85">
                  <c:v>1</c:v>
                </c:pt>
                <c:pt idx="86">
                  <c:v>0</c:v>
                </c:pt>
                <c:pt idx="87">
                  <c:v>0</c:v>
                </c:pt>
                <c:pt idx="88">
                  <c:v>0</c:v>
                </c:pt>
                <c:pt idx="89">
                  <c:v>0</c:v>
                </c:pt>
                <c:pt idx="90">
                  <c:v>2</c:v>
                </c:pt>
                <c:pt idx="91">
                  <c:v>0</c:v>
                </c:pt>
                <c:pt idx="92">
                  <c:v>0</c:v>
                </c:pt>
                <c:pt idx="93">
                  <c:v>1</c:v>
                </c:pt>
                <c:pt idx="94">
                  <c:v>1</c:v>
                </c:pt>
                <c:pt idx="95">
                  <c:v>2</c:v>
                </c:pt>
                <c:pt idx="96">
                  <c:v>1</c:v>
                </c:pt>
                <c:pt idx="97">
                  <c:v>0</c:v>
                </c:pt>
                <c:pt idx="98">
                  <c:v>0</c:v>
                </c:pt>
                <c:pt idx="99">
                  <c:v>1</c:v>
                </c:pt>
                <c:pt idx="100">
                  <c:v>1</c:v>
                </c:pt>
                <c:pt idx="101">
                  <c:v>1</c:v>
                </c:pt>
                <c:pt idx="102">
                  <c:v>1</c:v>
                </c:pt>
                <c:pt idx="103">
                  <c:v>1</c:v>
                </c:pt>
                <c:pt idx="104">
                  <c:v>4</c:v>
                </c:pt>
                <c:pt idx="105">
                  <c:v>0</c:v>
                </c:pt>
                <c:pt idx="106">
                  <c:v>1</c:v>
                </c:pt>
                <c:pt idx="107">
                  <c:v>1</c:v>
                </c:pt>
                <c:pt idx="108">
                  <c:v>1</c:v>
                </c:pt>
                <c:pt idx="109">
                  <c:v>3</c:v>
                </c:pt>
                <c:pt idx="110">
                  <c:v>0</c:v>
                </c:pt>
                <c:pt idx="111">
                  <c:v>1</c:v>
                </c:pt>
                <c:pt idx="112">
                  <c:v>0</c:v>
                </c:pt>
                <c:pt idx="113">
                  <c:v>1</c:v>
                </c:pt>
                <c:pt idx="114">
                  <c:v>1</c:v>
                </c:pt>
                <c:pt idx="115">
                  <c:v>2</c:v>
                </c:pt>
                <c:pt idx="116">
                  <c:v>1</c:v>
                </c:pt>
                <c:pt idx="117">
                  <c:v>0</c:v>
                </c:pt>
                <c:pt idx="118">
                  <c:v>0</c:v>
                </c:pt>
                <c:pt idx="119">
                  <c:v>0</c:v>
                </c:pt>
                <c:pt idx="120">
                  <c:v>0</c:v>
                </c:pt>
                <c:pt idx="121">
                  <c:v>1</c:v>
                </c:pt>
                <c:pt idx="122">
                  <c:v>0</c:v>
                </c:pt>
                <c:pt idx="123">
                  <c:v>0</c:v>
                </c:pt>
                <c:pt idx="124">
                  <c:v>0</c:v>
                </c:pt>
                <c:pt idx="125">
                  <c:v>1</c:v>
                </c:pt>
                <c:pt idx="126">
                  <c:v>1</c:v>
                </c:pt>
                <c:pt idx="127">
                  <c:v>0</c:v>
                </c:pt>
                <c:pt idx="128">
                  <c:v>0</c:v>
                </c:pt>
                <c:pt idx="129">
                  <c:v>1</c:v>
                </c:pt>
                <c:pt idx="130">
                  <c:v>0</c:v>
                </c:pt>
                <c:pt idx="131">
                  <c:v>3</c:v>
                </c:pt>
                <c:pt idx="132">
                  <c:v>0</c:v>
                </c:pt>
                <c:pt idx="133">
                  <c:v>0</c:v>
                </c:pt>
                <c:pt idx="134">
                  <c:v>2</c:v>
                </c:pt>
                <c:pt idx="135">
                  <c:v>1</c:v>
                </c:pt>
                <c:pt idx="136">
                  <c:v>1</c:v>
                </c:pt>
                <c:pt idx="137">
                  <c:v>2</c:v>
                </c:pt>
                <c:pt idx="138">
                  <c:v>0</c:v>
                </c:pt>
                <c:pt idx="139">
                  <c:v>1</c:v>
                </c:pt>
                <c:pt idx="140">
                  <c:v>0</c:v>
                </c:pt>
                <c:pt idx="141">
                  <c:v>0</c:v>
                </c:pt>
                <c:pt idx="142">
                  <c:v>1</c:v>
                </c:pt>
                <c:pt idx="143">
                  <c:v>1</c:v>
                </c:pt>
                <c:pt idx="144">
                  <c:v>1</c:v>
                </c:pt>
                <c:pt idx="145">
                  <c:v>2</c:v>
                </c:pt>
                <c:pt idx="146">
                  <c:v>0</c:v>
                </c:pt>
                <c:pt idx="147">
                  <c:v>1</c:v>
                </c:pt>
                <c:pt idx="148">
                  <c:v>0</c:v>
                </c:pt>
                <c:pt idx="149">
                  <c:v>2</c:v>
                </c:pt>
                <c:pt idx="150">
                  <c:v>0</c:v>
                </c:pt>
                <c:pt idx="151">
                  <c:v>1</c:v>
                </c:pt>
                <c:pt idx="152">
                  <c:v>0</c:v>
                </c:pt>
                <c:pt idx="153">
                  <c:v>0</c:v>
                </c:pt>
                <c:pt idx="154">
                  <c:v>0</c:v>
                </c:pt>
                <c:pt idx="155">
                  <c:v>0</c:v>
                </c:pt>
                <c:pt idx="156">
                  <c:v>0</c:v>
                </c:pt>
                <c:pt idx="157">
                  <c:v>1</c:v>
                </c:pt>
                <c:pt idx="158">
                  <c:v>2</c:v>
                </c:pt>
                <c:pt idx="159">
                  <c:v>0</c:v>
                </c:pt>
                <c:pt idx="160">
                  <c:v>0</c:v>
                </c:pt>
                <c:pt idx="161">
                  <c:v>0</c:v>
                </c:pt>
                <c:pt idx="162">
                  <c:v>1</c:v>
                </c:pt>
                <c:pt idx="163">
                  <c:v>0</c:v>
                </c:pt>
                <c:pt idx="164">
                  <c:v>0</c:v>
                </c:pt>
                <c:pt idx="165">
                  <c:v>1</c:v>
                </c:pt>
                <c:pt idx="166">
                  <c:v>0</c:v>
                </c:pt>
                <c:pt idx="167">
                  <c:v>0</c:v>
                </c:pt>
                <c:pt idx="168">
                  <c:v>0</c:v>
                </c:pt>
                <c:pt idx="169">
                  <c:v>0</c:v>
                </c:pt>
                <c:pt idx="170">
                  <c:v>0</c:v>
                </c:pt>
                <c:pt idx="171">
                  <c:v>0</c:v>
                </c:pt>
                <c:pt idx="172">
                  <c:v>0</c:v>
                </c:pt>
                <c:pt idx="173">
                  <c:v>1</c:v>
                </c:pt>
                <c:pt idx="174">
                  <c:v>0</c:v>
                </c:pt>
                <c:pt idx="175">
                  <c:v>0</c:v>
                </c:pt>
                <c:pt idx="176">
                  <c:v>0</c:v>
                </c:pt>
                <c:pt idx="177">
                  <c:v>0</c:v>
                </c:pt>
                <c:pt idx="178">
                  <c:v>0</c:v>
                </c:pt>
                <c:pt idx="179">
                  <c:v>0</c:v>
                </c:pt>
                <c:pt idx="180">
                  <c:v>0</c:v>
                </c:pt>
                <c:pt idx="181">
                  <c:v>0</c:v>
                </c:pt>
                <c:pt idx="182">
                  <c:v>1</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1</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1</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1</c:v>
                </c:pt>
                <c:pt idx="232">
                  <c:v>1</c:v>
                </c:pt>
                <c:pt idx="233">
                  <c:v>1</c:v>
                </c:pt>
                <c:pt idx="234">
                  <c:v>0</c:v>
                </c:pt>
                <c:pt idx="235">
                  <c:v>1</c:v>
                </c:pt>
                <c:pt idx="236">
                  <c:v>0</c:v>
                </c:pt>
                <c:pt idx="237">
                  <c:v>0</c:v>
                </c:pt>
                <c:pt idx="238">
                  <c:v>0</c:v>
                </c:pt>
                <c:pt idx="239">
                  <c:v>1</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1</c:v>
                </c:pt>
                <c:pt idx="254">
                  <c:v>0</c:v>
                </c:pt>
                <c:pt idx="255">
                  <c:v>1</c:v>
                </c:pt>
                <c:pt idx="256">
                  <c:v>0</c:v>
                </c:pt>
                <c:pt idx="257">
                  <c:v>0</c:v>
                </c:pt>
                <c:pt idx="258">
                  <c:v>0</c:v>
                </c:pt>
                <c:pt idx="259">
                  <c:v>0</c:v>
                </c:pt>
                <c:pt idx="260">
                  <c:v>0</c:v>
                </c:pt>
                <c:pt idx="261">
                  <c:v>0</c:v>
                </c:pt>
                <c:pt idx="262">
                  <c:v>0</c:v>
                </c:pt>
                <c:pt idx="263">
                  <c:v>0</c:v>
                </c:pt>
                <c:pt idx="264">
                  <c:v>0</c:v>
                </c:pt>
                <c:pt idx="265">
                  <c:v>1</c:v>
                </c:pt>
                <c:pt idx="266">
                  <c:v>2</c:v>
                </c:pt>
                <c:pt idx="267">
                  <c:v>0</c:v>
                </c:pt>
                <c:pt idx="268">
                  <c:v>0</c:v>
                </c:pt>
                <c:pt idx="269">
                  <c:v>2</c:v>
                </c:pt>
                <c:pt idx="270">
                  <c:v>1</c:v>
                </c:pt>
                <c:pt idx="271">
                  <c:v>0</c:v>
                </c:pt>
                <c:pt idx="272">
                  <c:v>0</c:v>
                </c:pt>
                <c:pt idx="273">
                  <c:v>0</c:v>
                </c:pt>
                <c:pt idx="274">
                  <c:v>1</c:v>
                </c:pt>
                <c:pt idx="275">
                  <c:v>2</c:v>
                </c:pt>
                <c:pt idx="276">
                  <c:v>1</c:v>
                </c:pt>
                <c:pt idx="277">
                  <c:v>1</c:v>
                </c:pt>
                <c:pt idx="278">
                  <c:v>2</c:v>
                </c:pt>
                <c:pt idx="279">
                  <c:v>1</c:v>
                </c:pt>
                <c:pt idx="280">
                  <c:v>1</c:v>
                </c:pt>
                <c:pt idx="281">
                  <c:v>1</c:v>
                </c:pt>
                <c:pt idx="282">
                  <c:v>0</c:v>
                </c:pt>
                <c:pt idx="283">
                  <c:v>2</c:v>
                </c:pt>
                <c:pt idx="284">
                  <c:v>0</c:v>
                </c:pt>
                <c:pt idx="285">
                  <c:v>1</c:v>
                </c:pt>
                <c:pt idx="286">
                  <c:v>4</c:v>
                </c:pt>
                <c:pt idx="287">
                  <c:v>0</c:v>
                </c:pt>
                <c:pt idx="288">
                  <c:v>3</c:v>
                </c:pt>
                <c:pt idx="289">
                  <c:v>1</c:v>
                </c:pt>
                <c:pt idx="290">
                  <c:v>2</c:v>
                </c:pt>
                <c:pt idx="291">
                  <c:v>2</c:v>
                </c:pt>
                <c:pt idx="292">
                  <c:v>3</c:v>
                </c:pt>
                <c:pt idx="293">
                  <c:v>3</c:v>
                </c:pt>
                <c:pt idx="294">
                  <c:v>4</c:v>
                </c:pt>
                <c:pt idx="295">
                  <c:v>3</c:v>
                </c:pt>
                <c:pt idx="296">
                  <c:v>1</c:v>
                </c:pt>
                <c:pt idx="297">
                  <c:v>6</c:v>
                </c:pt>
                <c:pt idx="298">
                  <c:v>2</c:v>
                </c:pt>
                <c:pt idx="299">
                  <c:v>5</c:v>
                </c:pt>
                <c:pt idx="300">
                  <c:v>5</c:v>
                </c:pt>
                <c:pt idx="301">
                  <c:v>4</c:v>
                </c:pt>
                <c:pt idx="302">
                  <c:v>6</c:v>
                </c:pt>
                <c:pt idx="303">
                  <c:v>8</c:v>
                </c:pt>
                <c:pt idx="304">
                  <c:v>3</c:v>
                </c:pt>
                <c:pt idx="305">
                  <c:v>4</c:v>
                </c:pt>
                <c:pt idx="306">
                  <c:v>11</c:v>
                </c:pt>
                <c:pt idx="307">
                  <c:v>6</c:v>
                </c:pt>
                <c:pt idx="308">
                  <c:v>2</c:v>
                </c:pt>
                <c:pt idx="309">
                  <c:v>7</c:v>
                </c:pt>
                <c:pt idx="310">
                  <c:v>10</c:v>
                </c:pt>
                <c:pt idx="311">
                  <c:v>9</c:v>
                </c:pt>
                <c:pt idx="312">
                  <c:v>8</c:v>
                </c:pt>
                <c:pt idx="313">
                  <c:v>17</c:v>
                </c:pt>
                <c:pt idx="314">
                  <c:v>10</c:v>
                </c:pt>
                <c:pt idx="315">
                  <c:v>11</c:v>
                </c:pt>
                <c:pt idx="316">
                  <c:v>14</c:v>
                </c:pt>
                <c:pt idx="317">
                  <c:v>17</c:v>
                </c:pt>
                <c:pt idx="318">
                  <c:v>14</c:v>
                </c:pt>
                <c:pt idx="319">
                  <c:v>15</c:v>
                </c:pt>
                <c:pt idx="320">
                  <c:v>20</c:v>
                </c:pt>
                <c:pt idx="321">
                  <c:v>21</c:v>
                </c:pt>
                <c:pt idx="322">
                  <c:v>23</c:v>
                </c:pt>
                <c:pt idx="323">
                  <c:v>19</c:v>
                </c:pt>
                <c:pt idx="324">
                  <c:v>20</c:v>
                </c:pt>
                <c:pt idx="325">
                  <c:v>27</c:v>
                </c:pt>
                <c:pt idx="326">
                  <c:v>20</c:v>
                </c:pt>
                <c:pt idx="327">
                  <c:v>18</c:v>
                </c:pt>
                <c:pt idx="328">
                  <c:v>22</c:v>
                </c:pt>
                <c:pt idx="329">
                  <c:v>27</c:v>
                </c:pt>
                <c:pt idx="330">
                  <c:v>23</c:v>
                </c:pt>
                <c:pt idx="331">
                  <c:v>22</c:v>
                </c:pt>
                <c:pt idx="332">
                  <c:v>22</c:v>
                </c:pt>
                <c:pt idx="333">
                  <c:v>27</c:v>
                </c:pt>
                <c:pt idx="334">
                  <c:v>21</c:v>
                </c:pt>
                <c:pt idx="335">
                  <c:v>34</c:v>
                </c:pt>
                <c:pt idx="336">
                  <c:v>19</c:v>
                </c:pt>
                <c:pt idx="337">
                  <c:v>38</c:v>
                </c:pt>
                <c:pt idx="338">
                  <c:v>34</c:v>
                </c:pt>
                <c:pt idx="339">
                  <c:v>24</c:v>
                </c:pt>
                <c:pt idx="340">
                  <c:v>44</c:v>
                </c:pt>
                <c:pt idx="341">
                  <c:v>25</c:v>
                </c:pt>
                <c:pt idx="342">
                  <c:v>27</c:v>
                </c:pt>
                <c:pt idx="343">
                  <c:v>18</c:v>
                </c:pt>
                <c:pt idx="344">
                  <c:v>35</c:v>
                </c:pt>
                <c:pt idx="345">
                  <c:v>49</c:v>
                </c:pt>
                <c:pt idx="346">
                  <c:v>54</c:v>
                </c:pt>
                <c:pt idx="347">
                  <c:v>29</c:v>
                </c:pt>
                <c:pt idx="348">
                  <c:v>45</c:v>
                </c:pt>
                <c:pt idx="349">
                  <c:v>25</c:v>
                </c:pt>
                <c:pt idx="350">
                  <c:v>43</c:v>
                </c:pt>
                <c:pt idx="351">
                  <c:v>40</c:v>
                </c:pt>
                <c:pt idx="352">
                  <c:v>46</c:v>
                </c:pt>
                <c:pt idx="353">
                  <c:v>28</c:v>
                </c:pt>
                <c:pt idx="354">
                  <c:v>46</c:v>
                </c:pt>
                <c:pt idx="355">
                  <c:v>56</c:v>
                </c:pt>
                <c:pt idx="356">
                  <c:v>35</c:v>
                </c:pt>
                <c:pt idx="357">
                  <c:v>36</c:v>
                </c:pt>
                <c:pt idx="358">
                  <c:v>44</c:v>
                </c:pt>
                <c:pt idx="359">
                  <c:v>62</c:v>
                </c:pt>
                <c:pt idx="360">
                  <c:v>42</c:v>
                </c:pt>
                <c:pt idx="361">
                  <c:v>39</c:v>
                </c:pt>
                <c:pt idx="362">
                  <c:v>44</c:v>
                </c:pt>
                <c:pt idx="363">
                  <c:v>45</c:v>
                </c:pt>
                <c:pt idx="364">
                  <c:v>56</c:v>
                </c:pt>
                <c:pt idx="365">
                  <c:v>41</c:v>
                </c:pt>
                <c:pt idx="366">
                  <c:v>51</c:v>
                </c:pt>
                <c:pt idx="367">
                  <c:v>51</c:v>
                </c:pt>
                <c:pt idx="368">
                  <c:v>38</c:v>
                </c:pt>
                <c:pt idx="369">
                  <c:v>40</c:v>
                </c:pt>
                <c:pt idx="370">
                  <c:v>35</c:v>
                </c:pt>
                <c:pt idx="371">
                  <c:v>43</c:v>
                </c:pt>
                <c:pt idx="372">
                  <c:v>41</c:v>
                </c:pt>
                <c:pt idx="373">
                  <c:v>41</c:v>
                </c:pt>
                <c:pt idx="374">
                  <c:v>29</c:v>
                </c:pt>
                <c:pt idx="375">
                  <c:v>43</c:v>
                </c:pt>
                <c:pt idx="376">
                  <c:v>34</c:v>
                </c:pt>
                <c:pt idx="377">
                  <c:v>38</c:v>
                </c:pt>
                <c:pt idx="378">
                  <c:v>33</c:v>
                </c:pt>
                <c:pt idx="379">
                  <c:v>35</c:v>
                </c:pt>
                <c:pt idx="380">
                  <c:v>34</c:v>
                </c:pt>
                <c:pt idx="381">
                  <c:v>31</c:v>
                </c:pt>
                <c:pt idx="382">
                  <c:v>26</c:v>
                </c:pt>
                <c:pt idx="383">
                  <c:v>22</c:v>
                </c:pt>
                <c:pt idx="384">
                  <c:v>25</c:v>
                </c:pt>
                <c:pt idx="385">
                  <c:v>39</c:v>
                </c:pt>
                <c:pt idx="386">
                  <c:v>36</c:v>
                </c:pt>
                <c:pt idx="387">
                  <c:v>34</c:v>
                </c:pt>
                <c:pt idx="388">
                  <c:v>23</c:v>
                </c:pt>
                <c:pt idx="389">
                  <c:v>20</c:v>
                </c:pt>
                <c:pt idx="390">
                  <c:v>17</c:v>
                </c:pt>
                <c:pt idx="391">
                  <c:v>29</c:v>
                </c:pt>
                <c:pt idx="392">
                  <c:v>29</c:v>
                </c:pt>
                <c:pt idx="393">
                  <c:v>17</c:v>
                </c:pt>
                <c:pt idx="394">
                  <c:v>25</c:v>
                </c:pt>
                <c:pt idx="395">
                  <c:v>18</c:v>
                </c:pt>
                <c:pt idx="396">
                  <c:v>23</c:v>
                </c:pt>
                <c:pt idx="397">
                  <c:v>20</c:v>
                </c:pt>
                <c:pt idx="398">
                  <c:v>19</c:v>
                </c:pt>
                <c:pt idx="399">
                  <c:v>15</c:v>
                </c:pt>
                <c:pt idx="400">
                  <c:v>24</c:v>
                </c:pt>
                <c:pt idx="401">
                  <c:v>16</c:v>
                </c:pt>
                <c:pt idx="402">
                  <c:v>16</c:v>
                </c:pt>
                <c:pt idx="403">
                  <c:v>17</c:v>
                </c:pt>
                <c:pt idx="404">
                  <c:v>16</c:v>
                </c:pt>
                <c:pt idx="405">
                  <c:v>15</c:v>
                </c:pt>
                <c:pt idx="406">
                  <c:v>23</c:v>
                </c:pt>
                <c:pt idx="407">
                  <c:v>21</c:v>
                </c:pt>
                <c:pt idx="408">
                  <c:v>17</c:v>
                </c:pt>
                <c:pt idx="409">
                  <c:v>16</c:v>
                </c:pt>
                <c:pt idx="410">
                  <c:v>12</c:v>
                </c:pt>
                <c:pt idx="411">
                  <c:v>13</c:v>
                </c:pt>
                <c:pt idx="412">
                  <c:v>20</c:v>
                </c:pt>
                <c:pt idx="413">
                  <c:v>13</c:v>
                </c:pt>
                <c:pt idx="414">
                  <c:v>15</c:v>
                </c:pt>
                <c:pt idx="415">
                  <c:v>15</c:v>
                </c:pt>
                <c:pt idx="416">
                  <c:v>12</c:v>
                </c:pt>
                <c:pt idx="417">
                  <c:v>8</c:v>
                </c:pt>
                <c:pt idx="418">
                  <c:v>8</c:v>
                </c:pt>
                <c:pt idx="419">
                  <c:v>13</c:v>
                </c:pt>
                <c:pt idx="420">
                  <c:v>9</c:v>
                </c:pt>
                <c:pt idx="421">
                  <c:v>15</c:v>
                </c:pt>
                <c:pt idx="422">
                  <c:v>10</c:v>
                </c:pt>
                <c:pt idx="423">
                  <c:v>13</c:v>
                </c:pt>
                <c:pt idx="424">
                  <c:v>7</c:v>
                </c:pt>
                <c:pt idx="425">
                  <c:v>11</c:v>
                </c:pt>
                <c:pt idx="426">
                  <c:v>15</c:v>
                </c:pt>
                <c:pt idx="427">
                  <c:v>12</c:v>
                </c:pt>
                <c:pt idx="428">
                  <c:v>11</c:v>
                </c:pt>
                <c:pt idx="429">
                  <c:v>11</c:v>
                </c:pt>
                <c:pt idx="430">
                  <c:v>6</c:v>
                </c:pt>
                <c:pt idx="431">
                  <c:v>9</c:v>
                </c:pt>
                <c:pt idx="432">
                  <c:v>6</c:v>
                </c:pt>
                <c:pt idx="433">
                  <c:v>11</c:v>
                </c:pt>
                <c:pt idx="434">
                  <c:v>13</c:v>
                </c:pt>
                <c:pt idx="435">
                  <c:v>9</c:v>
                </c:pt>
                <c:pt idx="436">
                  <c:v>14</c:v>
                </c:pt>
                <c:pt idx="437">
                  <c:v>9</c:v>
                </c:pt>
                <c:pt idx="438">
                  <c:v>12</c:v>
                </c:pt>
                <c:pt idx="439">
                  <c:v>9</c:v>
                </c:pt>
                <c:pt idx="440">
                  <c:v>11</c:v>
                </c:pt>
                <c:pt idx="441">
                  <c:v>10</c:v>
                </c:pt>
              </c:numCache>
            </c:numRef>
          </c:val>
          <c:extLst>
            <c:ext xmlns:c16="http://schemas.microsoft.com/office/drawing/2014/chart" uri="{C3380CC4-5D6E-409C-BE32-E72D297353CC}">
              <c16:uniqueId val="{00000001-3E58-4EA8-9617-CAB190D7362A}"/>
            </c:ext>
          </c:extLst>
        </c:ser>
        <c:ser>
          <c:idx val="2"/>
          <c:order val="2"/>
          <c:tx>
            <c:strRef>
              <c:f>mirtys!$D$1</c:f>
              <c:strCache>
                <c:ptCount val="1"/>
                <c:pt idx="0">
                  <c:v>Mirtys su COVID-19</c:v>
                </c:pt>
              </c:strCache>
            </c:strRef>
          </c:tx>
          <c:spPr>
            <a:solidFill>
              <a:schemeClr val="accent3"/>
            </a:solidFill>
            <a:ln>
              <a:solidFill>
                <a:schemeClr val="accent3"/>
              </a:solidFill>
            </a:ln>
            <a:effectLst/>
          </c:spPr>
          <c:invertIfNegative val="0"/>
          <c:cat>
            <c:strRef>
              <c:f>mirtys!$A$2:$A$443</c:f>
              <c:strCache>
                <c:ptCount val="442"/>
                <c:pt idx="0">
                  <c:v>2020-01-01</c:v>
                </c:pt>
                <c:pt idx="1">
                  <c:v>2020-01-02</c:v>
                </c:pt>
                <c:pt idx="2">
                  <c:v>2020-01-03</c:v>
                </c:pt>
                <c:pt idx="3">
                  <c:v>2020-01-04</c:v>
                </c:pt>
                <c:pt idx="4">
                  <c:v>2020-01-05</c:v>
                </c:pt>
                <c:pt idx="5">
                  <c:v>2020-01-06</c:v>
                </c:pt>
                <c:pt idx="6">
                  <c:v>2020-01-07</c:v>
                </c:pt>
                <c:pt idx="7">
                  <c:v>2020-01-08</c:v>
                </c:pt>
                <c:pt idx="8">
                  <c:v>2020-01-09</c:v>
                </c:pt>
                <c:pt idx="9">
                  <c:v>2020-01-10</c:v>
                </c:pt>
                <c:pt idx="10">
                  <c:v>2020-01-11</c:v>
                </c:pt>
                <c:pt idx="11">
                  <c:v>2020-01-12</c:v>
                </c:pt>
                <c:pt idx="12">
                  <c:v>2020-01-13</c:v>
                </c:pt>
                <c:pt idx="13">
                  <c:v>2020-01-14</c:v>
                </c:pt>
                <c:pt idx="14">
                  <c:v>2020-01-15</c:v>
                </c:pt>
                <c:pt idx="15">
                  <c:v>2020-01-16</c:v>
                </c:pt>
                <c:pt idx="16">
                  <c:v>2020-01-17</c:v>
                </c:pt>
                <c:pt idx="17">
                  <c:v>2020-01-18</c:v>
                </c:pt>
                <c:pt idx="18">
                  <c:v>2020-01-19</c:v>
                </c:pt>
                <c:pt idx="19">
                  <c:v>2020-01-20</c:v>
                </c:pt>
                <c:pt idx="20">
                  <c:v>2020-01-21</c:v>
                </c:pt>
                <c:pt idx="21">
                  <c:v>2020-01-22</c:v>
                </c:pt>
                <c:pt idx="22">
                  <c:v>2020-01-23</c:v>
                </c:pt>
                <c:pt idx="23">
                  <c:v>2020-01-24</c:v>
                </c:pt>
                <c:pt idx="24">
                  <c:v>2020-01-25</c:v>
                </c:pt>
                <c:pt idx="25">
                  <c:v>2020-01-26</c:v>
                </c:pt>
                <c:pt idx="26">
                  <c:v>2020-01-27</c:v>
                </c:pt>
                <c:pt idx="27">
                  <c:v>2020-01-28</c:v>
                </c:pt>
                <c:pt idx="28">
                  <c:v>2020-01-29</c:v>
                </c:pt>
                <c:pt idx="29">
                  <c:v>2020-01-30</c:v>
                </c:pt>
                <c:pt idx="30">
                  <c:v>2020-01-31</c:v>
                </c:pt>
                <c:pt idx="31">
                  <c:v>2020-02-01</c:v>
                </c:pt>
                <c:pt idx="32">
                  <c:v>2020-02-02</c:v>
                </c:pt>
                <c:pt idx="33">
                  <c:v>2020-02-03</c:v>
                </c:pt>
                <c:pt idx="34">
                  <c:v>2020-02-04</c:v>
                </c:pt>
                <c:pt idx="35">
                  <c:v>2020-02-05</c:v>
                </c:pt>
                <c:pt idx="36">
                  <c:v>2020-02-06</c:v>
                </c:pt>
                <c:pt idx="37">
                  <c:v>2020-02-07</c:v>
                </c:pt>
                <c:pt idx="38">
                  <c:v>2020-02-08</c:v>
                </c:pt>
                <c:pt idx="39">
                  <c:v>2020-02-09</c:v>
                </c:pt>
                <c:pt idx="40">
                  <c:v>2020-02-10</c:v>
                </c:pt>
                <c:pt idx="41">
                  <c:v>2020-02-11</c:v>
                </c:pt>
                <c:pt idx="42">
                  <c:v>2020-02-12</c:v>
                </c:pt>
                <c:pt idx="43">
                  <c:v>2020-02-13</c:v>
                </c:pt>
                <c:pt idx="44">
                  <c:v>2020-02-14</c:v>
                </c:pt>
                <c:pt idx="45">
                  <c:v>2020-02-15</c:v>
                </c:pt>
                <c:pt idx="46">
                  <c:v>2020-02-16</c:v>
                </c:pt>
                <c:pt idx="47">
                  <c:v>2020-02-17</c:v>
                </c:pt>
                <c:pt idx="48">
                  <c:v>2020-02-18</c:v>
                </c:pt>
                <c:pt idx="49">
                  <c:v>2020-02-19</c:v>
                </c:pt>
                <c:pt idx="50">
                  <c:v>2020-02-20</c:v>
                </c:pt>
                <c:pt idx="51">
                  <c:v>2020-02-21</c:v>
                </c:pt>
                <c:pt idx="52">
                  <c:v>2020-02-22</c:v>
                </c:pt>
                <c:pt idx="53">
                  <c:v>2020-02-23</c:v>
                </c:pt>
                <c:pt idx="54">
                  <c:v>2020-02-24</c:v>
                </c:pt>
                <c:pt idx="55">
                  <c:v>2020-02-25</c:v>
                </c:pt>
                <c:pt idx="56">
                  <c:v>2020-02-26</c:v>
                </c:pt>
                <c:pt idx="57">
                  <c:v>2020-02-27</c:v>
                </c:pt>
                <c:pt idx="58">
                  <c:v>2020-02-28</c:v>
                </c:pt>
                <c:pt idx="59">
                  <c:v>2020-02-29</c:v>
                </c:pt>
                <c:pt idx="60">
                  <c:v>2020-03-01</c:v>
                </c:pt>
                <c:pt idx="61">
                  <c:v>2020-03-02</c:v>
                </c:pt>
                <c:pt idx="62">
                  <c:v>2020-03-03</c:v>
                </c:pt>
                <c:pt idx="63">
                  <c:v>2020-03-04</c:v>
                </c:pt>
                <c:pt idx="64">
                  <c:v>2020-03-05</c:v>
                </c:pt>
                <c:pt idx="65">
                  <c:v>2020-03-06</c:v>
                </c:pt>
                <c:pt idx="66">
                  <c:v>2020-03-07</c:v>
                </c:pt>
                <c:pt idx="67">
                  <c:v>2020-03-08</c:v>
                </c:pt>
                <c:pt idx="68">
                  <c:v>2020-03-09</c:v>
                </c:pt>
                <c:pt idx="69">
                  <c:v>2020-03-10</c:v>
                </c:pt>
                <c:pt idx="70">
                  <c:v>2020-03-11</c:v>
                </c:pt>
                <c:pt idx="71">
                  <c:v>2020-03-12</c:v>
                </c:pt>
                <c:pt idx="72">
                  <c:v>2020-03-13</c:v>
                </c:pt>
                <c:pt idx="73">
                  <c:v>2020-03-14</c:v>
                </c:pt>
                <c:pt idx="74">
                  <c:v>2020-03-15</c:v>
                </c:pt>
                <c:pt idx="75">
                  <c:v>2020-03-16</c:v>
                </c:pt>
                <c:pt idx="76">
                  <c:v>2020-03-17</c:v>
                </c:pt>
                <c:pt idx="77">
                  <c:v>2020-03-18</c:v>
                </c:pt>
                <c:pt idx="78">
                  <c:v>2020-03-19</c:v>
                </c:pt>
                <c:pt idx="79">
                  <c:v>2020-03-20</c:v>
                </c:pt>
                <c:pt idx="80">
                  <c:v>2020-03-21</c:v>
                </c:pt>
                <c:pt idx="81">
                  <c:v>2020-03-22</c:v>
                </c:pt>
                <c:pt idx="82">
                  <c:v>2020-03-23</c:v>
                </c:pt>
                <c:pt idx="83">
                  <c:v>2020-03-24</c:v>
                </c:pt>
                <c:pt idx="84">
                  <c:v>2020-03-25</c:v>
                </c:pt>
                <c:pt idx="85">
                  <c:v>2020-03-26</c:v>
                </c:pt>
                <c:pt idx="86">
                  <c:v>2020-03-27</c:v>
                </c:pt>
                <c:pt idx="87">
                  <c:v>2020-03-28</c:v>
                </c:pt>
                <c:pt idx="88">
                  <c:v>2020-03-29</c:v>
                </c:pt>
                <c:pt idx="89">
                  <c:v>2020-03-30</c:v>
                </c:pt>
                <c:pt idx="90">
                  <c:v>2020-03-31</c:v>
                </c:pt>
                <c:pt idx="91">
                  <c:v>2020-04-01</c:v>
                </c:pt>
                <c:pt idx="92">
                  <c:v>2020-04-02</c:v>
                </c:pt>
                <c:pt idx="93">
                  <c:v>2020-04-03</c:v>
                </c:pt>
                <c:pt idx="94">
                  <c:v>2020-04-04</c:v>
                </c:pt>
                <c:pt idx="95">
                  <c:v>2020-04-05</c:v>
                </c:pt>
                <c:pt idx="96">
                  <c:v>2020-04-06</c:v>
                </c:pt>
                <c:pt idx="97">
                  <c:v>2020-04-07</c:v>
                </c:pt>
                <c:pt idx="98">
                  <c:v>2020-04-08</c:v>
                </c:pt>
                <c:pt idx="99">
                  <c:v>2020-04-09</c:v>
                </c:pt>
                <c:pt idx="100">
                  <c:v>2020-04-10</c:v>
                </c:pt>
                <c:pt idx="101">
                  <c:v>2020-04-11</c:v>
                </c:pt>
                <c:pt idx="102">
                  <c:v>2020-04-12</c:v>
                </c:pt>
                <c:pt idx="103">
                  <c:v>2020-04-13</c:v>
                </c:pt>
                <c:pt idx="104">
                  <c:v>2020-04-14</c:v>
                </c:pt>
                <c:pt idx="105">
                  <c:v>2020-04-15</c:v>
                </c:pt>
                <c:pt idx="106">
                  <c:v>2020-04-16</c:v>
                </c:pt>
                <c:pt idx="107">
                  <c:v>2020-04-17</c:v>
                </c:pt>
                <c:pt idx="108">
                  <c:v>2020-04-18</c:v>
                </c:pt>
                <c:pt idx="109">
                  <c:v>2020-04-19</c:v>
                </c:pt>
                <c:pt idx="110">
                  <c:v>2020-04-20</c:v>
                </c:pt>
                <c:pt idx="111">
                  <c:v>2020-04-21</c:v>
                </c:pt>
                <c:pt idx="112">
                  <c:v>2020-04-22</c:v>
                </c:pt>
                <c:pt idx="113">
                  <c:v>2020-04-23</c:v>
                </c:pt>
                <c:pt idx="114">
                  <c:v>2020-04-24</c:v>
                </c:pt>
                <c:pt idx="115">
                  <c:v>2020-04-25</c:v>
                </c:pt>
                <c:pt idx="116">
                  <c:v>2020-04-26</c:v>
                </c:pt>
                <c:pt idx="117">
                  <c:v>2020-04-27</c:v>
                </c:pt>
                <c:pt idx="118">
                  <c:v>2020-04-28</c:v>
                </c:pt>
                <c:pt idx="119">
                  <c:v>2020-04-29</c:v>
                </c:pt>
                <c:pt idx="120">
                  <c:v>2020-04-30</c:v>
                </c:pt>
                <c:pt idx="121">
                  <c:v>2020-05-01</c:v>
                </c:pt>
                <c:pt idx="122">
                  <c:v>2020-05-02</c:v>
                </c:pt>
                <c:pt idx="123">
                  <c:v>2020-05-03</c:v>
                </c:pt>
                <c:pt idx="124">
                  <c:v>2020-05-04</c:v>
                </c:pt>
                <c:pt idx="125">
                  <c:v>2020-05-05</c:v>
                </c:pt>
                <c:pt idx="126">
                  <c:v>2020-05-06</c:v>
                </c:pt>
                <c:pt idx="127">
                  <c:v>2020-05-07</c:v>
                </c:pt>
                <c:pt idx="128">
                  <c:v>2020-05-08</c:v>
                </c:pt>
                <c:pt idx="129">
                  <c:v>2020-05-09</c:v>
                </c:pt>
                <c:pt idx="130">
                  <c:v>2020-05-10</c:v>
                </c:pt>
                <c:pt idx="131">
                  <c:v>2020-05-11</c:v>
                </c:pt>
                <c:pt idx="132">
                  <c:v>2020-05-12</c:v>
                </c:pt>
                <c:pt idx="133">
                  <c:v>2020-05-13</c:v>
                </c:pt>
                <c:pt idx="134">
                  <c:v>2020-05-14</c:v>
                </c:pt>
                <c:pt idx="135">
                  <c:v>2020-05-15</c:v>
                </c:pt>
                <c:pt idx="136">
                  <c:v>2020-05-16</c:v>
                </c:pt>
                <c:pt idx="137">
                  <c:v>2020-05-17</c:v>
                </c:pt>
                <c:pt idx="138">
                  <c:v>2020-05-18</c:v>
                </c:pt>
                <c:pt idx="139">
                  <c:v>2020-05-19</c:v>
                </c:pt>
                <c:pt idx="140">
                  <c:v>2020-05-20</c:v>
                </c:pt>
                <c:pt idx="141">
                  <c:v>2020-05-21</c:v>
                </c:pt>
                <c:pt idx="142">
                  <c:v>2020-05-22</c:v>
                </c:pt>
                <c:pt idx="143">
                  <c:v>2020-05-23</c:v>
                </c:pt>
                <c:pt idx="144">
                  <c:v>2020-05-24</c:v>
                </c:pt>
                <c:pt idx="145">
                  <c:v>2020-05-25</c:v>
                </c:pt>
                <c:pt idx="146">
                  <c:v>2020-05-26</c:v>
                </c:pt>
                <c:pt idx="147">
                  <c:v>2020-05-27</c:v>
                </c:pt>
                <c:pt idx="148">
                  <c:v>2020-05-28</c:v>
                </c:pt>
                <c:pt idx="149">
                  <c:v>2020-05-29</c:v>
                </c:pt>
                <c:pt idx="150">
                  <c:v>2020-05-30</c:v>
                </c:pt>
                <c:pt idx="151">
                  <c:v>2020-05-31</c:v>
                </c:pt>
                <c:pt idx="152">
                  <c:v>2020-06-01</c:v>
                </c:pt>
                <c:pt idx="153">
                  <c:v>2020-06-02</c:v>
                </c:pt>
                <c:pt idx="154">
                  <c:v>2020-06-03</c:v>
                </c:pt>
                <c:pt idx="155">
                  <c:v>2020-06-04</c:v>
                </c:pt>
                <c:pt idx="156">
                  <c:v>2020-06-05</c:v>
                </c:pt>
                <c:pt idx="157">
                  <c:v>2020-06-06</c:v>
                </c:pt>
                <c:pt idx="158">
                  <c:v>2020-06-07</c:v>
                </c:pt>
                <c:pt idx="159">
                  <c:v>2020-06-08</c:v>
                </c:pt>
                <c:pt idx="160">
                  <c:v>2020-06-09</c:v>
                </c:pt>
                <c:pt idx="161">
                  <c:v>2020-06-10</c:v>
                </c:pt>
                <c:pt idx="162">
                  <c:v>2020-06-11</c:v>
                </c:pt>
                <c:pt idx="163">
                  <c:v>2020-06-12</c:v>
                </c:pt>
                <c:pt idx="164">
                  <c:v>2020-06-13</c:v>
                </c:pt>
                <c:pt idx="165">
                  <c:v>2020-06-14</c:v>
                </c:pt>
                <c:pt idx="166">
                  <c:v>2020-06-15</c:v>
                </c:pt>
                <c:pt idx="167">
                  <c:v>2020-06-16</c:v>
                </c:pt>
                <c:pt idx="168">
                  <c:v>2020-06-17</c:v>
                </c:pt>
                <c:pt idx="169">
                  <c:v>2020-06-18</c:v>
                </c:pt>
                <c:pt idx="170">
                  <c:v>2020-06-19</c:v>
                </c:pt>
                <c:pt idx="171">
                  <c:v>2020-06-20</c:v>
                </c:pt>
                <c:pt idx="172">
                  <c:v>2020-06-21</c:v>
                </c:pt>
                <c:pt idx="173">
                  <c:v>2020-06-22</c:v>
                </c:pt>
                <c:pt idx="174">
                  <c:v>2020-06-23</c:v>
                </c:pt>
                <c:pt idx="175">
                  <c:v>2020-06-24</c:v>
                </c:pt>
                <c:pt idx="176">
                  <c:v>2020-06-25</c:v>
                </c:pt>
                <c:pt idx="177">
                  <c:v>2020-06-26</c:v>
                </c:pt>
                <c:pt idx="178">
                  <c:v>2020-06-27</c:v>
                </c:pt>
                <c:pt idx="179">
                  <c:v>2020-06-28</c:v>
                </c:pt>
                <c:pt idx="180">
                  <c:v>2020-06-29</c:v>
                </c:pt>
                <c:pt idx="181">
                  <c:v>2020-06-30</c:v>
                </c:pt>
                <c:pt idx="182">
                  <c:v>2020-07-01</c:v>
                </c:pt>
                <c:pt idx="183">
                  <c:v>2020-07-02</c:v>
                </c:pt>
                <c:pt idx="184">
                  <c:v>2020-07-03</c:v>
                </c:pt>
                <c:pt idx="185">
                  <c:v>2020-07-04</c:v>
                </c:pt>
                <c:pt idx="186">
                  <c:v>2020-07-05</c:v>
                </c:pt>
                <c:pt idx="187">
                  <c:v>2020-07-06</c:v>
                </c:pt>
                <c:pt idx="188">
                  <c:v>2020-07-07</c:v>
                </c:pt>
                <c:pt idx="189">
                  <c:v>2020-07-08</c:v>
                </c:pt>
                <c:pt idx="190">
                  <c:v>2020-07-09</c:v>
                </c:pt>
                <c:pt idx="191">
                  <c:v>2020-07-10</c:v>
                </c:pt>
                <c:pt idx="192">
                  <c:v>2020-07-11</c:v>
                </c:pt>
                <c:pt idx="193">
                  <c:v>2020-07-12</c:v>
                </c:pt>
                <c:pt idx="194">
                  <c:v>2020-07-13</c:v>
                </c:pt>
                <c:pt idx="195">
                  <c:v>2020-07-14</c:v>
                </c:pt>
                <c:pt idx="196">
                  <c:v>2020-07-15</c:v>
                </c:pt>
                <c:pt idx="197">
                  <c:v>2020-07-16</c:v>
                </c:pt>
                <c:pt idx="198">
                  <c:v>2020-07-17</c:v>
                </c:pt>
                <c:pt idx="199">
                  <c:v>2020-07-18</c:v>
                </c:pt>
                <c:pt idx="200">
                  <c:v>2020-07-19</c:v>
                </c:pt>
                <c:pt idx="201">
                  <c:v>2020-07-20</c:v>
                </c:pt>
                <c:pt idx="202">
                  <c:v>2020-07-21</c:v>
                </c:pt>
                <c:pt idx="203">
                  <c:v>2020-07-22</c:v>
                </c:pt>
                <c:pt idx="204">
                  <c:v>2020-07-23</c:v>
                </c:pt>
                <c:pt idx="205">
                  <c:v>2020-07-24</c:v>
                </c:pt>
                <c:pt idx="206">
                  <c:v>2020-07-25</c:v>
                </c:pt>
                <c:pt idx="207">
                  <c:v>2020-07-26</c:v>
                </c:pt>
                <c:pt idx="208">
                  <c:v>2020-07-27</c:v>
                </c:pt>
                <c:pt idx="209">
                  <c:v>2020-07-28</c:v>
                </c:pt>
                <c:pt idx="210">
                  <c:v>2020-07-29</c:v>
                </c:pt>
                <c:pt idx="211">
                  <c:v>2020-07-30</c:v>
                </c:pt>
                <c:pt idx="212">
                  <c:v>2020-07-31</c:v>
                </c:pt>
                <c:pt idx="213">
                  <c:v>2020-08-01</c:v>
                </c:pt>
                <c:pt idx="214">
                  <c:v>2020-08-02</c:v>
                </c:pt>
                <c:pt idx="215">
                  <c:v>2020-08-03</c:v>
                </c:pt>
                <c:pt idx="216">
                  <c:v>2020-08-04</c:v>
                </c:pt>
                <c:pt idx="217">
                  <c:v>2020-08-05</c:v>
                </c:pt>
                <c:pt idx="218">
                  <c:v>2020-08-06</c:v>
                </c:pt>
                <c:pt idx="219">
                  <c:v>2020-08-07</c:v>
                </c:pt>
                <c:pt idx="220">
                  <c:v>2020-08-08</c:v>
                </c:pt>
                <c:pt idx="221">
                  <c:v>2020-08-09</c:v>
                </c:pt>
                <c:pt idx="222">
                  <c:v>2020-08-10</c:v>
                </c:pt>
                <c:pt idx="223">
                  <c:v>2020-08-11</c:v>
                </c:pt>
                <c:pt idx="224">
                  <c:v>2020-08-12</c:v>
                </c:pt>
                <c:pt idx="225">
                  <c:v>2020-08-13</c:v>
                </c:pt>
                <c:pt idx="226">
                  <c:v>2020-08-14</c:v>
                </c:pt>
                <c:pt idx="227">
                  <c:v>2020-08-15</c:v>
                </c:pt>
                <c:pt idx="228">
                  <c:v>2020-08-16</c:v>
                </c:pt>
                <c:pt idx="229">
                  <c:v>2020-08-17</c:v>
                </c:pt>
                <c:pt idx="230">
                  <c:v>2020-08-18</c:v>
                </c:pt>
                <c:pt idx="231">
                  <c:v>2020-08-19</c:v>
                </c:pt>
                <c:pt idx="232">
                  <c:v>2020-08-20</c:v>
                </c:pt>
                <c:pt idx="233">
                  <c:v>2020-08-21</c:v>
                </c:pt>
                <c:pt idx="234">
                  <c:v>2020-08-22</c:v>
                </c:pt>
                <c:pt idx="235">
                  <c:v>2020-08-23</c:v>
                </c:pt>
                <c:pt idx="236">
                  <c:v>2020-08-24</c:v>
                </c:pt>
                <c:pt idx="237">
                  <c:v>2020-08-25</c:v>
                </c:pt>
                <c:pt idx="238">
                  <c:v>2020-08-26</c:v>
                </c:pt>
                <c:pt idx="239">
                  <c:v>2020-08-27</c:v>
                </c:pt>
                <c:pt idx="240">
                  <c:v>2020-08-28</c:v>
                </c:pt>
                <c:pt idx="241">
                  <c:v>2020-08-29</c:v>
                </c:pt>
                <c:pt idx="242">
                  <c:v>2020-08-30</c:v>
                </c:pt>
                <c:pt idx="243">
                  <c:v>2020-08-31</c:v>
                </c:pt>
                <c:pt idx="244">
                  <c:v>2020-09-01</c:v>
                </c:pt>
                <c:pt idx="245">
                  <c:v>2020-09-02</c:v>
                </c:pt>
                <c:pt idx="246">
                  <c:v>2020-09-03</c:v>
                </c:pt>
                <c:pt idx="247">
                  <c:v>2020-09-04</c:v>
                </c:pt>
                <c:pt idx="248">
                  <c:v>2020-09-05</c:v>
                </c:pt>
                <c:pt idx="249">
                  <c:v>2020-09-06</c:v>
                </c:pt>
                <c:pt idx="250">
                  <c:v>2020-09-07</c:v>
                </c:pt>
                <c:pt idx="251">
                  <c:v>2020-09-08</c:v>
                </c:pt>
                <c:pt idx="252">
                  <c:v>2020-09-09</c:v>
                </c:pt>
                <c:pt idx="253">
                  <c:v>2020-09-10</c:v>
                </c:pt>
                <c:pt idx="254">
                  <c:v>2020-09-11</c:v>
                </c:pt>
                <c:pt idx="255">
                  <c:v>2020-09-12</c:v>
                </c:pt>
                <c:pt idx="256">
                  <c:v>2020-09-13</c:v>
                </c:pt>
                <c:pt idx="257">
                  <c:v>2020-09-14</c:v>
                </c:pt>
                <c:pt idx="258">
                  <c:v>2020-09-15</c:v>
                </c:pt>
                <c:pt idx="259">
                  <c:v>2020-09-16</c:v>
                </c:pt>
                <c:pt idx="260">
                  <c:v>2020-09-17</c:v>
                </c:pt>
                <c:pt idx="261">
                  <c:v>2020-09-18</c:v>
                </c:pt>
                <c:pt idx="262">
                  <c:v>2020-09-19</c:v>
                </c:pt>
                <c:pt idx="263">
                  <c:v>2020-09-20</c:v>
                </c:pt>
                <c:pt idx="264">
                  <c:v>2020-09-21</c:v>
                </c:pt>
                <c:pt idx="265">
                  <c:v>2020-09-22</c:v>
                </c:pt>
                <c:pt idx="266">
                  <c:v>2020-09-23</c:v>
                </c:pt>
                <c:pt idx="267">
                  <c:v>2020-09-24</c:v>
                </c:pt>
                <c:pt idx="268">
                  <c:v>2020-09-25</c:v>
                </c:pt>
                <c:pt idx="269">
                  <c:v>2020-09-26</c:v>
                </c:pt>
                <c:pt idx="270">
                  <c:v>2020-09-27</c:v>
                </c:pt>
                <c:pt idx="271">
                  <c:v>2020-09-28</c:v>
                </c:pt>
                <c:pt idx="272">
                  <c:v>2020-09-29</c:v>
                </c:pt>
                <c:pt idx="273">
                  <c:v>2020-09-30</c:v>
                </c:pt>
                <c:pt idx="274">
                  <c:v>2020-10-01</c:v>
                </c:pt>
                <c:pt idx="275">
                  <c:v>2020-10-02</c:v>
                </c:pt>
                <c:pt idx="276">
                  <c:v>2020-10-03</c:v>
                </c:pt>
                <c:pt idx="277">
                  <c:v>2020-10-04</c:v>
                </c:pt>
                <c:pt idx="278">
                  <c:v>2020-10-05</c:v>
                </c:pt>
                <c:pt idx="279">
                  <c:v>2020-10-06</c:v>
                </c:pt>
                <c:pt idx="280">
                  <c:v>2020-10-07</c:v>
                </c:pt>
                <c:pt idx="281">
                  <c:v>2020-10-08</c:v>
                </c:pt>
                <c:pt idx="282">
                  <c:v>2020-10-09</c:v>
                </c:pt>
                <c:pt idx="283">
                  <c:v>2020-10-10</c:v>
                </c:pt>
                <c:pt idx="284">
                  <c:v>2020-10-11</c:v>
                </c:pt>
                <c:pt idx="285">
                  <c:v>2020-10-12</c:v>
                </c:pt>
                <c:pt idx="286">
                  <c:v>2020-10-13</c:v>
                </c:pt>
                <c:pt idx="287">
                  <c:v>2020-10-14</c:v>
                </c:pt>
                <c:pt idx="288">
                  <c:v>2020-10-15</c:v>
                </c:pt>
                <c:pt idx="289">
                  <c:v>2020-10-16</c:v>
                </c:pt>
                <c:pt idx="290">
                  <c:v>2020-10-17</c:v>
                </c:pt>
                <c:pt idx="291">
                  <c:v>2020-10-18</c:v>
                </c:pt>
                <c:pt idx="292">
                  <c:v>2020-10-19</c:v>
                </c:pt>
                <c:pt idx="293">
                  <c:v>2020-10-20</c:v>
                </c:pt>
                <c:pt idx="294">
                  <c:v>2020-10-21</c:v>
                </c:pt>
                <c:pt idx="295">
                  <c:v>2020-10-22</c:v>
                </c:pt>
                <c:pt idx="296">
                  <c:v>2020-10-23</c:v>
                </c:pt>
                <c:pt idx="297">
                  <c:v>2020-10-24</c:v>
                </c:pt>
                <c:pt idx="298">
                  <c:v>2020-10-25</c:v>
                </c:pt>
                <c:pt idx="299">
                  <c:v>2020-10-26</c:v>
                </c:pt>
                <c:pt idx="300">
                  <c:v>2020-10-27</c:v>
                </c:pt>
                <c:pt idx="301">
                  <c:v>2020-10-28</c:v>
                </c:pt>
                <c:pt idx="302">
                  <c:v>2020-10-29</c:v>
                </c:pt>
                <c:pt idx="303">
                  <c:v>2020-10-30</c:v>
                </c:pt>
                <c:pt idx="304">
                  <c:v>2020-10-31</c:v>
                </c:pt>
                <c:pt idx="305">
                  <c:v>2020-11-01</c:v>
                </c:pt>
                <c:pt idx="306">
                  <c:v>2020-11-02</c:v>
                </c:pt>
                <c:pt idx="307">
                  <c:v>2020-11-03</c:v>
                </c:pt>
                <c:pt idx="308">
                  <c:v>2020-11-04</c:v>
                </c:pt>
                <c:pt idx="309">
                  <c:v>2020-11-05</c:v>
                </c:pt>
                <c:pt idx="310">
                  <c:v>2020-11-06</c:v>
                </c:pt>
                <c:pt idx="311">
                  <c:v>2020-11-07</c:v>
                </c:pt>
                <c:pt idx="312">
                  <c:v>2020-11-08</c:v>
                </c:pt>
                <c:pt idx="313">
                  <c:v>2020-11-09</c:v>
                </c:pt>
                <c:pt idx="314">
                  <c:v>2020-11-10</c:v>
                </c:pt>
                <c:pt idx="315">
                  <c:v>2020-11-11</c:v>
                </c:pt>
                <c:pt idx="316">
                  <c:v>2020-11-12</c:v>
                </c:pt>
                <c:pt idx="317">
                  <c:v>2020-11-13</c:v>
                </c:pt>
                <c:pt idx="318">
                  <c:v>2020-11-14</c:v>
                </c:pt>
                <c:pt idx="319">
                  <c:v>2020-11-15</c:v>
                </c:pt>
                <c:pt idx="320">
                  <c:v>2020-11-16</c:v>
                </c:pt>
                <c:pt idx="321">
                  <c:v>2020-11-17</c:v>
                </c:pt>
                <c:pt idx="322">
                  <c:v>2020-11-18</c:v>
                </c:pt>
                <c:pt idx="323">
                  <c:v>2020-11-19</c:v>
                </c:pt>
                <c:pt idx="324">
                  <c:v>2020-11-20</c:v>
                </c:pt>
                <c:pt idx="325">
                  <c:v>2020-11-21</c:v>
                </c:pt>
                <c:pt idx="326">
                  <c:v>2020-11-22</c:v>
                </c:pt>
                <c:pt idx="327">
                  <c:v>2020-11-23</c:v>
                </c:pt>
                <c:pt idx="328">
                  <c:v>2020-11-24</c:v>
                </c:pt>
                <c:pt idx="329">
                  <c:v>2020-11-25</c:v>
                </c:pt>
                <c:pt idx="330">
                  <c:v>2020-11-26</c:v>
                </c:pt>
                <c:pt idx="331">
                  <c:v>2020-11-27</c:v>
                </c:pt>
                <c:pt idx="332">
                  <c:v>2020-11-28</c:v>
                </c:pt>
                <c:pt idx="333">
                  <c:v>2020-11-29</c:v>
                </c:pt>
                <c:pt idx="334">
                  <c:v>2020-11-30</c:v>
                </c:pt>
                <c:pt idx="335">
                  <c:v>2020-12-01</c:v>
                </c:pt>
                <c:pt idx="336">
                  <c:v>2020-12-02</c:v>
                </c:pt>
                <c:pt idx="337">
                  <c:v>2020-12-03</c:v>
                </c:pt>
                <c:pt idx="338">
                  <c:v>2020-12-04</c:v>
                </c:pt>
                <c:pt idx="339">
                  <c:v>2020-12-05</c:v>
                </c:pt>
                <c:pt idx="340">
                  <c:v>2020-12-06</c:v>
                </c:pt>
                <c:pt idx="341">
                  <c:v>2020-12-07</c:v>
                </c:pt>
                <c:pt idx="342">
                  <c:v>2020-12-08</c:v>
                </c:pt>
                <c:pt idx="343">
                  <c:v>2020-12-09</c:v>
                </c:pt>
                <c:pt idx="344">
                  <c:v>2020-12-10</c:v>
                </c:pt>
                <c:pt idx="345">
                  <c:v>2020-12-11</c:v>
                </c:pt>
                <c:pt idx="346">
                  <c:v>2020-12-12</c:v>
                </c:pt>
                <c:pt idx="347">
                  <c:v>2020-12-13</c:v>
                </c:pt>
                <c:pt idx="348">
                  <c:v>2020-12-14</c:v>
                </c:pt>
                <c:pt idx="349">
                  <c:v>2020-12-15</c:v>
                </c:pt>
                <c:pt idx="350">
                  <c:v>2020-12-16</c:v>
                </c:pt>
                <c:pt idx="351">
                  <c:v>2020-12-17</c:v>
                </c:pt>
                <c:pt idx="352">
                  <c:v>2020-12-18</c:v>
                </c:pt>
                <c:pt idx="353">
                  <c:v>2020-12-19</c:v>
                </c:pt>
                <c:pt idx="354">
                  <c:v>2020-12-20</c:v>
                </c:pt>
                <c:pt idx="355">
                  <c:v>2020-12-21</c:v>
                </c:pt>
                <c:pt idx="356">
                  <c:v>2020-12-22</c:v>
                </c:pt>
                <c:pt idx="357">
                  <c:v>2020-12-23</c:v>
                </c:pt>
                <c:pt idx="358">
                  <c:v>2020-12-24</c:v>
                </c:pt>
                <c:pt idx="359">
                  <c:v>2020-12-25</c:v>
                </c:pt>
                <c:pt idx="360">
                  <c:v>2020-12-26</c:v>
                </c:pt>
                <c:pt idx="361">
                  <c:v>2020-12-27</c:v>
                </c:pt>
                <c:pt idx="362">
                  <c:v>2020-12-28</c:v>
                </c:pt>
                <c:pt idx="363">
                  <c:v>2020-12-29</c:v>
                </c:pt>
                <c:pt idx="364">
                  <c:v>2020-12-30</c:v>
                </c:pt>
                <c:pt idx="365">
                  <c:v>2020-12-31</c:v>
                </c:pt>
                <c:pt idx="366">
                  <c:v>2021-01-01</c:v>
                </c:pt>
                <c:pt idx="367">
                  <c:v>2021-01-02</c:v>
                </c:pt>
                <c:pt idx="368">
                  <c:v>2021-01-03</c:v>
                </c:pt>
                <c:pt idx="369">
                  <c:v>2021-01-04</c:v>
                </c:pt>
                <c:pt idx="370">
                  <c:v>2021-01-05</c:v>
                </c:pt>
                <c:pt idx="371">
                  <c:v>2021-01-06</c:v>
                </c:pt>
                <c:pt idx="372">
                  <c:v>2021-01-07</c:v>
                </c:pt>
                <c:pt idx="373">
                  <c:v>2021-01-08</c:v>
                </c:pt>
                <c:pt idx="374">
                  <c:v>2021-01-09</c:v>
                </c:pt>
                <c:pt idx="375">
                  <c:v>2021-01-10</c:v>
                </c:pt>
                <c:pt idx="376">
                  <c:v>2021-01-11</c:v>
                </c:pt>
                <c:pt idx="377">
                  <c:v>2021-01-12</c:v>
                </c:pt>
                <c:pt idx="378">
                  <c:v>2021-01-13</c:v>
                </c:pt>
                <c:pt idx="379">
                  <c:v>2021-01-14</c:v>
                </c:pt>
                <c:pt idx="380">
                  <c:v>2021-01-15</c:v>
                </c:pt>
                <c:pt idx="381">
                  <c:v>2021-01-16</c:v>
                </c:pt>
                <c:pt idx="382">
                  <c:v>2021-01-17</c:v>
                </c:pt>
                <c:pt idx="383">
                  <c:v>2021-01-18</c:v>
                </c:pt>
                <c:pt idx="384">
                  <c:v>2021-01-19</c:v>
                </c:pt>
                <c:pt idx="385">
                  <c:v>2021-01-20</c:v>
                </c:pt>
                <c:pt idx="386">
                  <c:v>2021-01-21</c:v>
                </c:pt>
                <c:pt idx="387">
                  <c:v>2021-01-22</c:v>
                </c:pt>
                <c:pt idx="388">
                  <c:v>2021-01-23</c:v>
                </c:pt>
                <c:pt idx="389">
                  <c:v>2021-01-24</c:v>
                </c:pt>
                <c:pt idx="390">
                  <c:v>2021-01-25</c:v>
                </c:pt>
                <c:pt idx="391">
                  <c:v>2021-01-26</c:v>
                </c:pt>
                <c:pt idx="392">
                  <c:v>2021-01-27</c:v>
                </c:pt>
                <c:pt idx="393">
                  <c:v>2021-01-28</c:v>
                </c:pt>
                <c:pt idx="394">
                  <c:v>2021-01-29</c:v>
                </c:pt>
                <c:pt idx="395">
                  <c:v>2021-01-30</c:v>
                </c:pt>
                <c:pt idx="396">
                  <c:v>2021-01-31</c:v>
                </c:pt>
                <c:pt idx="397">
                  <c:v>2021-02-01</c:v>
                </c:pt>
                <c:pt idx="398">
                  <c:v>2021-02-02</c:v>
                </c:pt>
                <c:pt idx="399">
                  <c:v>2021-02-03</c:v>
                </c:pt>
                <c:pt idx="400">
                  <c:v>2021-02-04</c:v>
                </c:pt>
                <c:pt idx="401">
                  <c:v>2021-02-05</c:v>
                </c:pt>
                <c:pt idx="402">
                  <c:v>2021-02-06</c:v>
                </c:pt>
                <c:pt idx="403">
                  <c:v>2021-02-07</c:v>
                </c:pt>
                <c:pt idx="404">
                  <c:v>2021-02-08</c:v>
                </c:pt>
                <c:pt idx="405">
                  <c:v>2021-02-09</c:v>
                </c:pt>
                <c:pt idx="406">
                  <c:v>2021-02-10</c:v>
                </c:pt>
                <c:pt idx="407">
                  <c:v>2021-02-11</c:v>
                </c:pt>
                <c:pt idx="408">
                  <c:v>2021-02-12</c:v>
                </c:pt>
                <c:pt idx="409">
                  <c:v>2021-02-13</c:v>
                </c:pt>
                <c:pt idx="410">
                  <c:v>2021-02-14</c:v>
                </c:pt>
                <c:pt idx="411">
                  <c:v>2021-02-15</c:v>
                </c:pt>
                <c:pt idx="412">
                  <c:v>2021-02-16</c:v>
                </c:pt>
                <c:pt idx="413">
                  <c:v>2021-02-17</c:v>
                </c:pt>
                <c:pt idx="414">
                  <c:v>2021-02-18</c:v>
                </c:pt>
                <c:pt idx="415">
                  <c:v>2021-02-19</c:v>
                </c:pt>
                <c:pt idx="416">
                  <c:v>2021-02-20</c:v>
                </c:pt>
                <c:pt idx="417">
                  <c:v>2021-02-21</c:v>
                </c:pt>
                <c:pt idx="418">
                  <c:v>2021-02-22</c:v>
                </c:pt>
                <c:pt idx="419">
                  <c:v>2021-02-23</c:v>
                </c:pt>
                <c:pt idx="420">
                  <c:v>2021-02-24</c:v>
                </c:pt>
                <c:pt idx="421">
                  <c:v>2021-02-25</c:v>
                </c:pt>
                <c:pt idx="422">
                  <c:v>2021-02-26</c:v>
                </c:pt>
                <c:pt idx="423">
                  <c:v>2021-02-27</c:v>
                </c:pt>
                <c:pt idx="424">
                  <c:v>2021-02-28</c:v>
                </c:pt>
                <c:pt idx="425">
                  <c:v>2021-03-01</c:v>
                </c:pt>
                <c:pt idx="426">
                  <c:v>2021-03-02</c:v>
                </c:pt>
                <c:pt idx="427">
                  <c:v>2021-03-03</c:v>
                </c:pt>
                <c:pt idx="428">
                  <c:v>2021-03-04</c:v>
                </c:pt>
                <c:pt idx="429">
                  <c:v>2021-03-05</c:v>
                </c:pt>
                <c:pt idx="430">
                  <c:v>2021-03-06</c:v>
                </c:pt>
                <c:pt idx="431">
                  <c:v>2021-03-07</c:v>
                </c:pt>
                <c:pt idx="432">
                  <c:v>2021-03-08</c:v>
                </c:pt>
                <c:pt idx="433">
                  <c:v>2021-03-09</c:v>
                </c:pt>
                <c:pt idx="434">
                  <c:v>2021-03-10</c:v>
                </c:pt>
                <c:pt idx="435">
                  <c:v>2021-03-11</c:v>
                </c:pt>
                <c:pt idx="436">
                  <c:v>2021-03-12</c:v>
                </c:pt>
                <c:pt idx="437">
                  <c:v>2021-03-13</c:v>
                </c:pt>
                <c:pt idx="438">
                  <c:v>2021-03-14</c:v>
                </c:pt>
                <c:pt idx="439">
                  <c:v>2021-03-15</c:v>
                </c:pt>
                <c:pt idx="440">
                  <c:v>2021-03-16</c:v>
                </c:pt>
                <c:pt idx="441">
                  <c:v>2021-03-17</c:v>
                </c:pt>
              </c:strCache>
            </c:strRef>
          </c:cat>
          <c:val>
            <c:numRef>
              <c:f>mirtys!$D$2:$D$443</c:f>
              <c:numCache>
                <c:formatCode>General</c:formatCode>
                <c:ptCount val="44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1</c:v>
                </c:pt>
                <c:pt idx="80">
                  <c:v>0</c:v>
                </c:pt>
                <c:pt idx="81">
                  <c:v>0</c:v>
                </c:pt>
                <c:pt idx="82">
                  <c:v>0</c:v>
                </c:pt>
                <c:pt idx="83">
                  <c:v>0</c:v>
                </c:pt>
                <c:pt idx="84">
                  <c:v>0</c:v>
                </c:pt>
                <c:pt idx="85">
                  <c:v>1</c:v>
                </c:pt>
                <c:pt idx="86">
                  <c:v>0</c:v>
                </c:pt>
                <c:pt idx="87">
                  <c:v>1</c:v>
                </c:pt>
                <c:pt idx="88">
                  <c:v>0</c:v>
                </c:pt>
                <c:pt idx="89">
                  <c:v>0</c:v>
                </c:pt>
                <c:pt idx="90">
                  <c:v>1</c:v>
                </c:pt>
                <c:pt idx="91">
                  <c:v>0</c:v>
                </c:pt>
                <c:pt idx="92">
                  <c:v>0</c:v>
                </c:pt>
                <c:pt idx="93">
                  <c:v>1</c:v>
                </c:pt>
                <c:pt idx="94">
                  <c:v>1</c:v>
                </c:pt>
                <c:pt idx="95">
                  <c:v>1</c:v>
                </c:pt>
                <c:pt idx="96">
                  <c:v>5</c:v>
                </c:pt>
                <c:pt idx="97">
                  <c:v>0</c:v>
                </c:pt>
                <c:pt idx="98">
                  <c:v>1</c:v>
                </c:pt>
                <c:pt idx="99">
                  <c:v>1</c:v>
                </c:pt>
                <c:pt idx="100">
                  <c:v>0</c:v>
                </c:pt>
                <c:pt idx="101">
                  <c:v>0</c:v>
                </c:pt>
                <c:pt idx="102">
                  <c:v>1</c:v>
                </c:pt>
                <c:pt idx="103">
                  <c:v>0</c:v>
                </c:pt>
                <c:pt idx="104">
                  <c:v>0</c:v>
                </c:pt>
                <c:pt idx="105">
                  <c:v>0</c:v>
                </c:pt>
                <c:pt idx="106">
                  <c:v>1</c:v>
                </c:pt>
                <c:pt idx="107">
                  <c:v>0</c:v>
                </c:pt>
                <c:pt idx="108">
                  <c:v>0</c:v>
                </c:pt>
                <c:pt idx="109">
                  <c:v>0</c:v>
                </c:pt>
                <c:pt idx="110">
                  <c:v>1</c:v>
                </c:pt>
                <c:pt idx="111">
                  <c:v>0</c:v>
                </c:pt>
                <c:pt idx="112">
                  <c:v>0</c:v>
                </c:pt>
                <c:pt idx="113">
                  <c:v>0</c:v>
                </c:pt>
                <c:pt idx="114">
                  <c:v>0</c:v>
                </c:pt>
                <c:pt idx="115">
                  <c:v>0</c:v>
                </c:pt>
                <c:pt idx="116">
                  <c:v>0</c:v>
                </c:pt>
                <c:pt idx="117">
                  <c:v>2</c:v>
                </c:pt>
                <c:pt idx="118">
                  <c:v>2</c:v>
                </c:pt>
                <c:pt idx="119">
                  <c:v>1</c:v>
                </c:pt>
                <c:pt idx="120">
                  <c:v>1</c:v>
                </c:pt>
                <c:pt idx="121">
                  <c:v>0</c:v>
                </c:pt>
                <c:pt idx="122">
                  <c:v>1</c:v>
                </c:pt>
                <c:pt idx="123">
                  <c:v>0</c:v>
                </c:pt>
                <c:pt idx="124">
                  <c:v>0</c:v>
                </c:pt>
                <c:pt idx="125">
                  <c:v>1</c:v>
                </c:pt>
                <c:pt idx="126">
                  <c:v>0</c:v>
                </c:pt>
                <c:pt idx="127">
                  <c:v>1</c:v>
                </c:pt>
                <c:pt idx="128">
                  <c:v>2</c:v>
                </c:pt>
                <c:pt idx="129">
                  <c:v>1</c:v>
                </c:pt>
                <c:pt idx="130">
                  <c:v>1</c:v>
                </c:pt>
                <c:pt idx="131">
                  <c:v>0</c:v>
                </c:pt>
                <c:pt idx="132">
                  <c:v>1</c:v>
                </c:pt>
                <c:pt idx="133">
                  <c:v>0</c:v>
                </c:pt>
                <c:pt idx="134">
                  <c:v>3</c:v>
                </c:pt>
                <c:pt idx="135">
                  <c:v>1</c:v>
                </c:pt>
                <c:pt idx="136">
                  <c:v>1</c:v>
                </c:pt>
                <c:pt idx="137">
                  <c:v>0</c:v>
                </c:pt>
                <c:pt idx="138">
                  <c:v>0</c:v>
                </c:pt>
                <c:pt idx="139">
                  <c:v>0</c:v>
                </c:pt>
                <c:pt idx="140">
                  <c:v>0</c:v>
                </c:pt>
                <c:pt idx="141">
                  <c:v>1</c:v>
                </c:pt>
                <c:pt idx="142">
                  <c:v>1</c:v>
                </c:pt>
                <c:pt idx="143">
                  <c:v>0</c:v>
                </c:pt>
                <c:pt idx="144">
                  <c:v>0</c:v>
                </c:pt>
                <c:pt idx="145">
                  <c:v>0</c:v>
                </c:pt>
                <c:pt idx="146">
                  <c:v>1</c:v>
                </c:pt>
                <c:pt idx="147">
                  <c:v>1</c:v>
                </c:pt>
                <c:pt idx="148">
                  <c:v>0</c:v>
                </c:pt>
                <c:pt idx="149">
                  <c:v>0</c:v>
                </c:pt>
                <c:pt idx="150">
                  <c:v>0</c:v>
                </c:pt>
                <c:pt idx="151">
                  <c:v>0</c:v>
                </c:pt>
                <c:pt idx="152">
                  <c:v>0</c:v>
                </c:pt>
                <c:pt idx="153">
                  <c:v>0</c:v>
                </c:pt>
                <c:pt idx="154">
                  <c:v>0</c:v>
                </c:pt>
                <c:pt idx="155">
                  <c:v>0</c:v>
                </c:pt>
                <c:pt idx="156">
                  <c:v>1</c:v>
                </c:pt>
                <c:pt idx="157">
                  <c:v>0</c:v>
                </c:pt>
                <c:pt idx="158">
                  <c:v>0</c:v>
                </c:pt>
                <c:pt idx="159">
                  <c:v>1</c:v>
                </c:pt>
                <c:pt idx="160">
                  <c:v>0</c:v>
                </c:pt>
                <c:pt idx="161">
                  <c:v>0</c:v>
                </c:pt>
                <c:pt idx="162">
                  <c:v>0</c:v>
                </c:pt>
                <c:pt idx="163">
                  <c:v>0</c:v>
                </c:pt>
                <c:pt idx="164">
                  <c:v>1</c:v>
                </c:pt>
                <c:pt idx="165">
                  <c:v>0</c:v>
                </c:pt>
                <c:pt idx="166">
                  <c:v>0</c:v>
                </c:pt>
                <c:pt idx="167">
                  <c:v>0</c:v>
                </c:pt>
                <c:pt idx="168">
                  <c:v>0</c:v>
                </c:pt>
                <c:pt idx="169">
                  <c:v>0</c:v>
                </c:pt>
                <c:pt idx="170">
                  <c:v>1</c:v>
                </c:pt>
                <c:pt idx="171">
                  <c:v>0</c:v>
                </c:pt>
                <c:pt idx="172">
                  <c:v>0</c:v>
                </c:pt>
                <c:pt idx="173">
                  <c:v>1</c:v>
                </c:pt>
                <c:pt idx="174">
                  <c:v>0</c:v>
                </c:pt>
                <c:pt idx="175">
                  <c:v>0</c:v>
                </c:pt>
                <c:pt idx="176">
                  <c:v>0</c:v>
                </c:pt>
                <c:pt idx="177">
                  <c:v>0</c:v>
                </c:pt>
                <c:pt idx="178">
                  <c:v>0</c:v>
                </c:pt>
                <c:pt idx="179">
                  <c:v>0</c:v>
                </c:pt>
                <c:pt idx="180">
                  <c:v>0</c:v>
                </c:pt>
                <c:pt idx="181">
                  <c:v>0</c:v>
                </c:pt>
                <c:pt idx="182">
                  <c:v>1</c:v>
                </c:pt>
                <c:pt idx="183">
                  <c:v>0</c:v>
                </c:pt>
                <c:pt idx="184">
                  <c:v>0</c:v>
                </c:pt>
                <c:pt idx="185">
                  <c:v>0</c:v>
                </c:pt>
                <c:pt idx="186">
                  <c:v>0</c:v>
                </c:pt>
                <c:pt idx="187">
                  <c:v>0</c:v>
                </c:pt>
                <c:pt idx="188">
                  <c:v>1</c:v>
                </c:pt>
                <c:pt idx="189">
                  <c:v>0</c:v>
                </c:pt>
                <c:pt idx="190">
                  <c:v>0</c:v>
                </c:pt>
                <c:pt idx="191">
                  <c:v>0</c:v>
                </c:pt>
                <c:pt idx="192">
                  <c:v>0</c:v>
                </c:pt>
                <c:pt idx="193">
                  <c:v>0</c:v>
                </c:pt>
                <c:pt idx="194">
                  <c:v>1</c:v>
                </c:pt>
                <c:pt idx="195">
                  <c:v>0</c:v>
                </c:pt>
                <c:pt idx="196">
                  <c:v>0</c:v>
                </c:pt>
                <c:pt idx="197">
                  <c:v>0</c:v>
                </c:pt>
                <c:pt idx="198">
                  <c:v>0</c:v>
                </c:pt>
                <c:pt idx="199">
                  <c:v>0</c:v>
                </c:pt>
                <c:pt idx="200">
                  <c:v>0</c:v>
                </c:pt>
                <c:pt idx="201">
                  <c:v>0</c:v>
                </c:pt>
                <c:pt idx="202">
                  <c:v>0</c:v>
                </c:pt>
                <c:pt idx="203">
                  <c:v>0</c:v>
                </c:pt>
                <c:pt idx="204">
                  <c:v>0</c:v>
                </c:pt>
                <c:pt idx="205">
                  <c:v>1</c:v>
                </c:pt>
                <c:pt idx="206">
                  <c:v>0</c:v>
                </c:pt>
                <c:pt idx="207">
                  <c:v>1</c:v>
                </c:pt>
                <c:pt idx="208">
                  <c:v>0</c:v>
                </c:pt>
                <c:pt idx="209">
                  <c:v>0</c:v>
                </c:pt>
                <c:pt idx="210">
                  <c:v>0</c:v>
                </c:pt>
                <c:pt idx="211">
                  <c:v>0</c:v>
                </c:pt>
                <c:pt idx="212">
                  <c:v>0</c:v>
                </c:pt>
                <c:pt idx="213">
                  <c:v>0</c:v>
                </c:pt>
                <c:pt idx="214">
                  <c:v>0</c:v>
                </c:pt>
                <c:pt idx="215">
                  <c:v>1</c:v>
                </c:pt>
                <c:pt idx="216">
                  <c:v>1</c:v>
                </c:pt>
                <c:pt idx="217">
                  <c:v>0</c:v>
                </c:pt>
                <c:pt idx="218">
                  <c:v>0</c:v>
                </c:pt>
                <c:pt idx="219">
                  <c:v>1</c:v>
                </c:pt>
                <c:pt idx="220">
                  <c:v>0</c:v>
                </c:pt>
                <c:pt idx="221">
                  <c:v>1</c:v>
                </c:pt>
                <c:pt idx="222">
                  <c:v>0</c:v>
                </c:pt>
                <c:pt idx="223">
                  <c:v>0</c:v>
                </c:pt>
                <c:pt idx="224">
                  <c:v>0</c:v>
                </c:pt>
                <c:pt idx="225">
                  <c:v>0</c:v>
                </c:pt>
                <c:pt idx="226">
                  <c:v>0</c:v>
                </c:pt>
                <c:pt idx="227">
                  <c:v>0</c:v>
                </c:pt>
                <c:pt idx="228">
                  <c:v>0</c:v>
                </c:pt>
                <c:pt idx="229">
                  <c:v>0</c:v>
                </c:pt>
                <c:pt idx="230">
                  <c:v>0</c:v>
                </c:pt>
                <c:pt idx="231">
                  <c:v>0</c:v>
                </c:pt>
                <c:pt idx="232">
                  <c:v>1</c:v>
                </c:pt>
                <c:pt idx="233">
                  <c:v>0</c:v>
                </c:pt>
                <c:pt idx="234">
                  <c:v>0</c:v>
                </c:pt>
                <c:pt idx="235">
                  <c:v>0</c:v>
                </c:pt>
                <c:pt idx="236">
                  <c:v>0</c:v>
                </c:pt>
                <c:pt idx="237">
                  <c:v>0</c:v>
                </c:pt>
                <c:pt idx="238">
                  <c:v>1</c:v>
                </c:pt>
                <c:pt idx="239">
                  <c:v>0</c:v>
                </c:pt>
                <c:pt idx="240">
                  <c:v>0</c:v>
                </c:pt>
                <c:pt idx="241">
                  <c:v>0</c:v>
                </c:pt>
                <c:pt idx="242">
                  <c:v>0</c:v>
                </c:pt>
                <c:pt idx="243">
                  <c:v>0</c:v>
                </c:pt>
                <c:pt idx="244">
                  <c:v>0</c:v>
                </c:pt>
                <c:pt idx="245">
                  <c:v>1</c:v>
                </c:pt>
                <c:pt idx="246">
                  <c:v>1</c:v>
                </c:pt>
                <c:pt idx="247">
                  <c:v>0</c:v>
                </c:pt>
                <c:pt idx="248">
                  <c:v>1</c:v>
                </c:pt>
                <c:pt idx="249">
                  <c:v>0</c:v>
                </c:pt>
                <c:pt idx="250">
                  <c:v>1</c:v>
                </c:pt>
                <c:pt idx="251">
                  <c:v>0</c:v>
                </c:pt>
                <c:pt idx="252">
                  <c:v>1</c:v>
                </c:pt>
                <c:pt idx="253">
                  <c:v>1</c:v>
                </c:pt>
                <c:pt idx="254">
                  <c:v>0</c:v>
                </c:pt>
                <c:pt idx="255">
                  <c:v>0</c:v>
                </c:pt>
                <c:pt idx="256">
                  <c:v>1</c:v>
                </c:pt>
                <c:pt idx="257">
                  <c:v>0</c:v>
                </c:pt>
                <c:pt idx="258">
                  <c:v>0</c:v>
                </c:pt>
                <c:pt idx="259">
                  <c:v>2</c:v>
                </c:pt>
                <c:pt idx="260">
                  <c:v>1</c:v>
                </c:pt>
                <c:pt idx="261">
                  <c:v>0</c:v>
                </c:pt>
                <c:pt idx="262">
                  <c:v>0</c:v>
                </c:pt>
                <c:pt idx="263">
                  <c:v>1</c:v>
                </c:pt>
                <c:pt idx="264">
                  <c:v>0</c:v>
                </c:pt>
                <c:pt idx="265">
                  <c:v>1</c:v>
                </c:pt>
                <c:pt idx="266">
                  <c:v>3</c:v>
                </c:pt>
                <c:pt idx="267">
                  <c:v>0</c:v>
                </c:pt>
                <c:pt idx="268">
                  <c:v>2</c:v>
                </c:pt>
                <c:pt idx="269">
                  <c:v>0</c:v>
                </c:pt>
                <c:pt idx="270">
                  <c:v>1</c:v>
                </c:pt>
                <c:pt idx="271">
                  <c:v>1</c:v>
                </c:pt>
                <c:pt idx="272">
                  <c:v>0</c:v>
                </c:pt>
                <c:pt idx="273">
                  <c:v>0</c:v>
                </c:pt>
                <c:pt idx="274">
                  <c:v>1</c:v>
                </c:pt>
                <c:pt idx="275">
                  <c:v>0</c:v>
                </c:pt>
                <c:pt idx="276">
                  <c:v>3</c:v>
                </c:pt>
                <c:pt idx="277">
                  <c:v>0</c:v>
                </c:pt>
                <c:pt idx="278">
                  <c:v>2</c:v>
                </c:pt>
                <c:pt idx="279">
                  <c:v>1</c:v>
                </c:pt>
                <c:pt idx="280">
                  <c:v>2</c:v>
                </c:pt>
                <c:pt idx="281">
                  <c:v>1</c:v>
                </c:pt>
                <c:pt idx="282">
                  <c:v>2</c:v>
                </c:pt>
                <c:pt idx="283">
                  <c:v>0</c:v>
                </c:pt>
                <c:pt idx="284">
                  <c:v>1</c:v>
                </c:pt>
                <c:pt idx="285">
                  <c:v>0</c:v>
                </c:pt>
                <c:pt idx="286">
                  <c:v>1</c:v>
                </c:pt>
                <c:pt idx="287">
                  <c:v>1</c:v>
                </c:pt>
                <c:pt idx="288">
                  <c:v>1</c:v>
                </c:pt>
                <c:pt idx="289">
                  <c:v>1</c:v>
                </c:pt>
                <c:pt idx="290">
                  <c:v>1</c:v>
                </c:pt>
                <c:pt idx="291">
                  <c:v>0</c:v>
                </c:pt>
                <c:pt idx="292">
                  <c:v>2</c:v>
                </c:pt>
                <c:pt idx="293">
                  <c:v>3</c:v>
                </c:pt>
                <c:pt idx="294">
                  <c:v>4</c:v>
                </c:pt>
                <c:pt idx="295">
                  <c:v>2</c:v>
                </c:pt>
                <c:pt idx="296">
                  <c:v>2</c:v>
                </c:pt>
                <c:pt idx="297">
                  <c:v>2</c:v>
                </c:pt>
                <c:pt idx="298">
                  <c:v>2</c:v>
                </c:pt>
                <c:pt idx="299">
                  <c:v>6</c:v>
                </c:pt>
                <c:pt idx="300">
                  <c:v>7</c:v>
                </c:pt>
                <c:pt idx="301">
                  <c:v>7</c:v>
                </c:pt>
                <c:pt idx="302">
                  <c:v>2</c:v>
                </c:pt>
                <c:pt idx="303">
                  <c:v>1</c:v>
                </c:pt>
                <c:pt idx="304">
                  <c:v>7</c:v>
                </c:pt>
                <c:pt idx="305">
                  <c:v>4</c:v>
                </c:pt>
                <c:pt idx="306">
                  <c:v>4</c:v>
                </c:pt>
                <c:pt idx="307">
                  <c:v>7</c:v>
                </c:pt>
                <c:pt idx="308">
                  <c:v>7</c:v>
                </c:pt>
                <c:pt idx="309">
                  <c:v>5</c:v>
                </c:pt>
                <c:pt idx="310">
                  <c:v>10</c:v>
                </c:pt>
                <c:pt idx="311">
                  <c:v>12</c:v>
                </c:pt>
                <c:pt idx="312">
                  <c:v>10</c:v>
                </c:pt>
                <c:pt idx="313">
                  <c:v>8</c:v>
                </c:pt>
                <c:pt idx="314">
                  <c:v>11</c:v>
                </c:pt>
                <c:pt idx="315">
                  <c:v>11</c:v>
                </c:pt>
                <c:pt idx="316">
                  <c:v>19</c:v>
                </c:pt>
                <c:pt idx="317">
                  <c:v>9</c:v>
                </c:pt>
                <c:pt idx="318">
                  <c:v>17</c:v>
                </c:pt>
                <c:pt idx="319">
                  <c:v>13</c:v>
                </c:pt>
                <c:pt idx="320">
                  <c:v>17</c:v>
                </c:pt>
                <c:pt idx="321">
                  <c:v>16</c:v>
                </c:pt>
                <c:pt idx="322">
                  <c:v>13</c:v>
                </c:pt>
                <c:pt idx="323">
                  <c:v>22</c:v>
                </c:pt>
                <c:pt idx="324">
                  <c:v>21</c:v>
                </c:pt>
                <c:pt idx="325">
                  <c:v>28</c:v>
                </c:pt>
                <c:pt idx="326">
                  <c:v>31</c:v>
                </c:pt>
                <c:pt idx="327">
                  <c:v>23</c:v>
                </c:pt>
                <c:pt idx="328">
                  <c:v>29</c:v>
                </c:pt>
                <c:pt idx="329">
                  <c:v>20</c:v>
                </c:pt>
                <c:pt idx="330">
                  <c:v>16</c:v>
                </c:pt>
                <c:pt idx="331">
                  <c:v>26</c:v>
                </c:pt>
                <c:pt idx="332">
                  <c:v>29</c:v>
                </c:pt>
                <c:pt idx="333">
                  <c:v>23</c:v>
                </c:pt>
                <c:pt idx="334">
                  <c:v>32</c:v>
                </c:pt>
                <c:pt idx="335">
                  <c:v>33</c:v>
                </c:pt>
                <c:pt idx="336">
                  <c:v>30</c:v>
                </c:pt>
                <c:pt idx="337">
                  <c:v>30</c:v>
                </c:pt>
                <c:pt idx="338">
                  <c:v>31</c:v>
                </c:pt>
                <c:pt idx="339">
                  <c:v>30</c:v>
                </c:pt>
                <c:pt idx="340">
                  <c:v>33</c:v>
                </c:pt>
                <c:pt idx="341">
                  <c:v>34</c:v>
                </c:pt>
                <c:pt idx="342">
                  <c:v>39</c:v>
                </c:pt>
                <c:pt idx="343">
                  <c:v>33</c:v>
                </c:pt>
                <c:pt idx="344">
                  <c:v>43</c:v>
                </c:pt>
                <c:pt idx="345">
                  <c:v>30</c:v>
                </c:pt>
                <c:pt idx="346">
                  <c:v>43</c:v>
                </c:pt>
                <c:pt idx="347">
                  <c:v>28</c:v>
                </c:pt>
                <c:pt idx="348">
                  <c:v>47</c:v>
                </c:pt>
                <c:pt idx="349">
                  <c:v>46</c:v>
                </c:pt>
                <c:pt idx="350">
                  <c:v>56</c:v>
                </c:pt>
                <c:pt idx="351">
                  <c:v>35</c:v>
                </c:pt>
                <c:pt idx="352">
                  <c:v>46</c:v>
                </c:pt>
                <c:pt idx="353">
                  <c:v>34</c:v>
                </c:pt>
                <c:pt idx="354">
                  <c:v>40</c:v>
                </c:pt>
                <c:pt idx="355">
                  <c:v>46</c:v>
                </c:pt>
                <c:pt idx="356">
                  <c:v>55</c:v>
                </c:pt>
                <c:pt idx="357">
                  <c:v>53</c:v>
                </c:pt>
                <c:pt idx="358">
                  <c:v>36</c:v>
                </c:pt>
                <c:pt idx="359">
                  <c:v>27</c:v>
                </c:pt>
                <c:pt idx="360">
                  <c:v>48</c:v>
                </c:pt>
                <c:pt idx="361">
                  <c:v>34</c:v>
                </c:pt>
                <c:pt idx="362">
                  <c:v>33</c:v>
                </c:pt>
                <c:pt idx="363">
                  <c:v>42</c:v>
                </c:pt>
                <c:pt idx="364">
                  <c:v>37</c:v>
                </c:pt>
                <c:pt idx="365">
                  <c:v>39</c:v>
                </c:pt>
                <c:pt idx="366">
                  <c:v>35</c:v>
                </c:pt>
                <c:pt idx="367">
                  <c:v>37</c:v>
                </c:pt>
                <c:pt idx="368">
                  <c:v>43</c:v>
                </c:pt>
                <c:pt idx="369">
                  <c:v>30</c:v>
                </c:pt>
                <c:pt idx="370">
                  <c:v>28</c:v>
                </c:pt>
                <c:pt idx="371">
                  <c:v>30</c:v>
                </c:pt>
                <c:pt idx="372">
                  <c:v>27</c:v>
                </c:pt>
                <c:pt idx="373">
                  <c:v>32</c:v>
                </c:pt>
                <c:pt idx="374">
                  <c:v>30</c:v>
                </c:pt>
                <c:pt idx="375">
                  <c:v>32</c:v>
                </c:pt>
                <c:pt idx="376">
                  <c:v>33</c:v>
                </c:pt>
                <c:pt idx="377">
                  <c:v>30</c:v>
                </c:pt>
                <c:pt idx="378">
                  <c:v>42</c:v>
                </c:pt>
                <c:pt idx="379">
                  <c:v>17</c:v>
                </c:pt>
                <c:pt idx="380">
                  <c:v>34</c:v>
                </c:pt>
                <c:pt idx="381">
                  <c:v>30</c:v>
                </c:pt>
                <c:pt idx="382">
                  <c:v>23</c:v>
                </c:pt>
                <c:pt idx="383">
                  <c:v>29</c:v>
                </c:pt>
                <c:pt idx="384">
                  <c:v>31</c:v>
                </c:pt>
                <c:pt idx="385">
                  <c:v>24</c:v>
                </c:pt>
                <c:pt idx="386">
                  <c:v>23</c:v>
                </c:pt>
                <c:pt idx="387">
                  <c:v>21</c:v>
                </c:pt>
                <c:pt idx="388">
                  <c:v>30</c:v>
                </c:pt>
                <c:pt idx="389">
                  <c:v>28</c:v>
                </c:pt>
                <c:pt idx="390">
                  <c:v>18</c:v>
                </c:pt>
                <c:pt idx="391">
                  <c:v>33</c:v>
                </c:pt>
                <c:pt idx="392">
                  <c:v>33</c:v>
                </c:pt>
                <c:pt idx="393">
                  <c:v>31</c:v>
                </c:pt>
                <c:pt idx="394">
                  <c:v>25</c:v>
                </c:pt>
                <c:pt idx="395">
                  <c:v>28</c:v>
                </c:pt>
                <c:pt idx="396">
                  <c:v>22</c:v>
                </c:pt>
                <c:pt idx="397">
                  <c:v>29</c:v>
                </c:pt>
                <c:pt idx="398">
                  <c:v>24</c:v>
                </c:pt>
                <c:pt idx="399">
                  <c:v>17</c:v>
                </c:pt>
                <c:pt idx="400">
                  <c:v>22</c:v>
                </c:pt>
                <c:pt idx="401">
                  <c:v>24</c:v>
                </c:pt>
                <c:pt idx="402">
                  <c:v>23</c:v>
                </c:pt>
                <c:pt idx="403">
                  <c:v>27</c:v>
                </c:pt>
                <c:pt idx="404">
                  <c:v>33</c:v>
                </c:pt>
                <c:pt idx="405">
                  <c:v>20</c:v>
                </c:pt>
                <c:pt idx="406">
                  <c:v>22</c:v>
                </c:pt>
                <c:pt idx="407">
                  <c:v>10</c:v>
                </c:pt>
                <c:pt idx="408">
                  <c:v>19</c:v>
                </c:pt>
                <c:pt idx="409">
                  <c:v>18</c:v>
                </c:pt>
                <c:pt idx="410">
                  <c:v>18</c:v>
                </c:pt>
                <c:pt idx="411">
                  <c:v>16</c:v>
                </c:pt>
                <c:pt idx="412">
                  <c:v>19</c:v>
                </c:pt>
                <c:pt idx="413">
                  <c:v>18</c:v>
                </c:pt>
                <c:pt idx="414">
                  <c:v>20</c:v>
                </c:pt>
                <c:pt idx="415">
                  <c:v>17</c:v>
                </c:pt>
                <c:pt idx="416">
                  <c:v>8</c:v>
                </c:pt>
                <c:pt idx="417">
                  <c:v>16</c:v>
                </c:pt>
                <c:pt idx="418">
                  <c:v>18</c:v>
                </c:pt>
                <c:pt idx="419">
                  <c:v>13</c:v>
                </c:pt>
                <c:pt idx="420">
                  <c:v>12</c:v>
                </c:pt>
                <c:pt idx="421">
                  <c:v>15</c:v>
                </c:pt>
                <c:pt idx="422">
                  <c:v>17</c:v>
                </c:pt>
                <c:pt idx="423">
                  <c:v>21</c:v>
                </c:pt>
                <c:pt idx="424">
                  <c:v>14</c:v>
                </c:pt>
                <c:pt idx="425">
                  <c:v>20</c:v>
                </c:pt>
                <c:pt idx="426">
                  <c:v>19</c:v>
                </c:pt>
                <c:pt idx="427">
                  <c:v>18</c:v>
                </c:pt>
                <c:pt idx="428">
                  <c:v>17</c:v>
                </c:pt>
                <c:pt idx="429">
                  <c:v>18</c:v>
                </c:pt>
                <c:pt idx="430">
                  <c:v>13</c:v>
                </c:pt>
                <c:pt idx="431">
                  <c:v>11</c:v>
                </c:pt>
                <c:pt idx="432">
                  <c:v>23</c:v>
                </c:pt>
                <c:pt idx="433">
                  <c:v>12</c:v>
                </c:pt>
                <c:pt idx="434">
                  <c:v>11</c:v>
                </c:pt>
                <c:pt idx="435">
                  <c:v>16</c:v>
                </c:pt>
                <c:pt idx="436">
                  <c:v>14</c:v>
                </c:pt>
                <c:pt idx="437">
                  <c:v>18</c:v>
                </c:pt>
                <c:pt idx="438">
                  <c:v>15</c:v>
                </c:pt>
                <c:pt idx="439">
                  <c:v>7</c:v>
                </c:pt>
                <c:pt idx="440">
                  <c:v>4</c:v>
                </c:pt>
                <c:pt idx="441">
                  <c:v>9</c:v>
                </c:pt>
              </c:numCache>
            </c:numRef>
          </c:val>
          <c:extLst>
            <c:ext xmlns:c16="http://schemas.microsoft.com/office/drawing/2014/chart" uri="{C3380CC4-5D6E-409C-BE32-E72D297353CC}">
              <c16:uniqueId val="{00000002-3E58-4EA8-9617-CAB190D7362A}"/>
            </c:ext>
          </c:extLst>
        </c:ser>
        <c:dLbls>
          <c:showLegendKey val="0"/>
          <c:showVal val="0"/>
          <c:showCatName val="0"/>
          <c:showSerName val="0"/>
          <c:showPercent val="0"/>
          <c:showBubbleSize val="0"/>
        </c:dLbls>
        <c:gapWidth val="150"/>
        <c:overlap val="100"/>
        <c:axId val="366792624"/>
        <c:axId val="366793184"/>
      </c:barChart>
      <c:catAx>
        <c:axId val="366792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93184"/>
        <c:crosses val="autoZero"/>
        <c:auto val="1"/>
        <c:lblAlgn val="ctr"/>
        <c:lblOffset val="100"/>
        <c:noMultiLvlLbl val="0"/>
      </c:catAx>
      <c:valAx>
        <c:axId val="36679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79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4ABD1D71D84A3B808BEBA30FDAF261"/>
        <w:category>
          <w:name w:val="Bendrosios nuostatos"/>
          <w:gallery w:val="placeholder"/>
        </w:category>
        <w:types>
          <w:type w:val="bbPlcHdr"/>
        </w:types>
        <w:behaviors>
          <w:behavior w:val="content"/>
        </w:behaviors>
        <w:guid w:val="{FEDE83DA-E43B-4BA4-A14F-B807AFC9A529}"/>
      </w:docPartPr>
      <w:docPartBody>
        <w:p w:rsidR="005A02FB" w:rsidRDefault="005B2078" w:rsidP="005B2078">
          <w:pPr>
            <w:pStyle w:val="4D4ABD1D71D84A3B808BEBA30FDAF261"/>
          </w:pPr>
          <w:r>
            <w:rPr>
              <w:rStyle w:val="Vietosrezervavimoenklotekstas"/>
              <w:color w:val="808080"/>
            </w:rPr>
            <w:t>Click here to enter text.</w:t>
          </w:r>
        </w:p>
      </w:docPartBody>
    </w:docPart>
    <w:docPart>
      <w:docPartPr>
        <w:name w:val="8EDC085DEE344A1097279095028176CE"/>
        <w:category>
          <w:name w:val="Bendrosios nuostatos"/>
          <w:gallery w:val="placeholder"/>
        </w:category>
        <w:types>
          <w:type w:val="bbPlcHdr"/>
        </w:types>
        <w:behaviors>
          <w:behavior w:val="content"/>
        </w:behaviors>
        <w:guid w:val="{3EEC712B-0FC3-4A87-B7F8-0B64A29F232E}"/>
      </w:docPartPr>
      <w:docPartBody>
        <w:p w:rsidR="005A02FB" w:rsidRDefault="005B2078" w:rsidP="005B2078">
          <w:pPr>
            <w:pStyle w:val="8EDC085DEE344A1097279095028176CE"/>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Courier New"/>
    <w:charset w:val="00"/>
    <w:family w:val="auto"/>
    <w:pitch w:val="variable"/>
    <w:sig w:usb0="80000067" w:usb1="00000000" w:usb2="00000000" w:usb3="00000000" w:csb0="00000001"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coNewtext">
    <w:panose1 w:val="00000000000000000000"/>
    <w:charset w:val="80"/>
    <w:family w:val="roman"/>
    <w:notTrueType/>
    <w:pitch w:val="variable"/>
    <w:sig w:usb0="00000001" w:usb1="08070000" w:usb2="00000010" w:usb3="00000000" w:csb0="00020000" w:csb1="00000000"/>
  </w:font>
  <w:font w:name="MyriadPro-Regular">
    <w:altName w:val="Arial Unicode MS"/>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Andale Sans UI">
    <w:altName w:val="Times New Roman"/>
    <w:charset w:val="00"/>
    <w:family w:val="auto"/>
    <w:pitch w:val="variable"/>
  </w:font>
  <w:font w:name="Helvetica Neue">
    <w:altName w:val="Corbel"/>
    <w:charset w:val="00"/>
    <w:family w:val="auto"/>
    <w:pitch w:val="variable"/>
    <w:sig w:usb0="E50002FF" w:usb1="500079DB"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EA"/>
    <w:rsid w:val="00022F5E"/>
    <w:rsid w:val="000D7D17"/>
    <w:rsid w:val="000F7A98"/>
    <w:rsid w:val="00114032"/>
    <w:rsid w:val="00331092"/>
    <w:rsid w:val="003F3698"/>
    <w:rsid w:val="0045242A"/>
    <w:rsid w:val="005A02FB"/>
    <w:rsid w:val="005B2078"/>
    <w:rsid w:val="0070727E"/>
    <w:rsid w:val="009538DC"/>
    <w:rsid w:val="00AF2FCF"/>
    <w:rsid w:val="00CC11E3"/>
    <w:rsid w:val="00DA1F2D"/>
    <w:rsid w:val="00FB6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2078"/>
  </w:style>
  <w:style w:type="paragraph" w:customStyle="1" w:styleId="B6B8B6D475DB4F23BA37CC97A82FAC9B">
    <w:name w:val="B6B8B6D475DB4F23BA37CC97A82FAC9B"/>
    <w:rsid w:val="00FB65EA"/>
  </w:style>
  <w:style w:type="paragraph" w:customStyle="1" w:styleId="62B9C241412745FCA7284EDDCA81DDDB">
    <w:name w:val="62B9C241412745FCA7284EDDCA81DDDB"/>
    <w:rsid w:val="00FB65EA"/>
  </w:style>
  <w:style w:type="paragraph" w:customStyle="1" w:styleId="4D4ABD1D71D84A3B808BEBA30FDAF261">
    <w:name w:val="4D4ABD1D71D84A3B808BEBA30FDAF261"/>
    <w:rsid w:val="005B2078"/>
  </w:style>
  <w:style w:type="paragraph" w:customStyle="1" w:styleId="8EDC085DEE344A1097279095028176CE">
    <w:name w:val="8EDC085DEE344A1097279095028176CE"/>
    <w:rsid w:val="005B20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ECBD-42A4-4936-94CD-81D89143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Pages>
  <Words>58947</Words>
  <Characters>335998</Characters>
  <Application>Microsoft Office Word</Application>
  <DocSecurity>0</DocSecurity>
  <Lines>2799</Lines>
  <Paragraphs>788</Paragraphs>
  <ScaleCrop>false</ScaleCrop>
  <HeadingPairs>
    <vt:vector size="2" baseType="variant">
      <vt:variant>
        <vt:lpstr>Pavadinimas</vt:lpstr>
      </vt:variant>
      <vt:variant>
        <vt:i4>1</vt:i4>
      </vt:variant>
    </vt:vector>
  </HeadingPairs>
  <TitlesOfParts>
    <vt:vector size="1" baseType="lpstr">
      <vt:lpstr>PAŽYMA</vt:lpstr>
    </vt:vector>
  </TitlesOfParts>
  <Company>LR Vyriausybes kanceliarija</Company>
  <LinksUpToDate>false</LinksUpToDate>
  <CharactersWithSpaces>394157</CharactersWithSpaces>
  <SharedDoc>false</SharedDoc>
  <HLinks>
    <vt:vector size="6" baseType="variant">
      <vt:variant>
        <vt:i4>3473463</vt:i4>
      </vt:variant>
      <vt:variant>
        <vt:i4>0</vt:i4>
      </vt:variant>
      <vt:variant>
        <vt:i4>0</vt:i4>
      </vt:variant>
      <vt:variant>
        <vt:i4>5</vt:i4>
      </vt:variant>
      <vt:variant>
        <vt:lpwstr>https://lrv.lt/uploads/main/documents/files/LRV 6 strukturines reformos.pdf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2021-03-30T09:07:00Z</dcterms:created>
  <dc:creator>Kęstutis Rekerta</dc:creator>
  <cp:lastModifiedBy>Vaida Budzevičienė</cp:lastModifiedBy>
  <cp:lastPrinted>2020-12-28T14:36:00Z</cp:lastPrinted>
  <dcterms:modified xsi:type="dcterms:W3CDTF">2021-03-31T07:34:00Z</dcterms:modified>
  <cp:revision>111</cp:revision>
  <dc:title>PAŽYMA</dc:title>
</cp:coreProperties>
</file>