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DC4C" w14:textId="77777777" w:rsidR="00D54FFA" w:rsidRPr="005B4577" w:rsidRDefault="00D54FFA" w:rsidP="00C21D84">
      <w:pPr>
        <w:ind w:right="-881"/>
        <w:jc w:val="both"/>
      </w:pPr>
      <w:r w:rsidRPr="005B4577">
        <w:rPr>
          <w:i/>
          <w:iCs/>
        </w:rPr>
        <w:t>Dėl Seimo valdybos 2021 m. sausio 11 d. sprendimo Nr. SV-S-28 „Dėl Lietuvos Respublikos Konstitucinio Teismo 2020 m. lapkričio 3 d. nutarimo Nr. KT187-N15/2020 „Dėl Lietuvos Respublikos įstatymų, kuriais reguliuojamas tam tikrų programų, fondų arba institucijų finansavimas, nuostatų atitikties Lietuvos Respublikos Konstitucijai“ įgyvendinimo“</w:t>
      </w:r>
      <w:r w:rsidRPr="005B4577">
        <w:t>.</w:t>
      </w:r>
    </w:p>
    <w:p w14:paraId="21897FF2" w14:textId="77777777" w:rsidR="003D43EF" w:rsidRPr="005B4577" w:rsidRDefault="003D43EF" w:rsidP="00C21D84">
      <w:pPr>
        <w:spacing w:after="0"/>
        <w:ind w:right="-881"/>
        <w:jc w:val="both"/>
      </w:pPr>
    </w:p>
    <w:p w14:paraId="6B822BF6" w14:textId="794685D7" w:rsidR="00A92B23" w:rsidRPr="005B4577" w:rsidRDefault="00FC337D" w:rsidP="00C21D84">
      <w:pPr>
        <w:spacing w:after="0"/>
        <w:ind w:right="-881"/>
        <w:jc w:val="both"/>
      </w:pPr>
      <w:r w:rsidRPr="005B4577">
        <w:t xml:space="preserve">Krašto apsaugos ministerija </w:t>
      </w:r>
      <w:r w:rsidRPr="005B4577">
        <w:t xml:space="preserve">nurodė, kad </w:t>
      </w:r>
      <w:r w:rsidRPr="005B4577">
        <w:t>neturi savo reguliavimo srityje jokių specialiųjų įstatymų, kuriais reguliuojamas tam tikrų programų, fondų arba institucijų finansavimas.</w:t>
      </w:r>
    </w:p>
    <w:p w14:paraId="3DB5025D" w14:textId="1ECBEB42" w:rsidR="00043054" w:rsidRDefault="00043054" w:rsidP="00C21D84">
      <w:pPr>
        <w:spacing w:after="0"/>
        <w:ind w:right="-879"/>
        <w:jc w:val="both"/>
      </w:pPr>
      <w:bookmarkStart w:id="0" w:name="part_0321481266454410aa4c32791220cfea"/>
      <w:bookmarkEnd w:id="0"/>
      <w:r w:rsidRPr="005B4577">
        <w:t>Papildomos informacijos nepateikė (laikoma, kad pastabų ir pasiūlymų netur</w:t>
      </w:r>
      <w:r w:rsidR="00C21D84">
        <w:t>ėjo</w:t>
      </w:r>
      <w:r w:rsidR="00AA4012" w:rsidRPr="005B4577">
        <w:t>)</w:t>
      </w:r>
      <w:r w:rsidRPr="005B4577">
        <w:t>:</w:t>
      </w:r>
      <w:r w:rsidRPr="00043054">
        <w:t xml:space="preserve"> Ekonomikos ir inovacijų ministerija</w:t>
      </w:r>
      <w:r w:rsidRPr="005B4577">
        <w:t xml:space="preserve">, </w:t>
      </w:r>
      <w:bookmarkStart w:id="1" w:name="part_0ec590aa1bc3465a90a85ddd75eb13ae"/>
      <w:bookmarkEnd w:id="1"/>
      <w:r w:rsidRPr="00043054">
        <w:t>Energetikos ministerija</w:t>
      </w:r>
      <w:r w:rsidRPr="005B4577">
        <w:t xml:space="preserve">, </w:t>
      </w:r>
      <w:bookmarkStart w:id="2" w:name="part_ad42e31496e74ade9e5287a0c806dfe0"/>
      <w:bookmarkStart w:id="3" w:name="part_ba11c2d9c15e4406ba342bde045b753e"/>
      <w:bookmarkStart w:id="4" w:name="part_563f1dffa5084217af35b8ee70cf3156"/>
      <w:bookmarkStart w:id="5" w:name="part_4856aed666cb437ab1c4c589935b7353"/>
      <w:bookmarkStart w:id="6" w:name="part_c361d83b902747d09cc535c8e5e23a87"/>
      <w:bookmarkStart w:id="7" w:name="part_572c1895167942ef99c2b98b4f75b6a5"/>
      <w:bookmarkStart w:id="8" w:name="part_2f2313f5914947219ae1e51aa520022a"/>
      <w:bookmarkEnd w:id="2"/>
      <w:bookmarkEnd w:id="3"/>
      <w:bookmarkEnd w:id="4"/>
      <w:bookmarkEnd w:id="5"/>
      <w:bookmarkEnd w:id="6"/>
      <w:bookmarkEnd w:id="7"/>
      <w:bookmarkEnd w:id="8"/>
      <w:r w:rsidRPr="00043054">
        <w:t>Švietimo, mokslo ir sporto ministerija</w:t>
      </w:r>
      <w:r w:rsidRPr="005B4577">
        <w:t xml:space="preserve">, </w:t>
      </w:r>
      <w:bookmarkStart w:id="9" w:name="part_22ffd6f9a04b4e01a3d816fc8d2d77a5"/>
      <w:bookmarkStart w:id="10" w:name="part_5d8ecbd3068442c4bf5f362b282b99f5"/>
      <w:bookmarkStart w:id="11" w:name="part_c47a39504dfd4bf1b4ab267c303c38db"/>
      <w:bookmarkEnd w:id="9"/>
      <w:bookmarkEnd w:id="10"/>
      <w:bookmarkEnd w:id="11"/>
      <w:r w:rsidRPr="00043054">
        <w:t>Vidaus reikalų ministerija</w:t>
      </w:r>
      <w:r w:rsidRPr="005B4577">
        <w:t xml:space="preserve"> ir </w:t>
      </w:r>
      <w:bookmarkStart w:id="12" w:name="part_889482bef61c493c80139ee66648fbfd"/>
      <w:bookmarkEnd w:id="12"/>
      <w:r w:rsidRPr="00043054">
        <w:t>Žemės ūkio ministerija.</w:t>
      </w:r>
    </w:p>
    <w:p w14:paraId="616CECFE" w14:textId="77777777" w:rsidR="00C21D84" w:rsidRPr="00043054" w:rsidRDefault="00C21D84" w:rsidP="00C21D84">
      <w:pPr>
        <w:spacing w:after="0"/>
        <w:ind w:right="-879"/>
        <w:jc w:val="both"/>
      </w:pPr>
    </w:p>
    <w:tbl>
      <w:tblPr>
        <w:tblStyle w:val="Lentelstinklelis"/>
        <w:tblW w:w="14879" w:type="dxa"/>
        <w:tblLook w:val="04A0" w:firstRow="1" w:lastRow="0" w:firstColumn="1" w:lastColumn="0" w:noHBand="0" w:noVBand="1"/>
      </w:tblPr>
      <w:tblGrid>
        <w:gridCol w:w="3964"/>
        <w:gridCol w:w="1560"/>
        <w:gridCol w:w="2268"/>
        <w:gridCol w:w="7087"/>
      </w:tblGrid>
      <w:tr w:rsidR="006E3062" w:rsidRPr="006E3062" w14:paraId="4BCBE06F" w14:textId="77777777" w:rsidTr="006E3062">
        <w:tc>
          <w:tcPr>
            <w:tcW w:w="3964" w:type="dxa"/>
            <w:shd w:val="clear" w:color="auto" w:fill="D9D9D9" w:themeFill="background1" w:themeFillShade="D9"/>
          </w:tcPr>
          <w:p w14:paraId="67BA6919" w14:textId="77777777" w:rsidR="006E3062" w:rsidRPr="006E3062" w:rsidRDefault="006E3062" w:rsidP="006E3062">
            <w:pPr>
              <w:jc w:val="center"/>
              <w:rPr>
                <w:b/>
                <w:bCs/>
              </w:rPr>
            </w:pPr>
            <w:r w:rsidRPr="006E3062">
              <w:rPr>
                <w:b/>
                <w:bCs/>
              </w:rPr>
              <w:t>Įstatymas</w:t>
            </w:r>
          </w:p>
        </w:tc>
        <w:tc>
          <w:tcPr>
            <w:tcW w:w="1560" w:type="dxa"/>
            <w:shd w:val="clear" w:color="auto" w:fill="D9D9D9" w:themeFill="background1" w:themeFillShade="D9"/>
          </w:tcPr>
          <w:p w14:paraId="755EDB4A" w14:textId="77777777" w:rsidR="006E3062" w:rsidRPr="006E3062" w:rsidRDefault="006E3062" w:rsidP="006E3062">
            <w:pPr>
              <w:jc w:val="center"/>
              <w:rPr>
                <w:b/>
                <w:bCs/>
              </w:rPr>
            </w:pPr>
            <w:r w:rsidRPr="006E3062">
              <w:rPr>
                <w:b/>
                <w:bCs/>
              </w:rPr>
              <w:t>Atsakinga ministerija</w:t>
            </w:r>
          </w:p>
        </w:tc>
        <w:tc>
          <w:tcPr>
            <w:tcW w:w="2268" w:type="dxa"/>
            <w:shd w:val="clear" w:color="auto" w:fill="D9D9D9" w:themeFill="background1" w:themeFillShade="D9"/>
          </w:tcPr>
          <w:p w14:paraId="530FA5B6" w14:textId="77777777" w:rsidR="006E3062" w:rsidRPr="006E3062" w:rsidRDefault="006E3062" w:rsidP="006E3062">
            <w:pPr>
              <w:jc w:val="center"/>
              <w:rPr>
                <w:b/>
                <w:bCs/>
              </w:rPr>
            </w:pPr>
            <w:r w:rsidRPr="006E3062">
              <w:rPr>
                <w:b/>
                <w:bCs/>
              </w:rPr>
              <w:t>Planuojama teikti Seimui data (mėn.)</w:t>
            </w:r>
          </w:p>
        </w:tc>
        <w:tc>
          <w:tcPr>
            <w:tcW w:w="7087" w:type="dxa"/>
            <w:shd w:val="clear" w:color="auto" w:fill="D9D9D9" w:themeFill="background1" w:themeFillShade="D9"/>
          </w:tcPr>
          <w:p w14:paraId="1A550C77" w14:textId="77777777" w:rsidR="006E3062" w:rsidRPr="006E3062" w:rsidRDefault="006E3062" w:rsidP="006E3062">
            <w:pPr>
              <w:jc w:val="center"/>
              <w:rPr>
                <w:b/>
                <w:bCs/>
              </w:rPr>
            </w:pPr>
            <w:bookmarkStart w:id="13" w:name="_Hlk62644959"/>
            <w:r w:rsidRPr="006E3062">
              <w:rPr>
                <w:b/>
                <w:bCs/>
              </w:rPr>
              <w:t>Kokiais tikslais, be suderinimo su LRKT sprendimu, siūlomas keisti įstatymas (trumpai), ar kartu bus teikiami susijusių įstatymų pakeitimai</w:t>
            </w:r>
            <w:bookmarkEnd w:id="13"/>
          </w:p>
        </w:tc>
      </w:tr>
      <w:tr w:rsidR="009B6E0A" w:rsidRPr="009B6E0A" w14:paraId="7CD0FF5B" w14:textId="77777777" w:rsidTr="009B6E0A">
        <w:tc>
          <w:tcPr>
            <w:tcW w:w="14879" w:type="dxa"/>
            <w:gridSpan w:val="4"/>
          </w:tcPr>
          <w:p w14:paraId="397E5E47" w14:textId="78576F66" w:rsidR="009B6E0A" w:rsidRPr="009B6E0A" w:rsidRDefault="009B6E0A" w:rsidP="009B6E0A">
            <w:pPr>
              <w:jc w:val="center"/>
              <w:rPr>
                <w:b/>
                <w:bCs/>
              </w:rPr>
            </w:pPr>
            <w:r w:rsidRPr="009B6E0A">
              <w:rPr>
                <w:b/>
                <w:bCs/>
              </w:rPr>
              <w:t>Įstatymai, kurių nuostatas Konstitucinis Teismas pripažino neatitinkančias Konstitucijos</w:t>
            </w:r>
          </w:p>
        </w:tc>
      </w:tr>
      <w:tr w:rsidR="009B6E0A" w:rsidRPr="005B4577" w14:paraId="63C7B342" w14:textId="77777777" w:rsidTr="009B6E0A">
        <w:tc>
          <w:tcPr>
            <w:tcW w:w="3964" w:type="dxa"/>
          </w:tcPr>
          <w:p w14:paraId="4B4D3ACC" w14:textId="0A11A92B" w:rsidR="009B6E0A" w:rsidRPr="005B4577" w:rsidRDefault="00AA4012" w:rsidP="00644B1B">
            <w:pPr>
              <w:jc w:val="both"/>
            </w:pPr>
            <w:r w:rsidRPr="005B4577">
              <w:t xml:space="preserve">1. </w:t>
            </w:r>
            <w:r w:rsidR="00FC337D" w:rsidRPr="00C21D84">
              <w:rPr>
                <w:rFonts w:ascii="Times New Roman" w:hAnsi="Times New Roman" w:cs="Times New Roman"/>
              </w:rPr>
              <w:t>Kelių priežiūros ir plėtros programos finansavimo įstatymas</w:t>
            </w:r>
          </w:p>
        </w:tc>
        <w:tc>
          <w:tcPr>
            <w:tcW w:w="1560" w:type="dxa"/>
          </w:tcPr>
          <w:p w14:paraId="6CD57B79" w14:textId="77BBBFD7" w:rsidR="009B6E0A" w:rsidRPr="005B4577" w:rsidRDefault="008C3F5F">
            <w:r w:rsidRPr="005B4577">
              <w:t>Susisiekimo ministerija</w:t>
            </w:r>
          </w:p>
        </w:tc>
        <w:tc>
          <w:tcPr>
            <w:tcW w:w="2268" w:type="dxa"/>
          </w:tcPr>
          <w:p w14:paraId="54EEC937" w14:textId="59212E34" w:rsidR="009B6E0A" w:rsidRPr="005B4577" w:rsidRDefault="008C3F5F">
            <w:r w:rsidRPr="005B4577">
              <w:t>2021</w:t>
            </w:r>
            <w:r w:rsidR="00B92160" w:rsidRPr="005B4577">
              <w:t xml:space="preserve"> m. vasaris</w:t>
            </w:r>
          </w:p>
        </w:tc>
        <w:tc>
          <w:tcPr>
            <w:tcW w:w="7087" w:type="dxa"/>
          </w:tcPr>
          <w:p w14:paraId="67AA3159" w14:textId="14E70F16" w:rsidR="009B6E0A" w:rsidRPr="005B4577" w:rsidRDefault="00FC337D" w:rsidP="00644B1B">
            <w:pPr>
              <w:jc w:val="both"/>
            </w:pPr>
            <w:r w:rsidRPr="005B4577">
              <w:t>Kadangi LRKT nustatė, kad Kelių priežiūros ir plėtros programos finansavimo įstatymo 4 str. 1 d. ir 9 str. 3 d. prieštarauja Konstitucijai ir siekiant išvengti įstatymo nuostatų dubliavimosi, bus pripažinti netekusiais galios Kelių priežiūros ir plėtros programos finansavimo įstatymo 4 str. ir 9 str. 3 d.</w:t>
            </w:r>
          </w:p>
        </w:tc>
      </w:tr>
      <w:tr w:rsidR="009B6E0A" w:rsidRPr="005B4577" w14:paraId="6A61B97A" w14:textId="77777777" w:rsidTr="009B6E0A">
        <w:tc>
          <w:tcPr>
            <w:tcW w:w="3964" w:type="dxa"/>
          </w:tcPr>
          <w:p w14:paraId="7F34D765" w14:textId="2C608B71" w:rsidR="009B6E0A" w:rsidRPr="005B4577" w:rsidRDefault="00AA4012" w:rsidP="00644B1B">
            <w:pPr>
              <w:jc w:val="both"/>
            </w:pPr>
            <w:r w:rsidRPr="005B4577">
              <w:t xml:space="preserve">2. </w:t>
            </w:r>
            <w:r w:rsidR="00CE462E" w:rsidRPr="00C21D84">
              <w:rPr>
                <w:rFonts w:ascii="Times New Roman" w:hAnsi="Times New Roman" w:cs="Times New Roman"/>
              </w:rPr>
              <w:t>Aplinkos apsaugos rėmimo programos įstatymas</w:t>
            </w:r>
          </w:p>
        </w:tc>
        <w:tc>
          <w:tcPr>
            <w:tcW w:w="1560" w:type="dxa"/>
          </w:tcPr>
          <w:p w14:paraId="29383787" w14:textId="4BCD178A" w:rsidR="009B6E0A" w:rsidRPr="005B4577" w:rsidRDefault="00D82EE8">
            <w:r w:rsidRPr="005B4577">
              <w:t>Aplinkos ministerija</w:t>
            </w:r>
          </w:p>
        </w:tc>
        <w:tc>
          <w:tcPr>
            <w:tcW w:w="2268" w:type="dxa"/>
          </w:tcPr>
          <w:p w14:paraId="6CB6F701" w14:textId="115F2A9F" w:rsidR="009B6E0A" w:rsidRPr="005B4577" w:rsidRDefault="00D82EE8">
            <w:r w:rsidRPr="005B4577">
              <w:rPr>
                <w:rFonts w:ascii="Calibri" w:eastAsia="Calibri" w:hAnsi="Calibri" w:cs="Times New Roman"/>
              </w:rPr>
              <w:t>2021</w:t>
            </w:r>
            <w:r w:rsidR="00B92160" w:rsidRPr="005B4577">
              <w:rPr>
                <w:rFonts w:ascii="Calibri" w:eastAsia="Calibri" w:hAnsi="Calibri" w:cs="Times New Roman"/>
              </w:rPr>
              <w:t xml:space="preserve"> m. birželis</w:t>
            </w:r>
          </w:p>
        </w:tc>
        <w:tc>
          <w:tcPr>
            <w:tcW w:w="7087" w:type="dxa"/>
          </w:tcPr>
          <w:p w14:paraId="422ECDB6" w14:textId="1AE5A839" w:rsidR="009B6E0A" w:rsidRPr="005B4577" w:rsidRDefault="00D82EE8" w:rsidP="00644B1B">
            <w:pPr>
              <w:jc w:val="both"/>
            </w:pPr>
            <w:r w:rsidRPr="005B4577">
              <w:t>Pakeitimas bus teikiamas kartu su Mokesčio už aplinkos teršimą įstatymo pakeitimu (žr. Nr. 3 šioje lentelėje)</w:t>
            </w:r>
          </w:p>
        </w:tc>
      </w:tr>
      <w:tr w:rsidR="00D82EE8" w:rsidRPr="005B4577" w14:paraId="4AA2E8B5" w14:textId="77777777" w:rsidTr="009B6E0A">
        <w:tc>
          <w:tcPr>
            <w:tcW w:w="3964" w:type="dxa"/>
          </w:tcPr>
          <w:p w14:paraId="42157CB3" w14:textId="1A378F88" w:rsidR="00D82EE8" w:rsidRPr="005B4577" w:rsidRDefault="00D82EE8" w:rsidP="00644B1B">
            <w:pPr>
              <w:jc w:val="both"/>
            </w:pPr>
            <w:r w:rsidRPr="005B4577">
              <w:t xml:space="preserve">3. </w:t>
            </w:r>
            <w:r w:rsidRPr="00C21D84">
              <w:rPr>
                <w:rFonts w:ascii="Times New Roman" w:hAnsi="Times New Roman" w:cs="Times New Roman"/>
              </w:rPr>
              <w:t>Mokesčio už aplinkos teršimą įstatymas</w:t>
            </w:r>
          </w:p>
        </w:tc>
        <w:tc>
          <w:tcPr>
            <w:tcW w:w="1560" w:type="dxa"/>
          </w:tcPr>
          <w:p w14:paraId="4D5DB0C6" w14:textId="61F76539" w:rsidR="00D82EE8" w:rsidRPr="005B4577" w:rsidRDefault="00D82EE8" w:rsidP="00D82EE8">
            <w:r w:rsidRPr="005B4577">
              <w:t>Aplinkos ministerija</w:t>
            </w:r>
          </w:p>
        </w:tc>
        <w:tc>
          <w:tcPr>
            <w:tcW w:w="2268" w:type="dxa"/>
          </w:tcPr>
          <w:p w14:paraId="1E537C4A" w14:textId="573ED1A7" w:rsidR="00D82EE8" w:rsidRPr="005B4577" w:rsidRDefault="00D82EE8" w:rsidP="00D82EE8">
            <w:r w:rsidRPr="005B4577">
              <w:rPr>
                <w:rFonts w:ascii="Calibri" w:eastAsia="Calibri" w:hAnsi="Calibri" w:cs="Times New Roman"/>
              </w:rPr>
              <w:t>2021</w:t>
            </w:r>
            <w:r w:rsidR="00B92160" w:rsidRPr="005B4577">
              <w:rPr>
                <w:rFonts w:ascii="Calibri" w:eastAsia="Calibri" w:hAnsi="Calibri" w:cs="Times New Roman"/>
              </w:rPr>
              <w:t xml:space="preserve"> m. birželis</w:t>
            </w:r>
          </w:p>
        </w:tc>
        <w:tc>
          <w:tcPr>
            <w:tcW w:w="7087" w:type="dxa"/>
          </w:tcPr>
          <w:p w14:paraId="34DF4ED2" w14:textId="77777777" w:rsidR="00756AD5" w:rsidRPr="005B4577" w:rsidRDefault="00756AD5" w:rsidP="00644B1B">
            <w:pPr>
              <w:jc w:val="both"/>
            </w:pPr>
            <w:r w:rsidRPr="005B4577">
              <w:t xml:space="preserve">Dėl LRKT nutarimo </w:t>
            </w:r>
            <w:r w:rsidRPr="005B4577">
              <w:rPr>
                <w:u w:val="single"/>
              </w:rPr>
              <w:t>reikės keisti 6 įstatymus</w:t>
            </w:r>
            <w:r w:rsidRPr="005B4577">
              <w:t>: Mokesčio už aplinkos teršimą, Aplinkos apsaugos rėmimo programos, Savivaldybių aplinkos apsaugos rėmimo programos, Mokesčių už valstybinius gamtos išteklius, Medžioklės, Angliavandenilių išteklių mokesčio (</w:t>
            </w:r>
            <w:r w:rsidRPr="005B4577">
              <w:rPr>
                <w:u w:val="single"/>
              </w:rPr>
              <w:t>nors LRKT pasisakė tik dėl 2</w:t>
            </w:r>
            <w:r w:rsidRPr="005B4577">
              <w:t xml:space="preserve">: Mokesčio už aplinkos teršimą ir Aplinkos apsaugos rėmimo programos įstatymų). </w:t>
            </w:r>
            <w:r w:rsidRPr="005B4577">
              <w:rPr>
                <w:u w:val="single"/>
              </w:rPr>
              <w:t>Visi keitimai išvardintuose įstatymuose yra susiję su LRKT sprendimu.</w:t>
            </w:r>
          </w:p>
          <w:p w14:paraId="75DFAD5F" w14:textId="2A95CDB4" w:rsidR="00756AD5" w:rsidRPr="005B4577" w:rsidRDefault="00756AD5" w:rsidP="00644B1B">
            <w:pPr>
              <w:jc w:val="both"/>
            </w:pPr>
            <w:r w:rsidRPr="005B4577">
              <w:t xml:space="preserve">Detalesnė informacija dėl numatomų pakeitimų: pakeisti Aplinkos apsaugos rėmimo programos įstatymo 3 straipsnio 8 punktą, išbraukti proporciją – 50 procentų (50 procentų medžioklės plotų naudotojų mokamo mokesčio už medžiojamųjų gyvūnų išteklių naudojimą). Kadangi šio mokesčio proporcija taip pat nustatyta dar 3 įstatymuose – Mokesčių už valstybinius gamtos išteklius, Savivaldybių aplinkos apsaugos rėmimo programos ir Medžioklės įstatymuose, todėl būtina ir juos atitinkamai tikslinti. </w:t>
            </w:r>
            <w:r w:rsidRPr="005B4577">
              <w:br/>
              <w:t>Dalis Savivaldybių aplinkos apsaugos rėmimo programos įstatymo punktų taip pat prieštarauja LRKT nutarimui, dėl „likučių“ ir įvairių mokesčių paskirstymo tarp biudžeto ir skirtingų programų „proporcijų“, todėl atsiranda poreikis tikslinti ir Angliavandenilių išteklių mokesčio įstatymą.</w:t>
            </w:r>
          </w:p>
          <w:p w14:paraId="03D3ECFE" w14:textId="3E6FE021" w:rsidR="00D82EE8" w:rsidRPr="005B4577" w:rsidRDefault="00756AD5" w:rsidP="00644B1B">
            <w:pPr>
              <w:jc w:val="both"/>
            </w:pPr>
            <w:r w:rsidRPr="005B4577">
              <w:rPr>
                <w:b/>
                <w:bCs/>
              </w:rPr>
              <w:lastRenderedPageBreak/>
              <w:t>Problema</w:t>
            </w:r>
            <w:r w:rsidRPr="005B4577">
              <w:t>: AM nežino, kaip reikėtų reglamentuoti „proporcijas“, taip pat neaišku, kokios bus FM ir TM pastabos derinant įstatymų projektus, gali tekti, atsižvelgus į jų pastabas, teikti derinti pakartotinai, nes išankstinių gairių iš FM negauta.</w:t>
            </w:r>
          </w:p>
        </w:tc>
      </w:tr>
      <w:tr w:rsidR="00D82EE8" w:rsidRPr="005B4577" w14:paraId="1742375A" w14:textId="77777777" w:rsidTr="009B6E0A">
        <w:tc>
          <w:tcPr>
            <w:tcW w:w="3964" w:type="dxa"/>
          </w:tcPr>
          <w:p w14:paraId="66C6451D" w14:textId="175490C9" w:rsidR="00D82EE8" w:rsidRPr="005B4577" w:rsidRDefault="00D82EE8" w:rsidP="00D82EE8">
            <w:r w:rsidRPr="005B4577">
              <w:lastRenderedPageBreak/>
              <w:t xml:space="preserve">4. </w:t>
            </w:r>
            <w:r w:rsidRPr="00C21D84">
              <w:rPr>
                <w:rFonts w:ascii="Times New Roman" w:hAnsi="Times New Roman" w:cs="Times New Roman"/>
              </w:rPr>
              <w:t>Miškų įstatymas</w:t>
            </w:r>
          </w:p>
        </w:tc>
        <w:tc>
          <w:tcPr>
            <w:tcW w:w="1560" w:type="dxa"/>
          </w:tcPr>
          <w:p w14:paraId="5F564FD0" w14:textId="1BDDAD11" w:rsidR="00D82EE8" w:rsidRPr="005B4577" w:rsidRDefault="00D82EE8" w:rsidP="00D82EE8">
            <w:r w:rsidRPr="005B4577">
              <w:t>Aplinkos ministerija</w:t>
            </w:r>
          </w:p>
        </w:tc>
        <w:tc>
          <w:tcPr>
            <w:tcW w:w="2268" w:type="dxa"/>
          </w:tcPr>
          <w:p w14:paraId="0D40B615" w14:textId="15357C4E" w:rsidR="00D82EE8" w:rsidRPr="005B4577" w:rsidRDefault="00D82EE8" w:rsidP="00D82EE8">
            <w:r w:rsidRPr="005B4577">
              <w:t>2021</w:t>
            </w:r>
            <w:r w:rsidR="00B92160" w:rsidRPr="005B4577">
              <w:t xml:space="preserve"> m. kovas</w:t>
            </w:r>
          </w:p>
        </w:tc>
        <w:tc>
          <w:tcPr>
            <w:tcW w:w="7087" w:type="dxa"/>
          </w:tcPr>
          <w:p w14:paraId="46F8D40A" w14:textId="3059D2D3" w:rsidR="00463416" w:rsidRPr="005B4577" w:rsidRDefault="00463416" w:rsidP="00644B1B">
            <w:pPr>
              <w:jc w:val="both"/>
              <w:rPr>
                <w:rFonts w:cstheme="minorHAnsi"/>
              </w:rPr>
            </w:pPr>
            <w:r w:rsidRPr="005B4577">
              <w:t xml:space="preserve">Dėl </w:t>
            </w:r>
            <w:r w:rsidR="00AA4012" w:rsidRPr="005B4577">
              <w:t>LR</w:t>
            </w:r>
            <w:r w:rsidRPr="005B4577">
              <w:t xml:space="preserve">KT nutarimo reikės keisti Miškų įstatymo 7 straipsnio 2 ir 3 dalis, reglamentuojančias privalomųjų atskaitymų iš pajamų už parduotą medieną panaudojimą, įskaitant ir bendrosioms miškų ūkio reikmėms finansuoti. Reikia atsisakyti nuostatų, kuriomis įtvirtinama, kad privalomieji 5 procentų atskaitymai į valstybės biudžetą iš pajamų už parduotą žaliavinę medieną ir nenukirstą mišką naudojami </w:t>
            </w:r>
            <w:r w:rsidRPr="005B4577">
              <w:rPr>
                <w:u w:val="single"/>
              </w:rPr>
              <w:t>tik</w:t>
            </w:r>
            <w:r w:rsidRPr="005B4577">
              <w:t xml:space="preserve"> bendrosioms miškų ūkio reikmėms ir gamtotvarkos priemonėms miškuose finansuoti. Todėl keičiamame projekte būtina numatyti, kad privalomieji 5 proc. atskaitymai į valstybės biudžetą iš pajamų už parduotą žaliavinę medieną ir nenukirstą mišką </w:t>
            </w:r>
            <w:r w:rsidRPr="005B4577">
              <w:rPr>
                <w:u w:val="single"/>
              </w:rPr>
              <w:t>naudojami ne tik bendrosioms miško reikmėms, bet ir bendrosioms valstybės biudžeto reikmėms</w:t>
            </w:r>
            <w:r w:rsidRPr="005B4577">
              <w:t>. Siekiant nuoseklumo ir didesnio aiškumo, pakeitimo projekte būtų numatyta, kad</w:t>
            </w:r>
            <w:r w:rsidRPr="005B4577">
              <w:rPr>
                <w:rFonts w:ascii="Times New Roman" w:hAnsi="Times New Roman"/>
                <w:b/>
                <w:sz w:val="24"/>
                <w:szCs w:val="24"/>
                <w:lang w:eastAsia="lt-LT"/>
              </w:rPr>
              <w:t xml:space="preserve"> </w:t>
            </w:r>
            <w:r w:rsidRPr="005B4577">
              <w:rPr>
                <w:rFonts w:cstheme="minorHAnsi"/>
                <w:lang w:eastAsia="lt-LT"/>
              </w:rPr>
              <w:t xml:space="preserve">bendrosioms valstybės biudžeto ir </w:t>
            </w:r>
            <w:r w:rsidRPr="005B4577">
              <w:rPr>
                <w:rFonts w:cstheme="minorHAnsi"/>
              </w:rPr>
              <w:t>bendrosioms miško reikmėms</w:t>
            </w:r>
            <w:r w:rsidRPr="005B4577">
              <w:rPr>
                <w:rFonts w:cstheme="minorHAnsi"/>
                <w:lang w:eastAsia="lt-LT"/>
              </w:rPr>
              <w:t xml:space="preserve"> tenkinti </w:t>
            </w:r>
            <w:r w:rsidRPr="005B4577">
              <w:rPr>
                <w:rFonts w:cstheme="minorHAnsi"/>
              </w:rPr>
              <w:t>Vyriausybės nustatyta tvarka valstybinių miškų valdytojams</w:t>
            </w:r>
            <w:r w:rsidRPr="005B4577">
              <w:rPr>
                <w:rFonts w:cstheme="minorHAnsi"/>
                <w:b/>
              </w:rPr>
              <w:t xml:space="preserve"> </w:t>
            </w:r>
            <w:r w:rsidRPr="005B4577">
              <w:rPr>
                <w:rFonts w:cstheme="minorHAnsi"/>
              </w:rPr>
              <w:t xml:space="preserve">nustatomi privalomieji 15 procentų </w:t>
            </w:r>
            <w:r w:rsidRPr="005B4577">
              <w:rPr>
                <w:rFonts w:cstheme="minorHAnsi"/>
                <w:i/>
                <w:sz w:val="20"/>
                <w:szCs w:val="20"/>
              </w:rPr>
              <w:t>(kadangi valstybinių miškų valdytojai be 5 proc., skirtų bendrosioms miškų reikmėms dar moka 10 proc. bendrosioms valstybės biudžeto reikmėms</w:t>
            </w:r>
            <w:r w:rsidRPr="005B4577">
              <w:rPr>
                <w:rFonts w:cstheme="minorHAnsi"/>
              </w:rPr>
              <w:t>), o privačių miškų valdytojams</w:t>
            </w:r>
            <w:r w:rsidRPr="005B4577">
              <w:rPr>
                <w:rFonts w:cstheme="minorHAnsi"/>
                <w:b/>
              </w:rPr>
              <w:t xml:space="preserve"> </w:t>
            </w:r>
            <w:r w:rsidRPr="005B4577">
              <w:rPr>
                <w:rFonts w:cstheme="minorHAnsi"/>
              </w:rPr>
              <w:t>5 procentų atskaitymai į valstybės biudžetą iš pajamų už parduotą žaliavinę medieną ir nenukirstą mišką</w:t>
            </w:r>
          </w:p>
          <w:p w14:paraId="0695FD1A" w14:textId="52EB52AE" w:rsidR="00D82EE8" w:rsidRPr="005B4577" w:rsidRDefault="00463416" w:rsidP="00644B1B">
            <w:pPr>
              <w:jc w:val="both"/>
            </w:pPr>
            <w:r w:rsidRPr="005B4577">
              <w:rPr>
                <w:b/>
              </w:rPr>
              <w:t>Galima rizika</w:t>
            </w:r>
            <w:r w:rsidRPr="005B4577">
              <w:t xml:space="preserve">. Pateikus Miškų įstatymo pakeitimo projektą derinimams, privačių miškų savininkai ir socialiniai partneriai tikrai kels klausimą dėl įstatymo pakeitimo iš esmės ir 5 proc. atskaitymų iš pajamų už parduotą žaliavinę medieną ir nenukirstą mišką </w:t>
            </w:r>
            <w:r w:rsidRPr="005B4577">
              <w:rPr>
                <w:u w:val="single"/>
              </w:rPr>
              <w:t>atsisakymo privačių miškų valdytojams</w:t>
            </w:r>
            <w:r w:rsidRPr="005B4577">
              <w:t>. Tą viešojoje erdvėje yra minėjęs ir aplinkos ministras. Toks pakeitimas reikštų daug gilesnių diskusijų ir papildomo laiko tam poreikį, taip pat esminę bendrųjų miškų reikmių finansavimo sistemos pertvarką.</w:t>
            </w:r>
          </w:p>
        </w:tc>
      </w:tr>
      <w:tr w:rsidR="00D82EE8" w:rsidRPr="005B4577" w14:paraId="2EC821DE" w14:textId="77777777" w:rsidTr="009B6E0A">
        <w:tc>
          <w:tcPr>
            <w:tcW w:w="3964" w:type="dxa"/>
          </w:tcPr>
          <w:p w14:paraId="62523642" w14:textId="0D4C9678" w:rsidR="00D82EE8" w:rsidRPr="005B4577" w:rsidRDefault="00D82EE8" w:rsidP="00644B1B">
            <w:pPr>
              <w:jc w:val="both"/>
            </w:pPr>
            <w:r w:rsidRPr="005B4577">
              <w:t xml:space="preserve">5. </w:t>
            </w:r>
            <w:r w:rsidRPr="00C21D84">
              <w:rPr>
                <w:rFonts w:ascii="Times New Roman" w:hAnsi="Times New Roman" w:cs="Times New Roman"/>
              </w:rPr>
              <w:t>Kultūros rėmimo fondo įstatymas</w:t>
            </w:r>
          </w:p>
        </w:tc>
        <w:tc>
          <w:tcPr>
            <w:tcW w:w="1560" w:type="dxa"/>
          </w:tcPr>
          <w:p w14:paraId="06F87585" w14:textId="019CF12E" w:rsidR="00D82EE8" w:rsidRPr="005B4577" w:rsidRDefault="008452F1" w:rsidP="00D82EE8">
            <w:r w:rsidRPr="005B4577">
              <w:t>Kultūros ministerija</w:t>
            </w:r>
          </w:p>
        </w:tc>
        <w:tc>
          <w:tcPr>
            <w:tcW w:w="2268" w:type="dxa"/>
          </w:tcPr>
          <w:p w14:paraId="04C1263E" w14:textId="14136A04" w:rsidR="00D82EE8" w:rsidRPr="005B4577" w:rsidRDefault="008452F1" w:rsidP="00D82EE8">
            <w:r w:rsidRPr="005B4577">
              <w:t>2021 m. birželis</w:t>
            </w:r>
          </w:p>
        </w:tc>
        <w:tc>
          <w:tcPr>
            <w:tcW w:w="7087" w:type="dxa"/>
          </w:tcPr>
          <w:p w14:paraId="00E4D179" w14:textId="50014303" w:rsidR="00D82EE8" w:rsidRPr="005B4577" w:rsidRDefault="008452F1" w:rsidP="00644B1B">
            <w:pPr>
              <w:jc w:val="both"/>
            </w:pPr>
            <w:r w:rsidRPr="005B4577">
              <w:t xml:space="preserve">Teiks platesnės apimties keitimus (ne tik dėl </w:t>
            </w:r>
            <w:r w:rsidR="00AA4012" w:rsidRPr="005B4577">
              <w:t>LR</w:t>
            </w:r>
            <w:r w:rsidRPr="005B4577">
              <w:t>KT nuostatų įgyvendinimo)</w:t>
            </w:r>
            <w:r w:rsidR="00FE3A31">
              <w:t>,</w:t>
            </w:r>
            <w:r w:rsidRPr="005B4577">
              <w:t xml:space="preserve"> susijusius su Kultūros rėmimo fondo finansavimo modelio atnaujinimu, nauja jo finansavimo tvarka.</w:t>
            </w:r>
          </w:p>
        </w:tc>
      </w:tr>
      <w:tr w:rsidR="00D82EE8" w:rsidRPr="005B4577" w14:paraId="6E90E307" w14:textId="77777777" w:rsidTr="00A41988">
        <w:tc>
          <w:tcPr>
            <w:tcW w:w="3964" w:type="dxa"/>
          </w:tcPr>
          <w:p w14:paraId="4F12F2BC" w14:textId="76B6D4A2" w:rsidR="00D82EE8" w:rsidRPr="005B4577" w:rsidRDefault="00D82EE8" w:rsidP="00644B1B">
            <w:pPr>
              <w:jc w:val="both"/>
            </w:pPr>
            <w:r w:rsidRPr="005B4577">
              <w:t xml:space="preserve">6. </w:t>
            </w:r>
            <w:r w:rsidRPr="00C21D84">
              <w:rPr>
                <w:rFonts w:ascii="Times New Roman" w:hAnsi="Times New Roman" w:cs="Times New Roman"/>
              </w:rPr>
              <w:t>Sporto įstatymas</w:t>
            </w:r>
          </w:p>
        </w:tc>
        <w:tc>
          <w:tcPr>
            <w:tcW w:w="1560" w:type="dxa"/>
          </w:tcPr>
          <w:p w14:paraId="24F6E3DA" w14:textId="352E1DF1" w:rsidR="00D82EE8" w:rsidRPr="005B4577" w:rsidRDefault="008452F1" w:rsidP="00D82EE8">
            <w:r w:rsidRPr="005B4577">
              <w:t>Švietimo, mokslo ir sporto ministerija</w:t>
            </w:r>
          </w:p>
        </w:tc>
        <w:tc>
          <w:tcPr>
            <w:tcW w:w="2268" w:type="dxa"/>
          </w:tcPr>
          <w:p w14:paraId="2E8FD599" w14:textId="131959F5" w:rsidR="00D82EE8" w:rsidRPr="005B4577" w:rsidRDefault="008452F1" w:rsidP="00D82EE8">
            <w:r w:rsidRPr="005B4577">
              <w:t>2021 m. balandis</w:t>
            </w:r>
          </w:p>
        </w:tc>
        <w:tc>
          <w:tcPr>
            <w:tcW w:w="7087" w:type="dxa"/>
          </w:tcPr>
          <w:p w14:paraId="5F021949" w14:textId="44C21E7F" w:rsidR="00D82EE8" w:rsidRPr="005B4577" w:rsidRDefault="008452F1" w:rsidP="00644B1B">
            <w:pPr>
              <w:jc w:val="both"/>
            </w:pPr>
            <w:r w:rsidRPr="005B4577">
              <w:t>Teiks platesnės apimties (sisteminius) keitimus (ne tik dėl</w:t>
            </w:r>
            <w:r w:rsidR="00AA4012" w:rsidRPr="005B4577">
              <w:t xml:space="preserve"> LR</w:t>
            </w:r>
            <w:r w:rsidRPr="005B4577">
              <w:t>KT nuostatų įgyvendinimo)</w:t>
            </w:r>
            <w:r w:rsidR="00FE3A31">
              <w:t>,</w:t>
            </w:r>
            <w:r w:rsidRPr="005B4577">
              <w:t xml:space="preserve"> susijusius su </w:t>
            </w:r>
            <w:r w:rsidR="00FE3A31" w:rsidRPr="00FE3A31">
              <w:t>Sporto rėmimo fondo</w:t>
            </w:r>
            <w:r w:rsidRPr="005B4577">
              <w:t xml:space="preserve"> </w:t>
            </w:r>
            <w:r w:rsidR="007F5D83" w:rsidRPr="005B4577">
              <w:t>nauju</w:t>
            </w:r>
            <w:r w:rsidR="007F5D83" w:rsidRPr="005B4577">
              <w:t xml:space="preserve"> </w:t>
            </w:r>
            <w:r w:rsidRPr="005B4577">
              <w:t>finansavimo mechanizmu, aukšto meistriškumo sporto finansavimo kriterijais, trenerių rengimu, sporto registro steigimu, valstybės stipendijų didinimu ir kt.</w:t>
            </w:r>
          </w:p>
        </w:tc>
      </w:tr>
      <w:tr w:rsidR="00D82EE8" w:rsidRPr="005B4577" w14:paraId="28E96BCC" w14:textId="77777777" w:rsidTr="00A41988">
        <w:tc>
          <w:tcPr>
            <w:tcW w:w="3964" w:type="dxa"/>
          </w:tcPr>
          <w:p w14:paraId="476277C2" w14:textId="38E9BB04" w:rsidR="00D82EE8" w:rsidRPr="005B4577" w:rsidRDefault="00D82EE8" w:rsidP="00644B1B">
            <w:pPr>
              <w:jc w:val="both"/>
            </w:pPr>
            <w:r w:rsidRPr="005B4577">
              <w:t xml:space="preserve">7. </w:t>
            </w:r>
            <w:r w:rsidRPr="00C21D84">
              <w:rPr>
                <w:rFonts w:ascii="Times New Roman" w:hAnsi="Times New Roman" w:cs="Times New Roman"/>
              </w:rPr>
              <w:t>Atliekų tvarkymo įstatymas</w:t>
            </w:r>
            <w:r w:rsidRPr="005B4577">
              <w:t xml:space="preserve"> </w:t>
            </w:r>
          </w:p>
        </w:tc>
        <w:tc>
          <w:tcPr>
            <w:tcW w:w="1560" w:type="dxa"/>
          </w:tcPr>
          <w:p w14:paraId="27991CD4" w14:textId="2B131C3A" w:rsidR="00D82EE8" w:rsidRPr="005B4577" w:rsidRDefault="00D82EE8" w:rsidP="00D82EE8">
            <w:r w:rsidRPr="005B4577">
              <w:t>Aplinkos ministerija</w:t>
            </w:r>
          </w:p>
        </w:tc>
        <w:tc>
          <w:tcPr>
            <w:tcW w:w="2268" w:type="dxa"/>
          </w:tcPr>
          <w:p w14:paraId="798801A3" w14:textId="4B522D87" w:rsidR="00B92160" w:rsidRPr="005B4577" w:rsidRDefault="00B92160" w:rsidP="00D82EE8">
            <w:pPr>
              <w:rPr>
                <w:b/>
                <w:bCs/>
              </w:rPr>
            </w:pPr>
            <w:r w:rsidRPr="005B4577">
              <w:rPr>
                <w:b/>
                <w:bCs/>
                <w:u w:val="single"/>
              </w:rPr>
              <w:t>Į</w:t>
            </w:r>
            <w:r w:rsidR="005B4577" w:rsidRPr="005B4577">
              <w:rPr>
                <w:b/>
                <w:bCs/>
                <w:u w:val="single"/>
              </w:rPr>
              <w:t>vykdyta</w:t>
            </w:r>
            <w:r w:rsidR="005B4577">
              <w:rPr>
                <w:b/>
                <w:bCs/>
                <w:u w:val="single"/>
              </w:rPr>
              <w:t xml:space="preserve"> </w:t>
            </w:r>
          </w:p>
          <w:p w14:paraId="2E470F75" w14:textId="4A109745" w:rsidR="00D82EE8" w:rsidRPr="005B4577" w:rsidRDefault="00D82EE8" w:rsidP="00D82EE8">
            <w:r w:rsidRPr="005B4577">
              <w:t>Vyriausybės 2021-01-08 nutarimu Nr. 12 pateikta Seimui</w:t>
            </w:r>
          </w:p>
          <w:p w14:paraId="37F3B234" w14:textId="0833E624" w:rsidR="00B92160" w:rsidRPr="005B4577" w:rsidRDefault="00B92160" w:rsidP="00D82EE8"/>
        </w:tc>
        <w:tc>
          <w:tcPr>
            <w:tcW w:w="7087" w:type="dxa"/>
          </w:tcPr>
          <w:p w14:paraId="1B084FC8" w14:textId="5D0F96ED" w:rsidR="00D82EE8" w:rsidRPr="005B4577" w:rsidRDefault="009A0E3E" w:rsidP="00644B1B">
            <w:pPr>
              <w:jc w:val="both"/>
            </w:pPr>
            <w:r w:rsidRPr="005B4577">
              <w:t xml:space="preserve">Pateiktu Atliekų tvarkymo įstatymo pakeitimu perkeliamos ES „žiedinės ekonomikos paketo“ nuostatos, išplečiamos Atliekų tvarkymo programos finansavimo sritys pagal aktualius poreikius, keičiamos programos administravimo nuostatos, kartu keičiama įstatymo 34 straipsnio 4 dalis, atsižvelgiant į </w:t>
            </w:r>
            <w:r w:rsidR="00AA4012" w:rsidRPr="005B4577">
              <w:t>LR</w:t>
            </w:r>
            <w:r w:rsidRPr="005B4577">
              <w:t>KT sprendimą – atsisakoma  nuostatų, kuriomis įtvirtinama, kad Atliekų tvarkymo programos lėšos, nepanaudotos Atliekų įstatymo 34 straipsnio 3 dalyje numatytoms priemonėms finansuoti, perkeliamos į kitus biudžetinius metus.</w:t>
            </w:r>
          </w:p>
        </w:tc>
      </w:tr>
      <w:tr w:rsidR="00D82EE8" w:rsidRPr="005B4577" w14:paraId="35E42AAC" w14:textId="77777777" w:rsidTr="00A41988">
        <w:tc>
          <w:tcPr>
            <w:tcW w:w="3964" w:type="dxa"/>
          </w:tcPr>
          <w:p w14:paraId="1DD9372B" w14:textId="0BBDFDE9" w:rsidR="00D82EE8" w:rsidRPr="005B4577" w:rsidRDefault="00D82EE8" w:rsidP="00644B1B">
            <w:pPr>
              <w:jc w:val="both"/>
            </w:pPr>
            <w:r w:rsidRPr="005B4577">
              <w:t xml:space="preserve">8. </w:t>
            </w:r>
            <w:r w:rsidRPr="00C21D84">
              <w:rPr>
                <w:rFonts w:ascii="Times New Roman" w:hAnsi="Times New Roman" w:cs="Times New Roman"/>
              </w:rPr>
              <w:t>Klimato kaitos valdymo finansinių instrumentų įstatymas</w:t>
            </w:r>
          </w:p>
        </w:tc>
        <w:tc>
          <w:tcPr>
            <w:tcW w:w="1560" w:type="dxa"/>
          </w:tcPr>
          <w:p w14:paraId="31264018" w14:textId="58950AA4" w:rsidR="00D82EE8" w:rsidRPr="005B4577" w:rsidRDefault="00D82EE8" w:rsidP="00D82EE8">
            <w:r w:rsidRPr="005B4577">
              <w:t>Aplinkos ministerija</w:t>
            </w:r>
          </w:p>
        </w:tc>
        <w:tc>
          <w:tcPr>
            <w:tcW w:w="2268" w:type="dxa"/>
          </w:tcPr>
          <w:p w14:paraId="23759989" w14:textId="075C1505" w:rsidR="00D82EE8" w:rsidRPr="005B4577" w:rsidRDefault="00D82EE8" w:rsidP="00D82EE8">
            <w:r w:rsidRPr="005B4577">
              <w:t>2021</w:t>
            </w:r>
            <w:r w:rsidR="00B92160" w:rsidRPr="005B4577">
              <w:t xml:space="preserve"> m. geguž</w:t>
            </w:r>
            <w:r w:rsidR="0040024E" w:rsidRPr="005B4577">
              <w:t>ė</w:t>
            </w:r>
          </w:p>
        </w:tc>
        <w:tc>
          <w:tcPr>
            <w:tcW w:w="7087" w:type="dxa"/>
          </w:tcPr>
          <w:p w14:paraId="718FD4D0" w14:textId="67741989" w:rsidR="00D82EE8" w:rsidRPr="005B4577" w:rsidRDefault="0040024E" w:rsidP="00644B1B">
            <w:pPr>
              <w:jc w:val="both"/>
            </w:pPr>
            <w:r w:rsidRPr="005B4577">
              <w:t xml:space="preserve">Dėl </w:t>
            </w:r>
            <w:r w:rsidR="00AA4012" w:rsidRPr="005B4577">
              <w:t>LR</w:t>
            </w:r>
            <w:r w:rsidRPr="005B4577">
              <w:t>KT nutarimo reikės keisti įstatymo 10 str. 4 d. 3 p. nuostatą, kurioje pasakyta, kad Programos lėšos, nepanaudotos einamaisiais biudžetiniais metais, naudojamos kitais metais Programos tikslams įgyvendinti. Taip pat kartu bus atliekami kiti keitimai (įstatymo 2, 8, 10 ir 12 str.) – bus įteisinamas Programos planavimas trims metams, keičiamas F-dujų naudojimo reglamentavimas, ŠESD ataskaitų teikimas ir pan.</w:t>
            </w:r>
          </w:p>
        </w:tc>
      </w:tr>
      <w:tr w:rsidR="00D82EE8" w:rsidRPr="005B4577" w14:paraId="180F4286" w14:textId="77777777" w:rsidTr="009B6E0A">
        <w:tc>
          <w:tcPr>
            <w:tcW w:w="14879" w:type="dxa"/>
            <w:gridSpan w:val="4"/>
          </w:tcPr>
          <w:p w14:paraId="56947311" w14:textId="66616369" w:rsidR="00D82EE8" w:rsidRPr="005B4577" w:rsidRDefault="00D82EE8" w:rsidP="00D82EE8">
            <w:pPr>
              <w:jc w:val="center"/>
            </w:pPr>
            <w:r w:rsidRPr="005B4577">
              <w:rPr>
                <w:b/>
                <w:bCs/>
              </w:rPr>
              <w:t>Įstatymai, kurių nenagrinėjo Konstitucinis Teismas, bet juos reikėtų dėl tų pačių priežasčių keisti</w:t>
            </w:r>
          </w:p>
        </w:tc>
      </w:tr>
      <w:tr w:rsidR="00D82EE8" w:rsidRPr="005B4577" w14:paraId="0FD493DC" w14:textId="77777777" w:rsidTr="009B6E0A">
        <w:tc>
          <w:tcPr>
            <w:tcW w:w="3964" w:type="dxa"/>
          </w:tcPr>
          <w:p w14:paraId="6F18D0A2" w14:textId="5AD3ACC2" w:rsidR="00901197" w:rsidRPr="005B4577" w:rsidRDefault="003D43EF" w:rsidP="00644B1B">
            <w:pPr>
              <w:jc w:val="both"/>
            </w:pPr>
            <w:r w:rsidRPr="005B4577">
              <w:t xml:space="preserve">1. </w:t>
            </w:r>
            <w:r w:rsidR="00D82EE8" w:rsidRPr="00C21D84">
              <w:rPr>
                <w:rFonts w:ascii="Times New Roman" w:hAnsi="Times New Roman" w:cs="Times New Roman"/>
              </w:rPr>
              <w:t>Vystomojo bendradarbiavimo ir humanitarinės pagalbos įstatymas</w:t>
            </w:r>
            <w:r w:rsidR="004D5CD3" w:rsidRPr="005B4577">
              <w:t xml:space="preserve"> </w:t>
            </w:r>
          </w:p>
          <w:p w14:paraId="55CFA333" w14:textId="77777777" w:rsidR="00C21D84" w:rsidRDefault="00C21D84" w:rsidP="00644B1B">
            <w:pPr>
              <w:jc w:val="both"/>
            </w:pPr>
          </w:p>
          <w:p w14:paraId="74F28CB8" w14:textId="6EECE582" w:rsidR="00D82EE8" w:rsidRPr="005B4577" w:rsidRDefault="004D5CD3" w:rsidP="00644B1B">
            <w:pPr>
              <w:jc w:val="both"/>
            </w:pPr>
            <w:r w:rsidRPr="005B4577">
              <w:t>(13 str.:</w:t>
            </w:r>
            <w:r w:rsidR="00644B1B" w:rsidRPr="005B4577">
              <w:t xml:space="preserve"> </w:t>
            </w:r>
            <w:r w:rsidRPr="005B4577">
              <w:t>„</w:t>
            </w:r>
            <w:r w:rsidR="007F5D83" w:rsidRPr="007F5D83">
              <w:rPr>
                <w:i/>
                <w:iCs/>
              </w:rPr>
              <w:t xml:space="preserve">Vystomojo bendradarbiavimo </w:t>
            </w:r>
            <w:r w:rsidR="007F5D83">
              <w:rPr>
                <w:i/>
                <w:iCs/>
              </w:rPr>
              <w:t>f</w:t>
            </w:r>
            <w:r w:rsidRPr="005B4577">
              <w:rPr>
                <w:i/>
                <w:iCs/>
              </w:rPr>
              <w:t>ondo lėšos negali būti perduodamos į valstybės biudžetą arba naudojamos kitoms valstybės reikmėms finansuoti, o per biudžetinius metus nepaskirstytos, taip pat nuo įgyvendinamų projektų likusios nepanaudotos Fondo lėšos lieka Fondo sąskaitoje ir naudojamos kitais biudžetiniais metais</w:t>
            </w:r>
            <w:r w:rsidRPr="005B4577">
              <w:t>“</w:t>
            </w:r>
            <w:r w:rsidR="00901197" w:rsidRPr="005B4577">
              <w:t>.</w:t>
            </w:r>
            <w:r w:rsidRPr="005B4577">
              <w:t>)</w:t>
            </w:r>
          </w:p>
          <w:p w14:paraId="1C77BF03" w14:textId="34E42BF0" w:rsidR="004D5CD3" w:rsidRPr="005B4577" w:rsidRDefault="004D5CD3" w:rsidP="004D5CD3">
            <w:pPr>
              <w:ind w:left="360"/>
            </w:pPr>
          </w:p>
        </w:tc>
        <w:tc>
          <w:tcPr>
            <w:tcW w:w="1560" w:type="dxa"/>
          </w:tcPr>
          <w:p w14:paraId="38E78FA3" w14:textId="6D04EC03" w:rsidR="00D82EE8" w:rsidRPr="005B4577" w:rsidRDefault="00D82EE8" w:rsidP="00D82EE8">
            <w:r w:rsidRPr="005B4577">
              <w:t>Užsienio reikalų ministerija</w:t>
            </w:r>
          </w:p>
        </w:tc>
        <w:tc>
          <w:tcPr>
            <w:tcW w:w="2268" w:type="dxa"/>
          </w:tcPr>
          <w:p w14:paraId="267E26E0" w14:textId="1665976A" w:rsidR="00D82EE8" w:rsidRPr="005B4577" w:rsidRDefault="004D5CD3" w:rsidP="00D82EE8">
            <w:pPr>
              <w:rPr>
                <w:b/>
                <w:bCs/>
              </w:rPr>
            </w:pPr>
            <w:r w:rsidRPr="005B4577">
              <w:rPr>
                <w:b/>
                <w:bCs/>
              </w:rPr>
              <w:t>neplanuojama</w:t>
            </w:r>
          </w:p>
        </w:tc>
        <w:tc>
          <w:tcPr>
            <w:tcW w:w="7087" w:type="dxa"/>
          </w:tcPr>
          <w:p w14:paraId="2B849290" w14:textId="6E05C58D" w:rsidR="00D82EE8" w:rsidRPr="005B4577" w:rsidRDefault="004D5CD3" w:rsidP="00644B1B">
            <w:pPr>
              <w:jc w:val="both"/>
            </w:pPr>
            <w:r w:rsidRPr="005B4577">
              <w:t>Vystomojo bendradarbiavimo fond</w:t>
            </w:r>
            <w:r w:rsidRPr="005B4577">
              <w:t>o</w:t>
            </w:r>
            <w:r w:rsidRPr="005B4577">
              <w:t xml:space="preserve"> lėšos yra skirtos ypatingiems, ilgalaikiams, strateginiams visuomenės ir valstybės uždaviniams spręsti. Vystomojo bendradarbiavimo ir humanitarinės pagalbos įstatym</w:t>
            </w:r>
            <w:r w:rsidRPr="005B4577">
              <w:t>o</w:t>
            </w:r>
            <w:r w:rsidRPr="005B4577">
              <w:t xml:space="preserve"> pakeitimo nuostatos dėl Fondo yra išimtinai susijusios su Lietuvos tarptautinių įsipareigojimų vykdymu, užsienio politikos stiprinimu, ekonominių ir saugumo interesų gynimu, o ne visuomenės kasdienių reikmių finansavimu.</w:t>
            </w:r>
          </w:p>
          <w:p w14:paraId="653CEFBD" w14:textId="628E904F" w:rsidR="00901197" w:rsidRPr="005B4577" w:rsidRDefault="00901197" w:rsidP="00644B1B">
            <w:pPr>
              <w:jc w:val="both"/>
            </w:pPr>
            <w:r w:rsidRPr="005B4577">
              <w:t xml:space="preserve">Fondas susijęs su </w:t>
            </w:r>
            <w:r w:rsidRPr="005B4577">
              <w:t>Lietuvos didesni</w:t>
            </w:r>
            <w:r w:rsidRPr="005B4577">
              <w:t>u</w:t>
            </w:r>
            <w:r w:rsidRPr="005B4577">
              <w:t xml:space="preserve"> įsitraukimu į tarptautinių donorų ir ypač ES finansuojamus projektus ir programas, kurioms reikalingos nacionalinės bendrojo finansavimo lėšos. Į Fondą taip pat ketinama pritraukti kitų tarptautinių donorų lėšas. ES ir visos labiausiai išsivysčiusios šalys donorės užsienio politikos veiksmų finansavimui visuomet pasitelkia lanksčias ir daugiametes finansines priemones, nes tai yra vienintelis būdas tinkamai įgyvendinti nacionalinius interesus užsienio ir saugumo politikoje bei adekvačiai reaguoti į nenumatytus išorės iššūkius.</w:t>
            </w:r>
          </w:p>
          <w:p w14:paraId="1F920BD4" w14:textId="40DC9756" w:rsidR="00901197" w:rsidRPr="005B4577" w:rsidRDefault="00901197" w:rsidP="00644B1B">
            <w:pPr>
              <w:jc w:val="both"/>
            </w:pPr>
            <w:r w:rsidRPr="005B4577">
              <w:t>Metiniais biudžeto asignavimais paremta Lietuvos vystomojo bendradarbiavimo politika nėra pritaikyta tarptautiniam kontekstui ir esant tokiam finansavimo modeliui Lietuva ne tik neturi galimybių vykdyti prisiimtus tarptautinius įsipareigojimus, tačiau taip pat praranda įtakos svertus užsienio politikoje, taip pat praranda galimybes susigrąžinti kuo didesnę dalį į ES ir tarptautinius fondus sumokėtų lėšų. Dauguma tarptautinių donorų įgyvendina 4 metų programas, todėl biudžeto lėšų susaistymas su vienais biudžetiniais metais užkerta Lietuvos institucijoms dalyvauti tarptautinių donorų finansuojamų programų įgyvendinime.</w:t>
            </w:r>
          </w:p>
          <w:p w14:paraId="50A61DDD" w14:textId="5C421028" w:rsidR="00901197" w:rsidRPr="005B4577" w:rsidRDefault="00901197" w:rsidP="00644B1B">
            <w:pPr>
              <w:jc w:val="both"/>
            </w:pPr>
            <w:r w:rsidRPr="005B4577">
              <w:t>S</w:t>
            </w:r>
            <w:r w:rsidRPr="005B4577">
              <w:t xml:space="preserve">prendimas įsteigti vienintelį užsienio politikos tikslų įgyvendinimui skirtą vystomojo bendradarbiavimo ir humanitarinės pagalbos fondą atspindi išskirtinai platų nacionalinį konsensusą, kurio formavimas buvo grindžiamas intensyviomis ir visaapimančiomis konsultacijomis, kuriose dalyvavo visų LR institucijų (LRP, LRS, </w:t>
            </w:r>
            <w:r w:rsidR="007F5D83" w:rsidRPr="005B4577">
              <w:t xml:space="preserve">LRV, </w:t>
            </w:r>
            <w:r w:rsidRPr="005B4577">
              <w:t xml:space="preserve">ministerijų ir joms pavaldžių institucijų), taip pat </w:t>
            </w:r>
            <w:r w:rsidR="00644B1B" w:rsidRPr="005B4577">
              <w:t>Lietuvos s</w:t>
            </w:r>
            <w:r w:rsidRPr="005B4577">
              <w:t>avivaldybių asociacijos, verslo asocijuotų struktūrų ir NVO atstovai.</w:t>
            </w:r>
          </w:p>
        </w:tc>
      </w:tr>
      <w:tr w:rsidR="00D82EE8" w:rsidRPr="005B4577" w14:paraId="0FC71A6E" w14:textId="77777777" w:rsidTr="009B6E0A">
        <w:tc>
          <w:tcPr>
            <w:tcW w:w="3964" w:type="dxa"/>
          </w:tcPr>
          <w:p w14:paraId="74493DF9" w14:textId="27D176F3" w:rsidR="00D82EE8" w:rsidRPr="005B4577" w:rsidRDefault="003D43EF" w:rsidP="00D82EE8">
            <w:r w:rsidRPr="005B4577">
              <w:t xml:space="preserve">2. </w:t>
            </w:r>
            <w:r w:rsidR="00D82EE8" w:rsidRPr="00C21D84">
              <w:rPr>
                <w:rFonts w:ascii="Times New Roman" w:hAnsi="Times New Roman" w:cs="Times New Roman"/>
              </w:rPr>
              <w:t>Kelių įstatymas</w:t>
            </w:r>
          </w:p>
        </w:tc>
        <w:tc>
          <w:tcPr>
            <w:tcW w:w="1560" w:type="dxa"/>
          </w:tcPr>
          <w:p w14:paraId="38DB5D1D" w14:textId="7688D190" w:rsidR="00D82EE8" w:rsidRPr="005B4577" w:rsidRDefault="00D82EE8" w:rsidP="00D82EE8">
            <w:r w:rsidRPr="005B4577">
              <w:t>Susisiekimo ministerija</w:t>
            </w:r>
          </w:p>
        </w:tc>
        <w:tc>
          <w:tcPr>
            <w:tcW w:w="2268" w:type="dxa"/>
          </w:tcPr>
          <w:p w14:paraId="528FEB7D" w14:textId="726E68D1" w:rsidR="00D82EE8" w:rsidRPr="005B4577" w:rsidRDefault="00D82EE8" w:rsidP="00D82EE8">
            <w:r w:rsidRPr="005B4577">
              <w:t>2021</w:t>
            </w:r>
            <w:r w:rsidR="00B92160" w:rsidRPr="005B4577">
              <w:t xml:space="preserve"> m. vasaris</w:t>
            </w:r>
          </w:p>
        </w:tc>
        <w:tc>
          <w:tcPr>
            <w:tcW w:w="7087" w:type="dxa"/>
          </w:tcPr>
          <w:p w14:paraId="7649FEF6" w14:textId="63C8E9A3" w:rsidR="00D82EE8" w:rsidRPr="005B4577" w:rsidRDefault="00FC337D" w:rsidP="00644B1B">
            <w:pPr>
              <w:jc w:val="both"/>
            </w:pPr>
            <w:r w:rsidRPr="005B4577">
              <w:rPr>
                <w:color w:val="000000"/>
              </w:rPr>
              <w:t>Kadangi LRKT nustatė, kad Kelių priežiūros ir plėtros programos finansavimo lėšų perkėlimas į kitus metus prieštarauja Konstitucijai, būtina pripažinti netekusiu galios Kelių įstatymo 16 str. 2 d</w:t>
            </w:r>
            <w:r w:rsidR="007F5D83">
              <w:rPr>
                <w:color w:val="000000"/>
              </w:rPr>
              <w:t>.</w:t>
            </w:r>
          </w:p>
        </w:tc>
      </w:tr>
      <w:tr w:rsidR="00D82EE8" w:rsidRPr="005B4577" w14:paraId="2B88563E" w14:textId="77777777" w:rsidTr="009B6E0A">
        <w:tc>
          <w:tcPr>
            <w:tcW w:w="3964" w:type="dxa"/>
          </w:tcPr>
          <w:p w14:paraId="693919F7" w14:textId="757ADAB7" w:rsidR="00D82EE8" w:rsidRPr="005B4577" w:rsidRDefault="003D43EF" w:rsidP="00D82EE8">
            <w:r w:rsidRPr="005B4577">
              <w:t xml:space="preserve">3. </w:t>
            </w:r>
            <w:r w:rsidR="00D82EE8" w:rsidRPr="00C21D84">
              <w:rPr>
                <w:rFonts w:ascii="Times New Roman" w:hAnsi="Times New Roman" w:cs="Times New Roman"/>
              </w:rPr>
              <w:t>Biudžeto sandaros įstatymas</w:t>
            </w:r>
          </w:p>
        </w:tc>
        <w:tc>
          <w:tcPr>
            <w:tcW w:w="1560" w:type="dxa"/>
          </w:tcPr>
          <w:p w14:paraId="4EA5F7AA" w14:textId="63AE45B2" w:rsidR="00D82EE8" w:rsidRPr="005B4577" w:rsidRDefault="00D82EE8" w:rsidP="00D82EE8">
            <w:r w:rsidRPr="005B4577">
              <w:t>Finansų ministerija</w:t>
            </w:r>
          </w:p>
        </w:tc>
        <w:tc>
          <w:tcPr>
            <w:tcW w:w="2268" w:type="dxa"/>
          </w:tcPr>
          <w:p w14:paraId="501B13EB" w14:textId="56530999" w:rsidR="00D82EE8" w:rsidRPr="005B4577" w:rsidRDefault="00660593" w:rsidP="00D82EE8">
            <w:r w:rsidRPr="005B4577">
              <w:t>2</w:t>
            </w:r>
            <w:r w:rsidR="00D82EE8" w:rsidRPr="005B4577">
              <w:t xml:space="preserve">021 m. </w:t>
            </w:r>
            <w:r w:rsidR="00A62F88" w:rsidRPr="005B4577">
              <w:t>kovas</w:t>
            </w:r>
          </w:p>
        </w:tc>
        <w:tc>
          <w:tcPr>
            <w:tcW w:w="7087" w:type="dxa"/>
          </w:tcPr>
          <w:p w14:paraId="39D7EC13" w14:textId="1D285CBA" w:rsidR="00D82EE8" w:rsidRPr="005B4577" w:rsidRDefault="00A62F88" w:rsidP="00644B1B">
            <w:pPr>
              <w:jc w:val="both"/>
            </w:pPr>
            <w:r w:rsidRPr="005B4577">
              <w:t xml:space="preserve">Atsižvelgus į </w:t>
            </w:r>
            <w:r w:rsidR="00644B1B" w:rsidRPr="005B4577">
              <w:t>LRKT</w:t>
            </w:r>
            <w:r w:rsidRPr="005B4577">
              <w:t xml:space="preserve"> sprendimą, siekiant išvengti teisinių kolizijų, bus atsisakyta šiuo metu galiojančios nuostatos, pagal kurią programos finansiniu šaltiniu gali būti konkreti valstybės biudžeto arba savivaldybės biudžeto pajamų dalis, kurios panaudojimo apimtis ir paskirtis nurodyta įstatyme. Taip pat atitinkamai bus patikslintos nuostatos dėl minėtų lėšų perkėlimo į kitus metus ir galimybės jas naudoti viršijant Seimo patvirtintas bendras asignavimų sumas.</w:t>
            </w:r>
          </w:p>
        </w:tc>
      </w:tr>
      <w:tr w:rsidR="00D82EE8" w:rsidRPr="005B4577" w14:paraId="64828C7F" w14:textId="77777777" w:rsidTr="009B6E0A">
        <w:tc>
          <w:tcPr>
            <w:tcW w:w="3964" w:type="dxa"/>
          </w:tcPr>
          <w:p w14:paraId="464815AE" w14:textId="77777777" w:rsidR="00C21D84" w:rsidRDefault="00B92160" w:rsidP="00D82EE8">
            <w:bookmarkStart w:id="14" w:name="_Hlk62646345"/>
            <w:r w:rsidRPr="005B4577">
              <w:t>4</w:t>
            </w:r>
            <w:r w:rsidR="00D82EE8" w:rsidRPr="005B4577">
              <w:t xml:space="preserve">. </w:t>
            </w:r>
            <w:r w:rsidR="005B4577" w:rsidRPr="00C21D84">
              <w:rPr>
                <w:rFonts w:ascii="Times New Roman" w:hAnsi="Times New Roman" w:cs="Times New Roman"/>
              </w:rPr>
              <w:t>K</w:t>
            </w:r>
            <w:r w:rsidR="00D82EE8" w:rsidRPr="00C21D84">
              <w:rPr>
                <w:rFonts w:ascii="Times New Roman" w:hAnsi="Times New Roman" w:cs="Times New Roman"/>
              </w:rPr>
              <w:t>ino įstatymas</w:t>
            </w:r>
            <w:r w:rsidR="00D82EE8" w:rsidRPr="005B4577">
              <w:t xml:space="preserve"> </w:t>
            </w:r>
          </w:p>
          <w:p w14:paraId="28614AFD" w14:textId="5674917F" w:rsidR="00D82EE8" w:rsidRPr="005B4577" w:rsidRDefault="00D82EE8" w:rsidP="00D82EE8">
            <w:r w:rsidRPr="005B4577">
              <w:t xml:space="preserve">(6 ir 7 straipsniai) </w:t>
            </w:r>
          </w:p>
        </w:tc>
        <w:tc>
          <w:tcPr>
            <w:tcW w:w="1560" w:type="dxa"/>
          </w:tcPr>
          <w:p w14:paraId="378683CF" w14:textId="5465B2E2" w:rsidR="00D82EE8" w:rsidRPr="005B4577" w:rsidRDefault="00D82EE8" w:rsidP="00D82EE8">
            <w:r w:rsidRPr="005B4577">
              <w:t>Kultūros ministerija</w:t>
            </w:r>
          </w:p>
        </w:tc>
        <w:tc>
          <w:tcPr>
            <w:tcW w:w="2268" w:type="dxa"/>
          </w:tcPr>
          <w:p w14:paraId="3E7B6302" w14:textId="27FAED1E" w:rsidR="00D82EE8" w:rsidRPr="005B4577" w:rsidRDefault="00240C6E" w:rsidP="00D82EE8">
            <w:pPr>
              <w:rPr>
                <w:b/>
                <w:bCs/>
              </w:rPr>
            </w:pPr>
            <w:r w:rsidRPr="005B4577">
              <w:rPr>
                <w:b/>
                <w:bCs/>
              </w:rPr>
              <w:t>neplanuojama</w:t>
            </w:r>
          </w:p>
        </w:tc>
        <w:tc>
          <w:tcPr>
            <w:tcW w:w="7087" w:type="dxa"/>
          </w:tcPr>
          <w:p w14:paraId="1E921028" w14:textId="575371D4" w:rsidR="00D82EE8" w:rsidRPr="005B4577" w:rsidRDefault="00240C6E" w:rsidP="00644B1B">
            <w:pPr>
              <w:jc w:val="both"/>
            </w:pPr>
            <w:r w:rsidRPr="005B4577">
              <w:t xml:space="preserve">Atsižvelgiant į tai, kad </w:t>
            </w:r>
            <w:r w:rsidR="00644B1B" w:rsidRPr="005B4577">
              <w:t>LR</w:t>
            </w:r>
            <w:r w:rsidRPr="005B4577">
              <w:t>KT šio įstatymo atitikimo Konstitucijai nenagrinėjo, Kultūros ministerija savo iniciatyva neplanuoja rengti įstatymo pakeitimo projekto.</w:t>
            </w:r>
          </w:p>
        </w:tc>
      </w:tr>
      <w:tr w:rsidR="00D82EE8" w:rsidRPr="005B4577" w14:paraId="75B32EE2" w14:textId="77777777" w:rsidTr="009B6E0A">
        <w:tc>
          <w:tcPr>
            <w:tcW w:w="3964" w:type="dxa"/>
          </w:tcPr>
          <w:p w14:paraId="5DDB932E" w14:textId="77777777" w:rsidR="00C21D84" w:rsidRPr="00C21D84" w:rsidRDefault="00B92160" w:rsidP="00D82EE8">
            <w:pPr>
              <w:rPr>
                <w:rFonts w:ascii="Times New Roman" w:hAnsi="Times New Roman" w:cs="Times New Roman"/>
              </w:rPr>
            </w:pPr>
            <w:r w:rsidRPr="005B4577">
              <w:t>5</w:t>
            </w:r>
            <w:r w:rsidR="00D82EE8" w:rsidRPr="005B4577">
              <w:t xml:space="preserve">. </w:t>
            </w:r>
            <w:r w:rsidR="00D82EE8" w:rsidRPr="00C21D84">
              <w:rPr>
                <w:rFonts w:ascii="Times New Roman" w:hAnsi="Times New Roman" w:cs="Times New Roman"/>
              </w:rPr>
              <w:t xml:space="preserve">Nevyriausybinių organizacijų plėtros įstatymas  </w:t>
            </w:r>
          </w:p>
          <w:p w14:paraId="7E7B1E4C" w14:textId="4BAA3549" w:rsidR="00D82EE8" w:rsidRPr="005B4577" w:rsidRDefault="00D82EE8" w:rsidP="00D82EE8">
            <w:r w:rsidRPr="005B4577">
              <w:t>(9 straipsnis)</w:t>
            </w:r>
          </w:p>
        </w:tc>
        <w:tc>
          <w:tcPr>
            <w:tcW w:w="1560" w:type="dxa"/>
          </w:tcPr>
          <w:p w14:paraId="544652CD" w14:textId="3FEB4690" w:rsidR="00D82EE8" w:rsidRPr="005B4577" w:rsidRDefault="00D82EE8" w:rsidP="00D82EE8">
            <w:r w:rsidRPr="005B4577">
              <w:t>Socialinės apsaugos ir darbo ministerija</w:t>
            </w:r>
          </w:p>
        </w:tc>
        <w:tc>
          <w:tcPr>
            <w:tcW w:w="2268" w:type="dxa"/>
          </w:tcPr>
          <w:p w14:paraId="28E372CB" w14:textId="42BC10D0" w:rsidR="00D82EE8" w:rsidRPr="005B4577" w:rsidRDefault="00043054" w:rsidP="00D82EE8">
            <w:r w:rsidRPr="005B4577">
              <w:t xml:space="preserve">2021 m. </w:t>
            </w:r>
            <w:r w:rsidRPr="005B4577">
              <w:t>balandis</w:t>
            </w:r>
          </w:p>
        </w:tc>
        <w:tc>
          <w:tcPr>
            <w:tcW w:w="7087" w:type="dxa"/>
          </w:tcPr>
          <w:p w14:paraId="3FE3F528" w14:textId="77777777" w:rsidR="00043054" w:rsidRPr="005B4577" w:rsidRDefault="00043054" w:rsidP="00644B1B">
            <w:pPr>
              <w:jc w:val="both"/>
              <w:rPr>
                <w:color w:val="000000"/>
              </w:rPr>
            </w:pPr>
            <w:r w:rsidRPr="005B4577">
              <w:rPr>
                <w:color w:val="000000"/>
              </w:rPr>
              <w:t xml:space="preserve">Atsižvelgiant į LRKT nutarimą, kuriame nustatyta, kad per biudžetinius metus nepanaudotų lėšų perkėlimas į kitus metus prieštarauja Konstitucijai, keistina </w:t>
            </w:r>
            <w:r w:rsidRPr="005B4577">
              <w:rPr>
                <w:color w:val="000000"/>
                <w:lang w:val="en-US"/>
              </w:rPr>
              <w:t>9</w:t>
            </w:r>
            <w:r w:rsidRPr="005B4577">
              <w:rPr>
                <w:color w:val="000000"/>
              </w:rPr>
              <w:t xml:space="preserve"> str. </w:t>
            </w:r>
            <w:r w:rsidRPr="005B4577">
              <w:rPr>
                <w:color w:val="000000"/>
                <w:lang w:val="en-US"/>
              </w:rPr>
              <w:t>3</w:t>
            </w:r>
            <w:r w:rsidRPr="005B4577">
              <w:rPr>
                <w:color w:val="000000"/>
              </w:rPr>
              <w:t xml:space="preserve"> dalis: „</w:t>
            </w:r>
            <w:r w:rsidRPr="005B4577">
              <w:rPr>
                <w:color w:val="000000"/>
                <w:lang w:val="en-US"/>
              </w:rPr>
              <w:t>3</w:t>
            </w:r>
            <w:r w:rsidRPr="005B4577">
              <w:rPr>
                <w:color w:val="000000"/>
              </w:rPr>
              <w:t xml:space="preserve">. Fondas administruojamas pagal šį įstatymą ir kitus teisės aktus, nustatančius valstybės biudžeto lėšų naudojimo principus ir tvarką, ir Vyriausybės patvirtintus Fondo nuostatus. Fondą administruoja Socialinės apsaugos ir darbo ministerija. Fondo lėšos laikomos atskiroje Socialinės apsaugos ir darbo ministerijos sąskaitoje ir įtraukiamos į apskaitą pagal atskirą priemonę. Fondo lėšos negali būti perduodamos į valstybės biudžetą arba naudojamos kitoms valstybės reikmėms finansuoti. </w:t>
            </w:r>
            <w:r w:rsidRPr="005B4577">
              <w:rPr>
                <w:strike/>
                <w:color w:val="000000"/>
              </w:rPr>
              <w:t>Per biudžetinius metus nepanaudotos Fondo lėšos lieka Fondo sąskaitoje ir naudojamos kitais biudžetiniais metais.</w:t>
            </w:r>
            <w:r w:rsidRPr="005B4577">
              <w:rPr>
                <w:color w:val="000000"/>
              </w:rPr>
              <w:t xml:space="preserve">“. </w:t>
            </w:r>
          </w:p>
          <w:p w14:paraId="7D028D23" w14:textId="77777777" w:rsidR="00043054" w:rsidRPr="005B4577" w:rsidRDefault="00043054" w:rsidP="00644B1B">
            <w:pPr>
              <w:jc w:val="both"/>
              <w:rPr>
                <w:color w:val="000000"/>
              </w:rPr>
            </w:pPr>
            <w:r w:rsidRPr="005B4577">
              <w:rPr>
                <w:color w:val="000000"/>
              </w:rPr>
              <w:t xml:space="preserve">Galimai, papildomai būtų keičiama </w:t>
            </w:r>
            <w:r w:rsidRPr="005B4577">
              <w:t>Nevyriausybinių organizacijų plėtros įstatymo nuostata dėl</w:t>
            </w:r>
            <w:r w:rsidRPr="005B4577">
              <w:rPr>
                <w:color w:val="000000"/>
              </w:rPr>
              <w:t xml:space="preserve"> NVO tarybos pirmininko kadencijos (šiuo metu diskutuojama su NVO atstovais).</w:t>
            </w:r>
          </w:p>
          <w:p w14:paraId="639C92D7" w14:textId="77777777" w:rsidR="00043054" w:rsidRPr="005B4577" w:rsidRDefault="00043054" w:rsidP="00644B1B">
            <w:pPr>
              <w:jc w:val="both"/>
            </w:pPr>
            <w:r w:rsidRPr="005B4577">
              <w:t xml:space="preserve">Kartu teikiamų įstatymų nebūtų. </w:t>
            </w:r>
          </w:p>
          <w:p w14:paraId="38B793F0" w14:textId="1391D97A" w:rsidR="00D82EE8" w:rsidRPr="005B4577" w:rsidRDefault="00043054" w:rsidP="00644B1B">
            <w:pPr>
              <w:jc w:val="both"/>
            </w:pPr>
            <w:r w:rsidRPr="005B4577">
              <w:rPr>
                <w:b/>
                <w:bCs/>
                <w:color w:val="000000"/>
              </w:rPr>
              <w:t>S</w:t>
            </w:r>
            <w:r w:rsidR="003D43EF" w:rsidRPr="005B4577">
              <w:rPr>
                <w:b/>
                <w:bCs/>
                <w:color w:val="000000"/>
              </w:rPr>
              <w:t>varbu</w:t>
            </w:r>
            <w:r w:rsidRPr="005B4577">
              <w:rPr>
                <w:color w:val="000000"/>
              </w:rPr>
              <w:t xml:space="preserve">:  po šio LRKT sprendimo išlieka poreikis Vyriausybei ieškoti kitų mechanizmų, kurie užtikrintų </w:t>
            </w:r>
            <w:r w:rsidRPr="005B4577">
              <w:rPr>
                <w:color w:val="000000"/>
                <w:u w:val="single"/>
              </w:rPr>
              <w:t>tvarius</w:t>
            </w:r>
            <w:r w:rsidRPr="005B4577">
              <w:rPr>
                <w:color w:val="000000"/>
              </w:rPr>
              <w:t xml:space="preserve"> tokių sričių kaip pilietiškumo plėtra, aplinkosauga, kultūra ir kt. finansavimo mechanizmų.</w:t>
            </w:r>
          </w:p>
        </w:tc>
      </w:tr>
      <w:bookmarkEnd w:id="14"/>
      <w:tr w:rsidR="00D82EE8" w:rsidRPr="005B4577" w14:paraId="4A688DF6" w14:textId="77777777" w:rsidTr="009B6E0A">
        <w:tc>
          <w:tcPr>
            <w:tcW w:w="3964" w:type="dxa"/>
          </w:tcPr>
          <w:p w14:paraId="01A6E9F0" w14:textId="77777777" w:rsidR="00C21D84" w:rsidRDefault="00B92160" w:rsidP="00644B1B">
            <w:pPr>
              <w:jc w:val="both"/>
            </w:pPr>
            <w:r w:rsidRPr="005B4577">
              <w:t xml:space="preserve">6. </w:t>
            </w:r>
            <w:r w:rsidR="005B4577" w:rsidRPr="00C21D84">
              <w:rPr>
                <w:rFonts w:ascii="Times New Roman" w:hAnsi="Times New Roman" w:cs="Times New Roman"/>
              </w:rPr>
              <w:t>S</w:t>
            </w:r>
            <w:r w:rsidR="00D82EE8" w:rsidRPr="00C21D84">
              <w:rPr>
                <w:rFonts w:ascii="Times New Roman" w:hAnsi="Times New Roman" w:cs="Times New Roman"/>
              </w:rPr>
              <w:t>veikatos sistemos įstatymas</w:t>
            </w:r>
            <w:r w:rsidR="00D82EE8" w:rsidRPr="005B4577">
              <w:t xml:space="preserve"> </w:t>
            </w:r>
          </w:p>
          <w:p w14:paraId="0602B762" w14:textId="171AFE9F" w:rsidR="00D82EE8" w:rsidRPr="005B4577" w:rsidRDefault="00D82EE8" w:rsidP="00644B1B">
            <w:pPr>
              <w:jc w:val="both"/>
            </w:pPr>
            <w:r w:rsidRPr="005B4577">
              <w:t>(38-1 straipsnis)</w:t>
            </w:r>
          </w:p>
        </w:tc>
        <w:tc>
          <w:tcPr>
            <w:tcW w:w="1560" w:type="dxa"/>
          </w:tcPr>
          <w:p w14:paraId="3141F14C" w14:textId="30CC2F08" w:rsidR="00D82EE8" w:rsidRPr="005B4577" w:rsidRDefault="00D82EE8" w:rsidP="00D82EE8">
            <w:r w:rsidRPr="005B4577">
              <w:t>Sveikatos apsaugos ministerija</w:t>
            </w:r>
          </w:p>
        </w:tc>
        <w:tc>
          <w:tcPr>
            <w:tcW w:w="2268" w:type="dxa"/>
          </w:tcPr>
          <w:p w14:paraId="49D2C5C4" w14:textId="782058BC" w:rsidR="00D82EE8" w:rsidRPr="005B4577" w:rsidRDefault="008452F1" w:rsidP="00D82EE8">
            <w:r w:rsidRPr="005B4577">
              <w:t>2021 m. geguž</w:t>
            </w:r>
            <w:r w:rsidR="000E0EA8" w:rsidRPr="005B4577">
              <w:t>ė</w:t>
            </w:r>
          </w:p>
        </w:tc>
        <w:tc>
          <w:tcPr>
            <w:tcW w:w="7087" w:type="dxa"/>
          </w:tcPr>
          <w:p w14:paraId="3D4E55ED" w14:textId="1282F0D9" w:rsidR="000E0EA8" w:rsidRPr="005B4577" w:rsidRDefault="000E0EA8" w:rsidP="000E0EA8">
            <w:pPr>
              <w:jc w:val="both"/>
              <w:rPr>
                <w:color w:val="000000"/>
              </w:rPr>
            </w:pPr>
            <w:r w:rsidRPr="005B4577">
              <w:rPr>
                <w:color w:val="000000"/>
              </w:rPr>
              <w:t xml:space="preserve">Dėl </w:t>
            </w:r>
            <w:r w:rsidR="00644B1B" w:rsidRPr="005B4577">
              <w:rPr>
                <w:color w:val="000000"/>
              </w:rPr>
              <w:t>LR</w:t>
            </w:r>
            <w:r w:rsidRPr="005B4577">
              <w:rPr>
                <w:color w:val="000000"/>
              </w:rPr>
              <w:t>KT nutarimo nuostatų ir jų taikymo analogijos reikėtų keisti Sveikatos sistemos  įstatymo 38</w:t>
            </w:r>
            <w:r w:rsidR="00AA4012" w:rsidRPr="005B4577">
              <w:rPr>
                <w:color w:val="000000"/>
              </w:rPr>
              <w:t>-</w:t>
            </w:r>
            <w:r w:rsidRPr="005B4577">
              <w:rPr>
                <w:color w:val="000000"/>
              </w:rPr>
              <w:t>1 str. ir atitinkamai koreguoti įgyvendinamuosius teisės aktus</w:t>
            </w:r>
            <w:r w:rsidRPr="005B4577">
              <w:rPr>
                <w:color w:val="000000"/>
              </w:rPr>
              <w:t xml:space="preserve"> (</w:t>
            </w:r>
            <w:r w:rsidRPr="005B4577">
              <w:rPr>
                <w:color w:val="000000"/>
              </w:rPr>
              <w:t>Vyriausybės 2015</w:t>
            </w:r>
            <w:r w:rsidRPr="005B4577">
              <w:rPr>
                <w:color w:val="000000"/>
              </w:rPr>
              <w:t>-11-</w:t>
            </w:r>
            <w:r w:rsidRPr="005B4577">
              <w:rPr>
                <w:color w:val="000000"/>
              </w:rPr>
              <w:t>18 nutarimą Nr. 1197 „Dėl valstybinio visuomenės sveikatos stiprinimo fondo nuostatų ir valstybinio visuomenės sveikatos stiprinimo fondo tarybos sudėties patvirtinimo“</w:t>
            </w:r>
            <w:r w:rsidRPr="005B4577">
              <w:rPr>
                <w:color w:val="000000"/>
              </w:rPr>
              <w:t>)</w:t>
            </w:r>
            <w:r w:rsidRPr="005B4577">
              <w:rPr>
                <w:color w:val="000000"/>
              </w:rPr>
              <w:t>:</w:t>
            </w:r>
          </w:p>
          <w:p w14:paraId="01434815" w14:textId="0BEACD63" w:rsidR="000E0EA8" w:rsidRPr="005B4577" w:rsidRDefault="00644B1B" w:rsidP="00644B1B">
            <w:pPr>
              <w:spacing w:line="256" w:lineRule="auto"/>
              <w:jc w:val="both"/>
              <w:rPr>
                <w:color w:val="000000"/>
              </w:rPr>
            </w:pPr>
            <w:r w:rsidRPr="005B4577">
              <w:rPr>
                <w:color w:val="000000"/>
              </w:rPr>
              <w:t xml:space="preserve">- </w:t>
            </w:r>
            <w:r w:rsidR="000E0EA8" w:rsidRPr="005B4577">
              <w:rPr>
                <w:color w:val="000000"/>
              </w:rPr>
              <w:t>7 d., kurioje pasakyta, kad Valstybinio visuomenės sveikatos stiprinimo fondo lėšos negali būti perduodamos į valstybės biudžetą arba naudojamos kitoms valstybės reikmėms finansuoti. Per metus nepanaudotos fondo lėšos lieka fondo sąskaitoje ir naudojamos kitais metais numatytoms visuomenės sveikatos išsaugojimo ir stiprinimo veikloms finansuoti;</w:t>
            </w:r>
          </w:p>
          <w:p w14:paraId="35F9C788" w14:textId="0C2866EA" w:rsidR="00D82EE8" w:rsidRPr="005B4577" w:rsidRDefault="00644B1B" w:rsidP="00644B1B">
            <w:pPr>
              <w:spacing w:line="240" w:lineRule="atLeast"/>
              <w:jc w:val="both"/>
            </w:pPr>
            <w:r w:rsidRPr="005B4577">
              <w:rPr>
                <w:color w:val="000000"/>
              </w:rPr>
              <w:t xml:space="preserve">- </w:t>
            </w:r>
            <w:r w:rsidR="000E0EA8" w:rsidRPr="005B4577">
              <w:rPr>
                <w:color w:val="000000"/>
              </w:rPr>
              <w:t>tikslinti 4 ir 5 dalis, kuriose nurodyta, kad Valstybiniam visuomenės sveikatos stiprinimo fondui numatomas Vyriausybės nustatytas procentas praėjusių metų faktinių įplaukų iš akcizo pajamų, gautų už parduotus alkoholinius gėrimus ir apdorotą tabaką, taip pat įplaukų nuo lėšų, gautų iš loterijų ir azartinių lošimų mokesčio.</w:t>
            </w:r>
          </w:p>
        </w:tc>
      </w:tr>
      <w:tr w:rsidR="00D82EE8" w:rsidRPr="005B4577" w14:paraId="1912EAFA" w14:textId="77777777" w:rsidTr="009B6E0A">
        <w:tc>
          <w:tcPr>
            <w:tcW w:w="14879" w:type="dxa"/>
            <w:gridSpan w:val="4"/>
          </w:tcPr>
          <w:p w14:paraId="6BD9AEC7" w14:textId="0525A7FA" w:rsidR="00D82EE8" w:rsidRPr="005B4577" w:rsidRDefault="00D82EE8" w:rsidP="00D82EE8">
            <w:pPr>
              <w:jc w:val="center"/>
              <w:rPr>
                <w:b/>
                <w:bCs/>
              </w:rPr>
            </w:pPr>
            <w:r w:rsidRPr="005B4577">
              <w:rPr>
                <w:b/>
                <w:bCs/>
              </w:rPr>
              <w:t>Kiti įstatymai (ar ketinama juos keisti dėl Konstitucinio Teismo sprendimo</w:t>
            </w:r>
            <w:r w:rsidR="003D43EF" w:rsidRPr="005B4577">
              <w:rPr>
                <w:b/>
                <w:bCs/>
              </w:rPr>
              <w:t>)</w:t>
            </w:r>
          </w:p>
        </w:tc>
      </w:tr>
      <w:tr w:rsidR="00D82EE8" w:rsidRPr="005B4577" w14:paraId="2CC7F4D0" w14:textId="77777777" w:rsidTr="009B6E0A">
        <w:tc>
          <w:tcPr>
            <w:tcW w:w="3964" w:type="dxa"/>
          </w:tcPr>
          <w:p w14:paraId="05CD34D7" w14:textId="7C156454" w:rsidR="00D82EE8" w:rsidRPr="005B4577" w:rsidRDefault="00D82EE8" w:rsidP="00644B1B">
            <w:pPr>
              <w:jc w:val="both"/>
            </w:pPr>
            <w:r w:rsidRPr="005B4577">
              <w:t xml:space="preserve">1. </w:t>
            </w:r>
            <w:r w:rsidRPr="00C21D84">
              <w:rPr>
                <w:rFonts w:ascii="Times New Roman" w:hAnsi="Times New Roman" w:cs="Times New Roman"/>
              </w:rPr>
              <w:t>Lietuvos nacionalinio radijo ir televizijos įstatymas</w:t>
            </w:r>
          </w:p>
        </w:tc>
        <w:tc>
          <w:tcPr>
            <w:tcW w:w="1560" w:type="dxa"/>
          </w:tcPr>
          <w:p w14:paraId="2C70E28A" w14:textId="3FA41331" w:rsidR="00D82EE8" w:rsidRPr="005B4577" w:rsidRDefault="00A46FA7" w:rsidP="00D82EE8">
            <w:r w:rsidRPr="005B4577">
              <w:t>Kultūros ministerija</w:t>
            </w:r>
          </w:p>
        </w:tc>
        <w:tc>
          <w:tcPr>
            <w:tcW w:w="2268" w:type="dxa"/>
          </w:tcPr>
          <w:p w14:paraId="01AF9816" w14:textId="6797F9F7" w:rsidR="00D82EE8" w:rsidRPr="005B4577" w:rsidRDefault="00B92160" w:rsidP="00D82EE8">
            <w:pPr>
              <w:rPr>
                <w:b/>
                <w:bCs/>
              </w:rPr>
            </w:pPr>
            <w:r w:rsidRPr="005B4577">
              <w:rPr>
                <w:b/>
                <w:bCs/>
              </w:rPr>
              <w:t>neplanuojama</w:t>
            </w:r>
          </w:p>
        </w:tc>
        <w:tc>
          <w:tcPr>
            <w:tcW w:w="7087" w:type="dxa"/>
          </w:tcPr>
          <w:p w14:paraId="486A3033" w14:textId="0500CA05" w:rsidR="00D82EE8" w:rsidRPr="005B4577" w:rsidRDefault="008452F1" w:rsidP="00644B1B">
            <w:pPr>
              <w:jc w:val="both"/>
            </w:pPr>
            <w:r w:rsidRPr="005B4577">
              <w:t>Pagal esamą situaciją, keisti neplanuojama, nes LRKT šio įstatymo nepripažino antikonstituciniu.</w:t>
            </w:r>
          </w:p>
        </w:tc>
      </w:tr>
      <w:tr w:rsidR="00D82EE8" w:rsidRPr="005B4577" w14:paraId="4CA16A43" w14:textId="77777777" w:rsidTr="009B6E0A">
        <w:tc>
          <w:tcPr>
            <w:tcW w:w="3964" w:type="dxa"/>
          </w:tcPr>
          <w:p w14:paraId="0E07A9B4" w14:textId="7911405B" w:rsidR="00D82EE8" w:rsidRPr="005B4577" w:rsidRDefault="00D82EE8" w:rsidP="00D82EE8">
            <w:pPr>
              <w:jc w:val="both"/>
            </w:pPr>
            <w:r w:rsidRPr="005B4577">
              <w:t xml:space="preserve">2. Įstatymų leidėjui kyla pareiga nustatyti tokį teisinį reguliavimą, pagal kurį </w:t>
            </w:r>
            <w:r w:rsidRPr="005B4577">
              <w:rPr>
                <w:b/>
                <w:bCs/>
              </w:rPr>
              <w:t>adekvatus savivaldybių funkcijų apimčiai jų finansavimas būtų numatomas</w:t>
            </w:r>
            <w:r w:rsidRPr="005B4577">
              <w:t xml:space="preserve">, </w:t>
            </w:r>
            <w:r w:rsidRPr="005B4577">
              <w:rPr>
                <w:i/>
                <w:iCs/>
              </w:rPr>
              <w:t>inter alia</w:t>
            </w:r>
            <w:r w:rsidRPr="005B4577">
              <w:t xml:space="preserve"> pervedant savivaldybėms tam tikrus mokesčius (jų dalį), atsižvelgiant į valstybės ir visuomenės išteklius, materialines ir finansines galimybes, proporcingai savivaldybių vykdomų funkcijų finansavimo poreikiui.</w:t>
            </w:r>
          </w:p>
        </w:tc>
        <w:tc>
          <w:tcPr>
            <w:tcW w:w="1560" w:type="dxa"/>
          </w:tcPr>
          <w:p w14:paraId="57062592" w14:textId="24D30AA5" w:rsidR="00D82EE8" w:rsidRPr="005B4577" w:rsidRDefault="00325FC5" w:rsidP="00D82EE8">
            <w:r w:rsidRPr="005B4577">
              <w:t>Finansų ministerija</w:t>
            </w:r>
          </w:p>
        </w:tc>
        <w:tc>
          <w:tcPr>
            <w:tcW w:w="2268" w:type="dxa"/>
          </w:tcPr>
          <w:p w14:paraId="21DC414F" w14:textId="001C1C4C" w:rsidR="00D82EE8" w:rsidRPr="005B4577" w:rsidRDefault="00A62F88" w:rsidP="00D82EE8">
            <w:pPr>
              <w:rPr>
                <w:b/>
                <w:bCs/>
              </w:rPr>
            </w:pPr>
            <w:r w:rsidRPr="005B4577">
              <w:rPr>
                <w:b/>
                <w:bCs/>
              </w:rPr>
              <w:t>neplanuojama</w:t>
            </w:r>
          </w:p>
        </w:tc>
        <w:tc>
          <w:tcPr>
            <w:tcW w:w="7087" w:type="dxa"/>
          </w:tcPr>
          <w:p w14:paraId="41FC28AA" w14:textId="77777777" w:rsidR="00A62F88" w:rsidRPr="005B4577" w:rsidRDefault="00A62F88" w:rsidP="00644B1B">
            <w:pPr>
              <w:jc w:val="both"/>
            </w:pPr>
            <w:r w:rsidRPr="005B4577">
              <w:t xml:space="preserve">Įstatymai dėl  </w:t>
            </w:r>
            <w:r w:rsidRPr="005B4577">
              <w:rPr>
                <w:b/>
                <w:bCs/>
              </w:rPr>
              <w:t xml:space="preserve">savivaldybių funkcijų finansavimo </w:t>
            </w:r>
            <w:r w:rsidRPr="005B4577">
              <w:t>yra priimti ir veikiantys ir kitų nebus teikiama:</w:t>
            </w:r>
          </w:p>
          <w:p w14:paraId="2A3544A5" w14:textId="77777777" w:rsidR="00644B1B" w:rsidRPr="005B4577" w:rsidRDefault="00A62F88" w:rsidP="00644B1B">
            <w:pPr>
              <w:jc w:val="both"/>
            </w:pPr>
            <w:r w:rsidRPr="005B4577">
              <w:t>Vietos savivaldos įstatymas teigia, kad „</w:t>
            </w:r>
            <w:r w:rsidRPr="005B4577">
              <w:t>j</w:t>
            </w:r>
            <w:r w:rsidRPr="005B4577">
              <w:t>eigu savivaldybių biudžetų pajamos ar išlaidos dėl valstybės institucijų priimtų teisės aktų keičiasi, pasikeitusios sumos</w:t>
            </w:r>
            <w:r w:rsidRPr="005B4577">
              <w:t xml:space="preserve"> </w:t>
            </w:r>
            <w:r w:rsidRPr="005B4577">
              <w:t>kompensuojamos atitinkamai iš valstybės ar savivaldybių biudžetų. Kompensuojamos sumos nustatomos Savivaldybių biudžetų pajamų nustatymo metodikos įstatymo nustatyta tvarka</w:t>
            </w:r>
            <w:r w:rsidR="00644B1B" w:rsidRPr="005B4577">
              <w:t>“</w:t>
            </w:r>
            <w:r w:rsidRPr="005B4577">
              <w:t>.</w:t>
            </w:r>
          </w:p>
          <w:p w14:paraId="77D71A68" w14:textId="30D65986" w:rsidR="00A62F88" w:rsidRPr="005B4577" w:rsidRDefault="00A62F88" w:rsidP="00644B1B">
            <w:pPr>
              <w:jc w:val="both"/>
              <w:rPr>
                <w:color w:val="000000"/>
                <w:lang w:eastAsia="lt-LT"/>
              </w:rPr>
            </w:pPr>
            <w:r w:rsidRPr="005B4577">
              <w:rPr>
                <w:sz w:val="24"/>
                <w:szCs w:val="24"/>
              </w:rPr>
              <w:t>Savivaldybių biudžetų pajamų nustatymo metodikos įstatymas</w:t>
            </w:r>
            <w:r w:rsidRPr="005B4577">
              <w:t xml:space="preserve"> nustato</w:t>
            </w:r>
            <w:r w:rsidRPr="005B4577">
              <w:rPr>
                <w:szCs w:val="24"/>
              </w:rPr>
              <w:t xml:space="preserve">, kad savivaldybėms skiriama papildoma gyventojų pajamų mokesčio dalis </w:t>
            </w:r>
            <w:r w:rsidRPr="005B4577">
              <w:rPr>
                <w:color w:val="000000"/>
                <w:lang w:eastAsia="lt-LT"/>
              </w:rPr>
              <w:t>konkretiems Seimo ir (ar) Vyriausybės sprendimams įgyvendinti, kurie susiję su savivaldybių vykdomomis funkcijomis;</w:t>
            </w:r>
          </w:p>
          <w:p w14:paraId="121D0B49" w14:textId="5B7C5E2B" w:rsidR="00A62F88" w:rsidRPr="005B4577" w:rsidRDefault="00A62F88" w:rsidP="00644B1B">
            <w:pPr>
              <w:jc w:val="both"/>
            </w:pPr>
            <w:r w:rsidRPr="005B4577">
              <w:t>Vietos savivaldos įstatymas teigia, kad „</w:t>
            </w:r>
            <w:r w:rsidRPr="005B4577">
              <w:t>l</w:t>
            </w:r>
            <w:r w:rsidRPr="005B4577">
              <w:t>ėšos valstybinėms (valstybės perduotoms savivaldybėms) funkcijoms atlikti skiriamos iš valstybės biudžeto arba valstybės piniginių fondų ir pervedamos savivaldybėms kaip specialioji tikslinė dotacija“</w:t>
            </w:r>
            <w:r w:rsidRPr="005B4577">
              <w:t>.</w:t>
            </w:r>
          </w:p>
          <w:p w14:paraId="5755BD5A" w14:textId="77777777" w:rsidR="00A62F88" w:rsidRPr="005B4577" w:rsidRDefault="00A62F88" w:rsidP="00644B1B">
            <w:pPr>
              <w:jc w:val="both"/>
            </w:pPr>
            <w:r w:rsidRPr="005B4577">
              <w:rPr>
                <w:sz w:val="24"/>
                <w:szCs w:val="24"/>
              </w:rPr>
              <w:t>Savivaldybių biudžetų pajamų nustatymo metodikos įstatymas</w:t>
            </w:r>
            <w:r w:rsidRPr="005B4577">
              <w:rPr>
                <w:szCs w:val="24"/>
              </w:rPr>
              <w:t xml:space="preserve"> </w:t>
            </w:r>
            <w:r w:rsidRPr="005B4577">
              <w:t>įpareigoja Valstybės biudžeto specialias tikslinės dotacijas savivaldybėms  skirti</w:t>
            </w:r>
            <w:r w:rsidRPr="005B4577">
              <w:t>:</w:t>
            </w:r>
          </w:p>
          <w:p w14:paraId="246B0D75" w14:textId="77777777" w:rsidR="00A62F88" w:rsidRPr="005B4577" w:rsidRDefault="00A62F88" w:rsidP="00644B1B">
            <w:pPr>
              <w:jc w:val="both"/>
            </w:pPr>
            <w:r w:rsidRPr="005B4577">
              <w:t>a) valstybinėms (</w:t>
            </w:r>
            <w:r w:rsidRPr="005B4577">
              <w:rPr>
                <w:bCs/>
              </w:rPr>
              <w:t>valstybės</w:t>
            </w:r>
            <w:r w:rsidRPr="005B4577">
              <w:t xml:space="preserve"> perduotoms savivaldybėms) funkcijoms atlikti - pagal nustatytą šioms funkcijoms atlikti lėšų apskaičiavimo metodiką; </w:t>
            </w:r>
          </w:p>
          <w:p w14:paraId="19C2436D" w14:textId="3E6ADB47" w:rsidR="00D82EE8" w:rsidRPr="005B4577" w:rsidRDefault="00A62F88" w:rsidP="00644B1B">
            <w:pPr>
              <w:jc w:val="both"/>
            </w:pPr>
            <w:r w:rsidRPr="005B4577">
              <w:t>b) ugdymo reikmėms finansuoti (mokinio krepšeliui) – pagal Vyriausybės ar jos įgaliotos institucijos nustatytą tvarką.</w:t>
            </w:r>
          </w:p>
        </w:tc>
      </w:tr>
      <w:tr w:rsidR="00D82EE8" w14:paraId="678D65DE" w14:textId="77777777" w:rsidTr="009B6E0A">
        <w:tc>
          <w:tcPr>
            <w:tcW w:w="3964" w:type="dxa"/>
          </w:tcPr>
          <w:p w14:paraId="677678FC" w14:textId="78122D71" w:rsidR="00D82EE8" w:rsidRPr="005B4577" w:rsidRDefault="00D82EE8" w:rsidP="00D82EE8">
            <w:pPr>
              <w:jc w:val="both"/>
              <w:rPr>
                <w:lang w:val="en-GB"/>
              </w:rPr>
            </w:pPr>
            <w:r w:rsidRPr="005B4577">
              <w:rPr>
                <w:lang w:val="en-GB"/>
              </w:rPr>
              <w:t xml:space="preserve">3. Institucijų, kurios turi būti nepriklausomos nuo kitų valstybės valdžios institucijų, be kita ko, </w:t>
            </w:r>
            <w:r w:rsidRPr="005B4577">
              <w:rPr>
                <w:b/>
                <w:bCs/>
                <w:lang w:val="en-GB"/>
              </w:rPr>
              <w:t>Konstitucinio Teismo, teismų, prokuratūros, Valstybės kontrolės,</w:t>
            </w:r>
            <w:r w:rsidRPr="005B4577">
              <w:rPr>
                <w:lang w:val="en-GB"/>
              </w:rPr>
              <w:t xml:space="preserve"> statusą, pažymėta, kad pagal Konstituciją įstatymų leidėjas gali nustatyti įvairias jų finansinio nepriklausomumo garantijas, užtikrinančias adekvatų šių institucijų vykdomų funkcijų apimčiai finansavimą, užkertančias kelią nepagrįstam jų finansavimo ribojimui, taigi ir politiniam spaudimui.</w:t>
            </w:r>
          </w:p>
        </w:tc>
        <w:tc>
          <w:tcPr>
            <w:tcW w:w="1560" w:type="dxa"/>
          </w:tcPr>
          <w:p w14:paraId="470C43EC" w14:textId="29EE42AF" w:rsidR="00D82EE8" w:rsidRPr="005B4577" w:rsidRDefault="00B740E5" w:rsidP="00D82EE8">
            <w:r w:rsidRPr="005B4577">
              <w:t>Teisingumo ministerija</w:t>
            </w:r>
          </w:p>
        </w:tc>
        <w:tc>
          <w:tcPr>
            <w:tcW w:w="2268" w:type="dxa"/>
          </w:tcPr>
          <w:p w14:paraId="3C968F8C" w14:textId="0E705621" w:rsidR="00D82EE8" w:rsidRPr="005B4577" w:rsidRDefault="00A62F88" w:rsidP="00D82EE8">
            <w:pPr>
              <w:rPr>
                <w:b/>
                <w:bCs/>
              </w:rPr>
            </w:pPr>
            <w:r w:rsidRPr="005B4577">
              <w:rPr>
                <w:b/>
                <w:bCs/>
              </w:rPr>
              <w:t>neplanuojama</w:t>
            </w:r>
          </w:p>
        </w:tc>
        <w:tc>
          <w:tcPr>
            <w:tcW w:w="7087" w:type="dxa"/>
          </w:tcPr>
          <w:p w14:paraId="5363EC0A" w14:textId="5DFCBEAC" w:rsidR="00B740E5" w:rsidRPr="005B4577" w:rsidRDefault="00B740E5" w:rsidP="00644B1B">
            <w:pPr>
              <w:jc w:val="both"/>
            </w:pPr>
            <w:r w:rsidRPr="005B4577">
              <w:t xml:space="preserve">Laikytina, kad galiojančių įstatymų nuostatos dėl teismų, Konstitucinio Teismo ir prokuratūros finansavimo </w:t>
            </w:r>
            <w:r w:rsidRPr="005B4577">
              <w:rPr>
                <w:b/>
                <w:bCs/>
              </w:rPr>
              <w:t>užtikrina šių institucijų nepriklausomumą</w:t>
            </w:r>
            <w:r w:rsidRPr="005B4577">
              <w:t>, kadangi biudžeto sudarymo ir svarstymo procese šios institucijos pačios atstovauja savo interesams:</w:t>
            </w:r>
          </w:p>
          <w:p w14:paraId="3B631207" w14:textId="77777777" w:rsidR="00B740E5" w:rsidRPr="005B4577" w:rsidRDefault="00B740E5" w:rsidP="00644B1B">
            <w:pPr>
              <w:jc w:val="both"/>
            </w:pPr>
            <w:r w:rsidRPr="005B4577">
              <w:t xml:space="preserve">1) pagal Teismų įstatymo 126, 127 straipsnius teismai finansuojami iš valstybės biudžeto. Kiekvienas teismas turi savo atskirą išlaidų sąmatą. Įstatymų numatytais atvejais teismų sistema gali būti finansuojama iš kitų valstybės finansinių šaltinių. Biudžeto projektus sudaro asignavimų valdytojai – teismai. Asignavimų valdytojai – teismai pasiūlymus dėl savo biudžetų projektų pateikia Teisėjų tarybai svarstyti. Aprobavusi pasiūlymus dėl pateiktų biudžetų projektų, </w:t>
            </w:r>
            <w:r w:rsidRPr="005B4577">
              <w:rPr>
                <w:i/>
                <w:iCs/>
              </w:rPr>
              <w:t>Teisėjų taryba juos pateikia svarstyti Vyriausybei</w:t>
            </w:r>
            <w:r w:rsidRPr="005B4577">
              <w:t>;</w:t>
            </w:r>
          </w:p>
          <w:p w14:paraId="62B75A93" w14:textId="77777777" w:rsidR="00B740E5" w:rsidRPr="005B4577" w:rsidRDefault="00B740E5" w:rsidP="00644B1B">
            <w:pPr>
              <w:jc w:val="both"/>
            </w:pPr>
            <w:r w:rsidRPr="005B4577">
              <w:t xml:space="preserve">2) pagal Konstitucinio Teismo įstatymo 85 straipsnį valstybės biudžeto atskirame straipsnyje, </w:t>
            </w:r>
            <w:r w:rsidRPr="005B4577">
              <w:rPr>
                <w:i/>
                <w:iCs/>
              </w:rPr>
              <w:t>atsižvelgiant į Konstitucinio Teismo teikimą</w:t>
            </w:r>
            <w:r w:rsidRPr="005B4577">
              <w:t>, kasmet numatomos Konstitucinio Teismo veiklai užtikrinti būtinos lėšos;</w:t>
            </w:r>
          </w:p>
          <w:p w14:paraId="2F1AB6E9" w14:textId="77777777" w:rsidR="00B740E5" w:rsidRPr="005B4577" w:rsidRDefault="00B740E5" w:rsidP="00644B1B">
            <w:pPr>
              <w:jc w:val="both"/>
            </w:pPr>
            <w:r w:rsidRPr="005B4577">
              <w:t xml:space="preserve">3) pagal Prokuratūros įstatymo 57 straipsnį prokuratūros veikla finansuojama iš valstybės biudžeto. Prokuratūra turi išlaidų sąmatą, o prokuratūrai skirtų asignavimų valdytojas yra generalinis prokuroras. </w:t>
            </w:r>
          </w:p>
          <w:p w14:paraId="2EE7C5A3" w14:textId="77777777" w:rsidR="00B740E5" w:rsidRPr="005B4577" w:rsidRDefault="00B740E5" w:rsidP="00644B1B">
            <w:pPr>
              <w:jc w:val="both"/>
            </w:pPr>
            <w:r w:rsidRPr="005B4577">
              <w:t xml:space="preserve">Svarstant Seime, Vyriausybėje ir kitose valstybės institucijose valstybės biudžetą ar prokuratūrai skiriamus asignavimus, </w:t>
            </w:r>
            <w:r w:rsidRPr="005B4577">
              <w:rPr>
                <w:i/>
                <w:iCs/>
              </w:rPr>
              <w:t>prokuratūrai atstovauja generalinis prokuroras (jo pavaduotojas)</w:t>
            </w:r>
            <w:r w:rsidRPr="005B4577">
              <w:t xml:space="preserve">. </w:t>
            </w:r>
            <w:r w:rsidRPr="005B4577">
              <w:rPr>
                <w:i/>
                <w:iCs/>
              </w:rPr>
              <w:t>Valstybė finansinėmis, organizacinėmis ir techninėmis priemonėmis užtikrina tinkamas prokurorų tarnybos sąlygas, prokuroro nepriklausomumo garantijas</w:t>
            </w:r>
            <w:r w:rsidRPr="005B4577">
              <w:t xml:space="preserve"> bei įstatymų nustatytas socialines garantijas.</w:t>
            </w:r>
          </w:p>
          <w:p w14:paraId="770DCD64" w14:textId="08579F89" w:rsidR="00D82EE8" w:rsidRPr="005B4577" w:rsidRDefault="00B740E5" w:rsidP="00644B1B">
            <w:pPr>
              <w:jc w:val="both"/>
            </w:pPr>
            <w:r w:rsidRPr="005B4577">
              <w:t xml:space="preserve">Be to, </w:t>
            </w:r>
            <w:r w:rsidRPr="005B4577">
              <w:rPr>
                <w:b/>
                <w:bCs/>
              </w:rPr>
              <w:t>minėtuose įstatymuose nėra tokio pobūdžio nuostatų, dėl kurių prieštaravimo Konstitucijai pasisakė Konstitucinis Teismas savo nutarime</w:t>
            </w:r>
            <w:r w:rsidRPr="005B4577">
              <w:t>.</w:t>
            </w:r>
          </w:p>
        </w:tc>
      </w:tr>
    </w:tbl>
    <w:p w14:paraId="258152CA" w14:textId="77777777" w:rsidR="00C87961" w:rsidRDefault="00C87961"/>
    <w:sectPr w:rsidR="00C87961" w:rsidSect="00644B1B">
      <w:pgSz w:w="16838" w:h="11906" w:orient="landscape"/>
      <w:pgMar w:top="1276"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30648"/>
    <w:multiLevelType w:val="hybridMultilevel"/>
    <w:tmpl w:val="924C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AA1ADF"/>
    <w:multiLevelType w:val="hybridMultilevel"/>
    <w:tmpl w:val="BC8E1C0A"/>
    <w:lvl w:ilvl="0" w:tplc="767E64A0">
      <w:start w:val="2021"/>
      <w:numFmt w:val="bullet"/>
      <w:lvlText w:val="-"/>
      <w:lvlJc w:val="left"/>
      <w:pPr>
        <w:ind w:left="420" w:hanging="360"/>
      </w:pPr>
      <w:rPr>
        <w:rFonts w:ascii="Times New Roman" w:eastAsiaTheme="minorHAnsi" w:hAnsi="Times New Roman" w:cs="Times New Roman" w:hint="default"/>
        <w:color w:val="auto"/>
        <w:sz w:val="22"/>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hint="default"/>
      </w:rPr>
    </w:lvl>
    <w:lvl w:ilvl="3" w:tplc="04270001">
      <w:start w:val="1"/>
      <w:numFmt w:val="bullet"/>
      <w:lvlText w:val=""/>
      <w:lvlJc w:val="left"/>
      <w:pPr>
        <w:ind w:left="2580" w:hanging="360"/>
      </w:pPr>
      <w:rPr>
        <w:rFonts w:ascii="Symbol" w:hAnsi="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hint="default"/>
      </w:rPr>
    </w:lvl>
    <w:lvl w:ilvl="6" w:tplc="04270001">
      <w:start w:val="1"/>
      <w:numFmt w:val="bullet"/>
      <w:lvlText w:val=""/>
      <w:lvlJc w:val="left"/>
      <w:pPr>
        <w:ind w:left="4740" w:hanging="360"/>
      </w:pPr>
      <w:rPr>
        <w:rFonts w:ascii="Symbol" w:hAnsi="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CC"/>
    <w:rsid w:val="00043054"/>
    <w:rsid w:val="000954FB"/>
    <w:rsid w:val="000B67AB"/>
    <w:rsid w:val="000C7DFA"/>
    <w:rsid w:val="000E0EA8"/>
    <w:rsid w:val="00140690"/>
    <w:rsid w:val="001926C5"/>
    <w:rsid w:val="00240C6E"/>
    <w:rsid w:val="00325FC5"/>
    <w:rsid w:val="0032650F"/>
    <w:rsid w:val="00364A22"/>
    <w:rsid w:val="003D43EF"/>
    <w:rsid w:val="0040024E"/>
    <w:rsid w:val="004565C4"/>
    <w:rsid w:val="00463416"/>
    <w:rsid w:val="004D5CD3"/>
    <w:rsid w:val="005B4577"/>
    <w:rsid w:val="00616723"/>
    <w:rsid w:val="00644B1B"/>
    <w:rsid w:val="00660593"/>
    <w:rsid w:val="006E3062"/>
    <w:rsid w:val="00756AD5"/>
    <w:rsid w:val="00765BFD"/>
    <w:rsid w:val="007C433B"/>
    <w:rsid w:val="007F5D83"/>
    <w:rsid w:val="008452F1"/>
    <w:rsid w:val="008A06CC"/>
    <w:rsid w:val="008C3F5F"/>
    <w:rsid w:val="008D5E21"/>
    <w:rsid w:val="00901197"/>
    <w:rsid w:val="009A0E3E"/>
    <w:rsid w:val="009B5497"/>
    <w:rsid w:val="009B6E0A"/>
    <w:rsid w:val="00A46FA7"/>
    <w:rsid w:val="00A5148C"/>
    <w:rsid w:val="00A62F88"/>
    <w:rsid w:val="00A92B23"/>
    <w:rsid w:val="00AA4012"/>
    <w:rsid w:val="00AB2B8E"/>
    <w:rsid w:val="00B651AC"/>
    <w:rsid w:val="00B740E5"/>
    <w:rsid w:val="00B92160"/>
    <w:rsid w:val="00C21D84"/>
    <w:rsid w:val="00C87961"/>
    <w:rsid w:val="00CB24FB"/>
    <w:rsid w:val="00CE462E"/>
    <w:rsid w:val="00D34128"/>
    <w:rsid w:val="00D54FFA"/>
    <w:rsid w:val="00D61537"/>
    <w:rsid w:val="00D82EE8"/>
    <w:rsid w:val="00E23268"/>
    <w:rsid w:val="00FB6FED"/>
    <w:rsid w:val="00FC337D"/>
    <w:rsid w:val="00FE3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896E"/>
  <w15:docId w15:val="{1235083B-54B9-4C09-9323-39362F51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B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E462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E4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8937">
      <w:bodyDiv w:val="1"/>
      <w:marLeft w:val="0"/>
      <w:marRight w:val="0"/>
      <w:marTop w:val="0"/>
      <w:marBottom w:val="0"/>
      <w:divBdr>
        <w:top w:val="none" w:sz="0" w:space="0" w:color="auto"/>
        <w:left w:val="none" w:sz="0" w:space="0" w:color="auto"/>
        <w:bottom w:val="none" w:sz="0" w:space="0" w:color="auto"/>
        <w:right w:val="none" w:sz="0" w:space="0" w:color="auto"/>
      </w:divBdr>
    </w:div>
    <w:div w:id="656348921">
      <w:bodyDiv w:val="1"/>
      <w:marLeft w:val="0"/>
      <w:marRight w:val="0"/>
      <w:marTop w:val="0"/>
      <w:marBottom w:val="0"/>
      <w:divBdr>
        <w:top w:val="none" w:sz="0" w:space="0" w:color="auto"/>
        <w:left w:val="none" w:sz="0" w:space="0" w:color="auto"/>
        <w:bottom w:val="none" w:sz="0" w:space="0" w:color="auto"/>
        <w:right w:val="none" w:sz="0" w:space="0" w:color="auto"/>
      </w:divBdr>
    </w:div>
    <w:div w:id="920869130">
      <w:bodyDiv w:val="1"/>
      <w:marLeft w:val="0"/>
      <w:marRight w:val="0"/>
      <w:marTop w:val="0"/>
      <w:marBottom w:val="0"/>
      <w:divBdr>
        <w:top w:val="none" w:sz="0" w:space="0" w:color="auto"/>
        <w:left w:val="none" w:sz="0" w:space="0" w:color="auto"/>
        <w:bottom w:val="none" w:sz="0" w:space="0" w:color="auto"/>
        <w:right w:val="none" w:sz="0" w:space="0" w:color="auto"/>
      </w:divBdr>
    </w:div>
    <w:div w:id="1026718435">
      <w:bodyDiv w:val="1"/>
      <w:marLeft w:val="0"/>
      <w:marRight w:val="0"/>
      <w:marTop w:val="0"/>
      <w:marBottom w:val="0"/>
      <w:divBdr>
        <w:top w:val="none" w:sz="0" w:space="0" w:color="auto"/>
        <w:left w:val="none" w:sz="0" w:space="0" w:color="auto"/>
        <w:bottom w:val="none" w:sz="0" w:space="0" w:color="auto"/>
        <w:right w:val="none" w:sz="0" w:space="0" w:color="auto"/>
      </w:divBdr>
      <w:divsChild>
        <w:div w:id="1257250714">
          <w:marLeft w:val="0"/>
          <w:marRight w:val="0"/>
          <w:marTop w:val="0"/>
          <w:marBottom w:val="0"/>
          <w:divBdr>
            <w:top w:val="none" w:sz="0" w:space="0" w:color="auto"/>
            <w:left w:val="none" w:sz="0" w:space="0" w:color="auto"/>
            <w:bottom w:val="none" w:sz="0" w:space="0" w:color="auto"/>
            <w:right w:val="none" w:sz="0" w:space="0" w:color="auto"/>
          </w:divBdr>
        </w:div>
        <w:div w:id="1794399953">
          <w:marLeft w:val="0"/>
          <w:marRight w:val="0"/>
          <w:marTop w:val="0"/>
          <w:marBottom w:val="0"/>
          <w:divBdr>
            <w:top w:val="none" w:sz="0" w:space="0" w:color="auto"/>
            <w:left w:val="none" w:sz="0" w:space="0" w:color="auto"/>
            <w:bottom w:val="none" w:sz="0" w:space="0" w:color="auto"/>
            <w:right w:val="none" w:sz="0" w:space="0" w:color="auto"/>
          </w:divBdr>
        </w:div>
        <w:div w:id="397019423">
          <w:marLeft w:val="0"/>
          <w:marRight w:val="0"/>
          <w:marTop w:val="0"/>
          <w:marBottom w:val="0"/>
          <w:divBdr>
            <w:top w:val="none" w:sz="0" w:space="0" w:color="auto"/>
            <w:left w:val="none" w:sz="0" w:space="0" w:color="auto"/>
            <w:bottom w:val="none" w:sz="0" w:space="0" w:color="auto"/>
            <w:right w:val="none" w:sz="0" w:space="0" w:color="auto"/>
          </w:divBdr>
        </w:div>
        <w:div w:id="2094741662">
          <w:marLeft w:val="0"/>
          <w:marRight w:val="0"/>
          <w:marTop w:val="0"/>
          <w:marBottom w:val="0"/>
          <w:divBdr>
            <w:top w:val="none" w:sz="0" w:space="0" w:color="auto"/>
            <w:left w:val="none" w:sz="0" w:space="0" w:color="auto"/>
            <w:bottom w:val="none" w:sz="0" w:space="0" w:color="auto"/>
            <w:right w:val="none" w:sz="0" w:space="0" w:color="auto"/>
          </w:divBdr>
        </w:div>
        <w:div w:id="391853417">
          <w:marLeft w:val="0"/>
          <w:marRight w:val="0"/>
          <w:marTop w:val="0"/>
          <w:marBottom w:val="0"/>
          <w:divBdr>
            <w:top w:val="none" w:sz="0" w:space="0" w:color="auto"/>
            <w:left w:val="none" w:sz="0" w:space="0" w:color="auto"/>
            <w:bottom w:val="none" w:sz="0" w:space="0" w:color="auto"/>
            <w:right w:val="none" w:sz="0" w:space="0" w:color="auto"/>
          </w:divBdr>
        </w:div>
        <w:div w:id="56320545">
          <w:marLeft w:val="0"/>
          <w:marRight w:val="0"/>
          <w:marTop w:val="0"/>
          <w:marBottom w:val="0"/>
          <w:divBdr>
            <w:top w:val="none" w:sz="0" w:space="0" w:color="auto"/>
            <w:left w:val="none" w:sz="0" w:space="0" w:color="auto"/>
            <w:bottom w:val="none" w:sz="0" w:space="0" w:color="auto"/>
            <w:right w:val="none" w:sz="0" w:space="0" w:color="auto"/>
          </w:divBdr>
        </w:div>
        <w:div w:id="630592120">
          <w:marLeft w:val="0"/>
          <w:marRight w:val="0"/>
          <w:marTop w:val="0"/>
          <w:marBottom w:val="0"/>
          <w:divBdr>
            <w:top w:val="none" w:sz="0" w:space="0" w:color="auto"/>
            <w:left w:val="none" w:sz="0" w:space="0" w:color="auto"/>
            <w:bottom w:val="none" w:sz="0" w:space="0" w:color="auto"/>
            <w:right w:val="none" w:sz="0" w:space="0" w:color="auto"/>
          </w:divBdr>
        </w:div>
        <w:div w:id="320237557">
          <w:marLeft w:val="0"/>
          <w:marRight w:val="0"/>
          <w:marTop w:val="0"/>
          <w:marBottom w:val="0"/>
          <w:divBdr>
            <w:top w:val="none" w:sz="0" w:space="0" w:color="auto"/>
            <w:left w:val="none" w:sz="0" w:space="0" w:color="auto"/>
            <w:bottom w:val="none" w:sz="0" w:space="0" w:color="auto"/>
            <w:right w:val="none" w:sz="0" w:space="0" w:color="auto"/>
          </w:divBdr>
        </w:div>
        <w:div w:id="793330300">
          <w:marLeft w:val="0"/>
          <w:marRight w:val="0"/>
          <w:marTop w:val="0"/>
          <w:marBottom w:val="0"/>
          <w:divBdr>
            <w:top w:val="none" w:sz="0" w:space="0" w:color="auto"/>
            <w:left w:val="none" w:sz="0" w:space="0" w:color="auto"/>
            <w:bottom w:val="none" w:sz="0" w:space="0" w:color="auto"/>
            <w:right w:val="none" w:sz="0" w:space="0" w:color="auto"/>
          </w:divBdr>
        </w:div>
        <w:div w:id="458886185">
          <w:marLeft w:val="0"/>
          <w:marRight w:val="0"/>
          <w:marTop w:val="0"/>
          <w:marBottom w:val="0"/>
          <w:divBdr>
            <w:top w:val="none" w:sz="0" w:space="0" w:color="auto"/>
            <w:left w:val="none" w:sz="0" w:space="0" w:color="auto"/>
            <w:bottom w:val="none" w:sz="0" w:space="0" w:color="auto"/>
            <w:right w:val="none" w:sz="0" w:space="0" w:color="auto"/>
          </w:divBdr>
        </w:div>
        <w:div w:id="267353685">
          <w:marLeft w:val="0"/>
          <w:marRight w:val="0"/>
          <w:marTop w:val="0"/>
          <w:marBottom w:val="0"/>
          <w:divBdr>
            <w:top w:val="none" w:sz="0" w:space="0" w:color="auto"/>
            <w:left w:val="none" w:sz="0" w:space="0" w:color="auto"/>
            <w:bottom w:val="none" w:sz="0" w:space="0" w:color="auto"/>
            <w:right w:val="none" w:sz="0" w:space="0" w:color="auto"/>
          </w:divBdr>
        </w:div>
        <w:div w:id="829104800">
          <w:marLeft w:val="0"/>
          <w:marRight w:val="0"/>
          <w:marTop w:val="0"/>
          <w:marBottom w:val="0"/>
          <w:divBdr>
            <w:top w:val="none" w:sz="0" w:space="0" w:color="auto"/>
            <w:left w:val="none" w:sz="0" w:space="0" w:color="auto"/>
            <w:bottom w:val="none" w:sz="0" w:space="0" w:color="auto"/>
            <w:right w:val="none" w:sz="0" w:space="0" w:color="auto"/>
          </w:divBdr>
        </w:div>
        <w:div w:id="1872647701">
          <w:marLeft w:val="0"/>
          <w:marRight w:val="0"/>
          <w:marTop w:val="0"/>
          <w:marBottom w:val="0"/>
          <w:divBdr>
            <w:top w:val="none" w:sz="0" w:space="0" w:color="auto"/>
            <w:left w:val="none" w:sz="0" w:space="0" w:color="auto"/>
            <w:bottom w:val="none" w:sz="0" w:space="0" w:color="auto"/>
            <w:right w:val="none" w:sz="0" w:space="0" w:color="auto"/>
          </w:divBdr>
        </w:div>
        <w:div w:id="18048679">
          <w:marLeft w:val="0"/>
          <w:marRight w:val="0"/>
          <w:marTop w:val="0"/>
          <w:marBottom w:val="0"/>
          <w:divBdr>
            <w:top w:val="none" w:sz="0" w:space="0" w:color="auto"/>
            <w:left w:val="none" w:sz="0" w:space="0" w:color="auto"/>
            <w:bottom w:val="none" w:sz="0" w:space="0" w:color="auto"/>
            <w:right w:val="none" w:sz="0" w:space="0" w:color="auto"/>
          </w:divBdr>
        </w:div>
      </w:divsChild>
    </w:div>
    <w:div w:id="1411392142">
      <w:bodyDiv w:val="1"/>
      <w:marLeft w:val="0"/>
      <w:marRight w:val="0"/>
      <w:marTop w:val="0"/>
      <w:marBottom w:val="0"/>
      <w:divBdr>
        <w:top w:val="none" w:sz="0" w:space="0" w:color="auto"/>
        <w:left w:val="none" w:sz="0" w:space="0" w:color="auto"/>
        <w:bottom w:val="none" w:sz="0" w:space="0" w:color="auto"/>
        <w:right w:val="none" w:sz="0" w:space="0" w:color="auto"/>
      </w:divBdr>
    </w:div>
    <w:div w:id="1462652699">
      <w:bodyDiv w:val="1"/>
      <w:marLeft w:val="0"/>
      <w:marRight w:val="0"/>
      <w:marTop w:val="0"/>
      <w:marBottom w:val="0"/>
      <w:divBdr>
        <w:top w:val="none" w:sz="0" w:space="0" w:color="auto"/>
        <w:left w:val="none" w:sz="0" w:space="0" w:color="auto"/>
        <w:bottom w:val="none" w:sz="0" w:space="0" w:color="auto"/>
        <w:right w:val="none" w:sz="0" w:space="0" w:color="auto"/>
      </w:divBdr>
    </w:div>
    <w:div w:id="1591348240">
      <w:bodyDiv w:val="1"/>
      <w:marLeft w:val="0"/>
      <w:marRight w:val="0"/>
      <w:marTop w:val="0"/>
      <w:marBottom w:val="0"/>
      <w:divBdr>
        <w:top w:val="none" w:sz="0" w:space="0" w:color="auto"/>
        <w:left w:val="none" w:sz="0" w:space="0" w:color="auto"/>
        <w:bottom w:val="none" w:sz="0" w:space="0" w:color="auto"/>
        <w:right w:val="none" w:sz="0" w:space="0" w:color="auto"/>
      </w:divBdr>
    </w:div>
    <w:div w:id="2012293864">
      <w:bodyDiv w:val="1"/>
      <w:marLeft w:val="0"/>
      <w:marRight w:val="0"/>
      <w:marTop w:val="0"/>
      <w:marBottom w:val="0"/>
      <w:divBdr>
        <w:top w:val="none" w:sz="0" w:space="0" w:color="auto"/>
        <w:left w:val="none" w:sz="0" w:space="0" w:color="auto"/>
        <w:bottom w:val="none" w:sz="0" w:space="0" w:color="auto"/>
        <w:right w:val="none" w:sz="0" w:space="0" w:color="auto"/>
      </w:divBdr>
    </w:div>
    <w:div w:id="21388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10885</Words>
  <Characters>6205</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Deividas Kriaučiūnas</dc:creator>
  <cp:lastModifiedBy>Vaclovas Medišauskas</cp:lastModifiedBy>
  <cp:revision>19</cp:revision>
  <dcterms:created xsi:type="dcterms:W3CDTF">2021-02-01T19:25:00Z</dcterms:created>
  <dcterms:modified xsi:type="dcterms:W3CDTF">2021-02-01T22:04:00Z</dcterms:modified>
</cp:coreProperties>
</file>