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008F92" w14:textId="77777777" w:rsidR="00121A5A" w:rsidRPr="005E3737" w:rsidRDefault="00121A5A" w:rsidP="00121A5A">
      <w:pPr>
        <w:tabs>
          <w:tab w:val="left" w:pos="916"/>
          <w:tab w:val="left" w:pos="1832"/>
          <w:tab w:val="left" w:pos="2748"/>
          <w:tab w:val="left" w:pos="3664"/>
          <w:tab w:val="left" w:pos="4580"/>
          <w:tab w:val="left" w:pos="5496"/>
          <w:tab w:val="left" w:pos="6412"/>
          <w:tab w:val="left" w:pos="7513"/>
          <w:tab w:val="left" w:pos="7938"/>
          <w:tab w:val="left" w:pos="8080"/>
          <w:tab w:val="left" w:pos="8244"/>
          <w:tab w:val="left" w:pos="8647"/>
          <w:tab w:val="left" w:pos="10076"/>
          <w:tab w:val="left" w:pos="10992"/>
          <w:tab w:val="left" w:pos="11908"/>
          <w:tab w:val="left" w:pos="12824"/>
          <w:tab w:val="left" w:pos="13740"/>
          <w:tab w:val="left" w:pos="14656"/>
        </w:tabs>
        <w:ind w:left="7371"/>
        <w:rPr>
          <w:rFonts w:eastAsia="Calibri"/>
          <w:b/>
          <w:bCs/>
          <w:szCs w:val="24"/>
        </w:rPr>
      </w:pPr>
      <w:r w:rsidRPr="005E3737">
        <w:rPr>
          <w:rFonts w:eastAsia="Calibri"/>
          <w:b/>
          <w:bCs/>
          <w:szCs w:val="24"/>
        </w:rPr>
        <w:t>Projekto</w:t>
      </w:r>
    </w:p>
    <w:p w14:paraId="0790A544" w14:textId="77777777" w:rsidR="00121A5A" w:rsidRPr="005E3737" w:rsidRDefault="00121A5A" w:rsidP="00121A5A">
      <w:pPr>
        <w:tabs>
          <w:tab w:val="left" w:pos="916"/>
          <w:tab w:val="left" w:pos="1832"/>
          <w:tab w:val="left" w:pos="2748"/>
          <w:tab w:val="left" w:pos="3664"/>
          <w:tab w:val="left" w:pos="4580"/>
          <w:tab w:val="left" w:pos="5496"/>
          <w:tab w:val="left" w:pos="6412"/>
          <w:tab w:val="left" w:pos="7513"/>
          <w:tab w:val="left" w:pos="7938"/>
          <w:tab w:val="left" w:pos="8080"/>
          <w:tab w:val="left" w:pos="8244"/>
          <w:tab w:val="left" w:pos="8647"/>
          <w:tab w:val="left" w:pos="10076"/>
          <w:tab w:val="left" w:pos="10992"/>
          <w:tab w:val="left" w:pos="11908"/>
          <w:tab w:val="left" w:pos="12824"/>
          <w:tab w:val="left" w:pos="13740"/>
          <w:tab w:val="left" w:pos="14656"/>
        </w:tabs>
        <w:ind w:left="7371"/>
        <w:rPr>
          <w:rFonts w:eastAsia="Calibri"/>
          <w:b/>
          <w:bCs/>
          <w:szCs w:val="24"/>
        </w:rPr>
      </w:pPr>
      <w:r w:rsidRPr="005E3737">
        <w:rPr>
          <w:rFonts w:eastAsia="Calibri"/>
          <w:b/>
          <w:bCs/>
          <w:szCs w:val="24"/>
        </w:rPr>
        <w:t>lyginamasis variantas</w:t>
      </w:r>
    </w:p>
    <w:p w14:paraId="5320D148" w14:textId="77777777" w:rsidR="00121A5A" w:rsidRPr="005E3737" w:rsidRDefault="00121A5A" w:rsidP="00121A5A">
      <w:pPr>
        <w:pStyle w:val="ISTATYMAS"/>
        <w:rPr>
          <w:rFonts w:ascii="Times New Roman" w:hAnsi="Times New Roman"/>
          <w:b/>
          <w:color w:val="000000"/>
          <w:sz w:val="24"/>
          <w:szCs w:val="24"/>
          <w:lang w:val="lt-LT"/>
        </w:rPr>
      </w:pPr>
    </w:p>
    <w:p w14:paraId="448E336B" w14:textId="77777777" w:rsidR="00121A5A" w:rsidRPr="005E3737" w:rsidRDefault="00121A5A" w:rsidP="00121A5A">
      <w:pPr>
        <w:jc w:val="center"/>
        <w:rPr>
          <w:b/>
          <w:szCs w:val="24"/>
          <w:lang w:eastAsia="lt-LT"/>
        </w:rPr>
      </w:pPr>
    </w:p>
    <w:p w14:paraId="2D099E1C" w14:textId="25AEF8DE" w:rsidR="00121A5A" w:rsidRPr="005E3737" w:rsidRDefault="00121A5A" w:rsidP="00121A5A">
      <w:pPr>
        <w:jc w:val="center"/>
        <w:rPr>
          <w:b/>
          <w:szCs w:val="24"/>
          <w:lang w:eastAsia="lt-LT"/>
        </w:rPr>
      </w:pPr>
      <w:r w:rsidRPr="005E3737">
        <w:rPr>
          <w:b/>
          <w:szCs w:val="24"/>
          <w:lang w:eastAsia="lt-LT"/>
        </w:rPr>
        <w:t xml:space="preserve">LIETUVOS RESPUBLIKOS </w:t>
      </w:r>
    </w:p>
    <w:p w14:paraId="650361AD" w14:textId="0EBDC302" w:rsidR="00121A5A" w:rsidRPr="000629A7" w:rsidRDefault="00121A5A" w:rsidP="00121A5A">
      <w:pPr>
        <w:jc w:val="center"/>
        <w:rPr>
          <w:b/>
          <w:szCs w:val="24"/>
          <w:lang w:eastAsia="lt-LT"/>
        </w:rPr>
      </w:pPr>
      <w:r w:rsidRPr="005E3737">
        <w:rPr>
          <w:b/>
          <w:bCs/>
          <w:szCs w:val="24"/>
        </w:rPr>
        <w:t xml:space="preserve">KIBERNETINIO SAUGUMO ĮSTATYMO NR. </w:t>
      </w:r>
      <w:r w:rsidRPr="000629A7">
        <w:rPr>
          <w:b/>
          <w:bCs/>
          <w:szCs w:val="24"/>
        </w:rPr>
        <w:t xml:space="preserve">XII-1428 </w:t>
      </w:r>
      <w:r w:rsidR="002810A7">
        <w:rPr>
          <w:b/>
          <w:bCs/>
          <w:szCs w:val="24"/>
        </w:rPr>
        <w:t xml:space="preserve">2, </w:t>
      </w:r>
      <w:r w:rsidRPr="000629A7">
        <w:rPr>
          <w:b/>
          <w:bCs/>
          <w:szCs w:val="24"/>
        </w:rPr>
        <w:t>8</w:t>
      </w:r>
      <w:r w:rsidR="008F3FBB">
        <w:rPr>
          <w:b/>
          <w:bCs/>
          <w:szCs w:val="24"/>
        </w:rPr>
        <w:t>, 10, 12</w:t>
      </w:r>
      <w:r w:rsidRPr="000629A7">
        <w:rPr>
          <w:szCs w:val="24"/>
        </w:rPr>
        <w:t xml:space="preserve"> </w:t>
      </w:r>
      <w:r w:rsidRPr="000629A7">
        <w:rPr>
          <w:b/>
          <w:szCs w:val="24"/>
          <w:lang w:eastAsia="lt-LT"/>
        </w:rPr>
        <w:t>STRAIPSNI</w:t>
      </w:r>
      <w:r w:rsidR="008F3FBB">
        <w:rPr>
          <w:b/>
          <w:szCs w:val="24"/>
          <w:lang w:eastAsia="lt-LT"/>
        </w:rPr>
        <w:t>Ų</w:t>
      </w:r>
      <w:r w:rsidRPr="000629A7">
        <w:rPr>
          <w:b/>
          <w:szCs w:val="24"/>
          <w:lang w:eastAsia="lt-LT"/>
        </w:rPr>
        <w:t xml:space="preserve"> IR PRIEDO PAKEITIMO </w:t>
      </w:r>
    </w:p>
    <w:p w14:paraId="4DC70AF4" w14:textId="77777777" w:rsidR="00121A5A" w:rsidRPr="000629A7" w:rsidRDefault="00121A5A" w:rsidP="00121A5A">
      <w:pPr>
        <w:jc w:val="center"/>
        <w:rPr>
          <w:b/>
          <w:szCs w:val="24"/>
          <w:lang w:eastAsia="lt-LT"/>
        </w:rPr>
      </w:pPr>
      <w:r w:rsidRPr="000629A7">
        <w:rPr>
          <w:b/>
          <w:szCs w:val="24"/>
          <w:lang w:eastAsia="lt-LT"/>
        </w:rPr>
        <w:t>ĮSTATYMAS</w:t>
      </w:r>
    </w:p>
    <w:p w14:paraId="67FC1C10" w14:textId="77777777" w:rsidR="00121A5A" w:rsidRPr="000629A7" w:rsidRDefault="00121A5A" w:rsidP="00121A5A">
      <w:pPr>
        <w:rPr>
          <w:szCs w:val="24"/>
          <w:lang w:eastAsia="lt-LT"/>
        </w:rPr>
      </w:pPr>
    </w:p>
    <w:p w14:paraId="4DCD8175" w14:textId="6FC7628A" w:rsidR="00121A5A" w:rsidRPr="000629A7" w:rsidRDefault="00121A5A" w:rsidP="00121A5A">
      <w:pPr>
        <w:jc w:val="center"/>
        <w:rPr>
          <w:szCs w:val="24"/>
          <w:lang w:val="en-US" w:eastAsia="lt-LT"/>
        </w:rPr>
      </w:pPr>
      <w:r w:rsidRPr="000629A7">
        <w:rPr>
          <w:szCs w:val="24"/>
          <w:lang w:eastAsia="lt-LT"/>
        </w:rPr>
        <w:t>20</w:t>
      </w:r>
      <w:r w:rsidR="000629A7">
        <w:rPr>
          <w:szCs w:val="24"/>
          <w:lang w:eastAsia="lt-LT"/>
        </w:rPr>
        <w:t>20</w:t>
      </w:r>
      <w:r w:rsidRPr="000629A7">
        <w:rPr>
          <w:szCs w:val="24"/>
          <w:lang w:eastAsia="lt-LT"/>
        </w:rPr>
        <w:t xml:space="preserve"> m. </w:t>
      </w:r>
      <w:r w:rsidRPr="000629A7">
        <w:rPr>
          <w:szCs w:val="24"/>
          <w:lang w:eastAsia="lt-LT"/>
        </w:rPr>
        <w:tab/>
      </w:r>
      <w:r w:rsidRPr="000629A7">
        <w:rPr>
          <w:szCs w:val="24"/>
          <w:lang w:eastAsia="lt-LT"/>
        </w:rPr>
        <w:tab/>
        <w:t>d. Nr.</w:t>
      </w:r>
    </w:p>
    <w:p w14:paraId="5FEC31B4" w14:textId="77777777" w:rsidR="00121A5A" w:rsidRPr="000629A7" w:rsidRDefault="00121A5A" w:rsidP="00121A5A">
      <w:pPr>
        <w:jc w:val="center"/>
        <w:rPr>
          <w:szCs w:val="24"/>
          <w:lang w:eastAsia="lt-LT"/>
        </w:rPr>
      </w:pPr>
      <w:r w:rsidRPr="000629A7">
        <w:rPr>
          <w:szCs w:val="24"/>
          <w:lang w:eastAsia="lt-LT"/>
        </w:rPr>
        <w:t>Vilnius</w:t>
      </w:r>
    </w:p>
    <w:p w14:paraId="033BBC2F" w14:textId="77777777" w:rsidR="00121A5A" w:rsidRPr="000629A7" w:rsidRDefault="00121A5A" w:rsidP="00121A5A">
      <w:pPr>
        <w:jc w:val="both"/>
        <w:rPr>
          <w:b/>
          <w:szCs w:val="24"/>
        </w:rPr>
      </w:pPr>
    </w:p>
    <w:p w14:paraId="000C3771" w14:textId="77777777" w:rsidR="001222DC" w:rsidRPr="000629A7" w:rsidRDefault="001222DC" w:rsidP="005E3737">
      <w:pPr>
        <w:ind w:firstLine="567"/>
        <w:jc w:val="both"/>
        <w:rPr>
          <w:b/>
          <w:szCs w:val="24"/>
        </w:rPr>
      </w:pPr>
      <w:r w:rsidRPr="000629A7">
        <w:rPr>
          <w:b/>
          <w:szCs w:val="24"/>
        </w:rPr>
        <w:t xml:space="preserve">1 straipsnis. </w:t>
      </w:r>
      <w:r w:rsidRPr="000629A7">
        <w:rPr>
          <w:b/>
          <w:szCs w:val="24"/>
          <w:lang w:val="en-US"/>
        </w:rPr>
        <w:t>2</w:t>
      </w:r>
      <w:r w:rsidRPr="000629A7">
        <w:rPr>
          <w:b/>
          <w:szCs w:val="24"/>
        </w:rPr>
        <w:t xml:space="preserve"> straipsnio pakeitimas</w:t>
      </w:r>
    </w:p>
    <w:p w14:paraId="6FB79D86" w14:textId="77777777" w:rsidR="001222DC" w:rsidRPr="000629A7" w:rsidRDefault="001222DC" w:rsidP="005E3737">
      <w:pPr>
        <w:ind w:firstLine="567"/>
        <w:jc w:val="both"/>
        <w:rPr>
          <w:szCs w:val="24"/>
        </w:rPr>
      </w:pPr>
      <w:r w:rsidRPr="000629A7">
        <w:rPr>
          <w:szCs w:val="24"/>
        </w:rPr>
        <w:t xml:space="preserve">Pakeisti </w:t>
      </w:r>
      <w:r w:rsidRPr="000629A7">
        <w:rPr>
          <w:szCs w:val="24"/>
          <w:lang w:val="en-US"/>
        </w:rPr>
        <w:t>2</w:t>
      </w:r>
      <w:r w:rsidRPr="000629A7">
        <w:rPr>
          <w:szCs w:val="24"/>
        </w:rPr>
        <w:t xml:space="preserve"> straipsnio 8 dalį ir ją išdėstyti taip:</w:t>
      </w:r>
    </w:p>
    <w:p w14:paraId="722315B7" w14:textId="4704F4A8" w:rsidR="001222DC" w:rsidRPr="000629A7" w:rsidRDefault="001222DC" w:rsidP="005E3737">
      <w:pPr>
        <w:ind w:firstLine="567"/>
        <w:jc w:val="both"/>
        <w:rPr>
          <w:szCs w:val="24"/>
        </w:rPr>
      </w:pPr>
      <w:r w:rsidRPr="000629A7">
        <w:rPr>
          <w:szCs w:val="24"/>
        </w:rPr>
        <w:t xml:space="preserve">„8. Kibernetinio saugumo subjektas – subjektas, valdantis ir (arba) tvarkantis valstybės informacinius išteklius, ypatingos svarbos informacinės infrastruktūros valdytojas, viešųjų </w:t>
      </w:r>
      <w:r w:rsidRPr="000629A7">
        <w:rPr>
          <w:b/>
          <w:bCs/>
          <w:szCs w:val="24"/>
        </w:rPr>
        <w:t xml:space="preserve">elektroninių </w:t>
      </w:r>
      <w:r w:rsidRPr="000629A7">
        <w:rPr>
          <w:szCs w:val="24"/>
        </w:rPr>
        <w:t xml:space="preserve">ryšių tinklų ir (arba) viešųjų elektroninių ryšių paslaugų, elektroninės informacijos </w:t>
      </w:r>
      <w:proofErr w:type="spellStart"/>
      <w:r w:rsidRPr="000629A7">
        <w:rPr>
          <w:szCs w:val="24"/>
        </w:rPr>
        <w:t>prieglobos</w:t>
      </w:r>
      <w:proofErr w:type="spellEnd"/>
      <w:r w:rsidRPr="000629A7">
        <w:rPr>
          <w:szCs w:val="24"/>
        </w:rPr>
        <w:t xml:space="preserve"> paslaugų ir skaitmeninių paslaugų teikėjas.“</w:t>
      </w:r>
    </w:p>
    <w:p w14:paraId="242AAF85" w14:textId="149C36AB" w:rsidR="001222DC" w:rsidRPr="000629A7" w:rsidRDefault="001222DC" w:rsidP="005E3737">
      <w:pPr>
        <w:ind w:firstLine="567"/>
        <w:jc w:val="both"/>
        <w:rPr>
          <w:szCs w:val="24"/>
        </w:rPr>
      </w:pPr>
    </w:p>
    <w:p w14:paraId="203DB0A3" w14:textId="083C7FF4" w:rsidR="001222DC" w:rsidRPr="000629A7" w:rsidRDefault="001222DC" w:rsidP="005E3737">
      <w:pPr>
        <w:ind w:firstLine="567"/>
        <w:jc w:val="both"/>
        <w:rPr>
          <w:b/>
          <w:szCs w:val="24"/>
        </w:rPr>
      </w:pPr>
      <w:r w:rsidRPr="000629A7">
        <w:rPr>
          <w:b/>
          <w:szCs w:val="24"/>
        </w:rPr>
        <w:t xml:space="preserve">2 straipsnis. </w:t>
      </w:r>
      <w:r w:rsidR="005E140E" w:rsidRPr="000629A7">
        <w:rPr>
          <w:b/>
          <w:szCs w:val="24"/>
          <w:lang w:val="en-US"/>
        </w:rPr>
        <w:t>8</w:t>
      </w:r>
      <w:r w:rsidRPr="000629A7">
        <w:rPr>
          <w:b/>
          <w:szCs w:val="24"/>
        </w:rPr>
        <w:t xml:space="preserve"> straipsnio pakeitimas</w:t>
      </w:r>
    </w:p>
    <w:p w14:paraId="7A68BD5E" w14:textId="2F05BC98" w:rsidR="005E140E" w:rsidRPr="000629A7" w:rsidRDefault="005E140E" w:rsidP="000629A7">
      <w:pPr>
        <w:pStyle w:val="Sraopastraipa"/>
        <w:numPr>
          <w:ilvl w:val="0"/>
          <w:numId w:val="1"/>
        </w:numPr>
        <w:tabs>
          <w:tab w:val="left" w:pos="851"/>
        </w:tabs>
        <w:ind w:left="0" w:firstLine="567"/>
        <w:jc w:val="both"/>
        <w:rPr>
          <w:szCs w:val="24"/>
        </w:rPr>
      </w:pPr>
      <w:r w:rsidRPr="000629A7">
        <w:rPr>
          <w:szCs w:val="24"/>
        </w:rPr>
        <w:t xml:space="preserve">Pakeisti </w:t>
      </w:r>
      <w:r w:rsidRPr="000629A7">
        <w:rPr>
          <w:szCs w:val="24"/>
          <w:lang w:val="en-US"/>
        </w:rPr>
        <w:t>8</w:t>
      </w:r>
      <w:r w:rsidRPr="000629A7">
        <w:rPr>
          <w:szCs w:val="24"/>
        </w:rPr>
        <w:t xml:space="preserve"> straipsnio 2 dalies 4 punktą ir jį išdėstyti taip:</w:t>
      </w:r>
    </w:p>
    <w:p w14:paraId="1C152448" w14:textId="3D374623" w:rsidR="005E140E" w:rsidRPr="000629A7" w:rsidRDefault="005E140E" w:rsidP="000629A7">
      <w:pPr>
        <w:tabs>
          <w:tab w:val="left" w:pos="851"/>
        </w:tabs>
        <w:ind w:firstLine="567"/>
        <w:jc w:val="both"/>
        <w:rPr>
          <w:szCs w:val="24"/>
        </w:rPr>
      </w:pPr>
      <w:r w:rsidRPr="000629A7">
        <w:rPr>
          <w:szCs w:val="24"/>
        </w:rPr>
        <w:t xml:space="preserve">„4) </w:t>
      </w:r>
      <w:r w:rsidRPr="000629A7">
        <w:rPr>
          <w:szCs w:val="24"/>
          <w:lang w:eastAsia="lt-LT"/>
        </w:rPr>
        <w:t xml:space="preserve">duoda nurodymus, susijusius su kibernetinio saugumo užtikrinimu ir nustatytų kibernetinio saugumo trūkumų pašalinimu, nustato šių nurodymų įvykdymo terminą subjektams, valdantiems ir (arba) tvarkantiems valstybės informacinius išteklius, ypatingos svarbos informacinės infrastruktūros valdytojams, viešųjų </w:t>
      </w:r>
      <w:r w:rsidRPr="000629A7">
        <w:rPr>
          <w:b/>
          <w:bCs/>
          <w:szCs w:val="24"/>
        </w:rPr>
        <w:t>elektroninių</w:t>
      </w:r>
      <w:r w:rsidRPr="000629A7">
        <w:rPr>
          <w:szCs w:val="24"/>
          <w:lang w:eastAsia="lt-LT"/>
        </w:rPr>
        <w:t xml:space="preserve"> ryšių tinklų ir (arba) viešųjų elektroninių ryšių paslaugų teikėjams ir elektroninės informacijos </w:t>
      </w:r>
      <w:proofErr w:type="spellStart"/>
      <w:r w:rsidRPr="000629A7">
        <w:rPr>
          <w:szCs w:val="24"/>
          <w:lang w:eastAsia="lt-LT"/>
        </w:rPr>
        <w:t>prieglobos</w:t>
      </w:r>
      <w:proofErr w:type="spellEnd"/>
      <w:r w:rsidRPr="000629A7">
        <w:rPr>
          <w:szCs w:val="24"/>
          <w:lang w:eastAsia="lt-LT"/>
        </w:rPr>
        <w:t xml:space="preserve"> paslaugų teikėjams;“. </w:t>
      </w:r>
    </w:p>
    <w:p w14:paraId="4D13BC3D" w14:textId="595DE81B" w:rsidR="00A30AD2" w:rsidRPr="000629A7" w:rsidRDefault="005E140E" w:rsidP="000629A7">
      <w:pPr>
        <w:pStyle w:val="Sraopastraipa"/>
        <w:numPr>
          <w:ilvl w:val="0"/>
          <w:numId w:val="1"/>
        </w:numPr>
        <w:tabs>
          <w:tab w:val="left" w:pos="851"/>
        </w:tabs>
        <w:ind w:left="0" w:firstLine="567"/>
        <w:jc w:val="both"/>
        <w:rPr>
          <w:szCs w:val="24"/>
        </w:rPr>
      </w:pPr>
      <w:r w:rsidRPr="000629A7">
        <w:rPr>
          <w:szCs w:val="24"/>
        </w:rPr>
        <w:t xml:space="preserve">Pakeisti </w:t>
      </w:r>
      <w:r w:rsidRPr="000629A7">
        <w:rPr>
          <w:szCs w:val="24"/>
          <w:lang w:val="en-US"/>
        </w:rPr>
        <w:t>8</w:t>
      </w:r>
      <w:r w:rsidRPr="000629A7">
        <w:rPr>
          <w:szCs w:val="24"/>
        </w:rPr>
        <w:t xml:space="preserve"> straipsnio 2 dalies 11 punktą ir jį išdėstyti taip:</w:t>
      </w:r>
    </w:p>
    <w:p w14:paraId="7D2AED65" w14:textId="35E21473" w:rsidR="005E140E" w:rsidRPr="000629A7" w:rsidRDefault="005E140E" w:rsidP="002C45E6">
      <w:pPr>
        <w:ind w:firstLine="567"/>
        <w:jc w:val="both"/>
        <w:rPr>
          <w:szCs w:val="24"/>
          <w:lang w:eastAsia="lt-LT"/>
        </w:rPr>
      </w:pPr>
      <w:r w:rsidRPr="000629A7">
        <w:rPr>
          <w:szCs w:val="24"/>
        </w:rPr>
        <w:t xml:space="preserve">„11) </w:t>
      </w:r>
      <w:r w:rsidRPr="000629A7">
        <w:rPr>
          <w:szCs w:val="24"/>
          <w:lang w:eastAsia="lt-LT"/>
        </w:rPr>
        <w:t xml:space="preserve">siekdamas stabdyti kibernetinio incidento poveikį valstybės informacinių išteklių ar ypatingos svarbos informacinių infrastruktūrų kibernetiniam saugumui, duoda nurodymą viešųjų </w:t>
      </w:r>
      <w:r w:rsidRPr="000629A7">
        <w:rPr>
          <w:b/>
          <w:bCs/>
          <w:szCs w:val="24"/>
        </w:rPr>
        <w:t>elektroninių</w:t>
      </w:r>
      <w:r w:rsidRPr="000629A7">
        <w:rPr>
          <w:szCs w:val="24"/>
          <w:lang w:eastAsia="lt-LT"/>
        </w:rPr>
        <w:t xml:space="preserve"> ryšių tinklų ir (arba) viešųjų elektroninių ryšių paslaugų teikėjui ne ilgiau negu 48 valandoms apriboti viešųjų </w:t>
      </w:r>
      <w:r w:rsidRPr="000629A7">
        <w:rPr>
          <w:b/>
          <w:bCs/>
          <w:szCs w:val="24"/>
        </w:rPr>
        <w:t>elektroninių</w:t>
      </w:r>
      <w:r w:rsidRPr="000629A7">
        <w:rPr>
          <w:szCs w:val="24"/>
          <w:lang w:eastAsia="lt-LT"/>
        </w:rPr>
        <w:t xml:space="preserve"> ryšių tinklų ir (ar) viešųjų elektroninių ryšių paslaugų teikimą šių paslaugų gavėjui. Nacionalinis kibernetinio saugumo centras apie viešųjų </w:t>
      </w:r>
      <w:r w:rsidRPr="000629A7">
        <w:rPr>
          <w:b/>
          <w:bCs/>
          <w:szCs w:val="24"/>
        </w:rPr>
        <w:t>elektroninių</w:t>
      </w:r>
      <w:r w:rsidRPr="000629A7">
        <w:rPr>
          <w:szCs w:val="24"/>
          <w:lang w:eastAsia="lt-LT"/>
        </w:rPr>
        <w:t xml:space="preserve"> ryšių tinklų ir (arba) viešųjų elektroninių ryšių paslaugų teikėjams pagal šį punktą duotus nurodymus ne vėliau kaip kitą darbo dieną praneša Lietuvos Respublikos ryšių reguliavimo tarnybai;“.</w:t>
      </w:r>
    </w:p>
    <w:p w14:paraId="47E9FE2F" w14:textId="77777777" w:rsidR="001222DC" w:rsidRPr="000629A7" w:rsidRDefault="001222DC" w:rsidP="005E3737">
      <w:pPr>
        <w:ind w:firstLine="567"/>
        <w:jc w:val="both"/>
        <w:rPr>
          <w:szCs w:val="24"/>
        </w:rPr>
      </w:pPr>
    </w:p>
    <w:p w14:paraId="40B7DEDB" w14:textId="77777777" w:rsidR="00637EA7" w:rsidRPr="000629A7" w:rsidRDefault="00637EA7" w:rsidP="000629A7">
      <w:pPr>
        <w:pStyle w:val="Sraopastraipa"/>
        <w:numPr>
          <w:ilvl w:val="0"/>
          <w:numId w:val="2"/>
        </w:numPr>
        <w:ind w:left="0" w:firstLine="567"/>
        <w:jc w:val="both"/>
        <w:rPr>
          <w:b/>
          <w:szCs w:val="24"/>
        </w:rPr>
      </w:pPr>
      <w:r w:rsidRPr="000629A7">
        <w:rPr>
          <w:b/>
          <w:szCs w:val="24"/>
        </w:rPr>
        <w:t xml:space="preserve">straipsnis. </w:t>
      </w:r>
      <w:r w:rsidRPr="000629A7">
        <w:rPr>
          <w:b/>
          <w:szCs w:val="24"/>
          <w:lang w:val="en-US"/>
        </w:rPr>
        <w:t>10</w:t>
      </w:r>
      <w:r w:rsidRPr="000629A7">
        <w:rPr>
          <w:b/>
          <w:szCs w:val="24"/>
        </w:rPr>
        <w:t xml:space="preserve"> straipsnio pakeitimas</w:t>
      </w:r>
    </w:p>
    <w:p w14:paraId="12F2A6AA" w14:textId="38ADFDD4" w:rsidR="00637EA7" w:rsidRPr="000629A7" w:rsidRDefault="00637EA7" w:rsidP="000629A7">
      <w:pPr>
        <w:ind w:firstLine="567"/>
        <w:jc w:val="both"/>
        <w:rPr>
          <w:b/>
          <w:szCs w:val="24"/>
        </w:rPr>
      </w:pPr>
      <w:r w:rsidRPr="000629A7">
        <w:rPr>
          <w:szCs w:val="24"/>
        </w:rPr>
        <w:t xml:space="preserve">1. Pakeisti </w:t>
      </w:r>
      <w:r w:rsidRPr="000629A7">
        <w:rPr>
          <w:szCs w:val="24"/>
          <w:lang w:val="en-US"/>
        </w:rPr>
        <w:t>10</w:t>
      </w:r>
      <w:r w:rsidRPr="000629A7">
        <w:rPr>
          <w:szCs w:val="24"/>
        </w:rPr>
        <w:t xml:space="preserve"> straipsnio 3 punktą ir jį išdėstyti taip:</w:t>
      </w:r>
    </w:p>
    <w:p w14:paraId="46E82770" w14:textId="7BD48B71" w:rsidR="00637EA7" w:rsidRPr="000629A7" w:rsidRDefault="00637EA7" w:rsidP="000629A7">
      <w:pPr>
        <w:ind w:firstLine="567"/>
        <w:jc w:val="both"/>
        <w:rPr>
          <w:szCs w:val="24"/>
        </w:rPr>
      </w:pPr>
      <w:r w:rsidRPr="000629A7">
        <w:rPr>
          <w:szCs w:val="24"/>
        </w:rPr>
        <w:t xml:space="preserve">„3) turi teisę, kai paslaugų gavėjas galimai dalyvauja ar jo naudojama ryšių ir informacinių technologijų įranga galimai yra naudojama nusikalstamai veikai, be teismo sankcijos duoti nurodymą viešųjų </w:t>
      </w:r>
      <w:r w:rsidR="001E1612" w:rsidRPr="000629A7">
        <w:rPr>
          <w:b/>
          <w:bCs/>
          <w:szCs w:val="24"/>
        </w:rPr>
        <w:t>elektroninių</w:t>
      </w:r>
      <w:r w:rsidR="001E1612" w:rsidRPr="000629A7">
        <w:rPr>
          <w:szCs w:val="24"/>
          <w:lang w:eastAsia="lt-LT"/>
        </w:rPr>
        <w:t xml:space="preserve"> </w:t>
      </w:r>
      <w:r w:rsidRPr="000629A7">
        <w:rPr>
          <w:szCs w:val="24"/>
        </w:rPr>
        <w:t xml:space="preserve">ryšių tinklų ir (arba) viešųjų elektroninių ryšių paslaugų teikėjui, elektroninės informacijos </w:t>
      </w:r>
      <w:proofErr w:type="spellStart"/>
      <w:r w:rsidRPr="000629A7">
        <w:rPr>
          <w:szCs w:val="24"/>
        </w:rPr>
        <w:t>prieglobos</w:t>
      </w:r>
      <w:proofErr w:type="spellEnd"/>
      <w:r w:rsidRPr="000629A7">
        <w:rPr>
          <w:szCs w:val="24"/>
        </w:rPr>
        <w:t xml:space="preserve"> paslaugų teikėjui ir skaitmeninių paslaugų teikėjui ne ilgiau kaip 48 valandoms, o ilgesniam laikui – su apylinkės teismo sankcija apriboti viešųjų</w:t>
      </w:r>
      <w:r w:rsidR="001E1612" w:rsidRPr="000629A7">
        <w:rPr>
          <w:szCs w:val="24"/>
        </w:rPr>
        <w:t xml:space="preserve"> </w:t>
      </w:r>
      <w:r w:rsidR="001E1612" w:rsidRPr="000629A7">
        <w:rPr>
          <w:b/>
          <w:bCs/>
          <w:szCs w:val="24"/>
        </w:rPr>
        <w:t>elektroninių</w:t>
      </w:r>
      <w:r w:rsidRPr="000629A7">
        <w:rPr>
          <w:szCs w:val="24"/>
        </w:rPr>
        <w:t xml:space="preserve"> ryšių tinklų ir (arba) viešųjų elektroninių ryšių paslaugų, elektroninės informacijos </w:t>
      </w:r>
      <w:proofErr w:type="spellStart"/>
      <w:r w:rsidRPr="000629A7">
        <w:rPr>
          <w:szCs w:val="24"/>
        </w:rPr>
        <w:t>prieglobos</w:t>
      </w:r>
      <w:proofErr w:type="spellEnd"/>
      <w:r w:rsidRPr="000629A7">
        <w:rPr>
          <w:szCs w:val="24"/>
        </w:rPr>
        <w:t xml:space="preserve"> paslaugų ir skaitmeninių paslaugų teikimą paslaugų gavėjui ir (arba) nurodyti taikyti priemones, šalinančias nusikalstamų veikų kibernetinėje erdvėje priežastis. Šiais atvejais apylinkės teismo pirmininkui ar jo įgaliotam teisėjui pateikiamas teikimas dėl veiksmų teisėtumo ar pagrįstumo patvirtinimo motyvuota nutartimi. Jeigu šiame punkte nurodytas paslaugų teikimo apribojimo terminas baigiasi poilsio ar švenčių dieną, teikimas pateikiamas ne vėliau kaip kitą darbo dieną po poilsio ar švenčių dienos. Jeigu teisėjas motyvuota nutartimi nepatvirtina teikime nurodytų veiksmų teisėtumo ar pagrįstumo, nurodymas nedelsiant stabdomas;“</w:t>
      </w:r>
      <w:r w:rsidR="001E1612" w:rsidRPr="000629A7">
        <w:rPr>
          <w:szCs w:val="24"/>
        </w:rPr>
        <w:t>.</w:t>
      </w:r>
    </w:p>
    <w:p w14:paraId="7FBA2BFE" w14:textId="6084125F" w:rsidR="00637EA7" w:rsidRPr="000629A7" w:rsidRDefault="001E1612" w:rsidP="000629A7">
      <w:pPr>
        <w:ind w:firstLine="567"/>
        <w:jc w:val="both"/>
        <w:rPr>
          <w:szCs w:val="24"/>
        </w:rPr>
      </w:pPr>
      <w:r w:rsidRPr="000629A7">
        <w:rPr>
          <w:szCs w:val="24"/>
        </w:rPr>
        <w:t xml:space="preserve">2. Pakeisti </w:t>
      </w:r>
      <w:r w:rsidRPr="000629A7">
        <w:rPr>
          <w:szCs w:val="24"/>
          <w:lang w:val="en-US"/>
        </w:rPr>
        <w:t>10</w:t>
      </w:r>
      <w:r w:rsidRPr="000629A7">
        <w:rPr>
          <w:szCs w:val="24"/>
        </w:rPr>
        <w:t xml:space="preserve"> straipsnio 4 punktą ir jį išdėstyti taip:</w:t>
      </w:r>
    </w:p>
    <w:p w14:paraId="2436A750" w14:textId="62A689F5" w:rsidR="00637EA7" w:rsidRPr="000629A7" w:rsidRDefault="001E1612" w:rsidP="000629A7">
      <w:pPr>
        <w:ind w:firstLine="567"/>
        <w:jc w:val="both"/>
        <w:rPr>
          <w:szCs w:val="24"/>
        </w:rPr>
      </w:pPr>
      <w:r w:rsidRPr="000629A7">
        <w:rPr>
          <w:szCs w:val="24"/>
        </w:rPr>
        <w:lastRenderedPageBreak/>
        <w:t>„</w:t>
      </w:r>
      <w:r w:rsidR="00637EA7" w:rsidRPr="000629A7">
        <w:rPr>
          <w:szCs w:val="24"/>
        </w:rPr>
        <w:t xml:space="preserve">4) turi teisę duoti nurodymą viešųjų </w:t>
      </w:r>
      <w:r w:rsidRPr="000629A7">
        <w:rPr>
          <w:b/>
          <w:bCs/>
          <w:szCs w:val="24"/>
        </w:rPr>
        <w:t>elektroninių</w:t>
      </w:r>
      <w:r w:rsidRPr="000629A7">
        <w:rPr>
          <w:szCs w:val="24"/>
        </w:rPr>
        <w:t xml:space="preserve"> </w:t>
      </w:r>
      <w:r w:rsidR="00637EA7" w:rsidRPr="000629A7">
        <w:rPr>
          <w:szCs w:val="24"/>
        </w:rPr>
        <w:t xml:space="preserve">ryšių tinklų ir (arba) viešųjų elektroninių ryšių paslaugų teikėjui, elektroninės informacijos </w:t>
      </w:r>
      <w:proofErr w:type="spellStart"/>
      <w:r w:rsidR="00637EA7" w:rsidRPr="000629A7">
        <w:rPr>
          <w:szCs w:val="24"/>
        </w:rPr>
        <w:t>prieglobos</w:t>
      </w:r>
      <w:proofErr w:type="spellEnd"/>
      <w:r w:rsidR="00637EA7" w:rsidRPr="000629A7">
        <w:rPr>
          <w:szCs w:val="24"/>
        </w:rPr>
        <w:t xml:space="preserve"> paslaugų teikėjui ir skaitmeninių paslaugų teikėjui išsaugoti su jų teikiamomis paslaugomis susijusią informaciją, iš kurios galima nustatyti naudotos ryšio paslaugos tipą, taikytas technines priemones ir naudojimo laiką, paslaugos gavėjo tapatybę, pašto, geografinės padėties adresą, telefono ir bet kokį kitą prieigos numerį, informaciją apie sąskaitas ir atliktus mokėjimus paslaugos sutarties arba susitarimo pagrindu ir kitą informaciją ryšių aparatūros įrengimo vietoje, turimą pagal paslaugos sutartį arba susitarimą, šią informaciją gauti, o kai yra motyvuota teismo nutartis, gauti paslaugų gavėjo srauto duomenis ir kontroliuoti </w:t>
      </w:r>
      <w:r w:rsidR="00637EA7" w:rsidRPr="000629A7">
        <w:rPr>
          <w:bCs/>
          <w:color w:val="212121"/>
          <w:szCs w:val="24"/>
        </w:rPr>
        <w:t xml:space="preserve">šiame punkte nurodytos </w:t>
      </w:r>
      <w:r w:rsidR="00637EA7" w:rsidRPr="000629A7">
        <w:rPr>
          <w:szCs w:val="24"/>
        </w:rPr>
        <w:t>perduodamos informacijos turinį.</w:t>
      </w:r>
      <w:r w:rsidRPr="000629A7">
        <w:rPr>
          <w:szCs w:val="24"/>
        </w:rPr>
        <w:t>“</w:t>
      </w:r>
    </w:p>
    <w:p w14:paraId="397C7532" w14:textId="77777777" w:rsidR="001E1612" w:rsidRPr="000629A7" w:rsidRDefault="001E1612" w:rsidP="000629A7">
      <w:pPr>
        <w:ind w:firstLine="567"/>
        <w:jc w:val="both"/>
        <w:rPr>
          <w:szCs w:val="24"/>
        </w:rPr>
      </w:pPr>
    </w:p>
    <w:p w14:paraId="7843342F" w14:textId="64C39CAE" w:rsidR="00C54EA4" w:rsidRPr="000629A7" w:rsidRDefault="00C54EA4" w:rsidP="000629A7">
      <w:pPr>
        <w:ind w:firstLine="567"/>
        <w:jc w:val="both"/>
        <w:rPr>
          <w:b/>
          <w:szCs w:val="24"/>
        </w:rPr>
      </w:pPr>
      <w:r w:rsidRPr="000629A7">
        <w:rPr>
          <w:b/>
          <w:szCs w:val="24"/>
        </w:rPr>
        <w:t>4 straipsnis. 12 straipsnio pakeitimas</w:t>
      </w:r>
    </w:p>
    <w:p w14:paraId="11B33D8C" w14:textId="187CEDDF" w:rsidR="00C54EA4" w:rsidRPr="000629A7" w:rsidRDefault="00C54EA4" w:rsidP="000629A7">
      <w:pPr>
        <w:ind w:firstLine="567"/>
        <w:jc w:val="both"/>
        <w:rPr>
          <w:szCs w:val="24"/>
        </w:rPr>
      </w:pPr>
      <w:r w:rsidRPr="000629A7">
        <w:rPr>
          <w:szCs w:val="24"/>
        </w:rPr>
        <w:t>Pakeisti 12 straipsnio 3 dalį ir ją išdėstyti taip:</w:t>
      </w:r>
    </w:p>
    <w:p w14:paraId="34DC4EB5" w14:textId="14055955" w:rsidR="00121A5A" w:rsidRDefault="00C54EA4" w:rsidP="002C45E6">
      <w:pPr>
        <w:ind w:firstLine="567"/>
        <w:jc w:val="both"/>
        <w:rPr>
          <w:szCs w:val="24"/>
        </w:rPr>
      </w:pPr>
      <w:r w:rsidRPr="000629A7">
        <w:rPr>
          <w:szCs w:val="24"/>
        </w:rPr>
        <w:t xml:space="preserve">„3. Viešųjų </w:t>
      </w:r>
      <w:r w:rsidRPr="000629A7">
        <w:rPr>
          <w:b/>
          <w:bCs/>
          <w:szCs w:val="24"/>
        </w:rPr>
        <w:t>elektroninių</w:t>
      </w:r>
      <w:r w:rsidRPr="000629A7">
        <w:rPr>
          <w:szCs w:val="24"/>
        </w:rPr>
        <w:t xml:space="preserve"> ryšių tinklų ir (arba) viešųjų elektroninių ryšių paslaugų teikėjai viešai skelbia savo interneto svetainėse ar kitomis visuomenės informavimo priemonėmis paslaugų gavėjams rekomendacijas dėl priemonių kibernetiniam saugumui užtikrinti naudojantis viešųjų </w:t>
      </w:r>
      <w:r w:rsidRPr="000629A7">
        <w:rPr>
          <w:b/>
          <w:bCs/>
          <w:szCs w:val="24"/>
        </w:rPr>
        <w:t>elektroninių</w:t>
      </w:r>
      <w:r w:rsidRPr="000629A7">
        <w:rPr>
          <w:szCs w:val="24"/>
        </w:rPr>
        <w:t xml:space="preserve"> ryšių tinklų ir (arba) viešųjų elektroninių ryšių paslaugų teikėjų teikiamomis paslaugomis.“</w:t>
      </w:r>
    </w:p>
    <w:p w14:paraId="5974224F" w14:textId="77777777" w:rsidR="002C45E6" w:rsidRPr="000629A7" w:rsidRDefault="002C45E6" w:rsidP="000629A7">
      <w:pPr>
        <w:jc w:val="both"/>
        <w:rPr>
          <w:szCs w:val="24"/>
          <w:lang w:eastAsia="lt-LT"/>
        </w:rPr>
      </w:pPr>
    </w:p>
    <w:p w14:paraId="6C142629" w14:textId="2C40D35E" w:rsidR="00121A5A" w:rsidRPr="000629A7" w:rsidRDefault="00060CBE" w:rsidP="005E3737">
      <w:pPr>
        <w:ind w:firstLine="567"/>
        <w:jc w:val="both"/>
        <w:rPr>
          <w:b/>
          <w:szCs w:val="24"/>
        </w:rPr>
      </w:pPr>
      <w:r>
        <w:rPr>
          <w:b/>
          <w:szCs w:val="24"/>
          <w:lang w:val="en-US"/>
        </w:rPr>
        <w:t>5</w:t>
      </w:r>
      <w:r w:rsidR="00121A5A" w:rsidRPr="000629A7">
        <w:rPr>
          <w:b/>
          <w:szCs w:val="24"/>
        </w:rPr>
        <w:t xml:space="preserve"> straipsnis. Įstatymo priedo pakeitimas</w:t>
      </w:r>
    </w:p>
    <w:p w14:paraId="417461F6" w14:textId="7D47AE8F" w:rsidR="00121A5A" w:rsidRPr="000629A7" w:rsidRDefault="00121A5A" w:rsidP="005E3737">
      <w:pPr>
        <w:ind w:firstLine="567"/>
        <w:jc w:val="both"/>
        <w:rPr>
          <w:b/>
          <w:szCs w:val="24"/>
        </w:rPr>
      </w:pPr>
      <w:r w:rsidRPr="000629A7">
        <w:rPr>
          <w:bCs/>
          <w:szCs w:val="24"/>
        </w:rPr>
        <w:t xml:space="preserve">Pakeisti </w:t>
      </w:r>
      <w:r w:rsidRPr="000629A7">
        <w:rPr>
          <w:szCs w:val="24"/>
        </w:rPr>
        <w:t>Įstatymo priedą ir jį išdėstyti taip:</w:t>
      </w:r>
    </w:p>
    <w:p w14:paraId="2C95701E" w14:textId="2AB23FDB" w:rsidR="00176DF5" w:rsidRPr="000629A7" w:rsidRDefault="006761FC" w:rsidP="00121A5A">
      <w:pPr>
        <w:tabs>
          <w:tab w:val="left" w:pos="426"/>
          <w:tab w:val="left" w:pos="709"/>
          <w:tab w:val="left" w:pos="1276"/>
        </w:tabs>
        <w:ind w:firstLine="18"/>
        <w:jc w:val="both"/>
        <w:rPr>
          <w:szCs w:val="24"/>
        </w:rPr>
      </w:pPr>
      <w:r w:rsidRPr="000629A7">
        <w:rPr>
          <w:szCs w:val="24"/>
          <w:lang w:eastAsia="lt-LT"/>
        </w:rPr>
        <w:tab/>
      </w:r>
    </w:p>
    <w:p w14:paraId="6DBC1049" w14:textId="08F3D4B8" w:rsidR="00176DF5" w:rsidRPr="000629A7" w:rsidRDefault="00121A5A">
      <w:pPr>
        <w:widowControl w:val="0"/>
        <w:ind w:firstLine="5760"/>
        <w:jc w:val="both"/>
        <w:rPr>
          <w:szCs w:val="24"/>
        </w:rPr>
      </w:pPr>
      <w:r w:rsidRPr="000629A7">
        <w:rPr>
          <w:szCs w:val="24"/>
        </w:rPr>
        <w:t>„</w:t>
      </w:r>
      <w:r w:rsidR="001F1650" w:rsidRPr="000629A7">
        <w:rPr>
          <w:szCs w:val="24"/>
        </w:rPr>
        <w:t xml:space="preserve">Lietuvos Respublikos </w:t>
      </w:r>
    </w:p>
    <w:p w14:paraId="62C9A359" w14:textId="77777777" w:rsidR="00176DF5" w:rsidRPr="000629A7" w:rsidRDefault="001F1650">
      <w:pPr>
        <w:widowControl w:val="0"/>
        <w:ind w:firstLine="5760"/>
        <w:jc w:val="both"/>
        <w:rPr>
          <w:szCs w:val="24"/>
        </w:rPr>
      </w:pPr>
      <w:r w:rsidRPr="000629A7">
        <w:rPr>
          <w:szCs w:val="24"/>
        </w:rPr>
        <w:t>kibernetinio saugumo įstatymo</w:t>
      </w:r>
    </w:p>
    <w:p w14:paraId="6C8C7DA6" w14:textId="77777777" w:rsidR="00176DF5" w:rsidRPr="000629A7" w:rsidRDefault="001F1650">
      <w:pPr>
        <w:widowControl w:val="0"/>
        <w:ind w:firstLine="5760"/>
        <w:jc w:val="both"/>
        <w:rPr>
          <w:szCs w:val="24"/>
        </w:rPr>
      </w:pPr>
      <w:r w:rsidRPr="000629A7">
        <w:rPr>
          <w:szCs w:val="24"/>
        </w:rPr>
        <w:t>priedas</w:t>
      </w:r>
    </w:p>
    <w:p w14:paraId="64BD2DDB" w14:textId="77777777" w:rsidR="00176DF5" w:rsidRPr="000629A7" w:rsidRDefault="00176DF5">
      <w:pPr>
        <w:widowControl w:val="0"/>
        <w:ind w:firstLine="720"/>
        <w:jc w:val="both"/>
        <w:rPr>
          <w:szCs w:val="24"/>
        </w:rPr>
      </w:pPr>
    </w:p>
    <w:p w14:paraId="489521C5" w14:textId="77777777" w:rsidR="00176DF5" w:rsidRPr="000629A7" w:rsidRDefault="001F1650">
      <w:pPr>
        <w:widowControl w:val="0"/>
        <w:jc w:val="center"/>
        <w:rPr>
          <w:szCs w:val="24"/>
        </w:rPr>
      </w:pPr>
      <w:r w:rsidRPr="000629A7">
        <w:rPr>
          <w:szCs w:val="24"/>
        </w:rPr>
        <w:t>ĮGYVENDINAMI EUROPOS SĄJUNGOS TEISĖS AKTAI</w:t>
      </w:r>
    </w:p>
    <w:p w14:paraId="1C3D5C09" w14:textId="77777777" w:rsidR="00176DF5" w:rsidRPr="000629A7" w:rsidRDefault="00176DF5">
      <w:pPr>
        <w:widowControl w:val="0"/>
        <w:tabs>
          <w:tab w:val="left" w:pos="5835"/>
        </w:tabs>
        <w:ind w:firstLine="720"/>
        <w:jc w:val="both"/>
        <w:rPr>
          <w:bCs/>
          <w:szCs w:val="24"/>
          <w:lang w:eastAsia="lt-LT"/>
        </w:rPr>
      </w:pPr>
    </w:p>
    <w:p w14:paraId="79007419" w14:textId="77777777" w:rsidR="00176DF5" w:rsidRPr="000629A7" w:rsidRDefault="001F1650" w:rsidP="00003A6E">
      <w:pPr>
        <w:tabs>
          <w:tab w:val="right" w:pos="9356"/>
        </w:tabs>
        <w:ind w:firstLine="567"/>
        <w:jc w:val="both"/>
        <w:rPr>
          <w:szCs w:val="24"/>
        </w:rPr>
      </w:pPr>
      <w:r w:rsidRPr="000629A7">
        <w:rPr>
          <w:bCs/>
          <w:strike/>
          <w:szCs w:val="24"/>
        </w:rPr>
        <w:t xml:space="preserve">1. 2002 m. kovo 7 d. Europos Parlamento ir Tarybos direktyva 2002/21/EB dėl elektroninių ryšių tinklų ir paslaugų bendrosios reguliavimo sistemos (Pagrindų direktyva) (OL 2004 m. </w:t>
      </w:r>
      <w:r w:rsidRPr="000629A7">
        <w:rPr>
          <w:bCs/>
          <w:i/>
          <w:iCs/>
          <w:strike/>
          <w:szCs w:val="24"/>
        </w:rPr>
        <w:t>specialusis l</w:t>
      </w:r>
      <w:r w:rsidRPr="000629A7">
        <w:rPr>
          <w:bCs/>
          <w:i/>
          <w:strike/>
          <w:szCs w:val="24"/>
        </w:rPr>
        <w:t>eidimas</w:t>
      </w:r>
      <w:r w:rsidRPr="000629A7">
        <w:rPr>
          <w:bCs/>
          <w:strike/>
          <w:szCs w:val="24"/>
        </w:rPr>
        <w:t>, 13 skyrius, 29 tomas, p. 349) su paskutiniais pakeitimais, padarytais 2009 m. lapkričio 25 d. Europos Parlamento ir Tarybos direktyva 2009/140/EB (OL 2009 L 337, p. 37).</w:t>
      </w:r>
    </w:p>
    <w:p w14:paraId="2172D114" w14:textId="77777777" w:rsidR="00176DF5" w:rsidRPr="000629A7" w:rsidRDefault="001F1650" w:rsidP="00003A6E">
      <w:pPr>
        <w:tabs>
          <w:tab w:val="right" w:pos="9356"/>
        </w:tabs>
        <w:ind w:firstLine="567"/>
        <w:jc w:val="both"/>
        <w:rPr>
          <w:bCs/>
          <w:szCs w:val="24"/>
        </w:rPr>
      </w:pPr>
      <w:r w:rsidRPr="000629A7">
        <w:rPr>
          <w:bCs/>
          <w:strike/>
          <w:szCs w:val="24"/>
        </w:rPr>
        <w:t>2.</w:t>
      </w:r>
      <w:r w:rsidRPr="000629A7">
        <w:rPr>
          <w:bCs/>
          <w:szCs w:val="24"/>
        </w:rPr>
        <w:t xml:space="preserve"> </w:t>
      </w:r>
      <w:r w:rsidR="001D1426" w:rsidRPr="000629A7">
        <w:rPr>
          <w:b/>
          <w:bCs/>
          <w:szCs w:val="24"/>
        </w:rPr>
        <w:t xml:space="preserve">1. </w:t>
      </w:r>
      <w:r w:rsidRPr="000629A7">
        <w:rPr>
          <w:bCs/>
          <w:szCs w:val="24"/>
        </w:rPr>
        <w:t xml:space="preserve">2016 m. liepos 6 d. </w:t>
      </w:r>
      <w:r w:rsidRPr="000629A7">
        <w:rPr>
          <w:szCs w:val="24"/>
        </w:rPr>
        <w:t>Europos Parlamento ir Tarybos direktyva (ES) 2016/1148 dėl priemonių aukštam bendram tinklų ir informacinių sistemų saugumo lygiui visoje Sąjungoje užtikrinti</w:t>
      </w:r>
      <w:r w:rsidRPr="000629A7">
        <w:rPr>
          <w:bCs/>
          <w:szCs w:val="24"/>
        </w:rPr>
        <w:t xml:space="preserve"> </w:t>
      </w:r>
      <w:r w:rsidRPr="00B82163">
        <w:rPr>
          <w:bCs/>
          <w:strike/>
          <w:szCs w:val="24"/>
        </w:rPr>
        <w:t>(OL 2016 L 194, p. 1)</w:t>
      </w:r>
      <w:r w:rsidRPr="000629A7">
        <w:rPr>
          <w:bCs/>
          <w:szCs w:val="24"/>
        </w:rPr>
        <w:t>.</w:t>
      </w:r>
    </w:p>
    <w:p w14:paraId="4CCBB89E" w14:textId="21710BE9" w:rsidR="001D1426" w:rsidRPr="000629A7" w:rsidRDefault="001D1426" w:rsidP="00003A6E">
      <w:pPr>
        <w:tabs>
          <w:tab w:val="right" w:pos="9356"/>
        </w:tabs>
        <w:ind w:firstLine="567"/>
        <w:jc w:val="both"/>
        <w:rPr>
          <w:bCs/>
          <w:szCs w:val="24"/>
        </w:rPr>
      </w:pPr>
      <w:r w:rsidRPr="000629A7">
        <w:rPr>
          <w:b/>
          <w:bCs/>
          <w:szCs w:val="24"/>
        </w:rPr>
        <w:t xml:space="preserve">2. </w:t>
      </w:r>
      <w:r w:rsidR="009D3B37" w:rsidRPr="000629A7">
        <w:rPr>
          <w:b/>
          <w:szCs w:val="24"/>
        </w:rPr>
        <w:t>201</w:t>
      </w:r>
      <w:r w:rsidR="009D3B37" w:rsidRPr="000629A7">
        <w:rPr>
          <w:b/>
          <w:szCs w:val="24"/>
          <w:lang w:val="en-US"/>
        </w:rPr>
        <w:t>8</w:t>
      </w:r>
      <w:r w:rsidR="009D3B37" w:rsidRPr="000629A7">
        <w:rPr>
          <w:b/>
          <w:szCs w:val="24"/>
        </w:rPr>
        <w:t xml:space="preserve"> m. gruodžio 11 d. Europos Parlamento ir Tarybos direktyva (ES) 2018/1972, kuria nustatomas Europos elektroninių ryšių kodeksas (nauja redakcija).</w:t>
      </w:r>
      <w:r w:rsidR="00121A5A" w:rsidRPr="000629A7">
        <w:rPr>
          <w:bCs/>
          <w:szCs w:val="24"/>
        </w:rPr>
        <w:t>“</w:t>
      </w:r>
    </w:p>
    <w:p w14:paraId="3E7662C2" w14:textId="77777777" w:rsidR="00176DF5" w:rsidRPr="000629A7" w:rsidRDefault="00176DF5">
      <w:pPr>
        <w:jc w:val="both"/>
        <w:rPr>
          <w:szCs w:val="24"/>
        </w:rPr>
      </w:pPr>
    </w:p>
    <w:p w14:paraId="65DE5E84" w14:textId="08E2B40D" w:rsidR="00121A5A" w:rsidRPr="000629A7" w:rsidRDefault="003B7C07" w:rsidP="00121A5A">
      <w:pPr>
        <w:ind w:firstLine="567"/>
        <w:jc w:val="both"/>
        <w:rPr>
          <w:b/>
          <w:bCs/>
          <w:szCs w:val="24"/>
          <w:lang w:eastAsia="zh-CN"/>
        </w:rPr>
      </w:pPr>
      <w:r>
        <w:rPr>
          <w:b/>
          <w:bCs/>
          <w:szCs w:val="24"/>
          <w:lang w:eastAsia="zh-CN"/>
        </w:rPr>
        <w:t>6</w:t>
      </w:r>
      <w:r w:rsidR="00121A5A" w:rsidRPr="000629A7">
        <w:rPr>
          <w:b/>
          <w:bCs/>
          <w:szCs w:val="24"/>
          <w:lang w:eastAsia="zh-CN"/>
        </w:rPr>
        <w:t xml:space="preserve"> straipsnis. Įstatymo įsigaliojimas</w:t>
      </w:r>
    </w:p>
    <w:p w14:paraId="1EDCDECC" w14:textId="77777777" w:rsidR="00121A5A" w:rsidRPr="000629A7" w:rsidRDefault="00121A5A" w:rsidP="00121A5A">
      <w:pPr>
        <w:ind w:firstLine="567"/>
        <w:jc w:val="both"/>
        <w:rPr>
          <w:szCs w:val="24"/>
          <w:lang w:eastAsia="zh-CN"/>
        </w:rPr>
      </w:pPr>
      <w:bookmarkStart w:id="0" w:name="part_534f11073181460695f520f3b78cbd5f"/>
      <w:bookmarkEnd w:id="0"/>
      <w:r w:rsidRPr="000629A7">
        <w:rPr>
          <w:szCs w:val="24"/>
        </w:rPr>
        <w:t>Šis įstatymas įsigalioja 20</w:t>
      </w:r>
      <w:r w:rsidRPr="000629A7">
        <w:rPr>
          <w:szCs w:val="24"/>
          <w:lang w:val="en-US"/>
        </w:rPr>
        <w:t>20</w:t>
      </w:r>
      <w:r w:rsidRPr="000629A7">
        <w:rPr>
          <w:szCs w:val="24"/>
        </w:rPr>
        <w:t xml:space="preserve"> m. gruodžio </w:t>
      </w:r>
      <w:r w:rsidRPr="000629A7">
        <w:rPr>
          <w:szCs w:val="24"/>
          <w:lang w:val="en-US"/>
        </w:rPr>
        <w:t>21</w:t>
      </w:r>
      <w:r w:rsidRPr="000629A7">
        <w:rPr>
          <w:szCs w:val="24"/>
        </w:rPr>
        <w:t xml:space="preserve"> d.</w:t>
      </w:r>
    </w:p>
    <w:p w14:paraId="5EB792C1" w14:textId="77777777" w:rsidR="00176DF5" w:rsidRPr="000629A7" w:rsidRDefault="00176DF5">
      <w:pPr>
        <w:jc w:val="both"/>
        <w:rPr>
          <w:szCs w:val="24"/>
        </w:rPr>
      </w:pPr>
    </w:p>
    <w:p w14:paraId="1AFD7A71" w14:textId="77777777" w:rsidR="00121A5A" w:rsidRPr="000629A7" w:rsidRDefault="00121A5A" w:rsidP="00121A5A">
      <w:pPr>
        <w:ind w:firstLine="567"/>
        <w:jc w:val="both"/>
        <w:rPr>
          <w:i/>
          <w:szCs w:val="24"/>
          <w:lang w:eastAsia="lt-LT"/>
        </w:rPr>
      </w:pPr>
      <w:r w:rsidRPr="000629A7">
        <w:rPr>
          <w:i/>
          <w:szCs w:val="24"/>
          <w:lang w:eastAsia="lt-LT"/>
        </w:rPr>
        <w:t xml:space="preserve">Skelbiu šį Lietuvos Respublikos Seimo priimtą įstatymą. </w:t>
      </w:r>
    </w:p>
    <w:p w14:paraId="094F0264" w14:textId="77777777" w:rsidR="00121A5A" w:rsidRPr="000629A7" w:rsidRDefault="00121A5A" w:rsidP="00121A5A">
      <w:pPr>
        <w:jc w:val="both"/>
        <w:rPr>
          <w:szCs w:val="24"/>
          <w:lang w:eastAsia="lt-LT"/>
        </w:rPr>
      </w:pPr>
      <w:r w:rsidRPr="000629A7">
        <w:rPr>
          <w:szCs w:val="24"/>
          <w:lang w:eastAsia="lt-LT"/>
        </w:rPr>
        <w:t xml:space="preserve">            </w:t>
      </w:r>
    </w:p>
    <w:p w14:paraId="371B78CA" w14:textId="77777777" w:rsidR="00121A5A" w:rsidRPr="000629A7" w:rsidRDefault="00121A5A" w:rsidP="00121A5A">
      <w:pPr>
        <w:jc w:val="both"/>
        <w:rPr>
          <w:szCs w:val="24"/>
        </w:rPr>
      </w:pPr>
      <w:r w:rsidRPr="000629A7">
        <w:rPr>
          <w:szCs w:val="24"/>
          <w:lang w:eastAsia="lt-LT"/>
        </w:rPr>
        <w:t>Respublikos Prezidentas</w:t>
      </w:r>
    </w:p>
    <w:p w14:paraId="4385CDA1" w14:textId="7000A0EA" w:rsidR="00176DF5" w:rsidRPr="000629A7" w:rsidRDefault="00176DF5" w:rsidP="001D1426">
      <w:pPr>
        <w:widowControl w:val="0"/>
        <w:jc w:val="center"/>
        <w:rPr>
          <w:szCs w:val="24"/>
        </w:rPr>
      </w:pPr>
    </w:p>
    <w:sectPr w:rsidR="00176DF5" w:rsidRPr="000629A7" w:rsidSect="001D1426">
      <w:headerReference w:type="default" r:id="rId7"/>
      <w:pgSz w:w="11907" w:h="16840"/>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DF2B85" w14:textId="77777777" w:rsidR="00B4475E" w:rsidRDefault="00B4475E">
      <w:r>
        <w:separator/>
      </w:r>
    </w:p>
  </w:endnote>
  <w:endnote w:type="continuationSeparator" w:id="0">
    <w:p w14:paraId="7910CD4E" w14:textId="77777777" w:rsidR="00B4475E" w:rsidRDefault="00B44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FEFF2D" w14:textId="77777777" w:rsidR="00B4475E" w:rsidRDefault="00B4475E">
      <w:r>
        <w:rPr>
          <w:color w:val="000000"/>
        </w:rPr>
        <w:separator/>
      </w:r>
    </w:p>
  </w:footnote>
  <w:footnote w:type="continuationSeparator" w:id="0">
    <w:p w14:paraId="7778D473" w14:textId="77777777" w:rsidR="00B4475E" w:rsidRDefault="00B44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27271"/>
      <w:docPartObj>
        <w:docPartGallery w:val="Page Numbers (Top of Page)"/>
        <w:docPartUnique/>
      </w:docPartObj>
    </w:sdtPr>
    <w:sdtEndPr/>
    <w:sdtContent>
      <w:p w14:paraId="399B21FB" w14:textId="5CD1E95B" w:rsidR="005E3737" w:rsidRDefault="005E3737">
        <w:pPr>
          <w:pStyle w:val="Antrats"/>
          <w:jc w:val="center"/>
        </w:pPr>
        <w:r>
          <w:fldChar w:fldCharType="begin"/>
        </w:r>
        <w:r>
          <w:instrText>PAGE   \* MERGEFORMAT</w:instrText>
        </w:r>
        <w:r>
          <w:fldChar w:fldCharType="separate"/>
        </w:r>
        <w:r w:rsidR="008F3FBB">
          <w:rPr>
            <w:noProof/>
          </w:rPr>
          <w:t>2</w:t>
        </w:r>
        <w:r>
          <w:fldChar w:fldCharType="end"/>
        </w:r>
      </w:p>
    </w:sdtContent>
  </w:sdt>
  <w:p w14:paraId="0C7850B0" w14:textId="77777777" w:rsidR="005E3737" w:rsidRDefault="005E373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860F5"/>
    <w:multiLevelType w:val="hybridMultilevel"/>
    <w:tmpl w:val="19C61C5E"/>
    <w:lvl w:ilvl="0" w:tplc="85FEDBC2">
      <w:start w:val="3"/>
      <w:numFmt w:val="decimal"/>
      <w:lvlText w:val="%1"/>
      <w:lvlJc w:val="left"/>
      <w:pPr>
        <w:ind w:left="1083" w:hanging="360"/>
      </w:pPr>
      <w:rPr>
        <w:rFonts w:hint="default"/>
      </w:rPr>
    </w:lvl>
    <w:lvl w:ilvl="1" w:tplc="04270019" w:tentative="1">
      <w:start w:val="1"/>
      <w:numFmt w:val="lowerLetter"/>
      <w:lvlText w:val="%2."/>
      <w:lvlJc w:val="left"/>
      <w:pPr>
        <w:ind w:left="1803" w:hanging="360"/>
      </w:pPr>
    </w:lvl>
    <w:lvl w:ilvl="2" w:tplc="0427001B" w:tentative="1">
      <w:start w:val="1"/>
      <w:numFmt w:val="lowerRoman"/>
      <w:lvlText w:val="%3."/>
      <w:lvlJc w:val="right"/>
      <w:pPr>
        <w:ind w:left="2523" w:hanging="180"/>
      </w:pPr>
    </w:lvl>
    <w:lvl w:ilvl="3" w:tplc="0427000F" w:tentative="1">
      <w:start w:val="1"/>
      <w:numFmt w:val="decimal"/>
      <w:lvlText w:val="%4."/>
      <w:lvlJc w:val="left"/>
      <w:pPr>
        <w:ind w:left="3243" w:hanging="360"/>
      </w:pPr>
    </w:lvl>
    <w:lvl w:ilvl="4" w:tplc="04270019" w:tentative="1">
      <w:start w:val="1"/>
      <w:numFmt w:val="lowerLetter"/>
      <w:lvlText w:val="%5."/>
      <w:lvlJc w:val="left"/>
      <w:pPr>
        <w:ind w:left="3963" w:hanging="360"/>
      </w:pPr>
    </w:lvl>
    <w:lvl w:ilvl="5" w:tplc="0427001B" w:tentative="1">
      <w:start w:val="1"/>
      <w:numFmt w:val="lowerRoman"/>
      <w:lvlText w:val="%6."/>
      <w:lvlJc w:val="right"/>
      <w:pPr>
        <w:ind w:left="4683" w:hanging="180"/>
      </w:pPr>
    </w:lvl>
    <w:lvl w:ilvl="6" w:tplc="0427000F" w:tentative="1">
      <w:start w:val="1"/>
      <w:numFmt w:val="decimal"/>
      <w:lvlText w:val="%7."/>
      <w:lvlJc w:val="left"/>
      <w:pPr>
        <w:ind w:left="5403" w:hanging="360"/>
      </w:pPr>
    </w:lvl>
    <w:lvl w:ilvl="7" w:tplc="04270019" w:tentative="1">
      <w:start w:val="1"/>
      <w:numFmt w:val="lowerLetter"/>
      <w:lvlText w:val="%8."/>
      <w:lvlJc w:val="left"/>
      <w:pPr>
        <w:ind w:left="6123" w:hanging="360"/>
      </w:pPr>
    </w:lvl>
    <w:lvl w:ilvl="8" w:tplc="0427001B" w:tentative="1">
      <w:start w:val="1"/>
      <w:numFmt w:val="lowerRoman"/>
      <w:lvlText w:val="%9."/>
      <w:lvlJc w:val="right"/>
      <w:pPr>
        <w:ind w:left="6843" w:hanging="180"/>
      </w:pPr>
    </w:lvl>
  </w:abstractNum>
  <w:abstractNum w:abstractNumId="1" w15:restartNumberingAfterBreak="0">
    <w:nsid w:val="0A2027F7"/>
    <w:multiLevelType w:val="hybridMultilevel"/>
    <w:tmpl w:val="89CE318A"/>
    <w:lvl w:ilvl="0" w:tplc="E63079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DF5"/>
    <w:rsid w:val="00003A6E"/>
    <w:rsid w:val="00011405"/>
    <w:rsid w:val="00036827"/>
    <w:rsid w:val="00046764"/>
    <w:rsid w:val="00060CBE"/>
    <w:rsid w:val="000629A7"/>
    <w:rsid w:val="00087528"/>
    <w:rsid w:val="00121A5A"/>
    <w:rsid w:val="001222DC"/>
    <w:rsid w:val="00176DF5"/>
    <w:rsid w:val="00193848"/>
    <w:rsid w:val="001A134A"/>
    <w:rsid w:val="001D1426"/>
    <w:rsid w:val="001E1612"/>
    <w:rsid w:val="001F1650"/>
    <w:rsid w:val="002354F0"/>
    <w:rsid w:val="00242F9C"/>
    <w:rsid w:val="002810A7"/>
    <w:rsid w:val="00296A83"/>
    <w:rsid w:val="002C45E6"/>
    <w:rsid w:val="002C5C7E"/>
    <w:rsid w:val="002E70C6"/>
    <w:rsid w:val="003005F9"/>
    <w:rsid w:val="0032634E"/>
    <w:rsid w:val="00355790"/>
    <w:rsid w:val="003B20D1"/>
    <w:rsid w:val="003B7C07"/>
    <w:rsid w:val="003E5F87"/>
    <w:rsid w:val="003E7513"/>
    <w:rsid w:val="00402DE8"/>
    <w:rsid w:val="00433D8E"/>
    <w:rsid w:val="0045591C"/>
    <w:rsid w:val="004F4D44"/>
    <w:rsid w:val="00531CB2"/>
    <w:rsid w:val="005E140E"/>
    <w:rsid w:val="005E3737"/>
    <w:rsid w:val="00637EA7"/>
    <w:rsid w:val="006761FC"/>
    <w:rsid w:val="006A5E83"/>
    <w:rsid w:val="00707164"/>
    <w:rsid w:val="00720178"/>
    <w:rsid w:val="00755A37"/>
    <w:rsid w:val="007E38F8"/>
    <w:rsid w:val="00870FDA"/>
    <w:rsid w:val="008D2ECD"/>
    <w:rsid w:val="008E17FA"/>
    <w:rsid w:val="008F3FBB"/>
    <w:rsid w:val="0091411C"/>
    <w:rsid w:val="00935CF3"/>
    <w:rsid w:val="009707C8"/>
    <w:rsid w:val="009A186C"/>
    <w:rsid w:val="009D3B37"/>
    <w:rsid w:val="00A30AD2"/>
    <w:rsid w:val="00A30E2E"/>
    <w:rsid w:val="00B4475E"/>
    <w:rsid w:val="00B6529C"/>
    <w:rsid w:val="00B82163"/>
    <w:rsid w:val="00BB2698"/>
    <w:rsid w:val="00BE0B43"/>
    <w:rsid w:val="00C2536E"/>
    <w:rsid w:val="00C54EA4"/>
    <w:rsid w:val="00D46072"/>
    <w:rsid w:val="00D515E7"/>
    <w:rsid w:val="00D82E0F"/>
    <w:rsid w:val="00DA40AD"/>
    <w:rsid w:val="00E16B41"/>
    <w:rsid w:val="00E54FDC"/>
    <w:rsid w:val="00EE607F"/>
    <w:rsid w:val="00F1578C"/>
    <w:rsid w:val="00F60997"/>
    <w:rsid w:val="00F64839"/>
    <w:rsid w:val="00FD2708"/>
    <w:rsid w:val="00FE4E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0F20D"/>
  <w15:docId w15:val="{0738971C-9866-44F7-A2D5-5E97D0F0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rPr>
      <w:rFonts w:ascii="Tahoma" w:hAnsi="Tahoma" w:cs="Tahoma"/>
      <w:sz w:val="16"/>
      <w:szCs w:val="16"/>
    </w:rPr>
  </w:style>
  <w:style w:type="character" w:customStyle="1" w:styleId="BalloonTextChar">
    <w:name w:val="Balloon Text Char"/>
    <w:basedOn w:val="Numatytasispastraiposriftas"/>
    <w:rPr>
      <w:rFonts w:ascii="Tahoma" w:hAnsi="Tahoma" w:cs="Tahoma"/>
      <w:sz w:val="16"/>
      <w:szCs w:val="16"/>
    </w:rPr>
  </w:style>
  <w:style w:type="character" w:styleId="Komentaronuoroda">
    <w:name w:val="annotation reference"/>
    <w:basedOn w:val="Numatytasispastraiposriftas"/>
    <w:uiPriority w:val="99"/>
    <w:semiHidden/>
    <w:unhideWhenUsed/>
    <w:rsid w:val="002C5C7E"/>
    <w:rPr>
      <w:sz w:val="16"/>
      <w:szCs w:val="16"/>
    </w:rPr>
  </w:style>
  <w:style w:type="paragraph" w:styleId="Komentarotekstas">
    <w:name w:val="annotation text"/>
    <w:basedOn w:val="prastasis"/>
    <w:link w:val="KomentarotekstasDiagrama"/>
    <w:uiPriority w:val="99"/>
    <w:unhideWhenUsed/>
    <w:rsid w:val="002C5C7E"/>
    <w:rPr>
      <w:sz w:val="20"/>
    </w:rPr>
  </w:style>
  <w:style w:type="character" w:customStyle="1" w:styleId="KomentarotekstasDiagrama">
    <w:name w:val="Komentaro tekstas Diagrama"/>
    <w:basedOn w:val="Numatytasispastraiposriftas"/>
    <w:link w:val="Komentarotekstas"/>
    <w:uiPriority w:val="99"/>
    <w:rsid w:val="002C5C7E"/>
    <w:rPr>
      <w:sz w:val="20"/>
    </w:rPr>
  </w:style>
  <w:style w:type="paragraph" w:styleId="Komentarotema">
    <w:name w:val="annotation subject"/>
    <w:basedOn w:val="Komentarotekstas"/>
    <w:next w:val="Komentarotekstas"/>
    <w:link w:val="KomentarotemaDiagrama"/>
    <w:uiPriority w:val="99"/>
    <w:semiHidden/>
    <w:unhideWhenUsed/>
    <w:rsid w:val="002C5C7E"/>
    <w:rPr>
      <w:b/>
      <w:bCs/>
    </w:rPr>
  </w:style>
  <w:style w:type="character" w:customStyle="1" w:styleId="KomentarotemaDiagrama">
    <w:name w:val="Komentaro tema Diagrama"/>
    <w:basedOn w:val="KomentarotekstasDiagrama"/>
    <w:link w:val="Komentarotema"/>
    <w:uiPriority w:val="99"/>
    <w:semiHidden/>
    <w:rsid w:val="002C5C7E"/>
    <w:rPr>
      <w:b/>
      <w:bCs/>
      <w:sz w:val="20"/>
    </w:rPr>
  </w:style>
  <w:style w:type="paragraph" w:customStyle="1" w:styleId="ISTATYMAS">
    <w:name w:val="ISTATYMAS"/>
    <w:rsid w:val="00121A5A"/>
    <w:pPr>
      <w:suppressAutoHyphens/>
      <w:jc w:val="center"/>
    </w:pPr>
    <w:rPr>
      <w:rFonts w:ascii="TimesLT" w:hAnsi="TimesLT"/>
      <w:sz w:val="20"/>
      <w:lang w:val="en-US"/>
    </w:rPr>
  </w:style>
  <w:style w:type="paragraph" w:styleId="Sraopastraipa">
    <w:name w:val="List Paragraph"/>
    <w:basedOn w:val="prastasis"/>
    <w:uiPriority w:val="34"/>
    <w:qFormat/>
    <w:rsid w:val="005E140E"/>
    <w:pPr>
      <w:ind w:left="720"/>
      <w:contextualSpacing/>
    </w:pPr>
  </w:style>
  <w:style w:type="paragraph" w:styleId="Antrats">
    <w:name w:val="header"/>
    <w:basedOn w:val="prastasis"/>
    <w:link w:val="AntratsDiagrama"/>
    <w:uiPriority w:val="99"/>
    <w:unhideWhenUsed/>
    <w:rsid w:val="005E3737"/>
    <w:pPr>
      <w:tabs>
        <w:tab w:val="center" w:pos="4819"/>
        <w:tab w:val="right" w:pos="9638"/>
      </w:tabs>
    </w:pPr>
  </w:style>
  <w:style w:type="character" w:customStyle="1" w:styleId="AntratsDiagrama">
    <w:name w:val="Antraštės Diagrama"/>
    <w:basedOn w:val="Numatytasispastraiposriftas"/>
    <w:link w:val="Antrats"/>
    <w:uiPriority w:val="99"/>
    <w:rsid w:val="005E3737"/>
  </w:style>
  <w:style w:type="paragraph" w:styleId="Porat">
    <w:name w:val="footer"/>
    <w:basedOn w:val="prastasis"/>
    <w:link w:val="PoratDiagrama"/>
    <w:uiPriority w:val="99"/>
    <w:unhideWhenUsed/>
    <w:rsid w:val="005E3737"/>
    <w:pPr>
      <w:tabs>
        <w:tab w:val="center" w:pos="4819"/>
        <w:tab w:val="right" w:pos="9638"/>
      </w:tabs>
    </w:pPr>
  </w:style>
  <w:style w:type="character" w:customStyle="1" w:styleId="PoratDiagrama">
    <w:name w:val="Poraštė Diagrama"/>
    <w:basedOn w:val="Numatytasispastraiposriftas"/>
    <w:link w:val="Porat"/>
    <w:uiPriority w:val="99"/>
    <w:rsid w:val="005E3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3634</Words>
  <Characters>2072</Characters>
  <Application>Microsoft Office Word</Application>
  <DocSecurity>4</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2020-11-06T13:50:00Z</dcterms:created>
  <dc:creator>rrt@rrt.lt</dc:creator>
  <cp:lastModifiedBy>Jonas Bazys</cp:lastModifiedBy>
  <cp:lastPrinted>2019-08-26T13:16:00Z</cp:lastPrinted>
  <dcterms:modified xsi:type="dcterms:W3CDTF">2020-11-06T13:50:00Z</dcterms:modified>
  <cp:revision>2</cp:revision>
</cp:coreProperties>
</file>