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XSpec="right" w:tblpY="23"/>
        <w:tblW w:w="407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</w:tblGrid>
      <w:tr w:rsidR="003F602E" w:rsidRPr="00A336F8" w14:paraId="20444134" w14:textId="1318DD2B" w:rsidTr="00A336F8">
        <w:trPr>
          <w:cantSplit/>
          <w:trHeight w:val="340"/>
        </w:trPr>
        <w:tc>
          <w:tcPr>
            <w:tcW w:w="1809" w:type="dxa"/>
          </w:tcPr>
          <w:p w14:paraId="756E3716" w14:textId="7828B10C" w:rsidR="003F602E" w:rsidRPr="00A336F8" w:rsidRDefault="00E76BD0" w:rsidP="00C81552">
            <w:pPr>
              <w:spacing w:after="0"/>
            </w:pPr>
            <w:r w:rsidRPr="00A336F8">
              <w:t xml:space="preserve"> </w:t>
            </w:r>
            <w:r w:rsidR="00A336F8">
              <w:t xml:space="preserve"> </w:t>
            </w:r>
            <w:r w:rsidR="003F602E" w:rsidRPr="00A336F8">
              <w:t>2021-</w:t>
            </w:r>
            <w:r w:rsidR="00C255DA" w:rsidRPr="00A336F8">
              <w:t>10</w:t>
            </w:r>
            <w:r w:rsidR="003F602E" w:rsidRPr="00A336F8">
              <w:t xml:space="preserve">-   </w:t>
            </w:r>
          </w:p>
        </w:tc>
        <w:tc>
          <w:tcPr>
            <w:tcW w:w="2268" w:type="dxa"/>
          </w:tcPr>
          <w:p w14:paraId="3BE9731E" w14:textId="380F220F" w:rsidR="003F602E" w:rsidRPr="00A336F8" w:rsidRDefault="003F602E" w:rsidP="008829DE">
            <w:pPr>
              <w:spacing w:after="0"/>
              <w:ind w:left="-100"/>
            </w:pPr>
            <w:r w:rsidRPr="00A336F8">
              <w:t xml:space="preserve">Nr. </w:t>
            </w:r>
          </w:p>
        </w:tc>
      </w:tr>
      <w:tr w:rsidR="003F602E" w:rsidRPr="00A336F8" w14:paraId="3A0F58EE" w14:textId="6212C0E1" w:rsidTr="00A336F8">
        <w:trPr>
          <w:cantSplit/>
          <w:trHeight w:val="340"/>
        </w:trPr>
        <w:tc>
          <w:tcPr>
            <w:tcW w:w="1809" w:type="dxa"/>
          </w:tcPr>
          <w:p w14:paraId="11064EF2" w14:textId="7DF466E0" w:rsidR="003F602E" w:rsidRPr="00A336F8" w:rsidRDefault="00AC40E7" w:rsidP="00A336F8">
            <w:pPr>
              <w:spacing w:after="0"/>
              <w:ind w:right="202"/>
            </w:pPr>
            <w:r w:rsidRPr="00A336F8">
              <w:t>Į 2021-</w:t>
            </w:r>
            <w:r w:rsidR="00C255DA" w:rsidRPr="00A336F8">
              <w:t>10</w:t>
            </w:r>
            <w:r w:rsidR="003F602E" w:rsidRPr="00A336F8">
              <w:t>-</w:t>
            </w:r>
            <w:r w:rsidR="00A336F8" w:rsidRPr="00A336F8">
              <w:t>05</w:t>
            </w:r>
          </w:p>
        </w:tc>
        <w:tc>
          <w:tcPr>
            <w:tcW w:w="2268" w:type="dxa"/>
          </w:tcPr>
          <w:p w14:paraId="047E630A" w14:textId="10B47106" w:rsidR="003F602E" w:rsidRPr="00A336F8" w:rsidRDefault="003F602E" w:rsidP="008829DE">
            <w:pPr>
              <w:spacing w:after="0"/>
              <w:ind w:left="-100"/>
            </w:pPr>
            <w:r w:rsidRPr="00A336F8">
              <w:t xml:space="preserve">Nr. </w:t>
            </w:r>
            <w:r w:rsidR="00A336F8" w:rsidRPr="00A336F8">
              <w:rPr>
                <w:color w:val="000000"/>
                <w:shd w:val="clear" w:color="auto" w:fill="FFFFFF"/>
              </w:rPr>
              <w:t>2D-2757(16.14 E)</w:t>
            </w:r>
          </w:p>
        </w:tc>
      </w:tr>
    </w:tbl>
    <w:p w14:paraId="79D37315" w14:textId="77777777" w:rsidR="00071C6B" w:rsidRPr="00A336F8" w:rsidRDefault="00510822">
      <w:pPr>
        <w:pStyle w:val="Adresas"/>
      </w:pPr>
      <w:r w:rsidRPr="00A336F8">
        <w:t>Lietuvos Respublikos žemės ūkio ministerijai</w:t>
      </w:r>
    </w:p>
    <w:p w14:paraId="3FF2D78D" w14:textId="77777777" w:rsidR="00071C6B" w:rsidRDefault="00071C6B">
      <w:pPr>
        <w:pStyle w:val="Adresas"/>
      </w:pPr>
    </w:p>
    <w:p w14:paraId="62441DDA" w14:textId="77777777" w:rsidR="00071C6B" w:rsidRDefault="00071C6B">
      <w:pPr>
        <w:pStyle w:val="Adresas"/>
      </w:pPr>
    </w:p>
    <w:p w14:paraId="6A3A2808" w14:textId="571652F8" w:rsidR="00071C6B" w:rsidRDefault="00510822">
      <w:pPr>
        <w:spacing w:line="276" w:lineRule="auto"/>
        <w:jc w:val="both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8829DE">
        <w:rPr>
          <w:b/>
          <w:bCs/>
          <w:caps/>
        </w:rPr>
        <w:t>TEISĖS AKTO PROJEKTo</w:t>
      </w:r>
      <w:r>
        <w:rPr>
          <w:b/>
          <w:bCs/>
          <w:caps/>
        </w:rPr>
        <w:t xml:space="preserve"> </w:t>
      </w:r>
    </w:p>
    <w:p w14:paraId="541EB410" w14:textId="77777777" w:rsidR="00071C6B" w:rsidRDefault="00071C6B">
      <w:pPr>
        <w:spacing w:line="360" w:lineRule="auto"/>
        <w:ind w:firstLine="720"/>
        <w:jc w:val="both"/>
      </w:pPr>
    </w:p>
    <w:p w14:paraId="0C093DB9" w14:textId="6FA8270A" w:rsidR="00056485" w:rsidRDefault="005B2698" w:rsidP="005B2698">
      <w:pPr>
        <w:spacing w:after="0" w:line="360" w:lineRule="auto"/>
        <w:jc w:val="both"/>
        <w:rPr>
          <w:color w:val="000000"/>
        </w:rPr>
      </w:pPr>
      <w:r>
        <w:tab/>
        <w:t>L</w:t>
      </w:r>
      <w:r w:rsidR="00510822" w:rsidRPr="00AC40E7">
        <w:t>ietuvos Respublikos teisingumo ministerija</w:t>
      </w:r>
      <w:r>
        <w:t xml:space="preserve"> susipažin</w:t>
      </w:r>
      <w:r w:rsidR="00A336F8">
        <w:t>usi</w:t>
      </w:r>
      <w:r>
        <w:t xml:space="preserve"> su </w:t>
      </w:r>
      <w:r w:rsidR="00A336F8">
        <w:t xml:space="preserve">pakartotinai </w:t>
      </w:r>
      <w:r w:rsidR="00510822" w:rsidRPr="00AC40E7">
        <w:t>derinimui pateikt</w:t>
      </w:r>
      <w:r>
        <w:t>u</w:t>
      </w:r>
      <w:r w:rsidR="00725F95">
        <w:t xml:space="preserve"> </w:t>
      </w:r>
      <w:hyperlink r:id="rId12" w:history="1">
        <w:r w:rsidR="00C255DA" w:rsidRPr="00C255DA">
          <w:rPr>
            <w:rStyle w:val="Hipersaitas"/>
            <w:bCs/>
            <w:lang w:eastAsia="lt-LT"/>
          </w:rPr>
          <w:t xml:space="preserve">Lietuvos Respublikos Vyriausybės </w:t>
        </w:r>
        <w:r w:rsidR="00C255DA" w:rsidRPr="00C255DA">
          <w:rPr>
            <w:rStyle w:val="Hipersaitas"/>
            <w:lang w:eastAsia="lt-LT"/>
          </w:rPr>
          <w:t xml:space="preserve">nutarimo </w:t>
        </w:r>
        <w:bookmarkStart w:id="0" w:name="_Hlk83911077"/>
        <w:r w:rsidR="00C255DA" w:rsidRPr="00C255DA">
          <w:rPr>
            <w:rStyle w:val="Hipersaitas"/>
            <w:lang w:eastAsia="lt-LT"/>
          </w:rPr>
          <w:t>„D</w:t>
        </w:r>
        <w:r w:rsidR="00C255DA" w:rsidRPr="00C255DA">
          <w:rPr>
            <w:rStyle w:val="Hipersaitas"/>
            <w:rFonts w:hint="eastAsia"/>
            <w:lang w:eastAsia="lt-LT"/>
          </w:rPr>
          <w:t>ė</w:t>
        </w:r>
        <w:r w:rsidR="00C255DA" w:rsidRPr="00C255DA">
          <w:rPr>
            <w:rStyle w:val="Hipersaitas"/>
            <w:lang w:eastAsia="lt-LT"/>
          </w:rPr>
          <w:t>l Lietuvos Respublikos Vyriausyb</w:t>
        </w:r>
        <w:r w:rsidR="00C255DA" w:rsidRPr="00C255DA">
          <w:rPr>
            <w:rStyle w:val="Hipersaitas"/>
            <w:rFonts w:hint="eastAsia"/>
            <w:lang w:eastAsia="lt-LT"/>
          </w:rPr>
          <w:t>ė</w:t>
        </w:r>
        <w:r w:rsidR="00C255DA" w:rsidRPr="00C255DA">
          <w:rPr>
            <w:rStyle w:val="Hipersaitas"/>
            <w:lang w:eastAsia="lt-LT"/>
          </w:rPr>
          <w:t>s 2021 m. rugs</w:t>
        </w:r>
        <w:r w:rsidR="00C255DA" w:rsidRPr="00C255DA">
          <w:rPr>
            <w:rStyle w:val="Hipersaitas"/>
            <w:rFonts w:hint="eastAsia"/>
            <w:lang w:eastAsia="lt-LT"/>
          </w:rPr>
          <w:t>ė</w:t>
        </w:r>
        <w:r w:rsidR="00C255DA" w:rsidRPr="00C255DA">
          <w:rPr>
            <w:rStyle w:val="Hipersaitas"/>
            <w:lang w:eastAsia="lt-LT"/>
          </w:rPr>
          <w:t>jo 8 d. nutarimo Nr. 721 „D</w:t>
        </w:r>
        <w:r w:rsidR="00C255DA" w:rsidRPr="00C255DA">
          <w:rPr>
            <w:rStyle w:val="Hipersaitas"/>
            <w:rFonts w:hint="eastAsia"/>
            <w:lang w:eastAsia="lt-LT"/>
          </w:rPr>
          <w:t>ė</w:t>
        </w:r>
        <w:r w:rsidR="00C255DA" w:rsidRPr="00C255DA">
          <w:rPr>
            <w:rStyle w:val="Hipersaitas"/>
            <w:lang w:eastAsia="lt-LT"/>
          </w:rPr>
          <w:t xml:space="preserve">l </w:t>
        </w:r>
        <w:r w:rsidR="00C255DA" w:rsidRPr="00C255DA">
          <w:rPr>
            <w:rStyle w:val="Hipersaitas"/>
            <w:rFonts w:hint="eastAsia"/>
            <w:lang w:eastAsia="lt-LT"/>
          </w:rPr>
          <w:t>į</w:t>
        </w:r>
        <w:r w:rsidR="00C255DA" w:rsidRPr="00C255DA">
          <w:rPr>
            <w:rStyle w:val="Hipersaitas"/>
            <w:lang w:eastAsia="lt-LT"/>
          </w:rPr>
          <w:t>galiojim</w:t>
        </w:r>
        <w:r w:rsidR="00C255DA" w:rsidRPr="00C255DA">
          <w:rPr>
            <w:rStyle w:val="Hipersaitas"/>
            <w:rFonts w:hint="eastAsia"/>
            <w:lang w:eastAsia="lt-LT"/>
          </w:rPr>
          <w:t>ų</w:t>
        </w:r>
        <w:r w:rsidR="00C255DA" w:rsidRPr="00C255DA">
          <w:rPr>
            <w:rStyle w:val="Hipersaitas"/>
            <w:lang w:eastAsia="lt-LT"/>
          </w:rPr>
          <w:t xml:space="preserve"> suteikimo </w:t>
        </w:r>
        <w:r w:rsidR="00C255DA" w:rsidRPr="00C255DA">
          <w:rPr>
            <w:rStyle w:val="Hipersaitas"/>
            <w:rFonts w:hint="eastAsia"/>
            <w:lang w:eastAsia="lt-LT"/>
          </w:rPr>
          <w:t>į</w:t>
        </w:r>
        <w:r w:rsidR="00C255DA" w:rsidRPr="00C255DA">
          <w:rPr>
            <w:rStyle w:val="Hipersaitas"/>
            <w:lang w:eastAsia="lt-LT"/>
          </w:rPr>
          <w:t>gyvendinant Lietuvos Respublikos nes</w:t>
        </w:r>
        <w:r w:rsidR="00C255DA" w:rsidRPr="00C255DA">
          <w:rPr>
            <w:rStyle w:val="Hipersaitas"/>
            <w:rFonts w:hint="eastAsia"/>
            <w:lang w:eastAsia="lt-LT"/>
          </w:rPr>
          <w:t>ąž</w:t>
        </w:r>
        <w:r w:rsidR="00C255DA" w:rsidRPr="00C255DA">
          <w:rPr>
            <w:rStyle w:val="Hipersaitas"/>
            <w:lang w:eastAsia="lt-LT"/>
          </w:rPr>
          <w:t>iningos prekybos praktikos žem</w:t>
        </w:r>
        <w:r w:rsidR="00C255DA" w:rsidRPr="00C255DA">
          <w:rPr>
            <w:rStyle w:val="Hipersaitas"/>
            <w:rFonts w:hint="eastAsia"/>
            <w:lang w:eastAsia="lt-LT"/>
          </w:rPr>
          <w:t>ė</w:t>
        </w:r>
        <w:r w:rsidR="00C255DA" w:rsidRPr="00C255DA">
          <w:rPr>
            <w:rStyle w:val="Hipersaitas"/>
            <w:lang w:eastAsia="lt-LT"/>
          </w:rPr>
          <w:t xml:space="preserve">s </w:t>
        </w:r>
        <w:r w:rsidR="00C255DA" w:rsidRPr="00C255DA">
          <w:rPr>
            <w:rStyle w:val="Hipersaitas"/>
            <w:rFonts w:hint="eastAsia"/>
            <w:lang w:eastAsia="lt-LT"/>
          </w:rPr>
          <w:t>ū</w:t>
        </w:r>
        <w:r w:rsidR="00C255DA" w:rsidRPr="00C255DA">
          <w:rPr>
            <w:rStyle w:val="Hipersaitas"/>
            <w:lang w:eastAsia="lt-LT"/>
          </w:rPr>
          <w:t>kio ir maisto produkt</w:t>
        </w:r>
        <w:r w:rsidR="00C255DA" w:rsidRPr="00C255DA">
          <w:rPr>
            <w:rStyle w:val="Hipersaitas"/>
            <w:rFonts w:hint="eastAsia"/>
            <w:lang w:eastAsia="lt-LT"/>
          </w:rPr>
          <w:t>ų</w:t>
        </w:r>
        <w:r w:rsidR="00C255DA" w:rsidRPr="00C255DA">
          <w:rPr>
            <w:rStyle w:val="Hipersaitas"/>
            <w:lang w:eastAsia="lt-LT"/>
          </w:rPr>
          <w:t xml:space="preserve"> tiekimo grandin</w:t>
        </w:r>
        <w:r w:rsidR="00C255DA" w:rsidRPr="00C255DA">
          <w:rPr>
            <w:rStyle w:val="Hipersaitas"/>
            <w:rFonts w:hint="eastAsia"/>
            <w:lang w:eastAsia="lt-LT"/>
          </w:rPr>
          <w:t>ė</w:t>
        </w:r>
        <w:r w:rsidR="00C255DA" w:rsidRPr="00C255DA">
          <w:rPr>
            <w:rStyle w:val="Hipersaitas"/>
            <w:lang w:eastAsia="lt-LT"/>
          </w:rPr>
          <w:t xml:space="preserve">je draudimo </w:t>
        </w:r>
        <w:r w:rsidR="00C255DA" w:rsidRPr="00C255DA">
          <w:rPr>
            <w:rStyle w:val="Hipersaitas"/>
            <w:rFonts w:hint="eastAsia"/>
            <w:lang w:eastAsia="lt-LT"/>
          </w:rPr>
          <w:t>į</w:t>
        </w:r>
        <w:r w:rsidR="00C255DA" w:rsidRPr="00C255DA">
          <w:rPr>
            <w:rStyle w:val="Hipersaitas"/>
            <w:lang w:eastAsia="lt-LT"/>
          </w:rPr>
          <w:t>statym</w:t>
        </w:r>
        <w:r w:rsidR="00C255DA" w:rsidRPr="00C255DA">
          <w:rPr>
            <w:rStyle w:val="Hipersaitas"/>
            <w:rFonts w:hint="eastAsia"/>
            <w:lang w:eastAsia="lt-LT"/>
          </w:rPr>
          <w:t>ą“</w:t>
        </w:r>
        <w:r w:rsidR="00C255DA" w:rsidRPr="00C255DA">
          <w:rPr>
            <w:rStyle w:val="Hipersaitas"/>
            <w:lang w:eastAsia="lt-LT"/>
          </w:rPr>
          <w:t xml:space="preserve"> pakeitimo“</w:t>
        </w:r>
        <w:bookmarkEnd w:id="0"/>
      </w:hyperlink>
      <w:r w:rsidR="00C255DA">
        <w:rPr>
          <w:color w:val="000000"/>
          <w:lang w:eastAsia="lt-LT"/>
        </w:rPr>
        <w:t xml:space="preserve"> </w:t>
      </w:r>
      <w:r w:rsidR="00C255DA" w:rsidRPr="00273F96">
        <w:rPr>
          <w:bCs/>
          <w:color w:val="000000"/>
          <w:lang w:eastAsia="lt-LT"/>
        </w:rPr>
        <w:t>projekt</w:t>
      </w:r>
      <w:r w:rsidR="00A336F8">
        <w:rPr>
          <w:bCs/>
          <w:color w:val="000000"/>
          <w:lang w:eastAsia="lt-LT"/>
        </w:rPr>
        <w:t>u</w:t>
      </w:r>
      <w:r w:rsidR="00C255DA">
        <w:rPr>
          <w:bCs/>
          <w:color w:val="000000"/>
          <w:lang w:eastAsia="lt-LT"/>
        </w:rPr>
        <w:t xml:space="preserve"> </w:t>
      </w:r>
      <w:r w:rsidR="008829DE">
        <w:rPr>
          <w:color w:val="000000"/>
        </w:rPr>
        <w:t xml:space="preserve">(toliau – </w:t>
      </w:r>
      <w:r>
        <w:rPr>
          <w:color w:val="000000"/>
        </w:rPr>
        <w:t>P</w:t>
      </w:r>
      <w:r w:rsidR="008829DE">
        <w:rPr>
          <w:color w:val="000000"/>
        </w:rPr>
        <w:t>rojektas)</w:t>
      </w:r>
      <w:r w:rsidR="00C255DA">
        <w:rPr>
          <w:color w:val="000000"/>
        </w:rPr>
        <w:t>, teikia teisinę išvadą.</w:t>
      </w:r>
      <w:r>
        <w:rPr>
          <w:color w:val="000000"/>
        </w:rPr>
        <w:t xml:space="preserve"> </w:t>
      </w:r>
    </w:p>
    <w:p w14:paraId="25BF9F90" w14:textId="231F38D8" w:rsidR="009D4F4B" w:rsidRPr="009D4F4B" w:rsidRDefault="004E6A7E" w:rsidP="009D4F4B">
      <w:pPr>
        <w:pStyle w:val="Sraopastraip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20"/>
        <w:jc w:val="both"/>
        <w:rPr>
          <w:color w:val="201F1E"/>
          <w:shd w:val="clear" w:color="auto" w:fill="FFFFFF"/>
        </w:rPr>
      </w:pPr>
      <w:r>
        <w:rPr>
          <w:bCs/>
        </w:rPr>
        <w:t>Įvertinusi derinimo pažymoje pateiktus argumentus</w:t>
      </w:r>
      <w:r w:rsidR="006934C0">
        <w:rPr>
          <w:bCs/>
        </w:rPr>
        <w:t>,</w:t>
      </w:r>
      <w:r>
        <w:rPr>
          <w:bCs/>
        </w:rPr>
        <w:t xml:space="preserve"> </w:t>
      </w:r>
      <w:r w:rsidR="00C255DA" w:rsidRPr="00190365">
        <w:rPr>
          <w:bCs/>
        </w:rPr>
        <w:t xml:space="preserve">Teisingumo ministerija lieka prie savo ankstesnėje </w:t>
      </w:r>
      <w:hyperlink r:id="rId13" w:history="1">
        <w:r w:rsidR="00C255DA" w:rsidRPr="006934C0">
          <w:rPr>
            <w:rStyle w:val="Hipersaitas"/>
            <w:bCs/>
          </w:rPr>
          <w:t>išvadoje</w:t>
        </w:r>
      </w:hyperlink>
      <w:r w:rsidR="00C255DA" w:rsidRPr="00190365">
        <w:rPr>
          <w:bCs/>
        </w:rPr>
        <w:t xml:space="preserve"> pateiktos pozicijos. </w:t>
      </w:r>
      <w:r w:rsidR="00A1137E" w:rsidRPr="00190365">
        <w:rPr>
          <w:bCs/>
          <w:color w:val="000000"/>
          <w:lang w:eastAsia="lt-LT"/>
        </w:rPr>
        <w:t xml:space="preserve">Lietuvos Respublikos nesąžiningos prekybos praktikos žemės ūkio ir maisto produktų tiekimo grandinėje draudimo įstatymo (toliau – </w:t>
      </w:r>
      <w:r w:rsidR="00D45F28">
        <w:t>Įstatym</w:t>
      </w:r>
      <w:r w:rsidR="00A1137E">
        <w:t>as)</w:t>
      </w:r>
      <w:r w:rsidR="005B2698" w:rsidRPr="005B2698">
        <w:t xml:space="preserve"> </w:t>
      </w:r>
      <w:r w:rsidR="005B2698">
        <w:t xml:space="preserve">21 straipsnio </w:t>
      </w:r>
      <w:r w:rsidR="005B2698" w:rsidRPr="005B2698">
        <w:t>13 dal</w:t>
      </w:r>
      <w:r w:rsidR="006934C0">
        <w:t>is numato, kad</w:t>
      </w:r>
      <w:r w:rsidR="005B2698" w:rsidRPr="005B2698">
        <w:t xml:space="preserve"> </w:t>
      </w:r>
      <w:r w:rsidR="002D26BB">
        <w:t>„</w:t>
      </w:r>
      <w:r w:rsidR="005B2698" w:rsidRPr="005B2698">
        <w:t xml:space="preserve">Vyriausybė </w:t>
      </w:r>
      <w:r w:rsidR="005B2698" w:rsidRPr="00190365">
        <w:rPr>
          <w:bCs/>
        </w:rPr>
        <w:t>patvirtina</w:t>
      </w:r>
      <w:r w:rsidR="005B2698" w:rsidRPr="005B2698">
        <w:t xml:space="preserve"> </w:t>
      </w:r>
      <w:r w:rsidR="005B2698" w:rsidRPr="00190365">
        <w:rPr>
          <w:bCs/>
        </w:rPr>
        <w:t xml:space="preserve">baudų už šio įstatymo pažeidimus </w:t>
      </w:r>
      <w:r w:rsidR="005B2698" w:rsidRPr="00190365">
        <w:rPr>
          <w:bCs/>
          <w:i/>
          <w:iCs/>
        </w:rPr>
        <w:t>skyrimo</w:t>
      </w:r>
      <w:r w:rsidR="005B2698" w:rsidRPr="00190365">
        <w:rPr>
          <w:bCs/>
        </w:rPr>
        <w:t xml:space="preserve"> tvarkos aprašą</w:t>
      </w:r>
      <w:r w:rsidR="002D26BB" w:rsidRPr="00190365">
        <w:rPr>
          <w:bCs/>
        </w:rPr>
        <w:t>“</w:t>
      </w:r>
      <w:r w:rsidR="00C255DA" w:rsidRPr="00190365">
        <w:rPr>
          <w:bCs/>
        </w:rPr>
        <w:t>.</w:t>
      </w:r>
      <w:r w:rsidR="005B2698" w:rsidRPr="00190365">
        <w:rPr>
          <w:bCs/>
        </w:rPr>
        <w:t xml:space="preserve"> </w:t>
      </w:r>
      <w:r w:rsidR="00C255DA" w:rsidRPr="00190365">
        <w:rPr>
          <w:bCs/>
        </w:rPr>
        <w:t>T</w:t>
      </w:r>
      <w:r w:rsidR="005B2698" w:rsidRPr="00190365">
        <w:rPr>
          <w:bCs/>
        </w:rPr>
        <w:t>uo tarpu Projektu tvirtinamu aprašu</w:t>
      </w:r>
      <w:r w:rsidR="005B4BB7" w:rsidRPr="00190365">
        <w:rPr>
          <w:bCs/>
        </w:rPr>
        <w:t xml:space="preserve"> (toliau – Aprašas)</w:t>
      </w:r>
      <w:r w:rsidR="005B2698" w:rsidRPr="00190365">
        <w:rPr>
          <w:bCs/>
        </w:rPr>
        <w:t xml:space="preserve"> reglamentuojama ir </w:t>
      </w:r>
      <w:r w:rsidR="005B2698" w:rsidRPr="006934C0">
        <w:rPr>
          <w:bCs/>
          <w:i/>
          <w:iCs/>
        </w:rPr>
        <w:t xml:space="preserve">baudų </w:t>
      </w:r>
      <w:r w:rsidR="005B2698" w:rsidRPr="00190365">
        <w:rPr>
          <w:bCs/>
          <w:i/>
          <w:iCs/>
        </w:rPr>
        <w:t>apskaičiavimo tvarka</w:t>
      </w:r>
      <w:r w:rsidR="00C255DA" w:rsidRPr="00190365">
        <w:rPr>
          <w:bCs/>
        </w:rPr>
        <w:t>. T</w:t>
      </w:r>
      <w:r w:rsidR="00E02BB4" w:rsidRPr="00190365">
        <w:rPr>
          <w:bCs/>
        </w:rPr>
        <w:t>okie įgaliojimai Vyriausybei nėra suteikti</w:t>
      </w:r>
      <w:r w:rsidR="00C255DA" w:rsidRPr="00190365">
        <w:rPr>
          <w:bCs/>
        </w:rPr>
        <w:t xml:space="preserve">, todėl </w:t>
      </w:r>
      <w:r>
        <w:rPr>
          <w:bCs/>
        </w:rPr>
        <w:t>matome būtinybę skubiai</w:t>
      </w:r>
      <w:r w:rsidR="00C255DA" w:rsidRPr="00190365">
        <w:rPr>
          <w:bCs/>
        </w:rPr>
        <w:t xml:space="preserve"> </w:t>
      </w:r>
      <w:r w:rsidRPr="00190365">
        <w:rPr>
          <w:bCs/>
        </w:rPr>
        <w:t>tikslin</w:t>
      </w:r>
      <w:r>
        <w:rPr>
          <w:bCs/>
        </w:rPr>
        <w:t xml:space="preserve">ti </w:t>
      </w:r>
      <w:r w:rsidRPr="00190365">
        <w:rPr>
          <w:bCs/>
        </w:rPr>
        <w:t>Įstatym</w:t>
      </w:r>
      <w:r>
        <w:rPr>
          <w:bCs/>
        </w:rPr>
        <w:t>ą</w:t>
      </w:r>
      <w:r w:rsidR="00C255DA" w:rsidRPr="00190365">
        <w:rPr>
          <w:bCs/>
        </w:rPr>
        <w:t xml:space="preserve">. </w:t>
      </w:r>
      <w:r w:rsidR="002D26BB" w:rsidRPr="00190365">
        <w:rPr>
          <w:bCs/>
        </w:rPr>
        <w:t xml:space="preserve"> </w:t>
      </w:r>
    </w:p>
    <w:p w14:paraId="4A813843" w14:textId="603EF7B9" w:rsidR="009D4F4B" w:rsidRDefault="009D4F4B" w:rsidP="009D4F4B">
      <w:pPr>
        <w:tabs>
          <w:tab w:val="left" w:pos="567"/>
        </w:tabs>
        <w:spacing w:after="0" w:line="360" w:lineRule="auto"/>
        <w:jc w:val="both"/>
        <w:rPr>
          <w:iCs/>
        </w:rPr>
      </w:pPr>
      <w:r>
        <w:rPr>
          <w:bCs/>
        </w:rPr>
        <w:tab/>
      </w:r>
      <w:r w:rsidR="00C255DA" w:rsidRPr="009D4F4B">
        <w:rPr>
          <w:bCs/>
        </w:rPr>
        <w:t>Atkreipiamas dėmesys, kad derinimo pažymoje pateikti argument</w:t>
      </w:r>
      <w:r w:rsidRPr="009D4F4B">
        <w:rPr>
          <w:bCs/>
        </w:rPr>
        <w:t>a</w:t>
      </w:r>
      <w:r w:rsidR="00C255DA" w:rsidRPr="009D4F4B">
        <w:rPr>
          <w:bCs/>
        </w:rPr>
        <w:t xml:space="preserve">i, kad kai </w:t>
      </w:r>
      <w:r w:rsidRPr="009D4F4B">
        <w:rPr>
          <w:bCs/>
        </w:rPr>
        <w:t>tam tikri</w:t>
      </w:r>
      <w:r w:rsidR="00C255DA" w:rsidRPr="009D4F4B">
        <w:rPr>
          <w:bCs/>
        </w:rPr>
        <w:t xml:space="preserve"> Vyriausybės patvirtinti teisės aktai  numato baudų apskaičiavimo tvarką, nėra tinkami, kadangi  tie poįstatyminiai teisės aktai priimti tais atvejais, kai įstatymai labai aiškiai pavedė Vyriausybei nustatyti baudos dydžius</w:t>
      </w:r>
      <w:r w:rsidRPr="009D4F4B">
        <w:rPr>
          <w:bCs/>
        </w:rPr>
        <w:t xml:space="preserve">, pavyzdžiui </w:t>
      </w:r>
      <w:r w:rsidR="00190365" w:rsidRPr="009D4F4B">
        <w:rPr>
          <w:iCs/>
        </w:rPr>
        <w:t>Lietuvos Respublikos reklamos įstatymo 24 straipsnio 5 dalis</w:t>
      </w:r>
      <w:r w:rsidRPr="009D4F4B">
        <w:rPr>
          <w:iCs/>
        </w:rPr>
        <w:t xml:space="preserve"> numato</w:t>
      </w:r>
      <w:r w:rsidRPr="00144EAB">
        <w:rPr>
          <w:iCs/>
        </w:rPr>
        <w:t>, kad į</w:t>
      </w:r>
      <w:r w:rsidRPr="00144EAB">
        <w:t xml:space="preserve">spėjimas skiriamas ir </w:t>
      </w:r>
      <w:r w:rsidRPr="00144EAB">
        <w:rPr>
          <w:i/>
          <w:iCs/>
        </w:rPr>
        <w:t>baudos dydis nustatomas</w:t>
      </w:r>
      <w:r w:rsidRPr="00144EAB">
        <w:t xml:space="preserve"> pagal</w:t>
      </w:r>
      <w:r>
        <w:t xml:space="preserve"> Vyriausybės patvirtintą Įspėjimų ir baudų už Lietuvos Respublikos reklamos įstatymo pažeidimus skyrimo tvarkos aprašą, atsižvelgiant į pažeidimo pobūdį, pažeidimo trukmę, mastą ir šio straipsnio 6 ir 7 dalyse nustatytas atsakomybę lengvinančias ir sunkinančias aplinkybes. </w:t>
      </w:r>
      <w:r w:rsidR="00190365" w:rsidRPr="009D4F4B">
        <w:rPr>
          <w:iCs/>
        </w:rPr>
        <w:t xml:space="preserve"> </w:t>
      </w:r>
    </w:p>
    <w:p w14:paraId="0A5D18E6" w14:textId="1C71EA4D" w:rsidR="009D4F4B" w:rsidRPr="009D4F4B" w:rsidRDefault="009D4F4B" w:rsidP="009D4F4B">
      <w:pPr>
        <w:pStyle w:val="Sraopastraipa"/>
        <w:numPr>
          <w:ilvl w:val="0"/>
          <w:numId w:val="17"/>
        </w:numPr>
        <w:tabs>
          <w:tab w:val="left" w:pos="567"/>
          <w:tab w:val="left" w:pos="993"/>
        </w:tabs>
        <w:spacing w:after="0" w:line="360" w:lineRule="auto"/>
        <w:ind w:left="0" w:firstLine="720"/>
        <w:jc w:val="both"/>
        <w:rPr>
          <w:iCs/>
        </w:rPr>
      </w:pPr>
      <w:r>
        <w:t xml:space="preserve">Aprašo </w:t>
      </w:r>
      <w:r w:rsidRPr="009D4F4B">
        <w:rPr>
          <w:rFonts w:eastAsia="Calibri"/>
        </w:rPr>
        <w:t>9.2 papunktyje nurodoma, kad „Bazinis baudos dydis apskaičiuojamas &lt;...&gt; atsižvelgiant  &lt;...&gt; į kitas pažeidimo trukmės požiūriu reikšmingas aplinkybes. Toks teisinis reglamentavimas nėra aiškus</w:t>
      </w:r>
      <w:r w:rsidR="006934C0">
        <w:rPr>
          <w:rFonts w:eastAsia="Calibri"/>
        </w:rPr>
        <w:t xml:space="preserve"> ir</w:t>
      </w:r>
      <w:r w:rsidRPr="009D4F4B">
        <w:rPr>
          <w:rFonts w:eastAsia="Calibri"/>
        </w:rPr>
        <w:t xml:space="preserve"> gali būti taikomas nevienareikšmiškai, </w:t>
      </w:r>
      <w:r w:rsidR="006934C0">
        <w:rPr>
          <w:rFonts w:eastAsia="Calibri"/>
        </w:rPr>
        <w:t>todėl</w:t>
      </w:r>
      <w:r w:rsidRPr="009D4F4B">
        <w:rPr>
          <w:rFonts w:eastAsia="Calibri"/>
        </w:rPr>
        <w:t xml:space="preserve"> tobulintinas, nurodant </w:t>
      </w:r>
      <w:r w:rsidR="004E6A7E">
        <w:rPr>
          <w:rFonts w:eastAsia="Calibri"/>
        </w:rPr>
        <w:t>aiškius</w:t>
      </w:r>
      <w:r w:rsidRPr="009D4F4B">
        <w:rPr>
          <w:rFonts w:eastAsia="Calibri"/>
        </w:rPr>
        <w:t xml:space="preserve"> kriterijus</w:t>
      </w:r>
      <w:r w:rsidR="00433DE0">
        <w:rPr>
          <w:rFonts w:eastAsia="Calibri"/>
        </w:rPr>
        <w:t>, siekiant išvengti subjektyvaus ir skirtingo analogiškų situacijų vertinimo</w:t>
      </w:r>
      <w:r w:rsidRPr="009D4F4B">
        <w:rPr>
          <w:rFonts w:eastAsia="Calibri"/>
        </w:rPr>
        <w:t xml:space="preserve">. </w:t>
      </w:r>
    </w:p>
    <w:p w14:paraId="0039BE5D" w14:textId="160C7853" w:rsidR="009D4F4B" w:rsidRPr="009D4F4B" w:rsidRDefault="009D4F4B" w:rsidP="009D4F4B">
      <w:pPr>
        <w:pStyle w:val="Sraopastraipa"/>
        <w:numPr>
          <w:ilvl w:val="0"/>
          <w:numId w:val="17"/>
        </w:numPr>
        <w:tabs>
          <w:tab w:val="left" w:pos="567"/>
          <w:tab w:val="left" w:pos="993"/>
        </w:tabs>
        <w:spacing w:after="0" w:line="360" w:lineRule="auto"/>
        <w:ind w:left="0" w:firstLine="720"/>
        <w:jc w:val="both"/>
        <w:rPr>
          <w:iCs/>
        </w:rPr>
      </w:pPr>
      <w:r>
        <w:lastRenderedPageBreak/>
        <w:t>Pastebėtina, kad „pakartotinumas“ yra atsakomybę sunkinanti aplinkybė pagal Įstatymo 21 straipsnio 10 dalies 6 punktą, todėl, manytina, kad Aprašo 12 punkte neturi būti nurodoma, kad atsižvelgiama į pažeidimo padarymo pakartotinumą (12 p</w:t>
      </w:r>
      <w:r w:rsidR="006934C0">
        <w:t>.</w:t>
      </w:r>
      <w:r>
        <w:t xml:space="preserve"> jau nurodyta, kad atsižvelgiama į atsakomybę sunkinančias aplinkybes). </w:t>
      </w:r>
    </w:p>
    <w:p w14:paraId="2BDCC613" w14:textId="1730FA15" w:rsidR="009D4F4B" w:rsidRPr="00A336F8" w:rsidRDefault="009D4F4B" w:rsidP="009D4F4B">
      <w:pPr>
        <w:pStyle w:val="Sraopastraipa"/>
        <w:numPr>
          <w:ilvl w:val="0"/>
          <w:numId w:val="17"/>
        </w:numPr>
        <w:tabs>
          <w:tab w:val="left" w:pos="567"/>
          <w:tab w:val="left" w:pos="993"/>
        </w:tabs>
        <w:spacing w:after="0" w:line="360" w:lineRule="auto"/>
        <w:ind w:left="0" w:firstLine="720"/>
        <w:jc w:val="both"/>
        <w:rPr>
          <w:iCs/>
        </w:rPr>
      </w:pPr>
      <w:r>
        <w:t xml:space="preserve">Atkreipiamas dėmesys, kad Įstatyme nėra nustatyta, jog skiriant baudą, atsižvelgiama į </w:t>
      </w:r>
      <w:r w:rsidRPr="009D4F4B">
        <w:rPr>
          <w:rFonts w:eastAsia="Calibri"/>
          <w:i/>
          <w:iCs/>
        </w:rPr>
        <w:t>pažeidimo padarymą pirmą kartą,</w:t>
      </w:r>
      <w:r w:rsidRPr="009D4F4B">
        <w:rPr>
          <w:rFonts w:eastAsia="Calibri"/>
        </w:rPr>
        <w:t xml:space="preserve"> kaip yra </w:t>
      </w:r>
      <w:r w:rsidRPr="00144EAB">
        <w:rPr>
          <w:rFonts w:eastAsia="Calibri"/>
        </w:rPr>
        <w:t>nustatoma Aprašo 12 punkte,</w:t>
      </w:r>
      <w:r w:rsidRPr="009D4F4B">
        <w:rPr>
          <w:rFonts w:eastAsia="Calibri"/>
        </w:rPr>
        <w:t xml:space="preserve"> išskyrus </w:t>
      </w:r>
      <w:r>
        <w:t xml:space="preserve">Įstatymo 21 straipsnio </w:t>
      </w:r>
      <w:r w:rsidRPr="009D4F4B">
        <w:t xml:space="preserve">5 dalį, kurioje numatytos konkrečios aplinkybės (sąlygos), kurioms esant </w:t>
      </w:r>
      <w:r w:rsidRPr="009D4F4B">
        <w:rPr>
          <w:i/>
          <w:iCs/>
        </w:rPr>
        <w:t>apskaičiuotas bazinis baudos dydis</w:t>
      </w:r>
      <w:r w:rsidRPr="009D4F4B">
        <w:t xml:space="preserve"> mažinamas 50 procentų</w:t>
      </w:r>
      <w:r w:rsidRPr="009D4F4B">
        <w:rPr>
          <w:bCs/>
        </w:rPr>
        <w:t>, o būtent „j</w:t>
      </w:r>
      <w:r w:rsidRPr="009D4F4B">
        <w:t xml:space="preserve">eigu pažeidimas padarytas </w:t>
      </w:r>
      <w:r w:rsidRPr="006934C0">
        <w:rPr>
          <w:i/>
          <w:iCs/>
        </w:rPr>
        <w:t>pirmą kartą</w:t>
      </w:r>
      <w:r w:rsidRPr="009D4F4B">
        <w:t xml:space="preserve"> </w:t>
      </w:r>
      <w:r w:rsidRPr="009D4F4B">
        <w:rPr>
          <w:i/>
          <w:iCs/>
        </w:rPr>
        <w:t>ir</w:t>
      </w:r>
      <w:r w:rsidRPr="009D4F4B">
        <w:t xml:space="preserve"> nėra nustatyta nė vienos atsakomybę sunkinančios aplinkybės, </w:t>
      </w:r>
      <w:r w:rsidRPr="009D4F4B">
        <w:rPr>
          <w:i/>
          <w:iCs/>
        </w:rPr>
        <w:t>tačiau yra bent viena atsakomybę lengvinanti aplinkybė</w:t>
      </w:r>
      <w:r w:rsidRPr="009D4F4B">
        <w:t xml:space="preserve">“. Atsižvelgiant į tai, kad pažeidimo padarymas pirmą kartą sąlygoja apskaičiuotą bazinį baudos dydį mažinti, tik esant ir kitoms sąlygoms, manytina, kad Apraše neturi būti pateikiama taip, kad </w:t>
      </w:r>
      <w:r w:rsidRPr="00A336F8">
        <w:t xml:space="preserve">visais atvejais atsižvelgiama į pažeidimo padarymą pirmą kartą. Be to, paminėta Įstatymo norma neatsispindi apraše, nors yra svarbi aplinkybė, turinti </w:t>
      </w:r>
      <w:r w:rsidR="004E6A7E" w:rsidRPr="00A336F8">
        <w:t xml:space="preserve">įtakos </w:t>
      </w:r>
      <w:r w:rsidRPr="00A336F8">
        <w:t xml:space="preserve">baudos </w:t>
      </w:r>
      <w:r w:rsidR="00A336F8" w:rsidRPr="00A336F8">
        <w:t>dydžiui,</w:t>
      </w:r>
      <w:r w:rsidRPr="00A336F8">
        <w:t xml:space="preserve"> todėl, siekiant </w:t>
      </w:r>
      <w:r w:rsidR="004E6A7E" w:rsidRPr="00A336F8">
        <w:t>aiškaus teisinio reguliavimo</w:t>
      </w:r>
      <w:r w:rsidRPr="00A336F8">
        <w:t>, siūlytina pateikti nuorodą į pastarąją nuostatą (pvz. kaip Aprašo 5 p.).</w:t>
      </w:r>
    </w:p>
    <w:p w14:paraId="285F0D02" w14:textId="747C0B9D" w:rsidR="00F743BA" w:rsidRPr="00A336F8" w:rsidRDefault="009D4F4B" w:rsidP="00F743BA">
      <w:pPr>
        <w:pStyle w:val="Sraopastraipa"/>
        <w:numPr>
          <w:ilvl w:val="0"/>
          <w:numId w:val="17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774"/>
        <w:jc w:val="both"/>
        <w:rPr>
          <w:iCs/>
        </w:rPr>
      </w:pPr>
      <w:r w:rsidRPr="00A336F8">
        <w:t>Be to, atkreipiamas dėmesys, kad Įstatyme (21 str. 6 d.) numatyta, kad nustačius sunkinančią aplinkybę, nurodytą 21 straipsnio 10 dalies 6 punkte, bazinis baudos dydis didinamas iki 100 procentų, neatsižvelgiant į atsakomybę lengvinančias aplinkybes. Tačiau Apraše apie tokį bazinio baudos dydžio nustatymo būdą, esant paminėtoms aplinkybėms, irgi nėra kalbama</w:t>
      </w:r>
      <w:r w:rsidR="00F743BA">
        <w:t xml:space="preserve">, </w:t>
      </w:r>
      <w:r w:rsidR="00F743BA" w:rsidRPr="00A336F8">
        <w:t xml:space="preserve">nors </w:t>
      </w:r>
      <w:r w:rsidR="00F743BA">
        <w:t xml:space="preserve">tai </w:t>
      </w:r>
      <w:r w:rsidR="00F743BA" w:rsidRPr="00A336F8">
        <w:t>yra svarbi aplinkybė, turinti įtakos baudos dydžiui</w:t>
      </w:r>
      <w:r w:rsidR="00F743BA">
        <w:t>.</w:t>
      </w:r>
      <w:r w:rsidR="00F743BA" w:rsidRPr="00A336F8">
        <w:t xml:space="preserve"> </w:t>
      </w:r>
      <w:r w:rsidR="00F743BA">
        <w:t>S</w:t>
      </w:r>
      <w:r w:rsidR="00F743BA" w:rsidRPr="00A336F8">
        <w:t>iekiant aiškaus teisinio reguliavimo, siūlytina pateikti nuorodą į pastarąją nuostatą (pvz. kaip Aprašo 5 p.).</w:t>
      </w:r>
    </w:p>
    <w:p w14:paraId="5E40A277" w14:textId="1C9D1CAC" w:rsidR="009D4F4B" w:rsidRPr="00F743BA" w:rsidRDefault="009D4F4B" w:rsidP="00F743BA">
      <w:pPr>
        <w:pStyle w:val="Sraopastraipa"/>
        <w:tabs>
          <w:tab w:val="left" w:pos="567"/>
          <w:tab w:val="left" w:pos="993"/>
        </w:tabs>
        <w:spacing w:after="0" w:line="360" w:lineRule="auto"/>
        <w:jc w:val="both"/>
        <w:rPr>
          <w:color w:val="201F1E"/>
          <w:shd w:val="clear" w:color="auto" w:fill="FFFFFF"/>
        </w:rPr>
      </w:pPr>
    </w:p>
    <w:p w14:paraId="321E4EB2" w14:textId="77777777" w:rsidR="00C255DA" w:rsidRPr="00C255DA" w:rsidRDefault="00C255DA" w:rsidP="00C255DA">
      <w:pPr>
        <w:tabs>
          <w:tab w:val="left" w:pos="993"/>
        </w:tabs>
        <w:spacing w:after="0" w:line="360" w:lineRule="auto"/>
        <w:jc w:val="both"/>
        <w:rPr>
          <w:color w:val="201F1E"/>
          <w:shd w:val="clear" w:color="auto" w:fill="FFFFFF"/>
        </w:rPr>
      </w:pPr>
    </w:p>
    <w:p w14:paraId="66DD169A" w14:textId="03C508E7" w:rsidR="0093690E" w:rsidRPr="00921CBB" w:rsidRDefault="00056485" w:rsidP="008B45D7">
      <w:pPr>
        <w:spacing w:after="0" w:line="360" w:lineRule="auto"/>
        <w:jc w:val="both"/>
        <w:rPr>
          <w:lang w:eastAsia="lt-LT"/>
        </w:rPr>
      </w:pPr>
      <w:r w:rsidRPr="00056485">
        <w:rPr>
          <w:color w:val="201F1E"/>
          <w:shd w:val="clear" w:color="auto" w:fill="FFFFFF"/>
        </w:rPr>
        <w:tab/>
      </w:r>
      <w:r w:rsidR="00A1137E">
        <w:t xml:space="preserve"> </w:t>
      </w:r>
    </w:p>
    <w:p w14:paraId="4F035016" w14:textId="25630A02" w:rsidR="004D28BA" w:rsidRDefault="00B719F2" w:rsidP="0093690E">
      <w:pPr>
        <w:tabs>
          <w:tab w:val="left" w:pos="993"/>
          <w:tab w:val="left" w:pos="1134"/>
        </w:tabs>
        <w:spacing w:after="0" w:line="360" w:lineRule="auto"/>
        <w:jc w:val="both"/>
        <w:rPr>
          <w:lang w:eastAsia="lt-LT"/>
        </w:rPr>
      </w:pPr>
      <w:r w:rsidRPr="00921CBB">
        <w:rPr>
          <w:lang w:eastAsia="lt-LT"/>
        </w:rPr>
        <w:t xml:space="preserve">Teisingumo </w:t>
      </w:r>
      <w:r w:rsidR="00D2776B" w:rsidRPr="00921CBB">
        <w:rPr>
          <w:lang w:eastAsia="lt-LT"/>
        </w:rPr>
        <w:t>ministrė</w:t>
      </w:r>
      <w:r w:rsidRPr="00921CBB">
        <w:rPr>
          <w:lang w:eastAsia="lt-LT"/>
        </w:rPr>
        <w:t xml:space="preserve">                                 </w:t>
      </w:r>
      <w:r w:rsidR="007B3281" w:rsidRPr="00921CBB">
        <w:rPr>
          <w:lang w:eastAsia="lt-LT"/>
        </w:rPr>
        <w:t xml:space="preserve">       </w:t>
      </w:r>
      <w:r w:rsidR="00725F95">
        <w:rPr>
          <w:lang w:eastAsia="lt-LT"/>
        </w:rPr>
        <w:t xml:space="preserve">            </w:t>
      </w:r>
      <w:r w:rsidR="007B3281" w:rsidRPr="00921CBB">
        <w:rPr>
          <w:lang w:eastAsia="lt-LT"/>
        </w:rPr>
        <w:t xml:space="preserve">     </w:t>
      </w:r>
      <w:r w:rsidR="00A336F8">
        <w:rPr>
          <w:lang w:eastAsia="lt-LT"/>
        </w:rPr>
        <w:t xml:space="preserve">                                 </w:t>
      </w:r>
      <w:r w:rsidR="00D2776B" w:rsidRPr="00921CBB">
        <w:rPr>
          <w:lang w:eastAsia="lt-LT"/>
        </w:rPr>
        <w:t xml:space="preserve">Evelina </w:t>
      </w:r>
      <w:proofErr w:type="spellStart"/>
      <w:r w:rsidR="00D2776B" w:rsidRPr="00921CBB">
        <w:rPr>
          <w:lang w:eastAsia="lt-LT"/>
        </w:rPr>
        <w:t>Dobrovolska</w:t>
      </w:r>
      <w:proofErr w:type="spellEnd"/>
      <w:r w:rsidRPr="005708E4">
        <w:rPr>
          <w:lang w:eastAsia="lt-LT"/>
        </w:rPr>
        <w:t xml:space="preserve"> </w:t>
      </w:r>
    </w:p>
    <w:p w14:paraId="7CBE20B3" w14:textId="24F965F8" w:rsidR="00A336F8" w:rsidRDefault="00A336F8" w:rsidP="0093690E">
      <w:pPr>
        <w:tabs>
          <w:tab w:val="left" w:pos="993"/>
          <w:tab w:val="left" w:pos="1134"/>
        </w:tabs>
        <w:spacing w:after="0" w:line="360" w:lineRule="auto"/>
        <w:jc w:val="both"/>
        <w:rPr>
          <w:lang w:eastAsia="lt-LT"/>
        </w:rPr>
      </w:pPr>
    </w:p>
    <w:p w14:paraId="0EC9A726" w14:textId="691E1E4A" w:rsidR="00A336F8" w:rsidRDefault="00A336F8" w:rsidP="0093690E">
      <w:pPr>
        <w:tabs>
          <w:tab w:val="left" w:pos="993"/>
          <w:tab w:val="left" w:pos="1134"/>
        </w:tabs>
        <w:spacing w:after="0" w:line="360" w:lineRule="auto"/>
        <w:jc w:val="both"/>
        <w:rPr>
          <w:lang w:eastAsia="lt-LT"/>
        </w:rPr>
      </w:pPr>
    </w:p>
    <w:p w14:paraId="437CF3A5" w14:textId="2B9BD6F6" w:rsidR="00A336F8" w:rsidRDefault="00A336F8" w:rsidP="0093690E">
      <w:pPr>
        <w:tabs>
          <w:tab w:val="left" w:pos="993"/>
          <w:tab w:val="left" w:pos="1134"/>
        </w:tabs>
        <w:spacing w:after="0" w:line="360" w:lineRule="auto"/>
        <w:jc w:val="both"/>
        <w:rPr>
          <w:lang w:eastAsia="lt-LT"/>
        </w:rPr>
      </w:pPr>
    </w:p>
    <w:p w14:paraId="149262ED" w14:textId="4EE9E37B" w:rsidR="00A336F8" w:rsidRDefault="00A336F8" w:rsidP="0093690E">
      <w:pPr>
        <w:tabs>
          <w:tab w:val="left" w:pos="993"/>
          <w:tab w:val="left" w:pos="1134"/>
        </w:tabs>
        <w:spacing w:after="0" w:line="360" w:lineRule="auto"/>
        <w:jc w:val="both"/>
        <w:rPr>
          <w:lang w:eastAsia="lt-LT"/>
        </w:rPr>
      </w:pPr>
    </w:p>
    <w:p w14:paraId="7DC8C729" w14:textId="77777777" w:rsidR="00A336F8" w:rsidRPr="005708E4" w:rsidRDefault="00A336F8" w:rsidP="0093690E">
      <w:pPr>
        <w:tabs>
          <w:tab w:val="left" w:pos="993"/>
          <w:tab w:val="left" w:pos="1134"/>
        </w:tabs>
        <w:spacing w:after="0" w:line="360" w:lineRule="auto"/>
        <w:jc w:val="both"/>
      </w:pPr>
    </w:p>
    <w:p w14:paraId="4D243FDF" w14:textId="77777777" w:rsidR="00071C6B" w:rsidRDefault="00071C6B">
      <w:pPr>
        <w:spacing w:line="276" w:lineRule="auto"/>
        <w:ind w:firstLine="851"/>
        <w:jc w:val="both"/>
        <w:rPr>
          <w:sz w:val="20"/>
          <w:szCs w:val="20"/>
        </w:rPr>
      </w:pPr>
    </w:p>
    <w:p w14:paraId="00BB4587" w14:textId="0C52719A" w:rsidR="00E76BD0" w:rsidRDefault="00E76BD0">
      <w:pPr>
        <w:spacing w:after="0" w:line="240" w:lineRule="auto"/>
        <w:rPr>
          <w:sz w:val="20"/>
          <w:szCs w:val="20"/>
        </w:rPr>
      </w:pPr>
      <w:r w:rsidRPr="00B719F2">
        <w:rPr>
          <w:sz w:val="20"/>
          <w:szCs w:val="20"/>
        </w:rPr>
        <w:t xml:space="preserve">Eglė Betingienė, tel. (8 5) 266 2882, el. p. </w:t>
      </w:r>
      <w:hyperlink r:id="rId14" w:history="1">
        <w:r w:rsidRPr="00B719F2"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  <w:r w:rsidRPr="00B719F2">
        <w:rPr>
          <w:sz w:val="20"/>
          <w:szCs w:val="20"/>
        </w:rPr>
        <w:t xml:space="preserve"> </w:t>
      </w:r>
    </w:p>
    <w:p w14:paraId="25E50A06" w14:textId="62E8C844" w:rsidR="00E4319D" w:rsidRDefault="000564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Mykolas Šavelskis</w:t>
      </w:r>
      <w:r w:rsidR="00E4319D">
        <w:rPr>
          <w:sz w:val="20"/>
          <w:szCs w:val="20"/>
        </w:rPr>
        <w:t>, tel. (8</w:t>
      </w:r>
      <w:r w:rsidR="008B45D7">
        <w:rPr>
          <w:sz w:val="20"/>
          <w:szCs w:val="20"/>
        </w:rPr>
        <w:t xml:space="preserve"> 5</w:t>
      </w:r>
      <w:r>
        <w:rPr>
          <w:sz w:val="20"/>
          <w:szCs w:val="20"/>
        </w:rPr>
        <w:t>)</w:t>
      </w:r>
      <w:r w:rsidR="00E4319D">
        <w:rPr>
          <w:sz w:val="20"/>
          <w:szCs w:val="20"/>
        </w:rPr>
        <w:t xml:space="preserve"> </w:t>
      </w:r>
      <w:r>
        <w:rPr>
          <w:sz w:val="20"/>
          <w:szCs w:val="20"/>
        </w:rPr>
        <w:t>219</w:t>
      </w:r>
      <w:r w:rsidR="008B45D7">
        <w:rPr>
          <w:sz w:val="20"/>
          <w:szCs w:val="20"/>
        </w:rPr>
        <w:t xml:space="preserve"> </w:t>
      </w:r>
      <w:r>
        <w:rPr>
          <w:sz w:val="20"/>
          <w:szCs w:val="20"/>
        </w:rPr>
        <w:t>1886</w:t>
      </w:r>
      <w:r w:rsidR="00E4319D">
        <w:rPr>
          <w:sz w:val="20"/>
          <w:szCs w:val="20"/>
        </w:rPr>
        <w:t xml:space="preserve">, el. p. </w:t>
      </w:r>
      <w:proofErr w:type="spellStart"/>
      <w:r>
        <w:rPr>
          <w:sz w:val="20"/>
          <w:szCs w:val="20"/>
        </w:rPr>
        <w:t>mykolas</w:t>
      </w:r>
      <w:r w:rsidR="00725F95">
        <w:rPr>
          <w:sz w:val="20"/>
          <w:szCs w:val="20"/>
        </w:rPr>
        <w:t>.</w:t>
      </w:r>
      <w:r>
        <w:rPr>
          <w:sz w:val="20"/>
          <w:szCs w:val="20"/>
        </w:rPr>
        <w:t>šavelskis</w:t>
      </w:r>
      <w:r w:rsidR="00E4319D">
        <w:rPr>
          <w:sz w:val="20"/>
          <w:szCs w:val="20"/>
        </w:rPr>
        <w:t>@tm.lt</w:t>
      </w:r>
      <w:proofErr w:type="spellEnd"/>
    </w:p>
    <w:p w14:paraId="2628265F" w14:textId="77777777" w:rsidR="00C144BA" w:rsidRPr="00B719F2" w:rsidRDefault="00C144BA">
      <w:pPr>
        <w:spacing w:after="0" w:line="240" w:lineRule="auto"/>
        <w:rPr>
          <w:color w:val="0000FF"/>
          <w:sz w:val="20"/>
          <w:szCs w:val="20"/>
          <w:u w:val="single"/>
        </w:rPr>
      </w:pPr>
    </w:p>
    <w:sectPr w:rsidR="00C144BA" w:rsidRPr="00B719F2" w:rsidSect="004207FF">
      <w:head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420" w:right="567" w:bottom="567" w:left="1701" w:header="89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3144" w14:textId="77777777" w:rsidR="006430A0" w:rsidRDefault="006430A0">
      <w:pPr>
        <w:spacing w:after="0" w:line="240" w:lineRule="auto"/>
      </w:pPr>
      <w:r>
        <w:separator/>
      </w:r>
    </w:p>
  </w:endnote>
  <w:endnote w:type="continuationSeparator" w:id="0">
    <w:p w14:paraId="52B1D3CA" w14:textId="77777777" w:rsidR="006430A0" w:rsidRDefault="0064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F3E7" w14:textId="266D1658" w:rsidR="00071C6B" w:rsidRDefault="00071C6B">
    <w:pPr>
      <w:pStyle w:val="Porat"/>
      <w:tabs>
        <w:tab w:val="clear" w:pos="8306"/>
        <w:tab w:val="left" w:pos="8080"/>
        <w:tab w:val="right" w:pos="9356"/>
      </w:tabs>
    </w:pPr>
  </w:p>
  <w:p w14:paraId="7A35CA11" w14:textId="77777777" w:rsidR="00071C6B" w:rsidRDefault="00510822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FF70" w14:textId="77777777" w:rsidR="006430A0" w:rsidRDefault="006430A0">
      <w:pPr>
        <w:spacing w:after="0" w:line="240" w:lineRule="auto"/>
      </w:pPr>
      <w:r>
        <w:separator/>
      </w:r>
    </w:p>
  </w:footnote>
  <w:footnote w:type="continuationSeparator" w:id="0">
    <w:p w14:paraId="46D4DC6C" w14:textId="77777777" w:rsidR="006430A0" w:rsidRDefault="0064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165291"/>
      <w:docPartObj>
        <w:docPartGallery w:val="Page Numbers (Top of Page)"/>
        <w:docPartUnique/>
      </w:docPartObj>
    </w:sdtPr>
    <w:sdtEndPr/>
    <w:sdtContent>
      <w:p w14:paraId="7FFE30D0" w14:textId="7ECCB4D8" w:rsidR="00921CBB" w:rsidRDefault="00921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C5D">
          <w:rPr>
            <w:noProof/>
          </w:rPr>
          <w:t>5</w:t>
        </w:r>
        <w:r>
          <w:fldChar w:fldCharType="end"/>
        </w:r>
      </w:p>
    </w:sdtContent>
  </w:sdt>
  <w:p w14:paraId="67EA9768" w14:textId="77777777" w:rsidR="00071C6B" w:rsidRDefault="00071C6B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1576" w14:textId="0E925416" w:rsidR="00071C6B" w:rsidRDefault="00C81552">
    <w:pPr>
      <w:tabs>
        <w:tab w:val="right" w:pos="8306"/>
      </w:tabs>
      <w:suppressAutoHyphens w:val="0"/>
      <w:jc w:val="center"/>
      <w:rPr>
        <w:sz w:val="20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1EB08D23" wp14:editId="76233394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E0EEC" w14:textId="77777777" w:rsidR="00C81552" w:rsidRPr="00C81552" w:rsidRDefault="00C81552" w:rsidP="00C81552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  <w:r w:rsidRPr="00C81552">
      <w:rPr>
        <w:b/>
        <w:bCs/>
        <w:sz w:val="26"/>
        <w:lang w:eastAsia="en-US"/>
      </w:rPr>
      <w:t>LIETUVOS RESPUBLIKOS TEISINGUMO MINISTERIJA</w:t>
    </w:r>
  </w:p>
  <w:p w14:paraId="08FF4EDA" w14:textId="77777777" w:rsidR="00C81552" w:rsidRPr="00C81552" w:rsidRDefault="00C81552" w:rsidP="00C81552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</w:p>
  <w:p w14:paraId="4580AFE0" w14:textId="77777777" w:rsidR="00C81552" w:rsidRPr="00C81552" w:rsidRDefault="00C81552" w:rsidP="00C81552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 w:rsidRPr="00C81552">
      <w:rPr>
        <w:sz w:val="20"/>
        <w:lang w:eastAsia="en-US"/>
      </w:rPr>
      <w:t xml:space="preserve">Biudžetinė įstaiga, Gedimino pr. 30, LT-01104 Vilnius, </w:t>
    </w:r>
  </w:p>
  <w:p w14:paraId="74E8046E" w14:textId="77777777" w:rsidR="00C81552" w:rsidRPr="00C81552" w:rsidRDefault="00C81552" w:rsidP="00C81552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 w:rsidRPr="00C81552">
      <w:rPr>
        <w:sz w:val="20"/>
        <w:lang w:eastAsia="en-US"/>
      </w:rPr>
      <w:t xml:space="preserve">tel. (8 5) 266 2984, faks. (8 5) 262 5940, el. p. </w:t>
    </w:r>
    <w:hyperlink r:id="rId2" w:history="1">
      <w:r w:rsidRPr="00C81552">
        <w:rPr>
          <w:color w:val="0000FF"/>
          <w:sz w:val="20"/>
          <w:u w:val="single"/>
          <w:lang w:eastAsia="en-US"/>
        </w:rPr>
        <w:t>rastine@tm.lt</w:t>
      </w:r>
    </w:hyperlink>
    <w:r w:rsidRPr="00C81552">
      <w:rPr>
        <w:sz w:val="20"/>
        <w:lang w:eastAsia="en-US"/>
      </w:rPr>
      <w:t>, https://tm.lrv.lt.</w:t>
    </w:r>
  </w:p>
  <w:p w14:paraId="03FEEAEC" w14:textId="77777777" w:rsidR="00C81552" w:rsidRPr="00C81552" w:rsidRDefault="00C81552" w:rsidP="00C81552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 w:rsidRPr="00C81552">
      <w:rPr>
        <w:sz w:val="20"/>
        <w:lang w:eastAsia="en-US"/>
      </w:rPr>
      <w:t>Duomenys kaupiami ir saugomi Juridinių asmenų registre, kodas 188604955</w:t>
    </w:r>
  </w:p>
  <w:p w14:paraId="4B983DA3" w14:textId="77777777" w:rsidR="00071C6B" w:rsidRDefault="00071C6B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330403"/>
    <w:multiLevelType w:val="hybridMultilevel"/>
    <w:tmpl w:val="F0208800"/>
    <w:lvl w:ilvl="0" w:tplc="91B68E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543E3E"/>
    <w:multiLevelType w:val="hybridMultilevel"/>
    <w:tmpl w:val="C2444FA4"/>
    <w:lvl w:ilvl="0" w:tplc="95FEC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E4B29"/>
    <w:multiLevelType w:val="hybridMultilevel"/>
    <w:tmpl w:val="F844D098"/>
    <w:lvl w:ilvl="0" w:tplc="31DC35F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D34C7"/>
    <w:multiLevelType w:val="hybridMultilevel"/>
    <w:tmpl w:val="28E2A9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D34318"/>
    <w:multiLevelType w:val="multilevel"/>
    <w:tmpl w:val="43D343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D0C1C"/>
    <w:multiLevelType w:val="hybridMultilevel"/>
    <w:tmpl w:val="CB109F2A"/>
    <w:lvl w:ilvl="0" w:tplc="95FEC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630E8"/>
    <w:multiLevelType w:val="hybridMultilevel"/>
    <w:tmpl w:val="CB109F2A"/>
    <w:lvl w:ilvl="0" w:tplc="95FEC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8F0121"/>
    <w:multiLevelType w:val="multilevel"/>
    <w:tmpl w:val="4E8F0121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52D44F1C"/>
    <w:multiLevelType w:val="hybridMultilevel"/>
    <w:tmpl w:val="B0ECC642"/>
    <w:lvl w:ilvl="0" w:tplc="8634DE0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57BC9"/>
    <w:multiLevelType w:val="multilevel"/>
    <w:tmpl w:val="313AC7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61652228"/>
    <w:multiLevelType w:val="hybridMultilevel"/>
    <w:tmpl w:val="8BD03C74"/>
    <w:lvl w:ilvl="0" w:tplc="95FECB1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70FB4"/>
    <w:multiLevelType w:val="hybridMultilevel"/>
    <w:tmpl w:val="23B08F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342E6"/>
    <w:multiLevelType w:val="multilevel"/>
    <w:tmpl w:val="AF32971E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D87215D"/>
    <w:multiLevelType w:val="hybridMultilevel"/>
    <w:tmpl w:val="8BD03C74"/>
    <w:lvl w:ilvl="0" w:tplc="95FECB1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684BB7"/>
    <w:multiLevelType w:val="hybridMultilevel"/>
    <w:tmpl w:val="A7085424"/>
    <w:lvl w:ilvl="0" w:tplc="71A43B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A91A5B"/>
    <w:multiLevelType w:val="hybridMultilevel"/>
    <w:tmpl w:val="8BD03C74"/>
    <w:lvl w:ilvl="0" w:tplc="95FECB1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7"/>
  </w:num>
  <w:num w:numId="12">
    <w:abstractNumId w:val="2"/>
  </w:num>
  <w:num w:numId="13">
    <w:abstractNumId w:val="14"/>
  </w:num>
  <w:num w:numId="14">
    <w:abstractNumId w:val="16"/>
  </w:num>
  <w:num w:numId="15">
    <w:abstractNumId w:val="11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2A"/>
    <w:rsid w:val="000024F5"/>
    <w:rsid w:val="000126A3"/>
    <w:rsid w:val="0001732A"/>
    <w:rsid w:val="000203F3"/>
    <w:rsid w:val="00022E3C"/>
    <w:rsid w:val="0002765E"/>
    <w:rsid w:val="00032508"/>
    <w:rsid w:val="00033F22"/>
    <w:rsid w:val="000356BD"/>
    <w:rsid w:val="00043583"/>
    <w:rsid w:val="0004405D"/>
    <w:rsid w:val="00045F11"/>
    <w:rsid w:val="000474CE"/>
    <w:rsid w:val="00055405"/>
    <w:rsid w:val="00056395"/>
    <w:rsid w:val="00056485"/>
    <w:rsid w:val="0006186E"/>
    <w:rsid w:val="00062F1A"/>
    <w:rsid w:val="0006604C"/>
    <w:rsid w:val="00071C6B"/>
    <w:rsid w:val="00072919"/>
    <w:rsid w:val="000747EC"/>
    <w:rsid w:val="000756A8"/>
    <w:rsid w:val="000775CC"/>
    <w:rsid w:val="00087B55"/>
    <w:rsid w:val="0009008E"/>
    <w:rsid w:val="00093791"/>
    <w:rsid w:val="000949C1"/>
    <w:rsid w:val="00095F50"/>
    <w:rsid w:val="000B0D10"/>
    <w:rsid w:val="000B1ECA"/>
    <w:rsid w:val="000B57B1"/>
    <w:rsid w:val="000B6118"/>
    <w:rsid w:val="000B66CC"/>
    <w:rsid w:val="000B67D8"/>
    <w:rsid w:val="000D0B1C"/>
    <w:rsid w:val="000D3171"/>
    <w:rsid w:val="000E34D4"/>
    <w:rsid w:val="000E6E4F"/>
    <w:rsid w:val="000E7556"/>
    <w:rsid w:val="00102CE2"/>
    <w:rsid w:val="00106269"/>
    <w:rsid w:val="00110A05"/>
    <w:rsid w:val="00110EB4"/>
    <w:rsid w:val="001228BC"/>
    <w:rsid w:val="00125A96"/>
    <w:rsid w:val="00133358"/>
    <w:rsid w:val="00137EFF"/>
    <w:rsid w:val="00144EAB"/>
    <w:rsid w:val="00157949"/>
    <w:rsid w:val="00163BC0"/>
    <w:rsid w:val="00163C9F"/>
    <w:rsid w:val="00190365"/>
    <w:rsid w:val="00190B04"/>
    <w:rsid w:val="001A00F2"/>
    <w:rsid w:val="001A2BEB"/>
    <w:rsid w:val="001A72F9"/>
    <w:rsid w:val="001A756C"/>
    <w:rsid w:val="001B28DE"/>
    <w:rsid w:val="001C1840"/>
    <w:rsid w:val="001D72D4"/>
    <w:rsid w:val="001E0731"/>
    <w:rsid w:val="001E192A"/>
    <w:rsid w:val="001E1AF5"/>
    <w:rsid w:val="001E213B"/>
    <w:rsid w:val="001E38E1"/>
    <w:rsid w:val="001E4CDF"/>
    <w:rsid w:val="001E6D10"/>
    <w:rsid w:val="001E6F39"/>
    <w:rsid w:val="001F4940"/>
    <w:rsid w:val="00212DA8"/>
    <w:rsid w:val="00216724"/>
    <w:rsid w:val="00222D87"/>
    <w:rsid w:val="00224C7E"/>
    <w:rsid w:val="00225009"/>
    <w:rsid w:val="00237D74"/>
    <w:rsid w:val="00243E73"/>
    <w:rsid w:val="002442A0"/>
    <w:rsid w:val="002460F9"/>
    <w:rsid w:val="00247655"/>
    <w:rsid w:val="00253D25"/>
    <w:rsid w:val="00271BCA"/>
    <w:rsid w:val="0027526A"/>
    <w:rsid w:val="00291869"/>
    <w:rsid w:val="002A2A2E"/>
    <w:rsid w:val="002B6D17"/>
    <w:rsid w:val="002C0406"/>
    <w:rsid w:val="002D0B23"/>
    <w:rsid w:val="002D24DA"/>
    <w:rsid w:val="002D26BB"/>
    <w:rsid w:val="002E57CD"/>
    <w:rsid w:val="002F357E"/>
    <w:rsid w:val="003133A9"/>
    <w:rsid w:val="00314884"/>
    <w:rsid w:val="0031547F"/>
    <w:rsid w:val="003337BD"/>
    <w:rsid w:val="00335E75"/>
    <w:rsid w:val="00336A47"/>
    <w:rsid w:val="003425C7"/>
    <w:rsid w:val="00342B21"/>
    <w:rsid w:val="00345C41"/>
    <w:rsid w:val="00347E88"/>
    <w:rsid w:val="00350171"/>
    <w:rsid w:val="00351AE7"/>
    <w:rsid w:val="0035263F"/>
    <w:rsid w:val="00357B11"/>
    <w:rsid w:val="00366403"/>
    <w:rsid w:val="00374572"/>
    <w:rsid w:val="003816CC"/>
    <w:rsid w:val="00392BAA"/>
    <w:rsid w:val="003A0D57"/>
    <w:rsid w:val="003A2BEE"/>
    <w:rsid w:val="003A403B"/>
    <w:rsid w:val="003A6CAA"/>
    <w:rsid w:val="003C1BC9"/>
    <w:rsid w:val="003C76FB"/>
    <w:rsid w:val="003C7DA1"/>
    <w:rsid w:val="003F0E58"/>
    <w:rsid w:val="003F602E"/>
    <w:rsid w:val="00402C9C"/>
    <w:rsid w:val="00414FC9"/>
    <w:rsid w:val="004207FF"/>
    <w:rsid w:val="00422B6E"/>
    <w:rsid w:val="00422F55"/>
    <w:rsid w:val="00433DE0"/>
    <w:rsid w:val="004400C5"/>
    <w:rsid w:val="00444D3C"/>
    <w:rsid w:val="004473FF"/>
    <w:rsid w:val="00454170"/>
    <w:rsid w:val="0047098A"/>
    <w:rsid w:val="00475E42"/>
    <w:rsid w:val="00477775"/>
    <w:rsid w:val="00477ACD"/>
    <w:rsid w:val="00481BB1"/>
    <w:rsid w:val="0049675A"/>
    <w:rsid w:val="004B2E93"/>
    <w:rsid w:val="004C01E2"/>
    <w:rsid w:val="004C157C"/>
    <w:rsid w:val="004D28BA"/>
    <w:rsid w:val="004D3767"/>
    <w:rsid w:val="004D657F"/>
    <w:rsid w:val="004E00DA"/>
    <w:rsid w:val="004E0354"/>
    <w:rsid w:val="004E4C97"/>
    <w:rsid w:val="004E6A7E"/>
    <w:rsid w:val="004F1425"/>
    <w:rsid w:val="004F2AAB"/>
    <w:rsid w:val="004F7E5E"/>
    <w:rsid w:val="00503401"/>
    <w:rsid w:val="00510822"/>
    <w:rsid w:val="00510A04"/>
    <w:rsid w:val="00510C15"/>
    <w:rsid w:val="0051548F"/>
    <w:rsid w:val="00520A82"/>
    <w:rsid w:val="00526983"/>
    <w:rsid w:val="00543583"/>
    <w:rsid w:val="00544415"/>
    <w:rsid w:val="005468FA"/>
    <w:rsid w:val="00546FB6"/>
    <w:rsid w:val="00556A6C"/>
    <w:rsid w:val="00561D92"/>
    <w:rsid w:val="0056694C"/>
    <w:rsid w:val="005707F3"/>
    <w:rsid w:val="005708E4"/>
    <w:rsid w:val="00584AF7"/>
    <w:rsid w:val="005855B3"/>
    <w:rsid w:val="00591509"/>
    <w:rsid w:val="0059156B"/>
    <w:rsid w:val="005934F7"/>
    <w:rsid w:val="00595388"/>
    <w:rsid w:val="0059709E"/>
    <w:rsid w:val="005A1467"/>
    <w:rsid w:val="005A2039"/>
    <w:rsid w:val="005A32E3"/>
    <w:rsid w:val="005B22EF"/>
    <w:rsid w:val="005B2698"/>
    <w:rsid w:val="005B4BB7"/>
    <w:rsid w:val="005B71DB"/>
    <w:rsid w:val="005C01B3"/>
    <w:rsid w:val="005D4AB9"/>
    <w:rsid w:val="005E7F01"/>
    <w:rsid w:val="005F425F"/>
    <w:rsid w:val="005F6849"/>
    <w:rsid w:val="005F70CA"/>
    <w:rsid w:val="00600D8F"/>
    <w:rsid w:val="00604A90"/>
    <w:rsid w:val="00612654"/>
    <w:rsid w:val="00613F3D"/>
    <w:rsid w:val="00615AF6"/>
    <w:rsid w:val="006202AA"/>
    <w:rsid w:val="0063005B"/>
    <w:rsid w:val="00631354"/>
    <w:rsid w:val="00632C30"/>
    <w:rsid w:val="00641E93"/>
    <w:rsid w:val="006430A0"/>
    <w:rsid w:val="006464D7"/>
    <w:rsid w:val="006515A6"/>
    <w:rsid w:val="00670690"/>
    <w:rsid w:val="00670E66"/>
    <w:rsid w:val="00674F0A"/>
    <w:rsid w:val="00685024"/>
    <w:rsid w:val="0068661B"/>
    <w:rsid w:val="00692B0B"/>
    <w:rsid w:val="006934C0"/>
    <w:rsid w:val="006A0169"/>
    <w:rsid w:val="006A0771"/>
    <w:rsid w:val="006A3AEE"/>
    <w:rsid w:val="006B26A8"/>
    <w:rsid w:val="006C295A"/>
    <w:rsid w:val="006D6E0B"/>
    <w:rsid w:val="006E2FF8"/>
    <w:rsid w:val="006F61D9"/>
    <w:rsid w:val="0070100A"/>
    <w:rsid w:val="00701D09"/>
    <w:rsid w:val="00704358"/>
    <w:rsid w:val="007155A1"/>
    <w:rsid w:val="00722F84"/>
    <w:rsid w:val="00725F95"/>
    <w:rsid w:val="00733E65"/>
    <w:rsid w:val="00735C7F"/>
    <w:rsid w:val="0074745C"/>
    <w:rsid w:val="007529F4"/>
    <w:rsid w:val="00755247"/>
    <w:rsid w:val="0075689A"/>
    <w:rsid w:val="0076324C"/>
    <w:rsid w:val="007665A0"/>
    <w:rsid w:val="00775BDF"/>
    <w:rsid w:val="0078033B"/>
    <w:rsid w:val="007869EC"/>
    <w:rsid w:val="00786B42"/>
    <w:rsid w:val="007B1F82"/>
    <w:rsid w:val="007B3281"/>
    <w:rsid w:val="007B3C8C"/>
    <w:rsid w:val="007B4A13"/>
    <w:rsid w:val="007D2E15"/>
    <w:rsid w:val="007D65C0"/>
    <w:rsid w:val="007E5BB5"/>
    <w:rsid w:val="007E6CD5"/>
    <w:rsid w:val="007F29DA"/>
    <w:rsid w:val="007F2B61"/>
    <w:rsid w:val="007F56A4"/>
    <w:rsid w:val="007F63C3"/>
    <w:rsid w:val="007F7B9B"/>
    <w:rsid w:val="008140FF"/>
    <w:rsid w:val="00815414"/>
    <w:rsid w:val="00815767"/>
    <w:rsid w:val="00823112"/>
    <w:rsid w:val="008309E8"/>
    <w:rsid w:val="008756DC"/>
    <w:rsid w:val="00880773"/>
    <w:rsid w:val="008829DE"/>
    <w:rsid w:val="00882CFD"/>
    <w:rsid w:val="00884835"/>
    <w:rsid w:val="008A5254"/>
    <w:rsid w:val="008B45D7"/>
    <w:rsid w:val="008C162A"/>
    <w:rsid w:val="008C3A57"/>
    <w:rsid w:val="008C51A8"/>
    <w:rsid w:val="008C5C0D"/>
    <w:rsid w:val="008E15D0"/>
    <w:rsid w:val="008F43AC"/>
    <w:rsid w:val="00914B04"/>
    <w:rsid w:val="00921A20"/>
    <w:rsid w:val="00921CBB"/>
    <w:rsid w:val="00925538"/>
    <w:rsid w:val="00932834"/>
    <w:rsid w:val="00935287"/>
    <w:rsid w:val="0093690E"/>
    <w:rsid w:val="00953A38"/>
    <w:rsid w:val="00953A6C"/>
    <w:rsid w:val="00967916"/>
    <w:rsid w:val="009723F7"/>
    <w:rsid w:val="00976391"/>
    <w:rsid w:val="00977949"/>
    <w:rsid w:val="00977F51"/>
    <w:rsid w:val="009813B9"/>
    <w:rsid w:val="009A11A6"/>
    <w:rsid w:val="009A2B13"/>
    <w:rsid w:val="009B0944"/>
    <w:rsid w:val="009B4576"/>
    <w:rsid w:val="009B4926"/>
    <w:rsid w:val="009C5FBC"/>
    <w:rsid w:val="009C7F1E"/>
    <w:rsid w:val="009D4F4B"/>
    <w:rsid w:val="009D5D3E"/>
    <w:rsid w:val="009E0938"/>
    <w:rsid w:val="009E11EE"/>
    <w:rsid w:val="009E135C"/>
    <w:rsid w:val="00A1137E"/>
    <w:rsid w:val="00A17E41"/>
    <w:rsid w:val="00A248FA"/>
    <w:rsid w:val="00A249DE"/>
    <w:rsid w:val="00A262E4"/>
    <w:rsid w:val="00A27854"/>
    <w:rsid w:val="00A301A0"/>
    <w:rsid w:val="00A336F8"/>
    <w:rsid w:val="00A36467"/>
    <w:rsid w:val="00A40CD2"/>
    <w:rsid w:val="00A43104"/>
    <w:rsid w:val="00A43DDD"/>
    <w:rsid w:val="00A45A83"/>
    <w:rsid w:val="00A500C7"/>
    <w:rsid w:val="00A5068D"/>
    <w:rsid w:val="00A51241"/>
    <w:rsid w:val="00A70173"/>
    <w:rsid w:val="00A73F30"/>
    <w:rsid w:val="00A75141"/>
    <w:rsid w:val="00A83D20"/>
    <w:rsid w:val="00A94549"/>
    <w:rsid w:val="00AC27D6"/>
    <w:rsid w:val="00AC28AC"/>
    <w:rsid w:val="00AC40E7"/>
    <w:rsid w:val="00AD3550"/>
    <w:rsid w:val="00AD37E3"/>
    <w:rsid w:val="00AE0614"/>
    <w:rsid w:val="00AE3511"/>
    <w:rsid w:val="00AF3CE3"/>
    <w:rsid w:val="00AF6F49"/>
    <w:rsid w:val="00B077C2"/>
    <w:rsid w:val="00B10824"/>
    <w:rsid w:val="00B15DAF"/>
    <w:rsid w:val="00B21C24"/>
    <w:rsid w:val="00B30C9E"/>
    <w:rsid w:val="00B34506"/>
    <w:rsid w:val="00B40D2F"/>
    <w:rsid w:val="00B45D8B"/>
    <w:rsid w:val="00B719F2"/>
    <w:rsid w:val="00B7339D"/>
    <w:rsid w:val="00B942CE"/>
    <w:rsid w:val="00B96D90"/>
    <w:rsid w:val="00BA171F"/>
    <w:rsid w:val="00BA20D0"/>
    <w:rsid w:val="00BA60D3"/>
    <w:rsid w:val="00BA6893"/>
    <w:rsid w:val="00BA753E"/>
    <w:rsid w:val="00BB1BC1"/>
    <w:rsid w:val="00BB4D0A"/>
    <w:rsid w:val="00BB7E10"/>
    <w:rsid w:val="00BC005B"/>
    <w:rsid w:val="00BC41EE"/>
    <w:rsid w:val="00BD01B6"/>
    <w:rsid w:val="00BD62CA"/>
    <w:rsid w:val="00BE5C07"/>
    <w:rsid w:val="00BF4400"/>
    <w:rsid w:val="00C00B88"/>
    <w:rsid w:val="00C144BA"/>
    <w:rsid w:val="00C1755F"/>
    <w:rsid w:val="00C22184"/>
    <w:rsid w:val="00C2360C"/>
    <w:rsid w:val="00C255DA"/>
    <w:rsid w:val="00C26D5D"/>
    <w:rsid w:val="00C309A2"/>
    <w:rsid w:val="00C43A57"/>
    <w:rsid w:val="00C47E16"/>
    <w:rsid w:val="00C52D99"/>
    <w:rsid w:val="00C534BC"/>
    <w:rsid w:val="00C54279"/>
    <w:rsid w:val="00C655B6"/>
    <w:rsid w:val="00C81552"/>
    <w:rsid w:val="00C843F3"/>
    <w:rsid w:val="00C853D6"/>
    <w:rsid w:val="00C85C60"/>
    <w:rsid w:val="00CA5DDD"/>
    <w:rsid w:val="00CB1D28"/>
    <w:rsid w:val="00CB6EE3"/>
    <w:rsid w:val="00CC742A"/>
    <w:rsid w:val="00CD660D"/>
    <w:rsid w:val="00CE2E81"/>
    <w:rsid w:val="00CF1A99"/>
    <w:rsid w:val="00CF2C69"/>
    <w:rsid w:val="00D07F13"/>
    <w:rsid w:val="00D2173F"/>
    <w:rsid w:val="00D22358"/>
    <w:rsid w:val="00D22A39"/>
    <w:rsid w:val="00D244CA"/>
    <w:rsid w:val="00D2776B"/>
    <w:rsid w:val="00D452A7"/>
    <w:rsid w:val="00D45F28"/>
    <w:rsid w:val="00D5117C"/>
    <w:rsid w:val="00D51590"/>
    <w:rsid w:val="00D519E9"/>
    <w:rsid w:val="00D553A0"/>
    <w:rsid w:val="00D632F3"/>
    <w:rsid w:val="00D6461F"/>
    <w:rsid w:val="00D83D3F"/>
    <w:rsid w:val="00D9110C"/>
    <w:rsid w:val="00D9324E"/>
    <w:rsid w:val="00DA10E1"/>
    <w:rsid w:val="00DA16FD"/>
    <w:rsid w:val="00DB7EC6"/>
    <w:rsid w:val="00DC5F15"/>
    <w:rsid w:val="00DE51C4"/>
    <w:rsid w:val="00DF7BD5"/>
    <w:rsid w:val="00E02BB4"/>
    <w:rsid w:val="00E03B24"/>
    <w:rsid w:val="00E03D46"/>
    <w:rsid w:val="00E04931"/>
    <w:rsid w:val="00E2137F"/>
    <w:rsid w:val="00E214C4"/>
    <w:rsid w:val="00E31417"/>
    <w:rsid w:val="00E32D88"/>
    <w:rsid w:val="00E35543"/>
    <w:rsid w:val="00E36636"/>
    <w:rsid w:val="00E40223"/>
    <w:rsid w:val="00E43098"/>
    <w:rsid w:val="00E4319D"/>
    <w:rsid w:val="00E43B9C"/>
    <w:rsid w:val="00E63465"/>
    <w:rsid w:val="00E70A95"/>
    <w:rsid w:val="00E75D83"/>
    <w:rsid w:val="00E76BD0"/>
    <w:rsid w:val="00E81F28"/>
    <w:rsid w:val="00E843B1"/>
    <w:rsid w:val="00E86158"/>
    <w:rsid w:val="00E907B1"/>
    <w:rsid w:val="00E96B50"/>
    <w:rsid w:val="00EA1194"/>
    <w:rsid w:val="00EA3009"/>
    <w:rsid w:val="00EA4C5D"/>
    <w:rsid w:val="00EB3EDB"/>
    <w:rsid w:val="00ED3949"/>
    <w:rsid w:val="00ED467F"/>
    <w:rsid w:val="00ED66CB"/>
    <w:rsid w:val="00ED73D6"/>
    <w:rsid w:val="00EE5859"/>
    <w:rsid w:val="00EF07A0"/>
    <w:rsid w:val="00EF116B"/>
    <w:rsid w:val="00EF5630"/>
    <w:rsid w:val="00EF6B80"/>
    <w:rsid w:val="00EF7AB4"/>
    <w:rsid w:val="00F05FB4"/>
    <w:rsid w:val="00F20B28"/>
    <w:rsid w:val="00F316E6"/>
    <w:rsid w:val="00F35193"/>
    <w:rsid w:val="00F6147E"/>
    <w:rsid w:val="00F62B9E"/>
    <w:rsid w:val="00F63478"/>
    <w:rsid w:val="00F67ACD"/>
    <w:rsid w:val="00F73A02"/>
    <w:rsid w:val="00F743BA"/>
    <w:rsid w:val="00F74FB0"/>
    <w:rsid w:val="00F75CA0"/>
    <w:rsid w:val="00F85A80"/>
    <w:rsid w:val="00F87BA6"/>
    <w:rsid w:val="00F947AC"/>
    <w:rsid w:val="00FB183B"/>
    <w:rsid w:val="00FB295F"/>
    <w:rsid w:val="00FB41D3"/>
    <w:rsid w:val="00FB460D"/>
    <w:rsid w:val="00FB5D01"/>
    <w:rsid w:val="00FC0237"/>
    <w:rsid w:val="00FC0E93"/>
    <w:rsid w:val="00FC19F1"/>
    <w:rsid w:val="00FC5768"/>
    <w:rsid w:val="00FC5F4C"/>
    <w:rsid w:val="00FC7BE7"/>
    <w:rsid w:val="00FD1D3B"/>
    <w:rsid w:val="00FD2FDD"/>
    <w:rsid w:val="00FE2B69"/>
    <w:rsid w:val="00FF75F2"/>
    <w:rsid w:val="10B63795"/>
    <w:rsid w:val="2DF62A34"/>
    <w:rsid w:val="49827BE4"/>
    <w:rsid w:val="6A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FAF8"/>
  <w15:docId w15:val="{54E851F5-C19D-44AE-AEB2-8AFAFB40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right" w:pos="-1135"/>
        <w:tab w:val="center" w:pos="-568"/>
      </w:tabs>
    </w:pPr>
  </w:style>
  <w:style w:type="paragraph" w:styleId="Sraas">
    <w:name w:val="List"/>
    <w:basedOn w:val="Tekstas"/>
    <w:qFormat/>
    <w:rPr>
      <w:rFonts w:cs="Tahoma"/>
    </w:r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rastasiniatinklio">
    <w:name w:val="Normal (Web)"/>
    <w:basedOn w:val="prastasis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  <w:qFormat/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character" w:customStyle="1" w:styleId="PoratDiagrama">
    <w:name w:val="Poraštė Diagrama"/>
    <w:basedOn w:val="Numatytasispastraiposriftas"/>
    <w:link w:val="Porat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qFormat/>
    <w:rPr>
      <w:sz w:val="24"/>
      <w:szCs w:val="24"/>
      <w:lang w:eastAsia="ar-SA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rFonts w:eastAsia="Times New Roman"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Pr>
      <w:rFonts w:eastAsia="Times New Roman"/>
      <w:b/>
      <w:bCs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21CBB"/>
    <w:rPr>
      <w:rFonts w:eastAsia="Times New Roman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25F9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556A6C"/>
    <w:pPr>
      <w:suppressAutoHyphens w:val="0"/>
      <w:spacing w:before="100" w:beforeAutospacing="1" w:after="100" w:afterAutospacing="1" w:line="240" w:lineRule="auto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-seimas.lrs.lt/portal/legalAct/lt/TAK/733ba9501f4f11ecad9fbbf5f006237b?jfwid=-sziozl3u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-seimas.lrs.lt/portal/legalAct/lt/TAP/218dc210266a11ec99bbc1b08701c7f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gle.betingiene@tm.l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DA33FAA187B949ACF35FF148A1780E" ma:contentTypeVersion="5" ma:contentTypeDescription="Kurkite naują dokumentą." ma:contentTypeScope="" ma:versionID="7320c50d5167f2e35a0d7a0f403329d3">
  <xsd:schema xmlns:xsd="http://www.w3.org/2001/XMLSchema" xmlns:xs="http://www.w3.org/2001/XMLSchema" xmlns:p="http://schemas.microsoft.com/office/2006/metadata/properties" xmlns:ns3="83ee0f47-ff77-4bfc-8ba0-c95730de1b2a" xmlns:ns4="cb0e26bc-5899-435b-8f16-00fdd4dae716" targetNamespace="http://schemas.microsoft.com/office/2006/metadata/properties" ma:root="true" ma:fieldsID="690b300ff0787b96bfbd9e8e3d630294" ns3:_="" ns4:_="">
    <xsd:import namespace="83ee0f47-ff77-4bfc-8ba0-c95730de1b2a"/>
    <xsd:import namespace="cb0e26bc-5899-435b-8f16-00fdd4dae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0f47-ff77-4bfc-8ba0-c95730de1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26bc-5899-435b-8f16-00fdd4dae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4BF82-6983-4D6E-B342-EDFA87C98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A195DF6-E4EB-4364-BFC5-32110ADBD9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15E9B0-77C9-4B2C-A542-A4B80367D2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42B1A6-2644-491D-8E99-F71311F7A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e0f47-ff77-4bfc-8ba0-c95730de1b2a"/>
    <ds:schemaRef ds:uri="cb0e26bc-5899-435b-8f16-00fdd4dae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Kristina Šimkutė</cp:lastModifiedBy>
  <cp:revision>3</cp:revision>
  <cp:lastPrinted>2020-09-21T06:57:00Z</cp:lastPrinted>
  <dcterms:created xsi:type="dcterms:W3CDTF">2021-10-18T08:46:00Z</dcterms:created>
  <dcterms:modified xsi:type="dcterms:W3CDTF">2021-10-18T13:09:00Z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  <property fmtid="{D5CDD505-2E9C-101B-9397-08002B2CF9AE}" pid="3" name="ContentTypeId">
    <vt:lpwstr>0x0101007BDA33FAA187B949ACF35FF148A1780E</vt:lpwstr>
  </property>
</Properties>
</file>