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CA48" w14:textId="7230C473" w:rsidR="008121CC" w:rsidRPr="00CA2FFB" w:rsidRDefault="000462E3" w:rsidP="000462E3">
      <w:pPr>
        <w:spacing w:after="0" w:line="240" w:lineRule="auto"/>
        <w:jc w:val="center"/>
        <w:rPr>
          <w:rFonts w:ascii="Times New Roman" w:hAnsi="Times New Roman" w:cs="Times New Roman"/>
          <w:b/>
          <w:sz w:val="24"/>
          <w:szCs w:val="24"/>
        </w:rPr>
      </w:pPr>
      <w:r w:rsidRPr="00CA2FFB">
        <w:rPr>
          <w:rFonts w:ascii="Times New Roman" w:hAnsi="Times New Roman" w:cs="Times New Roman"/>
          <w:b/>
          <w:sz w:val="24"/>
          <w:szCs w:val="24"/>
        </w:rPr>
        <w:t>LIETUVOS RESPUBLIKOS NACIONALINIAM SAUGUMUI UŽTIKRINTI SVARBIŲ OBJEKTŲ APSAUGOS ĮSTATYMO NR. IX-1132 12, 13 IR 19 STRAIPSNIŲ PAKEITIMO ĮSTATYMO PROJEKTO</w:t>
      </w:r>
    </w:p>
    <w:p w14:paraId="68FD094C" w14:textId="53ED5528" w:rsidR="00617137" w:rsidRPr="00CA2FFB" w:rsidRDefault="00531804" w:rsidP="008121CC">
      <w:pPr>
        <w:spacing w:after="0" w:line="240" w:lineRule="auto"/>
        <w:jc w:val="center"/>
        <w:rPr>
          <w:rFonts w:ascii="Times New Roman" w:hAnsi="Times New Roman" w:cs="Times New Roman"/>
          <w:b/>
          <w:sz w:val="24"/>
          <w:szCs w:val="24"/>
        </w:rPr>
      </w:pPr>
      <w:r w:rsidRPr="00CA2FFB">
        <w:rPr>
          <w:rFonts w:ascii="Times New Roman" w:hAnsi="Times New Roman" w:cs="Times New Roman"/>
          <w:b/>
          <w:sz w:val="24"/>
          <w:szCs w:val="24"/>
        </w:rPr>
        <w:t>DERINIMO PAŽYMA</w:t>
      </w:r>
    </w:p>
    <w:p w14:paraId="52E8B03A" w14:textId="77777777" w:rsidR="000462E3" w:rsidRPr="00CA2FFB" w:rsidRDefault="000462E3" w:rsidP="008121CC">
      <w:pPr>
        <w:spacing w:after="0" w:line="240" w:lineRule="auto"/>
        <w:jc w:val="center"/>
        <w:rPr>
          <w:rFonts w:ascii="Times New Roman" w:hAnsi="Times New Roman" w:cs="Times New Roman"/>
          <w:b/>
          <w:sz w:val="24"/>
          <w:szCs w:val="24"/>
        </w:rPr>
      </w:pPr>
    </w:p>
    <w:tbl>
      <w:tblPr>
        <w:tblStyle w:val="Lentelstinklelis"/>
        <w:tblW w:w="14350" w:type="dxa"/>
        <w:tblInd w:w="-634" w:type="dxa"/>
        <w:tblLayout w:type="fixed"/>
        <w:tblLook w:val="04A0" w:firstRow="1" w:lastRow="0" w:firstColumn="1" w:lastColumn="0" w:noHBand="0" w:noVBand="1"/>
      </w:tblPr>
      <w:tblGrid>
        <w:gridCol w:w="720"/>
        <w:gridCol w:w="1723"/>
        <w:gridCol w:w="6521"/>
        <w:gridCol w:w="5386"/>
      </w:tblGrid>
      <w:tr w:rsidR="00C21EB6" w:rsidRPr="00674355" w14:paraId="67F2328A" w14:textId="77777777" w:rsidTr="00C62134">
        <w:tc>
          <w:tcPr>
            <w:tcW w:w="720" w:type="dxa"/>
            <w:shd w:val="clear" w:color="auto" w:fill="auto"/>
          </w:tcPr>
          <w:p w14:paraId="5A6899E1" w14:textId="5159D535" w:rsidR="00C21EB6" w:rsidRPr="00CA2FFB" w:rsidRDefault="00C21EB6" w:rsidP="00C21EB6">
            <w:pPr>
              <w:ind w:right="180"/>
              <w:jc w:val="center"/>
              <w:rPr>
                <w:rFonts w:ascii="Times New Roman" w:hAnsi="Times New Roman" w:cs="Times New Roman"/>
                <w:b/>
                <w:sz w:val="24"/>
                <w:szCs w:val="24"/>
                <w:lang w:val="lt-LT"/>
              </w:rPr>
            </w:pPr>
            <w:r w:rsidRPr="00CA2FFB">
              <w:rPr>
                <w:rFonts w:ascii="Times New Roman" w:hAnsi="Times New Roman" w:cs="Times New Roman"/>
                <w:b/>
                <w:sz w:val="24"/>
                <w:szCs w:val="24"/>
                <w:lang w:val="lt-LT"/>
              </w:rPr>
              <w:t>Eil. Nr.</w:t>
            </w:r>
          </w:p>
        </w:tc>
        <w:tc>
          <w:tcPr>
            <w:tcW w:w="1723" w:type="dxa"/>
          </w:tcPr>
          <w:p w14:paraId="04C65F5D" w14:textId="259B85CC" w:rsidR="00531804" w:rsidRPr="00CA2FFB" w:rsidRDefault="00531804" w:rsidP="00C21EB6">
            <w:pPr>
              <w:ind w:right="180"/>
              <w:jc w:val="center"/>
              <w:rPr>
                <w:rFonts w:ascii="Times New Roman" w:hAnsi="Times New Roman" w:cs="Times New Roman"/>
                <w:b/>
                <w:sz w:val="24"/>
                <w:szCs w:val="24"/>
                <w:lang w:val="lt-LT"/>
              </w:rPr>
            </w:pPr>
            <w:r w:rsidRPr="00CA2FFB">
              <w:rPr>
                <w:rFonts w:ascii="Times New Roman" w:hAnsi="Times New Roman" w:cs="Times New Roman"/>
                <w:b/>
                <w:sz w:val="24"/>
                <w:szCs w:val="24"/>
                <w:lang w:val="lt-LT"/>
              </w:rPr>
              <w:t>Institucij</w:t>
            </w:r>
            <w:r w:rsidR="00902F3E" w:rsidRPr="00CA2FFB">
              <w:rPr>
                <w:rFonts w:ascii="Times New Roman" w:hAnsi="Times New Roman" w:cs="Times New Roman"/>
                <w:b/>
                <w:sz w:val="24"/>
                <w:szCs w:val="24"/>
                <w:lang w:val="lt-LT"/>
              </w:rPr>
              <w:t xml:space="preserve">os pavadinimas, </w:t>
            </w:r>
            <w:r w:rsidR="006F6AB1" w:rsidRPr="00CA2FFB">
              <w:rPr>
                <w:rFonts w:ascii="Times New Roman" w:hAnsi="Times New Roman" w:cs="Times New Roman"/>
                <w:b/>
                <w:sz w:val="24"/>
                <w:szCs w:val="24"/>
                <w:lang w:val="lt-LT"/>
              </w:rPr>
              <w:t xml:space="preserve">rašto data ir </w:t>
            </w:r>
            <w:r w:rsidR="00902F3E" w:rsidRPr="00CA2FFB">
              <w:rPr>
                <w:rFonts w:ascii="Times New Roman" w:hAnsi="Times New Roman" w:cs="Times New Roman"/>
                <w:b/>
                <w:sz w:val="24"/>
                <w:szCs w:val="24"/>
                <w:lang w:val="lt-LT"/>
              </w:rPr>
              <w:t>numeris</w:t>
            </w:r>
          </w:p>
        </w:tc>
        <w:tc>
          <w:tcPr>
            <w:tcW w:w="6521" w:type="dxa"/>
          </w:tcPr>
          <w:p w14:paraId="24920601" w14:textId="77777777" w:rsidR="00C21EB6" w:rsidRPr="00CA2FFB" w:rsidRDefault="00C21EB6" w:rsidP="00C21EB6">
            <w:pPr>
              <w:ind w:right="180"/>
              <w:jc w:val="center"/>
              <w:rPr>
                <w:rFonts w:ascii="Times New Roman" w:hAnsi="Times New Roman" w:cs="Times New Roman"/>
                <w:b/>
                <w:sz w:val="24"/>
                <w:szCs w:val="24"/>
                <w:lang w:val="lt-LT"/>
              </w:rPr>
            </w:pPr>
          </w:p>
          <w:p w14:paraId="49451A46" w14:textId="7E552C50" w:rsidR="00531804" w:rsidRPr="00CA2FFB" w:rsidRDefault="00531804" w:rsidP="00C21EB6">
            <w:pPr>
              <w:ind w:right="180"/>
              <w:jc w:val="center"/>
              <w:rPr>
                <w:rFonts w:ascii="Times New Roman" w:hAnsi="Times New Roman" w:cs="Times New Roman"/>
                <w:b/>
                <w:sz w:val="24"/>
                <w:szCs w:val="24"/>
                <w:lang w:val="lt-LT"/>
              </w:rPr>
            </w:pPr>
            <w:r w:rsidRPr="00CA2FFB">
              <w:rPr>
                <w:rFonts w:ascii="Times New Roman" w:hAnsi="Times New Roman" w:cs="Times New Roman"/>
                <w:b/>
                <w:sz w:val="24"/>
                <w:szCs w:val="24"/>
                <w:lang w:val="lt-LT"/>
              </w:rPr>
              <w:t>Pastabos ir pasiūlymai</w:t>
            </w:r>
          </w:p>
          <w:p w14:paraId="7B0DBEB3" w14:textId="77777777" w:rsidR="00531804" w:rsidRPr="00CA2FFB" w:rsidRDefault="00531804" w:rsidP="00C21EB6">
            <w:pPr>
              <w:ind w:right="180"/>
              <w:jc w:val="center"/>
              <w:rPr>
                <w:rFonts w:ascii="Times New Roman" w:hAnsi="Times New Roman" w:cs="Times New Roman"/>
                <w:b/>
                <w:sz w:val="24"/>
                <w:szCs w:val="24"/>
                <w:lang w:val="lt-LT"/>
              </w:rPr>
            </w:pPr>
          </w:p>
        </w:tc>
        <w:tc>
          <w:tcPr>
            <w:tcW w:w="5386" w:type="dxa"/>
          </w:tcPr>
          <w:p w14:paraId="59F9A88C" w14:textId="77777777" w:rsidR="00C21EB6" w:rsidRPr="00CA2FFB" w:rsidRDefault="00C21EB6" w:rsidP="00C21EB6">
            <w:pPr>
              <w:jc w:val="center"/>
              <w:rPr>
                <w:rFonts w:ascii="Times New Roman" w:hAnsi="Times New Roman" w:cs="Times New Roman"/>
                <w:b/>
                <w:sz w:val="24"/>
                <w:szCs w:val="24"/>
                <w:lang w:val="lt-LT"/>
              </w:rPr>
            </w:pPr>
          </w:p>
          <w:p w14:paraId="5959DFF9" w14:textId="10FD2178" w:rsidR="00531804" w:rsidRPr="00CA2FFB" w:rsidRDefault="00902F3E" w:rsidP="00C21EB6">
            <w:pPr>
              <w:jc w:val="center"/>
              <w:rPr>
                <w:rFonts w:ascii="Times New Roman" w:hAnsi="Times New Roman" w:cs="Times New Roman"/>
                <w:b/>
                <w:sz w:val="24"/>
                <w:szCs w:val="24"/>
                <w:lang w:val="lt-LT"/>
              </w:rPr>
            </w:pPr>
            <w:r w:rsidRPr="00CA2FFB">
              <w:rPr>
                <w:rFonts w:ascii="Times New Roman" w:hAnsi="Times New Roman" w:cs="Times New Roman"/>
                <w:b/>
                <w:sz w:val="24"/>
                <w:szCs w:val="24"/>
                <w:lang w:val="lt-LT"/>
              </w:rPr>
              <w:t>Argumentai, kodėl neatsižvelgta arba tik iš dalies atsižvelgta į pastabas ir pasiūlymus</w:t>
            </w:r>
          </w:p>
        </w:tc>
      </w:tr>
      <w:tr w:rsidR="00C21EB6" w:rsidRPr="00674355" w14:paraId="34130181" w14:textId="77777777" w:rsidTr="00C62134">
        <w:tc>
          <w:tcPr>
            <w:tcW w:w="720" w:type="dxa"/>
            <w:shd w:val="clear" w:color="auto" w:fill="auto"/>
          </w:tcPr>
          <w:p w14:paraId="2F6D55FA" w14:textId="72EE0543" w:rsidR="00C21EB6" w:rsidRPr="00CA2FFB" w:rsidRDefault="00C21EB6" w:rsidP="00C21EB6">
            <w:pPr>
              <w:ind w:right="180"/>
              <w:jc w:val="center"/>
              <w:rPr>
                <w:rFonts w:ascii="Times New Roman" w:hAnsi="Times New Roman" w:cs="Times New Roman"/>
                <w:b/>
                <w:sz w:val="24"/>
                <w:szCs w:val="24"/>
                <w:lang w:val="lt-LT"/>
              </w:rPr>
            </w:pPr>
            <w:r w:rsidRPr="00CA2FFB">
              <w:rPr>
                <w:rFonts w:ascii="Times New Roman" w:hAnsi="Times New Roman" w:cs="Times New Roman"/>
                <w:sz w:val="24"/>
                <w:szCs w:val="24"/>
              </w:rPr>
              <w:t>1.</w:t>
            </w:r>
          </w:p>
        </w:tc>
        <w:tc>
          <w:tcPr>
            <w:tcW w:w="1723" w:type="dxa"/>
          </w:tcPr>
          <w:p w14:paraId="10881C15" w14:textId="1D36F263" w:rsidR="00C21EB6" w:rsidRPr="00CA2FFB" w:rsidRDefault="00C21EB6" w:rsidP="00F242DB">
            <w:pPr>
              <w:ind w:right="180"/>
              <w:jc w:val="center"/>
              <w:rPr>
                <w:rFonts w:ascii="Times New Roman" w:hAnsi="Times New Roman" w:cs="Times New Roman"/>
                <w:b/>
                <w:sz w:val="24"/>
                <w:szCs w:val="24"/>
                <w:lang w:val="lt-LT"/>
              </w:rPr>
            </w:pPr>
            <w:r w:rsidRPr="00CA2FFB">
              <w:rPr>
                <w:rFonts w:ascii="Times New Roman" w:hAnsi="Times New Roman" w:cs="Times New Roman"/>
                <w:sz w:val="24"/>
                <w:szCs w:val="24"/>
                <w:lang w:val="lt-LT"/>
              </w:rPr>
              <w:t xml:space="preserve">Lietuvos Respublikos krašto apsaugos ministerija, </w:t>
            </w:r>
            <w:r w:rsidRPr="00CA2FFB">
              <w:rPr>
                <w:rFonts w:ascii="Times New Roman" w:hAnsi="Times New Roman" w:cs="Times New Roman"/>
                <w:sz w:val="24"/>
                <w:szCs w:val="24"/>
              </w:rPr>
              <w:t xml:space="preserve">2022-02-11 </w:t>
            </w:r>
            <w:proofErr w:type="spellStart"/>
            <w:r w:rsidRPr="00CA2FFB">
              <w:rPr>
                <w:rFonts w:ascii="Times New Roman" w:hAnsi="Times New Roman" w:cs="Times New Roman"/>
                <w:sz w:val="24"/>
                <w:szCs w:val="24"/>
              </w:rPr>
              <w:t>išvada</w:t>
            </w:r>
            <w:proofErr w:type="spellEnd"/>
            <w:r w:rsidRPr="00CA2FFB">
              <w:rPr>
                <w:rFonts w:ascii="Times New Roman" w:hAnsi="Times New Roman" w:cs="Times New Roman"/>
                <w:sz w:val="24"/>
                <w:szCs w:val="24"/>
              </w:rPr>
              <w:t xml:space="preserve"> Nr. 12-01-240</w:t>
            </w:r>
          </w:p>
        </w:tc>
        <w:tc>
          <w:tcPr>
            <w:tcW w:w="6521" w:type="dxa"/>
          </w:tcPr>
          <w:p w14:paraId="551BCD07" w14:textId="3811A4B7" w:rsidR="00C21EB6" w:rsidRPr="00CA2FFB" w:rsidRDefault="00C21EB6" w:rsidP="00C21EB6">
            <w:pPr>
              <w:tabs>
                <w:tab w:val="left" w:pos="993"/>
              </w:tabs>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 xml:space="preserve">2. </w:t>
            </w:r>
            <w:r w:rsidR="00C62134" w:rsidRPr="00CA2FFB">
              <w:rPr>
                <w:rFonts w:ascii="Times New Roman" w:hAnsi="Times New Roman" w:cs="Times New Roman"/>
                <w:sz w:val="24"/>
                <w:szCs w:val="24"/>
                <w:lang w:val="lt-LT"/>
              </w:rPr>
              <w:t>&lt;....&gt;</w:t>
            </w:r>
            <w:r w:rsidRPr="00CA2FFB">
              <w:rPr>
                <w:rFonts w:ascii="Times New Roman" w:hAnsi="Times New Roman" w:cs="Times New Roman"/>
                <w:sz w:val="24"/>
                <w:szCs w:val="24"/>
                <w:lang w:val="lt-LT"/>
              </w:rPr>
              <w:t xml:space="preserve"> Krašto apsaugos ministerijos nuomone, d ir e papunkčiuose nurodytos aplinkybės jau yra pakankamai pavojingos, kad būtų laikomos savarankiškais kriterijais, todėl joms esant neturėtų būti taikomas reikalavimas nustatyti ir sandorio šalies atitiktį šio įstatymo 11 straipsnyje nustatytiems kriterijams. Atsižvelgiant į tai, siūlytina tikslinti šio įstatymo 13 straipsnio 6 dalį, numatant, kad šio įstatymo 13 straipsnio 4 dalies 1 punkto d ir e papunkčiuose nurodytų aplinkybių pakanka, kad sandoris būtų laikomas keliančiu riziką arba neatitinkančiu nacionalinio saugumo interesų:</w:t>
            </w:r>
          </w:p>
          <w:p w14:paraId="6774A4CE" w14:textId="77777777" w:rsidR="00C21EB6" w:rsidRPr="00CA2FFB" w:rsidRDefault="00F242DB" w:rsidP="00F242DB">
            <w:pPr>
              <w:ind w:firstLine="720"/>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 xml:space="preserve">„6. Jeigu nustatoma, kad sandorio pagrindu sandorio šaliai būtų ar yra suteiktos šio straipsnio 4 dalies 1 punkto a–c papunkčiuose nurodytos teisės ar kyla šio straipsnio 4 dalies 1 punkto </w:t>
            </w:r>
            <w:r w:rsidRPr="00CA2FFB">
              <w:rPr>
                <w:rFonts w:ascii="Times New Roman" w:hAnsi="Times New Roman" w:cs="Times New Roman"/>
                <w:strike/>
                <w:sz w:val="24"/>
                <w:szCs w:val="24"/>
                <w:lang w:val="lt-LT"/>
              </w:rPr>
              <w:t>d–f papunkčiuose nurodytos rizikos</w:t>
            </w:r>
            <w:r w:rsidRPr="00CA2FFB">
              <w:rPr>
                <w:rFonts w:ascii="Times New Roman" w:hAnsi="Times New Roman" w:cs="Times New Roman"/>
                <w:sz w:val="24"/>
                <w:szCs w:val="24"/>
                <w:lang w:val="lt-LT"/>
              </w:rPr>
              <w:t xml:space="preserve"> </w:t>
            </w:r>
            <w:r w:rsidRPr="00CA2FFB">
              <w:rPr>
                <w:rFonts w:ascii="Times New Roman" w:hAnsi="Times New Roman" w:cs="Times New Roman"/>
                <w:b/>
                <w:bCs/>
                <w:sz w:val="24"/>
                <w:szCs w:val="24"/>
                <w:lang w:val="lt-LT"/>
              </w:rPr>
              <w:t>f papunktyje nurodyta rizika</w:t>
            </w:r>
            <w:r w:rsidRPr="00CA2FFB">
              <w:rPr>
                <w:rFonts w:ascii="Times New Roman" w:hAnsi="Times New Roman" w:cs="Times New Roman"/>
                <w:sz w:val="24"/>
                <w:szCs w:val="24"/>
                <w:lang w:val="lt-LT"/>
              </w:rPr>
              <w:t xml:space="preserve">, o trečiajam asmeniui – šio straipsnio 4 dalies 1 punkto a papunktyje nurodytos teisės ir tokia sandorio šalis arba trečiasis asmuo kelia riziką arba neatitinka nacionalinio saugumo interesų, </w:t>
            </w:r>
            <w:r w:rsidRPr="00CA2FFB">
              <w:rPr>
                <w:rFonts w:ascii="Times New Roman" w:hAnsi="Times New Roman" w:cs="Times New Roman"/>
                <w:b/>
                <w:bCs/>
                <w:sz w:val="24"/>
                <w:szCs w:val="24"/>
                <w:lang w:val="lt-LT"/>
              </w:rPr>
              <w:t xml:space="preserve">taip pat jeigu sandorio pagrindu kyla šio straipsnio 4 dalies 1 punkto d ir e papunkčiuose nurodytos rizikos, </w:t>
            </w:r>
            <w:r w:rsidRPr="00CA2FFB">
              <w:rPr>
                <w:rFonts w:ascii="Times New Roman" w:hAnsi="Times New Roman" w:cs="Times New Roman"/>
                <w:sz w:val="24"/>
                <w:szCs w:val="24"/>
                <w:lang w:val="lt-LT"/>
              </w:rPr>
              <w:t>toks sandoris laikomas atitinkamai keliančiu riziką arba neatitinkančiu nacionalinio saugumo interesų. Šioje dalyje nurodyti sprendimai priimami </w:t>
            </w:r>
            <w:proofErr w:type="spellStart"/>
            <w:r w:rsidRPr="00CA2FFB">
              <w:rPr>
                <w:rFonts w:ascii="Times New Roman" w:hAnsi="Times New Roman" w:cs="Times New Roman"/>
                <w:i/>
                <w:iCs/>
                <w:sz w:val="24"/>
                <w:szCs w:val="24"/>
                <w:lang w:val="lt-LT"/>
              </w:rPr>
              <w:t>mutatis</w:t>
            </w:r>
            <w:proofErr w:type="spellEnd"/>
            <w:r w:rsidRPr="00CA2FFB">
              <w:rPr>
                <w:rFonts w:ascii="Times New Roman" w:hAnsi="Times New Roman" w:cs="Times New Roman"/>
                <w:i/>
                <w:iCs/>
                <w:sz w:val="24"/>
                <w:szCs w:val="24"/>
                <w:lang w:val="lt-LT"/>
              </w:rPr>
              <w:t xml:space="preserve"> </w:t>
            </w:r>
            <w:proofErr w:type="spellStart"/>
            <w:r w:rsidRPr="00CA2FFB">
              <w:rPr>
                <w:rFonts w:ascii="Times New Roman" w:hAnsi="Times New Roman" w:cs="Times New Roman"/>
                <w:i/>
                <w:iCs/>
                <w:sz w:val="24"/>
                <w:szCs w:val="24"/>
                <w:lang w:val="lt-LT"/>
              </w:rPr>
              <w:t>mutandis</w:t>
            </w:r>
            <w:proofErr w:type="spellEnd"/>
            <w:r w:rsidRPr="00CA2FFB">
              <w:rPr>
                <w:rFonts w:ascii="Times New Roman" w:hAnsi="Times New Roman" w:cs="Times New Roman"/>
                <w:sz w:val="24"/>
                <w:szCs w:val="24"/>
                <w:lang w:val="lt-LT"/>
              </w:rPr>
              <w:t> laikantis šio įstatymo 12 straipsnyje nustatytos tvarkos.“</w:t>
            </w:r>
          </w:p>
          <w:p w14:paraId="2C9F47E6" w14:textId="77777777" w:rsidR="00F242DB" w:rsidRPr="00CA2FFB" w:rsidRDefault="00F242DB" w:rsidP="00F242DB">
            <w:pPr>
              <w:ind w:firstLine="720"/>
              <w:jc w:val="both"/>
              <w:rPr>
                <w:rFonts w:ascii="Times New Roman" w:hAnsi="Times New Roman" w:cs="Times New Roman"/>
                <w:sz w:val="24"/>
                <w:szCs w:val="24"/>
                <w:lang w:val="lt-LT"/>
              </w:rPr>
            </w:pPr>
          </w:p>
          <w:p w14:paraId="10A76AD8" w14:textId="77777777" w:rsidR="00F242DB" w:rsidRPr="00CA2FFB" w:rsidRDefault="00F242DB" w:rsidP="00F242DB">
            <w:pPr>
              <w:autoSpaceDE w:val="0"/>
              <w:autoSpaceDN w:val="0"/>
              <w:adjustRightInd w:val="0"/>
              <w:ind w:right="55"/>
              <w:jc w:val="both"/>
              <w:rPr>
                <w:rFonts w:ascii="Times New Roman" w:hAnsi="Times New Roman" w:cs="Times New Roman"/>
                <w:i/>
                <w:iCs/>
                <w:sz w:val="24"/>
                <w:szCs w:val="24"/>
                <w:lang w:val="lt-LT"/>
              </w:rPr>
            </w:pPr>
            <w:r w:rsidRPr="00CA2FFB">
              <w:rPr>
                <w:rFonts w:ascii="Times New Roman" w:hAnsi="Times New Roman" w:cs="Times New Roman"/>
                <w:sz w:val="24"/>
                <w:szCs w:val="24"/>
                <w:lang w:val="lt-LT"/>
              </w:rPr>
              <w:t xml:space="preserve">3. F papunktyje numatomas kriterijus yra susijęs su sandorio šaliai suteikiama prieiga prie </w:t>
            </w:r>
            <w:r w:rsidRPr="00CA2FFB">
              <w:rPr>
                <w:rFonts w:ascii="Times New Roman" w:hAnsi="Times New Roman" w:cs="Times New Roman"/>
                <w:i/>
                <w:iCs/>
                <w:sz w:val="24"/>
                <w:szCs w:val="24"/>
                <w:lang w:val="lt-LT"/>
              </w:rPr>
              <w:t xml:space="preserve">ypatingos svarbos infrastruktūros objektų. </w:t>
            </w:r>
            <w:r w:rsidRPr="00CA2FFB">
              <w:rPr>
                <w:rFonts w:ascii="Times New Roman" w:hAnsi="Times New Roman" w:cs="Times New Roman"/>
                <w:sz w:val="24"/>
                <w:szCs w:val="24"/>
                <w:lang w:val="lt-LT"/>
              </w:rPr>
              <w:t xml:space="preserve">Atkreiptinas dėmesys, kad </w:t>
            </w:r>
            <w:r w:rsidRPr="00CA2FFB">
              <w:rPr>
                <w:rFonts w:ascii="Times New Roman" w:hAnsi="Times New Roman" w:cs="Times New Roman"/>
                <w:i/>
                <w:iCs/>
                <w:sz w:val="24"/>
                <w:szCs w:val="24"/>
                <w:lang w:val="lt-LT"/>
              </w:rPr>
              <w:t>ypatingos svarbos infrastruktūros objekto</w:t>
            </w:r>
            <w:r w:rsidRPr="00CA2FFB">
              <w:rPr>
                <w:rFonts w:ascii="Times New Roman" w:hAnsi="Times New Roman" w:cs="Times New Roman"/>
                <w:sz w:val="24"/>
                <w:szCs w:val="24"/>
                <w:lang w:val="lt-LT"/>
              </w:rPr>
              <w:t xml:space="preserve"> sąvoka Nacionaliniam saugumui užtikrinti svarbių objektų apsaugos įstatyme nėra vartojama, todėl šio įstatymo kontekste yra neaiškus šios sąvokos turinys, kaip šie objektai galėtų būti identifikuojami ir kas tą turėtų daryti. </w:t>
            </w:r>
            <w:r w:rsidRPr="00CA2FFB">
              <w:rPr>
                <w:rFonts w:ascii="Times New Roman" w:hAnsi="Times New Roman" w:cs="Times New Roman"/>
                <w:i/>
                <w:sz w:val="24"/>
                <w:szCs w:val="24"/>
                <w:lang w:val="lt-LT"/>
              </w:rPr>
              <w:lastRenderedPageBreak/>
              <w:t>Y</w:t>
            </w:r>
            <w:r w:rsidRPr="00CA2FFB">
              <w:rPr>
                <w:rFonts w:ascii="Times New Roman" w:hAnsi="Times New Roman" w:cs="Times New Roman"/>
                <w:i/>
                <w:iCs/>
                <w:sz w:val="24"/>
                <w:szCs w:val="24"/>
                <w:lang w:val="lt-LT"/>
              </w:rPr>
              <w:t>patingos svarbos infrastruktūros objekto</w:t>
            </w:r>
            <w:r w:rsidRPr="00CA2FFB">
              <w:rPr>
                <w:rFonts w:ascii="Times New Roman" w:hAnsi="Times New Roman" w:cs="Times New Roman"/>
                <w:sz w:val="24"/>
                <w:szCs w:val="24"/>
                <w:lang w:val="lt-LT"/>
              </w:rPr>
              <w:t xml:space="preserve"> sąvoka yra apibrėžta Ypatingos svarbos informacinės infrastruktūros identifikavimo metodikoje, patvirtintoje Lietuvos Respublikos Vyriausybės 2018 m. rugpjūčio 13 d. nutarimu Nr. 818 „Dėl Lietuvos Respublikos kibernetinio saugumo įstatymo įgyvendinimo“, tačiau yra taikoma tik ypatingos svarbos informacinės infrastruktūros identifikavimo procese. Atkreipiame dėmesį, kad Nacionaliniam saugumui užtikrinti svarbių objektų apsaugos įstatyme yra vartojama kita, Lietuvos Respublikos kibernetinio saugumo įstatyme įtvirtinta, </w:t>
            </w:r>
            <w:r w:rsidRPr="00CA2FFB">
              <w:rPr>
                <w:rFonts w:ascii="Times New Roman" w:hAnsi="Times New Roman" w:cs="Times New Roman"/>
                <w:i/>
                <w:iCs/>
                <w:sz w:val="24"/>
                <w:szCs w:val="24"/>
                <w:lang w:val="lt-LT"/>
              </w:rPr>
              <w:t xml:space="preserve">ypatingos svarbos informacinės infrastruktūros </w:t>
            </w:r>
            <w:r w:rsidRPr="00CA2FFB">
              <w:rPr>
                <w:rFonts w:ascii="Times New Roman" w:hAnsi="Times New Roman" w:cs="Times New Roman"/>
                <w:sz w:val="24"/>
                <w:szCs w:val="24"/>
                <w:lang w:val="lt-LT"/>
              </w:rPr>
              <w:t xml:space="preserve">sąvoka, todėl svarstytina, ar f papunktyje neturėtų būti kalbama apie </w:t>
            </w:r>
            <w:r w:rsidRPr="00CA2FFB">
              <w:rPr>
                <w:rFonts w:ascii="Times New Roman" w:hAnsi="Times New Roman" w:cs="Times New Roman"/>
                <w:i/>
                <w:iCs/>
                <w:sz w:val="24"/>
                <w:szCs w:val="24"/>
                <w:lang w:val="lt-LT"/>
              </w:rPr>
              <w:t xml:space="preserve">ypatingos svarbos informacinę infrastruktūrą. </w:t>
            </w:r>
          </w:p>
          <w:p w14:paraId="50AA1750" w14:textId="00E35778" w:rsidR="00F242DB" w:rsidRPr="00CA2FFB" w:rsidRDefault="00F242DB" w:rsidP="00F242DB">
            <w:pPr>
              <w:ind w:firstLine="720"/>
              <w:jc w:val="both"/>
              <w:rPr>
                <w:rFonts w:ascii="Times New Roman" w:hAnsi="Times New Roman" w:cs="Times New Roman"/>
                <w:sz w:val="24"/>
                <w:szCs w:val="24"/>
                <w:lang w:val="lt-LT"/>
              </w:rPr>
            </w:pPr>
          </w:p>
        </w:tc>
        <w:tc>
          <w:tcPr>
            <w:tcW w:w="5386" w:type="dxa"/>
          </w:tcPr>
          <w:p w14:paraId="186E117B" w14:textId="4BEB0C22" w:rsidR="00F242DB" w:rsidRPr="00CA2FFB" w:rsidRDefault="00F242DB" w:rsidP="00F242DB">
            <w:pPr>
              <w:jc w:val="both"/>
              <w:rPr>
                <w:rFonts w:ascii="Times New Roman" w:hAnsi="Times New Roman" w:cs="Times New Roman"/>
                <w:sz w:val="24"/>
                <w:szCs w:val="24"/>
                <w:lang w:val="lt-LT"/>
              </w:rPr>
            </w:pPr>
            <w:r w:rsidRPr="00CA2FFB">
              <w:rPr>
                <w:rFonts w:ascii="Times New Roman" w:hAnsi="Times New Roman" w:cs="Times New Roman"/>
                <w:b/>
                <w:sz w:val="24"/>
                <w:szCs w:val="24"/>
                <w:lang w:val="lt-LT"/>
              </w:rPr>
              <w:lastRenderedPageBreak/>
              <w:t xml:space="preserve">Atsižvelgta iš dalies. </w:t>
            </w:r>
            <w:r w:rsidRPr="00CA2FFB">
              <w:rPr>
                <w:rFonts w:ascii="Times New Roman" w:hAnsi="Times New Roman" w:cs="Times New Roman"/>
                <w:bCs/>
                <w:sz w:val="24"/>
                <w:szCs w:val="24"/>
                <w:lang w:val="lt-LT"/>
              </w:rPr>
              <w:t xml:space="preserve">Siekiant teisinio aiškumo, Įstatymo projekte siūloma vartoti formuluotę: </w:t>
            </w:r>
            <w:r w:rsidRPr="00CA2FFB">
              <w:rPr>
                <w:rFonts w:ascii="Times New Roman" w:hAnsi="Times New Roman" w:cs="Times New Roman"/>
                <w:bCs/>
                <w:i/>
                <w:iCs/>
                <w:sz w:val="24"/>
                <w:szCs w:val="24"/>
                <w:lang w:val="lt-LT"/>
              </w:rPr>
              <w:t xml:space="preserve">autoritariniai režimai, kaip jie suprantami pagal Lietuvos Respublikos Seimo patvirtintą Nacionalinę saugumo strategiją. </w:t>
            </w:r>
            <w:r w:rsidRPr="00CA2FFB">
              <w:rPr>
                <w:rFonts w:ascii="Times New Roman" w:hAnsi="Times New Roman" w:cs="Times New Roman"/>
                <w:bCs/>
                <w:sz w:val="24"/>
                <w:szCs w:val="24"/>
                <w:lang w:val="lt-LT"/>
              </w:rPr>
              <w:t xml:space="preserve">Formuluočių </w:t>
            </w:r>
            <w:r w:rsidRPr="00CA2FFB">
              <w:rPr>
                <w:rFonts w:ascii="Times New Roman" w:hAnsi="Times New Roman" w:cs="Times New Roman"/>
                <w:bCs/>
                <w:i/>
                <w:iCs/>
                <w:sz w:val="24"/>
                <w:szCs w:val="24"/>
                <w:lang w:val="lt-LT"/>
              </w:rPr>
              <w:t>„</w:t>
            </w:r>
            <w:r w:rsidRPr="00CA2FFB">
              <w:rPr>
                <w:rFonts w:ascii="Times New Roman" w:hAnsi="Times New Roman" w:cs="Times New Roman"/>
                <w:i/>
                <w:iCs/>
                <w:sz w:val="24"/>
                <w:szCs w:val="24"/>
                <w:lang w:val="lt-LT"/>
              </w:rPr>
              <w:t xml:space="preserve">ekonominis priklausomumas nuo autoritarinių ir (arba) antidemokratinių režimų“, „režimai, turintys priešišką interesą Lietuvos Respublikos atžvilgiu“ </w:t>
            </w:r>
            <w:r w:rsidRPr="00CA2FFB">
              <w:rPr>
                <w:rFonts w:ascii="Times New Roman" w:hAnsi="Times New Roman" w:cs="Times New Roman"/>
                <w:sz w:val="24"/>
                <w:szCs w:val="24"/>
                <w:lang w:val="lt-LT"/>
              </w:rPr>
              <w:t xml:space="preserve">atsisakyta. </w:t>
            </w:r>
          </w:p>
          <w:p w14:paraId="51A16423" w14:textId="018785E9" w:rsidR="00F242DB" w:rsidRPr="00CA2FFB" w:rsidRDefault="00F242DB" w:rsidP="00F242DB">
            <w:pPr>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 xml:space="preserve">Neatsižvelgta į siūlymą sandorio vertinimo kriterijus nurodyti kaip savarankiškus. Siūlome šiuo metu nekeisti sistemos ir palikti šiuo metu galiojančio Nacionaliniam saugumui užtikrinti svarbių objektų apsaugos įstatyme (toliau – Nacionalinio saugumo įstatymas)  nustatytą mechanizmą dėl sandorio vertinimo, kai sandoris turi būti vertinamas ir šalies požiūriu, ir pagal vertinimo kriterijus dėl sandorio esmės. </w:t>
            </w:r>
          </w:p>
          <w:p w14:paraId="378B855B" w14:textId="77777777" w:rsidR="00F242DB" w:rsidRPr="00CA2FFB" w:rsidRDefault="00F242DB" w:rsidP="00F242DB">
            <w:pPr>
              <w:jc w:val="both"/>
              <w:rPr>
                <w:rFonts w:ascii="Times New Roman" w:hAnsi="Times New Roman" w:cs="Times New Roman"/>
                <w:sz w:val="24"/>
                <w:szCs w:val="24"/>
                <w:lang w:val="lt-LT"/>
              </w:rPr>
            </w:pPr>
          </w:p>
          <w:p w14:paraId="04BD12D6" w14:textId="77777777" w:rsidR="00C21EB6" w:rsidRPr="00CA2FFB" w:rsidRDefault="00C21EB6" w:rsidP="00C21EB6">
            <w:pPr>
              <w:jc w:val="center"/>
              <w:rPr>
                <w:rFonts w:ascii="Times New Roman" w:hAnsi="Times New Roman" w:cs="Times New Roman"/>
                <w:b/>
                <w:sz w:val="24"/>
                <w:szCs w:val="24"/>
                <w:lang w:val="lt-LT"/>
              </w:rPr>
            </w:pPr>
          </w:p>
          <w:p w14:paraId="5C510925" w14:textId="77777777" w:rsidR="00F242DB" w:rsidRPr="00CA2FFB" w:rsidRDefault="00F242DB" w:rsidP="00C21EB6">
            <w:pPr>
              <w:jc w:val="center"/>
              <w:rPr>
                <w:rFonts w:ascii="Times New Roman" w:hAnsi="Times New Roman" w:cs="Times New Roman"/>
                <w:b/>
                <w:sz w:val="24"/>
                <w:szCs w:val="24"/>
                <w:lang w:val="lt-LT"/>
              </w:rPr>
            </w:pPr>
          </w:p>
          <w:p w14:paraId="3296377E" w14:textId="77777777" w:rsidR="00F242DB" w:rsidRPr="00CA2FFB" w:rsidRDefault="00F242DB" w:rsidP="00C21EB6">
            <w:pPr>
              <w:jc w:val="center"/>
              <w:rPr>
                <w:rFonts w:ascii="Times New Roman" w:hAnsi="Times New Roman" w:cs="Times New Roman"/>
                <w:b/>
                <w:sz w:val="24"/>
                <w:szCs w:val="24"/>
                <w:lang w:val="lt-LT"/>
              </w:rPr>
            </w:pPr>
          </w:p>
          <w:p w14:paraId="516428F1" w14:textId="77777777" w:rsidR="00F242DB" w:rsidRPr="00CA2FFB" w:rsidRDefault="00F242DB" w:rsidP="00C21EB6">
            <w:pPr>
              <w:jc w:val="center"/>
              <w:rPr>
                <w:rFonts w:ascii="Times New Roman" w:hAnsi="Times New Roman" w:cs="Times New Roman"/>
                <w:b/>
                <w:sz w:val="24"/>
                <w:szCs w:val="24"/>
                <w:lang w:val="lt-LT"/>
              </w:rPr>
            </w:pPr>
          </w:p>
          <w:p w14:paraId="72814813" w14:textId="77777777" w:rsidR="00F242DB" w:rsidRPr="00CA2FFB" w:rsidRDefault="00F242DB" w:rsidP="00C21EB6">
            <w:pPr>
              <w:jc w:val="center"/>
              <w:rPr>
                <w:rFonts w:ascii="Times New Roman" w:hAnsi="Times New Roman" w:cs="Times New Roman"/>
                <w:b/>
                <w:sz w:val="24"/>
                <w:szCs w:val="24"/>
                <w:lang w:val="lt-LT"/>
              </w:rPr>
            </w:pPr>
          </w:p>
          <w:p w14:paraId="15A11299" w14:textId="1F1D7EB9" w:rsidR="00F242DB" w:rsidRPr="00CA2FFB" w:rsidRDefault="00F242DB" w:rsidP="009B1CCF">
            <w:pPr>
              <w:jc w:val="both"/>
              <w:rPr>
                <w:rFonts w:ascii="Times New Roman" w:hAnsi="Times New Roman" w:cs="Times New Roman"/>
                <w:bCs/>
                <w:sz w:val="24"/>
                <w:szCs w:val="24"/>
                <w:lang w:val="lt-LT"/>
              </w:rPr>
            </w:pPr>
            <w:r w:rsidRPr="00CA2FFB">
              <w:rPr>
                <w:rFonts w:ascii="Times New Roman" w:hAnsi="Times New Roman" w:cs="Times New Roman"/>
                <w:b/>
                <w:sz w:val="24"/>
                <w:szCs w:val="24"/>
                <w:lang w:val="lt-LT"/>
              </w:rPr>
              <w:t xml:space="preserve">Atsižvelgta iš dalies. </w:t>
            </w:r>
            <w:r w:rsidRPr="00CA2FFB">
              <w:rPr>
                <w:rFonts w:ascii="Times New Roman" w:hAnsi="Times New Roman" w:cs="Times New Roman"/>
                <w:bCs/>
                <w:sz w:val="24"/>
                <w:szCs w:val="24"/>
                <w:lang w:val="lt-LT"/>
              </w:rPr>
              <w:t>Įstatymo projektas patikslintas, atsisakant sąvokos „</w:t>
            </w:r>
            <w:r w:rsidRPr="00CA2FFB">
              <w:rPr>
                <w:rFonts w:ascii="Times New Roman" w:hAnsi="Times New Roman" w:cs="Times New Roman"/>
                <w:i/>
                <w:iCs/>
                <w:sz w:val="24"/>
                <w:szCs w:val="24"/>
                <w:lang w:val="lt-LT"/>
              </w:rPr>
              <w:t xml:space="preserve">ypatingos svarbos infrastruktūros objektai“ </w:t>
            </w:r>
            <w:r w:rsidRPr="00CA2FFB">
              <w:rPr>
                <w:rFonts w:ascii="Times New Roman" w:hAnsi="Times New Roman" w:cs="Times New Roman"/>
                <w:sz w:val="24"/>
                <w:szCs w:val="24"/>
                <w:lang w:val="lt-LT"/>
              </w:rPr>
              <w:t>ir vietoje to</w:t>
            </w:r>
            <w:r w:rsidRPr="00CA2FFB">
              <w:rPr>
                <w:rFonts w:ascii="Times New Roman" w:hAnsi="Times New Roman" w:cs="Times New Roman"/>
                <w:bCs/>
                <w:sz w:val="24"/>
                <w:szCs w:val="24"/>
                <w:lang w:val="lt-LT"/>
              </w:rPr>
              <w:t xml:space="preserve"> numatant, kad </w:t>
            </w:r>
            <w:bookmarkStart w:id="0" w:name="_Hlk95843659"/>
            <w:bookmarkStart w:id="1" w:name="_Hlk95380598"/>
            <w:r w:rsidRPr="00CA2FFB">
              <w:rPr>
                <w:rFonts w:ascii="Times New Roman" w:hAnsi="Times New Roman" w:cs="Times New Roman"/>
                <w:bCs/>
                <w:sz w:val="24"/>
                <w:szCs w:val="24"/>
                <w:lang w:val="lt-LT"/>
              </w:rPr>
              <w:t xml:space="preserve">sandorio patikros metu turi būti vertinama, ar </w:t>
            </w:r>
            <w:r w:rsidRPr="00CA2FFB">
              <w:rPr>
                <w:rFonts w:asciiTheme="majorBidi" w:hAnsiTheme="majorBidi" w:cstheme="majorBidi"/>
                <w:bCs/>
                <w:sz w:val="24"/>
                <w:szCs w:val="24"/>
                <w:lang w:val="lt-LT"/>
              </w:rPr>
              <w:t xml:space="preserve">sandorio šaliai yra suteikiama kitokio pobūdžio prieiga prie </w:t>
            </w:r>
            <w:r w:rsidRPr="00CA2FFB">
              <w:rPr>
                <w:rFonts w:asciiTheme="majorBidi" w:hAnsiTheme="majorBidi" w:cstheme="majorBidi"/>
                <w:bCs/>
                <w:i/>
                <w:iCs/>
                <w:sz w:val="24"/>
                <w:szCs w:val="24"/>
                <w:lang w:val="lt-LT"/>
              </w:rPr>
              <w:t>nacionaliniam saugumui užtikrinti svarbių įrenginių ir turto</w:t>
            </w:r>
            <w:r w:rsidRPr="00CA2FFB">
              <w:rPr>
                <w:rFonts w:asciiTheme="majorBidi" w:hAnsiTheme="majorBidi" w:cstheme="majorBidi"/>
                <w:bCs/>
                <w:sz w:val="24"/>
                <w:szCs w:val="24"/>
                <w:lang w:val="lt-LT"/>
              </w:rPr>
              <w:t xml:space="preserve">, kuri kelia riziką ar grėsmę nacionaliniam </w:t>
            </w:r>
            <w:r w:rsidRPr="00CA2FFB">
              <w:rPr>
                <w:rFonts w:asciiTheme="majorBidi" w:hAnsiTheme="majorBidi" w:cstheme="majorBidi"/>
                <w:bCs/>
                <w:sz w:val="24"/>
                <w:szCs w:val="24"/>
                <w:lang w:val="lt-LT"/>
              </w:rPr>
              <w:lastRenderedPageBreak/>
              <w:t>saugumui</w:t>
            </w:r>
            <w:bookmarkEnd w:id="0"/>
            <w:r w:rsidRPr="00CA2FFB">
              <w:rPr>
                <w:rFonts w:asciiTheme="majorBidi" w:hAnsiTheme="majorBidi" w:cstheme="majorBidi"/>
                <w:bCs/>
                <w:sz w:val="24"/>
                <w:szCs w:val="24"/>
                <w:lang w:val="lt-LT"/>
              </w:rPr>
              <w:t>.</w:t>
            </w:r>
            <w:bookmarkEnd w:id="1"/>
            <w:r w:rsidRPr="00CA2FFB">
              <w:rPr>
                <w:rFonts w:asciiTheme="majorBidi" w:hAnsiTheme="majorBidi" w:cstheme="majorBidi"/>
                <w:bCs/>
                <w:sz w:val="24"/>
                <w:szCs w:val="24"/>
                <w:lang w:val="lt-LT"/>
              </w:rPr>
              <w:t xml:space="preserve"> Ši formuluotė vartojama Nacionalinio saugumo įstatym</w:t>
            </w:r>
            <w:r w:rsidR="00C72F4F">
              <w:rPr>
                <w:rFonts w:asciiTheme="majorBidi" w:hAnsiTheme="majorBidi" w:cstheme="majorBidi"/>
                <w:bCs/>
                <w:sz w:val="24"/>
                <w:szCs w:val="24"/>
                <w:lang w:val="lt-LT"/>
              </w:rPr>
              <w:t>o</w:t>
            </w:r>
            <w:r w:rsidRPr="00CA2FFB">
              <w:rPr>
                <w:rFonts w:asciiTheme="majorBidi" w:hAnsiTheme="majorBidi" w:cstheme="majorBidi"/>
                <w:bCs/>
                <w:sz w:val="24"/>
                <w:szCs w:val="24"/>
                <w:lang w:val="lt-LT"/>
              </w:rPr>
              <w:t xml:space="preserve"> 2 straipsnio 6 dalyje: </w:t>
            </w:r>
            <w:r w:rsidRPr="00CA2FFB">
              <w:rPr>
                <w:rFonts w:asciiTheme="majorBidi" w:hAnsiTheme="majorBidi" w:cstheme="majorBidi"/>
                <w:bCs/>
                <w:i/>
                <w:iCs/>
                <w:sz w:val="24"/>
                <w:szCs w:val="24"/>
                <w:lang w:val="lt-LT"/>
              </w:rPr>
              <w:t xml:space="preserve">„Nacionaliniam saugumui užtikrinti svarbūs įrenginiai ir turtas – projektuojami, statomi ar esami įrenginiai ir turtas, nurodyti šio įstatymo 4 priede, kuriuos, vadovaujantis šio įstatymo nuostatomis, būtina apsaugoti nuo visų galinčių kelti grėsmę nacionalinio saugumo interesams rizikos veiksnių.“ </w:t>
            </w:r>
          </w:p>
          <w:p w14:paraId="435171A7" w14:textId="77777777" w:rsidR="00F242DB" w:rsidRPr="00CA2FFB" w:rsidRDefault="00F242DB" w:rsidP="00F242DB">
            <w:pPr>
              <w:jc w:val="both"/>
              <w:rPr>
                <w:rFonts w:ascii="Times New Roman" w:hAnsi="Times New Roman" w:cs="Times New Roman"/>
                <w:bCs/>
                <w:sz w:val="24"/>
                <w:szCs w:val="24"/>
                <w:lang w:val="lt-LT"/>
              </w:rPr>
            </w:pPr>
            <w:r w:rsidRPr="00CA2FFB">
              <w:rPr>
                <w:rFonts w:ascii="Times New Roman" w:hAnsi="Times New Roman" w:cs="Times New Roman"/>
                <w:bCs/>
                <w:sz w:val="24"/>
                <w:szCs w:val="24"/>
                <w:lang w:val="lt-LT"/>
              </w:rPr>
              <w:t xml:space="preserve">Manome, kad toks pildymas yra būtinas tinkamai įgyvendinti Nacionalinio saugumo įstatymo 1 straipsnio 1 dalyje keliamą tikslą užtikrinti, kad valstybės nacionaliniam saugumui užtikrinti svarbūs objektai (įmonės, įrenginiai ir turtas bei ūkio sektoriai) ir nacionaliniam saugumui užtikrinti svarbių įmonių, įrenginių ir turto apsaugos zonose (toliau – apsaugos zonos) esantis turtas ir teritorija bei ypatingos svarbos informacinės infrastruktūros valdytojų sandoriai </w:t>
            </w:r>
            <w:r w:rsidRPr="00CA2FFB">
              <w:rPr>
                <w:rFonts w:ascii="Times New Roman" w:hAnsi="Times New Roman" w:cs="Times New Roman"/>
                <w:bCs/>
                <w:i/>
                <w:iCs/>
                <w:sz w:val="24"/>
                <w:szCs w:val="24"/>
                <w:lang w:val="lt-LT"/>
              </w:rPr>
              <w:t>būtų apsaugoti nuo visų galinčių kelti grėsmę nacionalinio saugumo interesams rizikos veiksnių, ir šalinti tokių veiksnių atsiradimo priežastis ir sąlygas.</w:t>
            </w:r>
          </w:p>
          <w:p w14:paraId="284D2F0E" w14:textId="2681F42D" w:rsidR="00F242DB" w:rsidRPr="00CA2FFB" w:rsidRDefault="00F242DB" w:rsidP="00F242DB">
            <w:pPr>
              <w:jc w:val="both"/>
              <w:rPr>
                <w:rFonts w:ascii="Times New Roman" w:hAnsi="Times New Roman" w:cs="Times New Roman"/>
                <w:b/>
                <w:sz w:val="24"/>
                <w:szCs w:val="24"/>
                <w:lang w:val="lt-LT"/>
              </w:rPr>
            </w:pPr>
            <w:r w:rsidRPr="00CA2FFB">
              <w:rPr>
                <w:rFonts w:ascii="Times New Roman" w:hAnsi="Times New Roman" w:cs="Times New Roman"/>
                <w:bCs/>
                <w:sz w:val="24"/>
                <w:szCs w:val="24"/>
                <w:lang w:val="lt-LT"/>
              </w:rPr>
              <w:t>Atitinkamai, manome, kad sąvokos „kitokio pobūdžio prieiga“ detalizavimas galimai neatitiktų Nacionalinio saugumo įstatymo keliamų tikslų, kadangi nėra įmanoma apsibrėžti visas galimas prieigas. Tokiu būdu Įstatymo projekte galėtų būti paliktos spragos, kurios leistų pasireikšti įvairioms (hibridinėms) grėsmėms nacionaliniam saugumui.</w:t>
            </w:r>
          </w:p>
        </w:tc>
      </w:tr>
      <w:tr w:rsidR="00F242DB" w:rsidRPr="00674355" w14:paraId="42D2BFA1" w14:textId="77777777" w:rsidTr="00C62134">
        <w:tc>
          <w:tcPr>
            <w:tcW w:w="720" w:type="dxa"/>
            <w:shd w:val="clear" w:color="auto" w:fill="auto"/>
          </w:tcPr>
          <w:p w14:paraId="431008D4" w14:textId="587F3CC6" w:rsidR="00F242DB" w:rsidRPr="00CA2FFB" w:rsidRDefault="00F242DB" w:rsidP="00C21EB6">
            <w:pPr>
              <w:ind w:right="180"/>
              <w:jc w:val="center"/>
              <w:rPr>
                <w:rFonts w:ascii="Times New Roman" w:hAnsi="Times New Roman" w:cs="Times New Roman"/>
                <w:sz w:val="24"/>
                <w:szCs w:val="24"/>
              </w:rPr>
            </w:pPr>
            <w:r w:rsidRPr="00CA2FFB">
              <w:rPr>
                <w:rFonts w:ascii="Times New Roman" w:hAnsi="Times New Roman" w:cs="Times New Roman"/>
                <w:sz w:val="24"/>
                <w:szCs w:val="24"/>
              </w:rPr>
              <w:lastRenderedPageBreak/>
              <w:t xml:space="preserve">2. </w:t>
            </w:r>
          </w:p>
        </w:tc>
        <w:tc>
          <w:tcPr>
            <w:tcW w:w="1723" w:type="dxa"/>
          </w:tcPr>
          <w:p w14:paraId="592F905F" w14:textId="157FCF7C" w:rsidR="00F242DB" w:rsidRPr="00CA2FFB" w:rsidRDefault="00F242DB" w:rsidP="00F242DB">
            <w:pPr>
              <w:ind w:right="180"/>
              <w:jc w:val="center"/>
              <w:rPr>
                <w:rFonts w:ascii="Times New Roman" w:hAnsi="Times New Roman" w:cs="Times New Roman"/>
                <w:sz w:val="24"/>
                <w:szCs w:val="24"/>
                <w:lang w:val="lt-LT"/>
              </w:rPr>
            </w:pPr>
            <w:r w:rsidRPr="00CA2FFB">
              <w:rPr>
                <w:rFonts w:ascii="Times New Roman" w:hAnsi="Times New Roman" w:cs="Times New Roman"/>
                <w:sz w:val="24"/>
                <w:szCs w:val="24"/>
                <w:lang w:val="lt-LT"/>
              </w:rPr>
              <w:t>Lietuvos Respublikos specialiųjų tyrimų tarnyba, 2022-02-11 išvada Nr. 4-01-1167</w:t>
            </w:r>
          </w:p>
        </w:tc>
        <w:tc>
          <w:tcPr>
            <w:tcW w:w="6521" w:type="dxa"/>
          </w:tcPr>
          <w:p w14:paraId="10C260CF" w14:textId="4CAA307D" w:rsidR="00F242DB" w:rsidRPr="00CA2FFB" w:rsidRDefault="00F242DB" w:rsidP="00C21EB6">
            <w:pPr>
              <w:tabs>
                <w:tab w:val="left" w:pos="993"/>
              </w:tabs>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 xml:space="preserve">Įstatymo projekto vienas iš siūlymų yra patikslinti Nacionaliniam saugumui užtikrinti svarbių objektų apsaugos koordinavimo komisijos (toliau – Komisija) įgaliojimus, numatant Komisijos teisę priimti ne tik išvadas, rekomendacijas, bet ir nustatyti įpareigojimus. Tačiau iš Įstatymo projekto neaišku, kokius konkrečius įpareigojimus Komisija turėtų teisę nustatyti, taip pat kokiais kriterijais vadovaudamasi Komisija turėtų nustatyti tam tikrą įpareigojimą. Siekiant, kad šių įpareigojimų vykdymas būtų užtikrintas, svarstytina galimybė Įstatymo projekte išsamiau </w:t>
            </w:r>
            <w:r w:rsidRPr="00CA2FFB">
              <w:rPr>
                <w:rFonts w:ascii="Times New Roman" w:hAnsi="Times New Roman" w:cs="Times New Roman"/>
                <w:sz w:val="24"/>
                <w:szCs w:val="24"/>
                <w:lang w:val="lt-LT"/>
              </w:rPr>
              <w:lastRenderedPageBreak/>
              <w:t>aptarti šių įpareigojimų nustatymą bei numatyti atsakomybę už jų nevykdymą.</w:t>
            </w:r>
          </w:p>
        </w:tc>
        <w:tc>
          <w:tcPr>
            <w:tcW w:w="5386" w:type="dxa"/>
          </w:tcPr>
          <w:p w14:paraId="0C08A5F1" w14:textId="0E505697" w:rsidR="00F242DB" w:rsidRPr="00CA2FFB" w:rsidRDefault="00F242DB" w:rsidP="00BD027E">
            <w:pPr>
              <w:jc w:val="both"/>
              <w:rPr>
                <w:rFonts w:ascii="Times New Roman" w:hAnsi="Times New Roman" w:cs="Times New Roman"/>
                <w:b/>
                <w:sz w:val="24"/>
                <w:szCs w:val="24"/>
                <w:lang w:val="lt-LT"/>
              </w:rPr>
            </w:pPr>
            <w:r w:rsidRPr="00CA2FFB">
              <w:rPr>
                <w:rFonts w:ascii="Times New Roman" w:hAnsi="Times New Roman" w:cs="Times New Roman"/>
                <w:b/>
                <w:sz w:val="24"/>
                <w:szCs w:val="24"/>
                <w:lang w:val="lt-LT"/>
              </w:rPr>
              <w:lastRenderedPageBreak/>
              <w:t xml:space="preserve">Atsižvelgta iš dalies.  </w:t>
            </w:r>
            <w:r w:rsidR="00BD027E" w:rsidRPr="00CA2FFB">
              <w:rPr>
                <w:rFonts w:ascii="Times New Roman" w:hAnsi="Times New Roman" w:cs="Times New Roman"/>
                <w:bCs/>
                <w:sz w:val="24"/>
                <w:szCs w:val="24"/>
                <w:lang w:val="lt-LT"/>
              </w:rPr>
              <w:t xml:space="preserve">Atsisakyta Nacionalinio saugumo įstatymo 19 straipsnio 2 dalies 1 punkto keitimo, paliekama bendro pobūdžio formuluotė, suteikianti teisę Komisijai nustatyti įpareigojimus </w:t>
            </w:r>
            <w:r w:rsidR="00BD027E" w:rsidRPr="00CA2FFB">
              <w:rPr>
                <w:rFonts w:ascii="Times New Roman" w:hAnsi="Times New Roman" w:cs="Times New Roman"/>
                <w:bCs/>
                <w:i/>
                <w:iCs/>
                <w:sz w:val="24"/>
                <w:szCs w:val="24"/>
                <w:lang w:val="lt-LT"/>
              </w:rPr>
              <w:t>dėl kitų nacionalinio saugumo interesams užtikrinti būtinų priemonių</w:t>
            </w:r>
            <w:r w:rsidR="00BD027E" w:rsidRPr="00CA2FFB">
              <w:rPr>
                <w:rFonts w:ascii="Times New Roman" w:hAnsi="Times New Roman" w:cs="Times New Roman"/>
                <w:bCs/>
                <w:sz w:val="24"/>
                <w:szCs w:val="24"/>
                <w:lang w:val="lt-LT"/>
              </w:rPr>
              <w:t xml:space="preserve">, </w:t>
            </w:r>
            <w:r w:rsidR="00BD027E" w:rsidRPr="00CA2FFB">
              <w:rPr>
                <w:rFonts w:ascii="Times New Roman" w:hAnsi="Times New Roman" w:cs="Times New Roman"/>
                <w:bCs/>
                <w:i/>
                <w:iCs/>
                <w:sz w:val="24"/>
                <w:szCs w:val="24"/>
                <w:lang w:val="lt-LT"/>
              </w:rPr>
              <w:t>susijusių su nacionaliniam saugumui užtikrinti svarbių objektų apsauga.</w:t>
            </w:r>
            <w:r w:rsidR="00BD027E" w:rsidRPr="00CA2FFB">
              <w:rPr>
                <w:rFonts w:ascii="Times New Roman" w:hAnsi="Times New Roman" w:cs="Times New Roman"/>
                <w:bCs/>
                <w:sz w:val="24"/>
                <w:szCs w:val="24"/>
                <w:lang w:val="lt-LT"/>
              </w:rPr>
              <w:t xml:space="preserve"> Komisija, atlikdama  Nacionalinio saugumo įstatymo jai suteiktas teises ir pareigas, atsižvelgdama į tai, kad įmonė, pavyzdžiui, nevykdys Komisijos nustatytų </w:t>
            </w:r>
            <w:r w:rsidR="00BD027E" w:rsidRPr="00CA2FFB">
              <w:rPr>
                <w:rFonts w:ascii="Times New Roman" w:hAnsi="Times New Roman" w:cs="Times New Roman"/>
                <w:bCs/>
                <w:sz w:val="24"/>
                <w:szCs w:val="24"/>
                <w:lang w:val="lt-LT"/>
              </w:rPr>
              <w:lastRenderedPageBreak/>
              <w:t xml:space="preserve">priemonių, kurios yra būtinos nacionalinio saugumo interesams užtikrinti ir rizikoms šalinti, gali inicijuoti sandorio patikrą.  Atitinkamai, nėra šiuo metu nėra siūloma keisti </w:t>
            </w:r>
            <w:r w:rsidR="00C62134" w:rsidRPr="00CA2FFB">
              <w:rPr>
                <w:rFonts w:ascii="Times New Roman" w:hAnsi="Times New Roman" w:cs="Times New Roman"/>
                <w:bCs/>
                <w:sz w:val="24"/>
                <w:szCs w:val="24"/>
                <w:lang w:val="lt-LT"/>
              </w:rPr>
              <w:t xml:space="preserve">kitų </w:t>
            </w:r>
            <w:r w:rsidR="00BD027E" w:rsidRPr="00CA2FFB">
              <w:rPr>
                <w:rFonts w:ascii="Times New Roman" w:hAnsi="Times New Roman" w:cs="Times New Roman"/>
                <w:bCs/>
                <w:sz w:val="24"/>
                <w:szCs w:val="24"/>
                <w:lang w:val="lt-LT"/>
              </w:rPr>
              <w:t xml:space="preserve">Nacionalinio saugumo įstatymo straipsnių, susijusių su Komisijos </w:t>
            </w:r>
            <w:r w:rsidR="00C62134" w:rsidRPr="00CA2FFB">
              <w:rPr>
                <w:rFonts w:ascii="Times New Roman" w:hAnsi="Times New Roman" w:cs="Times New Roman"/>
                <w:bCs/>
                <w:sz w:val="24"/>
                <w:szCs w:val="24"/>
                <w:lang w:val="lt-LT"/>
              </w:rPr>
              <w:t xml:space="preserve">teikiamomis </w:t>
            </w:r>
            <w:r w:rsidR="00BD027E" w:rsidRPr="00CA2FFB">
              <w:rPr>
                <w:rFonts w:ascii="Times New Roman" w:hAnsi="Times New Roman" w:cs="Times New Roman"/>
                <w:bCs/>
                <w:sz w:val="24"/>
                <w:szCs w:val="24"/>
                <w:lang w:val="lt-LT"/>
              </w:rPr>
              <w:t>rekomendacijomis.</w:t>
            </w:r>
          </w:p>
        </w:tc>
      </w:tr>
      <w:tr w:rsidR="00F242DB" w:rsidRPr="00674355" w14:paraId="4873B4A5" w14:textId="77777777" w:rsidTr="00C62134">
        <w:tc>
          <w:tcPr>
            <w:tcW w:w="720" w:type="dxa"/>
            <w:shd w:val="clear" w:color="auto" w:fill="auto"/>
          </w:tcPr>
          <w:p w14:paraId="116B1EB2" w14:textId="02E2089E" w:rsidR="00F242DB" w:rsidRPr="00CA2FFB" w:rsidRDefault="00BD027E" w:rsidP="00C21EB6">
            <w:pPr>
              <w:ind w:right="180"/>
              <w:jc w:val="center"/>
              <w:rPr>
                <w:rFonts w:ascii="Times New Roman" w:hAnsi="Times New Roman" w:cs="Times New Roman"/>
                <w:sz w:val="24"/>
                <w:szCs w:val="24"/>
              </w:rPr>
            </w:pPr>
            <w:r w:rsidRPr="00CA2FFB">
              <w:rPr>
                <w:rFonts w:ascii="Times New Roman" w:hAnsi="Times New Roman" w:cs="Times New Roman"/>
                <w:sz w:val="24"/>
                <w:szCs w:val="24"/>
              </w:rPr>
              <w:lastRenderedPageBreak/>
              <w:t xml:space="preserve">3. </w:t>
            </w:r>
          </w:p>
        </w:tc>
        <w:tc>
          <w:tcPr>
            <w:tcW w:w="1723" w:type="dxa"/>
          </w:tcPr>
          <w:p w14:paraId="558549F6" w14:textId="3471590F" w:rsidR="00F242DB" w:rsidRPr="00CA2FFB" w:rsidRDefault="00BD027E" w:rsidP="00C21EB6">
            <w:pPr>
              <w:ind w:right="180"/>
              <w:jc w:val="center"/>
              <w:rPr>
                <w:rFonts w:ascii="Times New Roman" w:hAnsi="Times New Roman" w:cs="Times New Roman"/>
                <w:sz w:val="24"/>
                <w:szCs w:val="24"/>
                <w:lang w:val="lt-LT"/>
              </w:rPr>
            </w:pPr>
            <w:r w:rsidRPr="00CA2FFB">
              <w:rPr>
                <w:rFonts w:ascii="Times New Roman" w:hAnsi="Times New Roman" w:cs="Times New Roman"/>
                <w:sz w:val="24"/>
                <w:szCs w:val="24"/>
                <w:lang w:val="lt-LT"/>
              </w:rPr>
              <w:t>Lietuvos Respublikos</w:t>
            </w:r>
            <w:r w:rsidRPr="00CA2FFB">
              <w:rPr>
                <w:rFonts w:ascii="Times New Roman" w:hAnsi="Times New Roman" w:cs="Times New Roman"/>
                <w:b/>
                <w:bCs/>
                <w:sz w:val="24"/>
                <w:szCs w:val="24"/>
                <w:lang w:val="lt-LT"/>
              </w:rPr>
              <w:t xml:space="preserve"> </w:t>
            </w:r>
            <w:r w:rsidRPr="00CA2FFB">
              <w:rPr>
                <w:rFonts w:ascii="Times New Roman" w:hAnsi="Times New Roman" w:cs="Times New Roman"/>
                <w:sz w:val="24"/>
                <w:szCs w:val="24"/>
                <w:lang w:val="lt-LT"/>
              </w:rPr>
              <w:t>teisingumo ministerija, 2022-02-09 išvada Nr. (1.6Mr) 2T-166</w:t>
            </w:r>
          </w:p>
        </w:tc>
        <w:tc>
          <w:tcPr>
            <w:tcW w:w="6521" w:type="dxa"/>
          </w:tcPr>
          <w:p w14:paraId="75733E27" w14:textId="6749A1C8" w:rsidR="00F242DB" w:rsidRPr="00CA2FFB" w:rsidRDefault="00BD027E" w:rsidP="00C21EB6">
            <w:pPr>
              <w:tabs>
                <w:tab w:val="left" w:pos="993"/>
              </w:tabs>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3. Atsižvelgiant į siūlomus Įstatymo 19 straipsnio papildymus, nustatant, kad Komisija gali teikti ir įpareigojimus, siūlytina sistemiškai peržiūrėti Įstatymą, kadangi pagal Įstatymo 11-12 straipsnių nuostatas Komisija teikia rekomendacijas (kurios tam tikrais atvejais yra privalomos), taip pat siūlytina įvertinti Komisijos teikiamų įpareigojimų nesilaikymo pasekmių ir įpareigojimų vykdymo priežiūros mechanizmo nustatymo poreikį.</w:t>
            </w:r>
          </w:p>
        </w:tc>
        <w:tc>
          <w:tcPr>
            <w:tcW w:w="5386" w:type="dxa"/>
          </w:tcPr>
          <w:p w14:paraId="61244B90" w14:textId="73948DFF" w:rsidR="00F242DB" w:rsidRPr="00CA2FFB" w:rsidRDefault="00BD027E" w:rsidP="009B1CCF">
            <w:pPr>
              <w:jc w:val="both"/>
              <w:rPr>
                <w:rFonts w:ascii="Times New Roman" w:hAnsi="Times New Roman" w:cs="Times New Roman"/>
                <w:b/>
                <w:sz w:val="24"/>
                <w:szCs w:val="24"/>
                <w:lang w:val="lt-LT"/>
              </w:rPr>
            </w:pPr>
            <w:r w:rsidRPr="00CA2FFB">
              <w:rPr>
                <w:rFonts w:ascii="Times New Roman" w:hAnsi="Times New Roman" w:cs="Times New Roman"/>
                <w:b/>
                <w:sz w:val="24"/>
                <w:szCs w:val="24"/>
                <w:lang w:val="lt-LT"/>
              </w:rPr>
              <w:t xml:space="preserve">Atsižvelgta iš dalies. </w:t>
            </w:r>
            <w:r w:rsidRPr="00CA2FFB">
              <w:rPr>
                <w:rFonts w:ascii="Times New Roman" w:hAnsi="Times New Roman" w:cs="Times New Roman"/>
                <w:bCs/>
                <w:sz w:val="24"/>
                <w:szCs w:val="24"/>
                <w:lang w:val="lt-LT"/>
              </w:rPr>
              <w:t xml:space="preserve">Žr. Specialiųjų tyrimų tarnybos pastabos vertinimą. </w:t>
            </w:r>
          </w:p>
        </w:tc>
      </w:tr>
      <w:tr w:rsidR="00C21EB6" w:rsidRPr="00674355" w14:paraId="63A2A6D3" w14:textId="77777777" w:rsidTr="00C62134">
        <w:tc>
          <w:tcPr>
            <w:tcW w:w="720" w:type="dxa"/>
            <w:shd w:val="clear" w:color="auto" w:fill="auto"/>
          </w:tcPr>
          <w:p w14:paraId="494F61B2" w14:textId="38D5D270" w:rsidR="00C21EB6" w:rsidRPr="00CA2FFB" w:rsidRDefault="009B1CCF" w:rsidP="00353FFD">
            <w:pPr>
              <w:tabs>
                <w:tab w:val="left" w:pos="2052"/>
              </w:tabs>
              <w:rPr>
                <w:rFonts w:ascii="Times New Roman" w:hAnsi="Times New Roman" w:cs="Times New Roman"/>
                <w:sz w:val="24"/>
                <w:szCs w:val="24"/>
              </w:rPr>
            </w:pPr>
            <w:r w:rsidRPr="00CA2FFB">
              <w:rPr>
                <w:rFonts w:ascii="Times New Roman" w:hAnsi="Times New Roman" w:cs="Times New Roman"/>
                <w:sz w:val="24"/>
                <w:szCs w:val="24"/>
              </w:rPr>
              <w:t xml:space="preserve">4. </w:t>
            </w:r>
          </w:p>
        </w:tc>
        <w:tc>
          <w:tcPr>
            <w:tcW w:w="1723" w:type="dxa"/>
          </w:tcPr>
          <w:p w14:paraId="1D134142" w14:textId="7DF6D5F8" w:rsidR="00C21EB6" w:rsidRPr="00CA2FFB" w:rsidRDefault="009B1CCF" w:rsidP="009B1CCF">
            <w:pPr>
              <w:tabs>
                <w:tab w:val="left" w:pos="2052"/>
              </w:tabs>
              <w:jc w:val="center"/>
              <w:rPr>
                <w:rFonts w:ascii="Times New Roman" w:hAnsi="Times New Roman" w:cs="Times New Roman"/>
                <w:sz w:val="24"/>
                <w:szCs w:val="24"/>
                <w:lang w:val="lt-LT"/>
              </w:rPr>
            </w:pPr>
            <w:r w:rsidRPr="00CA2FFB">
              <w:rPr>
                <w:rFonts w:ascii="Times New Roman" w:hAnsi="Times New Roman" w:cs="Times New Roman"/>
                <w:sz w:val="24"/>
                <w:szCs w:val="24"/>
                <w:lang w:val="lt-LT"/>
              </w:rPr>
              <w:t>Lietuvos Respublikos generalinė prokuratūra, 2022-02-09 išvada Nr. 17.2.-559</w:t>
            </w:r>
          </w:p>
        </w:tc>
        <w:tc>
          <w:tcPr>
            <w:tcW w:w="6521" w:type="dxa"/>
          </w:tcPr>
          <w:p w14:paraId="06BB54C0" w14:textId="4893B19E" w:rsidR="00C21EB6" w:rsidRPr="00CA2FFB" w:rsidRDefault="009B1CCF" w:rsidP="009B1CCF">
            <w:pPr>
              <w:autoSpaceDE w:val="0"/>
              <w:autoSpaceDN w:val="0"/>
              <w:adjustRightInd w:val="0"/>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Norime atkreipti dėmesį į Projekte siūlomas naujas sąvokas: „autoritarinis ir (arba) antidemokratinis režimas“, „ekonominis priklausomumas nuo autoritarinių ir (arba) antidemokratinių režimų“, „režimai, turintys priešišką interesą Lietuvos Respublikos atžvilgiu“, „kitokio pobūdžio prieiga prie ypatingos svarbos infrastruktūros objektų“. Manytume, kad Projekte neįtvirtinus detalesnio nurodytų sąvokų paaiškinimo, šių aplinkybių vertinimas praktikoje gali būti sudėtingas, todėl svarstytina, ar nereikėtų papildyti Lietuvos Respublikos nacionaliniam saugumui užtikrinti svarbių objektų apsaugos įstatymo 2 straipsnį, įtvirtinant jame naujų ir kitų reikiamų sąvokų apibrėžimus.</w:t>
            </w:r>
          </w:p>
        </w:tc>
        <w:tc>
          <w:tcPr>
            <w:tcW w:w="5386" w:type="dxa"/>
          </w:tcPr>
          <w:p w14:paraId="5BAF0012" w14:textId="7A0DC235" w:rsidR="00C21EB6" w:rsidRPr="00CA2FFB" w:rsidRDefault="009B1CCF" w:rsidP="00F242DB">
            <w:pPr>
              <w:jc w:val="both"/>
              <w:rPr>
                <w:rFonts w:ascii="Times New Roman" w:hAnsi="Times New Roman" w:cs="Times New Roman"/>
                <w:b/>
                <w:sz w:val="24"/>
                <w:szCs w:val="24"/>
                <w:lang w:val="lt-LT"/>
              </w:rPr>
            </w:pPr>
            <w:r w:rsidRPr="00CA2FFB">
              <w:rPr>
                <w:rFonts w:ascii="Times New Roman" w:hAnsi="Times New Roman" w:cs="Times New Roman"/>
                <w:b/>
                <w:sz w:val="24"/>
                <w:szCs w:val="24"/>
                <w:lang w:val="lt-LT"/>
              </w:rPr>
              <w:t xml:space="preserve">Atsižvelgta iš dalies. </w:t>
            </w:r>
            <w:r w:rsidRPr="00CA2FFB">
              <w:rPr>
                <w:rFonts w:ascii="Times New Roman" w:hAnsi="Times New Roman" w:cs="Times New Roman"/>
                <w:bCs/>
                <w:sz w:val="24"/>
                <w:szCs w:val="24"/>
                <w:lang w:val="lt-LT"/>
              </w:rPr>
              <w:t>Žr. Krašto apsaugos ministerijos trečios pastabos vertinimą.</w:t>
            </w:r>
          </w:p>
        </w:tc>
      </w:tr>
      <w:tr w:rsidR="009B1CCF" w:rsidRPr="00674355" w14:paraId="05CD9E02" w14:textId="77777777" w:rsidTr="00C62134">
        <w:tc>
          <w:tcPr>
            <w:tcW w:w="720" w:type="dxa"/>
            <w:shd w:val="clear" w:color="auto" w:fill="auto"/>
          </w:tcPr>
          <w:p w14:paraId="7660885D" w14:textId="74F37DAA" w:rsidR="009B1CCF" w:rsidRPr="00CA2FFB" w:rsidRDefault="009B1CCF" w:rsidP="00353FFD">
            <w:pPr>
              <w:tabs>
                <w:tab w:val="left" w:pos="2052"/>
              </w:tabs>
              <w:rPr>
                <w:rFonts w:ascii="Times New Roman" w:hAnsi="Times New Roman" w:cs="Times New Roman"/>
                <w:sz w:val="24"/>
                <w:szCs w:val="24"/>
              </w:rPr>
            </w:pPr>
            <w:r w:rsidRPr="00CA2FFB">
              <w:rPr>
                <w:rFonts w:ascii="Times New Roman" w:hAnsi="Times New Roman" w:cs="Times New Roman"/>
                <w:sz w:val="24"/>
                <w:szCs w:val="24"/>
              </w:rPr>
              <w:t xml:space="preserve">5. </w:t>
            </w:r>
          </w:p>
        </w:tc>
        <w:tc>
          <w:tcPr>
            <w:tcW w:w="1723" w:type="dxa"/>
          </w:tcPr>
          <w:p w14:paraId="705C554A" w14:textId="76F43F43" w:rsidR="009B1CCF" w:rsidRPr="00CA2FFB" w:rsidRDefault="009B1CCF" w:rsidP="00353FFD">
            <w:pPr>
              <w:tabs>
                <w:tab w:val="left" w:pos="2052"/>
              </w:tabs>
              <w:rPr>
                <w:rFonts w:ascii="Times New Roman" w:hAnsi="Times New Roman" w:cs="Times New Roman"/>
                <w:sz w:val="24"/>
                <w:szCs w:val="24"/>
                <w:lang w:val="lt-LT"/>
              </w:rPr>
            </w:pPr>
            <w:r w:rsidRPr="00CA2FFB">
              <w:rPr>
                <w:rFonts w:ascii="Times New Roman" w:hAnsi="Times New Roman" w:cs="Times New Roman"/>
                <w:sz w:val="24"/>
                <w:szCs w:val="24"/>
                <w:lang w:val="lt-LT"/>
              </w:rPr>
              <w:t>AB „IGNITIS GRUPĖ“, 2022-02-10 išvada Nr. SR_2022-23</w:t>
            </w:r>
          </w:p>
        </w:tc>
        <w:tc>
          <w:tcPr>
            <w:tcW w:w="6521" w:type="dxa"/>
          </w:tcPr>
          <w:p w14:paraId="62B7F02E" w14:textId="25499CB0" w:rsidR="009B1CCF" w:rsidRPr="00CA2FFB" w:rsidRDefault="009B1CCF" w:rsidP="009B1CCF">
            <w:pPr>
              <w:suppressAutoHyphens/>
              <w:jc w:val="both"/>
              <w:rPr>
                <w:rFonts w:ascii="Times New Roman" w:hAnsi="Times New Roman" w:cs="Times New Roman"/>
                <w:color w:val="000000"/>
                <w:sz w:val="24"/>
                <w:szCs w:val="24"/>
                <w:shd w:val="clear" w:color="auto" w:fill="FFFFFF"/>
                <w:lang w:val="lt-LT"/>
              </w:rPr>
            </w:pPr>
            <w:r w:rsidRPr="00CA2FFB">
              <w:rPr>
                <w:rFonts w:ascii="Times New Roman" w:hAnsi="Times New Roman" w:cs="Times New Roman"/>
                <w:color w:val="000000"/>
                <w:sz w:val="24"/>
                <w:szCs w:val="24"/>
                <w:shd w:val="clear" w:color="auto" w:fill="FFFFFF"/>
                <w:lang w:val="lt-LT"/>
              </w:rPr>
              <w:t xml:space="preserve">&lt;...&gt; Bendrovės vertinimu, NSUSOAĮ tikslas šiuo metu yra pasiekiamas, įmonėms vykdant pareigą informuoti Komisiją apie </w:t>
            </w:r>
            <w:r w:rsidRPr="00CA2FFB">
              <w:rPr>
                <w:rFonts w:ascii="Times New Roman" w:hAnsi="Times New Roman" w:cs="Times New Roman"/>
                <w:color w:val="000000"/>
                <w:sz w:val="24"/>
                <w:szCs w:val="24"/>
                <w:u w:val="single"/>
                <w:shd w:val="clear" w:color="auto" w:fill="FFFFFF"/>
                <w:lang w:val="lt-LT"/>
              </w:rPr>
              <w:t>esminius</w:t>
            </w:r>
            <w:r w:rsidRPr="00CA2FFB">
              <w:rPr>
                <w:rFonts w:ascii="Times New Roman" w:hAnsi="Times New Roman" w:cs="Times New Roman"/>
                <w:color w:val="000000"/>
                <w:sz w:val="24"/>
                <w:szCs w:val="24"/>
                <w:shd w:val="clear" w:color="auto" w:fill="FFFFFF"/>
                <w:lang w:val="lt-LT"/>
              </w:rPr>
              <w:t xml:space="preserve"> NSUSOAĮ 13 straipsnio 1 dalyje minimų sandorių pakeitimus. Bendrovei kelia abejonių, ar būtinybė atlikti sandorio pakeitimo patikrą tais atvejais, kai keičiamos neesminės sąlygos (pvz. šalių rekvizitai, terminai ir pan.) turės pridėtinės vertės apsaugant nacionalinio saugumo interesus.</w:t>
            </w:r>
          </w:p>
          <w:p w14:paraId="4585F6B8" w14:textId="77777777" w:rsidR="009B1CCF" w:rsidRPr="00CA2FFB" w:rsidRDefault="009B1CCF" w:rsidP="009B1CCF">
            <w:pPr>
              <w:suppressAutoHyphens/>
              <w:jc w:val="both"/>
              <w:rPr>
                <w:rFonts w:ascii="Times New Roman" w:hAnsi="Times New Roman" w:cs="Times New Roman"/>
                <w:color w:val="000000"/>
                <w:sz w:val="24"/>
                <w:szCs w:val="24"/>
                <w:shd w:val="clear" w:color="auto" w:fill="FFFFFF"/>
                <w:lang w:val="lt-LT"/>
              </w:rPr>
            </w:pPr>
            <w:r w:rsidRPr="00CA2FFB">
              <w:rPr>
                <w:rFonts w:ascii="Times New Roman" w:hAnsi="Times New Roman" w:cs="Times New Roman"/>
                <w:color w:val="000000"/>
                <w:sz w:val="24"/>
                <w:szCs w:val="24"/>
                <w:shd w:val="clear" w:color="auto" w:fill="FFFFFF"/>
                <w:lang w:val="lt-LT"/>
              </w:rPr>
              <w:t xml:space="preserve">Dar daugiau, Bendrovė atkreipia dėmesį, jog NSUSOAĮ nustačius pareigą kreiptis dėl visų NSUSOAĮ 13 straipsnio 1 dalyje minimų sandorių pakeitimų, administracinė našta išaugs ne tik Įmonėms, </w:t>
            </w:r>
            <w:r w:rsidRPr="00CA2FFB">
              <w:rPr>
                <w:rFonts w:ascii="Times New Roman" w:hAnsi="Times New Roman" w:cs="Times New Roman"/>
                <w:color w:val="000000"/>
                <w:sz w:val="24"/>
                <w:szCs w:val="24"/>
                <w:shd w:val="clear" w:color="auto" w:fill="FFFFFF"/>
                <w:lang w:val="lt-LT"/>
              </w:rPr>
              <w:lastRenderedPageBreak/>
              <w:t>bet ir Komisijai bei institucijoms, teikiančioms išvadas/ informaciją Komisijai.</w:t>
            </w:r>
          </w:p>
          <w:p w14:paraId="45B3A3EF" w14:textId="15537A57" w:rsidR="009B1CCF" w:rsidRPr="00CA2FFB" w:rsidRDefault="009B1CCF" w:rsidP="00054BAA">
            <w:pPr>
              <w:jc w:val="both"/>
              <w:rPr>
                <w:rFonts w:ascii="Times New Roman" w:hAnsi="Times New Roman" w:cs="Times New Roman"/>
                <w:color w:val="000000"/>
                <w:sz w:val="24"/>
                <w:szCs w:val="24"/>
                <w:shd w:val="clear" w:color="auto" w:fill="FFFFFF"/>
                <w:lang w:val="lt-LT"/>
              </w:rPr>
            </w:pPr>
            <w:r w:rsidRPr="00CA2FFB">
              <w:rPr>
                <w:rFonts w:ascii="Times New Roman" w:hAnsi="Times New Roman" w:cs="Times New Roman"/>
                <w:color w:val="000000"/>
                <w:sz w:val="24"/>
                <w:szCs w:val="24"/>
                <w:shd w:val="clear" w:color="auto" w:fill="FFFFFF"/>
                <w:lang w:val="lt-LT"/>
              </w:rPr>
              <w:t>Atsižvelgiant į tai, Bendrovė siūlo palikti šiuo metu galiojantį reikalavimą informuoti Komisiją tik apie esminius NSUSOAĮ 13 straipsnio 1 dalyje numatytų sandorių pakeitimus; kartu, siekiant didesnio aiškumo, patikslinti kokie pakeitimai laikytini esminiais, pvz. sutarties šalies pakeitimas, sutarties objekto/ dalyko pakeitimas, apmokėjimo sąlygų pakeitimas ir pan.</w:t>
            </w:r>
          </w:p>
          <w:p w14:paraId="4261B0FC" w14:textId="77777777" w:rsidR="009B1CCF" w:rsidRPr="00CA2FFB" w:rsidRDefault="009B1CCF" w:rsidP="009B1CCF">
            <w:pPr>
              <w:jc w:val="both"/>
              <w:rPr>
                <w:rFonts w:ascii="Times New Roman" w:hAnsi="Times New Roman" w:cs="Times New Roman"/>
                <w:sz w:val="24"/>
                <w:szCs w:val="24"/>
                <w:lang w:val="lt-LT"/>
              </w:rPr>
            </w:pPr>
          </w:p>
          <w:p w14:paraId="0F896875" w14:textId="0106E387" w:rsidR="009B1CCF" w:rsidRPr="00CA2FFB" w:rsidRDefault="009B1CCF" w:rsidP="009B1CCF">
            <w:pPr>
              <w:jc w:val="both"/>
              <w:rPr>
                <w:rFonts w:ascii="Times New Roman" w:hAnsi="Times New Roman" w:cs="Times New Roman"/>
                <w:sz w:val="24"/>
                <w:szCs w:val="24"/>
                <w:lang w:val="lt-LT" w:eastAsia="lt-LT"/>
              </w:rPr>
            </w:pPr>
            <w:r w:rsidRPr="00CA2FFB">
              <w:rPr>
                <w:rFonts w:ascii="Times New Roman" w:hAnsi="Times New Roman" w:cs="Times New Roman"/>
                <w:sz w:val="24"/>
                <w:szCs w:val="24"/>
                <w:lang w:val="lt-LT" w:eastAsia="lt-LT"/>
              </w:rPr>
              <w:t xml:space="preserve">&lt;....&gt; </w:t>
            </w:r>
            <w:r w:rsidRPr="00CA2FFB">
              <w:rPr>
                <w:rFonts w:ascii="Times New Roman" w:hAnsi="Times New Roman" w:cs="Times New Roman"/>
                <w:sz w:val="24"/>
                <w:szCs w:val="24"/>
                <w:lang w:val="lt-LT"/>
              </w:rPr>
              <w:t xml:space="preserve">Pažymėtina, kad informaciją apie tokio pobūdžio rizikos veiksnius, grėsmes ir pavojus nacionaliniam saugumui renka ir analizuoja Valstybės saugumo departamentas bei </w:t>
            </w:r>
            <w:r w:rsidRPr="00CA2FFB">
              <w:rPr>
                <w:rFonts w:ascii="Times New Roman" w:hAnsi="Times New Roman" w:cs="Times New Roman"/>
                <w:color w:val="000000"/>
                <w:sz w:val="24"/>
                <w:szCs w:val="24"/>
                <w:lang w:val="lt-LT"/>
              </w:rPr>
              <w:t>Antrasis operatyvinių tarnybų departamentas prie Krašto apsaugos ministerijos</w:t>
            </w:r>
            <w:r w:rsidRPr="00CA2FFB">
              <w:rPr>
                <w:rFonts w:ascii="Times New Roman" w:hAnsi="Times New Roman" w:cs="Times New Roman"/>
                <w:sz w:val="24"/>
                <w:szCs w:val="24"/>
                <w:lang w:val="lt-LT"/>
              </w:rPr>
              <w:t xml:space="preserve">, o šią jų veiklą reglamentuoja Žvalgybos įstatymo nuostatos. Tuo tarpu </w:t>
            </w:r>
            <w:r w:rsidRPr="00CA2FFB">
              <w:rPr>
                <w:rFonts w:ascii="Times New Roman" w:hAnsi="Times New Roman" w:cs="Times New Roman"/>
                <w:i/>
                <w:iCs/>
                <w:sz w:val="24"/>
                <w:szCs w:val="24"/>
                <w:u w:val="single"/>
                <w:lang w:val="lt-LT"/>
              </w:rPr>
              <w:t>Įmonės neturi nei techninių, nei organizacinių išteklių tokiai informacijai surinkti ir įvertinti; be to, teisės aktai nesuteikia</w:t>
            </w:r>
            <w:r w:rsidRPr="00CA2FFB">
              <w:rPr>
                <w:rFonts w:ascii="Times New Roman" w:hAnsi="Times New Roman" w:cs="Times New Roman"/>
                <w:sz w:val="24"/>
                <w:szCs w:val="24"/>
                <w:u w:val="single"/>
                <w:lang w:val="lt-LT"/>
              </w:rPr>
              <w:t xml:space="preserve"> </w:t>
            </w:r>
            <w:r w:rsidRPr="00CA2FFB">
              <w:rPr>
                <w:rFonts w:ascii="Times New Roman" w:hAnsi="Times New Roman" w:cs="Times New Roman"/>
                <w:i/>
                <w:iCs/>
                <w:sz w:val="24"/>
                <w:szCs w:val="24"/>
                <w:u w:val="single"/>
                <w:lang w:val="lt-LT"/>
              </w:rPr>
              <w:t>Įmonėms įgaliojimų vykdyti žvalgybinio pobūdžio veiklą</w:t>
            </w:r>
            <w:r w:rsidRPr="00CA2FFB">
              <w:rPr>
                <w:rFonts w:ascii="Times New Roman" w:hAnsi="Times New Roman" w:cs="Times New Roman"/>
                <w:sz w:val="24"/>
                <w:szCs w:val="24"/>
                <w:lang w:val="lt-LT"/>
              </w:rPr>
              <w:t xml:space="preserve">. Dėl šios priežasties Įmonėms praktiškai neįmanoma įgyvendinti pareigą identifikuoti NSUSOAĮ 13 straipsnio 4 dalies </w:t>
            </w:r>
            <w:r w:rsidRPr="00CA2FFB">
              <w:rPr>
                <w:rFonts w:ascii="Times New Roman" w:hAnsi="Times New Roman" w:cs="Times New Roman"/>
                <w:sz w:val="24"/>
                <w:szCs w:val="24"/>
                <w:lang w:val="lt-LT" w:eastAsia="lt-LT"/>
              </w:rPr>
              <w:t>1 punkto d–f papunkčiuose nurodytas rizikas.</w:t>
            </w:r>
          </w:p>
          <w:p w14:paraId="25790029" w14:textId="77777777" w:rsidR="009B1CCF" w:rsidRPr="00CA2FFB" w:rsidRDefault="009B1CCF" w:rsidP="009B1CCF">
            <w:pPr>
              <w:shd w:val="clear" w:color="auto" w:fill="FFFFFF"/>
              <w:tabs>
                <w:tab w:val="left" w:pos="709"/>
                <w:tab w:val="left" w:pos="1134"/>
              </w:tabs>
              <w:ind w:right="-1"/>
              <w:jc w:val="both"/>
              <w:rPr>
                <w:rFonts w:ascii="Times New Roman" w:hAnsi="Times New Roman" w:cs="Times New Roman"/>
                <w:sz w:val="24"/>
                <w:szCs w:val="24"/>
                <w:lang w:val="lt-LT" w:eastAsia="lt-LT"/>
              </w:rPr>
            </w:pPr>
            <w:r w:rsidRPr="00CA2FFB">
              <w:rPr>
                <w:rFonts w:ascii="Times New Roman" w:hAnsi="Times New Roman" w:cs="Times New Roman"/>
                <w:sz w:val="24"/>
                <w:szCs w:val="24"/>
                <w:lang w:val="lt-LT"/>
              </w:rPr>
              <w:t xml:space="preserve">&lt;....&gt; </w:t>
            </w:r>
            <w:r w:rsidRPr="00CA2FFB">
              <w:rPr>
                <w:rFonts w:ascii="Times New Roman" w:hAnsi="Times New Roman" w:cs="Times New Roman"/>
                <w:sz w:val="24"/>
                <w:szCs w:val="24"/>
                <w:lang w:val="lt-LT" w:eastAsia="lt-LT"/>
              </w:rPr>
              <w:t xml:space="preserve">Bendrovė supranta, jog NSUSOAĮ 13 straipsnio 4 dalies 1 punkto d–f papunkčiuose nurodytos rizikos kelia didelių iššūkių Lietuvos Respublikos nacionaliniam saugumui. Tačiau, atsižvelgiant į tai, kad Įmonės neturi galimybių pačios identifikuoti šių rizikų, Bendrovė siūlo NSUSOAĮ palikti Įmonėms pareigą informuoti Komisiją tik apie tuos ketinamus sudaryti sandorius, kuriais suteikiamos NSUSOAĮ 13 straipsnio 4 dalies 1 punkto a–c  papunkčiuose nurodytos teisės, tačiau atsisakyti reikalavimo informuoti Komisiją apie ketinamus sudaryti sandorius, kurie kelia NSUSOAĮ 13 straipsnio 4 dalies 1 punkto d–f papunkčiuose nurodytas rizikas. Kartu, Bendrovės įsitikinimu, </w:t>
            </w:r>
            <w:r w:rsidRPr="00CA2FFB">
              <w:rPr>
                <w:rFonts w:ascii="Times New Roman" w:hAnsi="Times New Roman" w:cs="Times New Roman"/>
                <w:i/>
                <w:iCs/>
                <w:sz w:val="24"/>
                <w:szCs w:val="24"/>
                <w:lang w:val="lt-LT" w:eastAsia="lt-LT"/>
              </w:rPr>
              <w:t>itin svarbu, kad Komisija, atlikdama sandorio patikrą, savo ruožtu vertintų NSUSOAĮ 13 straipsnio 4 dalies 1 punkto d–f papunkčiuose nurodytas rizikas</w:t>
            </w:r>
            <w:r w:rsidRPr="00CA2FFB">
              <w:rPr>
                <w:rFonts w:ascii="Times New Roman" w:hAnsi="Times New Roman" w:cs="Times New Roman"/>
                <w:sz w:val="24"/>
                <w:szCs w:val="24"/>
                <w:lang w:val="lt-LT" w:eastAsia="lt-LT"/>
              </w:rPr>
              <w:t>.</w:t>
            </w:r>
          </w:p>
          <w:p w14:paraId="01AC9891"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3667C612"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49C4F45B"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3E210F2C"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32F39C61"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43F84602"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447B23BF"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6C376C04"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669CC75A" w14:textId="77777777" w:rsidR="00C62134" w:rsidRPr="00CA2FFB" w:rsidRDefault="00C62134" w:rsidP="00C62134">
            <w:pPr>
              <w:suppressAutoHyphens/>
              <w:jc w:val="both"/>
              <w:rPr>
                <w:rFonts w:ascii="Times New Roman" w:hAnsi="Times New Roman" w:cs="Times New Roman"/>
                <w:sz w:val="24"/>
                <w:szCs w:val="24"/>
                <w:lang w:val="lt-LT" w:eastAsia="lt-LT"/>
              </w:rPr>
            </w:pPr>
          </w:p>
          <w:p w14:paraId="4D27160E" w14:textId="4768AA8A" w:rsidR="00C62134" w:rsidRPr="00CA2FFB" w:rsidRDefault="00C62134" w:rsidP="00C62134">
            <w:pPr>
              <w:suppressAutoHyphens/>
              <w:jc w:val="both"/>
              <w:rPr>
                <w:rFonts w:ascii="Times New Roman" w:hAnsi="Times New Roman" w:cs="Times New Roman"/>
                <w:sz w:val="24"/>
                <w:szCs w:val="24"/>
                <w:lang w:val="lt-LT" w:eastAsia="lt-LT"/>
              </w:rPr>
            </w:pPr>
            <w:r w:rsidRPr="00CA2FFB">
              <w:rPr>
                <w:rFonts w:ascii="Times New Roman" w:hAnsi="Times New Roman" w:cs="Times New Roman"/>
                <w:sz w:val="24"/>
                <w:szCs w:val="24"/>
                <w:lang w:val="lt-LT" w:eastAsia="lt-LT"/>
              </w:rPr>
              <w:t xml:space="preserve">&lt;....&gt; Iš Įstatymo projekto 2 straipsnio 4 dalies nėra aišku:  kas yra laikoma </w:t>
            </w:r>
            <w:r w:rsidRPr="00CA2FFB">
              <w:rPr>
                <w:rFonts w:ascii="Times New Roman" w:hAnsi="Times New Roman" w:cs="Times New Roman"/>
                <w:i/>
                <w:iCs/>
                <w:sz w:val="24"/>
                <w:szCs w:val="24"/>
                <w:lang w:val="lt-LT" w:eastAsia="lt-LT"/>
              </w:rPr>
              <w:t>autoritariniais ir (arba) antidemokratiniais režimais</w:t>
            </w:r>
            <w:r w:rsidRPr="00CA2FFB">
              <w:rPr>
                <w:rFonts w:ascii="Times New Roman" w:hAnsi="Times New Roman" w:cs="Times New Roman"/>
                <w:sz w:val="24"/>
                <w:szCs w:val="24"/>
                <w:lang w:val="lt-LT" w:eastAsia="lt-LT"/>
              </w:rPr>
              <w:t xml:space="preserve">; kokiais atvejais traktuojama, kad sandorio šalis iš sandorio gautinomis pajamomis ketina remti režimus; kaip turi būti suprantama ir aiškinama sandorio šalies </w:t>
            </w:r>
            <w:r w:rsidRPr="00CA2FFB">
              <w:rPr>
                <w:rFonts w:ascii="Times New Roman" w:hAnsi="Times New Roman" w:cs="Times New Roman"/>
                <w:i/>
                <w:iCs/>
                <w:sz w:val="24"/>
                <w:szCs w:val="24"/>
                <w:lang w:val="lt-LT" w:eastAsia="lt-LT"/>
              </w:rPr>
              <w:t>ekonominė priklausomybė</w:t>
            </w:r>
            <w:r w:rsidRPr="00CA2FFB">
              <w:rPr>
                <w:rFonts w:ascii="Times New Roman" w:hAnsi="Times New Roman" w:cs="Times New Roman"/>
                <w:sz w:val="24"/>
                <w:szCs w:val="24"/>
                <w:lang w:val="lt-LT" w:eastAsia="lt-LT"/>
              </w:rPr>
              <w:t xml:space="preserve"> nuo režimų; ką reiškia žodžių junginys “</w:t>
            </w:r>
            <w:r w:rsidRPr="00CA2FFB">
              <w:rPr>
                <w:rFonts w:ascii="Times New Roman" w:hAnsi="Times New Roman" w:cs="Times New Roman"/>
                <w:i/>
                <w:iCs/>
                <w:sz w:val="24"/>
                <w:szCs w:val="24"/>
                <w:lang w:val="lt-LT" w:eastAsia="lt-LT"/>
              </w:rPr>
              <w:t xml:space="preserve">kitokio pobūdžio </w:t>
            </w:r>
            <w:r w:rsidRPr="00CA2FFB">
              <w:rPr>
                <w:rFonts w:ascii="Times New Roman" w:hAnsi="Times New Roman" w:cs="Times New Roman"/>
                <w:sz w:val="24"/>
                <w:szCs w:val="24"/>
                <w:lang w:val="lt-LT" w:eastAsia="lt-LT"/>
              </w:rPr>
              <w:t>prieiga”. Pabrėžtina, jog šių aspektų (sąvokų) neapibrėžia (nereglamentuoja) nei aktualios redakcijos NSUSOAĮ, nei kiti teisės aktai.</w:t>
            </w:r>
          </w:p>
          <w:p w14:paraId="71B62593" w14:textId="2ED511A7" w:rsidR="00C62134" w:rsidRPr="00CA2FFB" w:rsidRDefault="00C62134" w:rsidP="00C62134">
            <w:pPr>
              <w:suppressAutoHyphens/>
              <w:jc w:val="both"/>
              <w:rPr>
                <w:rFonts w:ascii="Times New Roman" w:hAnsi="Times New Roman" w:cs="Times New Roman"/>
                <w:sz w:val="24"/>
                <w:szCs w:val="24"/>
                <w:lang w:val="lt-LT" w:eastAsia="lt-LT"/>
              </w:rPr>
            </w:pPr>
            <w:r w:rsidRPr="00CA2FFB">
              <w:rPr>
                <w:rFonts w:ascii="Times New Roman" w:hAnsi="Times New Roman" w:cs="Times New Roman"/>
                <w:sz w:val="24"/>
                <w:szCs w:val="24"/>
                <w:lang w:val="lt-LT" w:eastAsia="lt-LT"/>
              </w:rPr>
              <w:t xml:space="preserve">Bendrovė atkreipia dėmesį, jog šiuo metu galiojančiame NSUSOAĮ </w:t>
            </w:r>
            <w:r w:rsidRPr="00CA2FFB">
              <w:rPr>
                <w:rFonts w:ascii="Times New Roman" w:hAnsi="Times New Roman" w:cs="Times New Roman"/>
                <w:sz w:val="24"/>
                <w:szCs w:val="24"/>
                <w:u w:val="single"/>
                <w:lang w:val="lt-LT" w:eastAsia="lt-LT"/>
              </w:rPr>
              <w:t>nėra naudojama sąvoka „ypatingos svarbos infrastruktūros objektai“,</w:t>
            </w:r>
            <w:r w:rsidRPr="00CA2FFB">
              <w:rPr>
                <w:rFonts w:ascii="Times New Roman" w:hAnsi="Times New Roman" w:cs="Times New Roman"/>
                <w:sz w:val="24"/>
                <w:szCs w:val="24"/>
                <w:lang w:val="lt-LT" w:eastAsia="lt-LT"/>
              </w:rPr>
              <w:t xml:space="preserve"> todėl nėra aiškus jos turinys. Kartu iš NSUSOAĮ matyti, kad NSUSOAĮ naudojamos tokios sąvokos kaip “</w:t>
            </w:r>
            <w:r w:rsidRPr="00CA2FFB">
              <w:rPr>
                <w:rFonts w:ascii="Times New Roman" w:hAnsi="Times New Roman" w:cs="Times New Roman"/>
                <w:i/>
                <w:iCs/>
                <w:sz w:val="24"/>
                <w:szCs w:val="24"/>
                <w:lang w:val="lt-LT" w:eastAsia="lt-LT"/>
              </w:rPr>
              <w:t>nacionaliniam saugumui užtikrinti strateginę reikšmę turinti infrastruktūra“</w:t>
            </w:r>
            <w:r w:rsidRPr="00CA2FFB">
              <w:rPr>
                <w:rFonts w:ascii="Times New Roman" w:hAnsi="Times New Roman" w:cs="Times New Roman"/>
                <w:sz w:val="24"/>
                <w:szCs w:val="24"/>
                <w:lang w:val="lt-LT" w:eastAsia="lt-LT"/>
              </w:rPr>
              <w:t xml:space="preserve"> ir „</w:t>
            </w:r>
            <w:r w:rsidRPr="00CA2FFB">
              <w:rPr>
                <w:rFonts w:ascii="Times New Roman" w:hAnsi="Times New Roman" w:cs="Times New Roman"/>
                <w:i/>
                <w:iCs/>
                <w:sz w:val="24"/>
                <w:szCs w:val="24"/>
                <w:lang w:val="lt-LT" w:eastAsia="lt-LT"/>
              </w:rPr>
              <w:t xml:space="preserve">nacionaliniam saugumui užtikrinti svarbią reikšmę turinti infrastruktūra“ </w:t>
            </w:r>
            <w:r w:rsidRPr="00CA2FFB">
              <w:rPr>
                <w:rFonts w:ascii="Times New Roman" w:hAnsi="Times New Roman" w:cs="Times New Roman"/>
                <w:sz w:val="24"/>
                <w:szCs w:val="24"/>
                <w:lang w:val="lt-LT" w:eastAsia="lt-LT"/>
              </w:rPr>
              <w:t>(NSUSOAĮ 4 priedas). Be to, pagal NSUSOAĮ 2 straipsnio 15 dalį NSUSOAĮ taip pat vartojama sąvoka „</w:t>
            </w:r>
            <w:r w:rsidRPr="00CA2FFB">
              <w:rPr>
                <w:rFonts w:ascii="Times New Roman" w:hAnsi="Times New Roman" w:cs="Times New Roman"/>
                <w:i/>
                <w:iCs/>
                <w:sz w:val="24"/>
                <w:szCs w:val="24"/>
                <w:lang w:val="lt-LT" w:eastAsia="lt-LT"/>
              </w:rPr>
              <w:t>ypatingos svarbos informacinė infrastruktūra</w:t>
            </w:r>
            <w:r w:rsidRPr="00CA2FFB">
              <w:rPr>
                <w:rFonts w:ascii="Times New Roman" w:hAnsi="Times New Roman" w:cs="Times New Roman"/>
                <w:sz w:val="24"/>
                <w:szCs w:val="24"/>
                <w:lang w:val="lt-LT" w:eastAsia="lt-LT"/>
              </w:rPr>
              <w:t>“, kuri suprantama taip, kaip ji apibrėžiama Lietuvos Respublikos kibernetinio saugumo įstatyme.</w:t>
            </w:r>
          </w:p>
          <w:p w14:paraId="2140DB51" w14:textId="3E44011E" w:rsidR="009B1CCF" w:rsidRPr="00CA2FFB" w:rsidRDefault="009B1CCF" w:rsidP="009B1CCF">
            <w:pPr>
              <w:tabs>
                <w:tab w:val="left" w:pos="4104"/>
              </w:tabs>
              <w:jc w:val="both"/>
              <w:rPr>
                <w:rFonts w:ascii="Times New Roman" w:hAnsi="Times New Roman" w:cs="Times New Roman"/>
                <w:sz w:val="24"/>
                <w:szCs w:val="24"/>
                <w:lang w:val="lt-LT"/>
              </w:rPr>
            </w:pPr>
          </w:p>
        </w:tc>
        <w:tc>
          <w:tcPr>
            <w:tcW w:w="5386" w:type="dxa"/>
          </w:tcPr>
          <w:p w14:paraId="3AD38A16" w14:textId="77777777" w:rsidR="009B1CCF" w:rsidRPr="00CA2FFB" w:rsidRDefault="009B1CCF" w:rsidP="009B1CCF">
            <w:pPr>
              <w:jc w:val="both"/>
              <w:rPr>
                <w:rFonts w:ascii="Times New Roman" w:hAnsi="Times New Roman" w:cs="Times New Roman"/>
                <w:b/>
                <w:sz w:val="24"/>
                <w:szCs w:val="24"/>
                <w:lang w:val="lt-LT"/>
              </w:rPr>
            </w:pPr>
            <w:r w:rsidRPr="00CA2FFB">
              <w:rPr>
                <w:rFonts w:ascii="Times New Roman" w:hAnsi="Times New Roman" w:cs="Times New Roman"/>
                <w:b/>
                <w:sz w:val="24"/>
                <w:szCs w:val="24"/>
                <w:lang w:val="lt-LT"/>
              </w:rPr>
              <w:lastRenderedPageBreak/>
              <w:t xml:space="preserve">Atsižvelgta iš dalies.  </w:t>
            </w:r>
          </w:p>
          <w:p w14:paraId="4FF98824" w14:textId="77777777" w:rsidR="009B1CCF" w:rsidRPr="00CA2FFB" w:rsidRDefault="009B1CCF" w:rsidP="009B1CCF">
            <w:pPr>
              <w:jc w:val="both"/>
              <w:rPr>
                <w:rFonts w:ascii="Times New Roman" w:hAnsi="Times New Roman" w:cs="Times New Roman"/>
                <w:bCs/>
                <w:sz w:val="24"/>
                <w:szCs w:val="24"/>
                <w:lang w:val="lt-LT"/>
              </w:rPr>
            </w:pPr>
            <w:r w:rsidRPr="00CA2FFB">
              <w:rPr>
                <w:rFonts w:ascii="Times New Roman" w:hAnsi="Times New Roman" w:cs="Times New Roman"/>
                <w:bCs/>
                <w:sz w:val="24"/>
                <w:szCs w:val="24"/>
                <w:lang w:val="lt-LT"/>
              </w:rPr>
              <w:t xml:space="preserve">Įstatymo projekte siūloma vietoje formuluotės „esminiai pakeitimai“ nustatyti, kad įmonė privalo informuoti apie „pakeitimus, </w:t>
            </w:r>
            <w:r w:rsidRPr="00CA2FFB">
              <w:rPr>
                <w:rFonts w:ascii="Times New Roman" w:hAnsi="Times New Roman" w:cs="Times New Roman"/>
                <w:b/>
                <w:i/>
                <w:iCs/>
                <w:sz w:val="24"/>
                <w:szCs w:val="24"/>
                <w:lang w:val="lt-LT"/>
              </w:rPr>
              <w:t>išskyrus išimtinai techninio (redakcinio) pobūdžio pakeitimus</w:t>
            </w:r>
            <w:r w:rsidRPr="00CA2FFB">
              <w:rPr>
                <w:rFonts w:ascii="Times New Roman" w:hAnsi="Times New Roman" w:cs="Times New Roman"/>
                <w:bCs/>
                <w:sz w:val="24"/>
                <w:szCs w:val="24"/>
                <w:lang w:val="lt-LT"/>
              </w:rPr>
              <w:t>“.</w:t>
            </w:r>
          </w:p>
          <w:p w14:paraId="238BE935" w14:textId="77777777" w:rsidR="009B1CCF" w:rsidRPr="00CA2FFB" w:rsidRDefault="009B1CCF" w:rsidP="009B1CCF">
            <w:pPr>
              <w:jc w:val="both"/>
              <w:rPr>
                <w:rFonts w:ascii="Times New Roman" w:hAnsi="Times New Roman" w:cs="Times New Roman"/>
                <w:bCs/>
                <w:sz w:val="24"/>
                <w:szCs w:val="24"/>
                <w:lang w:val="lt-LT"/>
              </w:rPr>
            </w:pPr>
          </w:p>
          <w:p w14:paraId="0FB69BE4" w14:textId="77777777" w:rsidR="009B1CCF" w:rsidRPr="00CA2FFB" w:rsidRDefault="009B1CCF" w:rsidP="009B1CCF">
            <w:pPr>
              <w:jc w:val="both"/>
              <w:rPr>
                <w:rFonts w:ascii="Times New Roman" w:hAnsi="Times New Roman" w:cs="Times New Roman"/>
                <w:bCs/>
                <w:sz w:val="24"/>
                <w:szCs w:val="24"/>
                <w:lang w:val="lt-LT"/>
              </w:rPr>
            </w:pPr>
          </w:p>
          <w:p w14:paraId="3ACB078E" w14:textId="77777777" w:rsidR="009B1CCF" w:rsidRPr="00CA2FFB" w:rsidRDefault="009B1CCF" w:rsidP="009B1CCF">
            <w:pPr>
              <w:jc w:val="both"/>
              <w:rPr>
                <w:rFonts w:ascii="Times New Roman" w:hAnsi="Times New Roman" w:cs="Times New Roman"/>
                <w:bCs/>
                <w:sz w:val="24"/>
                <w:szCs w:val="24"/>
                <w:lang w:val="lt-LT"/>
              </w:rPr>
            </w:pPr>
          </w:p>
          <w:p w14:paraId="4A988A53" w14:textId="77777777" w:rsidR="009B1CCF" w:rsidRPr="00CA2FFB" w:rsidRDefault="009B1CCF" w:rsidP="009B1CCF">
            <w:pPr>
              <w:jc w:val="both"/>
              <w:rPr>
                <w:rFonts w:ascii="Times New Roman" w:hAnsi="Times New Roman" w:cs="Times New Roman"/>
                <w:bCs/>
                <w:sz w:val="24"/>
                <w:szCs w:val="24"/>
                <w:lang w:val="lt-LT"/>
              </w:rPr>
            </w:pPr>
          </w:p>
          <w:p w14:paraId="5C57247E" w14:textId="77777777" w:rsidR="009B1CCF" w:rsidRPr="00CA2FFB" w:rsidRDefault="009B1CCF" w:rsidP="009B1CCF">
            <w:pPr>
              <w:jc w:val="both"/>
              <w:rPr>
                <w:rFonts w:ascii="Times New Roman" w:hAnsi="Times New Roman" w:cs="Times New Roman"/>
                <w:bCs/>
                <w:sz w:val="24"/>
                <w:szCs w:val="24"/>
                <w:lang w:val="lt-LT"/>
              </w:rPr>
            </w:pPr>
          </w:p>
          <w:p w14:paraId="5F77B42B" w14:textId="77777777" w:rsidR="009B1CCF" w:rsidRPr="00CA2FFB" w:rsidRDefault="009B1CCF" w:rsidP="009B1CCF">
            <w:pPr>
              <w:jc w:val="both"/>
              <w:rPr>
                <w:rFonts w:ascii="Times New Roman" w:hAnsi="Times New Roman" w:cs="Times New Roman"/>
                <w:bCs/>
                <w:sz w:val="24"/>
                <w:szCs w:val="24"/>
                <w:lang w:val="lt-LT"/>
              </w:rPr>
            </w:pPr>
          </w:p>
          <w:p w14:paraId="71A6F691" w14:textId="77777777" w:rsidR="009B1CCF" w:rsidRPr="00CA2FFB" w:rsidRDefault="009B1CCF" w:rsidP="009B1CCF">
            <w:pPr>
              <w:jc w:val="both"/>
              <w:rPr>
                <w:rFonts w:ascii="Times New Roman" w:hAnsi="Times New Roman" w:cs="Times New Roman"/>
                <w:bCs/>
                <w:sz w:val="24"/>
                <w:szCs w:val="24"/>
                <w:lang w:val="lt-LT"/>
              </w:rPr>
            </w:pPr>
          </w:p>
          <w:p w14:paraId="27B00667" w14:textId="77777777" w:rsidR="009B1CCF" w:rsidRPr="00CA2FFB" w:rsidRDefault="009B1CCF" w:rsidP="009B1CCF">
            <w:pPr>
              <w:jc w:val="both"/>
              <w:rPr>
                <w:rFonts w:ascii="Times New Roman" w:hAnsi="Times New Roman" w:cs="Times New Roman"/>
                <w:bCs/>
                <w:sz w:val="24"/>
                <w:szCs w:val="24"/>
                <w:lang w:val="lt-LT"/>
              </w:rPr>
            </w:pPr>
          </w:p>
          <w:p w14:paraId="3A89022E" w14:textId="77777777" w:rsidR="009B1CCF" w:rsidRPr="00CA2FFB" w:rsidRDefault="009B1CCF" w:rsidP="009B1CCF">
            <w:pPr>
              <w:jc w:val="both"/>
              <w:rPr>
                <w:rFonts w:ascii="Times New Roman" w:hAnsi="Times New Roman" w:cs="Times New Roman"/>
                <w:bCs/>
                <w:sz w:val="24"/>
                <w:szCs w:val="24"/>
                <w:lang w:val="lt-LT"/>
              </w:rPr>
            </w:pPr>
          </w:p>
          <w:p w14:paraId="7A4F223A" w14:textId="77777777" w:rsidR="009B1CCF" w:rsidRPr="00CA2FFB" w:rsidRDefault="009B1CCF" w:rsidP="009B1CCF">
            <w:pPr>
              <w:jc w:val="both"/>
              <w:rPr>
                <w:rFonts w:ascii="Times New Roman" w:hAnsi="Times New Roman" w:cs="Times New Roman"/>
                <w:bCs/>
                <w:sz w:val="24"/>
                <w:szCs w:val="24"/>
                <w:lang w:val="lt-LT"/>
              </w:rPr>
            </w:pPr>
          </w:p>
          <w:p w14:paraId="7B46BBF0" w14:textId="77777777" w:rsidR="009B1CCF" w:rsidRPr="00CA2FFB" w:rsidRDefault="009B1CCF" w:rsidP="009B1CCF">
            <w:pPr>
              <w:jc w:val="both"/>
              <w:rPr>
                <w:rFonts w:ascii="Times New Roman" w:hAnsi="Times New Roman" w:cs="Times New Roman"/>
                <w:bCs/>
                <w:sz w:val="24"/>
                <w:szCs w:val="24"/>
                <w:lang w:val="lt-LT"/>
              </w:rPr>
            </w:pPr>
          </w:p>
          <w:p w14:paraId="6F820FCF" w14:textId="77777777" w:rsidR="00C62134" w:rsidRPr="00CA2FFB" w:rsidRDefault="00C62134" w:rsidP="009B1CCF">
            <w:pPr>
              <w:jc w:val="both"/>
              <w:rPr>
                <w:rFonts w:ascii="Times New Roman" w:hAnsi="Times New Roman" w:cs="Times New Roman"/>
                <w:b/>
                <w:sz w:val="24"/>
                <w:szCs w:val="24"/>
                <w:lang w:val="lt-LT"/>
              </w:rPr>
            </w:pPr>
          </w:p>
          <w:p w14:paraId="46E62F22" w14:textId="77777777" w:rsidR="00C62134" w:rsidRPr="00CA2FFB" w:rsidRDefault="00C62134" w:rsidP="009B1CCF">
            <w:pPr>
              <w:jc w:val="both"/>
              <w:rPr>
                <w:rFonts w:ascii="Times New Roman" w:hAnsi="Times New Roman" w:cs="Times New Roman"/>
                <w:b/>
                <w:sz w:val="24"/>
                <w:szCs w:val="24"/>
                <w:lang w:val="lt-LT"/>
              </w:rPr>
            </w:pPr>
          </w:p>
          <w:p w14:paraId="5108805C" w14:textId="77777777" w:rsidR="00C62134" w:rsidRPr="00CA2FFB" w:rsidRDefault="00C62134" w:rsidP="009B1CCF">
            <w:pPr>
              <w:jc w:val="both"/>
              <w:rPr>
                <w:rFonts w:ascii="Times New Roman" w:hAnsi="Times New Roman" w:cs="Times New Roman"/>
                <w:b/>
                <w:sz w:val="24"/>
                <w:szCs w:val="24"/>
                <w:lang w:val="lt-LT"/>
              </w:rPr>
            </w:pPr>
          </w:p>
          <w:p w14:paraId="2FB2EDBF" w14:textId="77777777" w:rsidR="00C72F4F" w:rsidRDefault="00C72F4F" w:rsidP="009B1CCF">
            <w:pPr>
              <w:jc w:val="both"/>
              <w:rPr>
                <w:rFonts w:ascii="Times New Roman" w:hAnsi="Times New Roman" w:cs="Times New Roman"/>
                <w:b/>
                <w:sz w:val="24"/>
                <w:szCs w:val="24"/>
                <w:lang w:val="lt-LT"/>
              </w:rPr>
            </w:pPr>
          </w:p>
          <w:p w14:paraId="63A4D288" w14:textId="49933707" w:rsidR="009B1CCF" w:rsidRPr="00CA2FFB" w:rsidRDefault="009B1CCF" w:rsidP="009B1CCF">
            <w:pPr>
              <w:jc w:val="both"/>
              <w:rPr>
                <w:rFonts w:ascii="Times New Roman" w:hAnsi="Times New Roman" w:cs="Times New Roman"/>
                <w:b/>
                <w:sz w:val="24"/>
                <w:szCs w:val="24"/>
                <w:lang w:val="lt-LT"/>
              </w:rPr>
            </w:pPr>
            <w:r w:rsidRPr="00CA2FFB">
              <w:rPr>
                <w:rFonts w:ascii="Times New Roman" w:hAnsi="Times New Roman" w:cs="Times New Roman"/>
                <w:b/>
                <w:sz w:val="24"/>
                <w:szCs w:val="24"/>
                <w:lang w:val="lt-LT"/>
              </w:rPr>
              <w:t xml:space="preserve">Atsižvelgta iš dalies. </w:t>
            </w:r>
          </w:p>
          <w:p w14:paraId="6CFF0093" w14:textId="77777777" w:rsidR="009B1CCF" w:rsidRPr="00CA2FFB" w:rsidRDefault="009B1CCF" w:rsidP="009B1CCF">
            <w:pPr>
              <w:jc w:val="both"/>
              <w:rPr>
                <w:rFonts w:ascii="Times New Roman" w:hAnsi="Times New Roman" w:cs="Times New Roman"/>
                <w:bCs/>
                <w:sz w:val="24"/>
                <w:szCs w:val="24"/>
                <w:lang w:val="lt-LT"/>
              </w:rPr>
            </w:pPr>
            <w:r w:rsidRPr="00CA2FFB">
              <w:rPr>
                <w:rFonts w:ascii="Times New Roman" w:hAnsi="Times New Roman" w:cs="Times New Roman"/>
                <w:bCs/>
                <w:sz w:val="24"/>
                <w:szCs w:val="24"/>
                <w:lang w:val="lt-LT"/>
              </w:rPr>
              <w:t xml:space="preserve">Atsisakyta Įstatymo projekto nuostatų, praplečiančių nacionaliniam saugumui svarbios įmonės pareigą informuoti Komisiją apie sudarytus sandorius, kai yra pagrįstų duomenų, kad iš sandorio gautinomis pajamomis gali būti remiami autoritariniai režimai, taip, kaip jie suprantami pagal Lietuvos Respublikos Seimo patvirtintą Nacionalinę saugumo strategiją,  ir  (arba) finansuojami šių režimų veiksmai, nukreipti prieš Lietuvos Respublikos interesus. </w:t>
            </w:r>
          </w:p>
          <w:p w14:paraId="0DC5FE3E" w14:textId="77777777" w:rsidR="009B1CCF" w:rsidRPr="00CA2FFB" w:rsidRDefault="009B1CCF" w:rsidP="009B1CCF">
            <w:pPr>
              <w:suppressAutoHyphens/>
              <w:jc w:val="both"/>
              <w:rPr>
                <w:rFonts w:ascii="Times New Roman" w:hAnsi="Times New Roman" w:cs="Times New Roman"/>
                <w:sz w:val="24"/>
                <w:szCs w:val="24"/>
                <w:lang w:val="lt-LT" w:eastAsia="lt-LT"/>
              </w:rPr>
            </w:pPr>
            <w:r w:rsidRPr="00CA2FFB">
              <w:rPr>
                <w:rFonts w:ascii="Times New Roman" w:hAnsi="Times New Roman" w:cs="Times New Roman"/>
                <w:sz w:val="24"/>
                <w:szCs w:val="24"/>
                <w:lang w:val="lt-LT" w:eastAsia="lt-LT"/>
              </w:rPr>
              <w:t xml:space="preserve">Įstatymo projekte paliekama pareiga įmonėms kreiptis į Komisiją tai atvejais, kai sandorio šaliai yra suteikiama kitokio pobūdžio prieiga prie nacionaliniam saugumui užtikrinti svarbių įrenginių ir turto, kuri kelia riziką ar grėsmę nacionaliniam saugumui. Manytina, kad nacionaliniam saugumui užtikrinti svarbios įmonės, rengdamos sandorių projektus, gebės įsivertinti, ar nėra tenkinama ši sąlyga. </w:t>
            </w:r>
          </w:p>
          <w:p w14:paraId="7062177D" w14:textId="77777777" w:rsidR="009B1CCF" w:rsidRPr="00CA2FFB" w:rsidRDefault="009B1CCF" w:rsidP="009B1CCF">
            <w:pPr>
              <w:jc w:val="both"/>
              <w:rPr>
                <w:rFonts w:ascii="Times New Roman" w:hAnsi="Times New Roman" w:cs="Times New Roman"/>
                <w:sz w:val="24"/>
                <w:szCs w:val="24"/>
                <w:lang w:val="lt-LT" w:eastAsia="lt-LT"/>
              </w:rPr>
            </w:pPr>
            <w:r w:rsidRPr="00CA2FFB">
              <w:rPr>
                <w:rFonts w:ascii="Times New Roman" w:hAnsi="Times New Roman" w:cs="Times New Roman"/>
                <w:sz w:val="24"/>
                <w:szCs w:val="24"/>
                <w:lang w:val="lt-LT" w:eastAsia="lt-LT"/>
              </w:rPr>
              <w:t xml:space="preserve">Be kita ko, atsižvelgiant į Nacionalinio saugumo strategijoje identifikuotas grėsmes ir siekiant maksimaliai užtikrinti nacionalinio saugumo interesu, tikslinama Nacionalinio saugumo įstatymo 12 straipsnio 4 dalis, nustatanti subjektų, turinčių teisę inicijuoti patikrą, ratą, atsisakant ribojimo nacionaliniam saugumui užtikrinti svarbiai įmonei inicijuoti patikrą tik tais atvejais, kai įmonė kreipiasi dėl apsaugos zonos teritorijoje veikiančio </w:t>
            </w:r>
            <w:r w:rsidRPr="00CA2FFB">
              <w:rPr>
                <w:rFonts w:ascii="Times New Roman" w:hAnsi="Times New Roman" w:cs="Times New Roman"/>
                <w:sz w:val="24"/>
                <w:szCs w:val="24"/>
                <w:lang w:val="lt-LT" w:eastAsia="lt-LT"/>
              </w:rPr>
              <w:lastRenderedPageBreak/>
              <w:t xml:space="preserve">investuotojo, kai įmonės veiklos teritorija yra toje pačioje apsaugos zonoje. Taip pat detalizuojama, dėl kokių kriterijų turės pasisakyti konkrečios institucijos, teikiančios išvadas (žr. Įstatymo projekto 2 straipsnio 5 dalį). </w:t>
            </w:r>
          </w:p>
          <w:p w14:paraId="2188BA53" w14:textId="77777777" w:rsidR="006E73CF" w:rsidRPr="00CA2FFB" w:rsidRDefault="006E73CF" w:rsidP="00C62134">
            <w:pPr>
              <w:jc w:val="both"/>
              <w:rPr>
                <w:rFonts w:ascii="Times New Roman" w:hAnsi="Times New Roman" w:cs="Times New Roman"/>
                <w:b/>
                <w:sz w:val="24"/>
                <w:szCs w:val="24"/>
                <w:lang w:val="lt-LT"/>
              </w:rPr>
            </w:pPr>
          </w:p>
          <w:p w14:paraId="502A6766" w14:textId="6A38D678" w:rsidR="009B1CCF" w:rsidRPr="00CA2FFB" w:rsidRDefault="00C62134" w:rsidP="00C62134">
            <w:pPr>
              <w:jc w:val="both"/>
              <w:rPr>
                <w:rFonts w:ascii="Times New Roman" w:hAnsi="Times New Roman" w:cs="Times New Roman"/>
                <w:sz w:val="24"/>
                <w:szCs w:val="24"/>
                <w:lang w:val="lt-LT" w:eastAsia="lt-LT"/>
              </w:rPr>
            </w:pPr>
            <w:r w:rsidRPr="00CA2FFB">
              <w:rPr>
                <w:rFonts w:ascii="Times New Roman" w:hAnsi="Times New Roman" w:cs="Times New Roman"/>
                <w:b/>
                <w:sz w:val="24"/>
                <w:szCs w:val="24"/>
                <w:lang w:val="lt-LT"/>
              </w:rPr>
              <w:t xml:space="preserve">Atsižvelgta iš dalies. </w:t>
            </w:r>
            <w:r w:rsidRPr="00CA2FFB">
              <w:rPr>
                <w:rFonts w:ascii="Times New Roman" w:hAnsi="Times New Roman" w:cs="Times New Roman"/>
                <w:bCs/>
                <w:sz w:val="24"/>
                <w:szCs w:val="24"/>
                <w:lang w:val="lt-LT"/>
              </w:rPr>
              <w:t>Žr. Krašto apsaugos ministerijos 3 pastabos vertinimą, Generalinės prokuratūros pastabos vertinimą. Papildomai paminėtina, kad pagrįstus duomenis, jog iš sandorio gautinomis pajamomis gali būti remiami autoritariniai režimai, taip, kaip jie suprantami pagal Lietuvos Respublikos Seimo patvirtintą Nacionalinę saugumo strategiją,  ir (arba) finansuojami šių režimų veiksmai, nukreipti prieš Lietuvos Respublikos interesus, turės surinkti ir nustatyti kompetentingos institucijos (ne įmonės).</w:t>
            </w:r>
          </w:p>
        </w:tc>
      </w:tr>
      <w:tr w:rsidR="009B1CCF" w:rsidRPr="00674355" w14:paraId="53E21119" w14:textId="77777777" w:rsidTr="00C62134">
        <w:tc>
          <w:tcPr>
            <w:tcW w:w="720" w:type="dxa"/>
            <w:shd w:val="clear" w:color="auto" w:fill="auto"/>
          </w:tcPr>
          <w:p w14:paraId="498484CC" w14:textId="4B657035" w:rsidR="009B1CCF" w:rsidRPr="00CA2FFB" w:rsidRDefault="00C62134" w:rsidP="00353FFD">
            <w:pPr>
              <w:tabs>
                <w:tab w:val="left" w:pos="2052"/>
              </w:tabs>
              <w:rPr>
                <w:rFonts w:ascii="Times New Roman" w:hAnsi="Times New Roman" w:cs="Times New Roman"/>
                <w:sz w:val="24"/>
                <w:szCs w:val="24"/>
              </w:rPr>
            </w:pPr>
            <w:r w:rsidRPr="00CA2FFB">
              <w:rPr>
                <w:rFonts w:ascii="Times New Roman" w:hAnsi="Times New Roman" w:cs="Times New Roman"/>
                <w:sz w:val="24"/>
                <w:szCs w:val="24"/>
              </w:rPr>
              <w:lastRenderedPageBreak/>
              <w:t xml:space="preserve">6. </w:t>
            </w:r>
          </w:p>
        </w:tc>
        <w:tc>
          <w:tcPr>
            <w:tcW w:w="1723" w:type="dxa"/>
          </w:tcPr>
          <w:p w14:paraId="7BE7535B" w14:textId="39497C99" w:rsidR="009B1CCF" w:rsidRPr="00CA2FFB" w:rsidRDefault="00C62134" w:rsidP="00C62134">
            <w:pPr>
              <w:tabs>
                <w:tab w:val="left" w:pos="2052"/>
              </w:tabs>
              <w:jc w:val="center"/>
              <w:rPr>
                <w:rFonts w:ascii="Times New Roman" w:hAnsi="Times New Roman" w:cs="Times New Roman"/>
                <w:sz w:val="24"/>
                <w:szCs w:val="24"/>
                <w:lang w:val="lt-LT"/>
              </w:rPr>
            </w:pPr>
            <w:r w:rsidRPr="00CA2FFB">
              <w:rPr>
                <w:rFonts w:ascii="Times New Roman" w:hAnsi="Times New Roman" w:cs="Times New Roman"/>
                <w:sz w:val="24"/>
                <w:szCs w:val="24"/>
                <w:lang w:val="lt-LT"/>
              </w:rPr>
              <w:t>Lietuvos verslo konfederacija, 2022-02-14 išvada Nr. 22-034VK</w:t>
            </w:r>
          </w:p>
        </w:tc>
        <w:tc>
          <w:tcPr>
            <w:tcW w:w="6521" w:type="dxa"/>
          </w:tcPr>
          <w:p w14:paraId="313BDA80" w14:textId="77777777" w:rsidR="00C62134" w:rsidRPr="00CA2FFB" w:rsidRDefault="00C62134" w:rsidP="00C62134">
            <w:pPr>
              <w:autoSpaceDE w:val="0"/>
              <w:autoSpaceDN w:val="0"/>
              <w:adjustRightInd w:val="0"/>
              <w:jc w:val="both"/>
              <w:rPr>
                <w:rFonts w:ascii="Times New Roman" w:hAnsi="Times New Roman" w:cs="Times New Roman"/>
                <w:b/>
                <w:bCs/>
                <w:sz w:val="24"/>
                <w:szCs w:val="24"/>
                <w:lang w:val="lt-LT"/>
              </w:rPr>
            </w:pPr>
            <w:r w:rsidRPr="00CA2FFB">
              <w:rPr>
                <w:rFonts w:ascii="Times New Roman" w:hAnsi="Times New Roman" w:cs="Times New Roman"/>
                <w:b/>
                <w:bCs/>
                <w:sz w:val="24"/>
                <w:szCs w:val="24"/>
                <w:lang w:val="lt-LT"/>
              </w:rPr>
              <w:t>2. Dėl Projekto 2 straipsnio 1 dalyje siūlomo pakeitimo</w:t>
            </w:r>
          </w:p>
          <w:p w14:paraId="1A207174" w14:textId="77777777" w:rsidR="009B1CCF" w:rsidRPr="00CA2FFB" w:rsidRDefault="00C62134" w:rsidP="00C62134">
            <w:pPr>
              <w:suppressAutoHyphens/>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LVK nuomone, Įstatymo 13 straipsnio 1 dalies formuluotė neturėtų būti keičiama. Jei norima apimti tam tikrus konkrečius atvejus, siūlytina detalizuoti esminiais Įstatymo taikymo prasme, ne tik pagal CK laikomų pakeitimų sąrašą, užuot neribotai plečiant patikrai perduodamų pakeitimų spektrą.</w:t>
            </w:r>
          </w:p>
          <w:p w14:paraId="35183669" w14:textId="77777777" w:rsidR="00C62134" w:rsidRPr="00CA2FFB" w:rsidRDefault="00C62134" w:rsidP="00C62134">
            <w:pPr>
              <w:suppressAutoHyphens/>
              <w:jc w:val="both"/>
              <w:rPr>
                <w:rFonts w:ascii="Times New Roman" w:hAnsi="Times New Roman" w:cs="Times New Roman"/>
                <w:sz w:val="24"/>
                <w:szCs w:val="24"/>
                <w:lang w:val="lt-LT"/>
              </w:rPr>
            </w:pPr>
          </w:p>
          <w:p w14:paraId="2A39C3FA" w14:textId="77777777" w:rsidR="00C62134" w:rsidRPr="00CA2FFB" w:rsidRDefault="00C62134" w:rsidP="00C62134">
            <w:pPr>
              <w:pStyle w:val="Default"/>
              <w:jc w:val="both"/>
              <w:rPr>
                <w:rFonts w:ascii="Times New Roman" w:hAnsi="Times New Roman" w:cs="Times New Roman"/>
                <w:b/>
                <w:bCs/>
              </w:rPr>
            </w:pPr>
            <w:r w:rsidRPr="00CA2FFB">
              <w:rPr>
                <w:rFonts w:ascii="Times New Roman" w:hAnsi="Times New Roman" w:cs="Times New Roman"/>
                <w:b/>
                <w:bCs/>
              </w:rPr>
              <w:t xml:space="preserve">3. Dėl Projekto 2 straipsnio 4 dalimi siūlomų nustatyti normų </w:t>
            </w:r>
          </w:p>
          <w:p w14:paraId="052018D4" w14:textId="77777777" w:rsidR="00C62134" w:rsidRPr="00CA2FFB" w:rsidRDefault="00C62134" w:rsidP="00C62134">
            <w:pPr>
              <w:pStyle w:val="Default"/>
              <w:jc w:val="both"/>
              <w:rPr>
                <w:rFonts w:ascii="Times New Roman" w:hAnsi="Times New Roman" w:cs="Times New Roman"/>
              </w:rPr>
            </w:pPr>
            <w:r w:rsidRPr="00CA2FFB">
              <w:rPr>
                <w:rFonts w:ascii="Times New Roman" w:hAnsi="Times New Roman" w:cs="Times New Roman"/>
              </w:rPr>
              <w:t xml:space="preserve">Siūloma nustatyti norma „d) iš sandorio gautinomis pajamomis gali būti remiami autoritariniai ir (arba) antidemokratiniai režimai </w:t>
            </w:r>
            <w:r w:rsidRPr="00CA2FFB">
              <w:rPr>
                <w:rFonts w:ascii="Times New Roman" w:hAnsi="Times New Roman" w:cs="Times New Roman"/>
              </w:rPr>
              <w:lastRenderedPageBreak/>
              <w:t xml:space="preserve">ir finansuojami šių režimų veiksmai, nukreipti prieš Lietuvos Respublikos interesus“ numato neigiamą subjekto vertinimą tik dėl jo galimybės remti ir finansuoti režimus, nors tokią galimybę turi iš esmės kiekvienas subjektas. Toks vertinimas suponuoja itin sunkias nepalankias subjektui pasekmes, jam neįvykdžius visiškai jokių neteisėtų veiksmų ir nesant jokios subjekto kaltės. Projekte nėra jokio paaiškinimo, kaip gali būti įvertinamas įtakos galimybės realumas, laipsnis, kokie faktai turi būti nustatyti, kad jų visumos pakaktų išvadai dėl galimo režimų rėmimo ir finansavimo. Šie faktai gali būti šališkai interpretuojami įstatymą taikančių asmenų. Siūlytina vengti neapibrėžtumo ir tokius subjektus identifikuoti per sankcijų taikymą reglamentuojančius teisės aktus, o ne palikti Komisijos vertinimui. </w:t>
            </w:r>
          </w:p>
          <w:p w14:paraId="3B6529AC" w14:textId="77777777" w:rsidR="00C62134" w:rsidRPr="00CA2FFB" w:rsidRDefault="00C62134" w:rsidP="00C62134">
            <w:pPr>
              <w:pStyle w:val="Default"/>
              <w:jc w:val="both"/>
              <w:rPr>
                <w:rFonts w:ascii="Times New Roman" w:hAnsi="Times New Roman" w:cs="Times New Roman"/>
              </w:rPr>
            </w:pPr>
            <w:r w:rsidRPr="00CA2FFB">
              <w:rPr>
                <w:rFonts w:ascii="Times New Roman" w:hAnsi="Times New Roman" w:cs="Times New Roman"/>
              </w:rPr>
              <w:t xml:space="preserve">Norma „e) sandorio šalis yra ekonomiškai priklausoma nuo autoritarinių ir (arba) antidemokratinių režimų, turinčių priešiškų interesų Lietuvos Respublikos atžvilgiu“ taip pat yra pernelyg plati ir nepakankamai konkreti, nes nenurodyta, kuo turėtų pasireikšti ekonominė priklausomybė, nepaaiškinta, kas laikytina „priešiškais interesais“. </w:t>
            </w:r>
          </w:p>
          <w:p w14:paraId="32FC8F37" w14:textId="77777777" w:rsidR="00C62134" w:rsidRPr="00CA2FFB" w:rsidRDefault="00C62134" w:rsidP="00C62134">
            <w:pPr>
              <w:pStyle w:val="Default"/>
              <w:jc w:val="both"/>
              <w:rPr>
                <w:rFonts w:ascii="Times New Roman" w:hAnsi="Times New Roman" w:cs="Times New Roman"/>
              </w:rPr>
            </w:pPr>
            <w:r w:rsidRPr="00CA2FFB">
              <w:rPr>
                <w:rFonts w:ascii="Times New Roman" w:hAnsi="Times New Roman" w:cs="Times New Roman"/>
              </w:rPr>
              <w:t xml:space="preserve">Norma „f) sandorio šaliai yra suteikiama kitokio pobūdžio prieiga prie ypatingos svarbos infrastruktūros objektų, kuri kelia riziką ar grėsmę nacionaliniam saugumui“ perteklinė, nes 13 straipsnio 4 dalies 1 punkto a, b, c papunkčiuose vertinimo kriterijai jau pakankamai išsamiai išvardinti. </w:t>
            </w:r>
          </w:p>
          <w:p w14:paraId="1E0F01C1" w14:textId="77777777" w:rsidR="00C62134" w:rsidRPr="00CA2FFB" w:rsidRDefault="00C62134" w:rsidP="00C62134">
            <w:pPr>
              <w:pStyle w:val="Default"/>
              <w:jc w:val="both"/>
              <w:rPr>
                <w:rFonts w:ascii="Times New Roman" w:hAnsi="Times New Roman" w:cs="Times New Roman"/>
              </w:rPr>
            </w:pPr>
            <w:r w:rsidRPr="00CA2FFB">
              <w:rPr>
                <w:rFonts w:ascii="Times New Roman" w:hAnsi="Times New Roman" w:cs="Times New Roman"/>
              </w:rPr>
              <w:t xml:space="preserve">Siūlomų papunkčių ir, ypatingai, „f“ papunkčio normos yra neaiškios ir nekonkrečios, todėl galimai prieštaraujančios Teisėkūros pagrindų įstatyme įtvirtintam teisėkūros aiškumo principui, </w:t>
            </w:r>
            <w:r w:rsidRPr="00CA2FFB">
              <w:rPr>
                <w:rFonts w:ascii="Times New Roman" w:hAnsi="Times New Roman" w:cs="Times New Roman"/>
                <w:i/>
                <w:iCs/>
              </w:rPr>
              <w:t xml:space="preserve">„reiškiančiu, kad teisės aktuose nustatytas teisinis reguliavimas turi būti logiškas, nuoseklus, glaustas, suprantamas, tikslus, aiškus ir nedviprasmiškas“. </w:t>
            </w:r>
          </w:p>
          <w:p w14:paraId="7F547F30" w14:textId="7A0585D7" w:rsidR="00C62134" w:rsidRPr="00CA2FFB" w:rsidRDefault="00C62134" w:rsidP="00C62134">
            <w:pPr>
              <w:suppressAutoHyphens/>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 xml:space="preserve">Atsižvelgiant į tai, kad verslui yra ypatingai svarbus teisinis stabilumas ir komercinę veiklą reguliuojančių teisės aktų aiškumas, siūlomos normos turėtų būti tikslinamos. Siūlytina vengti neapibrėžtumo ir „d“ ir „e“ punktuose tokius subjektus identifikuoti per sankcijų taikymą reglamentuojančius teisės aktus, o ne palikti Komisijos vertinimui. Jeigu manoma, kad šių kriterijų nepakanka ir yra dar kažkokie neaptarti a, b, c </w:t>
            </w:r>
            <w:r w:rsidRPr="00CA2FFB">
              <w:rPr>
                <w:rFonts w:ascii="Times New Roman" w:hAnsi="Times New Roman" w:cs="Times New Roman"/>
                <w:sz w:val="24"/>
                <w:szCs w:val="24"/>
                <w:lang w:val="lt-LT"/>
              </w:rPr>
              <w:lastRenderedPageBreak/>
              <w:t>papunkčiuose atvejai, tai turėtų būti suformuluoti papildomi, bet konkretūs kriterijai. Pabrėžtina, kad siūlomos teisės normos nulemtų ūkinės veiklos laisvės, kurią garantuoja Konstitucijos 46 straipsnio 1 dalis, ribojimą, tokia normos privalo būti ypatingai aiškios, vienareikšmiškos ir nesudarančios prielaidų jas subjektyviai interpretuoti.</w:t>
            </w:r>
          </w:p>
          <w:p w14:paraId="09E50B78" w14:textId="77777777" w:rsidR="00C62134" w:rsidRPr="00CA2FFB" w:rsidRDefault="00C62134" w:rsidP="00C62134">
            <w:pPr>
              <w:suppressAutoHyphens/>
              <w:jc w:val="both"/>
              <w:rPr>
                <w:rFonts w:ascii="Times New Roman" w:hAnsi="Times New Roman" w:cs="Times New Roman"/>
                <w:sz w:val="24"/>
                <w:szCs w:val="24"/>
                <w:lang w:val="lt-LT"/>
              </w:rPr>
            </w:pPr>
          </w:p>
          <w:p w14:paraId="32F5C260" w14:textId="77777777" w:rsidR="00C62134" w:rsidRPr="00CA2FFB" w:rsidRDefault="00C62134" w:rsidP="00C62134">
            <w:pPr>
              <w:pStyle w:val="Default"/>
              <w:rPr>
                <w:rFonts w:ascii="Times New Roman" w:hAnsi="Times New Roman" w:cs="Times New Roman"/>
              </w:rPr>
            </w:pPr>
            <w:r w:rsidRPr="00CA2FFB">
              <w:rPr>
                <w:rFonts w:ascii="Times New Roman" w:hAnsi="Times New Roman" w:cs="Times New Roman"/>
                <w:b/>
                <w:bCs/>
              </w:rPr>
              <w:t xml:space="preserve">4. Dėl Projekto 3 straipsniu siūlomų pakeitimų. </w:t>
            </w:r>
          </w:p>
          <w:p w14:paraId="192EB72B" w14:textId="77777777" w:rsidR="00C62134" w:rsidRPr="00CA2FFB" w:rsidRDefault="00C62134" w:rsidP="00C62134">
            <w:pPr>
              <w:pStyle w:val="Default"/>
              <w:jc w:val="both"/>
              <w:rPr>
                <w:rFonts w:ascii="Times New Roman" w:hAnsi="Times New Roman" w:cs="Times New Roman"/>
              </w:rPr>
            </w:pPr>
            <w:r w:rsidRPr="00CA2FFB">
              <w:rPr>
                <w:rFonts w:ascii="Times New Roman" w:hAnsi="Times New Roman" w:cs="Times New Roman"/>
              </w:rPr>
              <w:t xml:space="preserve">Siūlomų teisės normų formuluotės leidžia daryti išvadą, kad, Projekto autorių nuomone, Vyriausybei Komisija turėtų teikti rekomendacijas, o investuotojui ar sandorio šaliai – įpareigojimus. Tuo tarpu Įstatymo 12 straipsnio 15 dalyje lieka norma, pagal kurią atlikus patikrą Komisija priėmusi išvadą gali nustatyti rekomendacijas. Šiuo metu Komisijos išvadas įgyvendinančius sprendimus užtvirtina LRV, tad panašu, kad Projektu siūloma išplėsti Komisijos galias. </w:t>
            </w:r>
          </w:p>
          <w:p w14:paraId="30359B61" w14:textId="77777777" w:rsidR="00C62134" w:rsidRPr="00CA2FFB" w:rsidRDefault="00C62134" w:rsidP="00C62134">
            <w:pPr>
              <w:autoSpaceDE w:val="0"/>
              <w:autoSpaceDN w:val="0"/>
              <w:adjustRightInd w:val="0"/>
              <w:jc w:val="both"/>
              <w:rPr>
                <w:rFonts w:ascii="Times New Roman" w:hAnsi="Times New Roman" w:cs="Times New Roman"/>
                <w:sz w:val="24"/>
                <w:szCs w:val="24"/>
                <w:lang w:val="lt-LT"/>
              </w:rPr>
            </w:pPr>
            <w:r w:rsidRPr="00CA2FFB">
              <w:rPr>
                <w:rFonts w:ascii="Times New Roman" w:hAnsi="Times New Roman" w:cs="Times New Roman"/>
                <w:sz w:val="24"/>
                <w:szCs w:val="24"/>
                <w:lang w:val="lt-LT"/>
              </w:rPr>
              <w:t>Jeigu manoma, kad Komisijai atlikus patikrą kartu su išvada ji ir toliau investuotojui ar sandorio šaliai gali teikti ne įpareigojimus, o, kaip ir iki šiol, tik rekomendacijas (arba ir rekomendacijas), tuomet Projekte turėtų būti numatyta, kokiais atvejais ir kokiu pagrindu Komisija turės teisę investuotojui ar sandorio šaliai teikti 19 straipsnio 2 dalies 1, 10 punktuose minimus įpareigojimus.</w:t>
            </w:r>
          </w:p>
          <w:p w14:paraId="7475D4AC" w14:textId="139698E8" w:rsidR="00C62134" w:rsidRPr="00CA2FFB" w:rsidRDefault="00C62134" w:rsidP="00C62134">
            <w:pPr>
              <w:suppressAutoHyphens/>
              <w:jc w:val="both"/>
              <w:rPr>
                <w:rFonts w:ascii="Times New Roman" w:hAnsi="Times New Roman" w:cs="Times New Roman"/>
                <w:color w:val="000000"/>
                <w:sz w:val="24"/>
                <w:szCs w:val="24"/>
                <w:shd w:val="clear" w:color="auto" w:fill="FFFFFF"/>
                <w:lang w:val="lt-LT"/>
              </w:rPr>
            </w:pPr>
            <w:r w:rsidRPr="00CA2FFB">
              <w:rPr>
                <w:rFonts w:ascii="Times New Roman" w:hAnsi="Times New Roman" w:cs="Times New Roman"/>
                <w:sz w:val="24"/>
                <w:szCs w:val="24"/>
                <w:lang w:val="lt-LT"/>
              </w:rPr>
              <w:t>Siūlant į Įstatymą įtraukti visiškai neaiškią „įpareigojimų“ sąvoką, taip pat turi būti siūlomas išsamus reglamentavimas, kokiais atvejais ir kokie tie įpareigojimai galėtų būti, be to atlikus visapusišką įpareigojimų vertinimą kitų teisės normų kontekste, taip pat numatyta, kas ir kokiu būdu atliktų įpareigojimų vykdymo kontrolę, kas būtų atsakingas dėl įpareigojimų nevykdymo ir kokios sankcijos už tai būtų taikomos.</w:t>
            </w:r>
          </w:p>
        </w:tc>
        <w:tc>
          <w:tcPr>
            <w:tcW w:w="5386" w:type="dxa"/>
          </w:tcPr>
          <w:p w14:paraId="52A5A2EF" w14:textId="77777777" w:rsidR="009B1CCF" w:rsidRPr="00CA2FFB" w:rsidRDefault="00C62134" w:rsidP="00C62134">
            <w:pPr>
              <w:jc w:val="both"/>
              <w:rPr>
                <w:rFonts w:ascii="Times New Roman" w:hAnsi="Times New Roman" w:cs="Times New Roman"/>
                <w:bCs/>
                <w:sz w:val="24"/>
                <w:szCs w:val="24"/>
                <w:lang w:val="lt-LT"/>
              </w:rPr>
            </w:pPr>
            <w:r w:rsidRPr="00CA2FFB">
              <w:rPr>
                <w:rFonts w:ascii="Times New Roman" w:hAnsi="Times New Roman" w:cs="Times New Roman"/>
                <w:b/>
                <w:sz w:val="24"/>
                <w:szCs w:val="24"/>
                <w:lang w:val="lt-LT"/>
              </w:rPr>
              <w:lastRenderedPageBreak/>
              <w:t xml:space="preserve">Atsižvelgta iš dalies.  </w:t>
            </w:r>
            <w:r w:rsidRPr="00CA2FFB">
              <w:rPr>
                <w:rFonts w:ascii="Times New Roman" w:hAnsi="Times New Roman" w:cs="Times New Roman"/>
                <w:bCs/>
                <w:sz w:val="24"/>
                <w:szCs w:val="24"/>
                <w:lang w:val="lt-LT"/>
              </w:rPr>
              <w:t xml:space="preserve">Įstatymo projekte siūloma vietoje formuluotės „esminiai pakeitimai“ nustatyti, kad įmonė privalo informuoti Komisiją apie „pakeitimus, </w:t>
            </w:r>
            <w:r w:rsidRPr="00CA2FFB">
              <w:rPr>
                <w:rFonts w:ascii="Times New Roman" w:hAnsi="Times New Roman" w:cs="Times New Roman"/>
                <w:b/>
                <w:i/>
                <w:iCs/>
                <w:sz w:val="24"/>
                <w:szCs w:val="24"/>
                <w:lang w:val="lt-LT"/>
              </w:rPr>
              <w:t>išskyrus išimtinai techninio (redakcinio) pobūdžio pakeitimus</w:t>
            </w:r>
            <w:r w:rsidRPr="00CA2FFB">
              <w:rPr>
                <w:rFonts w:ascii="Times New Roman" w:hAnsi="Times New Roman" w:cs="Times New Roman"/>
                <w:bCs/>
                <w:sz w:val="24"/>
                <w:szCs w:val="24"/>
                <w:lang w:val="lt-LT"/>
              </w:rPr>
              <w:t>“.</w:t>
            </w:r>
          </w:p>
          <w:p w14:paraId="2F760F7E" w14:textId="77777777" w:rsidR="00C62134" w:rsidRPr="00CA2FFB" w:rsidRDefault="00C62134" w:rsidP="00C62134">
            <w:pPr>
              <w:jc w:val="both"/>
              <w:rPr>
                <w:rFonts w:ascii="Times New Roman" w:hAnsi="Times New Roman" w:cs="Times New Roman"/>
                <w:bCs/>
                <w:sz w:val="24"/>
                <w:szCs w:val="24"/>
                <w:lang w:val="lt-LT"/>
              </w:rPr>
            </w:pPr>
          </w:p>
          <w:p w14:paraId="34E3C9DF" w14:textId="77777777" w:rsidR="00C62134" w:rsidRPr="00CA2FFB" w:rsidRDefault="00C62134" w:rsidP="00C62134">
            <w:pPr>
              <w:jc w:val="both"/>
              <w:rPr>
                <w:rFonts w:ascii="Times New Roman" w:hAnsi="Times New Roman" w:cs="Times New Roman"/>
                <w:b/>
                <w:sz w:val="24"/>
                <w:szCs w:val="24"/>
                <w:lang w:val="lt-LT"/>
              </w:rPr>
            </w:pPr>
          </w:p>
          <w:p w14:paraId="48DBE997" w14:textId="21C452C5" w:rsidR="00C62134" w:rsidRPr="00CA2FFB" w:rsidRDefault="00C62134" w:rsidP="00C62134">
            <w:pPr>
              <w:jc w:val="both"/>
              <w:rPr>
                <w:rFonts w:ascii="Times New Roman" w:hAnsi="Times New Roman" w:cs="Times New Roman"/>
                <w:bCs/>
                <w:sz w:val="24"/>
                <w:szCs w:val="24"/>
                <w:lang w:val="lt-LT"/>
              </w:rPr>
            </w:pPr>
            <w:r w:rsidRPr="00CA2FFB">
              <w:rPr>
                <w:rFonts w:ascii="Times New Roman" w:hAnsi="Times New Roman" w:cs="Times New Roman"/>
                <w:b/>
                <w:sz w:val="24"/>
                <w:szCs w:val="24"/>
                <w:lang w:val="lt-LT"/>
              </w:rPr>
              <w:t xml:space="preserve">Atsižvelgta iš dalies. </w:t>
            </w:r>
            <w:r w:rsidRPr="00CA2FFB">
              <w:rPr>
                <w:rFonts w:ascii="Times New Roman" w:hAnsi="Times New Roman" w:cs="Times New Roman"/>
                <w:bCs/>
                <w:sz w:val="24"/>
                <w:szCs w:val="24"/>
                <w:lang w:val="lt-LT"/>
              </w:rPr>
              <w:t xml:space="preserve">Žr. Krašto apsaugos ministerijos 3 pastabos vertinimą, Generalinės prokuratūros pastabos vertinimą. Papildomai paminėtina, kad </w:t>
            </w:r>
            <w:r w:rsidRPr="00CA2FFB">
              <w:rPr>
                <w:rFonts w:ascii="Times New Roman" w:hAnsi="Times New Roman" w:cs="Times New Roman"/>
                <w:bCs/>
                <w:sz w:val="24"/>
                <w:szCs w:val="24"/>
                <w:lang w:val="lt-LT"/>
              </w:rPr>
              <w:lastRenderedPageBreak/>
              <w:t xml:space="preserve">pagrįstus duomenis, kad iš sandorio gautinomis pajamomis gali būti remiami autoritariniai režimai, taip, kaip jie suprantami pagal Lietuvos Respublikos Seimo patvirtintą Nacionalinę saugumo strategiją,  ir (arba) finansuojami šių režimų veiksmai, nukreipti prieš Lietuvos Respublikos interesus, turės surinkti ir nustatyti kompetentingos institucijos (ne įmonės). Proporcingumas yra išlaikomas, nes įstatyme nustatomos aiškios procedūros ir aiškios Komisijai deleguotos teisės ir pareigos. </w:t>
            </w:r>
          </w:p>
          <w:p w14:paraId="3967110B" w14:textId="77777777" w:rsidR="00C62134" w:rsidRPr="00CA2FFB" w:rsidRDefault="00C62134" w:rsidP="00C62134">
            <w:pPr>
              <w:jc w:val="both"/>
              <w:rPr>
                <w:rFonts w:ascii="Times New Roman" w:hAnsi="Times New Roman" w:cs="Times New Roman"/>
                <w:bCs/>
                <w:sz w:val="24"/>
                <w:szCs w:val="24"/>
                <w:lang w:val="lt-LT"/>
              </w:rPr>
            </w:pPr>
            <w:r w:rsidRPr="00CA2FFB">
              <w:rPr>
                <w:rFonts w:ascii="Times New Roman" w:hAnsi="Times New Roman" w:cs="Times New Roman"/>
                <w:bCs/>
                <w:sz w:val="24"/>
                <w:szCs w:val="24"/>
                <w:lang w:val="lt-LT"/>
              </w:rPr>
              <w:t xml:space="preserve">Akcentuotina ir tai, kad nei vienas konstitucinis principas nėra absoliutus. Lietuvos Respublikos nacionalinio saugumo pagrindų įstatymo 1 straipsnis nustato, kad Lietuvos nacionalinio saugumo užtikrinimas – tai Tautos ir valstybės laisvos ir demokratinės raidos sąlygų sudarymas, Lietuvos valstybės nepriklausomybės, jos teritorinio vientisumo ir konstitucinės santvarkos apsauga ir gynimas. Lietuvos nacionalinio saugumo sistemą sudaro valstybės ir piliečių veiklos šiam tikslui patvirtintų pagrindinių nuostatų, principų ir būdų, narystės Europos ir transatlantinėje sąjungose priemonių, įstatymų ir kitų teisės aktų, valstybės šiam tikslui įsteigtų institucijų, jų veiklos principų bei tarpusavio sąveikos būdų visuma. </w:t>
            </w:r>
            <w:bookmarkStart w:id="2" w:name="_Hlk95936457"/>
            <w:r w:rsidRPr="00CA2FFB">
              <w:rPr>
                <w:rFonts w:ascii="Times New Roman" w:hAnsi="Times New Roman" w:cs="Times New Roman"/>
                <w:bCs/>
                <w:sz w:val="24"/>
                <w:szCs w:val="24"/>
                <w:lang w:val="lt-LT"/>
              </w:rPr>
              <w:t xml:space="preserve">Tai, kad nacionalinis saugumas yra valstybės ir jos piliečių suvereniteto, laisvos raidos pagrindas ir aukščiausias valstybės vidaus ir užsienio politikos tikslas, ne kartą yra konstatavęs Lietuvos Respublikos Konstitucinis teismas ir Lietuvos Vyriausiasis administracinis teismas. Tai reiškia, kad Lietuvos Respublikoje įstatymų leidėjui yra suteikiama teisė reguliuoti ūkinę veiklą taip, kad būtų užtikrintas valstybės ir visuomenės saugumas, atitinkamai – ir viešasis interesas. </w:t>
            </w:r>
            <w:bookmarkEnd w:id="2"/>
          </w:p>
          <w:p w14:paraId="6F62784C" w14:textId="77777777" w:rsidR="00C62134" w:rsidRPr="00CA2FFB" w:rsidRDefault="00C62134" w:rsidP="00C62134">
            <w:pPr>
              <w:jc w:val="both"/>
              <w:rPr>
                <w:rFonts w:ascii="Times New Roman" w:hAnsi="Times New Roman" w:cs="Times New Roman"/>
                <w:bCs/>
                <w:sz w:val="24"/>
                <w:szCs w:val="24"/>
                <w:lang w:val="lt-LT"/>
              </w:rPr>
            </w:pPr>
          </w:p>
          <w:p w14:paraId="6C0998BD" w14:textId="77777777" w:rsidR="00054BAA" w:rsidRPr="00CA2FFB" w:rsidRDefault="00054BAA" w:rsidP="00C62134">
            <w:pPr>
              <w:jc w:val="both"/>
              <w:rPr>
                <w:rFonts w:ascii="Times New Roman" w:hAnsi="Times New Roman" w:cs="Times New Roman"/>
                <w:b/>
                <w:sz w:val="24"/>
                <w:szCs w:val="24"/>
                <w:lang w:val="lt-LT"/>
              </w:rPr>
            </w:pPr>
          </w:p>
          <w:p w14:paraId="6B457BA7" w14:textId="77777777" w:rsidR="00054BAA" w:rsidRPr="00CA2FFB" w:rsidRDefault="00054BAA" w:rsidP="00C62134">
            <w:pPr>
              <w:jc w:val="both"/>
              <w:rPr>
                <w:rFonts w:ascii="Times New Roman" w:hAnsi="Times New Roman" w:cs="Times New Roman"/>
                <w:b/>
                <w:sz w:val="24"/>
                <w:szCs w:val="24"/>
                <w:lang w:val="lt-LT"/>
              </w:rPr>
            </w:pPr>
          </w:p>
          <w:p w14:paraId="67811ADB" w14:textId="77777777" w:rsidR="00054BAA" w:rsidRPr="00CA2FFB" w:rsidRDefault="00054BAA" w:rsidP="00C62134">
            <w:pPr>
              <w:jc w:val="both"/>
              <w:rPr>
                <w:rFonts w:ascii="Times New Roman" w:hAnsi="Times New Roman" w:cs="Times New Roman"/>
                <w:b/>
                <w:sz w:val="24"/>
                <w:szCs w:val="24"/>
                <w:lang w:val="lt-LT"/>
              </w:rPr>
            </w:pPr>
          </w:p>
          <w:p w14:paraId="41B50967" w14:textId="77777777" w:rsidR="00054BAA" w:rsidRPr="00CA2FFB" w:rsidRDefault="00054BAA" w:rsidP="00C62134">
            <w:pPr>
              <w:jc w:val="both"/>
              <w:rPr>
                <w:rFonts w:ascii="Times New Roman" w:hAnsi="Times New Roman" w:cs="Times New Roman"/>
                <w:b/>
                <w:sz w:val="24"/>
                <w:szCs w:val="24"/>
                <w:lang w:val="lt-LT"/>
              </w:rPr>
            </w:pPr>
          </w:p>
          <w:p w14:paraId="1A58CA0B" w14:textId="77777777" w:rsidR="00054BAA" w:rsidRPr="00CA2FFB" w:rsidRDefault="00054BAA" w:rsidP="00C62134">
            <w:pPr>
              <w:jc w:val="both"/>
              <w:rPr>
                <w:rFonts w:ascii="Times New Roman" w:hAnsi="Times New Roman" w:cs="Times New Roman"/>
                <w:b/>
                <w:sz w:val="24"/>
                <w:szCs w:val="24"/>
                <w:lang w:val="lt-LT"/>
              </w:rPr>
            </w:pPr>
          </w:p>
          <w:p w14:paraId="04B9F33E" w14:textId="77777777" w:rsidR="00054BAA" w:rsidRPr="00CA2FFB" w:rsidRDefault="00054BAA" w:rsidP="00C62134">
            <w:pPr>
              <w:jc w:val="both"/>
              <w:rPr>
                <w:rFonts w:ascii="Times New Roman" w:hAnsi="Times New Roman" w:cs="Times New Roman"/>
                <w:b/>
                <w:sz w:val="24"/>
                <w:szCs w:val="24"/>
                <w:lang w:val="lt-LT"/>
              </w:rPr>
            </w:pPr>
          </w:p>
          <w:p w14:paraId="0252B519" w14:textId="77777777" w:rsidR="00054BAA" w:rsidRPr="00CA2FFB" w:rsidRDefault="00054BAA" w:rsidP="00C62134">
            <w:pPr>
              <w:jc w:val="both"/>
              <w:rPr>
                <w:rFonts w:ascii="Times New Roman" w:hAnsi="Times New Roman" w:cs="Times New Roman"/>
                <w:b/>
                <w:sz w:val="24"/>
                <w:szCs w:val="24"/>
                <w:lang w:val="lt-LT"/>
              </w:rPr>
            </w:pPr>
          </w:p>
          <w:p w14:paraId="3D93CD54" w14:textId="77777777" w:rsidR="006E73CF" w:rsidRPr="00CA2FFB" w:rsidRDefault="006E73CF" w:rsidP="00C62134">
            <w:pPr>
              <w:jc w:val="both"/>
              <w:rPr>
                <w:rFonts w:ascii="Times New Roman" w:hAnsi="Times New Roman" w:cs="Times New Roman"/>
                <w:b/>
                <w:sz w:val="24"/>
                <w:szCs w:val="24"/>
                <w:lang w:val="lt-LT"/>
              </w:rPr>
            </w:pPr>
          </w:p>
          <w:p w14:paraId="676CCC2F" w14:textId="6EC95A22" w:rsidR="00C62134" w:rsidRPr="00CA2FFB" w:rsidRDefault="00C62134" w:rsidP="00C62134">
            <w:pPr>
              <w:jc w:val="both"/>
              <w:rPr>
                <w:rFonts w:ascii="Times New Roman" w:hAnsi="Times New Roman" w:cs="Times New Roman"/>
                <w:b/>
                <w:sz w:val="24"/>
                <w:szCs w:val="24"/>
                <w:lang w:val="lt-LT"/>
              </w:rPr>
            </w:pPr>
            <w:r w:rsidRPr="00CA2FFB">
              <w:rPr>
                <w:rFonts w:ascii="Times New Roman" w:hAnsi="Times New Roman" w:cs="Times New Roman"/>
                <w:b/>
                <w:sz w:val="24"/>
                <w:szCs w:val="24"/>
                <w:lang w:val="lt-LT"/>
              </w:rPr>
              <w:t xml:space="preserve">Atsižvelgta iš dalies. </w:t>
            </w:r>
            <w:r w:rsidRPr="00CA2FFB">
              <w:rPr>
                <w:rFonts w:ascii="Times New Roman" w:hAnsi="Times New Roman" w:cs="Times New Roman"/>
                <w:bCs/>
                <w:sz w:val="24"/>
                <w:szCs w:val="24"/>
                <w:lang w:val="lt-LT"/>
              </w:rPr>
              <w:t>Žr. Specialiųjų tyrimų tarnybos pastabos vertinimą.</w:t>
            </w:r>
          </w:p>
        </w:tc>
      </w:tr>
    </w:tbl>
    <w:p w14:paraId="06813359" w14:textId="77777777" w:rsidR="00C21EB6" w:rsidRPr="00CA2FFB" w:rsidRDefault="00C21EB6">
      <w:pPr>
        <w:rPr>
          <w:rFonts w:ascii="Times New Roman" w:hAnsi="Times New Roman" w:cs="Times New Roman"/>
          <w:sz w:val="24"/>
          <w:szCs w:val="24"/>
          <w:lang w:val="lt-LT"/>
        </w:rPr>
      </w:pPr>
    </w:p>
    <w:p w14:paraId="2902CFF1" w14:textId="0CC541FD" w:rsidR="00531804" w:rsidRPr="00CA2FFB" w:rsidRDefault="00531804">
      <w:pPr>
        <w:rPr>
          <w:rFonts w:ascii="Times New Roman" w:hAnsi="Times New Roman" w:cs="Times New Roman"/>
          <w:sz w:val="24"/>
          <w:szCs w:val="24"/>
          <w:lang w:val="lt-LT"/>
        </w:rPr>
      </w:pPr>
    </w:p>
    <w:sectPr w:rsidR="00531804" w:rsidRPr="00CA2FFB" w:rsidSect="005436F6">
      <w:headerReference w:type="default" r:id="rId8"/>
      <w:pgSz w:w="15840" w:h="12240" w:orient="landscape"/>
      <w:pgMar w:top="851"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0F7D" w14:textId="77777777" w:rsidR="00F24C89" w:rsidRDefault="00F24C89" w:rsidP="00296438">
      <w:pPr>
        <w:spacing w:after="0" w:line="240" w:lineRule="auto"/>
      </w:pPr>
      <w:r>
        <w:separator/>
      </w:r>
    </w:p>
  </w:endnote>
  <w:endnote w:type="continuationSeparator" w:id="0">
    <w:p w14:paraId="6D81B572" w14:textId="77777777" w:rsidR="00F24C89" w:rsidRDefault="00F24C89" w:rsidP="0029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C972" w14:textId="77777777" w:rsidR="00F24C89" w:rsidRDefault="00F24C89" w:rsidP="00296438">
      <w:pPr>
        <w:spacing w:after="0" w:line="240" w:lineRule="auto"/>
      </w:pPr>
      <w:r>
        <w:separator/>
      </w:r>
    </w:p>
  </w:footnote>
  <w:footnote w:type="continuationSeparator" w:id="0">
    <w:p w14:paraId="538FC7A1" w14:textId="77777777" w:rsidR="00F24C89" w:rsidRDefault="00F24C89" w:rsidP="0029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90966"/>
      <w:docPartObj>
        <w:docPartGallery w:val="Page Numbers (Top of Page)"/>
        <w:docPartUnique/>
      </w:docPartObj>
    </w:sdtPr>
    <w:sdtEndPr/>
    <w:sdtContent>
      <w:p w14:paraId="4FBDC00B" w14:textId="079F7695" w:rsidR="00DE1DEC" w:rsidRDefault="00DE1DEC">
        <w:pPr>
          <w:pStyle w:val="Antrats"/>
          <w:jc w:val="center"/>
        </w:pPr>
        <w:r>
          <w:fldChar w:fldCharType="begin"/>
        </w:r>
        <w:r>
          <w:instrText>PAGE   \* MERGEFORMAT</w:instrText>
        </w:r>
        <w:r>
          <w:fldChar w:fldCharType="separate"/>
        </w:r>
        <w:r>
          <w:rPr>
            <w:lang w:val="lt-LT"/>
          </w:rPr>
          <w:t>2</w:t>
        </w:r>
        <w:r>
          <w:fldChar w:fldCharType="end"/>
        </w:r>
      </w:p>
    </w:sdtContent>
  </w:sdt>
  <w:p w14:paraId="6CBA3CD9" w14:textId="77777777" w:rsidR="00DE1DEC" w:rsidRDefault="00DE1D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0254"/>
    <w:multiLevelType w:val="hybridMultilevel"/>
    <w:tmpl w:val="E7CE6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04"/>
    <w:rsid w:val="00000221"/>
    <w:rsid w:val="00031834"/>
    <w:rsid w:val="00033657"/>
    <w:rsid w:val="000462E3"/>
    <w:rsid w:val="00054BAA"/>
    <w:rsid w:val="00096F7F"/>
    <w:rsid w:val="000E7CB0"/>
    <w:rsid w:val="000F7562"/>
    <w:rsid w:val="00100C6C"/>
    <w:rsid w:val="00134AC8"/>
    <w:rsid w:val="00144B5B"/>
    <w:rsid w:val="00160248"/>
    <w:rsid w:val="00165CC2"/>
    <w:rsid w:val="00166783"/>
    <w:rsid w:val="00187AC9"/>
    <w:rsid w:val="001B2A81"/>
    <w:rsid w:val="001D3341"/>
    <w:rsid w:val="001D74F8"/>
    <w:rsid w:val="00215BDC"/>
    <w:rsid w:val="00220902"/>
    <w:rsid w:val="00234CED"/>
    <w:rsid w:val="002519CE"/>
    <w:rsid w:val="00264B63"/>
    <w:rsid w:val="002716F2"/>
    <w:rsid w:val="00290936"/>
    <w:rsid w:val="00293DDD"/>
    <w:rsid w:val="00296438"/>
    <w:rsid w:val="002A2A53"/>
    <w:rsid w:val="002A3CA2"/>
    <w:rsid w:val="002C2D69"/>
    <w:rsid w:val="002C2E9E"/>
    <w:rsid w:val="002D0D18"/>
    <w:rsid w:val="002D260F"/>
    <w:rsid w:val="002F5BF3"/>
    <w:rsid w:val="0030012F"/>
    <w:rsid w:val="00310CEC"/>
    <w:rsid w:val="00312153"/>
    <w:rsid w:val="00325395"/>
    <w:rsid w:val="003266E9"/>
    <w:rsid w:val="00332092"/>
    <w:rsid w:val="0034170D"/>
    <w:rsid w:val="00353FFD"/>
    <w:rsid w:val="0037172A"/>
    <w:rsid w:val="003B3DE4"/>
    <w:rsid w:val="003D2722"/>
    <w:rsid w:val="003E1B36"/>
    <w:rsid w:val="003E4C00"/>
    <w:rsid w:val="003E718C"/>
    <w:rsid w:val="003F5D91"/>
    <w:rsid w:val="00434F04"/>
    <w:rsid w:val="004741C6"/>
    <w:rsid w:val="00476892"/>
    <w:rsid w:val="00480033"/>
    <w:rsid w:val="00481301"/>
    <w:rsid w:val="0048456F"/>
    <w:rsid w:val="004C3B7E"/>
    <w:rsid w:val="004F56C6"/>
    <w:rsid w:val="00517AAD"/>
    <w:rsid w:val="00531804"/>
    <w:rsid w:val="005436F6"/>
    <w:rsid w:val="00547037"/>
    <w:rsid w:val="00552D8B"/>
    <w:rsid w:val="00594058"/>
    <w:rsid w:val="005C4BA2"/>
    <w:rsid w:val="005D1646"/>
    <w:rsid w:val="005D728F"/>
    <w:rsid w:val="005E1F2E"/>
    <w:rsid w:val="005F6707"/>
    <w:rsid w:val="0060322A"/>
    <w:rsid w:val="00617137"/>
    <w:rsid w:val="006637D1"/>
    <w:rsid w:val="006654E1"/>
    <w:rsid w:val="00666F59"/>
    <w:rsid w:val="00674355"/>
    <w:rsid w:val="006A438A"/>
    <w:rsid w:val="006D244C"/>
    <w:rsid w:val="006E1623"/>
    <w:rsid w:val="006E73CF"/>
    <w:rsid w:val="006F575C"/>
    <w:rsid w:val="006F6AB1"/>
    <w:rsid w:val="0070034E"/>
    <w:rsid w:val="00707599"/>
    <w:rsid w:val="00736B6D"/>
    <w:rsid w:val="0075122E"/>
    <w:rsid w:val="00796837"/>
    <w:rsid w:val="007A1462"/>
    <w:rsid w:val="007A7B1D"/>
    <w:rsid w:val="007B4B79"/>
    <w:rsid w:val="007C4705"/>
    <w:rsid w:val="00800F88"/>
    <w:rsid w:val="008065B0"/>
    <w:rsid w:val="008121CC"/>
    <w:rsid w:val="0081455B"/>
    <w:rsid w:val="008371EB"/>
    <w:rsid w:val="008936C1"/>
    <w:rsid w:val="008A7A8F"/>
    <w:rsid w:val="008B1BFE"/>
    <w:rsid w:val="008B424C"/>
    <w:rsid w:val="008C2AC5"/>
    <w:rsid w:val="008C7E6E"/>
    <w:rsid w:val="008E2493"/>
    <w:rsid w:val="008E3211"/>
    <w:rsid w:val="008E5185"/>
    <w:rsid w:val="008F28AE"/>
    <w:rsid w:val="00902F3E"/>
    <w:rsid w:val="009124F1"/>
    <w:rsid w:val="00921171"/>
    <w:rsid w:val="00922638"/>
    <w:rsid w:val="009744A4"/>
    <w:rsid w:val="00975155"/>
    <w:rsid w:val="0098312E"/>
    <w:rsid w:val="00983E1E"/>
    <w:rsid w:val="00991107"/>
    <w:rsid w:val="009B134D"/>
    <w:rsid w:val="009B1CCF"/>
    <w:rsid w:val="009B3675"/>
    <w:rsid w:val="009B5BF0"/>
    <w:rsid w:val="009F2B87"/>
    <w:rsid w:val="00A033B4"/>
    <w:rsid w:val="00A06D87"/>
    <w:rsid w:val="00A24F63"/>
    <w:rsid w:val="00A340B0"/>
    <w:rsid w:val="00A456E6"/>
    <w:rsid w:val="00A63D03"/>
    <w:rsid w:val="00AA5D1D"/>
    <w:rsid w:val="00AB7EC4"/>
    <w:rsid w:val="00AD227E"/>
    <w:rsid w:val="00B06834"/>
    <w:rsid w:val="00B14B7D"/>
    <w:rsid w:val="00B4359A"/>
    <w:rsid w:val="00B47EEC"/>
    <w:rsid w:val="00B542EB"/>
    <w:rsid w:val="00B57967"/>
    <w:rsid w:val="00B9057F"/>
    <w:rsid w:val="00BA6582"/>
    <w:rsid w:val="00BA6FFD"/>
    <w:rsid w:val="00BD027E"/>
    <w:rsid w:val="00BD4DB5"/>
    <w:rsid w:val="00C110FE"/>
    <w:rsid w:val="00C21EB6"/>
    <w:rsid w:val="00C43F5A"/>
    <w:rsid w:val="00C6211F"/>
    <w:rsid w:val="00C62134"/>
    <w:rsid w:val="00C70F5E"/>
    <w:rsid w:val="00C72F4F"/>
    <w:rsid w:val="00C85EE5"/>
    <w:rsid w:val="00C90309"/>
    <w:rsid w:val="00C91101"/>
    <w:rsid w:val="00C950BC"/>
    <w:rsid w:val="00CA2FFB"/>
    <w:rsid w:val="00CA6CBA"/>
    <w:rsid w:val="00CB4A5A"/>
    <w:rsid w:val="00CB7E79"/>
    <w:rsid w:val="00CC1DAB"/>
    <w:rsid w:val="00CD04BB"/>
    <w:rsid w:val="00CD237F"/>
    <w:rsid w:val="00CD339F"/>
    <w:rsid w:val="00CD4320"/>
    <w:rsid w:val="00D2576D"/>
    <w:rsid w:val="00D33B2C"/>
    <w:rsid w:val="00D41B55"/>
    <w:rsid w:val="00D41FAB"/>
    <w:rsid w:val="00D460AF"/>
    <w:rsid w:val="00D47DAF"/>
    <w:rsid w:val="00D576E4"/>
    <w:rsid w:val="00D633F2"/>
    <w:rsid w:val="00D92FF8"/>
    <w:rsid w:val="00DA02C5"/>
    <w:rsid w:val="00DA5AAD"/>
    <w:rsid w:val="00DA779A"/>
    <w:rsid w:val="00DB78EF"/>
    <w:rsid w:val="00DE1DEC"/>
    <w:rsid w:val="00E23415"/>
    <w:rsid w:val="00E43403"/>
    <w:rsid w:val="00E57B19"/>
    <w:rsid w:val="00E71E1E"/>
    <w:rsid w:val="00E9578F"/>
    <w:rsid w:val="00E96AA1"/>
    <w:rsid w:val="00EA2926"/>
    <w:rsid w:val="00EA71F7"/>
    <w:rsid w:val="00EA7303"/>
    <w:rsid w:val="00EB78F6"/>
    <w:rsid w:val="00EC3D51"/>
    <w:rsid w:val="00EF4B1C"/>
    <w:rsid w:val="00F242DB"/>
    <w:rsid w:val="00F24C89"/>
    <w:rsid w:val="00F414E2"/>
    <w:rsid w:val="00F80456"/>
    <w:rsid w:val="00F81B63"/>
    <w:rsid w:val="00F951BD"/>
    <w:rsid w:val="00FB054C"/>
    <w:rsid w:val="00FC6D18"/>
    <w:rsid w:val="00FD0BF4"/>
    <w:rsid w:val="00FE22B7"/>
    <w:rsid w:val="00FE5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F2EA"/>
  <w15:docId w15:val="{2D6A43CC-2F35-4654-BF22-9C53D116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1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uiPriority w:val="99"/>
    <w:qFormat/>
    <w:rsid w:val="0053180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etarp">
    <w:name w:val="No Spacing"/>
    <w:uiPriority w:val="1"/>
    <w:qFormat/>
    <w:rsid w:val="00531804"/>
    <w:pPr>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296438"/>
    <w:pPr>
      <w:spacing w:after="0" w:line="240" w:lineRule="auto"/>
      <w:ind w:left="720"/>
      <w:contextualSpacing/>
    </w:pPr>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semiHidden/>
    <w:unhideWhenUsed/>
    <w:rsid w:val="00296438"/>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296438"/>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semiHidden/>
    <w:unhideWhenUsed/>
    <w:rsid w:val="00296438"/>
    <w:rPr>
      <w:vertAlign w:val="superscript"/>
    </w:rPr>
  </w:style>
  <w:style w:type="paragraph" w:styleId="Komentarotekstas">
    <w:name w:val="annotation text"/>
    <w:basedOn w:val="prastasis"/>
    <w:link w:val="KomentarotekstasDiagrama"/>
    <w:unhideWhenUsed/>
    <w:rsid w:val="00CD04B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CD04BB"/>
    <w:rPr>
      <w:rFonts w:ascii="Times New Roman" w:eastAsia="Times New Roman" w:hAnsi="Times New Roman" w:cs="Times New Roman"/>
      <w:sz w:val="20"/>
      <w:szCs w:val="20"/>
      <w:lang w:val="lt-LT"/>
    </w:rPr>
  </w:style>
  <w:style w:type="character" w:styleId="Hipersaitas">
    <w:name w:val="Hyperlink"/>
    <w:basedOn w:val="Numatytasispastraiposriftas"/>
    <w:uiPriority w:val="99"/>
    <w:semiHidden/>
    <w:unhideWhenUsed/>
    <w:rsid w:val="00CD04BB"/>
    <w:rPr>
      <w:color w:val="0000FF"/>
      <w:u w:val="single"/>
    </w:rPr>
  </w:style>
  <w:style w:type="paragraph" w:styleId="Antrats">
    <w:name w:val="header"/>
    <w:basedOn w:val="prastasis"/>
    <w:link w:val="AntratsDiagrama"/>
    <w:uiPriority w:val="99"/>
    <w:unhideWhenUsed/>
    <w:rsid w:val="00DE1D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E1DEC"/>
  </w:style>
  <w:style w:type="paragraph" w:styleId="Porat">
    <w:name w:val="footer"/>
    <w:basedOn w:val="prastasis"/>
    <w:link w:val="PoratDiagrama"/>
    <w:uiPriority w:val="99"/>
    <w:unhideWhenUsed/>
    <w:rsid w:val="00DE1D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E1DEC"/>
  </w:style>
  <w:style w:type="paragraph" w:customStyle="1" w:styleId="Default">
    <w:name w:val="Default"/>
    <w:rsid w:val="001D3341"/>
    <w:pPr>
      <w:autoSpaceDE w:val="0"/>
      <w:autoSpaceDN w:val="0"/>
      <w:adjustRightInd w:val="0"/>
      <w:spacing w:after="0" w:line="240" w:lineRule="auto"/>
    </w:pPr>
    <w:rPr>
      <w:rFonts w:ascii="Cambria" w:hAnsi="Cambria" w:cs="Cambria"/>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787">
      <w:bodyDiv w:val="1"/>
      <w:marLeft w:val="0"/>
      <w:marRight w:val="0"/>
      <w:marTop w:val="0"/>
      <w:marBottom w:val="0"/>
      <w:divBdr>
        <w:top w:val="none" w:sz="0" w:space="0" w:color="auto"/>
        <w:left w:val="none" w:sz="0" w:space="0" w:color="auto"/>
        <w:bottom w:val="none" w:sz="0" w:space="0" w:color="auto"/>
        <w:right w:val="none" w:sz="0" w:space="0" w:color="auto"/>
      </w:divBdr>
    </w:div>
    <w:div w:id="60173919">
      <w:bodyDiv w:val="1"/>
      <w:marLeft w:val="0"/>
      <w:marRight w:val="0"/>
      <w:marTop w:val="0"/>
      <w:marBottom w:val="0"/>
      <w:divBdr>
        <w:top w:val="none" w:sz="0" w:space="0" w:color="auto"/>
        <w:left w:val="none" w:sz="0" w:space="0" w:color="auto"/>
        <w:bottom w:val="none" w:sz="0" w:space="0" w:color="auto"/>
        <w:right w:val="none" w:sz="0" w:space="0" w:color="auto"/>
      </w:divBdr>
    </w:div>
    <w:div w:id="772898670">
      <w:bodyDiv w:val="1"/>
      <w:marLeft w:val="0"/>
      <w:marRight w:val="0"/>
      <w:marTop w:val="0"/>
      <w:marBottom w:val="0"/>
      <w:divBdr>
        <w:top w:val="none" w:sz="0" w:space="0" w:color="auto"/>
        <w:left w:val="none" w:sz="0" w:space="0" w:color="auto"/>
        <w:bottom w:val="none" w:sz="0" w:space="0" w:color="auto"/>
        <w:right w:val="none" w:sz="0" w:space="0" w:color="auto"/>
      </w:divBdr>
    </w:div>
    <w:div w:id="786654712">
      <w:bodyDiv w:val="1"/>
      <w:marLeft w:val="0"/>
      <w:marRight w:val="0"/>
      <w:marTop w:val="0"/>
      <w:marBottom w:val="0"/>
      <w:divBdr>
        <w:top w:val="none" w:sz="0" w:space="0" w:color="auto"/>
        <w:left w:val="none" w:sz="0" w:space="0" w:color="auto"/>
        <w:bottom w:val="none" w:sz="0" w:space="0" w:color="auto"/>
        <w:right w:val="none" w:sz="0" w:space="0" w:color="auto"/>
      </w:divBdr>
    </w:div>
    <w:div w:id="828055934">
      <w:bodyDiv w:val="1"/>
      <w:marLeft w:val="0"/>
      <w:marRight w:val="0"/>
      <w:marTop w:val="0"/>
      <w:marBottom w:val="0"/>
      <w:divBdr>
        <w:top w:val="none" w:sz="0" w:space="0" w:color="auto"/>
        <w:left w:val="none" w:sz="0" w:space="0" w:color="auto"/>
        <w:bottom w:val="none" w:sz="0" w:space="0" w:color="auto"/>
        <w:right w:val="none" w:sz="0" w:space="0" w:color="auto"/>
      </w:divBdr>
    </w:div>
    <w:div w:id="83801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C287-EF11-459A-BEC7-F28032C6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2022-02-18T15:34:00Z</dcterms:created>
  <dc:creator>David Vardidze</dc:creator>
  <cp:lastModifiedBy>Ramunė Mikalauskienė</cp:lastModifiedBy>
  <dcterms:modified xsi:type="dcterms:W3CDTF">2022-02-18T15:34:00Z</dcterms:modified>
  <cp:revision>2</cp:revision>
</cp:coreProperties>
</file>