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3039C" w14:textId="08FEEB0A" w:rsidR="00A1481D" w:rsidRPr="00006B11" w:rsidRDefault="00A1481D">
      <w:pPr>
        <w:rPr>
          <w:sz w:val="22"/>
          <w:szCs w:val="22"/>
        </w:rPr>
      </w:pPr>
    </w:p>
    <w:tbl>
      <w:tblPr>
        <w:tblStyle w:val="TableGrid"/>
        <w:tblW w:w="0" w:type="auto"/>
        <w:tblLook w:val="04A0" w:firstRow="1" w:lastRow="0" w:firstColumn="1" w:lastColumn="0" w:noHBand="0" w:noVBand="1"/>
      </w:tblPr>
      <w:tblGrid>
        <w:gridCol w:w="1415"/>
        <w:gridCol w:w="1415"/>
        <w:gridCol w:w="2552"/>
        <w:gridCol w:w="2977"/>
        <w:gridCol w:w="2404"/>
      </w:tblGrid>
      <w:tr w:rsidR="008363A7" w:rsidRPr="00006B11" w14:paraId="3D9A0E13" w14:textId="77777777" w:rsidTr="008363A7">
        <w:trPr>
          <w:trHeight w:val="137"/>
        </w:trPr>
        <w:tc>
          <w:tcPr>
            <w:tcW w:w="10763" w:type="dxa"/>
            <w:gridSpan w:val="5"/>
            <w:shd w:val="clear" w:color="auto" w:fill="D9E2F3" w:themeFill="accent1" w:themeFillTint="33"/>
          </w:tcPr>
          <w:p w14:paraId="2B3223F4" w14:textId="06E5D78F" w:rsidR="008363A7" w:rsidRPr="008363A7" w:rsidRDefault="008363A7" w:rsidP="008363A7">
            <w:pPr>
              <w:jc w:val="left"/>
              <w:rPr>
                <w:sz w:val="22"/>
                <w:szCs w:val="22"/>
              </w:rPr>
            </w:pPr>
            <w:r>
              <w:rPr>
                <w:b/>
                <w:sz w:val="22"/>
                <w:szCs w:val="22"/>
              </w:rPr>
              <w:t xml:space="preserve">PAŽYMA Nr. NV-                 </w:t>
            </w:r>
            <w:r w:rsidR="007C064A">
              <w:rPr>
                <w:sz w:val="22"/>
                <w:szCs w:val="22"/>
              </w:rPr>
              <w:t>2021-10-12</w:t>
            </w:r>
          </w:p>
        </w:tc>
      </w:tr>
      <w:tr w:rsidR="00C33A0B" w:rsidRPr="00006B11" w14:paraId="2A4B3B6C" w14:textId="77777777" w:rsidTr="009705BE">
        <w:trPr>
          <w:trHeight w:val="769"/>
        </w:trPr>
        <w:tc>
          <w:tcPr>
            <w:tcW w:w="2830" w:type="dxa"/>
            <w:gridSpan w:val="2"/>
            <w:vMerge w:val="restart"/>
            <w:shd w:val="clear" w:color="auto" w:fill="D9E2F3" w:themeFill="accent1" w:themeFillTint="33"/>
          </w:tcPr>
          <w:p w14:paraId="0B4D8A22" w14:textId="1496A562" w:rsidR="00C33A0B" w:rsidRPr="00006B11" w:rsidRDefault="00C33A0B" w:rsidP="0040729D">
            <w:pPr>
              <w:jc w:val="center"/>
              <w:rPr>
                <w:b/>
                <w:bCs/>
                <w:sz w:val="22"/>
                <w:szCs w:val="22"/>
              </w:rPr>
            </w:pPr>
            <w:r w:rsidRPr="00006B11">
              <w:rPr>
                <w:b/>
                <w:bCs/>
                <w:sz w:val="22"/>
                <w:szCs w:val="22"/>
              </w:rPr>
              <w:t>ĮSTATYMO</w:t>
            </w:r>
          </w:p>
          <w:p w14:paraId="38B8FD30" w14:textId="5721EEF5" w:rsidR="00C33A0B" w:rsidRPr="00006B11" w:rsidRDefault="00C33A0B" w:rsidP="0040729D">
            <w:pPr>
              <w:jc w:val="center"/>
              <w:rPr>
                <w:b/>
                <w:bCs/>
                <w:sz w:val="22"/>
                <w:szCs w:val="22"/>
              </w:rPr>
            </w:pPr>
            <w:r w:rsidRPr="00006B11">
              <w:rPr>
                <w:b/>
                <w:bCs/>
                <w:sz w:val="22"/>
                <w:szCs w:val="22"/>
              </w:rPr>
              <w:t>PROJEKTAS</w:t>
            </w:r>
          </w:p>
          <w:p w14:paraId="2BD5F52D" w14:textId="7FBD6D82" w:rsidR="00C33A0B" w:rsidRPr="007C064A" w:rsidRDefault="00C33A0B" w:rsidP="0040729D">
            <w:pPr>
              <w:jc w:val="center"/>
              <w:rPr>
                <w:sz w:val="22"/>
                <w:szCs w:val="22"/>
              </w:rPr>
            </w:pPr>
            <w:r w:rsidRPr="00006B11">
              <w:rPr>
                <w:b/>
                <w:bCs/>
                <w:sz w:val="22"/>
                <w:szCs w:val="22"/>
              </w:rPr>
              <w:t xml:space="preserve"> </w:t>
            </w:r>
            <w:r w:rsidRPr="00006B11">
              <w:rPr>
                <w:sz w:val="22"/>
                <w:szCs w:val="22"/>
              </w:rPr>
              <w:t>Nr.: TAP-</w:t>
            </w:r>
            <w:r w:rsidR="007C064A">
              <w:rPr>
                <w:rFonts w:ascii="Arial" w:hAnsi="Arial" w:cs="Arial"/>
                <w:sz w:val="20"/>
              </w:rPr>
              <w:t xml:space="preserve"> </w:t>
            </w:r>
            <w:r w:rsidR="007C064A" w:rsidRPr="007C064A">
              <w:rPr>
                <w:sz w:val="22"/>
                <w:szCs w:val="22"/>
              </w:rPr>
              <w:t>21-1126 - 21-1131; 21-1307; 21-1310; 21-1443</w:t>
            </w:r>
          </w:p>
          <w:p w14:paraId="4A2B97EA" w14:textId="4C3EC71D" w:rsidR="00C33A0B" w:rsidRPr="00006B11" w:rsidRDefault="00C33A0B" w:rsidP="0040729D">
            <w:pPr>
              <w:jc w:val="center"/>
              <w:rPr>
                <w:b/>
                <w:bCs/>
                <w:sz w:val="22"/>
                <w:szCs w:val="22"/>
              </w:rPr>
            </w:pPr>
            <w:r w:rsidRPr="007C064A">
              <w:rPr>
                <w:sz w:val="22"/>
                <w:szCs w:val="22"/>
              </w:rPr>
              <w:t>TAIS-</w:t>
            </w:r>
            <w:r w:rsidR="007C064A" w:rsidRPr="007C064A">
              <w:rPr>
                <w:sz w:val="22"/>
                <w:szCs w:val="22"/>
              </w:rPr>
              <w:t xml:space="preserve"> </w:t>
            </w:r>
            <w:r w:rsidR="007C064A" w:rsidRPr="007C064A">
              <w:rPr>
                <w:sz w:val="22"/>
                <w:szCs w:val="22"/>
              </w:rPr>
              <w:t>21-28721(3)- 21-28726(3) ; 21-30373(2); 21-30374(2); 21-30856</w:t>
            </w:r>
          </w:p>
        </w:tc>
        <w:tc>
          <w:tcPr>
            <w:tcW w:w="7933" w:type="dxa"/>
            <w:gridSpan w:val="3"/>
          </w:tcPr>
          <w:p w14:paraId="056FBA50" w14:textId="5DE9608B" w:rsidR="00C33A0B" w:rsidRPr="00006B11" w:rsidRDefault="00C33A0B" w:rsidP="00006B11">
            <w:pPr>
              <w:shd w:val="clear" w:color="auto" w:fill="FFFFFF"/>
              <w:ind w:right="79"/>
              <w:jc w:val="left"/>
              <w:rPr>
                <w:b/>
                <w:sz w:val="22"/>
                <w:szCs w:val="22"/>
              </w:rPr>
            </w:pPr>
            <w:r w:rsidRPr="00006B11">
              <w:rPr>
                <w:b/>
                <w:sz w:val="22"/>
                <w:szCs w:val="22"/>
              </w:rPr>
              <w:t xml:space="preserve">DĖL </w:t>
            </w:r>
            <w:r w:rsidR="00EC12D7" w:rsidRPr="00EC12D7">
              <w:rPr>
                <w:b/>
                <w:bCs/>
                <w:caps/>
                <w:sz w:val="20"/>
              </w:rPr>
              <w:t>Lietuvos Respublikos strateginio valdymo įstatymo Nr. XIII-3096 pakeitimo įstatymo, Lietuvos Respublikos regioninės plėtros įstatymo Nr. VIII-1889 2, 4, 5, 6, 7, 9, 10, 11, 12, 13, 14, 23, 25, 26, 28 straipsnių pakeitimo ir 15 straipsnio pripažinimo netekusiu galios įstatymo, Lietuvos Respublikos investicijų įstatymo Nr. VIII-1312 1, 2, 3, 9-1, 12 ir 13 straipsnių pakeitimo įstatymo, Lietuvos Respublikos žemės įstatymo Nr. I-446 9 ir 45 straipsnių pakeitimo įstatymo, Lietuvos Respublikos teritorijų planavimo įstatymo Nr. I-1120 2 straipsnio pakeitimo įstatymo, Lietuvos Respublikos teritorijų planavimo įstatymo Nr. I-1120 2, 4, 6, 17, 20, 23 ir 28 straipsnių pakeitimo įstatymo Nr. XIII-3163 8 straipsnio pakeitimo įstatymo, Lietuvos Respublikos viešojo administravimo įstatymo Nr. VIII-1234 5 straipsnio pakeitimo įstatymo ir Lietuvos Respublikos nacionalinio saugumo pagrindų įstatymo Nr. VIII-49 3 straipsnio pakeitimo įstatymo projektų</w:t>
            </w:r>
            <w:r w:rsidRPr="00006B11">
              <w:rPr>
                <w:b/>
                <w:sz w:val="22"/>
                <w:szCs w:val="22"/>
              </w:rPr>
              <w:t xml:space="preserve"> </w:t>
            </w:r>
          </w:p>
        </w:tc>
      </w:tr>
      <w:tr w:rsidR="00B25236" w:rsidRPr="00006B11" w14:paraId="680C4BE6" w14:textId="77777777" w:rsidTr="008E1A5B">
        <w:tc>
          <w:tcPr>
            <w:tcW w:w="2830" w:type="dxa"/>
            <w:gridSpan w:val="2"/>
            <w:vMerge/>
            <w:shd w:val="clear" w:color="auto" w:fill="D9E2F3" w:themeFill="accent1" w:themeFillTint="33"/>
          </w:tcPr>
          <w:p w14:paraId="2FBF12A7" w14:textId="77777777" w:rsidR="00B25236" w:rsidRPr="00006B11" w:rsidRDefault="00B25236" w:rsidP="0040729D">
            <w:pPr>
              <w:rPr>
                <w:b/>
                <w:bCs/>
                <w:sz w:val="22"/>
                <w:szCs w:val="22"/>
              </w:rPr>
            </w:pPr>
          </w:p>
        </w:tc>
        <w:tc>
          <w:tcPr>
            <w:tcW w:w="2552" w:type="dxa"/>
            <w:shd w:val="clear" w:color="auto" w:fill="D9D9D9" w:themeFill="background1" w:themeFillShade="D9"/>
          </w:tcPr>
          <w:p w14:paraId="503B590D" w14:textId="77777777" w:rsidR="00B25236" w:rsidRPr="00006B11" w:rsidRDefault="00B25236" w:rsidP="0040729D">
            <w:pPr>
              <w:rPr>
                <w:b/>
                <w:bCs/>
                <w:sz w:val="22"/>
                <w:szCs w:val="22"/>
              </w:rPr>
            </w:pPr>
            <w:r w:rsidRPr="00006B11">
              <w:rPr>
                <w:b/>
                <w:bCs/>
                <w:sz w:val="22"/>
                <w:szCs w:val="22"/>
              </w:rPr>
              <w:t>Rengėjas</w:t>
            </w:r>
          </w:p>
        </w:tc>
        <w:tc>
          <w:tcPr>
            <w:tcW w:w="2977" w:type="dxa"/>
            <w:shd w:val="clear" w:color="auto" w:fill="D9D9D9" w:themeFill="background1" w:themeFillShade="D9"/>
          </w:tcPr>
          <w:p w14:paraId="7F93410A" w14:textId="5E0886FB" w:rsidR="00B25236" w:rsidRPr="00006B11" w:rsidRDefault="00B25236" w:rsidP="0040729D">
            <w:pPr>
              <w:rPr>
                <w:b/>
                <w:bCs/>
                <w:sz w:val="22"/>
                <w:szCs w:val="22"/>
              </w:rPr>
            </w:pPr>
            <w:r w:rsidRPr="00006B11">
              <w:rPr>
                <w:b/>
                <w:bCs/>
                <w:sz w:val="22"/>
                <w:szCs w:val="22"/>
              </w:rPr>
              <w:t>Svarstyta</w:t>
            </w:r>
          </w:p>
        </w:tc>
        <w:tc>
          <w:tcPr>
            <w:tcW w:w="2404" w:type="dxa"/>
            <w:shd w:val="clear" w:color="auto" w:fill="D9D9D9" w:themeFill="background1" w:themeFillShade="D9"/>
          </w:tcPr>
          <w:p w14:paraId="572CAD97" w14:textId="54F7B41B" w:rsidR="00B25236" w:rsidRPr="00006B11" w:rsidRDefault="00B25236" w:rsidP="0040729D">
            <w:pPr>
              <w:rPr>
                <w:b/>
                <w:bCs/>
                <w:sz w:val="22"/>
                <w:szCs w:val="22"/>
              </w:rPr>
            </w:pPr>
            <w:r w:rsidRPr="00006B11">
              <w:rPr>
                <w:b/>
                <w:bCs/>
                <w:sz w:val="22"/>
                <w:szCs w:val="22"/>
              </w:rPr>
              <w:t xml:space="preserve">Siūloma </w:t>
            </w:r>
          </w:p>
        </w:tc>
      </w:tr>
      <w:tr w:rsidR="00234D80" w:rsidRPr="00006B11" w14:paraId="69ACFA99" w14:textId="77777777" w:rsidTr="00234D80">
        <w:trPr>
          <w:trHeight w:val="862"/>
        </w:trPr>
        <w:tc>
          <w:tcPr>
            <w:tcW w:w="1415" w:type="dxa"/>
            <w:shd w:val="clear" w:color="auto" w:fill="D9E2F3" w:themeFill="accent1" w:themeFillTint="33"/>
          </w:tcPr>
          <w:p w14:paraId="7D27CEDF" w14:textId="7D919000" w:rsidR="00234D80" w:rsidRPr="00B25236" w:rsidRDefault="00234D80" w:rsidP="00B25236">
            <w:pPr>
              <w:jc w:val="left"/>
              <w:rPr>
                <w:sz w:val="22"/>
                <w:szCs w:val="22"/>
              </w:rPr>
            </w:pPr>
            <w:r w:rsidRPr="00B25236">
              <w:rPr>
                <w:sz w:val="22"/>
                <w:szCs w:val="22"/>
              </w:rPr>
              <w:t>Įtraukta į artimiausią Seimo sesiją</w:t>
            </w:r>
          </w:p>
        </w:tc>
        <w:tc>
          <w:tcPr>
            <w:tcW w:w="1415" w:type="dxa"/>
            <w:shd w:val="clear" w:color="auto" w:fill="D9E2F3" w:themeFill="accent1" w:themeFillTint="33"/>
          </w:tcPr>
          <w:p w14:paraId="5D500BC3" w14:textId="18BC3B4F" w:rsidR="00234D80" w:rsidRPr="00006B11" w:rsidRDefault="00234D80" w:rsidP="00B25236">
            <w:pPr>
              <w:rPr>
                <w:bCs/>
                <w:sz w:val="22"/>
                <w:szCs w:val="22"/>
              </w:rPr>
            </w:pPr>
            <w:r w:rsidRPr="00006B11">
              <w:rPr>
                <w:bCs/>
                <w:sz w:val="22"/>
                <w:szCs w:val="22"/>
              </w:rPr>
              <w:t>Taip</w:t>
            </w:r>
          </w:p>
          <w:p w14:paraId="3AC8B2C9" w14:textId="065E378E" w:rsidR="00234D80" w:rsidRPr="00006B11" w:rsidRDefault="00234D80" w:rsidP="00B25236">
            <w:pPr>
              <w:rPr>
                <w:b/>
                <w:bCs/>
                <w:sz w:val="22"/>
                <w:szCs w:val="22"/>
              </w:rPr>
            </w:pPr>
          </w:p>
        </w:tc>
        <w:tc>
          <w:tcPr>
            <w:tcW w:w="2552" w:type="dxa"/>
          </w:tcPr>
          <w:p w14:paraId="36F893DE" w14:textId="7ECD70C9" w:rsidR="00234D80" w:rsidRPr="00B25236" w:rsidRDefault="00234D80" w:rsidP="001A0258">
            <w:pPr>
              <w:jc w:val="left"/>
              <w:rPr>
                <w:sz w:val="22"/>
                <w:szCs w:val="22"/>
              </w:rPr>
            </w:pPr>
            <w:r>
              <w:rPr>
                <w:sz w:val="22"/>
                <w:szCs w:val="22"/>
              </w:rPr>
              <w:t>Finansų</w:t>
            </w:r>
            <w:r w:rsidRPr="00B25236">
              <w:rPr>
                <w:sz w:val="22"/>
                <w:szCs w:val="22"/>
              </w:rPr>
              <w:t xml:space="preserve"> ministerija</w:t>
            </w:r>
          </w:p>
          <w:p w14:paraId="407FA901" w14:textId="4E195782" w:rsidR="00234D80" w:rsidRPr="00006B11" w:rsidRDefault="00234D80" w:rsidP="001A0258">
            <w:pPr>
              <w:jc w:val="left"/>
              <w:rPr>
                <w:i/>
                <w:iCs/>
                <w:sz w:val="22"/>
                <w:szCs w:val="22"/>
              </w:rPr>
            </w:pPr>
          </w:p>
        </w:tc>
        <w:tc>
          <w:tcPr>
            <w:tcW w:w="2977" w:type="dxa"/>
          </w:tcPr>
          <w:p w14:paraId="42785C96" w14:textId="29FABF2E" w:rsidR="00234D80" w:rsidRPr="00B25236" w:rsidRDefault="00234D80" w:rsidP="0040729D">
            <w:pPr>
              <w:jc w:val="left"/>
              <w:rPr>
                <w:bCs/>
                <w:sz w:val="22"/>
                <w:szCs w:val="22"/>
              </w:rPr>
            </w:pPr>
            <w:r w:rsidRPr="00B25236">
              <w:rPr>
                <w:bCs/>
                <w:sz w:val="22"/>
                <w:szCs w:val="22"/>
              </w:rPr>
              <w:t>TAP</w:t>
            </w:r>
          </w:p>
          <w:p w14:paraId="0EE2DFAE" w14:textId="77777777" w:rsidR="00234D80" w:rsidRDefault="00234D80" w:rsidP="0061358B">
            <w:pPr>
              <w:jc w:val="left"/>
              <w:rPr>
                <w:bCs/>
                <w:sz w:val="22"/>
                <w:szCs w:val="22"/>
              </w:rPr>
            </w:pPr>
          </w:p>
          <w:p w14:paraId="7592DEBF" w14:textId="5612E563" w:rsidR="00234D80" w:rsidRPr="00006B11" w:rsidRDefault="00234D80" w:rsidP="0040729D">
            <w:pPr>
              <w:jc w:val="left"/>
              <w:rPr>
                <w:sz w:val="22"/>
                <w:szCs w:val="22"/>
              </w:rPr>
            </w:pPr>
            <w:r>
              <w:rPr>
                <w:sz w:val="22"/>
                <w:szCs w:val="22"/>
              </w:rPr>
              <w:t>2021-09-28</w:t>
            </w:r>
          </w:p>
        </w:tc>
        <w:tc>
          <w:tcPr>
            <w:tcW w:w="2404" w:type="dxa"/>
          </w:tcPr>
          <w:p w14:paraId="401C5822" w14:textId="71A7BAF5" w:rsidR="00234D80" w:rsidRPr="00B25236" w:rsidRDefault="00234D80" w:rsidP="0040729D">
            <w:pPr>
              <w:jc w:val="left"/>
              <w:rPr>
                <w:b/>
                <w:bCs/>
                <w:sz w:val="22"/>
                <w:szCs w:val="22"/>
              </w:rPr>
            </w:pPr>
            <w:r w:rsidRPr="00B25236">
              <w:rPr>
                <w:b/>
                <w:bCs/>
                <w:sz w:val="22"/>
                <w:szCs w:val="22"/>
              </w:rPr>
              <w:t>Svarstyti</w:t>
            </w:r>
          </w:p>
          <w:p w14:paraId="70FE9256" w14:textId="32EFB7D5" w:rsidR="00234D80" w:rsidRPr="00B25236" w:rsidRDefault="00234D80" w:rsidP="008E1A5B">
            <w:pPr>
              <w:ind w:left="227"/>
              <w:jc w:val="left"/>
              <w:rPr>
                <w:bCs/>
                <w:sz w:val="22"/>
                <w:szCs w:val="22"/>
              </w:rPr>
            </w:pPr>
            <w:r w:rsidRPr="00B25236">
              <w:rPr>
                <w:bCs/>
                <w:sz w:val="22"/>
                <w:szCs w:val="22"/>
              </w:rPr>
              <w:t>TAP</w:t>
            </w:r>
          </w:p>
          <w:p w14:paraId="55F9C2A4" w14:textId="565DFB2E" w:rsidR="00234D80" w:rsidRPr="00006B11" w:rsidRDefault="00234D80" w:rsidP="008E1A5B">
            <w:pPr>
              <w:ind w:left="227"/>
              <w:jc w:val="left"/>
              <w:rPr>
                <w:sz w:val="22"/>
                <w:szCs w:val="22"/>
              </w:rPr>
            </w:pPr>
          </w:p>
        </w:tc>
      </w:tr>
    </w:tbl>
    <w:p w14:paraId="22434D32" w14:textId="0DBC3922" w:rsidR="00141833" w:rsidRPr="00006B11" w:rsidRDefault="00141833">
      <w:pPr>
        <w:rPr>
          <w:sz w:val="22"/>
          <w:szCs w:val="22"/>
        </w:rPr>
      </w:pPr>
    </w:p>
    <w:tbl>
      <w:tblPr>
        <w:tblStyle w:val="TableGrid"/>
        <w:tblW w:w="10768" w:type="dxa"/>
        <w:tblLook w:val="04A0" w:firstRow="1" w:lastRow="0" w:firstColumn="1" w:lastColumn="0" w:noHBand="0" w:noVBand="1"/>
      </w:tblPr>
      <w:tblGrid>
        <w:gridCol w:w="1980"/>
        <w:gridCol w:w="6379"/>
        <w:gridCol w:w="2409"/>
      </w:tblGrid>
      <w:tr w:rsidR="00292C60" w:rsidRPr="00006B11" w14:paraId="0DFB9C0E" w14:textId="77777777" w:rsidTr="008E1A5B">
        <w:trPr>
          <w:trHeight w:val="278"/>
        </w:trPr>
        <w:tc>
          <w:tcPr>
            <w:tcW w:w="1980" w:type="dxa"/>
            <w:vMerge w:val="restart"/>
            <w:shd w:val="clear" w:color="auto" w:fill="D9E2F3" w:themeFill="accent1" w:themeFillTint="33"/>
          </w:tcPr>
          <w:p w14:paraId="14D9EE28" w14:textId="03234644" w:rsidR="00292C60" w:rsidRPr="00006B11" w:rsidRDefault="00292C60" w:rsidP="0092329D">
            <w:pPr>
              <w:rPr>
                <w:b/>
                <w:bCs/>
                <w:sz w:val="22"/>
                <w:szCs w:val="22"/>
              </w:rPr>
            </w:pPr>
            <w:r w:rsidRPr="00006B11">
              <w:rPr>
                <w:b/>
                <w:bCs/>
                <w:sz w:val="22"/>
                <w:szCs w:val="22"/>
              </w:rPr>
              <w:t>DALYKINIS VERTINIMAS</w:t>
            </w:r>
          </w:p>
        </w:tc>
        <w:tc>
          <w:tcPr>
            <w:tcW w:w="6379" w:type="dxa"/>
            <w:shd w:val="clear" w:color="auto" w:fill="FFFFFF" w:themeFill="background1"/>
          </w:tcPr>
          <w:p w14:paraId="3D041FAE" w14:textId="77777777" w:rsidR="00292C60" w:rsidRPr="009E1CCF" w:rsidRDefault="00292C60" w:rsidP="0092329D">
            <w:pPr>
              <w:shd w:val="clear" w:color="auto" w:fill="FFFFFF"/>
              <w:ind w:right="79"/>
              <w:jc w:val="left"/>
              <w:rPr>
                <w:bCs/>
                <w:sz w:val="22"/>
                <w:szCs w:val="22"/>
              </w:rPr>
            </w:pPr>
            <w:r w:rsidRPr="009E1CCF">
              <w:rPr>
                <w:bCs/>
                <w:sz w:val="22"/>
                <w:szCs w:val="22"/>
              </w:rPr>
              <w:t>Siūlomos pagrįstos priemonės, kurios padės išspręsti nustatytą problemą</w:t>
            </w:r>
          </w:p>
        </w:tc>
        <w:tc>
          <w:tcPr>
            <w:tcW w:w="2409" w:type="dxa"/>
            <w:shd w:val="clear" w:color="auto" w:fill="FFFFFF" w:themeFill="background1"/>
          </w:tcPr>
          <w:p w14:paraId="2FEBCED3" w14:textId="2DF6E2E7" w:rsidR="00292C60" w:rsidRDefault="00292C60" w:rsidP="0092329D">
            <w:pPr>
              <w:rPr>
                <w:bCs/>
                <w:sz w:val="22"/>
                <w:szCs w:val="22"/>
              </w:rPr>
            </w:pPr>
            <w:r w:rsidRPr="00006B11">
              <w:rPr>
                <w:bCs/>
                <w:sz w:val="22"/>
                <w:szCs w:val="22"/>
              </w:rPr>
              <w:t>Taip</w:t>
            </w:r>
          </w:p>
          <w:p w14:paraId="07922E01" w14:textId="736B8CE2" w:rsidR="00292C60" w:rsidRPr="00292C60" w:rsidRDefault="00292C60" w:rsidP="0092329D">
            <w:pPr>
              <w:rPr>
                <w:bCs/>
                <w:sz w:val="22"/>
                <w:szCs w:val="22"/>
              </w:rPr>
            </w:pPr>
          </w:p>
        </w:tc>
      </w:tr>
      <w:tr w:rsidR="00292C60" w:rsidRPr="00006B11" w14:paraId="47D08D9B" w14:textId="77777777" w:rsidTr="008E1A5B">
        <w:trPr>
          <w:trHeight w:val="276"/>
        </w:trPr>
        <w:tc>
          <w:tcPr>
            <w:tcW w:w="1980" w:type="dxa"/>
            <w:vMerge/>
            <w:shd w:val="clear" w:color="auto" w:fill="D9E2F3" w:themeFill="accent1" w:themeFillTint="33"/>
          </w:tcPr>
          <w:p w14:paraId="0BB744E9" w14:textId="77777777" w:rsidR="00292C60" w:rsidRPr="00006B11" w:rsidRDefault="00292C60" w:rsidP="0092329D">
            <w:pPr>
              <w:rPr>
                <w:b/>
                <w:bCs/>
                <w:sz w:val="22"/>
                <w:szCs w:val="22"/>
              </w:rPr>
            </w:pPr>
          </w:p>
        </w:tc>
        <w:tc>
          <w:tcPr>
            <w:tcW w:w="6379" w:type="dxa"/>
            <w:shd w:val="clear" w:color="auto" w:fill="FFFFFF" w:themeFill="background1"/>
          </w:tcPr>
          <w:p w14:paraId="5DDA3BE2" w14:textId="3C0EA674" w:rsidR="00292C60" w:rsidRPr="009E1CCF" w:rsidRDefault="00292C60" w:rsidP="0092329D">
            <w:pPr>
              <w:shd w:val="clear" w:color="auto" w:fill="FFFFFF"/>
              <w:ind w:right="79"/>
              <w:jc w:val="left"/>
              <w:rPr>
                <w:bCs/>
                <w:sz w:val="22"/>
                <w:szCs w:val="22"/>
              </w:rPr>
            </w:pPr>
            <w:r w:rsidRPr="009E1CCF">
              <w:rPr>
                <w:bCs/>
                <w:sz w:val="22"/>
                <w:szCs w:val="22"/>
              </w:rPr>
              <w:t>Siūlomas sprendimas pagrįstas įrodymais (duomenimis, faktine informacija)</w:t>
            </w:r>
          </w:p>
        </w:tc>
        <w:tc>
          <w:tcPr>
            <w:tcW w:w="2409" w:type="dxa"/>
            <w:shd w:val="clear" w:color="auto" w:fill="FFFFFF" w:themeFill="background1"/>
          </w:tcPr>
          <w:p w14:paraId="10DB4AC8" w14:textId="18819520" w:rsidR="00292C60" w:rsidRPr="00292C60" w:rsidRDefault="007C064A" w:rsidP="0092329D">
            <w:pPr>
              <w:rPr>
                <w:bCs/>
                <w:sz w:val="22"/>
                <w:szCs w:val="22"/>
              </w:rPr>
            </w:pPr>
            <w:r w:rsidRPr="00006B11">
              <w:rPr>
                <w:bCs/>
                <w:sz w:val="22"/>
                <w:szCs w:val="22"/>
              </w:rPr>
              <w:t>Taip</w:t>
            </w:r>
          </w:p>
        </w:tc>
      </w:tr>
      <w:tr w:rsidR="00292C60" w:rsidRPr="00006B11" w14:paraId="533A60D8" w14:textId="77777777" w:rsidTr="008E1A5B">
        <w:trPr>
          <w:trHeight w:val="276"/>
        </w:trPr>
        <w:tc>
          <w:tcPr>
            <w:tcW w:w="1980" w:type="dxa"/>
            <w:vMerge/>
            <w:shd w:val="clear" w:color="auto" w:fill="D9E2F3" w:themeFill="accent1" w:themeFillTint="33"/>
          </w:tcPr>
          <w:p w14:paraId="26D560EE" w14:textId="77777777" w:rsidR="00292C60" w:rsidRPr="00006B11" w:rsidRDefault="00292C60" w:rsidP="0092329D">
            <w:pPr>
              <w:rPr>
                <w:b/>
                <w:bCs/>
                <w:sz w:val="22"/>
                <w:szCs w:val="22"/>
              </w:rPr>
            </w:pPr>
          </w:p>
        </w:tc>
        <w:tc>
          <w:tcPr>
            <w:tcW w:w="6379" w:type="dxa"/>
            <w:shd w:val="clear" w:color="auto" w:fill="FFFFFF" w:themeFill="background1"/>
          </w:tcPr>
          <w:p w14:paraId="511CB6C2" w14:textId="14FEA043" w:rsidR="00292C60" w:rsidRPr="009E1CCF" w:rsidRDefault="00292C60" w:rsidP="0092329D">
            <w:pPr>
              <w:shd w:val="clear" w:color="auto" w:fill="FFFFFF"/>
              <w:ind w:right="79"/>
              <w:jc w:val="left"/>
              <w:rPr>
                <w:bCs/>
                <w:sz w:val="22"/>
                <w:szCs w:val="22"/>
              </w:rPr>
            </w:pPr>
            <w:r w:rsidRPr="009E1CCF">
              <w:rPr>
                <w:bCs/>
                <w:sz w:val="22"/>
                <w:szCs w:val="22"/>
              </w:rPr>
              <w:t>Teisės akto projektas parengtas laikantis Vyriausybės darbo reglamento reikalavimų</w:t>
            </w:r>
            <w:r w:rsidR="009E1CCF">
              <w:rPr>
                <w:bCs/>
                <w:sz w:val="22"/>
                <w:szCs w:val="22"/>
              </w:rPr>
              <w:t xml:space="preserve"> dėl derinimo </w:t>
            </w:r>
            <w:r w:rsidR="0092329D">
              <w:rPr>
                <w:bCs/>
                <w:sz w:val="22"/>
                <w:szCs w:val="22"/>
              </w:rPr>
              <w:t>subjektų</w:t>
            </w:r>
            <w:r w:rsidR="009E1CCF">
              <w:rPr>
                <w:bCs/>
                <w:sz w:val="22"/>
                <w:szCs w:val="22"/>
              </w:rPr>
              <w:t xml:space="preserve">, terminų, </w:t>
            </w:r>
            <w:r w:rsidR="0092329D">
              <w:rPr>
                <w:bCs/>
                <w:sz w:val="22"/>
                <w:szCs w:val="22"/>
              </w:rPr>
              <w:t>projekto lydimosios medžiagos</w:t>
            </w:r>
          </w:p>
        </w:tc>
        <w:tc>
          <w:tcPr>
            <w:tcW w:w="2409" w:type="dxa"/>
            <w:shd w:val="clear" w:color="auto" w:fill="FFFFFF" w:themeFill="background1"/>
          </w:tcPr>
          <w:p w14:paraId="6426DB24" w14:textId="0008B98F" w:rsidR="00292C60" w:rsidRDefault="00292C60" w:rsidP="0092329D">
            <w:pPr>
              <w:rPr>
                <w:bCs/>
                <w:sz w:val="22"/>
                <w:szCs w:val="22"/>
              </w:rPr>
            </w:pPr>
            <w:r w:rsidRPr="00006B11">
              <w:rPr>
                <w:bCs/>
                <w:sz w:val="22"/>
                <w:szCs w:val="22"/>
              </w:rPr>
              <w:t>Taip</w:t>
            </w:r>
          </w:p>
          <w:p w14:paraId="62F45A55" w14:textId="69C35560" w:rsidR="00292C60" w:rsidRPr="009E1CCF" w:rsidRDefault="00292C60" w:rsidP="0092329D">
            <w:pPr>
              <w:rPr>
                <w:bCs/>
                <w:sz w:val="22"/>
                <w:szCs w:val="22"/>
              </w:rPr>
            </w:pPr>
          </w:p>
        </w:tc>
      </w:tr>
      <w:tr w:rsidR="00292C60" w:rsidRPr="00006B11" w14:paraId="34C5487D" w14:textId="77777777" w:rsidTr="008E1A5B">
        <w:trPr>
          <w:trHeight w:val="276"/>
        </w:trPr>
        <w:tc>
          <w:tcPr>
            <w:tcW w:w="1980" w:type="dxa"/>
            <w:vMerge/>
            <w:shd w:val="clear" w:color="auto" w:fill="D9E2F3" w:themeFill="accent1" w:themeFillTint="33"/>
          </w:tcPr>
          <w:p w14:paraId="01A222E0" w14:textId="77777777" w:rsidR="00292C60" w:rsidRPr="00006B11" w:rsidRDefault="00292C60" w:rsidP="0092329D">
            <w:pPr>
              <w:rPr>
                <w:b/>
                <w:bCs/>
                <w:sz w:val="22"/>
                <w:szCs w:val="22"/>
              </w:rPr>
            </w:pPr>
          </w:p>
        </w:tc>
        <w:tc>
          <w:tcPr>
            <w:tcW w:w="6379" w:type="dxa"/>
            <w:shd w:val="clear" w:color="auto" w:fill="FFFFFF" w:themeFill="background1"/>
          </w:tcPr>
          <w:p w14:paraId="788F5851" w14:textId="6ADF4B12" w:rsidR="00292C60" w:rsidRPr="009E1CCF" w:rsidRDefault="00292C60" w:rsidP="0092329D">
            <w:pPr>
              <w:shd w:val="clear" w:color="auto" w:fill="FFFFFF"/>
              <w:ind w:right="79"/>
              <w:jc w:val="left"/>
              <w:rPr>
                <w:bCs/>
                <w:sz w:val="22"/>
                <w:szCs w:val="22"/>
              </w:rPr>
            </w:pPr>
            <w:r w:rsidRPr="009E1CCF">
              <w:rPr>
                <w:bCs/>
                <w:sz w:val="22"/>
                <w:szCs w:val="22"/>
              </w:rPr>
              <w:t>Teisėkūros procesas buvo įtraukus</w:t>
            </w:r>
            <w:r w:rsidR="0061358B">
              <w:rPr>
                <w:bCs/>
                <w:sz w:val="22"/>
                <w:szCs w:val="22"/>
              </w:rPr>
              <w:t>, užtikrinant tinkamą suinteresuotų asmenų informavimą ir dalyvavimo sąlygas</w:t>
            </w:r>
          </w:p>
        </w:tc>
        <w:tc>
          <w:tcPr>
            <w:tcW w:w="2409" w:type="dxa"/>
            <w:shd w:val="clear" w:color="auto" w:fill="FFFFFF" w:themeFill="background1"/>
          </w:tcPr>
          <w:p w14:paraId="4420AE23" w14:textId="1CA31B84" w:rsidR="0061358B" w:rsidRPr="0061358B" w:rsidRDefault="007C064A" w:rsidP="0092329D">
            <w:pPr>
              <w:rPr>
                <w:bCs/>
                <w:sz w:val="22"/>
                <w:szCs w:val="22"/>
              </w:rPr>
            </w:pPr>
            <w:r w:rsidRPr="00006B11">
              <w:rPr>
                <w:bCs/>
                <w:sz w:val="22"/>
                <w:szCs w:val="22"/>
              </w:rPr>
              <w:t>Taip</w:t>
            </w:r>
            <w:r w:rsidRPr="0061358B">
              <w:rPr>
                <w:bCs/>
                <w:sz w:val="22"/>
                <w:szCs w:val="22"/>
              </w:rPr>
              <w:t xml:space="preserve"> </w:t>
            </w:r>
          </w:p>
        </w:tc>
      </w:tr>
      <w:tr w:rsidR="001A0258" w:rsidRPr="00006B11" w14:paraId="604313D9" w14:textId="77777777" w:rsidTr="008E1A5B">
        <w:tc>
          <w:tcPr>
            <w:tcW w:w="1980" w:type="dxa"/>
            <w:shd w:val="clear" w:color="auto" w:fill="D9E2F3" w:themeFill="accent1" w:themeFillTint="33"/>
          </w:tcPr>
          <w:p w14:paraId="089E87B3" w14:textId="37D3FB80" w:rsidR="001A0258" w:rsidRPr="00006B11" w:rsidRDefault="001A0258" w:rsidP="007E5D9D">
            <w:pPr>
              <w:spacing w:before="60" w:after="60"/>
              <w:jc w:val="left"/>
              <w:rPr>
                <w:b/>
                <w:bCs/>
                <w:sz w:val="22"/>
                <w:szCs w:val="22"/>
              </w:rPr>
            </w:pPr>
            <w:r w:rsidRPr="00006B11">
              <w:rPr>
                <w:b/>
                <w:bCs/>
                <w:sz w:val="22"/>
                <w:szCs w:val="22"/>
              </w:rPr>
              <w:t>TEISINIS VERTINIMAS</w:t>
            </w:r>
            <w:r w:rsidR="00F020BE">
              <w:rPr>
                <w:b/>
                <w:bCs/>
                <w:sz w:val="22"/>
                <w:szCs w:val="22"/>
              </w:rPr>
              <w:t xml:space="preserve"> </w:t>
            </w:r>
            <w:r w:rsidR="007E5D9D">
              <w:rPr>
                <w:b/>
                <w:bCs/>
                <w:sz w:val="22"/>
                <w:szCs w:val="22"/>
              </w:rPr>
              <w:t>– TEISĖS GRUPĖS PASTABOS</w:t>
            </w:r>
          </w:p>
        </w:tc>
        <w:tc>
          <w:tcPr>
            <w:tcW w:w="8788" w:type="dxa"/>
            <w:gridSpan w:val="2"/>
          </w:tcPr>
          <w:p w14:paraId="1B67C84F" w14:textId="1051C5A9" w:rsidR="008461E5" w:rsidRPr="00F020BE" w:rsidRDefault="0092329D" w:rsidP="00F020BE">
            <w:pPr>
              <w:jc w:val="left"/>
              <w:rPr>
                <w:color w:val="000000" w:themeColor="text1"/>
                <w:sz w:val="22"/>
                <w:szCs w:val="22"/>
              </w:rPr>
            </w:pPr>
            <w:r>
              <w:rPr>
                <w:sz w:val="22"/>
                <w:szCs w:val="22"/>
              </w:rPr>
              <w:t>Vertinamojo / t</w:t>
            </w:r>
            <w:r w:rsidR="008461E5" w:rsidRPr="00F020BE">
              <w:rPr>
                <w:color w:val="000000" w:themeColor="text1"/>
                <w:sz w:val="22"/>
                <w:szCs w:val="22"/>
              </w:rPr>
              <w:t>ikslinamojo pobūdžio</w:t>
            </w:r>
          </w:p>
          <w:p w14:paraId="44C8A3DC" w14:textId="2C1897A6" w:rsidR="000531DA" w:rsidRPr="00F020BE" w:rsidRDefault="000531DA" w:rsidP="00F020BE">
            <w:pPr>
              <w:jc w:val="left"/>
              <w:rPr>
                <w:i/>
                <w:iCs/>
                <w:color w:val="000000" w:themeColor="text1"/>
                <w:sz w:val="22"/>
                <w:szCs w:val="22"/>
              </w:rPr>
            </w:pPr>
          </w:p>
        </w:tc>
      </w:tr>
    </w:tbl>
    <w:p w14:paraId="5C1460FF" w14:textId="77777777" w:rsidR="001A0258" w:rsidRPr="00006B11" w:rsidRDefault="001A0258">
      <w:pPr>
        <w:rPr>
          <w:sz w:val="22"/>
          <w:szCs w:val="22"/>
        </w:rPr>
      </w:pPr>
    </w:p>
    <w:tbl>
      <w:tblPr>
        <w:tblStyle w:val="TableGrid"/>
        <w:tblW w:w="10768" w:type="dxa"/>
        <w:tblLook w:val="04A0" w:firstRow="1" w:lastRow="0" w:firstColumn="1" w:lastColumn="0" w:noHBand="0" w:noVBand="1"/>
      </w:tblPr>
      <w:tblGrid>
        <w:gridCol w:w="1980"/>
        <w:gridCol w:w="8788"/>
      </w:tblGrid>
      <w:tr w:rsidR="00A1481D" w:rsidRPr="00006B11" w14:paraId="50378D7E" w14:textId="77777777" w:rsidTr="008E1A5B">
        <w:tc>
          <w:tcPr>
            <w:tcW w:w="1980" w:type="dxa"/>
            <w:shd w:val="clear" w:color="auto" w:fill="D9E2F3" w:themeFill="accent1" w:themeFillTint="33"/>
          </w:tcPr>
          <w:p w14:paraId="7169D8B7" w14:textId="3BFC1961" w:rsidR="00A1481D" w:rsidRPr="00006B11" w:rsidRDefault="00A1481D" w:rsidP="0040729D">
            <w:pPr>
              <w:spacing w:before="60" w:after="60"/>
              <w:rPr>
                <w:b/>
                <w:bCs/>
                <w:sz w:val="22"/>
                <w:szCs w:val="22"/>
              </w:rPr>
            </w:pPr>
            <w:r w:rsidRPr="00006B11">
              <w:rPr>
                <w:b/>
                <w:bCs/>
                <w:sz w:val="22"/>
                <w:szCs w:val="22"/>
              </w:rPr>
              <w:t>PROJEKTO TIKSLAS</w:t>
            </w:r>
          </w:p>
        </w:tc>
        <w:tc>
          <w:tcPr>
            <w:tcW w:w="8788" w:type="dxa"/>
          </w:tcPr>
          <w:p w14:paraId="04ABDC85" w14:textId="7CB24556" w:rsidR="00A1481D" w:rsidRPr="007B365F" w:rsidRDefault="00CF0FAC" w:rsidP="0040729D">
            <w:pPr>
              <w:shd w:val="clear" w:color="auto" w:fill="FFFFFF"/>
              <w:spacing w:before="60" w:after="60"/>
              <w:ind w:right="79"/>
              <w:jc w:val="left"/>
              <w:rPr>
                <w:bCs/>
                <w:sz w:val="22"/>
                <w:szCs w:val="22"/>
              </w:rPr>
            </w:pPr>
            <w:r w:rsidRPr="007B365F">
              <w:rPr>
                <w:bCs/>
                <w:sz w:val="22"/>
                <w:szCs w:val="22"/>
              </w:rPr>
              <w:t>Strateginio valdymo sistemoje atspindėti Lietuvos Respublikos Seimo įsitraukimą į valstybės raidos strateginių krypči</w:t>
            </w:r>
            <w:r w:rsidR="007B365F" w:rsidRPr="007B365F">
              <w:rPr>
                <w:bCs/>
                <w:sz w:val="22"/>
                <w:szCs w:val="22"/>
              </w:rPr>
              <w:t>ų formavimą</w:t>
            </w:r>
            <w:r w:rsidR="007B365F">
              <w:rPr>
                <w:bCs/>
                <w:sz w:val="22"/>
                <w:szCs w:val="22"/>
              </w:rPr>
              <w:t>, Lietuvos pažangos strategijos rengimą</w:t>
            </w:r>
            <w:r w:rsidR="007B365F" w:rsidRPr="007B365F">
              <w:rPr>
                <w:bCs/>
                <w:sz w:val="22"/>
                <w:szCs w:val="22"/>
              </w:rPr>
              <w:t>. Patikslinti likusias teisinio reguliavimo nesuderinamumo vietas</w:t>
            </w:r>
          </w:p>
        </w:tc>
      </w:tr>
      <w:tr w:rsidR="00A1481D" w:rsidRPr="00006B11" w14:paraId="232957D5" w14:textId="77777777" w:rsidTr="008E1A5B">
        <w:tc>
          <w:tcPr>
            <w:tcW w:w="1980" w:type="dxa"/>
            <w:shd w:val="clear" w:color="auto" w:fill="D9E2F3" w:themeFill="accent1" w:themeFillTint="33"/>
          </w:tcPr>
          <w:p w14:paraId="7E3BF6EF" w14:textId="77777777" w:rsidR="00A1481D" w:rsidRPr="00006B11" w:rsidRDefault="00A1481D" w:rsidP="0040729D">
            <w:pPr>
              <w:spacing w:before="60" w:after="60"/>
              <w:rPr>
                <w:b/>
                <w:bCs/>
                <w:sz w:val="22"/>
                <w:szCs w:val="22"/>
              </w:rPr>
            </w:pPr>
            <w:r w:rsidRPr="00006B11">
              <w:rPr>
                <w:b/>
                <w:bCs/>
                <w:sz w:val="22"/>
                <w:szCs w:val="22"/>
              </w:rPr>
              <w:t>SPRENDŽIAMA PROBLEMA</w:t>
            </w:r>
          </w:p>
        </w:tc>
        <w:tc>
          <w:tcPr>
            <w:tcW w:w="8788" w:type="dxa"/>
          </w:tcPr>
          <w:p w14:paraId="5D7D18B2" w14:textId="1F9908D2" w:rsidR="00A1481D" w:rsidRPr="007B365F" w:rsidRDefault="007B365F" w:rsidP="00804FEE">
            <w:pPr>
              <w:spacing w:before="60" w:after="60"/>
              <w:jc w:val="left"/>
              <w:rPr>
                <w:sz w:val="22"/>
                <w:szCs w:val="22"/>
              </w:rPr>
            </w:pPr>
            <w:r w:rsidRPr="007B365F">
              <w:rPr>
                <w:color w:val="000000" w:themeColor="text1"/>
                <w:sz w:val="22"/>
                <w:szCs w:val="22"/>
              </w:rPr>
              <w:t xml:space="preserve">Projektų paketas neskirtas spręsti konkrečias viešosios politikos problemas; juo siekiama patikslinti ir patobulinti galiojančias nuostatas aiškumo, tikslumo, konkretumo aspektais </w:t>
            </w:r>
          </w:p>
        </w:tc>
      </w:tr>
    </w:tbl>
    <w:p w14:paraId="2CD3E4F9" w14:textId="5803F767" w:rsidR="00A1481D" w:rsidRPr="00006B11" w:rsidRDefault="00A1481D">
      <w:pPr>
        <w:rPr>
          <w:sz w:val="22"/>
          <w:szCs w:val="22"/>
        </w:rPr>
      </w:pPr>
    </w:p>
    <w:tbl>
      <w:tblPr>
        <w:tblStyle w:val="TableGrid"/>
        <w:tblW w:w="10768" w:type="dxa"/>
        <w:tblLook w:val="04A0" w:firstRow="1" w:lastRow="0" w:firstColumn="1" w:lastColumn="0" w:noHBand="0" w:noVBand="1"/>
      </w:tblPr>
      <w:tblGrid>
        <w:gridCol w:w="3256"/>
        <w:gridCol w:w="7512"/>
      </w:tblGrid>
      <w:tr w:rsidR="00A1481D" w:rsidRPr="00006B11" w14:paraId="5A9A455E" w14:textId="77777777" w:rsidTr="008E1A5B">
        <w:tc>
          <w:tcPr>
            <w:tcW w:w="3256" w:type="dxa"/>
            <w:shd w:val="clear" w:color="auto" w:fill="D9E2F3" w:themeFill="accent1" w:themeFillTint="33"/>
          </w:tcPr>
          <w:p w14:paraId="456FB585" w14:textId="23DB147F" w:rsidR="00A1481D" w:rsidRPr="00006B11" w:rsidRDefault="00A1481D" w:rsidP="007E5D9D">
            <w:pPr>
              <w:spacing w:before="60" w:after="60"/>
              <w:jc w:val="left"/>
              <w:rPr>
                <w:sz w:val="22"/>
                <w:szCs w:val="22"/>
              </w:rPr>
            </w:pPr>
            <w:r w:rsidRPr="00006B11">
              <w:rPr>
                <w:b/>
                <w:bCs/>
                <w:sz w:val="22"/>
                <w:szCs w:val="22"/>
              </w:rPr>
              <w:t>P</w:t>
            </w:r>
            <w:r w:rsidR="00CC64F2">
              <w:rPr>
                <w:b/>
                <w:bCs/>
                <w:sz w:val="22"/>
                <w:szCs w:val="22"/>
              </w:rPr>
              <w:t>OREIKĮ KEISTI REGULIAVIM</w:t>
            </w:r>
            <w:r w:rsidR="007E5D9D">
              <w:rPr>
                <w:b/>
                <w:bCs/>
                <w:sz w:val="22"/>
                <w:szCs w:val="22"/>
              </w:rPr>
              <w:t>Ą INDIKUOJANTYS SUBJEKTAI IR (AR) ŠALTINIAI</w:t>
            </w:r>
          </w:p>
        </w:tc>
        <w:tc>
          <w:tcPr>
            <w:tcW w:w="7512" w:type="dxa"/>
            <w:shd w:val="clear" w:color="auto" w:fill="D9E2F3" w:themeFill="accent1" w:themeFillTint="33"/>
          </w:tcPr>
          <w:p w14:paraId="69937FCA" w14:textId="48166FD1" w:rsidR="00A1481D" w:rsidRPr="00006B11" w:rsidRDefault="00A1481D" w:rsidP="0040729D">
            <w:pPr>
              <w:spacing w:before="60" w:after="60"/>
              <w:rPr>
                <w:sz w:val="22"/>
                <w:szCs w:val="22"/>
              </w:rPr>
            </w:pPr>
            <w:r w:rsidRPr="00006B11">
              <w:rPr>
                <w:b/>
                <w:bCs/>
                <w:sz w:val="22"/>
                <w:szCs w:val="22"/>
              </w:rPr>
              <w:t>DUOMENYS / ĮRODYMAI</w:t>
            </w:r>
          </w:p>
        </w:tc>
      </w:tr>
      <w:tr w:rsidR="008D5428" w:rsidRPr="00006B11" w14:paraId="61A12A67" w14:textId="77777777" w:rsidTr="007C064A">
        <w:trPr>
          <w:trHeight w:val="712"/>
        </w:trPr>
        <w:tc>
          <w:tcPr>
            <w:tcW w:w="3256" w:type="dxa"/>
          </w:tcPr>
          <w:p w14:paraId="625CDD6C" w14:textId="2C004917" w:rsidR="008D5428" w:rsidRPr="00006B11" w:rsidRDefault="008D5428" w:rsidP="000531DA">
            <w:pPr>
              <w:jc w:val="left"/>
              <w:rPr>
                <w:i/>
                <w:iCs/>
                <w:sz w:val="22"/>
                <w:szCs w:val="22"/>
              </w:rPr>
            </w:pPr>
            <w:r w:rsidRPr="007E5D9D">
              <w:rPr>
                <w:sz w:val="22"/>
                <w:szCs w:val="22"/>
              </w:rPr>
              <w:t>□</w:t>
            </w:r>
            <w:r>
              <w:rPr>
                <w:sz w:val="22"/>
                <w:szCs w:val="22"/>
              </w:rPr>
              <w:t xml:space="preserve"> Vyriausybės programa</w:t>
            </w:r>
          </w:p>
          <w:p w14:paraId="1FA7682E" w14:textId="77777777" w:rsidR="008D5428" w:rsidRDefault="008D5428" w:rsidP="00D44436">
            <w:pPr>
              <w:shd w:val="clear" w:color="auto" w:fill="FFFFFF"/>
              <w:jc w:val="left"/>
              <w:rPr>
                <w:bCs/>
                <w:sz w:val="22"/>
                <w:szCs w:val="22"/>
              </w:rPr>
            </w:pPr>
            <w:r w:rsidRPr="007E5D9D">
              <w:rPr>
                <w:sz w:val="22"/>
                <w:szCs w:val="22"/>
              </w:rPr>
              <w:t>□</w:t>
            </w:r>
            <w:r>
              <w:rPr>
                <w:sz w:val="22"/>
                <w:szCs w:val="22"/>
              </w:rPr>
              <w:t xml:space="preserve"> </w:t>
            </w:r>
            <w:r>
              <w:rPr>
                <w:bCs/>
                <w:sz w:val="22"/>
                <w:szCs w:val="22"/>
              </w:rPr>
              <w:t>Teisinio reguliavimo nesuderinamumas</w:t>
            </w:r>
          </w:p>
          <w:p w14:paraId="16A3AE05" w14:textId="74546E6C" w:rsidR="008D5428" w:rsidRPr="00006B11" w:rsidRDefault="008D5428" w:rsidP="00D44436">
            <w:pPr>
              <w:shd w:val="clear" w:color="auto" w:fill="FFFFFF"/>
              <w:jc w:val="left"/>
              <w:rPr>
                <w:i/>
                <w:iCs/>
                <w:sz w:val="22"/>
                <w:szCs w:val="22"/>
              </w:rPr>
            </w:pPr>
            <w:r w:rsidRPr="007E5D9D">
              <w:rPr>
                <w:sz w:val="22"/>
                <w:szCs w:val="22"/>
              </w:rPr>
              <w:t>□</w:t>
            </w:r>
            <w:r>
              <w:rPr>
                <w:sz w:val="22"/>
                <w:szCs w:val="22"/>
              </w:rPr>
              <w:t xml:space="preserve"> Praktinės taikymo problemos</w:t>
            </w:r>
          </w:p>
        </w:tc>
        <w:tc>
          <w:tcPr>
            <w:tcW w:w="7512" w:type="dxa"/>
            <w:shd w:val="clear" w:color="auto" w:fill="auto"/>
          </w:tcPr>
          <w:p w14:paraId="11C807AC" w14:textId="07F5EA62" w:rsidR="008D5428" w:rsidRPr="00CF0FAC" w:rsidRDefault="008D5428" w:rsidP="008D5428">
            <w:pPr>
              <w:pStyle w:val="ListParagraph"/>
              <w:numPr>
                <w:ilvl w:val="0"/>
                <w:numId w:val="6"/>
              </w:numPr>
              <w:spacing w:before="120" w:after="120"/>
              <w:jc w:val="left"/>
              <w:rPr>
                <w:color w:val="000000" w:themeColor="text1"/>
                <w:sz w:val="22"/>
                <w:szCs w:val="22"/>
              </w:rPr>
            </w:pPr>
            <w:r w:rsidRPr="00CF0FAC">
              <w:rPr>
                <w:sz w:val="22"/>
                <w:szCs w:val="22"/>
              </w:rPr>
              <w:t>Seime įsteigtas Ateities komitetas, kurio vienas iš mandatų tiesiogiai susijęs su strateginio valdymo sistema – „</w:t>
            </w:r>
            <w:r w:rsidRPr="00CF0FAC">
              <w:rPr>
                <w:color w:val="000000"/>
                <w:sz w:val="22"/>
                <w:szCs w:val="22"/>
              </w:rPr>
              <w:t>svarstyti ir teikti Seimui pranešimus, išvadas ir pasiūlymus dėl klausimų, susijusių su valstybės strateginėmis vystymosi kryptimis ir ateities raidos projekcijomis bei veiksniais, turinčiais įtakos valstybės ateities raidai ir plėtros modeliams, taip pat dėl ekonomikos, inovacijų ir technologinės pažangos plėtros skatinimo, ilgalaikės strateginės valstybės raidos vizijos kūrimo ir įgyvendinimo, ateities raidos modeliavimo ir reformų politikos formavimo</w:t>
            </w:r>
            <w:r w:rsidRPr="00CF0FAC">
              <w:rPr>
                <w:color w:val="000000"/>
                <w:sz w:val="22"/>
                <w:szCs w:val="22"/>
              </w:rPr>
              <w:t>“</w:t>
            </w:r>
          </w:p>
          <w:p w14:paraId="2057C159" w14:textId="02999F2F" w:rsidR="008D5428" w:rsidRPr="00CF0FAC" w:rsidRDefault="00CF0FAC" w:rsidP="00CF0FAC">
            <w:pPr>
              <w:pStyle w:val="ListParagraph"/>
              <w:numPr>
                <w:ilvl w:val="0"/>
                <w:numId w:val="6"/>
              </w:numPr>
              <w:spacing w:before="120" w:after="120"/>
              <w:jc w:val="left"/>
              <w:rPr>
                <w:i/>
                <w:iCs/>
                <w:color w:val="000000" w:themeColor="text1"/>
                <w:sz w:val="22"/>
                <w:szCs w:val="22"/>
              </w:rPr>
            </w:pPr>
            <w:r w:rsidRPr="00CF0FAC">
              <w:rPr>
                <w:sz w:val="22"/>
                <w:szCs w:val="22"/>
              </w:rPr>
              <w:t>2021 m. balandžio 21 d. Seimo valdybos sprendimu sudaryta darbo grupė iš Seimo ir Vyriausybės atstovų Strateginio valdymo įstatymo nuostatoms tobulinto</w:t>
            </w:r>
          </w:p>
        </w:tc>
      </w:tr>
    </w:tbl>
    <w:p w14:paraId="44E40FC2" w14:textId="77777777" w:rsidR="00E40C92" w:rsidRPr="00006B11" w:rsidRDefault="00E40C92">
      <w:pPr>
        <w:rPr>
          <w:sz w:val="22"/>
          <w:szCs w:val="22"/>
        </w:rPr>
      </w:pPr>
    </w:p>
    <w:tbl>
      <w:tblPr>
        <w:tblStyle w:val="TableGrid"/>
        <w:tblW w:w="0" w:type="auto"/>
        <w:tblLook w:val="04A0" w:firstRow="1" w:lastRow="0" w:firstColumn="1" w:lastColumn="0" w:noHBand="0" w:noVBand="1"/>
      </w:tblPr>
      <w:tblGrid>
        <w:gridCol w:w="10763"/>
      </w:tblGrid>
      <w:tr w:rsidR="00E40C92" w:rsidRPr="00006B11" w14:paraId="4294DD61" w14:textId="77777777" w:rsidTr="00E40C92">
        <w:tc>
          <w:tcPr>
            <w:tcW w:w="10763" w:type="dxa"/>
            <w:shd w:val="clear" w:color="auto" w:fill="D9E2F3" w:themeFill="accent1" w:themeFillTint="33"/>
          </w:tcPr>
          <w:p w14:paraId="18CB1943" w14:textId="7DB8E03F" w:rsidR="00E40C92" w:rsidRPr="00006B11" w:rsidRDefault="00E40C92" w:rsidP="00E40C92">
            <w:pPr>
              <w:spacing w:before="60" w:after="60"/>
              <w:rPr>
                <w:sz w:val="22"/>
                <w:szCs w:val="22"/>
              </w:rPr>
            </w:pPr>
            <w:r w:rsidRPr="00006B11">
              <w:rPr>
                <w:b/>
                <w:bCs/>
                <w:sz w:val="22"/>
                <w:szCs w:val="22"/>
              </w:rPr>
              <w:t>SIŪLOMOS PROBLEMOS SPRENDIMO PRIEMONĖS</w:t>
            </w:r>
          </w:p>
        </w:tc>
      </w:tr>
      <w:tr w:rsidR="008461E5" w:rsidRPr="00006B11" w14:paraId="7D5ACEB9" w14:textId="77777777" w:rsidTr="00E40C92">
        <w:tc>
          <w:tcPr>
            <w:tcW w:w="10763" w:type="dxa"/>
            <w:shd w:val="clear" w:color="auto" w:fill="D9E2F3" w:themeFill="accent1" w:themeFillTint="33"/>
          </w:tcPr>
          <w:p w14:paraId="11A50FEE" w14:textId="77777777" w:rsidR="007B365F" w:rsidRDefault="008461E5" w:rsidP="007B365F">
            <w:pPr>
              <w:spacing w:before="120" w:after="60"/>
              <w:rPr>
                <w:b/>
                <w:bCs/>
                <w:sz w:val="22"/>
                <w:szCs w:val="22"/>
              </w:rPr>
            </w:pPr>
            <w:r w:rsidRPr="00006B11">
              <w:rPr>
                <w:b/>
                <w:bCs/>
                <w:sz w:val="22"/>
                <w:szCs w:val="22"/>
              </w:rPr>
              <w:t>DALYKINIS KOMENTARAS</w:t>
            </w:r>
          </w:p>
          <w:p w14:paraId="455C950D" w14:textId="36BE2C78" w:rsidR="007B365F" w:rsidRDefault="007B365F" w:rsidP="007B365F">
            <w:pPr>
              <w:spacing w:before="120" w:after="60"/>
              <w:rPr>
                <w:sz w:val="22"/>
                <w:szCs w:val="22"/>
              </w:rPr>
            </w:pPr>
            <w:r>
              <w:rPr>
                <w:sz w:val="22"/>
                <w:szCs w:val="22"/>
              </w:rPr>
              <w:t>Strateginio valdymo įstatymas, įteisinantis strateginio valdymo reformą, įsigaliojo</w:t>
            </w:r>
            <w:r>
              <w:rPr>
                <w:sz w:val="22"/>
                <w:szCs w:val="22"/>
              </w:rPr>
              <w:t xml:space="preserve"> </w:t>
            </w:r>
            <w:r>
              <w:rPr>
                <w:sz w:val="22"/>
                <w:szCs w:val="22"/>
              </w:rPr>
              <w:t>tik 2021-01-01 ir yra keičiamas nepraėjus nei metams nuo jo įsigaliojimo. Keitimą paskatino 2020 m. pabaigoje veiklą pradėjęs naujos kadencijos Seimas – įsteigtas Seimo Ateities komitetas, kuris pagal jam suteiktą mandatą įsitraukia į strateginio valdymo procesus valstybėje. Bet kartu įstatymo projekte atlieka</w:t>
            </w:r>
            <w:r>
              <w:rPr>
                <w:sz w:val="22"/>
                <w:szCs w:val="22"/>
              </w:rPr>
              <w:t>ma</w:t>
            </w:r>
            <w:r>
              <w:rPr>
                <w:sz w:val="22"/>
                <w:szCs w:val="22"/>
              </w:rPr>
              <w:t xml:space="preserve"> smulkių redakcinių patikslinimų, kas suponuoja, kad rengiant įstatymą 2017–2019 m. ne visi aspektai buvo visapusiškai permąstyti praktinio įgyvendinimo aspektu, todėl vos tik įsigaliojus įstatymui iškilo poreikis jį tikslinti. Siūlomi pakeitimai iš esmės nekeičia jau įtvirtintos strateginio valdymo sistemos, todėl prisitaikymas prie jų iš strateginio valdymo sistemos dalyvių nepareikalaus reikšmingesnių kaštų.</w:t>
            </w:r>
          </w:p>
          <w:p w14:paraId="0BCEF788" w14:textId="77777777" w:rsidR="007B365F" w:rsidRDefault="007B365F" w:rsidP="007B365F">
            <w:pPr>
              <w:spacing w:before="120" w:after="60"/>
              <w:rPr>
                <w:sz w:val="22"/>
                <w:szCs w:val="22"/>
              </w:rPr>
            </w:pPr>
            <w:r>
              <w:rPr>
                <w:sz w:val="22"/>
                <w:szCs w:val="22"/>
              </w:rPr>
              <w:t>Viešojo administravimo įstatymo pakeitimai, kuriais atsisakoma konkrečių viešųjų įstaigų pavadinimų įvardijimo įstatymuose, sudarys prielaidas mažinti keičiamų įstatymų skaičių ir keitimo dažnį. Todėl toks pakeitimas vertintinas teigiamai.</w:t>
            </w:r>
          </w:p>
          <w:p w14:paraId="530B5500" w14:textId="29158462" w:rsidR="00DC3B49" w:rsidRDefault="007B365F" w:rsidP="007B365F">
            <w:pPr>
              <w:spacing w:before="60" w:after="60"/>
              <w:rPr>
                <w:sz w:val="22"/>
                <w:szCs w:val="22"/>
              </w:rPr>
            </w:pPr>
            <w:r>
              <w:rPr>
                <w:sz w:val="22"/>
                <w:szCs w:val="22"/>
              </w:rPr>
              <w:t xml:space="preserve">Investicijų </w:t>
            </w:r>
            <w:r>
              <w:rPr>
                <w:sz w:val="22"/>
                <w:szCs w:val="22"/>
              </w:rPr>
              <w:t xml:space="preserve">ir Žemės </w:t>
            </w:r>
            <w:r>
              <w:rPr>
                <w:sz w:val="22"/>
                <w:szCs w:val="22"/>
              </w:rPr>
              <w:t>įstatym</w:t>
            </w:r>
            <w:r>
              <w:rPr>
                <w:sz w:val="22"/>
                <w:szCs w:val="22"/>
              </w:rPr>
              <w:t>ai tikslinami juos suderinant su Strateginio valdymo įstatymo nuostatomis</w:t>
            </w:r>
            <w:r w:rsidR="00105859">
              <w:rPr>
                <w:sz w:val="22"/>
                <w:szCs w:val="22"/>
              </w:rPr>
              <w:t>, siekiant nuoseklaus reguliavimo</w:t>
            </w:r>
            <w:r>
              <w:rPr>
                <w:sz w:val="22"/>
                <w:szCs w:val="22"/>
              </w:rPr>
              <w:t>.</w:t>
            </w:r>
          </w:p>
          <w:p w14:paraId="276630E9" w14:textId="77777777" w:rsidR="00105859" w:rsidRDefault="00105859" w:rsidP="007B365F">
            <w:pPr>
              <w:spacing w:before="60" w:after="60"/>
              <w:rPr>
                <w:sz w:val="22"/>
                <w:szCs w:val="22"/>
              </w:rPr>
            </w:pPr>
            <w:r>
              <w:rPr>
                <w:sz w:val="22"/>
                <w:szCs w:val="22"/>
              </w:rPr>
              <w:t xml:space="preserve">Regionų plėtros įstatymas taip pat derinamas su </w:t>
            </w:r>
            <w:r>
              <w:rPr>
                <w:sz w:val="22"/>
                <w:szCs w:val="22"/>
              </w:rPr>
              <w:t>Strateginio valdymo įstatymo nuostatomis</w:t>
            </w:r>
            <w:r>
              <w:rPr>
                <w:sz w:val="22"/>
                <w:szCs w:val="22"/>
              </w:rPr>
              <w:t xml:space="preserve"> bei atitinkamos nuostatos yra tikslinamos, konkretinamos, atsižvelgiant į taikymo metu atsiradusius neaiškumus ir netikslumus, siekiant regionų plėtros taryboms užtikrinti maksimalų aiškumą jų veikloje.</w:t>
            </w:r>
          </w:p>
          <w:p w14:paraId="4923CC20" w14:textId="2FAF81E5" w:rsidR="00105859" w:rsidRPr="00105859" w:rsidRDefault="00105859" w:rsidP="007B365F">
            <w:pPr>
              <w:spacing w:before="60" w:after="60"/>
              <w:rPr>
                <w:sz w:val="22"/>
                <w:szCs w:val="22"/>
              </w:rPr>
            </w:pPr>
            <w:r>
              <w:rPr>
                <w:sz w:val="22"/>
                <w:szCs w:val="22"/>
              </w:rPr>
              <w:t>Nacionalinio saugumo pagrindų įstatymas keičiamas siekiant patikslinti įstatymu sureguliuotą Nacionalinės saugumo strategijos turinį (elementus), kad jis labiau atitiktų nūdienos poreikius.</w:t>
            </w:r>
          </w:p>
        </w:tc>
      </w:tr>
      <w:tr w:rsidR="00D05D3C" w:rsidRPr="00006B11" w14:paraId="28C61528" w14:textId="77777777" w:rsidTr="00D05D3C">
        <w:tc>
          <w:tcPr>
            <w:tcW w:w="10763" w:type="dxa"/>
            <w:shd w:val="clear" w:color="auto" w:fill="FFFFFF" w:themeFill="background1"/>
          </w:tcPr>
          <w:p w14:paraId="5EFCF043" w14:textId="77777777" w:rsidR="00105859" w:rsidRDefault="00105859" w:rsidP="00105859">
            <w:pPr>
              <w:rPr>
                <w:sz w:val="22"/>
                <w:szCs w:val="22"/>
              </w:rPr>
            </w:pPr>
            <w:r>
              <w:rPr>
                <w:sz w:val="22"/>
                <w:szCs w:val="22"/>
              </w:rPr>
              <w:t>Strateginio valdymo įstatymas:</w:t>
            </w:r>
          </w:p>
          <w:p w14:paraId="289A2DBB" w14:textId="57DA0536" w:rsidR="00105859" w:rsidRDefault="007C064A" w:rsidP="00105859">
            <w:pPr>
              <w:pStyle w:val="ListParagraph"/>
              <w:numPr>
                <w:ilvl w:val="0"/>
                <w:numId w:val="15"/>
              </w:numPr>
              <w:rPr>
                <w:sz w:val="22"/>
                <w:szCs w:val="22"/>
              </w:rPr>
            </w:pPr>
            <w:r>
              <w:rPr>
                <w:sz w:val="22"/>
                <w:szCs w:val="22"/>
              </w:rPr>
              <w:t>P</w:t>
            </w:r>
            <w:r w:rsidR="00105859">
              <w:rPr>
                <w:sz w:val="22"/>
                <w:szCs w:val="22"/>
              </w:rPr>
              <w:t>lanavimo dokumentų lygmenys šalia strateginio, programavimo ir veiklos papildomi nauju lygmeniu – valstybės strategijos. Šiam lygmeniui bus priskiriama Valstybės pažangos strategija, Nacionalinio saugumo strategija, Lietuvos Respublikos teritorijos bendrojo plano koncepcija. Šiuos dokumentus tvirtins Seimas. Iki šiol buvusioje redakcijoje trūko Seimo prerogatyvai priklausančių dokumentų.</w:t>
            </w:r>
          </w:p>
          <w:p w14:paraId="3DD92E48" w14:textId="77777777" w:rsidR="00105859" w:rsidRDefault="00105859" w:rsidP="00105859">
            <w:pPr>
              <w:pStyle w:val="ListParagraph"/>
              <w:numPr>
                <w:ilvl w:val="0"/>
                <w:numId w:val="15"/>
              </w:numPr>
              <w:rPr>
                <w:sz w:val="22"/>
                <w:szCs w:val="22"/>
              </w:rPr>
            </w:pPr>
            <w:r>
              <w:rPr>
                <w:sz w:val="22"/>
                <w:szCs w:val="22"/>
              </w:rPr>
              <w:t>Strateginio valdymo sistemos principai papildomi nauju – ateities vertinimo – principu. Ateities įžvalgos bus taikomos rengiant planavimo dokumentus. Numatoma, kad STRATA bus atsakinga už ateities įžvalgų dalį rengiant Valstybės pažangos strategiją ir Nacionalinį pažangos planą.</w:t>
            </w:r>
          </w:p>
          <w:p w14:paraId="4FD167B5" w14:textId="77777777" w:rsidR="00105859" w:rsidRDefault="00105859" w:rsidP="00105859">
            <w:pPr>
              <w:pStyle w:val="ListParagraph"/>
              <w:numPr>
                <w:ilvl w:val="0"/>
                <w:numId w:val="15"/>
              </w:numPr>
              <w:rPr>
                <w:sz w:val="22"/>
                <w:szCs w:val="22"/>
              </w:rPr>
            </w:pPr>
            <w:r>
              <w:rPr>
                <w:sz w:val="22"/>
                <w:szCs w:val="22"/>
              </w:rPr>
              <w:t>Įteisinama strateginių projektų portfelio sąvoka, kuri apibrėžiama kaip Ministro Pirmininko koordinuojamų projektų visuma.</w:t>
            </w:r>
          </w:p>
          <w:p w14:paraId="2F8465A5" w14:textId="77777777" w:rsidR="00105859" w:rsidRDefault="00105859" w:rsidP="00105859">
            <w:pPr>
              <w:pStyle w:val="ListParagraph"/>
              <w:numPr>
                <w:ilvl w:val="0"/>
                <w:numId w:val="15"/>
              </w:numPr>
              <w:rPr>
                <w:sz w:val="22"/>
                <w:szCs w:val="22"/>
              </w:rPr>
            </w:pPr>
            <w:r>
              <w:rPr>
                <w:sz w:val="22"/>
                <w:szCs w:val="22"/>
              </w:rPr>
              <w:t>Nustatoma, kad NPP strateginiams tikslams ir jų poveikio rodikliams pritaria Seimas.</w:t>
            </w:r>
          </w:p>
          <w:p w14:paraId="053C2B15" w14:textId="77777777" w:rsidR="00105859" w:rsidRDefault="00105859" w:rsidP="00105859">
            <w:pPr>
              <w:pStyle w:val="ListParagraph"/>
              <w:numPr>
                <w:ilvl w:val="0"/>
                <w:numId w:val="15"/>
              </w:numPr>
              <w:rPr>
                <w:sz w:val="22"/>
                <w:szCs w:val="22"/>
              </w:rPr>
            </w:pPr>
            <w:r>
              <w:rPr>
                <w:sz w:val="22"/>
                <w:szCs w:val="22"/>
              </w:rPr>
              <w:t>Įtvirtinama, kad Valstybės pažangos strategija rengiama bendradarbiaujant su Seimu.</w:t>
            </w:r>
          </w:p>
          <w:p w14:paraId="704D8AAF" w14:textId="77777777" w:rsidR="00105859" w:rsidRDefault="00105859" w:rsidP="00105859">
            <w:pPr>
              <w:pStyle w:val="ListParagraph"/>
              <w:numPr>
                <w:ilvl w:val="0"/>
                <w:numId w:val="15"/>
              </w:numPr>
              <w:rPr>
                <w:sz w:val="22"/>
                <w:szCs w:val="22"/>
              </w:rPr>
            </w:pPr>
            <w:r>
              <w:rPr>
                <w:sz w:val="22"/>
                <w:szCs w:val="22"/>
              </w:rPr>
              <w:t>Nustatoma, kad Seimo patvirtintos Nacionalinės energetinės nepriklausomybės strategija ir Nacionalinė aplinkos apsaugos strategija laikomos nacionalinės darbotvarkėmis šiuos dokumentus inkorporuojant į strateginio valdymo sistemą.</w:t>
            </w:r>
          </w:p>
          <w:p w14:paraId="69CE5568" w14:textId="77777777" w:rsidR="00105859" w:rsidRDefault="00105859" w:rsidP="00105859">
            <w:pPr>
              <w:rPr>
                <w:sz w:val="22"/>
                <w:szCs w:val="22"/>
              </w:rPr>
            </w:pPr>
            <w:r>
              <w:rPr>
                <w:sz w:val="22"/>
                <w:szCs w:val="22"/>
              </w:rPr>
              <w:t>Viešojo administravimo įstatymas:</w:t>
            </w:r>
          </w:p>
          <w:p w14:paraId="57D0B024" w14:textId="77777777" w:rsidR="00105859" w:rsidRDefault="00105859" w:rsidP="00105859">
            <w:pPr>
              <w:pStyle w:val="ListParagraph"/>
              <w:numPr>
                <w:ilvl w:val="0"/>
                <w:numId w:val="16"/>
              </w:numPr>
              <w:rPr>
                <w:sz w:val="22"/>
                <w:szCs w:val="22"/>
              </w:rPr>
            </w:pPr>
            <w:r>
              <w:rPr>
                <w:sz w:val="22"/>
                <w:szCs w:val="22"/>
              </w:rPr>
              <w:t>Nustatoma, kad, siekiant viešosioms įstaigoms, kurių savininkė yra valstybė, viešojo administravimo įgaliojimus, nebus reikalaujama tai nustatyti įstatymu. Įgaliojimai galės būti suteikiami Vyriausybės nutarimu.</w:t>
            </w:r>
          </w:p>
          <w:p w14:paraId="2DDD95BC" w14:textId="5C12C9B3" w:rsidR="00D05D3C" w:rsidRPr="00105859" w:rsidRDefault="00105859" w:rsidP="00105859">
            <w:pPr>
              <w:pStyle w:val="ListParagraph"/>
              <w:numPr>
                <w:ilvl w:val="0"/>
                <w:numId w:val="16"/>
              </w:numPr>
              <w:rPr>
                <w:sz w:val="22"/>
                <w:szCs w:val="22"/>
              </w:rPr>
            </w:pPr>
            <w:r w:rsidRPr="00105859">
              <w:rPr>
                <w:sz w:val="22"/>
                <w:szCs w:val="22"/>
              </w:rPr>
              <w:t>Viešosioms įstaigoms, kurių savininkė yra savivaldybė, suteikiami konkretūs viešojo administravimo įgaliojimai turės būti suteikiami įstatymu, tačiau nebus reikalaujama, kad įstatyme būtų įvardyta ir konkreti viešoji įstaiga.</w:t>
            </w:r>
          </w:p>
        </w:tc>
      </w:tr>
    </w:tbl>
    <w:p w14:paraId="72249CDC" w14:textId="19B43A8A" w:rsidR="00801F71" w:rsidRPr="00006B11" w:rsidRDefault="00801F71">
      <w:pPr>
        <w:rPr>
          <w:sz w:val="22"/>
          <w:szCs w:val="22"/>
        </w:rPr>
      </w:pPr>
    </w:p>
    <w:tbl>
      <w:tblPr>
        <w:tblStyle w:val="TableGrid"/>
        <w:tblW w:w="0" w:type="auto"/>
        <w:tblLook w:val="04A0" w:firstRow="1" w:lastRow="0" w:firstColumn="1" w:lastColumn="0" w:noHBand="0" w:noVBand="1"/>
      </w:tblPr>
      <w:tblGrid>
        <w:gridCol w:w="10763"/>
      </w:tblGrid>
      <w:tr w:rsidR="00E40C92" w:rsidRPr="00006B11" w14:paraId="3813100D" w14:textId="77777777" w:rsidTr="00E40C92">
        <w:tc>
          <w:tcPr>
            <w:tcW w:w="10763" w:type="dxa"/>
            <w:shd w:val="clear" w:color="auto" w:fill="D9E2F3" w:themeFill="accent1" w:themeFillTint="33"/>
          </w:tcPr>
          <w:p w14:paraId="38C3514F" w14:textId="2646446F" w:rsidR="00FA6EE7" w:rsidRPr="00006B11" w:rsidRDefault="00956918">
            <w:pPr>
              <w:rPr>
                <w:b/>
                <w:bCs/>
                <w:sz w:val="22"/>
                <w:szCs w:val="22"/>
              </w:rPr>
            </w:pPr>
            <w:r>
              <w:rPr>
                <w:b/>
                <w:bCs/>
                <w:sz w:val="22"/>
                <w:szCs w:val="22"/>
              </w:rPr>
              <w:t xml:space="preserve">SPRENDIMO </w:t>
            </w:r>
            <w:r w:rsidR="00E40C92" w:rsidRPr="00006B11">
              <w:rPr>
                <w:b/>
                <w:bCs/>
                <w:sz w:val="22"/>
                <w:szCs w:val="22"/>
              </w:rPr>
              <w:t>ĮGYVENDINIMO KAŠTAI</w:t>
            </w:r>
          </w:p>
        </w:tc>
      </w:tr>
      <w:tr w:rsidR="00721E4F" w:rsidRPr="00006B11" w14:paraId="5A3FCA39" w14:textId="77777777" w:rsidTr="00E40C92">
        <w:tc>
          <w:tcPr>
            <w:tcW w:w="10763" w:type="dxa"/>
            <w:shd w:val="clear" w:color="auto" w:fill="D9E2F3" w:themeFill="accent1" w:themeFillTint="33"/>
          </w:tcPr>
          <w:p w14:paraId="5DA0A8DF" w14:textId="77777777" w:rsidR="00721E4F" w:rsidRDefault="00721E4F">
            <w:pPr>
              <w:rPr>
                <w:b/>
                <w:bCs/>
                <w:sz w:val="22"/>
                <w:szCs w:val="22"/>
              </w:rPr>
            </w:pPr>
            <w:r w:rsidRPr="00006B11">
              <w:rPr>
                <w:b/>
                <w:bCs/>
                <w:sz w:val="22"/>
                <w:szCs w:val="22"/>
              </w:rPr>
              <w:t>DALYKINIS KOMENTARAS</w:t>
            </w:r>
          </w:p>
          <w:p w14:paraId="777B625A" w14:textId="77777777" w:rsidR="00105859" w:rsidRDefault="00105859" w:rsidP="00105859">
            <w:pPr>
              <w:spacing w:after="120"/>
              <w:rPr>
                <w:sz w:val="22"/>
                <w:szCs w:val="22"/>
              </w:rPr>
            </w:pPr>
            <w:r>
              <w:rPr>
                <w:sz w:val="22"/>
                <w:szCs w:val="22"/>
              </w:rPr>
              <w:t>Strateginio valdymo įstatyme siūlomi pakeitimai iš esmės nekeičia jau įtvirtintos strateginio valdymo sistemos, todėl prisitaikymas prie jų iš strateginio valdymo sistemos dalyvių nepareikalaus prisitaikymo sąnaudų.</w:t>
            </w:r>
          </w:p>
          <w:p w14:paraId="2E3C4C17" w14:textId="7ACBD8C0" w:rsidR="00105859" w:rsidRPr="00006B11" w:rsidRDefault="00105859" w:rsidP="00105859">
            <w:pPr>
              <w:rPr>
                <w:b/>
                <w:bCs/>
                <w:sz w:val="22"/>
                <w:szCs w:val="22"/>
              </w:rPr>
            </w:pPr>
            <w:r>
              <w:rPr>
                <w:sz w:val="22"/>
                <w:szCs w:val="22"/>
              </w:rPr>
              <w:t>Viešojo administravimo įstatyme nustatomas informacinis įpareigojimas</w:t>
            </w:r>
            <w:r w:rsidR="001611B6">
              <w:rPr>
                <w:sz w:val="22"/>
                <w:szCs w:val="22"/>
              </w:rPr>
              <w:t xml:space="preserve"> </w:t>
            </w:r>
            <w:r>
              <w:rPr>
                <w:sz w:val="22"/>
                <w:szCs w:val="22"/>
              </w:rPr>
              <w:t xml:space="preserve">savivaldybių taryboms savo sprendimu nustatyti (įvardyti) konkrečią viešąją įstaigą, kuriai pavedama vykdyti įstatyme nustatytus viešojo administravimo įgaliojimus. </w:t>
            </w:r>
            <w:r w:rsidR="001611B6">
              <w:rPr>
                <w:sz w:val="22"/>
                <w:szCs w:val="22"/>
              </w:rPr>
              <w:t>Vyriausybės kanceliarijos ekspertiniu vertinimu, vieno tokio savivaldybės tarybos sprendimo parengimas ir suderinimas (iki ji pateikimo svarstyti savivaldybės tarybos posėdyje) vidutiniškai galėtų „kainuoti“ iki 600 eurų, vertinant darbui atlikti reikalingą laiką ir vidutinį darbo užmokestį (vertinta pagal Vilniaus m. savivaldybės darbo užmokesčių dydį, todėl nurodyta apytikslė suma būtų maksimali). Tikėtina, kad tokie sprendimai nebūtų rengiami labai dažnai, todėl itin reikšmingos laiko ir žmogiškųjų išteklių sąnaudos nesusidarytų.</w:t>
            </w:r>
          </w:p>
        </w:tc>
      </w:tr>
    </w:tbl>
    <w:p w14:paraId="7D415625" w14:textId="25A33911" w:rsidR="00A1481D" w:rsidRPr="00006B11" w:rsidRDefault="00A1481D">
      <w:pPr>
        <w:rPr>
          <w:sz w:val="22"/>
          <w:szCs w:val="22"/>
        </w:rPr>
      </w:pPr>
    </w:p>
    <w:tbl>
      <w:tblPr>
        <w:tblStyle w:val="TableGrid"/>
        <w:tblW w:w="0" w:type="auto"/>
        <w:tblLook w:val="04A0" w:firstRow="1" w:lastRow="0" w:firstColumn="1" w:lastColumn="0" w:noHBand="0" w:noVBand="1"/>
      </w:tblPr>
      <w:tblGrid>
        <w:gridCol w:w="10763"/>
      </w:tblGrid>
      <w:tr w:rsidR="00E40C92" w:rsidRPr="00006B11" w14:paraId="648A83EB" w14:textId="77777777" w:rsidTr="00E40C92">
        <w:tc>
          <w:tcPr>
            <w:tcW w:w="10763" w:type="dxa"/>
            <w:shd w:val="clear" w:color="auto" w:fill="D9E2F3" w:themeFill="accent1" w:themeFillTint="33"/>
          </w:tcPr>
          <w:p w14:paraId="6B48D7C5" w14:textId="02A81C6E" w:rsidR="00FA6EE7" w:rsidRPr="00006B11" w:rsidRDefault="000F5003">
            <w:pPr>
              <w:rPr>
                <w:b/>
                <w:bCs/>
                <w:sz w:val="22"/>
                <w:szCs w:val="22"/>
              </w:rPr>
            </w:pPr>
            <w:r>
              <w:rPr>
                <w:b/>
                <w:bCs/>
                <w:sz w:val="22"/>
                <w:szCs w:val="22"/>
              </w:rPr>
              <w:t xml:space="preserve">SPRENDIMO ĮGYVENDINIMO </w:t>
            </w:r>
            <w:r w:rsidR="00E40C92" w:rsidRPr="00006B11">
              <w:rPr>
                <w:b/>
                <w:bCs/>
                <w:sz w:val="22"/>
                <w:szCs w:val="22"/>
              </w:rPr>
              <w:t>NAUDOS</w:t>
            </w:r>
          </w:p>
        </w:tc>
      </w:tr>
      <w:tr w:rsidR="008461E5" w:rsidRPr="00006B11" w14:paraId="38EBD318" w14:textId="77777777" w:rsidTr="00E40C92">
        <w:tc>
          <w:tcPr>
            <w:tcW w:w="10763" w:type="dxa"/>
            <w:shd w:val="clear" w:color="auto" w:fill="D9E2F3" w:themeFill="accent1" w:themeFillTint="33"/>
          </w:tcPr>
          <w:p w14:paraId="111B713F" w14:textId="77777777" w:rsidR="001611B6" w:rsidRDefault="008461E5" w:rsidP="001611B6">
            <w:pPr>
              <w:spacing w:after="120"/>
              <w:rPr>
                <w:b/>
                <w:bCs/>
                <w:sz w:val="22"/>
                <w:szCs w:val="22"/>
              </w:rPr>
            </w:pPr>
            <w:r w:rsidRPr="00006B11">
              <w:rPr>
                <w:b/>
                <w:bCs/>
                <w:sz w:val="22"/>
                <w:szCs w:val="22"/>
              </w:rPr>
              <w:t>DALYKINIS KOMENTARAS</w:t>
            </w:r>
          </w:p>
          <w:p w14:paraId="3F508219" w14:textId="74E9DB54" w:rsidR="001611B6" w:rsidRDefault="001611B6" w:rsidP="001611B6">
            <w:pPr>
              <w:spacing w:after="120"/>
              <w:rPr>
                <w:sz w:val="22"/>
                <w:szCs w:val="22"/>
              </w:rPr>
            </w:pPr>
            <w:r>
              <w:rPr>
                <w:sz w:val="22"/>
                <w:szCs w:val="22"/>
              </w:rPr>
              <w:t xml:space="preserve">Į strateginio valdymo sistemą – dirbti kartu su Vyriausybe, rengiant ilgalaikes valstybės raidos, pažangos strategines kryptis – įtraukus Lietuvos Respublikos Seimą, </w:t>
            </w:r>
            <w:r w:rsidR="00ED04AD">
              <w:rPr>
                <w:sz w:val="22"/>
                <w:szCs w:val="22"/>
              </w:rPr>
              <w:t xml:space="preserve">pačiai </w:t>
            </w:r>
            <w:r>
              <w:rPr>
                <w:sz w:val="22"/>
                <w:szCs w:val="22"/>
              </w:rPr>
              <w:t xml:space="preserve">sistemai sukuriamas </w:t>
            </w:r>
            <w:r w:rsidR="00ED04AD">
              <w:rPr>
                <w:sz w:val="22"/>
                <w:szCs w:val="22"/>
              </w:rPr>
              <w:t>stiprus tvarumo pagrindas ilgalaikėje perspektyvoje.</w:t>
            </w:r>
          </w:p>
          <w:p w14:paraId="3A3C5DEB" w14:textId="14C7CF41" w:rsidR="008461E5" w:rsidRPr="00006B11" w:rsidRDefault="001611B6" w:rsidP="00ED04AD">
            <w:pPr>
              <w:spacing w:after="120"/>
              <w:rPr>
                <w:b/>
                <w:bCs/>
                <w:sz w:val="22"/>
                <w:szCs w:val="22"/>
              </w:rPr>
            </w:pPr>
            <w:r>
              <w:rPr>
                <w:sz w:val="22"/>
                <w:szCs w:val="22"/>
              </w:rPr>
              <w:t xml:space="preserve">Viešojo administravimo įstatymo pakeitimai leis sutaupyti ministerijų darbuotojų darbo laiką, kuris būtų skiriamas rengti, derinti, tikslinti įstatymų projektus, siekiant viešosioms įstaigoms, kurių savininkė yra valstybė, suteikti viešojo administravimo įgaliojimus. Antra, įgaliojimų suteikimas Vyriausybės nutarimu laiko prasme įvyks greičiau, palyginti su įgaliojimų suteikimu įstatymu, todėl greičiau bus galima pradėti vykdyti konkrečias veiklas ir taip užtikrinti efektyvesnį viešojo sektoriaus veikimą. </w:t>
            </w:r>
          </w:p>
        </w:tc>
      </w:tr>
    </w:tbl>
    <w:p w14:paraId="6B06C532" w14:textId="7DC80745" w:rsidR="00A1481D" w:rsidRPr="00006B11" w:rsidRDefault="00A1481D">
      <w:pPr>
        <w:rPr>
          <w:sz w:val="22"/>
          <w:szCs w:val="22"/>
        </w:rPr>
      </w:pPr>
    </w:p>
    <w:tbl>
      <w:tblPr>
        <w:tblStyle w:val="TableGrid"/>
        <w:tblW w:w="0" w:type="auto"/>
        <w:tblLook w:val="04A0" w:firstRow="1" w:lastRow="0" w:firstColumn="1" w:lastColumn="0" w:noHBand="0" w:noVBand="1"/>
      </w:tblPr>
      <w:tblGrid>
        <w:gridCol w:w="10763"/>
      </w:tblGrid>
      <w:tr w:rsidR="003817E3" w:rsidRPr="00006B11" w14:paraId="7F0A7EDB" w14:textId="77777777" w:rsidTr="003817E3">
        <w:tc>
          <w:tcPr>
            <w:tcW w:w="10763" w:type="dxa"/>
            <w:shd w:val="clear" w:color="auto" w:fill="D9E2F3" w:themeFill="accent1" w:themeFillTint="33"/>
          </w:tcPr>
          <w:p w14:paraId="36D75CA9" w14:textId="75B97123" w:rsidR="003817E3" w:rsidRPr="00006B11" w:rsidRDefault="003817E3" w:rsidP="00265234">
            <w:pPr>
              <w:tabs>
                <w:tab w:val="left" w:pos="5385"/>
              </w:tabs>
              <w:jc w:val="left"/>
              <w:rPr>
                <w:sz w:val="22"/>
                <w:szCs w:val="22"/>
              </w:rPr>
            </w:pPr>
            <w:r w:rsidRPr="00006B11">
              <w:rPr>
                <w:b/>
                <w:bCs/>
                <w:sz w:val="22"/>
                <w:szCs w:val="22"/>
              </w:rPr>
              <w:t>SUINTER</w:t>
            </w:r>
            <w:r w:rsidR="002D3476">
              <w:rPr>
                <w:b/>
                <w:bCs/>
                <w:sz w:val="22"/>
                <w:szCs w:val="22"/>
              </w:rPr>
              <w:t>E</w:t>
            </w:r>
            <w:r w:rsidRPr="00006B11">
              <w:rPr>
                <w:b/>
                <w:bCs/>
                <w:sz w:val="22"/>
                <w:szCs w:val="22"/>
              </w:rPr>
              <w:t xml:space="preserve">SUOTŲ </w:t>
            </w:r>
            <w:r w:rsidR="002D3476">
              <w:rPr>
                <w:b/>
                <w:bCs/>
                <w:sz w:val="22"/>
                <w:szCs w:val="22"/>
              </w:rPr>
              <w:t>ASMEN</w:t>
            </w:r>
            <w:r w:rsidRPr="00006B11">
              <w:rPr>
                <w:b/>
                <w:bCs/>
                <w:sz w:val="22"/>
                <w:szCs w:val="22"/>
              </w:rPr>
              <w:t>Ų ĮTR</w:t>
            </w:r>
            <w:r w:rsidR="00FA6EE7" w:rsidRPr="00006B11">
              <w:rPr>
                <w:b/>
                <w:bCs/>
                <w:sz w:val="22"/>
                <w:szCs w:val="22"/>
              </w:rPr>
              <w:t>A</w:t>
            </w:r>
            <w:r w:rsidRPr="00006B11">
              <w:rPr>
                <w:b/>
                <w:bCs/>
                <w:sz w:val="22"/>
                <w:szCs w:val="22"/>
              </w:rPr>
              <w:t>UKIMAS</w:t>
            </w:r>
          </w:p>
        </w:tc>
      </w:tr>
      <w:tr w:rsidR="00440FA0" w:rsidRPr="00006B11" w14:paraId="7DC987C8" w14:textId="77777777" w:rsidTr="003817E3">
        <w:tc>
          <w:tcPr>
            <w:tcW w:w="10763" w:type="dxa"/>
            <w:shd w:val="clear" w:color="auto" w:fill="D9E2F3" w:themeFill="accent1" w:themeFillTint="33"/>
          </w:tcPr>
          <w:p w14:paraId="507578CF" w14:textId="52F12404" w:rsidR="00ED04AD" w:rsidRDefault="00721E4F" w:rsidP="00265234">
            <w:pPr>
              <w:tabs>
                <w:tab w:val="left" w:pos="5385"/>
              </w:tabs>
              <w:rPr>
                <w:b/>
                <w:bCs/>
                <w:sz w:val="22"/>
                <w:szCs w:val="22"/>
              </w:rPr>
            </w:pPr>
            <w:r w:rsidRPr="00006B11">
              <w:rPr>
                <w:b/>
                <w:bCs/>
                <w:sz w:val="22"/>
                <w:szCs w:val="22"/>
              </w:rPr>
              <w:t>DALYKINIS KOMENTARAS</w:t>
            </w:r>
          </w:p>
          <w:p w14:paraId="49F566C9" w14:textId="23A43E88" w:rsidR="00440FA0" w:rsidRDefault="00ED04AD" w:rsidP="00ED04AD">
            <w:pPr>
              <w:tabs>
                <w:tab w:val="left" w:pos="5385"/>
              </w:tabs>
              <w:spacing w:before="120"/>
              <w:rPr>
                <w:sz w:val="22"/>
                <w:szCs w:val="22"/>
              </w:rPr>
            </w:pPr>
            <w:r>
              <w:rPr>
                <w:sz w:val="22"/>
                <w:szCs w:val="22"/>
              </w:rPr>
              <w:t>Strateginio valdymo įstatymo projekto pakeitimai buvo aptariami ir rengiami Seimo valdybos sudarytoje darbo grupėje, tad, darytina išvada, kad aptariamas projektas jau yra suderintas su pagrindiniu Seimo komitetu ir Seime turėtų būti svarstomas be didesnių trukdžių.</w:t>
            </w:r>
          </w:p>
          <w:p w14:paraId="4F07EADA" w14:textId="52D510C4" w:rsidR="00ED04AD" w:rsidRPr="00ED04AD" w:rsidRDefault="00ED04AD" w:rsidP="00ED04AD">
            <w:pPr>
              <w:tabs>
                <w:tab w:val="left" w:pos="5385"/>
              </w:tabs>
              <w:spacing w:before="120"/>
              <w:rPr>
                <w:sz w:val="22"/>
                <w:szCs w:val="22"/>
              </w:rPr>
            </w:pPr>
            <w:r w:rsidRPr="00ED04AD">
              <w:rPr>
                <w:sz w:val="22"/>
                <w:szCs w:val="22"/>
              </w:rPr>
              <w:t>Platesnių diskusijų su galimai suinteresuotais asmenimis nebuvo rengiama, nes projektų nuostatos platesnio poveikio neturės</w:t>
            </w:r>
            <w:r>
              <w:rPr>
                <w:sz w:val="22"/>
                <w:szCs w:val="22"/>
              </w:rPr>
              <w:t>.</w:t>
            </w:r>
          </w:p>
        </w:tc>
      </w:tr>
    </w:tbl>
    <w:p w14:paraId="04039B23" w14:textId="198208BB" w:rsidR="00FA6EE7" w:rsidRPr="00006B11" w:rsidRDefault="00FA6EE7" w:rsidP="00BA4731">
      <w:pPr>
        <w:tabs>
          <w:tab w:val="left" w:pos="5385"/>
        </w:tabs>
        <w:jc w:val="left"/>
        <w:rPr>
          <w:sz w:val="22"/>
          <w:szCs w:val="22"/>
        </w:rPr>
      </w:pPr>
    </w:p>
    <w:tbl>
      <w:tblPr>
        <w:tblStyle w:val="TableGrid"/>
        <w:tblW w:w="0" w:type="auto"/>
        <w:tblLook w:val="04A0" w:firstRow="1" w:lastRow="0" w:firstColumn="1" w:lastColumn="0" w:noHBand="0" w:noVBand="1"/>
      </w:tblPr>
      <w:tblGrid>
        <w:gridCol w:w="10763"/>
      </w:tblGrid>
      <w:tr w:rsidR="00FA6EE7" w:rsidRPr="00006B11" w14:paraId="0C1C6C6B" w14:textId="77777777" w:rsidTr="00E36CE9">
        <w:tc>
          <w:tcPr>
            <w:tcW w:w="10763" w:type="dxa"/>
            <w:shd w:val="clear" w:color="auto" w:fill="D9E2F3" w:themeFill="accent1" w:themeFillTint="33"/>
          </w:tcPr>
          <w:p w14:paraId="1FD366D3" w14:textId="1CD1CF3E" w:rsidR="00FA6EE7" w:rsidRPr="00006B11" w:rsidRDefault="00FA6EE7" w:rsidP="00182ACE">
            <w:pPr>
              <w:tabs>
                <w:tab w:val="left" w:pos="5385"/>
              </w:tabs>
              <w:jc w:val="left"/>
              <w:rPr>
                <w:b/>
                <w:bCs/>
                <w:sz w:val="22"/>
                <w:szCs w:val="22"/>
              </w:rPr>
            </w:pPr>
            <w:r w:rsidRPr="00006B11">
              <w:rPr>
                <w:b/>
                <w:bCs/>
                <w:sz w:val="22"/>
                <w:szCs w:val="22"/>
              </w:rPr>
              <w:t>TEISĖS AKTO PROJEKTO DERINIMAS</w:t>
            </w:r>
          </w:p>
        </w:tc>
      </w:tr>
      <w:tr w:rsidR="00440FA0" w:rsidRPr="00006B11" w14:paraId="5B338F63" w14:textId="77777777" w:rsidTr="00E36CE9">
        <w:tc>
          <w:tcPr>
            <w:tcW w:w="10763" w:type="dxa"/>
            <w:shd w:val="clear" w:color="auto" w:fill="D9E2F3" w:themeFill="accent1" w:themeFillTint="33"/>
          </w:tcPr>
          <w:p w14:paraId="72D30A93" w14:textId="77777777" w:rsidR="00ED04AD" w:rsidRDefault="00721E4F" w:rsidP="00ED04AD">
            <w:pPr>
              <w:tabs>
                <w:tab w:val="left" w:pos="5385"/>
              </w:tabs>
              <w:jc w:val="left"/>
              <w:rPr>
                <w:b/>
                <w:bCs/>
                <w:sz w:val="22"/>
                <w:szCs w:val="22"/>
              </w:rPr>
            </w:pPr>
            <w:r w:rsidRPr="00006B11">
              <w:rPr>
                <w:b/>
                <w:bCs/>
                <w:sz w:val="22"/>
                <w:szCs w:val="22"/>
              </w:rPr>
              <w:t>DALYKINIS KOMENTARAS</w:t>
            </w:r>
          </w:p>
          <w:p w14:paraId="54DF5CC4" w14:textId="77777777" w:rsidR="00EC12D7" w:rsidRDefault="00ED04AD" w:rsidP="00EC12D7">
            <w:pPr>
              <w:tabs>
                <w:tab w:val="left" w:pos="5385"/>
              </w:tabs>
              <w:spacing w:before="120"/>
              <w:rPr>
                <w:sz w:val="22"/>
                <w:szCs w:val="22"/>
              </w:rPr>
            </w:pPr>
            <w:r>
              <w:rPr>
                <w:sz w:val="22"/>
                <w:szCs w:val="22"/>
              </w:rPr>
              <w:t>2021-09-28 t</w:t>
            </w:r>
            <w:r>
              <w:rPr>
                <w:sz w:val="22"/>
                <w:szCs w:val="22"/>
              </w:rPr>
              <w:t xml:space="preserve">arpinstitucinio pasitarimo metu </w:t>
            </w:r>
            <w:r>
              <w:rPr>
                <w:sz w:val="22"/>
                <w:szCs w:val="22"/>
              </w:rPr>
              <w:t xml:space="preserve">pateiktos pastabos yra įvertintos ir aptartos pasitarimuose su </w:t>
            </w:r>
            <w:r w:rsidR="00EC12D7">
              <w:rPr>
                <w:sz w:val="22"/>
                <w:szCs w:val="22"/>
              </w:rPr>
              <w:t>atsakingomis institucijomis</w:t>
            </w:r>
            <w:r>
              <w:rPr>
                <w:sz w:val="22"/>
                <w:szCs w:val="22"/>
              </w:rPr>
              <w:t>, projektai yra atitinkamai patikslin</w:t>
            </w:r>
            <w:r w:rsidR="00EC12D7">
              <w:rPr>
                <w:sz w:val="22"/>
                <w:szCs w:val="22"/>
              </w:rPr>
              <w:t>ti:</w:t>
            </w:r>
          </w:p>
          <w:p w14:paraId="3CECA82A" w14:textId="77777777" w:rsidR="00EC12D7" w:rsidRDefault="00EC12D7" w:rsidP="00EC12D7">
            <w:pPr>
              <w:pStyle w:val="ListParagraph"/>
              <w:numPr>
                <w:ilvl w:val="0"/>
                <w:numId w:val="17"/>
              </w:numPr>
              <w:tabs>
                <w:tab w:val="left" w:pos="5385"/>
              </w:tabs>
              <w:spacing w:before="120"/>
              <w:rPr>
                <w:sz w:val="22"/>
                <w:szCs w:val="22"/>
              </w:rPr>
            </w:pPr>
            <w:r>
              <w:rPr>
                <w:sz w:val="22"/>
                <w:szCs w:val="22"/>
              </w:rPr>
              <w:t>į</w:t>
            </w:r>
            <w:r w:rsidRPr="00EC12D7">
              <w:rPr>
                <w:sz w:val="22"/>
                <w:szCs w:val="22"/>
              </w:rPr>
              <w:t xml:space="preserve"> Ekonomikos ir inovacijų ministerijos teiktas pastabas dėl Investicijų ir Strateginio valdymo įstatymų yra atsižvelgta</w:t>
            </w:r>
            <w:r>
              <w:rPr>
                <w:sz w:val="22"/>
                <w:szCs w:val="22"/>
              </w:rPr>
              <w:t>;</w:t>
            </w:r>
          </w:p>
          <w:p w14:paraId="525F5AB9" w14:textId="0365DD02" w:rsidR="00EC12D7" w:rsidRDefault="00EC12D7" w:rsidP="00EC12D7">
            <w:pPr>
              <w:pStyle w:val="ListParagraph"/>
              <w:numPr>
                <w:ilvl w:val="0"/>
                <w:numId w:val="17"/>
              </w:numPr>
              <w:tabs>
                <w:tab w:val="left" w:pos="5385"/>
              </w:tabs>
              <w:spacing w:before="120"/>
              <w:rPr>
                <w:sz w:val="22"/>
                <w:szCs w:val="22"/>
              </w:rPr>
            </w:pPr>
            <w:r>
              <w:rPr>
                <w:sz w:val="22"/>
                <w:szCs w:val="22"/>
              </w:rPr>
              <w:t xml:space="preserve">bendru Vyriausybės kanceliarijos, Vidaus reikalų, </w:t>
            </w:r>
            <w:r w:rsidRPr="00EC12D7">
              <w:rPr>
                <w:sz w:val="22"/>
                <w:szCs w:val="22"/>
              </w:rPr>
              <w:t xml:space="preserve">Ekonomikos ir inovacijų </w:t>
            </w:r>
            <w:r>
              <w:rPr>
                <w:sz w:val="22"/>
                <w:szCs w:val="22"/>
              </w:rPr>
              <w:t>bei Finansų ministerijų sprendimu nutarta, kad šiuo metu Viešojo administravimo įstatymo nuostatos netikslinamos dėl viešojo administravimo įgaliojimų suteikimo valstybės valdomoms bendrovėms analogiškai kaip šiuo metu siūloma dėl viešųjų įstaigų, nes šiam sprendimui reikia kompleksiškesnės analizės. Sutarta prie šio klausimo grįžti vėliau.</w:t>
            </w:r>
          </w:p>
          <w:p w14:paraId="2FEB1BC1" w14:textId="1CDEB203" w:rsidR="00440FA0" w:rsidRDefault="00ED04AD" w:rsidP="00EC12D7">
            <w:pPr>
              <w:tabs>
                <w:tab w:val="left" w:pos="5385"/>
              </w:tabs>
              <w:spacing w:before="120"/>
              <w:rPr>
                <w:sz w:val="22"/>
                <w:szCs w:val="22"/>
              </w:rPr>
            </w:pPr>
            <w:r>
              <w:rPr>
                <w:sz w:val="22"/>
                <w:szCs w:val="22"/>
              </w:rPr>
              <w:t xml:space="preserve">Lietuvos savivaldybių asociacija neturėjo pastabų Strateginio valdymo, Regioninės plėtros, Investicijų ir Žemės įstatymams. Viešojo administravimo įstatymo projektas pakoreguotas, todėl </w:t>
            </w:r>
            <w:r w:rsidR="00EC12D7">
              <w:rPr>
                <w:sz w:val="22"/>
                <w:szCs w:val="22"/>
              </w:rPr>
              <w:t xml:space="preserve">Asociacijos </w:t>
            </w:r>
            <w:r>
              <w:rPr>
                <w:sz w:val="22"/>
                <w:szCs w:val="22"/>
              </w:rPr>
              <w:t>teikta pastaba jau nebeaktuali.</w:t>
            </w:r>
          </w:p>
          <w:p w14:paraId="3B0C1FFA" w14:textId="6994958D" w:rsidR="00EC12D7" w:rsidRPr="00006B11" w:rsidRDefault="00EC12D7" w:rsidP="00EC12D7">
            <w:pPr>
              <w:tabs>
                <w:tab w:val="left" w:pos="5385"/>
              </w:tabs>
              <w:spacing w:before="120"/>
              <w:rPr>
                <w:sz w:val="22"/>
                <w:szCs w:val="22"/>
              </w:rPr>
            </w:pPr>
            <w:r w:rsidRPr="00EC12D7">
              <w:rPr>
                <w:sz w:val="22"/>
                <w:szCs w:val="22"/>
              </w:rPr>
              <w:t>Indikacijų, kad vis dar yra likę nesuderintų nuostatų Vyriausybės kanceliarija neturi.</w:t>
            </w:r>
          </w:p>
        </w:tc>
      </w:tr>
    </w:tbl>
    <w:p w14:paraId="7F927A80" w14:textId="13ACC34F" w:rsidR="00FA6EE7" w:rsidRDefault="00FA6EE7" w:rsidP="00BA4731">
      <w:pPr>
        <w:tabs>
          <w:tab w:val="left" w:pos="5385"/>
        </w:tabs>
        <w:jc w:val="left"/>
        <w:rPr>
          <w:sz w:val="22"/>
          <w:szCs w:val="22"/>
        </w:rPr>
      </w:pPr>
    </w:p>
    <w:tbl>
      <w:tblPr>
        <w:tblStyle w:val="TableGrid"/>
        <w:tblW w:w="0" w:type="auto"/>
        <w:tblLook w:val="04A0" w:firstRow="1" w:lastRow="0" w:firstColumn="1" w:lastColumn="0" w:noHBand="0" w:noVBand="1"/>
      </w:tblPr>
      <w:tblGrid>
        <w:gridCol w:w="2972"/>
        <w:gridCol w:w="7791"/>
      </w:tblGrid>
      <w:tr w:rsidR="00EC12D7" w14:paraId="42F5BD5E" w14:textId="77777777" w:rsidTr="002A012C">
        <w:tc>
          <w:tcPr>
            <w:tcW w:w="2972" w:type="dxa"/>
            <w:vMerge w:val="restart"/>
            <w:shd w:val="clear" w:color="auto" w:fill="D9E2F3" w:themeFill="accent1" w:themeFillTint="33"/>
          </w:tcPr>
          <w:p w14:paraId="15129622" w14:textId="77777777" w:rsidR="00EC12D7" w:rsidRPr="00910B31" w:rsidRDefault="00EC12D7" w:rsidP="002A012C">
            <w:pPr>
              <w:tabs>
                <w:tab w:val="left" w:pos="5385"/>
              </w:tabs>
              <w:jc w:val="left"/>
              <w:rPr>
                <w:b/>
                <w:bCs/>
                <w:sz w:val="22"/>
                <w:szCs w:val="22"/>
              </w:rPr>
            </w:pPr>
            <w:r w:rsidRPr="00910B31">
              <w:rPr>
                <w:b/>
                <w:bCs/>
                <w:sz w:val="22"/>
                <w:szCs w:val="22"/>
              </w:rPr>
              <w:t>PAŽYMĄ PARENGĖ</w:t>
            </w:r>
          </w:p>
        </w:tc>
        <w:tc>
          <w:tcPr>
            <w:tcW w:w="7791" w:type="dxa"/>
          </w:tcPr>
          <w:p w14:paraId="051648DB" w14:textId="77777777" w:rsidR="00EC12D7" w:rsidRPr="00910B31" w:rsidRDefault="00EC12D7" w:rsidP="002A012C">
            <w:pPr>
              <w:tabs>
                <w:tab w:val="left" w:pos="5385"/>
              </w:tabs>
              <w:jc w:val="left"/>
              <w:rPr>
                <w:i/>
                <w:iCs/>
                <w:sz w:val="22"/>
                <w:szCs w:val="22"/>
              </w:rPr>
            </w:pPr>
            <w:r>
              <w:rPr>
                <w:i/>
                <w:iCs/>
                <w:sz w:val="22"/>
                <w:szCs w:val="22"/>
              </w:rPr>
              <w:t>Daiva Žaromskytė-Rastenė</w:t>
            </w:r>
            <w:r w:rsidRPr="00910B31">
              <w:rPr>
                <w:i/>
                <w:iCs/>
                <w:sz w:val="22"/>
                <w:szCs w:val="22"/>
              </w:rPr>
              <w:t xml:space="preserve"> </w:t>
            </w:r>
          </w:p>
        </w:tc>
      </w:tr>
      <w:tr w:rsidR="00EC12D7" w14:paraId="6D8FF0FA" w14:textId="77777777" w:rsidTr="002A012C">
        <w:tc>
          <w:tcPr>
            <w:tcW w:w="2972" w:type="dxa"/>
            <w:vMerge/>
            <w:shd w:val="clear" w:color="auto" w:fill="D9E2F3" w:themeFill="accent1" w:themeFillTint="33"/>
          </w:tcPr>
          <w:p w14:paraId="686EA7BF" w14:textId="77777777" w:rsidR="00EC12D7" w:rsidRDefault="00EC12D7" w:rsidP="002A012C">
            <w:pPr>
              <w:tabs>
                <w:tab w:val="left" w:pos="5385"/>
              </w:tabs>
              <w:jc w:val="left"/>
              <w:rPr>
                <w:sz w:val="22"/>
                <w:szCs w:val="22"/>
              </w:rPr>
            </w:pPr>
          </w:p>
        </w:tc>
        <w:tc>
          <w:tcPr>
            <w:tcW w:w="7791" w:type="dxa"/>
          </w:tcPr>
          <w:p w14:paraId="78263A1A" w14:textId="77777777" w:rsidR="00EC12D7" w:rsidRPr="00910B31" w:rsidRDefault="00EC12D7" w:rsidP="002A012C">
            <w:pPr>
              <w:tabs>
                <w:tab w:val="left" w:pos="5385"/>
              </w:tabs>
              <w:jc w:val="left"/>
              <w:rPr>
                <w:i/>
                <w:iCs/>
                <w:sz w:val="22"/>
                <w:szCs w:val="22"/>
              </w:rPr>
            </w:pPr>
            <w:r>
              <w:rPr>
                <w:i/>
                <w:iCs/>
                <w:sz w:val="22"/>
                <w:szCs w:val="22"/>
              </w:rPr>
              <w:t>Strateginių kompetencijų grupės vadovė</w:t>
            </w:r>
          </w:p>
        </w:tc>
      </w:tr>
    </w:tbl>
    <w:p w14:paraId="65CD6E6F" w14:textId="77777777" w:rsidR="00EC12D7" w:rsidRPr="00006B11" w:rsidRDefault="00EC12D7" w:rsidP="00BA4731">
      <w:pPr>
        <w:tabs>
          <w:tab w:val="left" w:pos="5385"/>
        </w:tabs>
        <w:jc w:val="left"/>
        <w:rPr>
          <w:sz w:val="22"/>
          <w:szCs w:val="22"/>
        </w:rPr>
      </w:pPr>
    </w:p>
    <w:p w14:paraId="7CE09C58" w14:textId="77777777" w:rsidR="00910B31" w:rsidRDefault="00910B31" w:rsidP="00BA4731">
      <w:pPr>
        <w:tabs>
          <w:tab w:val="left" w:pos="5385"/>
        </w:tabs>
        <w:jc w:val="left"/>
        <w:rPr>
          <w:sz w:val="22"/>
          <w:szCs w:val="22"/>
        </w:rPr>
      </w:pPr>
    </w:p>
    <w:p w14:paraId="4DAD3099" w14:textId="4DDDF328" w:rsidR="00AF0120" w:rsidRPr="00006B11" w:rsidRDefault="00AF0120" w:rsidP="00BA4731">
      <w:pPr>
        <w:tabs>
          <w:tab w:val="left" w:pos="5385"/>
        </w:tabs>
        <w:jc w:val="left"/>
        <w:rPr>
          <w:sz w:val="22"/>
          <w:szCs w:val="22"/>
        </w:rPr>
      </w:pPr>
    </w:p>
    <w:sectPr w:rsidR="00AF0120" w:rsidRPr="00006B11" w:rsidSect="003817E3">
      <w:headerReference w:type="default" r:id="rId12"/>
      <w:footerReference w:type="default" r:id="rId13"/>
      <w:pgSz w:w="11906" w:h="16838"/>
      <w:pgMar w:top="426" w:right="424" w:bottom="284" w:left="709" w:header="567" w:footer="14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D04D3" w14:textId="77777777" w:rsidR="008D1183" w:rsidRDefault="008D1183" w:rsidP="001C3EF7">
      <w:r>
        <w:separator/>
      </w:r>
    </w:p>
  </w:endnote>
  <w:endnote w:type="continuationSeparator" w:id="0">
    <w:p w14:paraId="516BD925" w14:textId="77777777" w:rsidR="008D1183" w:rsidRDefault="008D1183" w:rsidP="001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FF9D" w14:textId="6CCCA293" w:rsidR="007E5D9D" w:rsidRDefault="007E5D9D">
    <w:pPr>
      <w:pStyle w:val="Footer"/>
      <w:jc w:val="center"/>
      <w:rPr>
        <w:caps/>
        <w:noProof/>
        <w:color w:val="4472C4" w:themeColor="accent1"/>
      </w:rPr>
    </w:pPr>
  </w:p>
  <w:p w14:paraId="31FA05C8" w14:textId="77777777" w:rsidR="00E36CE9" w:rsidRPr="001C3EF7" w:rsidRDefault="00E36CE9" w:rsidP="001C3EF7">
    <w:pPr>
      <w:pStyle w:val="Footer"/>
      <w:tabs>
        <w:tab w:val="clear" w:pos="4819"/>
        <w:tab w:val="clear" w:pos="9638"/>
        <w:tab w:val="left" w:pos="4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8C1A1" w14:textId="77777777" w:rsidR="008D1183" w:rsidRDefault="008D1183" w:rsidP="001C3EF7">
      <w:r>
        <w:separator/>
      </w:r>
    </w:p>
  </w:footnote>
  <w:footnote w:type="continuationSeparator" w:id="0">
    <w:p w14:paraId="120EEACE" w14:textId="77777777" w:rsidR="008D1183" w:rsidRDefault="008D1183" w:rsidP="001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Pavadinimas"/>
      <w:tag w:val=""/>
      <w:id w:val="-2090074503"/>
      <w:placeholder>
        <w:docPart w:val="69D8A8AB2B644448BC8AD3F06BEF98E3"/>
      </w:placeholder>
      <w:dataBinding w:prefixMappings="xmlns:ns0='http://purl.org/dc/elements/1.1/' xmlns:ns1='http://schemas.openxmlformats.org/package/2006/metadata/core-properties' " w:xpath="/ns1:coreProperties[1]/ns0:title[1]" w:storeItemID="{6C3C8BC8-F283-45AE-878A-BAB7291924A1}"/>
      <w:text/>
    </w:sdtPr>
    <w:sdtEndPr/>
    <w:sdtContent>
      <w:p w14:paraId="262CF490" w14:textId="7E874DAB" w:rsidR="00E36CE9" w:rsidRDefault="00E36CE9" w:rsidP="00006B11">
        <w:pPr>
          <w:pStyle w:val="Header"/>
          <w:jc w:val="center"/>
        </w:pPr>
        <w:r>
          <w:t>TEISĖS AKTO PROJEKTO DALYKINIO VERTINIMO PAŽYMOS FORMA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5AE"/>
    <w:multiLevelType w:val="hybridMultilevel"/>
    <w:tmpl w:val="6B42655C"/>
    <w:lvl w:ilvl="0" w:tplc="55F64C5E">
      <w:start w:val="21"/>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1" w15:restartNumberingAfterBreak="0">
    <w:nsid w:val="0F1960E1"/>
    <w:multiLevelType w:val="hybridMultilevel"/>
    <w:tmpl w:val="81F871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4C1101"/>
    <w:multiLevelType w:val="hybridMultilevel"/>
    <w:tmpl w:val="EAA421F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19437A"/>
    <w:multiLevelType w:val="hybridMultilevel"/>
    <w:tmpl w:val="D49E5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D82A21"/>
    <w:multiLevelType w:val="hybridMultilevel"/>
    <w:tmpl w:val="0202620A"/>
    <w:lvl w:ilvl="0" w:tplc="55F64C5E">
      <w:start w:val="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7D5ADC"/>
    <w:multiLevelType w:val="hybridMultilevel"/>
    <w:tmpl w:val="FE302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CC3EFA"/>
    <w:multiLevelType w:val="hybridMultilevel"/>
    <w:tmpl w:val="79148F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EF60DD"/>
    <w:multiLevelType w:val="hybridMultilevel"/>
    <w:tmpl w:val="9B3AA1E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F054789"/>
    <w:multiLevelType w:val="hybridMultilevel"/>
    <w:tmpl w:val="3D5C78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0C153F8"/>
    <w:multiLevelType w:val="hybridMultilevel"/>
    <w:tmpl w:val="4E94FB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593E43"/>
    <w:multiLevelType w:val="hybridMultilevel"/>
    <w:tmpl w:val="5F0E0AA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BF45C7"/>
    <w:multiLevelType w:val="hybridMultilevel"/>
    <w:tmpl w:val="FFD8D0D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9D425C"/>
    <w:multiLevelType w:val="hybridMultilevel"/>
    <w:tmpl w:val="095A3D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624F40BE"/>
    <w:multiLevelType w:val="hybridMultilevel"/>
    <w:tmpl w:val="122C7E7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45B420B"/>
    <w:multiLevelType w:val="hybridMultilevel"/>
    <w:tmpl w:val="B9963E4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685255D"/>
    <w:multiLevelType w:val="hybridMultilevel"/>
    <w:tmpl w:val="33BAE8A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79C6A9A"/>
    <w:multiLevelType w:val="hybridMultilevel"/>
    <w:tmpl w:val="A536712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12"/>
  </w:num>
  <w:num w:numId="4">
    <w:abstractNumId w:val="4"/>
  </w:num>
  <w:num w:numId="5">
    <w:abstractNumId w:val="0"/>
  </w:num>
  <w:num w:numId="6">
    <w:abstractNumId w:val="8"/>
  </w:num>
  <w:num w:numId="7">
    <w:abstractNumId w:val="7"/>
  </w:num>
  <w:num w:numId="8">
    <w:abstractNumId w:val="14"/>
  </w:num>
  <w:num w:numId="9">
    <w:abstractNumId w:val="15"/>
  </w:num>
  <w:num w:numId="10">
    <w:abstractNumId w:val="13"/>
  </w:num>
  <w:num w:numId="11">
    <w:abstractNumId w:val="1"/>
  </w:num>
  <w:num w:numId="12">
    <w:abstractNumId w:val="5"/>
  </w:num>
  <w:num w:numId="13">
    <w:abstractNumId w:val="6"/>
  </w:num>
  <w:num w:numId="14">
    <w:abstractNumId w:val="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7"/>
    <w:rsid w:val="00006B11"/>
    <w:rsid w:val="000343E3"/>
    <w:rsid w:val="000531DA"/>
    <w:rsid w:val="00067B30"/>
    <w:rsid w:val="00085ACE"/>
    <w:rsid w:val="00097CAB"/>
    <w:rsid w:val="000B7589"/>
    <w:rsid w:val="000C37D8"/>
    <w:rsid w:val="000E5017"/>
    <w:rsid w:val="000F5003"/>
    <w:rsid w:val="00105859"/>
    <w:rsid w:val="00127A24"/>
    <w:rsid w:val="00133686"/>
    <w:rsid w:val="00141833"/>
    <w:rsid w:val="001611B6"/>
    <w:rsid w:val="00162F06"/>
    <w:rsid w:val="00180CE4"/>
    <w:rsid w:val="00182ACE"/>
    <w:rsid w:val="001A0258"/>
    <w:rsid w:val="001A43C7"/>
    <w:rsid w:val="001C3EF7"/>
    <w:rsid w:val="001F749E"/>
    <w:rsid w:val="00202CD7"/>
    <w:rsid w:val="00214686"/>
    <w:rsid w:val="00234D80"/>
    <w:rsid w:val="00241D5E"/>
    <w:rsid w:val="00242FCA"/>
    <w:rsid w:val="0025326D"/>
    <w:rsid w:val="00265234"/>
    <w:rsid w:val="00273280"/>
    <w:rsid w:val="0027411C"/>
    <w:rsid w:val="0027537C"/>
    <w:rsid w:val="0028270A"/>
    <w:rsid w:val="00283EF9"/>
    <w:rsid w:val="00292C60"/>
    <w:rsid w:val="002D3476"/>
    <w:rsid w:val="002D469F"/>
    <w:rsid w:val="003145CD"/>
    <w:rsid w:val="003431FE"/>
    <w:rsid w:val="003817E3"/>
    <w:rsid w:val="003B71BF"/>
    <w:rsid w:val="003C0280"/>
    <w:rsid w:val="00400F42"/>
    <w:rsid w:val="004033AB"/>
    <w:rsid w:val="0040729D"/>
    <w:rsid w:val="00430339"/>
    <w:rsid w:val="00440FA0"/>
    <w:rsid w:val="00443231"/>
    <w:rsid w:val="00477869"/>
    <w:rsid w:val="004803C5"/>
    <w:rsid w:val="00487BC5"/>
    <w:rsid w:val="004A1612"/>
    <w:rsid w:val="004A2CD2"/>
    <w:rsid w:val="004A73F7"/>
    <w:rsid w:val="004C4EA3"/>
    <w:rsid w:val="004D306C"/>
    <w:rsid w:val="004F1A39"/>
    <w:rsid w:val="00520C41"/>
    <w:rsid w:val="00550B42"/>
    <w:rsid w:val="00562C6A"/>
    <w:rsid w:val="005C5F20"/>
    <w:rsid w:val="005C5F2A"/>
    <w:rsid w:val="005D012F"/>
    <w:rsid w:val="0061358B"/>
    <w:rsid w:val="00633C8C"/>
    <w:rsid w:val="00642E55"/>
    <w:rsid w:val="00643B73"/>
    <w:rsid w:val="00644A7D"/>
    <w:rsid w:val="00672C3A"/>
    <w:rsid w:val="00687D3E"/>
    <w:rsid w:val="006B61E2"/>
    <w:rsid w:val="006E1269"/>
    <w:rsid w:val="006E4E3C"/>
    <w:rsid w:val="00721E4F"/>
    <w:rsid w:val="007319C1"/>
    <w:rsid w:val="00731FDB"/>
    <w:rsid w:val="00767452"/>
    <w:rsid w:val="00774AAD"/>
    <w:rsid w:val="007A42DE"/>
    <w:rsid w:val="007A5041"/>
    <w:rsid w:val="007B365F"/>
    <w:rsid w:val="007C064A"/>
    <w:rsid w:val="007D02AD"/>
    <w:rsid w:val="007D5639"/>
    <w:rsid w:val="007E5D9D"/>
    <w:rsid w:val="00801F71"/>
    <w:rsid w:val="00804FEE"/>
    <w:rsid w:val="00814E4C"/>
    <w:rsid w:val="008363A7"/>
    <w:rsid w:val="00837916"/>
    <w:rsid w:val="008461E5"/>
    <w:rsid w:val="00862CA1"/>
    <w:rsid w:val="008C5D5B"/>
    <w:rsid w:val="008D1183"/>
    <w:rsid w:val="008D5428"/>
    <w:rsid w:val="008E1A5B"/>
    <w:rsid w:val="008E422A"/>
    <w:rsid w:val="008F48A0"/>
    <w:rsid w:val="008F4F08"/>
    <w:rsid w:val="00903375"/>
    <w:rsid w:val="00910B31"/>
    <w:rsid w:val="00912E03"/>
    <w:rsid w:val="0092329D"/>
    <w:rsid w:val="0092372B"/>
    <w:rsid w:val="0092503B"/>
    <w:rsid w:val="00956918"/>
    <w:rsid w:val="00963B65"/>
    <w:rsid w:val="009648B4"/>
    <w:rsid w:val="009D3FE9"/>
    <w:rsid w:val="009E1CCF"/>
    <w:rsid w:val="00A12D0A"/>
    <w:rsid w:val="00A1481D"/>
    <w:rsid w:val="00A201F1"/>
    <w:rsid w:val="00A22A7E"/>
    <w:rsid w:val="00A34EC9"/>
    <w:rsid w:val="00A40E4F"/>
    <w:rsid w:val="00A616F1"/>
    <w:rsid w:val="00A7213C"/>
    <w:rsid w:val="00A9409B"/>
    <w:rsid w:val="00AA647D"/>
    <w:rsid w:val="00AD6E43"/>
    <w:rsid w:val="00AD7710"/>
    <w:rsid w:val="00AF0120"/>
    <w:rsid w:val="00B25236"/>
    <w:rsid w:val="00B36801"/>
    <w:rsid w:val="00B50785"/>
    <w:rsid w:val="00B71B4A"/>
    <w:rsid w:val="00B93BDE"/>
    <w:rsid w:val="00BA2E5D"/>
    <w:rsid w:val="00BA4731"/>
    <w:rsid w:val="00BD0096"/>
    <w:rsid w:val="00BD7746"/>
    <w:rsid w:val="00BD7B62"/>
    <w:rsid w:val="00C04DB0"/>
    <w:rsid w:val="00C33A0B"/>
    <w:rsid w:val="00C42756"/>
    <w:rsid w:val="00C87D20"/>
    <w:rsid w:val="00CB3A19"/>
    <w:rsid w:val="00CC2009"/>
    <w:rsid w:val="00CC64F2"/>
    <w:rsid w:val="00CC7171"/>
    <w:rsid w:val="00CD142F"/>
    <w:rsid w:val="00CD381F"/>
    <w:rsid w:val="00CF0FAC"/>
    <w:rsid w:val="00CF289B"/>
    <w:rsid w:val="00D05D3C"/>
    <w:rsid w:val="00D13D5E"/>
    <w:rsid w:val="00D37A2A"/>
    <w:rsid w:val="00D44436"/>
    <w:rsid w:val="00D639D7"/>
    <w:rsid w:val="00D86352"/>
    <w:rsid w:val="00DA1C86"/>
    <w:rsid w:val="00DC3B49"/>
    <w:rsid w:val="00DD53BC"/>
    <w:rsid w:val="00DD697F"/>
    <w:rsid w:val="00DE3810"/>
    <w:rsid w:val="00E2791D"/>
    <w:rsid w:val="00E36CE9"/>
    <w:rsid w:val="00E40C92"/>
    <w:rsid w:val="00E52DA2"/>
    <w:rsid w:val="00E578AA"/>
    <w:rsid w:val="00E57E71"/>
    <w:rsid w:val="00EB0F28"/>
    <w:rsid w:val="00EC12D7"/>
    <w:rsid w:val="00EC24C7"/>
    <w:rsid w:val="00EC5D84"/>
    <w:rsid w:val="00EC7C3A"/>
    <w:rsid w:val="00ED04AD"/>
    <w:rsid w:val="00ED4B78"/>
    <w:rsid w:val="00EF30BA"/>
    <w:rsid w:val="00F020BE"/>
    <w:rsid w:val="00F02790"/>
    <w:rsid w:val="00F03941"/>
    <w:rsid w:val="00F1591F"/>
    <w:rsid w:val="00F17BD5"/>
    <w:rsid w:val="00F83A23"/>
    <w:rsid w:val="00FA29D7"/>
    <w:rsid w:val="00FA6EE7"/>
    <w:rsid w:val="00FB4022"/>
    <w:rsid w:val="00FD5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0528"/>
  <w15:chartTrackingRefBased/>
  <w15:docId w15:val="{4298D401-95AC-43BB-AAAB-B959F0C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F7"/>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1C3E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Antraste">
    <w:name w:val="Antraste"/>
    <w:basedOn w:val="Normal"/>
    <w:link w:val="AntrasteChar"/>
    <w:qFormat/>
    <w:rsid w:val="001C3EF7"/>
    <w:pPr>
      <w:jc w:val="center"/>
    </w:pPr>
    <w:rPr>
      <w:b/>
      <w:caps/>
      <w:spacing w:val="-6"/>
    </w:rPr>
  </w:style>
  <w:style w:type="character" w:customStyle="1" w:styleId="AntrasteChar">
    <w:name w:val="Antraste Char"/>
    <w:basedOn w:val="DefaultParagraphFont"/>
    <w:link w:val="Antraste"/>
    <w:rsid w:val="001C3EF7"/>
    <w:rPr>
      <w:rFonts w:ascii="Times New Roman" w:eastAsia="Times New Roman" w:hAnsi="Times New Roman" w:cs="Times New Roman"/>
      <w:b/>
      <w:caps/>
      <w:spacing w:val="-6"/>
      <w:sz w:val="24"/>
      <w:szCs w:val="20"/>
      <w:lang w:eastAsia="ru-RU"/>
    </w:rPr>
  </w:style>
  <w:style w:type="paragraph" w:styleId="NoSpacing">
    <w:name w:val="No Spacing"/>
    <w:uiPriority w:val="1"/>
    <w:qFormat/>
    <w:rsid w:val="001C3EF7"/>
    <w:pPr>
      <w:spacing w:after="0" w:line="240" w:lineRule="auto"/>
      <w:jc w:val="both"/>
    </w:pPr>
    <w:rPr>
      <w:rFonts w:ascii="Times New Roman" w:eastAsia="Times New Roman" w:hAnsi="Times New Roman" w:cs="Times New Roman"/>
      <w:sz w:val="24"/>
      <w:szCs w:val="20"/>
      <w:lang w:eastAsia="ru-RU"/>
    </w:rPr>
  </w:style>
  <w:style w:type="table" w:styleId="TableGrid">
    <w:name w:val="Table Grid"/>
    <w:basedOn w:val="TableNormal"/>
    <w:uiPriority w:val="39"/>
    <w:rsid w:val="001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EF7"/>
    <w:pPr>
      <w:tabs>
        <w:tab w:val="center" w:pos="4819"/>
        <w:tab w:val="right" w:pos="9638"/>
      </w:tabs>
    </w:pPr>
  </w:style>
  <w:style w:type="character" w:customStyle="1" w:styleId="HeaderChar">
    <w:name w:val="Header Char"/>
    <w:basedOn w:val="DefaultParagraphFont"/>
    <w:link w:val="Header"/>
    <w:uiPriority w:val="99"/>
    <w:rsid w:val="001C3EF7"/>
    <w:rPr>
      <w:rFonts w:ascii="Times New Roman" w:eastAsia="Times New Roman" w:hAnsi="Times New Roman" w:cs="Times New Roman"/>
      <w:sz w:val="24"/>
      <w:szCs w:val="20"/>
      <w:lang w:eastAsia="ru-RU"/>
    </w:rPr>
  </w:style>
  <w:style w:type="paragraph" w:styleId="Footer">
    <w:name w:val="footer"/>
    <w:basedOn w:val="Normal"/>
    <w:link w:val="FooterChar"/>
    <w:uiPriority w:val="99"/>
    <w:unhideWhenUsed/>
    <w:rsid w:val="001C3EF7"/>
    <w:pPr>
      <w:tabs>
        <w:tab w:val="center" w:pos="4819"/>
        <w:tab w:val="right" w:pos="9638"/>
      </w:tabs>
    </w:pPr>
  </w:style>
  <w:style w:type="character" w:customStyle="1" w:styleId="FooterChar">
    <w:name w:val="Footer Char"/>
    <w:basedOn w:val="DefaultParagraphFont"/>
    <w:link w:val="Footer"/>
    <w:uiPriority w:val="99"/>
    <w:rsid w:val="001C3EF7"/>
    <w:rPr>
      <w:rFonts w:ascii="Times New Roman" w:eastAsia="Times New Roman" w:hAnsi="Times New Roman" w:cs="Times New Roman"/>
      <w:sz w:val="24"/>
      <w:szCs w:val="20"/>
      <w:lang w:eastAsia="ru-RU"/>
    </w:rPr>
  </w:style>
  <w:style w:type="character" w:styleId="PlaceholderText">
    <w:name w:val="Placeholder Text"/>
    <w:basedOn w:val="DefaultParagraphFont"/>
    <w:uiPriority w:val="99"/>
    <w:semiHidden/>
    <w:rsid w:val="001C3EF7"/>
    <w:rPr>
      <w:color w:val="808080"/>
    </w:rPr>
  </w:style>
  <w:style w:type="paragraph" w:styleId="ListParagraph">
    <w:name w:val="List Paragraph"/>
    <w:basedOn w:val="Normal"/>
    <w:uiPriority w:val="34"/>
    <w:qFormat/>
    <w:rsid w:val="008E422A"/>
    <w:pPr>
      <w:ind w:left="720"/>
      <w:contextualSpacing/>
    </w:pPr>
  </w:style>
  <w:style w:type="paragraph" w:styleId="FootnoteText">
    <w:name w:val="footnote text"/>
    <w:basedOn w:val="Normal"/>
    <w:link w:val="FootnoteTextChar"/>
    <w:uiPriority w:val="99"/>
    <w:semiHidden/>
    <w:unhideWhenUsed/>
    <w:rsid w:val="00550B42"/>
    <w:rPr>
      <w:sz w:val="20"/>
    </w:rPr>
  </w:style>
  <w:style w:type="character" w:customStyle="1" w:styleId="FootnoteTextChar">
    <w:name w:val="Footnote Text Char"/>
    <w:basedOn w:val="DefaultParagraphFont"/>
    <w:link w:val="FootnoteText"/>
    <w:uiPriority w:val="99"/>
    <w:semiHidden/>
    <w:rsid w:val="00550B42"/>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550B42"/>
    <w:rPr>
      <w:vertAlign w:val="superscript"/>
    </w:rPr>
  </w:style>
  <w:style w:type="paragraph" w:styleId="BalloonText">
    <w:name w:val="Balloon Text"/>
    <w:basedOn w:val="Normal"/>
    <w:link w:val="BalloonTextChar"/>
    <w:uiPriority w:val="99"/>
    <w:semiHidden/>
    <w:unhideWhenUsed/>
    <w:rsid w:val="00EB0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F28"/>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33C8C"/>
    <w:rPr>
      <w:sz w:val="16"/>
      <w:szCs w:val="16"/>
    </w:rPr>
  </w:style>
  <w:style w:type="paragraph" w:styleId="CommentText">
    <w:name w:val="annotation text"/>
    <w:basedOn w:val="Normal"/>
    <w:link w:val="CommentTextChar"/>
    <w:uiPriority w:val="99"/>
    <w:semiHidden/>
    <w:unhideWhenUsed/>
    <w:rsid w:val="00633C8C"/>
    <w:rPr>
      <w:sz w:val="20"/>
    </w:rPr>
  </w:style>
  <w:style w:type="character" w:customStyle="1" w:styleId="CommentTextChar">
    <w:name w:val="Comment Text Char"/>
    <w:basedOn w:val="DefaultParagraphFont"/>
    <w:link w:val="CommentText"/>
    <w:uiPriority w:val="99"/>
    <w:semiHidden/>
    <w:rsid w:val="00633C8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33C8C"/>
    <w:rPr>
      <w:b/>
      <w:bCs/>
    </w:rPr>
  </w:style>
  <w:style w:type="character" w:customStyle="1" w:styleId="CommentSubjectChar">
    <w:name w:val="Comment Subject Char"/>
    <w:basedOn w:val="CommentTextChar"/>
    <w:link w:val="CommentSubject"/>
    <w:uiPriority w:val="99"/>
    <w:semiHidden/>
    <w:rsid w:val="00633C8C"/>
    <w:rPr>
      <w:rFonts w:ascii="Times New Roman" w:eastAsia="Times New Roman" w:hAnsi="Times New Roman" w:cs="Times New Roman"/>
      <w:b/>
      <w:bCs/>
      <w:sz w:val="20"/>
      <w:szCs w:val="20"/>
      <w:lang w:eastAsia="ru-RU"/>
    </w:rPr>
  </w:style>
  <w:style w:type="paragraph" w:styleId="Revision">
    <w:name w:val="Revision"/>
    <w:hidden/>
    <w:uiPriority w:val="99"/>
    <w:semiHidden/>
    <w:rsid w:val="000343E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9D8A8AB2B644448BC8AD3F06BEF98E3"/>
        <w:category>
          <w:name w:val="Bendrosios nuostatos"/>
          <w:gallery w:val="placeholder"/>
        </w:category>
        <w:types>
          <w:type w:val="bbPlcHdr"/>
        </w:types>
        <w:behaviors>
          <w:behavior w:val="content"/>
        </w:behaviors>
        <w:guid w:val="{DCD3C4CD-519B-446A-A649-C6DFEC460EA9}"/>
      </w:docPartPr>
      <w:docPartBody>
        <w:p w:rsidR="00AC423E" w:rsidRDefault="00D84496">
          <w:r w:rsidRPr="007361EA">
            <w:rPr>
              <w:rStyle w:val="PlaceholderText"/>
            </w:rPr>
            <w:t>[Pavadinimas]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17"/>
    <w:rsid w:val="002711D7"/>
    <w:rsid w:val="005943E8"/>
    <w:rsid w:val="00662074"/>
    <w:rsid w:val="006A6617"/>
    <w:rsid w:val="00751FE8"/>
    <w:rsid w:val="008B4A3B"/>
    <w:rsid w:val="00AC423E"/>
    <w:rsid w:val="00C7564A"/>
    <w:rsid w:val="00D84496"/>
    <w:rsid w:val="00DA5769"/>
    <w:rsid w:val="00E31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1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4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2021-04-22T00:00:00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9DFC294BB6CA4ABDE0F2B4B536E102" ma:contentTypeVersion="9" ma:contentTypeDescription="Kurkite naują dokumentą." ma:contentTypeScope="" ma:versionID="e7f68fe6db085d3036df8f34832f148e">
  <xsd:schema xmlns:xsd="http://www.w3.org/2001/XMLSchema" xmlns:xs="http://www.w3.org/2001/XMLSchema" xmlns:p="http://schemas.microsoft.com/office/2006/metadata/properties" xmlns:ns3="5de9dfd3-1eaa-4a99-ae40-b9dde1354a76" xmlns:ns4="0f39103d-2a83-40d6-93c2-2dbcd0769bff" targetNamespace="http://schemas.microsoft.com/office/2006/metadata/properties" ma:root="true" ma:fieldsID="b4d1eca901506f6e3089e79554dd0747" ns3:_="" ns4:_="">
    <xsd:import namespace="5de9dfd3-1eaa-4a99-ae40-b9dde1354a76"/>
    <xsd:import namespace="0f39103d-2a83-40d6-93c2-2dbcd0769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9dfd3-1eaa-4a99-ae40-b9dde1354a7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9103d-2a83-40d6-93c2-2dbcd0769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2D96E-2500-4E20-90BD-A1982E9FFBD6}">
  <ds:schemaRefs>
    <ds:schemaRef ds:uri="http://schemas.microsoft.com/sharepoint/v3/contenttype/forms"/>
  </ds:schemaRefs>
</ds:datastoreItem>
</file>

<file path=customXml/itemProps3.xml><?xml version="1.0" encoding="utf-8"?>
<ds:datastoreItem xmlns:ds="http://schemas.openxmlformats.org/officeDocument/2006/customXml" ds:itemID="{DF2C8A9D-74B2-41E9-AE5C-5EF6A7F7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9dfd3-1eaa-4a99-ae40-b9dde1354a76"/>
    <ds:schemaRef ds:uri="0f39103d-2a83-40d6-93c2-2dbcd0769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25DDA-5B59-4414-84F0-1BFD1113836A}">
  <ds:schemaRefs>
    <ds:schemaRef ds:uri="http://schemas.openxmlformats.org/officeDocument/2006/bibliography"/>
  </ds:schemaRefs>
</ds:datastoreItem>
</file>

<file path=customXml/itemProps5.xml><?xml version="1.0" encoding="utf-8"?>
<ds:datastoreItem xmlns:ds="http://schemas.openxmlformats.org/officeDocument/2006/customXml" ds:itemID="{4FEA79AC-6E23-4CFC-89FF-03375F2DA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6415</Words>
  <Characters>3657</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TEISĖS AKTO PROJEKTO DALYKINIO VERTINIMO PAŽYMOS FORMA</vt:lpstr>
      <vt:lpstr>TEISĖS AKTO PROJEKTO DALYKINIO VERTINIMO PAŽYMA</vt:lpstr>
    </vt:vector>
  </TitlesOfParts>
  <Company>Pažymos rengėjas |LRVK padalinys</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AKTO PROJEKTO DALYKINIO VERTINIMO PAŽYMOS FORMA</dc:title>
  <dc:subject/>
  <dc:creator>Dalykininkas ir kontaktai</dc:creator>
  <cp:keywords/>
  <dc:description/>
  <cp:lastModifiedBy>Daiva Žaromskytė</cp:lastModifiedBy>
  <cp:revision>2</cp:revision>
  <cp:lastPrinted>2021-04-28T06:32:00Z</cp:lastPrinted>
  <dcterms:created xsi:type="dcterms:W3CDTF">2021-10-12T06:14:00Z</dcterms:created>
  <dcterms:modified xsi:type="dcterms:W3CDTF">2021-10-12T06:14:00Z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0x010100429DFC294BB6CA4ABDE0F2B4B536E102</vt:lpwstr>
  </property>
</Properties>
</file>