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AFC39" w14:textId="77777777" w:rsidR="007C5F9F" w:rsidRPr="00CE0940" w:rsidRDefault="007C5F9F" w:rsidP="006C02EF">
      <w:pPr>
        <w:tabs>
          <w:tab w:val="left" w:pos="284"/>
          <w:tab w:val="left" w:pos="426"/>
          <w:tab w:val="left" w:pos="709"/>
          <w:tab w:val="left" w:pos="993"/>
        </w:tabs>
        <w:ind w:left="426" w:hanging="142"/>
        <w:rPr>
          <w:b/>
          <w:caps/>
        </w:rPr>
      </w:pPr>
      <w:bookmarkStart w:id="0" w:name="_GoBack"/>
      <w:bookmarkEnd w:id="0"/>
    </w:p>
    <w:p w14:paraId="00D188DB" w14:textId="43C5CA4D" w:rsidR="003B176D" w:rsidRPr="00611D43" w:rsidRDefault="003B176D" w:rsidP="003B176D">
      <w:pPr>
        <w:rPr>
          <w:b/>
        </w:rPr>
      </w:pPr>
      <w:r w:rsidRPr="00611D43">
        <w:rPr>
          <w:b/>
          <w:caps/>
        </w:rPr>
        <w:t xml:space="preserve">Lietuvos Respublikos Vyriausybės 2018 m. liepos 11 d. nutarimO Nr. 679 „Dėl Mokymo lėšų apskaičiavimo, paskirstymo ir panaudojimo tvarkos aprašo patvirtinimo“ </w:t>
      </w:r>
      <w:r w:rsidRPr="00611D43">
        <w:rPr>
          <w:b/>
        </w:rPr>
        <w:t xml:space="preserve">PAKEITIMO PROJEKTO IR </w:t>
      </w:r>
      <w:r w:rsidRPr="00611D43">
        <w:rPr>
          <w:b/>
          <w:caps/>
        </w:rPr>
        <w:t xml:space="preserve">LIETUVOS RESPUBLIKOS VYRIAUSYBĖS 2019 M. RUGSĖJO 11 D. NUTARIMO NR. 934 „Dėl Profesinio mokymo lėšų skaičiavimo vienam mokiniui, kuris mokosi pagal formaliojo profesinio mokymo programą (išskyrus pataisos pareigūnų profesinio mokymo ir vidaus reikalų profesinio mokymo įstaigų vykdomas programas), metodikos patvirtinimo“ PAKEITIMO </w:t>
      </w:r>
      <w:r w:rsidRPr="00611D43">
        <w:rPr>
          <w:b/>
        </w:rPr>
        <w:t>PROJEKTO</w:t>
      </w:r>
    </w:p>
    <w:p w14:paraId="58B9A25A" w14:textId="77777777" w:rsidR="00F36C0F" w:rsidRPr="00CE0940" w:rsidRDefault="00F36C0F" w:rsidP="00BA72C3">
      <w:pPr>
        <w:ind w:left="426" w:hanging="142"/>
        <w:rPr>
          <w:b/>
        </w:rPr>
      </w:pPr>
      <w:r w:rsidRPr="00CE0940">
        <w:rPr>
          <w:b/>
          <w:caps/>
        </w:rPr>
        <w:t>DERINIMO PAŽYMA</w:t>
      </w:r>
    </w:p>
    <w:p w14:paraId="649629B7" w14:textId="77777777" w:rsidR="00F36C0F" w:rsidRPr="00CE0940" w:rsidRDefault="00F36C0F" w:rsidP="00BA72C3">
      <w:pPr>
        <w:ind w:left="426" w:hanging="142"/>
        <w:jc w:val="left"/>
        <w:rPr>
          <w:b/>
          <w:caps/>
        </w:rPr>
      </w:pPr>
    </w:p>
    <w:tbl>
      <w:tblPr>
        <w:tblW w:w="53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6948"/>
        <w:gridCol w:w="5685"/>
      </w:tblGrid>
      <w:tr w:rsidR="00F36C0F" w:rsidRPr="00CE0940" w14:paraId="7EF23EB4" w14:textId="77777777" w:rsidTr="00872B34">
        <w:trPr>
          <w:trHeight w:val="868"/>
          <w:tblHeader/>
          <w:jc w:val="center"/>
        </w:trPr>
        <w:tc>
          <w:tcPr>
            <w:tcW w:w="800" w:type="pct"/>
            <w:vAlign w:val="center"/>
          </w:tcPr>
          <w:p w14:paraId="6FCB3535" w14:textId="77777777" w:rsidR="00F36C0F" w:rsidRPr="00CE0940" w:rsidRDefault="00F36C0F" w:rsidP="00E56D62">
            <w:pPr>
              <w:rPr>
                <w:b/>
              </w:rPr>
            </w:pPr>
            <w:r w:rsidRPr="00CE0940">
              <w:rPr>
                <w:b/>
                <w:bCs/>
              </w:rPr>
              <w:t>Institucijos pavadinimas, rašto data ir numeris</w:t>
            </w:r>
          </w:p>
        </w:tc>
        <w:tc>
          <w:tcPr>
            <w:tcW w:w="2310" w:type="pct"/>
            <w:vAlign w:val="center"/>
          </w:tcPr>
          <w:p w14:paraId="61C52963" w14:textId="77777777" w:rsidR="00F36C0F" w:rsidRPr="00CE0940" w:rsidRDefault="00F36C0F" w:rsidP="00E56D62">
            <w:pPr>
              <w:rPr>
                <w:b/>
              </w:rPr>
            </w:pPr>
            <w:r w:rsidRPr="00CE0940">
              <w:rPr>
                <w:b/>
                <w:bCs/>
              </w:rPr>
              <w:t>Pastabos ir pasiūlymai</w:t>
            </w:r>
          </w:p>
        </w:tc>
        <w:tc>
          <w:tcPr>
            <w:tcW w:w="1890" w:type="pct"/>
            <w:vAlign w:val="center"/>
          </w:tcPr>
          <w:p w14:paraId="63D1B3F9" w14:textId="77777777" w:rsidR="00F36C0F" w:rsidRPr="00CE0940" w:rsidRDefault="00F36C0F" w:rsidP="00E56D62">
            <w:pPr>
              <w:rPr>
                <w:b/>
                <w:bCs/>
              </w:rPr>
            </w:pPr>
            <w:r w:rsidRPr="00CE0940">
              <w:rPr>
                <w:b/>
                <w:bCs/>
              </w:rPr>
              <w:t>Žyma apie pastabas ir pasiūlymus, į kuriuos neatsižvelgta arba atsižvelgta iš dalies</w:t>
            </w:r>
          </w:p>
        </w:tc>
      </w:tr>
      <w:tr w:rsidR="009F08D3" w:rsidRPr="00CE0940" w14:paraId="2F52680D" w14:textId="77777777" w:rsidTr="0052429D">
        <w:trPr>
          <w:trHeight w:val="688"/>
          <w:jc w:val="center"/>
        </w:trPr>
        <w:tc>
          <w:tcPr>
            <w:tcW w:w="5000" w:type="pct"/>
            <w:gridSpan w:val="3"/>
          </w:tcPr>
          <w:p w14:paraId="2E5C8B22" w14:textId="77777777" w:rsidR="009F08D3" w:rsidRPr="00CE0940" w:rsidRDefault="009F08D3" w:rsidP="00AF3169">
            <w:pPr>
              <w:pStyle w:val="Betarp"/>
              <w:jc w:val="both"/>
              <w:rPr>
                <w:rFonts w:ascii="Times New Roman" w:hAnsi="Times New Roman" w:cs="Times New Roman"/>
                <w:sz w:val="24"/>
                <w:szCs w:val="24"/>
              </w:rPr>
            </w:pPr>
            <w:r w:rsidRPr="00CE0940">
              <w:rPr>
                <w:rFonts w:ascii="Times New Roman" w:hAnsi="Times New Roman"/>
                <w:sz w:val="24"/>
                <w:szCs w:val="24"/>
                <w:lang w:eastAsia="lt-LT"/>
              </w:rPr>
              <w:t>Dėl Lietuvos Respublikos Vyriausybės nutarimo „Dėl Lietuvos Respublikos Vyriausybės 2018 m. liepos 11 d. nutarimo Nr. 679 „Dėl Mokymo lėšų apskaičiavimo, paskirstymo ir panaudojimo tvarkos aprašo patvirtinimo“ pakeitimo“ projekto</w:t>
            </w:r>
          </w:p>
        </w:tc>
      </w:tr>
      <w:tr w:rsidR="00EC1A7F" w:rsidRPr="00AE0246" w14:paraId="5EE19B29" w14:textId="77777777" w:rsidTr="00EC1A7F">
        <w:trPr>
          <w:trHeight w:val="688"/>
          <w:jc w:val="center"/>
        </w:trPr>
        <w:tc>
          <w:tcPr>
            <w:tcW w:w="800" w:type="pct"/>
          </w:tcPr>
          <w:p w14:paraId="2CD588D2" w14:textId="3089B847" w:rsidR="00EC1A7F" w:rsidRPr="00AE0246" w:rsidRDefault="00002A17" w:rsidP="00002A17">
            <w:pPr>
              <w:pStyle w:val="Betarp"/>
              <w:jc w:val="both"/>
              <w:rPr>
                <w:rFonts w:ascii="Times New Roman" w:hAnsi="Times New Roman" w:cs="Times New Roman"/>
                <w:sz w:val="24"/>
                <w:szCs w:val="24"/>
                <w:lang w:eastAsia="lt-LT"/>
              </w:rPr>
            </w:pPr>
            <w:r w:rsidRPr="00AE0246">
              <w:rPr>
                <w:rFonts w:ascii="Times New Roman" w:hAnsi="Times New Roman" w:cs="Times New Roman"/>
                <w:b/>
                <w:bCs/>
                <w:sz w:val="24"/>
                <w:szCs w:val="24"/>
              </w:rPr>
              <w:t>Lietuvos švietimo ir mokslo profesinės sąjungos</w:t>
            </w:r>
            <w:r w:rsidRPr="00AE0246">
              <w:rPr>
                <w:rFonts w:ascii="Times New Roman" w:hAnsi="Times New Roman" w:cs="Times New Roman"/>
                <w:sz w:val="24"/>
                <w:szCs w:val="24"/>
              </w:rPr>
              <w:t xml:space="preserve"> 2021 m. liepos 22 d. raštas Nr. Sd-122</w:t>
            </w:r>
          </w:p>
        </w:tc>
        <w:tc>
          <w:tcPr>
            <w:tcW w:w="2309" w:type="pct"/>
          </w:tcPr>
          <w:p w14:paraId="16EEB1AA" w14:textId="337C2C68" w:rsidR="00EC1A7F" w:rsidRPr="00AE0246" w:rsidRDefault="00002A17" w:rsidP="00002A17">
            <w:pPr>
              <w:pStyle w:val="Sraopastraipa"/>
              <w:tabs>
                <w:tab w:val="left" w:pos="747"/>
              </w:tabs>
              <w:suppressAutoHyphens/>
              <w:ind w:left="38"/>
              <w:jc w:val="both"/>
              <w:rPr>
                <w:szCs w:val="24"/>
                <w:lang w:eastAsia="lt-LT"/>
              </w:rPr>
            </w:pPr>
            <w:r w:rsidRPr="00AE0246">
              <w:t>1. Nepritaria projekto 1.13. p. „Pakeisti 3 priedą ir jį išdėstyti nauja redakcija (pridedama)“, nes fiziniam ugdymui (8 kl.) ir meniniam ugdymui pridedamų kontaktinių valandų skaičius (1-4 kl.) neatitinka 2021-2022 ir 2022-2023 mokslo metų pradinio, pagrindinio ir vidurinio ugdymo programų bendrųjų ugdymo planų.</w:t>
            </w:r>
          </w:p>
        </w:tc>
        <w:tc>
          <w:tcPr>
            <w:tcW w:w="1891" w:type="pct"/>
          </w:tcPr>
          <w:p w14:paraId="608B079C" w14:textId="4936E2A5" w:rsidR="00002A17" w:rsidRPr="00AE0246" w:rsidRDefault="00002A17" w:rsidP="00AE0246">
            <w:pPr>
              <w:shd w:val="clear" w:color="auto" w:fill="FFFFFF"/>
              <w:jc w:val="both"/>
            </w:pPr>
            <w:r w:rsidRPr="00AE0246">
              <w:rPr>
                <w:b/>
                <w:bCs/>
              </w:rPr>
              <w:t xml:space="preserve">Atsižvelgta iš dalies. </w:t>
            </w:r>
            <w:r w:rsidRPr="00AE0246">
              <w:t>Atsižvelgiant į šią pastabą, nutarimo projekte patikslintos valandos, skiriamos fizinio ugdymo pamokai 8 klasėje</w:t>
            </w:r>
            <w:r w:rsidR="00AE0246" w:rsidRPr="00AE0246">
              <w:t xml:space="preserve"> (vietoje 36 valandų pridedamos 37 valandos)</w:t>
            </w:r>
            <w:r w:rsidRPr="00AE0246">
              <w:t xml:space="preserve"> ir meninio ugdymo pamokai 1–4 klasėse</w:t>
            </w:r>
            <w:r w:rsidR="00AE0246" w:rsidRPr="00AE0246">
              <w:t xml:space="preserve"> (</w:t>
            </w:r>
            <w:r w:rsidR="004A08DC">
              <w:t xml:space="preserve">klasei </w:t>
            </w:r>
            <w:r w:rsidR="00AE0246" w:rsidRPr="00AE0246">
              <w:t>vietoje 34 valandų pridedamos 35 valandos).</w:t>
            </w:r>
          </w:p>
          <w:p w14:paraId="1B6B6DD7" w14:textId="75C5DA1F" w:rsidR="00AE0246" w:rsidRPr="00AE0246" w:rsidRDefault="00002A17" w:rsidP="00AE0246">
            <w:pPr>
              <w:shd w:val="clear" w:color="auto" w:fill="FFFFFF"/>
              <w:jc w:val="both"/>
            </w:pPr>
            <w:r w:rsidRPr="00AE0246">
              <w:t>Taip pat patikslinti</w:t>
            </w:r>
            <w:r w:rsidR="004A08DC">
              <w:t xml:space="preserve"> 1-10 klasių</w:t>
            </w:r>
            <w:r w:rsidRPr="00AE0246">
              <w:t xml:space="preserve"> kontaktinių valandų skaičiai klasei ir vienai sąlyginei pareigybei, kad jie atitiktų ugdymo trukmę</w:t>
            </w:r>
            <w:r w:rsidR="00AE0246" w:rsidRPr="00AE0246">
              <w:t xml:space="preserve">, nurodytą </w:t>
            </w:r>
            <w:r w:rsidRPr="00AE0246">
              <w:t>Bendruosiu</w:t>
            </w:r>
            <w:r w:rsidR="00AE0246" w:rsidRPr="00AE0246">
              <w:t xml:space="preserve">ose </w:t>
            </w:r>
            <w:r w:rsidRPr="00AE0246">
              <w:t>ugdymo planu</w:t>
            </w:r>
            <w:r w:rsidR="00AE0246" w:rsidRPr="00AE0246">
              <w:t>ose. Dėl šių pakeitimų sąlyginių pareigybių skaičius ir lėšų poreikis nedidėtų, nes, didinant klasės kontaktinių valandų skaičių, atitinkamai didėtų ir vienai pareigybei tenkančių valandų skaičius.</w:t>
            </w:r>
          </w:p>
          <w:p w14:paraId="6D11CC90" w14:textId="158929D7" w:rsidR="00EC1A7F" w:rsidRPr="00AE0246" w:rsidRDefault="00AE0246" w:rsidP="00AE0246">
            <w:pPr>
              <w:shd w:val="clear" w:color="auto" w:fill="FFFFFF"/>
              <w:jc w:val="both"/>
            </w:pPr>
            <w:r w:rsidRPr="00AE0246">
              <w:t xml:space="preserve">LŠMPS pritaria klasės kontaktinių valandų skaičiaus padidinimui, tačiau nepritaria, kad būtų didinamas vienai pareigybei tenkantis valandų skaičius ir siūlo jo nekeisti. Įgyvendinti </w:t>
            </w:r>
            <w:r w:rsidR="00B82F66">
              <w:t>šį</w:t>
            </w:r>
            <w:r w:rsidRPr="00AE0246">
              <w:t xml:space="preserve"> pasiūlymą nėra galimybių, nes tokiu atveju didėtų sąlyginių pareigybių skaičius ir joms finansuoti prireiktų apie 15 mln. Eur per metus.</w:t>
            </w:r>
          </w:p>
        </w:tc>
      </w:tr>
      <w:tr w:rsidR="00D55AE4" w:rsidRPr="00CE0940" w14:paraId="4CD1E1DF" w14:textId="77777777" w:rsidTr="00872B34">
        <w:trPr>
          <w:trHeight w:val="5911"/>
          <w:jc w:val="center"/>
        </w:trPr>
        <w:tc>
          <w:tcPr>
            <w:tcW w:w="800" w:type="pct"/>
          </w:tcPr>
          <w:p w14:paraId="1760D8C9" w14:textId="78CECC8A" w:rsidR="00D55AE4" w:rsidRPr="00CE0940" w:rsidRDefault="00D55AE4" w:rsidP="002F68F9">
            <w:pPr>
              <w:jc w:val="left"/>
              <w:rPr>
                <w:bCs/>
              </w:rPr>
            </w:pPr>
          </w:p>
        </w:tc>
        <w:tc>
          <w:tcPr>
            <w:tcW w:w="2310" w:type="pct"/>
          </w:tcPr>
          <w:p w14:paraId="7969532F" w14:textId="4E7362D2" w:rsidR="00D55AE4" w:rsidRPr="00CE0940" w:rsidRDefault="00002A17" w:rsidP="005966FF">
            <w:pPr>
              <w:pStyle w:val="Sraopastraipa"/>
              <w:tabs>
                <w:tab w:val="left" w:pos="747"/>
              </w:tabs>
              <w:suppressAutoHyphens/>
              <w:ind w:left="38"/>
              <w:jc w:val="both"/>
              <w:rPr>
                <w:rFonts w:eastAsia="SimSun"/>
              </w:rPr>
            </w:pPr>
            <w:r>
              <w:t>2</w:t>
            </w:r>
            <w:r w:rsidR="00D55AE4" w:rsidRPr="00CE0940">
              <w:t>. Nepritaria projekto 1.13. p. „Pakeisti 3 priedą ir jį išdėstyti nauja redakcija (pridedama)“, kadangi, vadovaujantis LR Švietimo, mokslo ir sporto ministro 2021 m. gegužės 3 d. įsakymo Nr. V-688 „Dėl 2021-2022 ir 2022-2023 mokslo metų pradinio, pagrindinio ir vidurinio ugdymo programų bendrųjų ugdymo planų patvirtinimo” 41.7 p., kuriuo nustatyta, kad mokymosi pagalba ugdymo procese turi būti teikiama kiekvienam mokiniui, kuriam ji reikalinga (ypač svarbi mokymosi pagalba mokiniui patyrusiam mokymosi sunkumų COVID-19 pandemijos metu), tačiau 3 priedo 5 p. nurodoma, kad visų 1-10, III-IV gimnazijų klasėms (visų sąlyginių dydžių klasėms) nėra tam skirta papildomai nei viena kontaktinė valanda per mokslo metus. LŠMPS atkreipia dėmesį, kad to pačio įsakymo 76, 110, 129 p. nustato, kad mokyklos ugdymo plano kontaktinių valandų skaičius negali viršyti Mokymo lėšų apskaičiavimo, paskirstymo ir panaudojimo tvarkos apraše, patvirtintame LR Vyriausybės 2018 m. liepos 11 d. nutarimu Nr. 679 „Dėl Mokymo lėšų apskaičiavimo, paskirstymo ir panaudojimo tvarkos aprašo patvirtinimo“, numatyto kontaktinių valandų skaičiaus</w:t>
            </w:r>
            <w:r w:rsidR="005966FF" w:rsidRPr="00CE0940">
              <w:t>.</w:t>
            </w:r>
          </w:p>
        </w:tc>
        <w:tc>
          <w:tcPr>
            <w:tcW w:w="1890" w:type="pct"/>
            <w:shd w:val="clear" w:color="auto" w:fill="auto"/>
          </w:tcPr>
          <w:p w14:paraId="7AEBFAA7" w14:textId="733E6B0A" w:rsidR="00012754" w:rsidRPr="005E4142" w:rsidRDefault="00A37CD9" w:rsidP="005E4142">
            <w:pPr>
              <w:shd w:val="clear" w:color="auto" w:fill="FFFFFF"/>
              <w:jc w:val="both"/>
              <w:rPr>
                <w:b/>
                <w:bCs/>
              </w:rPr>
            </w:pPr>
            <w:r>
              <w:rPr>
                <w:b/>
                <w:bCs/>
              </w:rPr>
              <w:t>Neatsižvelgta</w:t>
            </w:r>
            <w:r w:rsidR="00D55AE4" w:rsidRPr="00CE0940">
              <w:rPr>
                <w:b/>
                <w:bCs/>
              </w:rPr>
              <w:t>.</w:t>
            </w:r>
            <w:r w:rsidR="005E4142">
              <w:rPr>
                <w:b/>
                <w:bCs/>
              </w:rPr>
              <w:t xml:space="preserve"> </w:t>
            </w:r>
            <w:r w:rsidR="00012754" w:rsidRPr="00CE0940">
              <w:rPr>
                <w:color w:val="000000"/>
                <w:bdr w:val="none" w:sz="0" w:space="0" w:color="auto" w:frame="1"/>
                <w:lang w:bidi="lo-LA"/>
              </w:rPr>
              <w:t>Lėšos</w:t>
            </w:r>
            <w:r w:rsidR="00012754" w:rsidRPr="00CE0940">
              <w:rPr>
                <w:b/>
                <w:bCs/>
                <w:color w:val="000000"/>
                <w:bdr w:val="none" w:sz="0" w:space="0" w:color="auto" w:frame="1"/>
              </w:rPr>
              <w:t xml:space="preserve"> </w:t>
            </w:r>
            <w:r w:rsidR="00012754" w:rsidRPr="00CE0940">
              <w:rPr>
                <w:color w:val="000000"/>
                <w:bdr w:val="none" w:sz="0" w:space="0" w:color="auto" w:frame="1"/>
                <w:lang w:bidi="lo-LA"/>
              </w:rPr>
              <w:t>papildomoms mokinių konsultacijoms mokymosi praradimams kompensuoti</w:t>
            </w:r>
            <w:r w:rsidR="00012754" w:rsidRPr="00CE0940">
              <w:rPr>
                <w:color w:val="000000"/>
                <w:bdr w:val="none" w:sz="0" w:space="0" w:color="auto" w:frame="1"/>
              </w:rPr>
              <w:t xml:space="preserve"> skiriamos, atsižvelgiant į ypatingą situaciją, susidariusią </w:t>
            </w:r>
            <w:r w:rsidR="00012754" w:rsidRPr="00CE0940">
              <w:rPr>
                <w:color w:val="000000"/>
                <w:bdr w:val="none" w:sz="0" w:space="0" w:color="auto" w:frame="1"/>
                <w:lang w:bidi="lo-LA"/>
              </w:rPr>
              <w:t>COVID</w:t>
            </w:r>
            <w:r w:rsidR="00CE0940">
              <w:rPr>
                <w:color w:val="000000"/>
                <w:bdr w:val="none" w:sz="0" w:space="0" w:color="auto" w:frame="1"/>
                <w:lang w:bidi="lo-LA"/>
              </w:rPr>
              <w:t>-19</w:t>
            </w:r>
            <w:r w:rsidR="00012754" w:rsidRPr="00CE0940">
              <w:rPr>
                <w:color w:val="000000"/>
                <w:bdr w:val="none" w:sz="0" w:space="0" w:color="auto" w:frame="1"/>
                <w:lang w:bidi="lo-LA"/>
              </w:rPr>
              <w:t xml:space="preserve"> pandemijos metu</w:t>
            </w:r>
            <w:r w:rsidR="00CE0940">
              <w:rPr>
                <w:color w:val="000000"/>
                <w:bdr w:val="none" w:sz="0" w:space="0" w:color="auto" w:frame="1"/>
                <w:lang w:bidi="lo-LA"/>
              </w:rPr>
              <w:t>,</w:t>
            </w:r>
            <w:r w:rsidR="00012754" w:rsidRPr="00CE0940">
              <w:rPr>
                <w:color w:val="000000"/>
                <w:bdr w:val="none" w:sz="0" w:space="0" w:color="auto" w:frame="1"/>
                <w:lang w:bidi="lo-LA"/>
              </w:rPr>
              <w:t xml:space="preserve"> ir jos paskirstomos, vadovaujantis specialia</w:t>
            </w:r>
            <w:r w:rsidR="00CE75FC" w:rsidRPr="00CE0940">
              <w:rPr>
                <w:color w:val="000000"/>
                <w:bdr w:val="none" w:sz="0" w:space="0" w:color="auto" w:frame="1"/>
                <w:lang w:bidi="lo-LA"/>
              </w:rPr>
              <w:t>is teisės aktais (</w:t>
            </w:r>
            <w:r w:rsidR="00012754" w:rsidRPr="00CE0940">
              <w:rPr>
                <w:color w:val="000000"/>
              </w:rPr>
              <w:t xml:space="preserve">Lietuvos Respublikos švietimo, mokslo ir sporto ministro </w:t>
            </w:r>
            <w:r w:rsidR="00CE75FC" w:rsidRPr="00CE0940">
              <w:rPr>
                <w:color w:val="000000"/>
              </w:rPr>
              <w:t>2021 m. vasario 8 d. įsakymu Nr. V-208 „Dėl Konsultacijų mokiniams, patiriantiems mokymosi sunkumų, finansavimo 2021 metais tvarkos aprašo patvirtinimo ir lėšų skyrimo savivaldybėms ir valstybinėms mokykloms</w:t>
            </w:r>
            <w:r w:rsidR="00CE0940">
              <w:rPr>
                <w:color w:val="000000"/>
              </w:rPr>
              <w:t>“</w:t>
            </w:r>
            <w:r w:rsidR="00CE75FC" w:rsidRPr="00CE0940">
              <w:rPr>
                <w:color w:val="000000"/>
              </w:rPr>
              <w:t xml:space="preserve">, </w:t>
            </w:r>
            <w:r w:rsidR="00012754" w:rsidRPr="00CE0940">
              <w:rPr>
                <w:color w:val="000000"/>
              </w:rPr>
              <w:t xml:space="preserve">2021 m. kovo 30 d. įsakymu Nr. V-497 „Dėl Mokinių, pasirinkusių laikyti brandos egzaminus 2021 metais ir dėl </w:t>
            </w:r>
            <w:r w:rsidR="00CE0940" w:rsidRPr="00CE0940">
              <w:rPr>
                <w:color w:val="000000"/>
              </w:rPr>
              <w:t>COVID</w:t>
            </w:r>
            <w:r w:rsidR="00012754" w:rsidRPr="00CE0940">
              <w:rPr>
                <w:color w:val="000000"/>
              </w:rPr>
              <w:t>-19 pandemijos patyrusių mokymosi praradimų, tiesioginių konsultacijų finansavimo tvarkos aprašo patvirtinimo ir lėšų skyrimo savivaldybėms ir valstybinėms mokykloms“</w:t>
            </w:r>
            <w:r w:rsidR="00CE75FC" w:rsidRPr="00CE0940">
              <w:rPr>
                <w:color w:val="000000"/>
              </w:rPr>
              <w:t xml:space="preserve">), todėl </w:t>
            </w:r>
            <w:r w:rsidR="00CE75FC" w:rsidRPr="00CE0940">
              <w:t>Mokymo lėšų apskaičiavimo, paskirstymo ir panaudojimo tvarkos apraše šie atvejai neturi būti reglamentuojami.</w:t>
            </w:r>
          </w:p>
          <w:p w14:paraId="7111A41D" w14:textId="12E312C7" w:rsidR="00D55AE4" w:rsidRPr="00CE0940" w:rsidRDefault="00052032" w:rsidP="00AE0246">
            <w:pPr>
              <w:shd w:val="clear" w:color="auto" w:fill="FFFFFF"/>
              <w:jc w:val="both"/>
              <w:rPr>
                <w:color w:val="000000"/>
                <w:bdr w:val="none" w:sz="0" w:space="0" w:color="auto" w:frame="1"/>
              </w:rPr>
            </w:pPr>
            <w:r w:rsidRPr="00CE0940">
              <w:t>Paminėtina, kad Švietimo, mokslo ir sporto m</w:t>
            </w:r>
            <w:r w:rsidRPr="00CE0940">
              <w:rPr>
                <w:color w:val="000000"/>
                <w:bdr w:val="none" w:sz="0" w:space="0" w:color="auto" w:frame="1"/>
                <w:lang w:bidi="lo-LA"/>
              </w:rPr>
              <w:t>inisterija (toliau – ŠMSM) yra pateikusi prašymą dėl papildomų lėšų skyrimo 2021 m. iš Vyriausybės rezervo visų klasių mokinių konsultacijoms naujais mokslo metais. Šios lėšos būtų paskirstytos, vadovaujantis a</w:t>
            </w:r>
            <w:r w:rsidR="00CE0940">
              <w:rPr>
                <w:color w:val="000000"/>
                <w:bdr w:val="none" w:sz="0" w:space="0" w:color="auto" w:frame="1"/>
                <w:lang w:bidi="lo-LA"/>
              </w:rPr>
              <w:t>n</w:t>
            </w:r>
            <w:r w:rsidRPr="00CE0940">
              <w:rPr>
                <w:color w:val="000000"/>
                <w:bdr w:val="none" w:sz="0" w:space="0" w:color="auto" w:frame="1"/>
                <w:lang w:bidi="lo-LA"/>
              </w:rPr>
              <w:t>k</w:t>
            </w:r>
            <w:r w:rsidR="00CE0940">
              <w:rPr>
                <w:color w:val="000000"/>
                <w:bdr w:val="none" w:sz="0" w:space="0" w:color="auto" w:frame="1"/>
                <w:lang w:bidi="lo-LA"/>
              </w:rPr>
              <w:t>s</w:t>
            </w:r>
            <w:r w:rsidRPr="00CE0940">
              <w:rPr>
                <w:color w:val="000000"/>
                <w:bdr w:val="none" w:sz="0" w:space="0" w:color="auto" w:frame="1"/>
                <w:lang w:bidi="lo-LA"/>
              </w:rPr>
              <w:t>čiau nurodytais švietimo, mokslo ir sporto ministro įsakymais.</w:t>
            </w:r>
            <w:r w:rsidR="00012754" w:rsidRPr="00CE0940">
              <w:rPr>
                <w:color w:val="000000"/>
                <w:bdr w:val="none" w:sz="0" w:space="0" w:color="auto" w:frame="1"/>
                <w:lang w:bidi="lo-LA"/>
              </w:rPr>
              <w:t xml:space="preserve"> </w:t>
            </w:r>
          </w:p>
        </w:tc>
      </w:tr>
      <w:tr w:rsidR="009F08D3" w:rsidRPr="00CE0940" w14:paraId="7E95BBDC" w14:textId="77777777" w:rsidTr="0052429D">
        <w:trPr>
          <w:trHeight w:val="849"/>
          <w:jc w:val="center"/>
        </w:trPr>
        <w:tc>
          <w:tcPr>
            <w:tcW w:w="5000" w:type="pct"/>
            <w:gridSpan w:val="3"/>
            <w:vAlign w:val="center"/>
          </w:tcPr>
          <w:p w14:paraId="2AD3133C" w14:textId="77777777" w:rsidR="009F08D3" w:rsidRPr="00CE0940" w:rsidRDefault="009F08D3" w:rsidP="00AF3169">
            <w:pPr>
              <w:shd w:val="clear" w:color="auto" w:fill="FFFFFF"/>
              <w:jc w:val="left"/>
              <w:rPr>
                <w:b/>
                <w:bCs/>
              </w:rPr>
            </w:pPr>
            <w:r w:rsidRPr="00CE0940">
              <w:t>Dėl Lietuvos Respublikos Vyriausybės nutarimo „Dėl Lietuvos Respublikos Vyriausybės 2019 m. rugsėjo 11 d. nutarimo Nr. 934 „Dėl Profesinio mokymo lėšų skaičiavimo vienam mokiniui, kuris mokosi pagal formaliojo profesinio mokymo programą (išskyrus pataisos pareigūnų profesinio mokymo ir vidaus reikalų profesinio mokymo įstaigų vykdomas programas), metodikos patvirtinimo“ pakeitimo“ projekto</w:t>
            </w:r>
          </w:p>
        </w:tc>
      </w:tr>
      <w:tr w:rsidR="009F08D3" w:rsidRPr="00CE0940" w14:paraId="1F2FD003" w14:textId="77777777" w:rsidTr="00872B34">
        <w:trPr>
          <w:trHeight w:val="1259"/>
          <w:jc w:val="center"/>
        </w:trPr>
        <w:tc>
          <w:tcPr>
            <w:tcW w:w="800" w:type="pct"/>
          </w:tcPr>
          <w:p w14:paraId="5154E9AC" w14:textId="77777777" w:rsidR="009F08D3" w:rsidRPr="00CE0940" w:rsidRDefault="009F08D3" w:rsidP="009F08D3">
            <w:pPr>
              <w:jc w:val="left"/>
              <w:rPr>
                <w:b/>
                <w:bCs/>
              </w:rPr>
            </w:pPr>
            <w:r w:rsidRPr="00CE0940">
              <w:rPr>
                <w:b/>
              </w:rPr>
              <w:t>Teisingumo ministerijos</w:t>
            </w:r>
            <w:r w:rsidRPr="00CE0940">
              <w:rPr>
                <w:bCs/>
              </w:rPr>
              <w:t xml:space="preserve"> 2021-07-27 raštas Nr. (1.6Mr)2T-794</w:t>
            </w:r>
          </w:p>
        </w:tc>
        <w:tc>
          <w:tcPr>
            <w:tcW w:w="2310" w:type="pct"/>
          </w:tcPr>
          <w:p w14:paraId="419543FA" w14:textId="23DE0EAF" w:rsidR="009F08D3" w:rsidRPr="00CE0940" w:rsidRDefault="00AE0246" w:rsidP="00AE0246">
            <w:pPr>
              <w:tabs>
                <w:tab w:val="left" w:pos="670"/>
              </w:tabs>
              <w:ind w:left="32"/>
              <w:jc w:val="both"/>
            </w:pPr>
            <w:r w:rsidRPr="00AE0246">
              <w:rPr>
                <w:shd w:val="clear" w:color="auto" w:fill="FFFFFF"/>
                <w:lang w:eastAsia="en-GB"/>
              </w:rPr>
              <w:t xml:space="preserve">1. </w:t>
            </w:r>
            <w:r w:rsidR="009F08D3" w:rsidRPr="00AE0246">
              <w:rPr>
                <w:shd w:val="clear" w:color="auto" w:fill="FFFFFF"/>
                <w:lang w:eastAsia="en-GB"/>
              </w:rPr>
              <w:t xml:space="preserve">Siūlytina įvertinti papildomų etatų steigimui numatyto finansavimo panaudojimo pagal kitą paskirtį (pvz., jau dirbančių darbuotojų skatinimui) riziką ir numatyti saugiklius tinkamam jo panaudojimui. Dabartinės Profesinio mokymo lėšų skaičiavimo vienam mokiniui, kuris mokosi pagal formaliojo profesinio mokymo programą (išskyrus pataisos pareigūnų profesinio mokymo ir vidaus reikalų profesinio </w:t>
            </w:r>
            <w:r w:rsidR="009F08D3" w:rsidRPr="00AE0246">
              <w:rPr>
                <w:shd w:val="clear" w:color="auto" w:fill="FFFFFF"/>
                <w:lang w:eastAsia="en-GB"/>
              </w:rPr>
              <w:lastRenderedPageBreak/>
              <w:t>mokymo įstaigų vykdomas programas), metodikos nuostatos to neužtikrina.</w:t>
            </w:r>
          </w:p>
        </w:tc>
        <w:tc>
          <w:tcPr>
            <w:tcW w:w="1890" w:type="pct"/>
            <w:shd w:val="clear" w:color="auto" w:fill="auto"/>
          </w:tcPr>
          <w:p w14:paraId="165D9528" w14:textId="7E398031" w:rsidR="009F08D3" w:rsidRPr="00CE0940" w:rsidRDefault="00161B60" w:rsidP="00AE0246">
            <w:pPr>
              <w:shd w:val="clear" w:color="auto" w:fill="FFFFFF"/>
              <w:jc w:val="both"/>
            </w:pPr>
            <w:r w:rsidRPr="00CE0940">
              <w:rPr>
                <w:b/>
                <w:bCs/>
              </w:rPr>
              <w:lastRenderedPageBreak/>
              <w:t xml:space="preserve">Neatsižvelgta. </w:t>
            </w:r>
            <w:r w:rsidR="004B5D94" w:rsidRPr="00CE0940">
              <w:t xml:space="preserve">Manome, kad papildomų saugiklių ir apribojimų naudoti švietimo pagalbai skiriamas lėšas įvedimas, detalizuojant šių lėšų apskaičiavimą ir preciziškai reglamentuojant šių lėšų panaudojimo paskirtį, susiaurintų švietimo pagalbos organizavimo galimybes. Pažymėtina, kad atskirose mokyklose švietimo pagalbos poreikiai labai skirtingi ir </w:t>
            </w:r>
            <w:r w:rsidR="00A0773B" w:rsidRPr="00CE0940">
              <w:t xml:space="preserve">būtina </w:t>
            </w:r>
            <w:r w:rsidR="00A0773B" w:rsidRPr="00CE0940">
              <w:lastRenderedPageBreak/>
              <w:t>sukurti prielaidas juos patenkinti, atsižvelgiant į specifinę situaciją. Švietimo pagalbos paslaugos mokykloje gali būti plėtojamos įvairiais būdais: didinant esamų specialistų darbo užmokestį, skiriant jiems paskatinimą, perkant paslaugas ar kuriant papildomas specialistų pareigybes. Metodikos pakeitimo tikslas – sudaryti geresnes finansines prielaidas suteikti būtiną švietimo pagalbą, tačiau tinkamiausią formą, kaip tai bus daroma, turėtų pasirinkti pati mokykla.</w:t>
            </w:r>
          </w:p>
        </w:tc>
      </w:tr>
    </w:tbl>
    <w:p w14:paraId="084BCA93" w14:textId="77777777" w:rsidR="000010EC" w:rsidRPr="00CE0940" w:rsidRDefault="000010EC" w:rsidP="001210F9"/>
    <w:p w14:paraId="5EA727D1" w14:textId="77777777" w:rsidR="0056717A" w:rsidRPr="00CE0940" w:rsidRDefault="001210F9" w:rsidP="001210F9">
      <w:r w:rsidRPr="00CE0940">
        <w:t>_____________________________</w:t>
      </w:r>
    </w:p>
    <w:sectPr w:rsidR="0056717A" w:rsidRPr="00CE0940" w:rsidSect="003B176D">
      <w:headerReference w:type="even" r:id="rId11"/>
      <w:headerReference w:type="default" r:id="rId12"/>
      <w:pgSz w:w="16838" w:h="11906" w:orient="landscape" w:code="9"/>
      <w:pgMar w:top="851" w:right="1103" w:bottom="142" w:left="1560"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5F92D" w14:textId="77777777" w:rsidR="007963F1" w:rsidRDefault="007963F1">
      <w:r>
        <w:separator/>
      </w:r>
    </w:p>
  </w:endnote>
  <w:endnote w:type="continuationSeparator" w:id="0">
    <w:p w14:paraId="25E743FC" w14:textId="77777777" w:rsidR="007963F1" w:rsidRDefault="0079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9BE02" w14:textId="77777777" w:rsidR="007963F1" w:rsidRDefault="007963F1">
      <w:r>
        <w:separator/>
      </w:r>
    </w:p>
  </w:footnote>
  <w:footnote w:type="continuationSeparator" w:id="0">
    <w:p w14:paraId="4FD1A56E" w14:textId="77777777" w:rsidR="007963F1" w:rsidRDefault="00796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37B52" w14:textId="77777777" w:rsidR="00251BE5" w:rsidRDefault="00F36C0F" w:rsidP="009320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DEBBEC" w14:textId="77777777" w:rsidR="00251BE5" w:rsidRDefault="007963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757C" w14:textId="115FC77E" w:rsidR="00141E12" w:rsidRDefault="00F36C0F">
    <w:pPr>
      <w:pStyle w:val="Antrats"/>
    </w:pPr>
    <w:r>
      <w:fldChar w:fldCharType="begin"/>
    </w:r>
    <w:r>
      <w:instrText>PAGE   \* MERGEFORMAT</w:instrText>
    </w:r>
    <w:r>
      <w:fldChar w:fldCharType="separate"/>
    </w:r>
    <w:r w:rsidR="00D22837" w:rsidRPr="00D22837">
      <w:rPr>
        <w:noProof/>
        <w:lang w:val="lt-LT"/>
      </w:rPr>
      <w:t>3</w:t>
    </w:r>
    <w:r>
      <w:fldChar w:fldCharType="end"/>
    </w:r>
  </w:p>
  <w:p w14:paraId="5978132D" w14:textId="77777777" w:rsidR="00251BE5" w:rsidRDefault="007963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41A"/>
    <w:multiLevelType w:val="hybridMultilevel"/>
    <w:tmpl w:val="C870FB1C"/>
    <w:lvl w:ilvl="0" w:tplc="04270017">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007B86"/>
    <w:multiLevelType w:val="hybridMultilevel"/>
    <w:tmpl w:val="15E09A3C"/>
    <w:lvl w:ilvl="0" w:tplc="0B8A17D8">
      <w:start w:val="1"/>
      <w:numFmt w:val="decimal"/>
      <w:lvlText w:val="%1."/>
      <w:lvlJc w:val="left"/>
      <w:pPr>
        <w:ind w:left="747" w:hanging="360"/>
      </w:pPr>
      <w:rPr>
        <w:rFonts w:hint="default"/>
      </w:rPr>
    </w:lvl>
    <w:lvl w:ilvl="1" w:tplc="04270019" w:tentative="1">
      <w:start w:val="1"/>
      <w:numFmt w:val="lowerLetter"/>
      <w:lvlText w:val="%2."/>
      <w:lvlJc w:val="left"/>
      <w:pPr>
        <w:ind w:left="1467" w:hanging="360"/>
      </w:pPr>
    </w:lvl>
    <w:lvl w:ilvl="2" w:tplc="0427001B" w:tentative="1">
      <w:start w:val="1"/>
      <w:numFmt w:val="lowerRoman"/>
      <w:lvlText w:val="%3."/>
      <w:lvlJc w:val="right"/>
      <w:pPr>
        <w:ind w:left="2187" w:hanging="180"/>
      </w:pPr>
    </w:lvl>
    <w:lvl w:ilvl="3" w:tplc="0427000F" w:tentative="1">
      <w:start w:val="1"/>
      <w:numFmt w:val="decimal"/>
      <w:lvlText w:val="%4."/>
      <w:lvlJc w:val="left"/>
      <w:pPr>
        <w:ind w:left="2907" w:hanging="360"/>
      </w:pPr>
    </w:lvl>
    <w:lvl w:ilvl="4" w:tplc="04270019" w:tentative="1">
      <w:start w:val="1"/>
      <w:numFmt w:val="lowerLetter"/>
      <w:lvlText w:val="%5."/>
      <w:lvlJc w:val="left"/>
      <w:pPr>
        <w:ind w:left="3627" w:hanging="360"/>
      </w:pPr>
    </w:lvl>
    <w:lvl w:ilvl="5" w:tplc="0427001B" w:tentative="1">
      <w:start w:val="1"/>
      <w:numFmt w:val="lowerRoman"/>
      <w:lvlText w:val="%6."/>
      <w:lvlJc w:val="right"/>
      <w:pPr>
        <w:ind w:left="4347" w:hanging="180"/>
      </w:pPr>
    </w:lvl>
    <w:lvl w:ilvl="6" w:tplc="0427000F" w:tentative="1">
      <w:start w:val="1"/>
      <w:numFmt w:val="decimal"/>
      <w:lvlText w:val="%7."/>
      <w:lvlJc w:val="left"/>
      <w:pPr>
        <w:ind w:left="5067" w:hanging="360"/>
      </w:pPr>
    </w:lvl>
    <w:lvl w:ilvl="7" w:tplc="04270019" w:tentative="1">
      <w:start w:val="1"/>
      <w:numFmt w:val="lowerLetter"/>
      <w:lvlText w:val="%8."/>
      <w:lvlJc w:val="left"/>
      <w:pPr>
        <w:ind w:left="5787" w:hanging="360"/>
      </w:pPr>
    </w:lvl>
    <w:lvl w:ilvl="8" w:tplc="0427001B" w:tentative="1">
      <w:start w:val="1"/>
      <w:numFmt w:val="lowerRoman"/>
      <w:lvlText w:val="%9."/>
      <w:lvlJc w:val="right"/>
      <w:pPr>
        <w:ind w:left="6507" w:hanging="180"/>
      </w:pPr>
    </w:lvl>
  </w:abstractNum>
  <w:abstractNum w:abstractNumId="2" w15:restartNumberingAfterBreak="0">
    <w:nsid w:val="1D6307D2"/>
    <w:multiLevelType w:val="hybridMultilevel"/>
    <w:tmpl w:val="2814D3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282591"/>
    <w:multiLevelType w:val="hybridMultilevel"/>
    <w:tmpl w:val="92C2BD54"/>
    <w:lvl w:ilvl="0" w:tplc="EFE0F968">
      <w:start w:val="1"/>
      <w:numFmt w:val="decimal"/>
      <w:lvlText w:val="%1."/>
      <w:lvlJc w:val="left"/>
      <w:pPr>
        <w:ind w:left="360" w:hanging="360"/>
      </w:pPr>
      <w:rPr>
        <w:sz w:val="24"/>
        <w:szCs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31B537E2"/>
    <w:multiLevelType w:val="hybridMultilevel"/>
    <w:tmpl w:val="78E69176"/>
    <w:lvl w:ilvl="0" w:tplc="B016B634">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 w15:restartNumberingAfterBreak="0">
    <w:nsid w:val="36EE1173"/>
    <w:multiLevelType w:val="hybridMultilevel"/>
    <w:tmpl w:val="48C88236"/>
    <w:lvl w:ilvl="0" w:tplc="3CDA0056">
      <w:start w:val="1"/>
      <w:numFmt w:val="decimal"/>
      <w:lvlText w:val="%1."/>
      <w:lvlJc w:val="left"/>
      <w:pPr>
        <w:ind w:left="360"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3A8A7AFF"/>
    <w:multiLevelType w:val="hybridMultilevel"/>
    <w:tmpl w:val="1C506AEA"/>
    <w:lvl w:ilvl="0" w:tplc="80F84AF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3E254CF6"/>
    <w:multiLevelType w:val="hybridMultilevel"/>
    <w:tmpl w:val="6D445DCE"/>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8" w15:restartNumberingAfterBreak="0">
    <w:nsid w:val="482906C5"/>
    <w:multiLevelType w:val="hybridMultilevel"/>
    <w:tmpl w:val="2B84D43A"/>
    <w:lvl w:ilvl="0" w:tplc="E6A878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85E121A"/>
    <w:multiLevelType w:val="hybridMultilevel"/>
    <w:tmpl w:val="48C88236"/>
    <w:lvl w:ilvl="0" w:tplc="3CDA005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4E1B35F5"/>
    <w:multiLevelType w:val="hybridMultilevel"/>
    <w:tmpl w:val="4C7CC652"/>
    <w:lvl w:ilvl="0" w:tplc="FA3C7E42">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1" w15:restartNumberingAfterBreak="0">
    <w:nsid w:val="57452C70"/>
    <w:multiLevelType w:val="multilevel"/>
    <w:tmpl w:val="087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50F75"/>
    <w:multiLevelType w:val="hybridMultilevel"/>
    <w:tmpl w:val="88640DCA"/>
    <w:lvl w:ilvl="0" w:tplc="A5261A3A">
      <w:start w:val="3"/>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69D15273"/>
    <w:multiLevelType w:val="hybridMultilevel"/>
    <w:tmpl w:val="CA1C26B8"/>
    <w:lvl w:ilvl="0" w:tplc="ADCAC930">
      <w:start w:val="1"/>
      <w:numFmt w:val="decimal"/>
      <w:lvlText w:val="%1."/>
      <w:lvlJc w:val="left"/>
      <w:pPr>
        <w:ind w:left="1069" w:hanging="360"/>
      </w:pPr>
      <w:rPr>
        <w:b w:val="0"/>
        <w:i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7A3401D2"/>
    <w:multiLevelType w:val="hybridMultilevel"/>
    <w:tmpl w:val="3FF28608"/>
    <w:lvl w:ilvl="0" w:tplc="6D98E18C">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7D155C81"/>
    <w:multiLevelType w:val="hybridMultilevel"/>
    <w:tmpl w:val="6F826E8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0"/>
  </w:num>
  <w:num w:numId="5">
    <w:abstractNumId w:val="8"/>
  </w:num>
  <w:num w:numId="6">
    <w:abstractNumId w:val="2"/>
  </w:num>
  <w:num w:numId="7">
    <w:abstractNumId w:val="15"/>
  </w:num>
  <w:num w:numId="8">
    <w:abstractNumId w:val="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10"/>
  </w:num>
  <w:num w:numId="13">
    <w:abstractNumId w:val="4"/>
  </w:num>
  <w:num w:numId="14">
    <w:abstractNumId w:val="12"/>
  </w:num>
  <w:num w:numId="15">
    <w:abstractNumId w:val="11"/>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0F"/>
    <w:rsid w:val="000008CB"/>
    <w:rsid w:val="000010EC"/>
    <w:rsid w:val="00002A17"/>
    <w:rsid w:val="00012754"/>
    <w:rsid w:val="000149F0"/>
    <w:rsid w:val="00037621"/>
    <w:rsid w:val="00037EF9"/>
    <w:rsid w:val="0004389A"/>
    <w:rsid w:val="00052032"/>
    <w:rsid w:val="00062FE0"/>
    <w:rsid w:val="000960C0"/>
    <w:rsid w:val="000F1C50"/>
    <w:rsid w:val="00113A14"/>
    <w:rsid w:val="0011468E"/>
    <w:rsid w:val="001210F9"/>
    <w:rsid w:val="00145193"/>
    <w:rsid w:val="00150B66"/>
    <w:rsid w:val="00154224"/>
    <w:rsid w:val="00161B60"/>
    <w:rsid w:val="00174FA0"/>
    <w:rsid w:val="00187212"/>
    <w:rsid w:val="00194F75"/>
    <w:rsid w:val="001B336A"/>
    <w:rsid w:val="001B368E"/>
    <w:rsid w:val="001F47FD"/>
    <w:rsid w:val="00213190"/>
    <w:rsid w:val="0026627F"/>
    <w:rsid w:val="00270819"/>
    <w:rsid w:val="002721A4"/>
    <w:rsid w:val="00274279"/>
    <w:rsid w:val="0029305C"/>
    <w:rsid w:val="002A2268"/>
    <w:rsid w:val="002A53F4"/>
    <w:rsid w:val="002B6297"/>
    <w:rsid w:val="002E0E82"/>
    <w:rsid w:val="002F68F9"/>
    <w:rsid w:val="00317F1D"/>
    <w:rsid w:val="0032236D"/>
    <w:rsid w:val="00327729"/>
    <w:rsid w:val="00331A37"/>
    <w:rsid w:val="003416E6"/>
    <w:rsid w:val="00354643"/>
    <w:rsid w:val="00357802"/>
    <w:rsid w:val="00367D8F"/>
    <w:rsid w:val="0037537C"/>
    <w:rsid w:val="0037584D"/>
    <w:rsid w:val="00384A3A"/>
    <w:rsid w:val="003B176D"/>
    <w:rsid w:val="003C54FA"/>
    <w:rsid w:val="003C66CE"/>
    <w:rsid w:val="003C6BEC"/>
    <w:rsid w:val="003C7270"/>
    <w:rsid w:val="003E3DC0"/>
    <w:rsid w:val="00435874"/>
    <w:rsid w:val="0044090C"/>
    <w:rsid w:val="004565B6"/>
    <w:rsid w:val="00460765"/>
    <w:rsid w:val="00466226"/>
    <w:rsid w:val="00471404"/>
    <w:rsid w:val="004A08DC"/>
    <w:rsid w:val="004A11F9"/>
    <w:rsid w:val="004A4647"/>
    <w:rsid w:val="004A6EB7"/>
    <w:rsid w:val="004B5D94"/>
    <w:rsid w:val="004F1C9D"/>
    <w:rsid w:val="004F24F1"/>
    <w:rsid w:val="0052429D"/>
    <w:rsid w:val="00546C89"/>
    <w:rsid w:val="00560225"/>
    <w:rsid w:val="0056717A"/>
    <w:rsid w:val="00583465"/>
    <w:rsid w:val="005966FF"/>
    <w:rsid w:val="00597038"/>
    <w:rsid w:val="005A25D9"/>
    <w:rsid w:val="005B0169"/>
    <w:rsid w:val="005B3111"/>
    <w:rsid w:val="005D3356"/>
    <w:rsid w:val="005D6008"/>
    <w:rsid w:val="005E24D8"/>
    <w:rsid w:val="005E40C4"/>
    <w:rsid w:val="005E4142"/>
    <w:rsid w:val="00632666"/>
    <w:rsid w:val="006622C1"/>
    <w:rsid w:val="00666E22"/>
    <w:rsid w:val="006C02EF"/>
    <w:rsid w:val="006C2A88"/>
    <w:rsid w:val="006C6E4D"/>
    <w:rsid w:val="006D0B2C"/>
    <w:rsid w:val="006E482B"/>
    <w:rsid w:val="00713299"/>
    <w:rsid w:val="0073340F"/>
    <w:rsid w:val="0074596C"/>
    <w:rsid w:val="00745E63"/>
    <w:rsid w:val="00763704"/>
    <w:rsid w:val="00774FFD"/>
    <w:rsid w:val="00783A83"/>
    <w:rsid w:val="007963F1"/>
    <w:rsid w:val="007A6858"/>
    <w:rsid w:val="007C5F9F"/>
    <w:rsid w:val="007C7885"/>
    <w:rsid w:val="007E0484"/>
    <w:rsid w:val="00803329"/>
    <w:rsid w:val="008314AE"/>
    <w:rsid w:val="00836381"/>
    <w:rsid w:val="008401AD"/>
    <w:rsid w:val="00844F48"/>
    <w:rsid w:val="008579BC"/>
    <w:rsid w:val="00860A90"/>
    <w:rsid w:val="00872B34"/>
    <w:rsid w:val="00876110"/>
    <w:rsid w:val="00892646"/>
    <w:rsid w:val="008D6140"/>
    <w:rsid w:val="008E2FE8"/>
    <w:rsid w:val="008F1D0D"/>
    <w:rsid w:val="009065A3"/>
    <w:rsid w:val="00926BF4"/>
    <w:rsid w:val="00950941"/>
    <w:rsid w:val="009562AD"/>
    <w:rsid w:val="00973CB1"/>
    <w:rsid w:val="00994198"/>
    <w:rsid w:val="00996AB2"/>
    <w:rsid w:val="009A0433"/>
    <w:rsid w:val="009B1C94"/>
    <w:rsid w:val="009C4EF5"/>
    <w:rsid w:val="009D2E44"/>
    <w:rsid w:val="009D58CC"/>
    <w:rsid w:val="009D7B02"/>
    <w:rsid w:val="009E3C5D"/>
    <w:rsid w:val="009F08D3"/>
    <w:rsid w:val="00A01A62"/>
    <w:rsid w:val="00A07042"/>
    <w:rsid w:val="00A0773B"/>
    <w:rsid w:val="00A11A2D"/>
    <w:rsid w:val="00A32C4A"/>
    <w:rsid w:val="00A37CD9"/>
    <w:rsid w:val="00A84C78"/>
    <w:rsid w:val="00A92969"/>
    <w:rsid w:val="00AC7F9B"/>
    <w:rsid w:val="00AD6C08"/>
    <w:rsid w:val="00AE0246"/>
    <w:rsid w:val="00AE7F34"/>
    <w:rsid w:val="00AF3169"/>
    <w:rsid w:val="00B1754F"/>
    <w:rsid w:val="00B20E3D"/>
    <w:rsid w:val="00B353ED"/>
    <w:rsid w:val="00B46505"/>
    <w:rsid w:val="00B53B12"/>
    <w:rsid w:val="00B82F66"/>
    <w:rsid w:val="00B9278B"/>
    <w:rsid w:val="00B93F65"/>
    <w:rsid w:val="00BA72C3"/>
    <w:rsid w:val="00BD462B"/>
    <w:rsid w:val="00BE2A4A"/>
    <w:rsid w:val="00BF0B4B"/>
    <w:rsid w:val="00BF2530"/>
    <w:rsid w:val="00C0075A"/>
    <w:rsid w:val="00C072E4"/>
    <w:rsid w:val="00C07C77"/>
    <w:rsid w:val="00C5153C"/>
    <w:rsid w:val="00C54904"/>
    <w:rsid w:val="00C81735"/>
    <w:rsid w:val="00C8706A"/>
    <w:rsid w:val="00CA2568"/>
    <w:rsid w:val="00CD49A0"/>
    <w:rsid w:val="00CE0550"/>
    <w:rsid w:val="00CE0940"/>
    <w:rsid w:val="00CE12C5"/>
    <w:rsid w:val="00CE75FC"/>
    <w:rsid w:val="00CF31E1"/>
    <w:rsid w:val="00D22837"/>
    <w:rsid w:val="00D41E5B"/>
    <w:rsid w:val="00D51976"/>
    <w:rsid w:val="00D519CF"/>
    <w:rsid w:val="00D55AE4"/>
    <w:rsid w:val="00D77133"/>
    <w:rsid w:val="00D77CAA"/>
    <w:rsid w:val="00D9217B"/>
    <w:rsid w:val="00D95CFC"/>
    <w:rsid w:val="00DB02CE"/>
    <w:rsid w:val="00DC2EF9"/>
    <w:rsid w:val="00DE1B79"/>
    <w:rsid w:val="00DE3C47"/>
    <w:rsid w:val="00DE6A3D"/>
    <w:rsid w:val="00E24E08"/>
    <w:rsid w:val="00E34FFD"/>
    <w:rsid w:val="00E40D39"/>
    <w:rsid w:val="00E53558"/>
    <w:rsid w:val="00E71D47"/>
    <w:rsid w:val="00E73D0C"/>
    <w:rsid w:val="00E770C0"/>
    <w:rsid w:val="00E9747F"/>
    <w:rsid w:val="00EB1134"/>
    <w:rsid w:val="00EC1A7F"/>
    <w:rsid w:val="00F166CC"/>
    <w:rsid w:val="00F245A0"/>
    <w:rsid w:val="00F36C0F"/>
    <w:rsid w:val="00F43CB0"/>
    <w:rsid w:val="00F566AB"/>
    <w:rsid w:val="00F7143D"/>
    <w:rsid w:val="00F84917"/>
    <w:rsid w:val="00F96151"/>
    <w:rsid w:val="00F97B63"/>
    <w:rsid w:val="00FB0098"/>
    <w:rsid w:val="00FB2EC0"/>
    <w:rsid w:val="00FC5E18"/>
    <w:rsid w:val="00FD19F2"/>
    <w:rsid w:val="00FE22C5"/>
    <w:rsid w:val="00FF6C4D"/>
    <w:rsid w:val="00FF769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1B0A"/>
  <w15:docId w15:val="{1F2CF0C0-1CF2-48A9-B32B-03CE3053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2A17"/>
    <w:pPr>
      <w:spacing w:after="0" w:line="240" w:lineRule="auto"/>
      <w:jc w:val="center"/>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w:basedOn w:val="prastasis"/>
    <w:link w:val="AntratsDiagrama"/>
    <w:uiPriority w:val="99"/>
    <w:rsid w:val="00F36C0F"/>
    <w:pPr>
      <w:tabs>
        <w:tab w:val="center" w:pos="4819"/>
        <w:tab w:val="right" w:pos="9638"/>
      </w:tabs>
    </w:pPr>
    <w:rPr>
      <w:lang w:val="x-none" w:eastAsia="x-none"/>
    </w:rPr>
  </w:style>
  <w:style w:type="character" w:customStyle="1" w:styleId="AntratsDiagrama">
    <w:name w:val="Antraštės Diagrama"/>
    <w:aliases w:val="Char Diagrama"/>
    <w:basedOn w:val="Numatytasispastraiposriftas"/>
    <w:link w:val="Antrats"/>
    <w:uiPriority w:val="99"/>
    <w:rsid w:val="00F36C0F"/>
    <w:rPr>
      <w:rFonts w:ascii="Times New Roman" w:eastAsia="Times New Roman" w:hAnsi="Times New Roman" w:cs="Times New Roman"/>
      <w:sz w:val="24"/>
      <w:szCs w:val="24"/>
      <w:lang w:val="x-none" w:eastAsia="x-none"/>
    </w:rPr>
  </w:style>
  <w:style w:type="character" w:styleId="Puslapionumeris">
    <w:name w:val="page number"/>
    <w:uiPriority w:val="99"/>
    <w:rsid w:val="00F36C0F"/>
    <w:rPr>
      <w:rFonts w:cs="Times New Roman"/>
    </w:rPr>
  </w:style>
  <w:style w:type="paragraph" w:styleId="Sraopastraipa">
    <w:name w:val="List Paragraph"/>
    <w:basedOn w:val="prastasis"/>
    <w:link w:val="SraopastraipaDiagrama"/>
    <w:uiPriority w:val="34"/>
    <w:qFormat/>
    <w:rsid w:val="00F36C0F"/>
    <w:pPr>
      <w:ind w:left="720"/>
      <w:contextualSpacing/>
      <w:jc w:val="left"/>
    </w:pPr>
    <w:rPr>
      <w:szCs w:val="20"/>
      <w:lang w:eastAsia="en-US"/>
    </w:rPr>
  </w:style>
  <w:style w:type="paragraph" w:styleId="Debesliotekstas">
    <w:name w:val="Balloon Text"/>
    <w:basedOn w:val="prastasis"/>
    <w:link w:val="DebesliotekstasDiagrama"/>
    <w:uiPriority w:val="99"/>
    <w:semiHidden/>
    <w:unhideWhenUsed/>
    <w:rsid w:val="008F1D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D0D"/>
    <w:rPr>
      <w:rFonts w:ascii="Segoe UI" w:eastAsia="Times New Roman" w:hAnsi="Segoe UI" w:cs="Segoe UI"/>
      <w:sz w:val="18"/>
      <w:szCs w:val="18"/>
      <w:lang w:eastAsia="lt-LT"/>
    </w:rPr>
  </w:style>
  <w:style w:type="character" w:customStyle="1" w:styleId="SraopastraipaDiagrama">
    <w:name w:val="Sąrašo pastraipa Diagrama"/>
    <w:link w:val="Sraopastraipa"/>
    <w:uiPriority w:val="34"/>
    <w:qFormat/>
    <w:rsid w:val="0037537C"/>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892646"/>
  </w:style>
  <w:style w:type="paragraph" w:styleId="Betarp">
    <w:name w:val="No Spacing"/>
    <w:uiPriority w:val="1"/>
    <w:qFormat/>
    <w:rsid w:val="008926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947679">
      <w:bodyDiv w:val="1"/>
      <w:marLeft w:val="0"/>
      <w:marRight w:val="0"/>
      <w:marTop w:val="0"/>
      <w:marBottom w:val="0"/>
      <w:divBdr>
        <w:top w:val="none" w:sz="0" w:space="0" w:color="auto"/>
        <w:left w:val="none" w:sz="0" w:space="0" w:color="auto"/>
        <w:bottom w:val="none" w:sz="0" w:space="0" w:color="auto"/>
        <w:right w:val="none" w:sz="0" w:space="0" w:color="auto"/>
      </w:divBdr>
    </w:div>
    <w:div w:id="786509734">
      <w:bodyDiv w:val="1"/>
      <w:marLeft w:val="0"/>
      <w:marRight w:val="0"/>
      <w:marTop w:val="0"/>
      <w:marBottom w:val="0"/>
      <w:divBdr>
        <w:top w:val="none" w:sz="0" w:space="0" w:color="auto"/>
        <w:left w:val="none" w:sz="0" w:space="0" w:color="auto"/>
        <w:bottom w:val="none" w:sz="0" w:space="0" w:color="auto"/>
        <w:right w:val="none" w:sz="0" w:space="0" w:color="auto"/>
      </w:divBdr>
    </w:div>
    <w:div w:id="802040831">
      <w:bodyDiv w:val="1"/>
      <w:marLeft w:val="0"/>
      <w:marRight w:val="0"/>
      <w:marTop w:val="0"/>
      <w:marBottom w:val="0"/>
      <w:divBdr>
        <w:top w:val="none" w:sz="0" w:space="0" w:color="auto"/>
        <w:left w:val="none" w:sz="0" w:space="0" w:color="auto"/>
        <w:bottom w:val="none" w:sz="0" w:space="0" w:color="auto"/>
        <w:right w:val="none" w:sz="0" w:space="0" w:color="auto"/>
      </w:divBdr>
    </w:div>
    <w:div w:id="1024862026">
      <w:bodyDiv w:val="1"/>
      <w:marLeft w:val="0"/>
      <w:marRight w:val="0"/>
      <w:marTop w:val="0"/>
      <w:marBottom w:val="0"/>
      <w:divBdr>
        <w:top w:val="none" w:sz="0" w:space="0" w:color="auto"/>
        <w:left w:val="none" w:sz="0" w:space="0" w:color="auto"/>
        <w:bottom w:val="none" w:sz="0" w:space="0" w:color="auto"/>
        <w:right w:val="none" w:sz="0" w:space="0" w:color="auto"/>
      </w:divBdr>
    </w:div>
    <w:div w:id="1416320575">
      <w:bodyDiv w:val="1"/>
      <w:marLeft w:val="0"/>
      <w:marRight w:val="0"/>
      <w:marTop w:val="0"/>
      <w:marBottom w:val="0"/>
      <w:divBdr>
        <w:top w:val="none" w:sz="0" w:space="0" w:color="auto"/>
        <w:left w:val="none" w:sz="0" w:space="0" w:color="auto"/>
        <w:bottom w:val="none" w:sz="0" w:space="0" w:color="auto"/>
        <w:right w:val="none" w:sz="0" w:space="0" w:color="auto"/>
      </w:divBdr>
    </w:div>
    <w:div w:id="1478037006">
      <w:bodyDiv w:val="1"/>
      <w:marLeft w:val="0"/>
      <w:marRight w:val="0"/>
      <w:marTop w:val="0"/>
      <w:marBottom w:val="0"/>
      <w:divBdr>
        <w:top w:val="none" w:sz="0" w:space="0" w:color="auto"/>
        <w:left w:val="none" w:sz="0" w:space="0" w:color="auto"/>
        <w:bottom w:val="none" w:sz="0" w:space="0" w:color="auto"/>
        <w:right w:val="none" w:sz="0" w:space="0" w:color="auto"/>
      </w:divBdr>
    </w:div>
    <w:div w:id="17498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CE9BF-3BEB-4CD6-BC81-E73EC39C3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E92D4F-337A-4F81-AE03-62EDE225F8E0}">
  <ds:schemaRefs>
    <ds:schemaRef ds:uri="http://schemas.microsoft.com/sharepoint/v3/contenttype/forms"/>
  </ds:schemaRefs>
</ds:datastoreItem>
</file>

<file path=customXml/itemProps3.xml><?xml version="1.0" encoding="utf-8"?>
<ds:datastoreItem xmlns:ds="http://schemas.openxmlformats.org/officeDocument/2006/customXml" ds:itemID="{D4030A3D-8AC6-42C7-983D-154CCE4F80BB}"/>
</file>

<file path=customXml/itemProps4.xml><?xml version="1.0" encoding="utf-8"?>
<ds:datastoreItem xmlns:ds="http://schemas.openxmlformats.org/officeDocument/2006/customXml" ds:itemID="{79EEC89E-538A-40A1-8280-27BA36FC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5465</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e78573d7-e73b-429a-be9a-2e62d9567d52</dc:title>
  <dc:creator>Bužinskienė Danutė</dc:creator>
  <cp:lastModifiedBy>HP</cp:lastModifiedBy>
  <cp:revision>2</cp:revision>
  <cp:lastPrinted>2019-08-21T13:17:00Z</cp:lastPrinted>
  <dcterms:created xsi:type="dcterms:W3CDTF">2021-07-30T13:49:00Z</dcterms:created>
  <dcterms:modified xsi:type="dcterms:W3CDTF">2021-07-30T13:49:00Z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