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7B" w:rsidRPr="007F23CD" w:rsidRDefault="00AA727B" w:rsidP="009E57AB">
      <w:pPr>
        <w:tabs>
          <w:tab w:val="left" w:pos="7371"/>
          <w:tab w:val="left" w:pos="7513"/>
          <w:tab w:val="left" w:pos="8222"/>
        </w:tabs>
        <w:ind w:left="7088"/>
        <w:rPr>
          <w:b/>
          <w:szCs w:val="24"/>
        </w:rPr>
      </w:pPr>
      <w:r w:rsidRPr="007F23CD">
        <w:rPr>
          <w:b/>
          <w:szCs w:val="24"/>
        </w:rPr>
        <w:t>Projekto</w:t>
      </w:r>
    </w:p>
    <w:p w:rsidR="00AA727B" w:rsidRPr="007F23CD" w:rsidRDefault="00AA727B" w:rsidP="009E57AB">
      <w:pPr>
        <w:ind w:left="7088"/>
        <w:rPr>
          <w:b/>
          <w:color w:val="FF0000"/>
          <w:szCs w:val="24"/>
        </w:rPr>
      </w:pPr>
      <w:r w:rsidRPr="007F23CD">
        <w:rPr>
          <w:b/>
          <w:szCs w:val="24"/>
        </w:rPr>
        <w:t>lyginamasis variantas</w:t>
      </w:r>
    </w:p>
    <w:p w:rsidR="00AA727B" w:rsidRPr="007F23CD" w:rsidRDefault="00AA727B" w:rsidP="007F23CD">
      <w:pPr>
        <w:jc w:val="center"/>
        <w:rPr>
          <w:szCs w:val="24"/>
        </w:rPr>
      </w:pPr>
    </w:p>
    <w:p w:rsidR="00AA727B" w:rsidRPr="007F23CD" w:rsidRDefault="00AA727B" w:rsidP="007F23CD">
      <w:pPr>
        <w:pStyle w:val="Antrat1"/>
        <w:rPr>
          <w:rFonts w:ascii="Times New Roman" w:hAnsi="Times New Roman"/>
          <w:b/>
          <w:sz w:val="24"/>
          <w:szCs w:val="24"/>
        </w:rPr>
      </w:pPr>
      <w:r w:rsidRPr="007F23CD">
        <w:rPr>
          <w:rFonts w:ascii="Times New Roman" w:hAnsi="Times New Roman"/>
          <w:b/>
          <w:sz w:val="24"/>
          <w:szCs w:val="24"/>
        </w:rPr>
        <w:t>LIETUVOS RESPUBLIKOS VYRIAUSYBĖ</w:t>
      </w:r>
    </w:p>
    <w:p w:rsidR="00AA727B" w:rsidRPr="007F23CD" w:rsidRDefault="00AA727B" w:rsidP="007F23CD">
      <w:pPr>
        <w:pStyle w:val="Antrat1"/>
        <w:rPr>
          <w:rFonts w:ascii="Times New Roman" w:hAnsi="Times New Roman"/>
          <w:b/>
          <w:sz w:val="24"/>
          <w:szCs w:val="24"/>
        </w:rPr>
      </w:pPr>
    </w:p>
    <w:p w:rsidR="00AA727B" w:rsidRPr="007F23CD" w:rsidRDefault="00AA727B" w:rsidP="007F23CD">
      <w:pPr>
        <w:pStyle w:val="Antrat1"/>
        <w:rPr>
          <w:rFonts w:ascii="Times New Roman" w:hAnsi="Times New Roman"/>
          <w:b/>
          <w:sz w:val="24"/>
          <w:szCs w:val="24"/>
        </w:rPr>
      </w:pPr>
      <w:r w:rsidRPr="007F23CD">
        <w:rPr>
          <w:rFonts w:ascii="Times New Roman" w:hAnsi="Times New Roman"/>
          <w:b/>
          <w:sz w:val="24"/>
          <w:szCs w:val="24"/>
        </w:rPr>
        <w:t>NUTARIMAS</w:t>
      </w:r>
    </w:p>
    <w:p w:rsidR="00AA727B" w:rsidRPr="007F23CD" w:rsidRDefault="00AA727B" w:rsidP="007F23CD">
      <w:pPr>
        <w:pStyle w:val="Antrat1"/>
        <w:rPr>
          <w:rFonts w:ascii="Times New Roman" w:hAnsi="Times New Roman"/>
          <w:b/>
          <w:sz w:val="24"/>
          <w:szCs w:val="24"/>
        </w:rPr>
      </w:pPr>
      <w:r w:rsidRPr="007F23CD">
        <w:rPr>
          <w:rFonts w:ascii="Times New Roman" w:hAnsi="Times New Roman"/>
          <w:b/>
          <w:sz w:val="24"/>
          <w:szCs w:val="24"/>
        </w:rPr>
        <w:t xml:space="preserve">DĖL </w:t>
      </w:r>
      <w:proofErr w:type="gramStart"/>
      <w:r w:rsidRPr="007F23CD">
        <w:rPr>
          <w:rFonts w:ascii="Times New Roman" w:hAnsi="Times New Roman"/>
          <w:b/>
          <w:sz w:val="24"/>
          <w:szCs w:val="24"/>
        </w:rPr>
        <w:t>LIETUVOS RESPUBLIKOS VYRIAUSYBĖS</w:t>
      </w:r>
      <w:proofErr w:type="gramEnd"/>
      <w:r w:rsidRPr="007F23CD">
        <w:rPr>
          <w:rFonts w:ascii="Times New Roman" w:hAnsi="Times New Roman"/>
          <w:b/>
          <w:sz w:val="24"/>
          <w:szCs w:val="24"/>
        </w:rPr>
        <w:t xml:space="preserve"> 2014 M. SPALIO 3 D. NUTARIMO NR.</w:t>
      </w:r>
      <w:r w:rsidR="00391808">
        <w:rPr>
          <w:rFonts w:ascii="Times New Roman" w:hAnsi="Times New Roman"/>
          <w:b/>
          <w:sz w:val="24"/>
          <w:szCs w:val="24"/>
        </w:rPr>
        <w:t> </w:t>
      </w:r>
      <w:r w:rsidRPr="007F23CD">
        <w:rPr>
          <w:rFonts w:ascii="Times New Roman" w:hAnsi="Times New Roman"/>
          <w:b/>
          <w:sz w:val="24"/>
          <w:szCs w:val="24"/>
        </w:rPr>
        <w:t>1090 „DĖL 2014–2020 METŲ EUROPOS SĄJUNGOS FONDŲ INVESTICIJŲ VEIKSMŲ PROGRAMOS ADMINISTRAVIMO TAISYKLIŲ PATVIRTINIMO“ PAKEITIMO</w:t>
      </w:r>
    </w:p>
    <w:p w:rsidR="00AA727B" w:rsidRPr="007F23CD" w:rsidRDefault="00AA727B" w:rsidP="007F23CD">
      <w:pPr>
        <w:jc w:val="both"/>
        <w:rPr>
          <w:szCs w:val="24"/>
        </w:rPr>
      </w:pPr>
    </w:p>
    <w:p w:rsidR="00AA727B" w:rsidRPr="007F23CD" w:rsidRDefault="00AA727B" w:rsidP="007F23CD">
      <w:pPr>
        <w:jc w:val="center"/>
        <w:rPr>
          <w:szCs w:val="24"/>
        </w:rPr>
      </w:pPr>
      <w:r w:rsidRPr="007F23CD">
        <w:rPr>
          <w:szCs w:val="24"/>
        </w:rPr>
        <w:t xml:space="preserve">2020 m.                         d. Nr. </w:t>
      </w:r>
    </w:p>
    <w:p w:rsidR="00AA727B" w:rsidRPr="007F23CD" w:rsidRDefault="00AA727B" w:rsidP="007F23CD">
      <w:pPr>
        <w:jc w:val="center"/>
        <w:rPr>
          <w:szCs w:val="24"/>
        </w:rPr>
      </w:pPr>
      <w:r w:rsidRPr="007F23CD">
        <w:rPr>
          <w:szCs w:val="24"/>
        </w:rPr>
        <w:t>Vilnius</w:t>
      </w:r>
    </w:p>
    <w:p w:rsidR="005A0823" w:rsidRPr="007F23CD" w:rsidRDefault="005A0823" w:rsidP="007F23CD">
      <w:pPr>
        <w:spacing w:line="360" w:lineRule="atLeast"/>
        <w:jc w:val="both"/>
        <w:rPr>
          <w:szCs w:val="24"/>
        </w:rPr>
      </w:pPr>
    </w:p>
    <w:p w:rsidR="00AA727B" w:rsidRPr="007F23CD" w:rsidRDefault="00AA727B" w:rsidP="009E57AB">
      <w:pPr>
        <w:spacing w:line="360" w:lineRule="atLeast"/>
        <w:ind w:firstLine="720"/>
        <w:jc w:val="both"/>
        <w:rPr>
          <w:szCs w:val="24"/>
        </w:rPr>
      </w:pPr>
      <w:r w:rsidRPr="007F23CD">
        <w:rPr>
          <w:szCs w:val="24"/>
        </w:rPr>
        <w:t xml:space="preserve">Lietuvos Respublikos Vyriausybė </w:t>
      </w:r>
      <w:r w:rsidRPr="007F23CD">
        <w:rPr>
          <w:spacing w:val="100"/>
          <w:szCs w:val="24"/>
        </w:rPr>
        <w:t>nutari</w:t>
      </w:r>
      <w:r w:rsidRPr="007F23CD">
        <w:rPr>
          <w:szCs w:val="24"/>
        </w:rPr>
        <w:t>a:</w:t>
      </w:r>
    </w:p>
    <w:p w:rsidR="00AA727B" w:rsidRPr="007F23CD" w:rsidRDefault="00AA727B" w:rsidP="009E57AB">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7F23CD">
        <w:rPr>
          <w:rFonts w:ascii="Times New Roman" w:hAnsi="Times New Roman" w:cs="Times New Roman"/>
          <w:sz w:val="24"/>
        </w:rPr>
        <w:t>Pakeisti 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p>
    <w:p w:rsidR="00DA0068" w:rsidRDefault="00DA0068" w:rsidP="003C0EE3">
      <w:pPr>
        <w:pStyle w:val="Sraopastraipa"/>
        <w:widowControl/>
        <w:numPr>
          <w:ilvl w:val="0"/>
          <w:numId w:val="3"/>
        </w:numPr>
        <w:tabs>
          <w:tab w:val="left" w:pos="993"/>
        </w:tabs>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Pakeisti 4.18 papunktį ir jį išdėstyti taip:</w:t>
      </w:r>
    </w:p>
    <w:p w:rsidR="00DA0068" w:rsidRPr="00DA0068" w:rsidRDefault="003C0EE3" w:rsidP="003C0EE3">
      <w:pPr>
        <w:tabs>
          <w:tab w:val="left" w:pos="709"/>
        </w:tabs>
        <w:spacing w:line="360" w:lineRule="atLeast"/>
        <w:jc w:val="both"/>
      </w:pPr>
      <w:r>
        <w:tab/>
      </w:r>
      <w:r w:rsidR="00DA0068">
        <w:t>„</w:t>
      </w:r>
      <w:r w:rsidR="008073DE">
        <w:t xml:space="preserve">4.18. </w:t>
      </w:r>
      <w:r w:rsidR="00DA0068">
        <w:t xml:space="preserve">Kitos Taisyklėse vartojamos sąvokos suprantamos taip, kaip apibrėžtos reglamente (ES) Nr. 1303/2013, </w:t>
      </w:r>
      <w:r w:rsidR="00DA0068" w:rsidRPr="00346512">
        <w:t xml:space="preserve">Atsakomybės ir funkcijų paskirstymo tarp institucijų, įgyvendinant 2014–2020 metų Europos Sąjungos fondų investicijų veiksmų programą </w:t>
      </w:r>
      <w:r w:rsidR="00DA0068" w:rsidRPr="002C2416">
        <w:rPr>
          <w:b/>
        </w:rPr>
        <w:t xml:space="preserve">ir rengiantis </w:t>
      </w:r>
      <w:r w:rsidR="00DA0068" w:rsidRPr="00FE4255">
        <w:rPr>
          <w:b/>
        </w:rPr>
        <w:t>įgyvendinti 2021–2027 metų Europos Sąjungos fondų investicijų programą</w:t>
      </w:r>
      <w:r w:rsidR="00DA0068" w:rsidRPr="00FE4255">
        <w:t>, taisyklėse</w:t>
      </w:r>
      <w:r w:rsidR="00DA0068">
        <w:t xml:space="preserve">, patvirtintose </w:t>
      </w:r>
      <w:r w:rsidR="00DA0068">
        <w:rPr>
          <w:rFonts w:eastAsia="Calibri"/>
          <w:szCs w:val="24"/>
          <w:lang w:eastAsia="lt-LT"/>
        </w:rPr>
        <w:t>Lietuvos Respubl</w:t>
      </w:r>
      <w:bookmarkStart w:id="0" w:name="_GoBack"/>
      <w:bookmarkEnd w:id="0"/>
      <w:r w:rsidR="00DA0068">
        <w:rPr>
          <w:rFonts w:eastAsia="Calibri"/>
          <w:szCs w:val="24"/>
          <w:lang w:eastAsia="lt-LT"/>
        </w:rPr>
        <w:t xml:space="preserve">ikos Vyriausybės 2014 m. birželio 4 d. nutarimu Nr. 528 „Dėl atsakomybės ir funkcijų paskirstymo tarp institucijų, įgyvendinant 2014–2020 metų Europos Sąjungos fondų investicijų veiksmų programą </w:t>
      </w:r>
      <w:r w:rsidR="00DA0068" w:rsidRPr="002C2416">
        <w:rPr>
          <w:b/>
        </w:rPr>
        <w:t xml:space="preserve">ir rengiantis </w:t>
      </w:r>
      <w:r w:rsidR="00DA0068" w:rsidRPr="00FE4255">
        <w:rPr>
          <w:b/>
        </w:rPr>
        <w:t>įgyvendinti 2021–2027 metų Europos Sąjungos fondų investicijų programą</w:t>
      </w:r>
      <w:r w:rsidR="00DA0068">
        <w:rPr>
          <w:rFonts w:eastAsia="Calibri"/>
          <w:szCs w:val="24"/>
          <w:lang w:eastAsia="lt-LT"/>
        </w:rPr>
        <w:t>“</w:t>
      </w:r>
      <w:r>
        <w:rPr>
          <w:rFonts w:eastAsia="Calibri"/>
          <w:szCs w:val="24"/>
          <w:lang w:eastAsia="lt-LT"/>
        </w:rPr>
        <w:t xml:space="preserve"> (toliau</w:t>
      </w:r>
      <w:r>
        <w:rPr>
          <w:rFonts w:eastAsia="Calibri"/>
          <w:szCs w:val="24"/>
          <w:lang w:eastAsia="lt-LT"/>
        </w:rPr>
        <w:softHyphen/>
        <w:t xml:space="preserve"> – Atsakomybės ir funkcijų paskirstymo taisyklės).“</w:t>
      </w:r>
    </w:p>
    <w:p w:rsidR="00AA727B" w:rsidRPr="007F23CD" w:rsidRDefault="00DA0068" w:rsidP="009E57AB">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 xml:space="preserve">2. </w:t>
      </w:r>
      <w:r w:rsidR="00AA727B" w:rsidRPr="007F23CD">
        <w:rPr>
          <w:rFonts w:ascii="Times New Roman" w:hAnsi="Times New Roman" w:cs="Times New Roman"/>
          <w:sz w:val="24"/>
        </w:rPr>
        <w:t>Pakeisti 55 punktą ir jį išdėstyti taip:</w:t>
      </w:r>
    </w:p>
    <w:p w:rsidR="00A051BA" w:rsidRPr="007F23CD" w:rsidRDefault="00AA727B" w:rsidP="009E57AB">
      <w:pPr>
        <w:tabs>
          <w:tab w:val="left" w:pos="1134"/>
        </w:tabs>
        <w:spacing w:line="360" w:lineRule="atLeast"/>
        <w:ind w:firstLine="720"/>
        <w:jc w:val="both"/>
        <w:rPr>
          <w:szCs w:val="24"/>
        </w:rPr>
      </w:pPr>
      <w:r w:rsidRPr="007F23CD">
        <w:rPr>
          <w:szCs w:val="24"/>
        </w:rPr>
        <w:t>„</w:t>
      </w:r>
      <w:r w:rsidR="00A051BA" w:rsidRPr="007F23CD">
        <w:rPr>
          <w:szCs w:val="24"/>
        </w:rPr>
        <w:t xml:space="preserve">55. Kai yra keičiamos Partnerystės sutarties ir (ar) veiksmų programos dalys, kurioms Europos Komisijos sprendimas netaikomas, vadovaujančioji institucija, vadovaudamasi reglamento (ES) Nr. 1303/2013 16 straipsnio 5 dalimi ir 96 straipsnio 11 dalimi, per 10 darbo dienų nuo Veiksmų programos stebėsenos komiteto sprendimo priėmimo </w:t>
      </w:r>
      <w:r w:rsidR="002F7AC4" w:rsidRPr="009E57AB">
        <w:rPr>
          <w:b/>
          <w:szCs w:val="24"/>
        </w:rPr>
        <w:t>dienos</w:t>
      </w:r>
      <w:r w:rsidR="002F7AC4">
        <w:rPr>
          <w:szCs w:val="24"/>
        </w:rPr>
        <w:t xml:space="preserve"> </w:t>
      </w:r>
      <w:r w:rsidR="00A051BA" w:rsidRPr="007F23CD">
        <w:rPr>
          <w:szCs w:val="24"/>
        </w:rPr>
        <w:t xml:space="preserve">praneša apie keitimą Europos Komisijai, tarpinėms institucijoms ir tvirtinančiajai institucijai. </w:t>
      </w:r>
      <w:r w:rsidR="00F57FF7">
        <w:rPr>
          <w:b/>
          <w:szCs w:val="24"/>
        </w:rPr>
        <w:t xml:space="preserve">Jeigu </w:t>
      </w:r>
      <w:r w:rsidR="00F57FF7" w:rsidRPr="007F23CD">
        <w:rPr>
          <w:b/>
          <w:szCs w:val="24"/>
        </w:rPr>
        <w:t>Europos Komisijos sprendim</w:t>
      </w:r>
      <w:r w:rsidR="00F57FF7">
        <w:rPr>
          <w:b/>
          <w:szCs w:val="24"/>
        </w:rPr>
        <w:t>as</w:t>
      </w:r>
      <w:r w:rsidR="00F57FF7" w:rsidRPr="007F23CD">
        <w:rPr>
          <w:b/>
          <w:szCs w:val="24"/>
        </w:rPr>
        <w:t xml:space="preserve"> </w:t>
      </w:r>
      <w:r w:rsidR="00F57FF7">
        <w:rPr>
          <w:b/>
          <w:szCs w:val="24"/>
        </w:rPr>
        <w:t xml:space="preserve">dėl </w:t>
      </w:r>
      <w:r w:rsidR="00A051BA" w:rsidRPr="007F23CD">
        <w:rPr>
          <w:b/>
          <w:szCs w:val="24"/>
        </w:rPr>
        <w:t>Partnerystės sutarties ir (ar) veiksmų programos keitim</w:t>
      </w:r>
      <w:r w:rsidR="00F57FF7">
        <w:rPr>
          <w:b/>
          <w:szCs w:val="24"/>
        </w:rPr>
        <w:t>o</w:t>
      </w:r>
      <w:r w:rsidR="00A051BA" w:rsidRPr="007F23CD">
        <w:rPr>
          <w:b/>
          <w:szCs w:val="24"/>
        </w:rPr>
        <w:t xml:space="preserve"> nereikal</w:t>
      </w:r>
      <w:r w:rsidR="00F57FF7">
        <w:rPr>
          <w:b/>
          <w:szCs w:val="24"/>
        </w:rPr>
        <w:t>ingas,</w:t>
      </w:r>
      <w:r w:rsidR="00A051BA" w:rsidRPr="007F23CD">
        <w:rPr>
          <w:b/>
          <w:szCs w:val="24"/>
        </w:rPr>
        <w:t xml:space="preserve"> pasiūlymo </w:t>
      </w:r>
      <w:r w:rsidR="001F7DEE">
        <w:rPr>
          <w:b/>
          <w:szCs w:val="24"/>
        </w:rPr>
        <w:t xml:space="preserve">dėl </w:t>
      </w:r>
      <w:r w:rsidR="00A255E1">
        <w:rPr>
          <w:b/>
          <w:szCs w:val="24"/>
        </w:rPr>
        <w:t>kei</w:t>
      </w:r>
      <w:r w:rsidR="00F57FF7">
        <w:rPr>
          <w:b/>
          <w:szCs w:val="24"/>
        </w:rPr>
        <w:t>ti</w:t>
      </w:r>
      <w:r w:rsidR="001F7DEE">
        <w:rPr>
          <w:b/>
          <w:szCs w:val="24"/>
        </w:rPr>
        <w:t>mo</w:t>
      </w:r>
      <w:r w:rsidR="00A255E1">
        <w:rPr>
          <w:b/>
          <w:szCs w:val="24"/>
        </w:rPr>
        <w:t xml:space="preserve"> </w:t>
      </w:r>
      <w:r w:rsidR="00A051BA" w:rsidRPr="007F23CD">
        <w:rPr>
          <w:b/>
          <w:szCs w:val="24"/>
        </w:rPr>
        <w:t>forma n</w:t>
      </w:r>
      <w:r w:rsidR="00A255E1">
        <w:rPr>
          <w:b/>
          <w:szCs w:val="24"/>
        </w:rPr>
        <w:t>e</w:t>
      </w:r>
      <w:r w:rsidR="00A051BA" w:rsidRPr="007F23CD">
        <w:rPr>
          <w:b/>
          <w:szCs w:val="24"/>
        </w:rPr>
        <w:t>pildoma</w:t>
      </w:r>
      <w:r w:rsidR="00A051BA" w:rsidRPr="007F23CD">
        <w:rPr>
          <w:szCs w:val="24"/>
        </w:rPr>
        <w:t>.</w:t>
      </w:r>
      <w:r w:rsidRPr="007F23CD">
        <w:rPr>
          <w:szCs w:val="24"/>
        </w:rPr>
        <w:t>“</w:t>
      </w:r>
    </w:p>
    <w:p w:rsidR="003B7282" w:rsidRPr="007F23CD" w:rsidRDefault="003C0EE3" w:rsidP="00206FC2">
      <w:pPr>
        <w:pStyle w:val="Sraopastraipa"/>
        <w:tabs>
          <w:tab w:val="left" w:pos="1134"/>
        </w:tabs>
        <w:spacing w:line="360" w:lineRule="atLeast"/>
        <w:ind w:left="0"/>
        <w:jc w:val="both"/>
        <w:rPr>
          <w:rFonts w:ascii="Times New Roman" w:hAnsi="Times New Roman" w:cs="Times New Roman"/>
          <w:sz w:val="24"/>
        </w:rPr>
      </w:pPr>
      <w:r>
        <w:rPr>
          <w:rFonts w:ascii="Times New Roman" w:hAnsi="Times New Roman" w:cs="Times New Roman"/>
          <w:sz w:val="24"/>
        </w:rPr>
        <w:t>3</w:t>
      </w:r>
      <w:r w:rsidR="00CD6E8C">
        <w:rPr>
          <w:rFonts w:ascii="Times New Roman" w:hAnsi="Times New Roman" w:cs="Times New Roman"/>
          <w:sz w:val="24"/>
        </w:rPr>
        <w:t xml:space="preserve">. </w:t>
      </w:r>
      <w:r w:rsidR="001826BF" w:rsidRPr="007F23CD">
        <w:rPr>
          <w:rFonts w:ascii="Times New Roman" w:hAnsi="Times New Roman" w:cs="Times New Roman"/>
          <w:sz w:val="24"/>
        </w:rPr>
        <w:t>Papildyti 68.2.5.4</w:t>
      </w:r>
      <w:r w:rsidR="001826BF" w:rsidRPr="007F23CD">
        <w:rPr>
          <w:rFonts w:ascii="Times New Roman" w:hAnsi="Times New Roman" w:cs="Times New Roman"/>
          <w:sz w:val="24"/>
          <w:vertAlign w:val="superscript"/>
        </w:rPr>
        <w:t>1</w:t>
      </w:r>
      <w:r w:rsidR="001826BF" w:rsidRPr="007F23CD">
        <w:rPr>
          <w:rFonts w:ascii="Times New Roman" w:hAnsi="Times New Roman" w:cs="Times New Roman"/>
          <w:sz w:val="24"/>
        </w:rPr>
        <w:t xml:space="preserve"> papunkčiu:</w:t>
      </w:r>
    </w:p>
    <w:p w:rsidR="000E368E" w:rsidRPr="007F23CD" w:rsidRDefault="001826BF" w:rsidP="00BC5A64">
      <w:pPr>
        <w:spacing w:line="360" w:lineRule="atLeast"/>
        <w:ind w:firstLine="720"/>
        <w:jc w:val="both"/>
        <w:rPr>
          <w:szCs w:val="24"/>
        </w:rPr>
      </w:pPr>
      <w:r w:rsidRPr="007F23CD">
        <w:rPr>
          <w:szCs w:val="24"/>
        </w:rPr>
        <w:t>„</w:t>
      </w:r>
      <w:r w:rsidRPr="007F23CD">
        <w:rPr>
          <w:b/>
          <w:szCs w:val="24"/>
        </w:rPr>
        <w:t>68.2.5.4</w:t>
      </w:r>
      <w:r w:rsidRPr="007F23CD">
        <w:rPr>
          <w:b/>
          <w:szCs w:val="24"/>
          <w:vertAlign w:val="superscript"/>
        </w:rPr>
        <w:t>1</w:t>
      </w:r>
      <w:r w:rsidRPr="007F23CD">
        <w:rPr>
          <w:b/>
          <w:szCs w:val="24"/>
        </w:rPr>
        <w:t>. kai rengiamas bandomosios iniciatyvos projektų finansavimo sąlygų aprašas;</w:t>
      </w:r>
      <w:r w:rsidRPr="007F23CD">
        <w:rPr>
          <w:szCs w:val="24"/>
        </w:rPr>
        <w:t>“</w:t>
      </w:r>
      <w:r w:rsidR="00391808">
        <w:rPr>
          <w:szCs w:val="24"/>
        </w:rPr>
        <w:t>.</w:t>
      </w:r>
    </w:p>
    <w:p w:rsidR="00CD2E21" w:rsidRPr="007F23CD" w:rsidRDefault="003C0EE3" w:rsidP="00BC5A64">
      <w:pPr>
        <w:pStyle w:val="Sraopastraipa"/>
        <w:tabs>
          <w:tab w:val="left" w:pos="1134"/>
        </w:tabs>
        <w:spacing w:line="360" w:lineRule="atLeast"/>
        <w:ind w:left="0"/>
        <w:jc w:val="both"/>
        <w:rPr>
          <w:rFonts w:ascii="Times New Roman" w:hAnsi="Times New Roman" w:cs="Times New Roman"/>
          <w:sz w:val="24"/>
        </w:rPr>
      </w:pPr>
      <w:r>
        <w:rPr>
          <w:rFonts w:ascii="Times New Roman" w:hAnsi="Times New Roman" w:cs="Times New Roman"/>
          <w:sz w:val="24"/>
        </w:rPr>
        <w:t>4</w:t>
      </w:r>
      <w:r w:rsidR="00CD6E8C">
        <w:rPr>
          <w:rFonts w:ascii="Times New Roman" w:hAnsi="Times New Roman" w:cs="Times New Roman"/>
          <w:sz w:val="24"/>
        </w:rPr>
        <w:t xml:space="preserve">. </w:t>
      </w:r>
      <w:r w:rsidR="00CD2E21" w:rsidRPr="007F23CD">
        <w:rPr>
          <w:rFonts w:ascii="Times New Roman" w:hAnsi="Times New Roman" w:cs="Times New Roman"/>
          <w:sz w:val="24"/>
        </w:rPr>
        <w:t xml:space="preserve">Pakeisti </w:t>
      </w:r>
      <w:r w:rsidR="00CD2E21" w:rsidRPr="007F23CD">
        <w:rPr>
          <w:rFonts w:ascii="Times New Roman" w:eastAsiaTheme="minorHAnsi" w:hAnsi="Times New Roman" w:cs="Times New Roman"/>
          <w:color w:val="000000"/>
          <w:sz w:val="24"/>
        </w:rPr>
        <w:t>76</w:t>
      </w:r>
      <w:r w:rsidR="00CD2E21" w:rsidRPr="007F23CD">
        <w:rPr>
          <w:rFonts w:ascii="Times New Roman" w:hAnsi="Times New Roman" w:cs="Times New Roman"/>
          <w:sz w:val="24"/>
        </w:rPr>
        <w:t xml:space="preserve"> punktą ir jį išdėstyti taip:</w:t>
      </w:r>
    </w:p>
    <w:p w:rsidR="00CD2E21" w:rsidRPr="007F23CD" w:rsidRDefault="00CD2E21" w:rsidP="00BC5A64">
      <w:pPr>
        <w:spacing w:line="360" w:lineRule="atLeast"/>
        <w:ind w:firstLine="720"/>
        <w:jc w:val="both"/>
        <w:rPr>
          <w:rFonts w:eastAsiaTheme="minorHAnsi"/>
          <w:color w:val="000000"/>
          <w:szCs w:val="24"/>
        </w:rPr>
      </w:pPr>
      <w:r w:rsidRPr="007F23CD">
        <w:rPr>
          <w:szCs w:val="24"/>
        </w:rPr>
        <w:t>„</w:t>
      </w:r>
      <w:r w:rsidRPr="007F23CD">
        <w:rPr>
          <w:rFonts w:eastAsiaTheme="minorHAnsi"/>
          <w:color w:val="000000"/>
          <w:szCs w:val="24"/>
        </w:rPr>
        <w:t xml:space="preserve">76. Jeigu </w:t>
      </w:r>
      <w:proofErr w:type="gramStart"/>
      <w:r w:rsidRPr="007F23CD">
        <w:rPr>
          <w:rFonts w:eastAsiaTheme="minorHAnsi"/>
          <w:color w:val="000000"/>
          <w:szCs w:val="24"/>
        </w:rPr>
        <w:t>paskelbus</w:t>
      </w:r>
      <w:proofErr w:type="gramEnd"/>
      <w:r w:rsidRPr="007F23CD">
        <w:rPr>
          <w:rFonts w:eastAsiaTheme="minorHAnsi"/>
          <w:color w:val="000000"/>
          <w:szCs w:val="24"/>
        </w:rPr>
        <w:t xml:space="preserve"> kvietimą teikti paraiškas arba patvirtinus valstybės ar regiono projektų sąrašą</w:t>
      </w:r>
      <w:r w:rsidR="002D72DB">
        <w:rPr>
          <w:rFonts w:eastAsiaTheme="minorHAnsi"/>
          <w:color w:val="000000"/>
          <w:szCs w:val="24"/>
        </w:rPr>
        <w:t>,</w:t>
      </w:r>
      <w:r w:rsidRPr="007F23CD">
        <w:rPr>
          <w:rFonts w:eastAsiaTheme="minorHAnsi"/>
          <w:color w:val="000000"/>
          <w:szCs w:val="24"/>
        </w:rPr>
        <w:t xml:space="preserve"> </w:t>
      </w:r>
      <w:r w:rsidRPr="007F23CD">
        <w:rPr>
          <w:rFonts w:eastAsiaTheme="minorHAnsi"/>
          <w:b/>
          <w:bCs/>
          <w:szCs w:val="24"/>
        </w:rPr>
        <w:t>arba patvirtinus bandom</w:t>
      </w:r>
      <w:r w:rsidR="00D8541A">
        <w:rPr>
          <w:rFonts w:eastAsiaTheme="minorHAnsi"/>
          <w:b/>
          <w:bCs/>
          <w:szCs w:val="24"/>
        </w:rPr>
        <w:t>ąją</w:t>
      </w:r>
      <w:r w:rsidRPr="007F23CD">
        <w:rPr>
          <w:rFonts w:eastAsiaTheme="minorHAnsi"/>
          <w:b/>
          <w:bCs/>
          <w:szCs w:val="24"/>
        </w:rPr>
        <w:t xml:space="preserve"> iniciatyv</w:t>
      </w:r>
      <w:r w:rsidR="00D8541A">
        <w:rPr>
          <w:rFonts w:eastAsiaTheme="minorHAnsi"/>
          <w:b/>
          <w:bCs/>
          <w:szCs w:val="24"/>
        </w:rPr>
        <w:t>ą</w:t>
      </w:r>
      <w:r w:rsidRPr="007F23CD">
        <w:rPr>
          <w:rFonts w:eastAsiaTheme="minorHAnsi"/>
          <w:color w:val="000000"/>
          <w:szCs w:val="24"/>
        </w:rPr>
        <w:t xml:space="preserve"> keičiami kvietimo teikti paraiškas dokumentai – projektų finansavimo sąlygų aprašas, kvietimo teikti paraiškas skelbimas, </w:t>
      </w:r>
      <w:r w:rsidRPr="007F23CD">
        <w:rPr>
          <w:rFonts w:eastAsiaTheme="minorHAnsi"/>
          <w:color w:val="000000"/>
          <w:szCs w:val="24"/>
        </w:rPr>
        <w:lastRenderedPageBreak/>
        <w:t>paraiškos forma ir (ar) projekto sutarties forma, tokiais atvejais minėtų dokumentų keitimas, derinimas ir tvirtinimas vykdomi Projektų administravimo ir finansavimo taisyklėse nustatyta tvarka.“</w:t>
      </w:r>
    </w:p>
    <w:p w:rsidR="00CD2E21" w:rsidRPr="007F23CD" w:rsidRDefault="003C0EE3" w:rsidP="00BC5A64">
      <w:pPr>
        <w:spacing w:line="360" w:lineRule="atLeast"/>
        <w:ind w:firstLine="720"/>
        <w:jc w:val="both"/>
        <w:rPr>
          <w:rFonts w:eastAsiaTheme="minorHAnsi"/>
          <w:color w:val="000000"/>
          <w:szCs w:val="24"/>
        </w:rPr>
      </w:pPr>
      <w:r>
        <w:rPr>
          <w:rFonts w:eastAsiaTheme="minorHAnsi"/>
          <w:color w:val="000000"/>
          <w:szCs w:val="24"/>
        </w:rPr>
        <w:t>5</w:t>
      </w:r>
      <w:r w:rsidR="00CD2E21" w:rsidRPr="007F23CD">
        <w:rPr>
          <w:rFonts w:eastAsiaTheme="minorHAnsi"/>
          <w:color w:val="000000"/>
          <w:szCs w:val="24"/>
        </w:rPr>
        <w:t xml:space="preserve">. </w:t>
      </w:r>
      <w:r w:rsidR="00CD2E21" w:rsidRPr="007F23CD">
        <w:rPr>
          <w:szCs w:val="24"/>
        </w:rPr>
        <w:t xml:space="preserve">Pakeisti </w:t>
      </w:r>
      <w:r w:rsidR="00CD2E21" w:rsidRPr="007F23CD">
        <w:rPr>
          <w:rFonts w:eastAsiaTheme="minorHAnsi"/>
          <w:bCs/>
          <w:color w:val="000000"/>
          <w:szCs w:val="24"/>
        </w:rPr>
        <w:t>133.2.2</w:t>
      </w:r>
      <w:r w:rsidR="00CD2E21" w:rsidRPr="007F23CD">
        <w:rPr>
          <w:rFonts w:eastAsiaTheme="minorHAnsi"/>
          <w:b/>
          <w:bCs/>
          <w:color w:val="000000"/>
          <w:szCs w:val="24"/>
        </w:rPr>
        <w:t xml:space="preserve"> </w:t>
      </w:r>
      <w:r w:rsidR="00CD2E21" w:rsidRPr="007F23CD">
        <w:rPr>
          <w:szCs w:val="24"/>
        </w:rPr>
        <w:t>papunktį ir jį išdėstyti taip:</w:t>
      </w:r>
    </w:p>
    <w:p w:rsidR="00CD2E21" w:rsidRPr="007F23CD" w:rsidRDefault="00CD2E21" w:rsidP="00BC5A64">
      <w:pPr>
        <w:spacing w:line="360" w:lineRule="atLeast"/>
        <w:ind w:firstLine="720"/>
        <w:jc w:val="both"/>
        <w:rPr>
          <w:rFonts w:eastAsiaTheme="minorHAnsi"/>
          <w:bCs/>
          <w:szCs w:val="24"/>
        </w:rPr>
      </w:pPr>
      <w:r w:rsidRPr="007F23CD">
        <w:rPr>
          <w:rFonts w:eastAsiaTheme="minorHAnsi"/>
          <w:bCs/>
          <w:color w:val="000000"/>
          <w:szCs w:val="24"/>
        </w:rPr>
        <w:t>„133.2.2.</w:t>
      </w:r>
      <w:r w:rsidRPr="007F23CD">
        <w:rPr>
          <w:rFonts w:eastAsiaTheme="minorHAnsi"/>
          <w:b/>
          <w:bCs/>
          <w:color w:val="000000"/>
          <w:szCs w:val="24"/>
        </w:rPr>
        <w:t xml:space="preserve"> </w:t>
      </w:r>
      <w:r w:rsidRPr="007F23CD">
        <w:rPr>
          <w:rFonts w:eastAsiaTheme="minorHAnsi"/>
          <w:color w:val="000000"/>
          <w:szCs w:val="24"/>
        </w:rPr>
        <w:t xml:space="preserve">turimą informaciją apie lėšas, planuojamas išmokėti projektų vykdytojams pagal projektus, rengiamus pagal patvirtintus valstybės projektų sąrašus </w:t>
      </w:r>
      <w:r w:rsidRPr="007F23CD">
        <w:rPr>
          <w:rFonts w:eastAsiaTheme="minorHAnsi"/>
          <w:b/>
          <w:bCs/>
          <w:szCs w:val="24"/>
        </w:rPr>
        <w:t>arba bandomąsias iniciatyvas</w:t>
      </w:r>
      <w:r w:rsidR="00CD6E8C">
        <w:rPr>
          <w:rFonts w:eastAsiaTheme="minorHAnsi"/>
          <w:b/>
          <w:bCs/>
          <w:szCs w:val="24"/>
        </w:rPr>
        <w:t>.</w:t>
      </w:r>
      <w:r w:rsidRPr="007F23CD">
        <w:rPr>
          <w:rFonts w:eastAsiaTheme="minorHAnsi"/>
          <w:bCs/>
          <w:szCs w:val="24"/>
        </w:rPr>
        <w:t>“</w:t>
      </w:r>
    </w:p>
    <w:p w:rsidR="007F6291" w:rsidRPr="007F23CD" w:rsidRDefault="003C0EE3" w:rsidP="00BC5A64">
      <w:pPr>
        <w:spacing w:line="360" w:lineRule="atLeast"/>
        <w:ind w:firstLine="720"/>
        <w:jc w:val="both"/>
        <w:rPr>
          <w:rFonts w:eastAsiaTheme="minorHAnsi"/>
          <w:color w:val="000000"/>
          <w:szCs w:val="24"/>
        </w:rPr>
      </w:pPr>
      <w:r>
        <w:rPr>
          <w:rFonts w:eastAsiaTheme="minorHAnsi"/>
          <w:color w:val="000000"/>
          <w:szCs w:val="24"/>
        </w:rPr>
        <w:t>6</w:t>
      </w:r>
      <w:r w:rsidR="007F6291" w:rsidRPr="007F23CD">
        <w:rPr>
          <w:rFonts w:eastAsiaTheme="minorHAnsi"/>
          <w:color w:val="000000"/>
          <w:szCs w:val="24"/>
        </w:rPr>
        <w:t xml:space="preserve">. </w:t>
      </w:r>
      <w:r w:rsidR="007F6291" w:rsidRPr="007F23CD">
        <w:rPr>
          <w:szCs w:val="24"/>
        </w:rPr>
        <w:t xml:space="preserve">Pakeisti </w:t>
      </w:r>
      <w:r w:rsidR="007F6291" w:rsidRPr="007F23CD">
        <w:rPr>
          <w:rFonts w:eastAsiaTheme="minorHAnsi"/>
          <w:bCs/>
          <w:color w:val="000000"/>
          <w:szCs w:val="24"/>
        </w:rPr>
        <w:t>136</w:t>
      </w:r>
      <w:r w:rsidR="007F6291" w:rsidRPr="007F23CD">
        <w:rPr>
          <w:rFonts w:eastAsiaTheme="minorHAnsi"/>
          <w:b/>
          <w:bCs/>
          <w:color w:val="000000"/>
          <w:szCs w:val="24"/>
        </w:rPr>
        <w:t xml:space="preserve"> </w:t>
      </w:r>
      <w:r w:rsidR="007F6291" w:rsidRPr="007F23CD">
        <w:rPr>
          <w:szCs w:val="24"/>
        </w:rPr>
        <w:t>punktą ir jį išdėstyti taip:</w:t>
      </w:r>
    </w:p>
    <w:p w:rsidR="00CD2E21" w:rsidRPr="007F23CD" w:rsidRDefault="007F6291" w:rsidP="00BC5A64">
      <w:pPr>
        <w:spacing w:line="360" w:lineRule="atLeast"/>
        <w:ind w:firstLine="720"/>
        <w:jc w:val="both"/>
        <w:rPr>
          <w:rFonts w:eastAsiaTheme="minorHAnsi"/>
          <w:color w:val="000000"/>
          <w:szCs w:val="24"/>
        </w:rPr>
      </w:pPr>
      <w:r w:rsidRPr="007F23CD">
        <w:rPr>
          <w:rFonts w:eastAsiaTheme="minorHAnsi"/>
          <w:color w:val="000000"/>
          <w:szCs w:val="24"/>
        </w:rPr>
        <w:t xml:space="preserve">„136. Ministerijos, taip pat, kai įgyvendinama techninės paramos visuotinės dotacijos priemonė, vadovaujančioji institucija užtikrina, kad informacija apie paskelbtus kvietimus teikti paraiškas ir patvirtintus valstybės ir regionų projektų sąrašus arba </w:t>
      </w:r>
      <w:r w:rsidRPr="007F23CD">
        <w:rPr>
          <w:rFonts w:eastAsiaTheme="minorHAnsi"/>
          <w:b/>
          <w:bCs/>
          <w:szCs w:val="24"/>
        </w:rPr>
        <w:t>bandomąsias iniciatyvas</w:t>
      </w:r>
      <w:r w:rsidRPr="007F23CD">
        <w:rPr>
          <w:rFonts w:eastAsiaTheme="minorHAnsi"/>
          <w:color w:val="000000"/>
          <w:szCs w:val="24"/>
        </w:rPr>
        <w:t xml:space="preserve"> būtų registruota SFMIS2014 ne vėliau kaip iki kovo 1 d., birželio 20 d., rugsėjo 20 d. ir gruodžio 20 d. ir paskelbta ES struktūrinių fondų svetainėje </w:t>
      </w:r>
      <w:hyperlink r:id="rId8" w:history="1">
        <w:r w:rsidRPr="007F23CD">
          <w:rPr>
            <w:rFonts w:eastAsiaTheme="minorHAnsi"/>
            <w:color w:val="000000"/>
            <w:szCs w:val="24"/>
          </w:rPr>
          <w:t>www.esinvesticijos.lt</w:t>
        </w:r>
      </w:hyperlink>
      <w:r w:rsidRPr="007F23CD">
        <w:rPr>
          <w:rFonts w:eastAsiaTheme="minorHAnsi"/>
          <w:color w:val="000000"/>
          <w:szCs w:val="24"/>
        </w:rPr>
        <w:t xml:space="preserve"> Rekomendacijų dėl svetainės administravimo nustatyta tvarka.“</w:t>
      </w:r>
    </w:p>
    <w:p w:rsidR="007F6291" w:rsidRPr="007F23CD" w:rsidRDefault="003C0EE3" w:rsidP="00BC5A64">
      <w:pPr>
        <w:spacing w:line="360" w:lineRule="atLeast"/>
        <w:ind w:firstLine="720"/>
        <w:jc w:val="both"/>
        <w:rPr>
          <w:rFonts w:eastAsiaTheme="minorHAnsi"/>
          <w:color w:val="000000"/>
          <w:szCs w:val="24"/>
        </w:rPr>
      </w:pPr>
      <w:r>
        <w:rPr>
          <w:rFonts w:eastAsiaTheme="minorHAnsi"/>
          <w:color w:val="000000"/>
          <w:szCs w:val="24"/>
        </w:rPr>
        <w:t>7</w:t>
      </w:r>
      <w:r w:rsidR="007F6291" w:rsidRPr="007F23CD">
        <w:rPr>
          <w:rFonts w:eastAsiaTheme="minorHAnsi"/>
          <w:color w:val="000000"/>
          <w:szCs w:val="24"/>
        </w:rPr>
        <w:t xml:space="preserve">. </w:t>
      </w:r>
      <w:r w:rsidR="007F6291" w:rsidRPr="007F23CD">
        <w:rPr>
          <w:szCs w:val="24"/>
        </w:rPr>
        <w:t xml:space="preserve">Pakeisti </w:t>
      </w:r>
      <w:r w:rsidR="007F6291" w:rsidRPr="007F23CD">
        <w:rPr>
          <w:rFonts w:eastAsiaTheme="minorHAnsi"/>
          <w:bCs/>
          <w:color w:val="000000"/>
          <w:szCs w:val="24"/>
        </w:rPr>
        <w:t>137</w:t>
      </w:r>
      <w:r w:rsidR="007F6291" w:rsidRPr="007F23CD">
        <w:rPr>
          <w:rFonts w:eastAsiaTheme="minorHAnsi"/>
          <w:b/>
          <w:bCs/>
          <w:color w:val="000000"/>
          <w:szCs w:val="24"/>
        </w:rPr>
        <w:t xml:space="preserve"> </w:t>
      </w:r>
      <w:r w:rsidR="007F6291" w:rsidRPr="007F23CD">
        <w:rPr>
          <w:szCs w:val="24"/>
        </w:rPr>
        <w:t>punktą ir jį išdėstyti taip:</w:t>
      </w:r>
    </w:p>
    <w:p w:rsidR="007F6291" w:rsidRPr="007F23CD" w:rsidRDefault="007F6291" w:rsidP="00BC5A64">
      <w:pPr>
        <w:spacing w:line="360" w:lineRule="atLeast"/>
        <w:ind w:firstLine="720"/>
        <w:jc w:val="both"/>
        <w:rPr>
          <w:rFonts w:eastAsiaTheme="minorHAnsi"/>
          <w:color w:val="000000"/>
          <w:szCs w:val="24"/>
        </w:rPr>
      </w:pPr>
      <w:r w:rsidRPr="007F23CD">
        <w:rPr>
          <w:rFonts w:eastAsiaTheme="minorHAnsi"/>
          <w:color w:val="000000"/>
          <w:szCs w:val="24"/>
        </w:rPr>
        <w:t>„137. Ministerijos, taip pat, kai įgyvendinama techninės paramos visuotinės dotacijos priemonė, vadovaujančioji institucija ne vėliau kaip iki sausio 1 d., kovo 1 d., liepos 1 d. ir spalio 1 d. rengia planuojamų kvietimų teikti paraiškas skelbimo, valstybės ir regionų projektų sąrašų sudarymo</w:t>
      </w:r>
      <w:r w:rsidRPr="007F23CD">
        <w:rPr>
          <w:rFonts w:eastAsiaTheme="minorHAnsi"/>
          <w:szCs w:val="24"/>
        </w:rPr>
        <w:t xml:space="preserve">, </w:t>
      </w:r>
      <w:r w:rsidRPr="007F23CD">
        <w:rPr>
          <w:rFonts w:eastAsiaTheme="minorHAnsi"/>
          <w:b/>
          <w:bCs/>
          <w:szCs w:val="24"/>
        </w:rPr>
        <w:t>bandom</w:t>
      </w:r>
      <w:r w:rsidR="003D6DB0">
        <w:rPr>
          <w:rFonts w:eastAsiaTheme="minorHAnsi"/>
          <w:b/>
          <w:bCs/>
          <w:szCs w:val="24"/>
        </w:rPr>
        <w:t>ųjų</w:t>
      </w:r>
      <w:r w:rsidRPr="007F23CD">
        <w:rPr>
          <w:rFonts w:eastAsiaTheme="minorHAnsi"/>
          <w:b/>
          <w:bCs/>
          <w:szCs w:val="24"/>
        </w:rPr>
        <w:t xml:space="preserve"> iniciatyv</w:t>
      </w:r>
      <w:r w:rsidR="003D6DB0">
        <w:rPr>
          <w:rFonts w:eastAsiaTheme="minorHAnsi"/>
          <w:b/>
          <w:bCs/>
          <w:szCs w:val="24"/>
        </w:rPr>
        <w:t>ų</w:t>
      </w:r>
      <w:r w:rsidRPr="007F23CD">
        <w:rPr>
          <w:rFonts w:eastAsiaTheme="minorHAnsi"/>
          <w:szCs w:val="24"/>
        </w:rPr>
        <w:t xml:space="preserve"> </w:t>
      </w:r>
      <w:r w:rsidR="002D72DB" w:rsidRPr="009664A7">
        <w:rPr>
          <w:rFonts w:eastAsiaTheme="minorHAnsi"/>
          <w:b/>
          <w:szCs w:val="24"/>
        </w:rPr>
        <w:t>įgyvendinimo</w:t>
      </w:r>
      <w:r w:rsidR="002D72DB">
        <w:rPr>
          <w:rFonts w:eastAsiaTheme="minorHAnsi"/>
          <w:szCs w:val="24"/>
        </w:rPr>
        <w:t xml:space="preserve"> </w:t>
      </w:r>
      <w:r w:rsidRPr="007F23CD">
        <w:rPr>
          <w:rFonts w:eastAsiaTheme="minorHAnsi"/>
          <w:color w:val="000000"/>
          <w:szCs w:val="24"/>
        </w:rPr>
        <w:t>ir papildomo finansavimo skyrimo planą, kuriame nurodoma informacija apie planuojamus per 3 ateinančius metus skelbti kvietimus teikti paraiškas, valstybės ir regionų projektų sąrašų sudarymą,</w:t>
      </w:r>
      <w:r w:rsidR="003D6DB0">
        <w:rPr>
          <w:rFonts w:eastAsiaTheme="minorHAnsi"/>
          <w:color w:val="000000"/>
          <w:szCs w:val="24"/>
        </w:rPr>
        <w:t xml:space="preserve"> </w:t>
      </w:r>
      <w:r w:rsidR="002D72DB" w:rsidRPr="009664A7">
        <w:rPr>
          <w:rFonts w:eastAsiaTheme="minorHAnsi"/>
          <w:b/>
          <w:color w:val="000000"/>
          <w:szCs w:val="24"/>
        </w:rPr>
        <w:t>planuojamas įgyvendinti</w:t>
      </w:r>
      <w:r w:rsidR="002D72DB">
        <w:rPr>
          <w:rFonts w:eastAsiaTheme="minorHAnsi"/>
          <w:color w:val="000000"/>
          <w:szCs w:val="24"/>
        </w:rPr>
        <w:t xml:space="preserve"> </w:t>
      </w:r>
      <w:r w:rsidR="003D6DB0" w:rsidRPr="003D6DB0">
        <w:rPr>
          <w:rFonts w:eastAsiaTheme="minorHAnsi"/>
          <w:b/>
          <w:color w:val="000000"/>
          <w:szCs w:val="24"/>
        </w:rPr>
        <w:t>bandomąsias iniciatyvas</w:t>
      </w:r>
      <w:r w:rsidR="00DD341E">
        <w:rPr>
          <w:rFonts w:eastAsiaTheme="minorHAnsi"/>
          <w:b/>
          <w:color w:val="000000"/>
          <w:szCs w:val="24"/>
        </w:rPr>
        <w:t>,</w:t>
      </w:r>
      <w:r w:rsidR="00DD341E" w:rsidRPr="00DD341E">
        <w:rPr>
          <w:rFonts w:eastAsiaTheme="minorHAnsi"/>
          <w:color w:val="000000"/>
          <w:szCs w:val="24"/>
        </w:rPr>
        <w:t xml:space="preserve"> </w:t>
      </w:r>
      <w:r w:rsidRPr="007F23CD">
        <w:rPr>
          <w:rFonts w:eastAsiaTheme="minorHAnsi"/>
          <w:color w:val="000000"/>
          <w:szCs w:val="24"/>
        </w:rPr>
        <w:t>planuojamą skirti papildomą finansavimą, planuojamus finansavimo šaltinius, esminius priemonių įgyvendinimo rizikos veiksnius – aplinkybes, galinčias daryti neigiamą poveikį priemonių įgyvendinimui, ir teikia jį vadovaujančiajai institucijai.“</w:t>
      </w:r>
    </w:p>
    <w:p w:rsidR="007F6291" w:rsidRPr="007F23CD" w:rsidRDefault="003C0EE3" w:rsidP="00BC5A64">
      <w:pPr>
        <w:spacing w:line="360" w:lineRule="atLeast"/>
        <w:ind w:firstLine="720"/>
        <w:jc w:val="both"/>
        <w:rPr>
          <w:szCs w:val="24"/>
        </w:rPr>
      </w:pPr>
      <w:r>
        <w:rPr>
          <w:rFonts w:eastAsiaTheme="minorHAnsi"/>
          <w:color w:val="000000"/>
          <w:szCs w:val="24"/>
        </w:rPr>
        <w:t>8</w:t>
      </w:r>
      <w:r w:rsidR="007F6291" w:rsidRPr="007F23CD">
        <w:rPr>
          <w:rFonts w:eastAsiaTheme="minorHAnsi"/>
          <w:color w:val="000000"/>
          <w:szCs w:val="24"/>
        </w:rPr>
        <w:t xml:space="preserve">. </w:t>
      </w:r>
      <w:r w:rsidR="007F6291" w:rsidRPr="007F23CD">
        <w:rPr>
          <w:szCs w:val="24"/>
        </w:rPr>
        <w:t xml:space="preserve">Pakeisti </w:t>
      </w:r>
      <w:r w:rsidR="007F6291" w:rsidRPr="007F23CD">
        <w:rPr>
          <w:rFonts w:eastAsiaTheme="minorHAnsi"/>
          <w:bCs/>
          <w:color w:val="000000"/>
          <w:szCs w:val="24"/>
        </w:rPr>
        <w:t>141</w:t>
      </w:r>
      <w:r w:rsidR="007F6291" w:rsidRPr="007F23CD">
        <w:rPr>
          <w:rFonts w:eastAsiaTheme="minorHAnsi"/>
          <w:b/>
          <w:bCs/>
          <w:color w:val="000000"/>
          <w:szCs w:val="24"/>
        </w:rPr>
        <w:t xml:space="preserve"> </w:t>
      </w:r>
      <w:r w:rsidR="007F6291" w:rsidRPr="007F23CD">
        <w:rPr>
          <w:szCs w:val="24"/>
        </w:rPr>
        <w:t>punkt</w:t>
      </w:r>
      <w:r w:rsidR="00CD6E8C">
        <w:rPr>
          <w:szCs w:val="24"/>
        </w:rPr>
        <w:t>o pirmąją pastraipą</w:t>
      </w:r>
      <w:r w:rsidR="007F6291" w:rsidRPr="007F23CD">
        <w:rPr>
          <w:szCs w:val="24"/>
        </w:rPr>
        <w:t xml:space="preserve"> ir j</w:t>
      </w:r>
      <w:r w:rsidR="00CD6E8C">
        <w:rPr>
          <w:szCs w:val="24"/>
        </w:rPr>
        <w:t>ą</w:t>
      </w:r>
      <w:r w:rsidR="007F6291" w:rsidRPr="007F23CD">
        <w:rPr>
          <w:szCs w:val="24"/>
        </w:rPr>
        <w:t xml:space="preserve"> išdėstyti taip:</w:t>
      </w:r>
    </w:p>
    <w:p w:rsidR="007F6291" w:rsidRPr="007F23CD" w:rsidRDefault="007F6291" w:rsidP="00BC5A64">
      <w:pPr>
        <w:spacing w:line="360" w:lineRule="atLeast"/>
        <w:ind w:firstLine="720"/>
        <w:jc w:val="both"/>
        <w:rPr>
          <w:rFonts w:eastAsiaTheme="minorHAnsi"/>
          <w:color w:val="000000"/>
          <w:szCs w:val="24"/>
        </w:rPr>
      </w:pPr>
      <w:r w:rsidRPr="007F23CD">
        <w:rPr>
          <w:rFonts w:eastAsiaTheme="minorHAnsi"/>
          <w:color w:val="000000"/>
          <w:szCs w:val="24"/>
        </w:rPr>
        <w:t xml:space="preserve">„141. Jeigu ministerijos, taip pat, kai įgyvendinami veiksmų programos techninės paramos prioritetai, vadovaujančioji institucija ir įgyvendinančiosios institucijos nesilaiko Taisyklių 139 ir 140 punktų nuostatų </w:t>
      </w:r>
      <w:r w:rsidR="009664A7" w:rsidRPr="009664A7">
        <w:rPr>
          <w:rFonts w:eastAsiaTheme="minorHAnsi"/>
          <w:b/>
          <w:color w:val="000000"/>
          <w:szCs w:val="24"/>
        </w:rPr>
        <w:t xml:space="preserve">ir </w:t>
      </w:r>
      <w:r w:rsidRPr="007F23CD">
        <w:rPr>
          <w:rFonts w:eastAsiaTheme="minorHAnsi"/>
          <w:color w:val="000000"/>
          <w:szCs w:val="24"/>
        </w:rPr>
        <w:t>a</w:t>
      </w:r>
      <w:r w:rsidRPr="009664A7">
        <w:rPr>
          <w:rFonts w:eastAsiaTheme="minorHAnsi"/>
          <w:strike/>
          <w:color w:val="000000"/>
          <w:szCs w:val="24"/>
        </w:rPr>
        <w:t>rba</w:t>
      </w:r>
      <w:r w:rsidRPr="007F23CD">
        <w:rPr>
          <w:rFonts w:eastAsiaTheme="minorHAnsi"/>
          <w:color w:val="000000"/>
          <w:szCs w:val="24"/>
        </w:rPr>
        <w:t xml:space="preserve"> (</w:t>
      </w:r>
      <w:r w:rsidRPr="009664A7">
        <w:rPr>
          <w:rFonts w:eastAsiaTheme="minorHAnsi"/>
          <w:strike/>
          <w:color w:val="000000"/>
          <w:szCs w:val="24"/>
        </w:rPr>
        <w:t>ir</w:t>
      </w:r>
      <w:r w:rsidR="009664A7">
        <w:rPr>
          <w:rFonts w:eastAsiaTheme="minorHAnsi"/>
          <w:color w:val="000000"/>
          <w:szCs w:val="24"/>
        </w:rPr>
        <w:t xml:space="preserve"> </w:t>
      </w:r>
      <w:r w:rsidR="009664A7" w:rsidRPr="009664A7">
        <w:rPr>
          <w:rFonts w:eastAsiaTheme="minorHAnsi"/>
          <w:b/>
          <w:color w:val="000000"/>
          <w:szCs w:val="24"/>
        </w:rPr>
        <w:t>arba</w:t>
      </w:r>
      <w:r w:rsidRPr="007F23CD">
        <w:rPr>
          <w:rFonts w:eastAsiaTheme="minorHAnsi"/>
          <w:color w:val="000000"/>
          <w:szCs w:val="24"/>
        </w:rPr>
        <w:t xml:space="preserve">) jeigu nukrypstama nuo ES struktūrinių fondų lėšų naudojimo plano, veiklos peržiūros rodiklių pasiekimo plano, planuojamų kvietimų teikti paraiškas skelbimo, valstybės ir regionų projektų sąrašų sudarymo, </w:t>
      </w:r>
      <w:r w:rsidRPr="007F23CD">
        <w:rPr>
          <w:rFonts w:eastAsiaTheme="minorHAnsi"/>
          <w:b/>
          <w:bCs/>
          <w:szCs w:val="24"/>
        </w:rPr>
        <w:t>bandom</w:t>
      </w:r>
      <w:r w:rsidR="000266FA">
        <w:rPr>
          <w:rFonts w:eastAsiaTheme="minorHAnsi"/>
          <w:b/>
          <w:bCs/>
          <w:szCs w:val="24"/>
        </w:rPr>
        <w:t>ųjų</w:t>
      </w:r>
      <w:r w:rsidRPr="007F23CD">
        <w:rPr>
          <w:rFonts w:eastAsiaTheme="minorHAnsi"/>
          <w:b/>
          <w:bCs/>
          <w:szCs w:val="24"/>
        </w:rPr>
        <w:t xml:space="preserve"> iniciatyv</w:t>
      </w:r>
      <w:r w:rsidR="000266FA">
        <w:rPr>
          <w:rFonts w:eastAsiaTheme="minorHAnsi"/>
          <w:b/>
          <w:bCs/>
          <w:szCs w:val="24"/>
        </w:rPr>
        <w:t>ų</w:t>
      </w:r>
      <w:r w:rsidRPr="007F23CD">
        <w:rPr>
          <w:rFonts w:eastAsiaTheme="minorHAnsi"/>
          <w:color w:val="000000"/>
          <w:szCs w:val="24"/>
        </w:rPr>
        <w:t xml:space="preserve"> </w:t>
      </w:r>
      <w:r w:rsidR="00BF65E6" w:rsidRPr="009664A7">
        <w:rPr>
          <w:rFonts w:eastAsiaTheme="minorHAnsi"/>
          <w:b/>
          <w:color w:val="000000"/>
          <w:szCs w:val="24"/>
        </w:rPr>
        <w:t>įgyvendinimo</w:t>
      </w:r>
      <w:r w:rsidR="00BF65E6">
        <w:rPr>
          <w:rFonts w:eastAsiaTheme="minorHAnsi"/>
          <w:color w:val="000000"/>
          <w:szCs w:val="24"/>
        </w:rPr>
        <w:t xml:space="preserve"> </w:t>
      </w:r>
      <w:r w:rsidRPr="007F23CD">
        <w:rPr>
          <w:rFonts w:eastAsiaTheme="minorHAnsi"/>
          <w:color w:val="000000"/>
          <w:szCs w:val="24"/>
        </w:rPr>
        <w:t>ir papildomo finansavimo skyrimo plano ir prognozių, arba (ir) jeigu kyla rizika nepanaudoti ES struktūrinių fondų arba (ir) valstybės biudžeto lėšų, numatytų išmokėti skirstant metinius valstybės biudžeto asignavimus, vadovaujančioji institucija turi imtis bent vieno iš šių veiksmų:“</w:t>
      </w:r>
      <w:r w:rsidR="00F941FD">
        <w:rPr>
          <w:rFonts w:eastAsiaTheme="minorHAnsi"/>
          <w:color w:val="000000"/>
          <w:szCs w:val="24"/>
        </w:rPr>
        <w:t>.</w:t>
      </w:r>
    </w:p>
    <w:p w:rsidR="00151B25" w:rsidRPr="007F23CD" w:rsidRDefault="00151B25" w:rsidP="00B05800">
      <w:pPr>
        <w:spacing w:line="360" w:lineRule="auto"/>
        <w:jc w:val="both"/>
        <w:rPr>
          <w:rFonts w:eastAsiaTheme="minorHAnsi"/>
          <w:color w:val="000000"/>
          <w:szCs w:val="24"/>
        </w:rPr>
      </w:pPr>
    </w:p>
    <w:p w:rsidR="00151B25" w:rsidRPr="007F23CD" w:rsidRDefault="00151B25" w:rsidP="00B05800">
      <w:pPr>
        <w:spacing w:line="360" w:lineRule="auto"/>
        <w:jc w:val="both"/>
        <w:rPr>
          <w:rFonts w:eastAsiaTheme="minorHAnsi"/>
          <w:color w:val="000000"/>
          <w:szCs w:val="24"/>
        </w:rPr>
      </w:pPr>
    </w:p>
    <w:p w:rsidR="00151B25" w:rsidRPr="007F23CD" w:rsidRDefault="00151B25" w:rsidP="00B05800">
      <w:pPr>
        <w:tabs>
          <w:tab w:val="center" w:pos="-7800"/>
          <w:tab w:val="left" w:pos="6237"/>
          <w:tab w:val="right" w:pos="8306"/>
        </w:tabs>
        <w:spacing w:line="360" w:lineRule="auto"/>
        <w:rPr>
          <w:szCs w:val="24"/>
        </w:rPr>
      </w:pPr>
      <w:r w:rsidRPr="007F23CD">
        <w:rPr>
          <w:szCs w:val="24"/>
        </w:rPr>
        <w:t>Ministras Pirmininkas</w:t>
      </w:r>
      <w:r w:rsidRPr="007F23CD">
        <w:rPr>
          <w:szCs w:val="24"/>
        </w:rPr>
        <w:tab/>
      </w:r>
    </w:p>
    <w:p w:rsidR="00151B25" w:rsidRPr="007F23CD" w:rsidRDefault="00151B25" w:rsidP="00B05800">
      <w:pPr>
        <w:tabs>
          <w:tab w:val="left" w:pos="6237"/>
          <w:tab w:val="right" w:pos="8306"/>
        </w:tabs>
        <w:spacing w:line="360" w:lineRule="auto"/>
        <w:rPr>
          <w:szCs w:val="24"/>
        </w:rPr>
      </w:pPr>
    </w:p>
    <w:p w:rsidR="007F6291" w:rsidRPr="007F23CD" w:rsidRDefault="00151B25" w:rsidP="00B05800">
      <w:pPr>
        <w:tabs>
          <w:tab w:val="left" w:pos="6237"/>
          <w:tab w:val="right" w:pos="8306"/>
        </w:tabs>
        <w:spacing w:line="360" w:lineRule="auto"/>
        <w:rPr>
          <w:szCs w:val="24"/>
        </w:rPr>
      </w:pPr>
      <w:r w:rsidRPr="007F23CD">
        <w:rPr>
          <w:szCs w:val="24"/>
        </w:rPr>
        <w:t>Finansų ministras</w:t>
      </w:r>
    </w:p>
    <w:sectPr w:rsidR="007F6291" w:rsidRPr="007F23CD" w:rsidSect="009E57AB">
      <w:headerReference w:type="defaul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088" w:rsidRDefault="00176088" w:rsidP="003F5673">
      <w:r>
        <w:separator/>
      </w:r>
    </w:p>
  </w:endnote>
  <w:endnote w:type="continuationSeparator" w:id="0">
    <w:p w:rsidR="00176088" w:rsidRDefault="00176088" w:rsidP="003F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088" w:rsidRDefault="00176088" w:rsidP="003F5673">
      <w:r>
        <w:separator/>
      </w:r>
    </w:p>
  </w:footnote>
  <w:footnote w:type="continuationSeparator" w:id="0">
    <w:p w:rsidR="00176088" w:rsidRDefault="00176088" w:rsidP="003F5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826545"/>
      <w:docPartObj>
        <w:docPartGallery w:val="Page Numbers (Top of Page)"/>
        <w:docPartUnique/>
      </w:docPartObj>
    </w:sdtPr>
    <w:sdtEndPr/>
    <w:sdtContent>
      <w:p w:rsidR="00DA0068" w:rsidRDefault="00DA0068">
        <w:pPr>
          <w:pStyle w:val="Antrats"/>
          <w:jc w:val="center"/>
        </w:pPr>
        <w:r>
          <w:fldChar w:fldCharType="begin"/>
        </w:r>
        <w:r>
          <w:instrText>PAGE   \* MERGEFORMAT</w:instrText>
        </w:r>
        <w:r>
          <w:fldChar w:fldCharType="separate"/>
        </w:r>
        <w:r w:rsidR="00364CC7">
          <w:rPr>
            <w:noProof/>
          </w:rPr>
          <w:t>2</w:t>
        </w:r>
        <w:r>
          <w:fldChar w:fldCharType="end"/>
        </w:r>
      </w:p>
    </w:sdtContent>
  </w:sdt>
  <w:p w:rsidR="00DA0068" w:rsidRDefault="00DA00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E8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7A71E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3EB07FC"/>
    <w:multiLevelType w:val="hybridMultilevel"/>
    <w:tmpl w:val="882EC0E0"/>
    <w:lvl w:ilvl="0" w:tplc="9468D5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BA"/>
    <w:rsid w:val="000266FA"/>
    <w:rsid w:val="00035B32"/>
    <w:rsid w:val="00055BB4"/>
    <w:rsid w:val="000E368E"/>
    <w:rsid w:val="00115F71"/>
    <w:rsid w:val="00151B25"/>
    <w:rsid w:val="00176088"/>
    <w:rsid w:val="001826BF"/>
    <w:rsid w:val="001A2A29"/>
    <w:rsid w:val="001B63A4"/>
    <w:rsid w:val="001F7DEE"/>
    <w:rsid w:val="00206FC2"/>
    <w:rsid w:val="00221B50"/>
    <w:rsid w:val="002D72DB"/>
    <w:rsid w:val="002F7AC4"/>
    <w:rsid w:val="00364CC7"/>
    <w:rsid w:val="003671B3"/>
    <w:rsid w:val="00391808"/>
    <w:rsid w:val="003B7282"/>
    <w:rsid w:val="003C0EE3"/>
    <w:rsid w:val="003D6DB0"/>
    <w:rsid w:val="003F5673"/>
    <w:rsid w:val="00441A2A"/>
    <w:rsid w:val="004F312A"/>
    <w:rsid w:val="00571CCD"/>
    <w:rsid w:val="0059170A"/>
    <w:rsid w:val="005A0823"/>
    <w:rsid w:val="00786828"/>
    <w:rsid w:val="007D70A9"/>
    <w:rsid w:val="007F23CD"/>
    <w:rsid w:val="007F6291"/>
    <w:rsid w:val="008073DE"/>
    <w:rsid w:val="009664A7"/>
    <w:rsid w:val="009E57AB"/>
    <w:rsid w:val="00A051BA"/>
    <w:rsid w:val="00A255E1"/>
    <w:rsid w:val="00AA727B"/>
    <w:rsid w:val="00B05800"/>
    <w:rsid w:val="00BC5A64"/>
    <w:rsid w:val="00BF65E6"/>
    <w:rsid w:val="00C560D0"/>
    <w:rsid w:val="00CD2E21"/>
    <w:rsid w:val="00CD6E8C"/>
    <w:rsid w:val="00CF4572"/>
    <w:rsid w:val="00D5773A"/>
    <w:rsid w:val="00D8541A"/>
    <w:rsid w:val="00D937EB"/>
    <w:rsid w:val="00DA0068"/>
    <w:rsid w:val="00DD341E"/>
    <w:rsid w:val="00E874D3"/>
    <w:rsid w:val="00F57FF7"/>
    <w:rsid w:val="00F92363"/>
    <w:rsid w:val="00F941FD"/>
    <w:rsid w:val="00FE0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051B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A727B"/>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051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51BA"/>
    <w:rPr>
      <w:rFonts w:ascii="Tahoma" w:eastAsia="Times New Roman" w:hAnsi="Tahoma" w:cs="Tahoma"/>
      <w:sz w:val="16"/>
      <w:szCs w:val="16"/>
    </w:rPr>
  </w:style>
  <w:style w:type="character" w:customStyle="1" w:styleId="Antrat1Diagrama">
    <w:name w:val="Antraštė 1 Diagrama"/>
    <w:basedOn w:val="Numatytasispastraiposriftas"/>
    <w:link w:val="Antrat1"/>
    <w:rsid w:val="00AA727B"/>
    <w:rPr>
      <w:rFonts w:ascii="HelveticaLT" w:eastAsia="Times New Roman" w:hAnsi="HelveticaLT" w:cs="Times New Roman"/>
      <w:caps/>
      <w:sz w:val="32"/>
      <w:szCs w:val="20"/>
      <w:lang w:eastAsia="lt-LT"/>
    </w:rPr>
  </w:style>
  <w:style w:type="paragraph" w:styleId="Sraopastraipa">
    <w:name w:val="List Paragraph"/>
    <w:basedOn w:val="prastasis"/>
    <w:uiPriority w:val="34"/>
    <w:qFormat/>
    <w:rsid w:val="00AA727B"/>
    <w:pPr>
      <w:widowControl w:val="0"/>
      <w:autoSpaceDE w:val="0"/>
      <w:autoSpaceDN w:val="0"/>
      <w:adjustRightInd w:val="0"/>
      <w:ind w:left="720" w:firstLine="720"/>
      <w:contextualSpacing/>
    </w:pPr>
    <w:rPr>
      <w:rFonts w:ascii="Arial" w:hAnsi="Arial" w:cs="Arial"/>
      <w:sz w:val="20"/>
      <w:szCs w:val="24"/>
      <w:lang w:eastAsia="lt-LT"/>
    </w:rPr>
  </w:style>
  <w:style w:type="character" w:styleId="Komentaronuoroda">
    <w:name w:val="annotation reference"/>
    <w:basedOn w:val="Numatytasispastraiposriftas"/>
    <w:uiPriority w:val="99"/>
    <w:semiHidden/>
    <w:unhideWhenUsed/>
    <w:rsid w:val="00C560D0"/>
    <w:rPr>
      <w:sz w:val="16"/>
      <w:szCs w:val="16"/>
    </w:rPr>
  </w:style>
  <w:style w:type="paragraph" w:styleId="Komentarotekstas">
    <w:name w:val="annotation text"/>
    <w:basedOn w:val="prastasis"/>
    <w:link w:val="KomentarotekstasDiagrama"/>
    <w:uiPriority w:val="99"/>
    <w:semiHidden/>
    <w:unhideWhenUsed/>
    <w:rsid w:val="00C560D0"/>
    <w:rPr>
      <w:sz w:val="20"/>
    </w:rPr>
  </w:style>
  <w:style w:type="character" w:customStyle="1" w:styleId="KomentarotekstasDiagrama">
    <w:name w:val="Komentaro tekstas Diagrama"/>
    <w:basedOn w:val="Numatytasispastraiposriftas"/>
    <w:link w:val="Komentarotekstas"/>
    <w:uiPriority w:val="99"/>
    <w:semiHidden/>
    <w:rsid w:val="00C560D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560D0"/>
    <w:rPr>
      <w:b/>
      <w:bCs/>
    </w:rPr>
  </w:style>
  <w:style w:type="character" w:customStyle="1" w:styleId="KomentarotemaDiagrama">
    <w:name w:val="Komentaro tema Diagrama"/>
    <w:basedOn w:val="KomentarotekstasDiagrama"/>
    <w:link w:val="Komentarotema"/>
    <w:uiPriority w:val="99"/>
    <w:semiHidden/>
    <w:rsid w:val="00C560D0"/>
    <w:rPr>
      <w:rFonts w:ascii="Times New Roman" w:eastAsia="Times New Roman" w:hAnsi="Times New Roman" w:cs="Times New Roman"/>
      <w:b/>
      <w:bCs/>
      <w:sz w:val="20"/>
      <w:szCs w:val="20"/>
    </w:rPr>
  </w:style>
  <w:style w:type="paragraph" w:styleId="Pataisymai">
    <w:name w:val="Revision"/>
    <w:hidden/>
    <w:uiPriority w:val="99"/>
    <w:semiHidden/>
    <w:rsid w:val="00BF65E6"/>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3F5673"/>
    <w:pPr>
      <w:tabs>
        <w:tab w:val="center" w:pos="4819"/>
        <w:tab w:val="right" w:pos="9638"/>
      </w:tabs>
    </w:pPr>
  </w:style>
  <w:style w:type="character" w:customStyle="1" w:styleId="AntratsDiagrama">
    <w:name w:val="Antraštės Diagrama"/>
    <w:basedOn w:val="Numatytasispastraiposriftas"/>
    <w:link w:val="Antrats"/>
    <w:uiPriority w:val="99"/>
    <w:rsid w:val="003F567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F5673"/>
    <w:pPr>
      <w:tabs>
        <w:tab w:val="center" w:pos="4819"/>
        <w:tab w:val="right" w:pos="9638"/>
      </w:tabs>
    </w:pPr>
  </w:style>
  <w:style w:type="character" w:customStyle="1" w:styleId="PoratDiagrama">
    <w:name w:val="Poraštė Diagrama"/>
    <w:basedOn w:val="Numatytasispastraiposriftas"/>
    <w:link w:val="Porat"/>
    <w:uiPriority w:val="99"/>
    <w:rsid w:val="003F567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051B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A727B"/>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051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51BA"/>
    <w:rPr>
      <w:rFonts w:ascii="Tahoma" w:eastAsia="Times New Roman" w:hAnsi="Tahoma" w:cs="Tahoma"/>
      <w:sz w:val="16"/>
      <w:szCs w:val="16"/>
    </w:rPr>
  </w:style>
  <w:style w:type="character" w:customStyle="1" w:styleId="Antrat1Diagrama">
    <w:name w:val="Antraštė 1 Diagrama"/>
    <w:basedOn w:val="Numatytasispastraiposriftas"/>
    <w:link w:val="Antrat1"/>
    <w:rsid w:val="00AA727B"/>
    <w:rPr>
      <w:rFonts w:ascii="HelveticaLT" w:eastAsia="Times New Roman" w:hAnsi="HelveticaLT" w:cs="Times New Roman"/>
      <w:caps/>
      <w:sz w:val="32"/>
      <w:szCs w:val="20"/>
      <w:lang w:eastAsia="lt-LT"/>
    </w:rPr>
  </w:style>
  <w:style w:type="paragraph" w:styleId="Sraopastraipa">
    <w:name w:val="List Paragraph"/>
    <w:basedOn w:val="prastasis"/>
    <w:uiPriority w:val="34"/>
    <w:qFormat/>
    <w:rsid w:val="00AA727B"/>
    <w:pPr>
      <w:widowControl w:val="0"/>
      <w:autoSpaceDE w:val="0"/>
      <w:autoSpaceDN w:val="0"/>
      <w:adjustRightInd w:val="0"/>
      <w:ind w:left="720" w:firstLine="720"/>
      <w:contextualSpacing/>
    </w:pPr>
    <w:rPr>
      <w:rFonts w:ascii="Arial" w:hAnsi="Arial" w:cs="Arial"/>
      <w:sz w:val="20"/>
      <w:szCs w:val="24"/>
      <w:lang w:eastAsia="lt-LT"/>
    </w:rPr>
  </w:style>
  <w:style w:type="character" w:styleId="Komentaronuoroda">
    <w:name w:val="annotation reference"/>
    <w:basedOn w:val="Numatytasispastraiposriftas"/>
    <w:uiPriority w:val="99"/>
    <w:semiHidden/>
    <w:unhideWhenUsed/>
    <w:rsid w:val="00C560D0"/>
    <w:rPr>
      <w:sz w:val="16"/>
      <w:szCs w:val="16"/>
    </w:rPr>
  </w:style>
  <w:style w:type="paragraph" w:styleId="Komentarotekstas">
    <w:name w:val="annotation text"/>
    <w:basedOn w:val="prastasis"/>
    <w:link w:val="KomentarotekstasDiagrama"/>
    <w:uiPriority w:val="99"/>
    <w:semiHidden/>
    <w:unhideWhenUsed/>
    <w:rsid w:val="00C560D0"/>
    <w:rPr>
      <w:sz w:val="20"/>
    </w:rPr>
  </w:style>
  <w:style w:type="character" w:customStyle="1" w:styleId="KomentarotekstasDiagrama">
    <w:name w:val="Komentaro tekstas Diagrama"/>
    <w:basedOn w:val="Numatytasispastraiposriftas"/>
    <w:link w:val="Komentarotekstas"/>
    <w:uiPriority w:val="99"/>
    <w:semiHidden/>
    <w:rsid w:val="00C560D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560D0"/>
    <w:rPr>
      <w:b/>
      <w:bCs/>
    </w:rPr>
  </w:style>
  <w:style w:type="character" w:customStyle="1" w:styleId="KomentarotemaDiagrama">
    <w:name w:val="Komentaro tema Diagrama"/>
    <w:basedOn w:val="KomentarotekstasDiagrama"/>
    <w:link w:val="Komentarotema"/>
    <w:uiPriority w:val="99"/>
    <w:semiHidden/>
    <w:rsid w:val="00C560D0"/>
    <w:rPr>
      <w:rFonts w:ascii="Times New Roman" w:eastAsia="Times New Roman" w:hAnsi="Times New Roman" w:cs="Times New Roman"/>
      <w:b/>
      <w:bCs/>
      <w:sz w:val="20"/>
      <w:szCs w:val="20"/>
    </w:rPr>
  </w:style>
  <w:style w:type="paragraph" w:styleId="Pataisymai">
    <w:name w:val="Revision"/>
    <w:hidden/>
    <w:uiPriority w:val="99"/>
    <w:semiHidden/>
    <w:rsid w:val="00BF65E6"/>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3F5673"/>
    <w:pPr>
      <w:tabs>
        <w:tab w:val="center" w:pos="4819"/>
        <w:tab w:val="right" w:pos="9638"/>
      </w:tabs>
    </w:pPr>
  </w:style>
  <w:style w:type="character" w:customStyle="1" w:styleId="AntratsDiagrama">
    <w:name w:val="Antraštės Diagrama"/>
    <w:basedOn w:val="Numatytasispastraiposriftas"/>
    <w:link w:val="Antrats"/>
    <w:uiPriority w:val="99"/>
    <w:rsid w:val="003F567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F5673"/>
    <w:pPr>
      <w:tabs>
        <w:tab w:val="center" w:pos="4819"/>
        <w:tab w:val="right" w:pos="9638"/>
      </w:tabs>
    </w:pPr>
  </w:style>
  <w:style w:type="character" w:customStyle="1" w:styleId="PoratDiagrama">
    <w:name w:val="Poraštė Diagrama"/>
    <w:basedOn w:val="Numatytasispastraiposriftas"/>
    <w:link w:val="Porat"/>
    <w:uiPriority w:val="99"/>
    <w:rsid w:val="003F567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esinvesticijos.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3336</Words>
  <Characters>1902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2020-09-10T11:07:00Z</dcterms:created>
  <dc:creator>Laimutė Žukauskienė</dc:creator>
  <cp:lastModifiedBy>Laimutė Žukauskienė</cp:lastModifiedBy>
  <cp:lastPrinted>2020-09-09T07:39:00Z</cp:lastPrinted>
  <dcterms:modified xsi:type="dcterms:W3CDTF">2020-09-14T12:56:00Z</dcterms:modified>
  <cp:revision>13</cp:revision>
</cp:coreProperties>
</file>