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359C" w14:textId="77777777" w:rsidR="00260899" w:rsidRDefault="00260899">
      <w:pPr>
        <w:tabs>
          <w:tab w:val="center" w:pos="4153"/>
          <w:tab w:val="right" w:pos="8306"/>
        </w:tabs>
        <w:rPr>
          <w:rFonts w:ascii="TimesLT" w:hAnsi="TimesLT"/>
          <w:lang w:val="en-US"/>
        </w:rPr>
      </w:pPr>
    </w:p>
    <w:p w14:paraId="0B2A86FA" w14:textId="77777777" w:rsidR="00260899" w:rsidRDefault="003174AF">
      <w:pPr>
        <w:ind w:left="6521"/>
        <w:rPr>
          <w:b/>
          <w:szCs w:val="24"/>
        </w:rPr>
      </w:pPr>
      <w:r>
        <w:rPr>
          <w:b/>
          <w:szCs w:val="24"/>
        </w:rPr>
        <w:t>Projekto</w:t>
      </w:r>
    </w:p>
    <w:p w14:paraId="7988EE79" w14:textId="77777777" w:rsidR="00260899" w:rsidRDefault="003174AF">
      <w:pPr>
        <w:ind w:left="6521"/>
        <w:rPr>
          <w:b/>
          <w:szCs w:val="24"/>
        </w:rPr>
      </w:pPr>
      <w:r>
        <w:rPr>
          <w:b/>
          <w:szCs w:val="24"/>
        </w:rPr>
        <w:t>lyginamasis variantas</w:t>
      </w:r>
    </w:p>
    <w:p w14:paraId="15318701" w14:textId="77777777" w:rsidR="00260899" w:rsidRDefault="00260899">
      <w:pPr>
        <w:rPr>
          <w:b/>
          <w:szCs w:val="24"/>
        </w:rPr>
      </w:pPr>
    </w:p>
    <w:p w14:paraId="2814EC55" w14:textId="77777777" w:rsidR="00260899" w:rsidRDefault="003174AF">
      <w:pPr>
        <w:jc w:val="center"/>
        <w:rPr>
          <w:b/>
          <w:szCs w:val="24"/>
        </w:rPr>
      </w:pPr>
      <w:r>
        <w:rPr>
          <w:b/>
          <w:szCs w:val="24"/>
        </w:rPr>
        <w:t>LIETUVOS RESPUBLIKOS</w:t>
      </w:r>
    </w:p>
    <w:p w14:paraId="45BB50D8" w14:textId="345105F8" w:rsidR="00260899" w:rsidRDefault="003174AF">
      <w:pPr>
        <w:jc w:val="center"/>
        <w:rPr>
          <w:b/>
          <w:bCs/>
          <w:szCs w:val="24"/>
        </w:rPr>
      </w:pPr>
      <w:r>
        <w:rPr>
          <w:rFonts w:eastAsia="Calibri"/>
          <w:b/>
          <w:color w:val="000000"/>
          <w:szCs w:val="24"/>
        </w:rPr>
        <w:t>CENTRINIŲ KREDITO UNIJŲ</w:t>
      </w:r>
      <w:r>
        <w:rPr>
          <w:b/>
          <w:bCs/>
          <w:szCs w:val="24"/>
        </w:rPr>
        <w:t xml:space="preserve"> ĮSTATYMO NR. VIII-1682 </w:t>
      </w:r>
      <w:r w:rsidR="009456A3">
        <w:rPr>
          <w:b/>
          <w:bCs/>
          <w:szCs w:val="24"/>
        </w:rPr>
        <w:t xml:space="preserve">1, 2, </w:t>
      </w:r>
      <w:r>
        <w:rPr>
          <w:b/>
          <w:bCs/>
          <w:szCs w:val="24"/>
        </w:rPr>
        <w:t>8,</w:t>
      </w:r>
      <w:r w:rsidR="009456A3">
        <w:rPr>
          <w:b/>
          <w:bCs/>
          <w:szCs w:val="24"/>
        </w:rPr>
        <w:t xml:space="preserve"> 15, 34,</w:t>
      </w:r>
      <w:r>
        <w:rPr>
          <w:b/>
          <w:bCs/>
          <w:szCs w:val="24"/>
        </w:rPr>
        <w:t xml:space="preserve"> 49,</w:t>
      </w:r>
      <w:r w:rsidR="00DA081A">
        <w:rPr>
          <w:b/>
          <w:bCs/>
          <w:szCs w:val="24"/>
        </w:rPr>
        <w:t xml:space="preserve"> 61,</w:t>
      </w:r>
      <w:r>
        <w:rPr>
          <w:b/>
          <w:bCs/>
          <w:szCs w:val="24"/>
        </w:rPr>
        <w:t xml:space="preserve"> 70 STRAIPSNIŲ IR PRIEDO PAKEITIMO</w:t>
      </w:r>
    </w:p>
    <w:p w14:paraId="3E1951C0" w14:textId="77777777" w:rsidR="00260899" w:rsidRDefault="003174AF">
      <w:pPr>
        <w:jc w:val="center"/>
        <w:rPr>
          <w:b/>
          <w:bCs/>
          <w:szCs w:val="24"/>
        </w:rPr>
      </w:pPr>
      <w:r>
        <w:rPr>
          <w:b/>
          <w:bCs/>
          <w:szCs w:val="24"/>
        </w:rPr>
        <w:t>ĮSTATYMAS</w:t>
      </w:r>
    </w:p>
    <w:p w14:paraId="6C620013" w14:textId="77777777" w:rsidR="00260899" w:rsidRDefault="00260899">
      <w:pPr>
        <w:ind w:left="6096" w:hanging="7372"/>
        <w:jc w:val="center"/>
        <w:rPr>
          <w:b/>
          <w:szCs w:val="24"/>
        </w:rPr>
      </w:pPr>
    </w:p>
    <w:p w14:paraId="06A9C421" w14:textId="77777777" w:rsidR="00260899" w:rsidRDefault="003174AF">
      <w:pPr>
        <w:ind w:left="6096" w:hanging="6096"/>
        <w:jc w:val="center"/>
        <w:rPr>
          <w:szCs w:val="24"/>
        </w:rPr>
      </w:pPr>
      <w:r>
        <w:rPr>
          <w:szCs w:val="24"/>
        </w:rPr>
        <w:t>2021 m.         d. Nr.</w:t>
      </w:r>
    </w:p>
    <w:p w14:paraId="39D5D6C4" w14:textId="77777777" w:rsidR="00260899" w:rsidRDefault="003174AF">
      <w:pPr>
        <w:ind w:left="6096" w:hanging="6096"/>
        <w:jc w:val="center"/>
        <w:rPr>
          <w:szCs w:val="24"/>
        </w:rPr>
      </w:pPr>
      <w:r>
        <w:rPr>
          <w:szCs w:val="24"/>
        </w:rPr>
        <w:t>Vilnius</w:t>
      </w:r>
    </w:p>
    <w:p w14:paraId="5B9D008F" w14:textId="77777777" w:rsidR="00260899" w:rsidRDefault="00260899">
      <w:pPr>
        <w:rPr>
          <w:szCs w:val="24"/>
        </w:rPr>
      </w:pPr>
    </w:p>
    <w:p w14:paraId="724F0BB5" w14:textId="3B5A0819" w:rsidR="00B724E5" w:rsidRDefault="00B724E5">
      <w:pPr>
        <w:ind w:firstLine="709"/>
        <w:rPr>
          <w:b/>
          <w:szCs w:val="24"/>
        </w:rPr>
      </w:pPr>
      <w:r>
        <w:rPr>
          <w:b/>
          <w:szCs w:val="24"/>
        </w:rPr>
        <w:t>1 straipsnis. 1 straipsnio pakeitimas</w:t>
      </w:r>
    </w:p>
    <w:p w14:paraId="5D811045" w14:textId="2B7A9399" w:rsidR="00B724E5" w:rsidRDefault="00B724E5">
      <w:pPr>
        <w:ind w:firstLine="709"/>
        <w:rPr>
          <w:szCs w:val="24"/>
        </w:rPr>
      </w:pPr>
      <w:r>
        <w:rPr>
          <w:szCs w:val="24"/>
        </w:rPr>
        <w:t>Pakeisti 1 straipsnio 3 dalį ir ją išdėstyti taip:</w:t>
      </w:r>
    </w:p>
    <w:p w14:paraId="71AA4088" w14:textId="600CF22D" w:rsidR="00B724E5" w:rsidRDefault="00B724E5" w:rsidP="00FD0B59">
      <w:pPr>
        <w:ind w:firstLine="709"/>
        <w:jc w:val="both"/>
        <w:rPr>
          <w:szCs w:val="24"/>
        </w:rPr>
      </w:pPr>
      <w:r>
        <w:rPr>
          <w:szCs w:val="24"/>
        </w:rPr>
        <w:t>„</w:t>
      </w:r>
      <w:r w:rsidRPr="00B724E5">
        <w:rPr>
          <w:szCs w:val="24"/>
        </w:rPr>
        <w:t xml:space="preserve">3. Šio įstatymo nuostatos taikomos atsižvelgiant į 2013 m. spalio 15 d. Tarybos reglamento (ES) Nr. 1024/2013, kuriuo Europos Centriniam Bankui pavedami specialūs uždaviniai, susiję su rizikos ribojimu pagrįstos kredito įstaigų priežiūros politika </w:t>
      </w:r>
      <w:r w:rsidRPr="00FD0B59">
        <w:rPr>
          <w:strike/>
          <w:szCs w:val="24"/>
        </w:rPr>
        <w:t>(OL 2013 L 287, p. 63)</w:t>
      </w:r>
      <w:r w:rsidRPr="00BE020D">
        <w:rPr>
          <w:strike/>
          <w:szCs w:val="24"/>
        </w:rPr>
        <w:t xml:space="preserve"> (toliau – Reglamentas (ES) Nr. 1024/2013)</w:t>
      </w:r>
      <w:r w:rsidRPr="00B724E5">
        <w:rPr>
          <w:szCs w:val="24"/>
        </w:rPr>
        <w:t>, ir jo įgyvendinamųjų teisės aktų nuostatas.</w:t>
      </w:r>
      <w:r>
        <w:rPr>
          <w:szCs w:val="24"/>
        </w:rPr>
        <w:t>“</w:t>
      </w:r>
    </w:p>
    <w:p w14:paraId="28E8731C" w14:textId="77777777" w:rsidR="00B724E5" w:rsidRDefault="00B724E5" w:rsidP="00FD0B59">
      <w:pPr>
        <w:ind w:firstLine="709"/>
        <w:jc w:val="both"/>
        <w:rPr>
          <w:szCs w:val="24"/>
        </w:rPr>
      </w:pPr>
    </w:p>
    <w:p w14:paraId="7D2E5143" w14:textId="21A8BFC5" w:rsidR="00B724E5" w:rsidRDefault="00B724E5" w:rsidP="00B724E5">
      <w:pPr>
        <w:ind w:firstLine="709"/>
        <w:rPr>
          <w:b/>
          <w:szCs w:val="24"/>
        </w:rPr>
      </w:pPr>
      <w:r>
        <w:rPr>
          <w:b/>
          <w:szCs w:val="24"/>
        </w:rPr>
        <w:t>2 straipsnis. 2 straipsnio pakeitimas</w:t>
      </w:r>
    </w:p>
    <w:p w14:paraId="74F07CEF" w14:textId="4105E78C" w:rsidR="00B724E5" w:rsidRDefault="00B724E5" w:rsidP="00B724E5">
      <w:pPr>
        <w:ind w:firstLine="709"/>
        <w:rPr>
          <w:szCs w:val="24"/>
        </w:rPr>
      </w:pPr>
      <w:r>
        <w:rPr>
          <w:szCs w:val="24"/>
        </w:rPr>
        <w:t>1. Pakeisti 2 straipsnio 6 dalį ir ją išdėstyti taip:</w:t>
      </w:r>
    </w:p>
    <w:p w14:paraId="7894BD47" w14:textId="16239EFB" w:rsidR="00B724E5" w:rsidRDefault="00B724E5" w:rsidP="00FD0B59">
      <w:pPr>
        <w:ind w:firstLine="709"/>
        <w:jc w:val="both"/>
        <w:rPr>
          <w:szCs w:val="24"/>
          <w:lang w:val="en-US"/>
        </w:rPr>
      </w:pPr>
      <w:r>
        <w:rPr>
          <w:szCs w:val="24"/>
        </w:rPr>
        <w:t>„</w:t>
      </w:r>
      <w:r w:rsidR="009456A3" w:rsidRPr="009456A3">
        <w:rPr>
          <w:szCs w:val="24"/>
          <w:lang w:val="en-US"/>
        </w:rPr>
        <w:t xml:space="preserve">6. </w:t>
      </w:r>
      <w:r w:rsidR="009456A3" w:rsidRPr="00FD0B59">
        <w:rPr>
          <w:bCs/>
          <w:szCs w:val="24"/>
          <w:lang w:val="en-US"/>
        </w:rPr>
        <w:t>Europos bankininkystės institucija</w:t>
      </w:r>
      <w:r w:rsidR="009456A3" w:rsidRPr="009456A3">
        <w:rPr>
          <w:szCs w:val="24"/>
          <w:lang w:val="en-US"/>
        </w:rPr>
        <w:t xml:space="preserve"> – 2010 m. lapkričio 24 d. Europos Parlamento ir Tarybos reglamentu (ES) Nr. 1093/2010, kuriuo įsteigiama Europos priežiūros institucija (Europos bankininkystės institucija), iš dalies keičiamas Sprendimas Nr. 716/2009/EB ir panaikinamas Komisijos sprendimas 2009/78/EB </w:t>
      </w:r>
      <w:r w:rsidR="009456A3" w:rsidRPr="00FD0B59">
        <w:rPr>
          <w:strike/>
          <w:szCs w:val="24"/>
          <w:lang w:val="en-US"/>
        </w:rPr>
        <w:t>(OL 2010 L 331, p. 12)</w:t>
      </w:r>
      <w:r w:rsidR="00FE44A7" w:rsidRPr="004211DD">
        <w:rPr>
          <w:b/>
          <w:szCs w:val="24"/>
          <w:lang w:val="en-US"/>
        </w:rPr>
        <w:t>,</w:t>
      </w:r>
      <w:r w:rsidR="000F058E">
        <w:rPr>
          <w:b/>
          <w:szCs w:val="24"/>
          <w:lang w:val="en-US"/>
        </w:rPr>
        <w:t xml:space="preserve"> su visais pakeitimais</w:t>
      </w:r>
      <w:r w:rsidR="009456A3" w:rsidRPr="009456A3">
        <w:rPr>
          <w:szCs w:val="24"/>
          <w:lang w:val="en-US"/>
        </w:rPr>
        <w:t xml:space="preserve"> įsteigta institucija.</w:t>
      </w:r>
      <w:r w:rsidR="00FD0B59">
        <w:rPr>
          <w:szCs w:val="24"/>
        </w:rPr>
        <w:t>“</w:t>
      </w:r>
    </w:p>
    <w:p w14:paraId="4C8DE5A6" w14:textId="21069B56" w:rsidR="009456A3" w:rsidRDefault="009456A3" w:rsidP="00FD0B59">
      <w:pPr>
        <w:ind w:firstLine="709"/>
        <w:jc w:val="both"/>
        <w:rPr>
          <w:szCs w:val="24"/>
        </w:rPr>
      </w:pPr>
      <w:r>
        <w:rPr>
          <w:szCs w:val="24"/>
          <w:lang w:val="en-US"/>
        </w:rPr>
        <w:t>2.</w:t>
      </w:r>
      <w:r w:rsidRPr="009456A3">
        <w:rPr>
          <w:szCs w:val="24"/>
        </w:rPr>
        <w:t xml:space="preserve"> </w:t>
      </w:r>
      <w:r>
        <w:rPr>
          <w:szCs w:val="24"/>
        </w:rPr>
        <w:t>Pakeisti 2 straipsnio 13 dalį ir ją išdėstyti taip:</w:t>
      </w:r>
    </w:p>
    <w:p w14:paraId="3650533F" w14:textId="7E9B91A9" w:rsidR="009456A3" w:rsidRDefault="009456A3" w:rsidP="00FD0B59">
      <w:pPr>
        <w:ind w:firstLine="709"/>
        <w:jc w:val="both"/>
        <w:rPr>
          <w:szCs w:val="24"/>
          <w:lang w:val="en-US"/>
        </w:rPr>
      </w:pPr>
      <w:r>
        <w:rPr>
          <w:szCs w:val="24"/>
        </w:rPr>
        <w:t>„</w:t>
      </w:r>
      <w:r w:rsidRPr="009456A3">
        <w:rPr>
          <w:szCs w:val="24"/>
          <w:lang w:val="en-US"/>
        </w:rPr>
        <w:t xml:space="preserve">13. Kitos šio įstatymo sąvokos suprantamos taip, kaip jos apibrėžtos Lietuvos Respublikos finansų įstaigų įstatyme, Lietuvos Respublikos finansinio tvarumo įstatyme, Lietuvos Respublikos vertybinių popierių įstatyme, 2013 m. birželio 26 d. Europos Parlamento ir Tarybos reglamente (ES) Nr. 575/2013 dėl prudencinių reikalavimų kredito įstaigoms ir investicinėms įmonėms ir kuriuo iš dalies keičiamas Reglamentas (ES) Nr. 648/2012 </w:t>
      </w:r>
      <w:r w:rsidRPr="00FD0B59">
        <w:rPr>
          <w:strike/>
          <w:szCs w:val="24"/>
          <w:lang w:val="en-US"/>
        </w:rPr>
        <w:t>(OL 2013 L 176, p. 1</w:t>
      </w:r>
      <w:r w:rsidRPr="000F058E">
        <w:rPr>
          <w:strike/>
          <w:szCs w:val="24"/>
          <w:lang w:val="en-US"/>
        </w:rPr>
        <w:t>)</w:t>
      </w:r>
      <w:r w:rsidRPr="00BE020D">
        <w:rPr>
          <w:strike/>
          <w:szCs w:val="24"/>
          <w:lang w:val="en-US"/>
        </w:rPr>
        <w:t xml:space="preserve"> (toliau – Reglamentas (ES) Nr. 575/2013)</w:t>
      </w:r>
      <w:r w:rsidRPr="009456A3">
        <w:rPr>
          <w:szCs w:val="24"/>
          <w:lang w:val="en-US"/>
        </w:rPr>
        <w:t xml:space="preserve"> </w:t>
      </w:r>
      <w:r w:rsidR="000F058E">
        <w:rPr>
          <w:b/>
          <w:szCs w:val="24"/>
          <w:lang w:val="en-US"/>
        </w:rPr>
        <w:t xml:space="preserve">su visais pakeitimais </w:t>
      </w:r>
      <w:r w:rsidRPr="009456A3">
        <w:rPr>
          <w:szCs w:val="24"/>
          <w:lang w:val="en-US"/>
        </w:rPr>
        <w:t xml:space="preserve">ir 2012 m. liepos 4 d. Europos Parlamento ir Tarybos reglamente (ES) Nr. 648/2012 dėl ne biržos išvestinių finansinių priemonių, pagrindinių sandorio šalių ir sandorių duomenų saugyklų </w:t>
      </w:r>
      <w:r w:rsidRPr="00FD0B59">
        <w:rPr>
          <w:strike/>
          <w:szCs w:val="24"/>
          <w:lang w:val="en-US"/>
        </w:rPr>
        <w:t>(OL 2012 L 201, p. 1)</w:t>
      </w:r>
      <w:r w:rsidR="000F058E">
        <w:rPr>
          <w:b/>
          <w:szCs w:val="24"/>
          <w:lang w:val="en-US"/>
        </w:rPr>
        <w:t xml:space="preserve"> su visais pakeitimais</w:t>
      </w:r>
      <w:r w:rsidRPr="009456A3">
        <w:rPr>
          <w:szCs w:val="24"/>
          <w:lang w:val="en-US"/>
        </w:rPr>
        <w:t>.</w:t>
      </w:r>
      <w:r w:rsidR="00FD0B59">
        <w:rPr>
          <w:szCs w:val="24"/>
        </w:rPr>
        <w:t>“</w:t>
      </w:r>
    </w:p>
    <w:p w14:paraId="119BEBD9" w14:textId="77777777" w:rsidR="009456A3" w:rsidRPr="00FD0B59" w:rsidRDefault="009456A3" w:rsidP="00FD0B59">
      <w:pPr>
        <w:ind w:firstLine="709"/>
        <w:jc w:val="both"/>
        <w:rPr>
          <w:szCs w:val="24"/>
        </w:rPr>
      </w:pPr>
    </w:p>
    <w:p w14:paraId="312B423F" w14:textId="20D88D3C" w:rsidR="00260899" w:rsidRDefault="009456A3">
      <w:pPr>
        <w:ind w:firstLine="709"/>
        <w:rPr>
          <w:b/>
          <w:szCs w:val="24"/>
        </w:rPr>
      </w:pPr>
      <w:r>
        <w:rPr>
          <w:b/>
          <w:szCs w:val="24"/>
        </w:rPr>
        <w:t xml:space="preserve">3 </w:t>
      </w:r>
      <w:r w:rsidR="003174AF">
        <w:rPr>
          <w:b/>
          <w:szCs w:val="24"/>
        </w:rPr>
        <w:t>straipsnis. 8 straipsnio pakeitimas</w:t>
      </w:r>
    </w:p>
    <w:p w14:paraId="4B8A438A" w14:textId="00DD4926" w:rsidR="00260899" w:rsidRDefault="003174AF">
      <w:pPr>
        <w:ind w:firstLine="720"/>
        <w:jc w:val="both"/>
        <w:rPr>
          <w:rFonts w:eastAsia="Calibri"/>
          <w:color w:val="000000"/>
          <w:szCs w:val="24"/>
        </w:rPr>
      </w:pPr>
      <w:r>
        <w:rPr>
          <w:bCs/>
          <w:szCs w:val="24"/>
        </w:rPr>
        <w:t>Papildyti 8 straipsnio 6 dalį 15 punktu:</w:t>
      </w:r>
    </w:p>
    <w:p w14:paraId="124DEF4F" w14:textId="77777777" w:rsidR="00260899" w:rsidRDefault="003174AF">
      <w:pPr>
        <w:ind w:firstLine="720"/>
        <w:jc w:val="both"/>
        <w:rPr>
          <w:rFonts w:eastAsia="Calibri"/>
          <w:color w:val="000000"/>
          <w:szCs w:val="24"/>
        </w:rPr>
      </w:pPr>
      <w:r>
        <w:rPr>
          <w:rFonts w:eastAsia="Calibri"/>
          <w:color w:val="000000"/>
          <w:szCs w:val="24"/>
        </w:rPr>
        <w:t>„</w:t>
      </w:r>
      <w:r>
        <w:rPr>
          <w:rFonts w:eastAsia="Calibri"/>
          <w:b/>
          <w:bCs/>
          <w:color w:val="000000"/>
          <w:szCs w:val="24"/>
        </w:rPr>
        <w:t xml:space="preserve">15) organizacinės vidaus struktūros </w:t>
      </w:r>
      <w:r>
        <w:rPr>
          <w:rFonts w:eastAsia="Calibri"/>
          <w:b/>
          <w:bCs/>
          <w:color w:val="000000"/>
          <w:szCs w:val="24"/>
          <w:lang w:bidi="lt-LT"/>
        </w:rPr>
        <w:t>aprašymas</w:t>
      </w:r>
      <w:r>
        <w:rPr>
          <w:rFonts w:eastAsia="Calibri"/>
          <w:b/>
          <w:bCs/>
          <w:color w:val="000000"/>
          <w:szCs w:val="24"/>
        </w:rPr>
        <w:t>.</w:t>
      </w:r>
      <w:r>
        <w:rPr>
          <w:rFonts w:eastAsia="Calibri"/>
          <w:color w:val="000000"/>
          <w:szCs w:val="24"/>
        </w:rPr>
        <w:t>“</w:t>
      </w:r>
    </w:p>
    <w:p w14:paraId="7A4CBCD8" w14:textId="77777777" w:rsidR="009456A3" w:rsidRDefault="009456A3">
      <w:pPr>
        <w:ind w:firstLine="720"/>
        <w:jc w:val="both"/>
        <w:rPr>
          <w:rFonts w:eastAsia="Calibri"/>
          <w:color w:val="000000"/>
          <w:szCs w:val="24"/>
        </w:rPr>
      </w:pPr>
    </w:p>
    <w:p w14:paraId="27DAD7A5" w14:textId="127E9069" w:rsidR="009456A3" w:rsidRDefault="009456A3" w:rsidP="009456A3">
      <w:pPr>
        <w:ind w:firstLine="709"/>
        <w:rPr>
          <w:b/>
          <w:szCs w:val="24"/>
        </w:rPr>
      </w:pPr>
      <w:r>
        <w:rPr>
          <w:b/>
          <w:szCs w:val="24"/>
        </w:rPr>
        <w:t>4 straipsnis. 15 straipsnio pakeitimas</w:t>
      </w:r>
    </w:p>
    <w:p w14:paraId="118FAFAF" w14:textId="4DF56061" w:rsidR="009456A3" w:rsidRDefault="009456A3" w:rsidP="009456A3">
      <w:pPr>
        <w:ind w:firstLine="709"/>
        <w:rPr>
          <w:szCs w:val="24"/>
        </w:rPr>
      </w:pPr>
      <w:r>
        <w:rPr>
          <w:szCs w:val="24"/>
        </w:rPr>
        <w:t>Pakeisti 15 straipsnio 5 dalį ir ją išdėstyti taip:</w:t>
      </w:r>
    </w:p>
    <w:p w14:paraId="6CF5AC2B" w14:textId="18350F1C" w:rsidR="009456A3" w:rsidRDefault="009456A3">
      <w:pPr>
        <w:ind w:firstLine="720"/>
        <w:jc w:val="both"/>
        <w:rPr>
          <w:rFonts w:eastAsia="Calibri"/>
          <w:color w:val="000000"/>
          <w:szCs w:val="24"/>
        </w:rPr>
      </w:pPr>
      <w:r>
        <w:rPr>
          <w:rFonts w:eastAsia="Calibri"/>
          <w:color w:val="000000"/>
          <w:szCs w:val="24"/>
        </w:rPr>
        <w:t>„</w:t>
      </w:r>
      <w:r w:rsidRPr="009456A3">
        <w:rPr>
          <w:rFonts w:eastAsia="Calibri"/>
          <w:color w:val="000000"/>
          <w:szCs w:val="24"/>
        </w:rPr>
        <w:t>5. Centrinė kredito unija, grąžindama asmeniui, kurio narystė centrinėje kredito unijoje pasibaigė, pajinius įnašus, turi teisę atidėti pajinių įnašų visos sumos grąžinimą ar apriboti pajinių įnašų dalies sumos grąžinimą neribotam laikui, jeigu toks atidėjimas ar apribojimas yra pagrįstas ir proporcingas atsižvelgiant į 2014 m. sausio 7 d. Komisijos deleguotojo reglamento (ES) Nr. 241/2014, kuriuo papildomos Europos Parlamento ir Tarybos reglamento (ES) Nr.</w:t>
      </w:r>
      <w:r w:rsidR="00FD0B59">
        <w:rPr>
          <w:rFonts w:eastAsia="Calibri"/>
          <w:color w:val="000000"/>
          <w:szCs w:val="24"/>
        </w:rPr>
        <w:t> </w:t>
      </w:r>
      <w:r w:rsidRPr="009456A3">
        <w:rPr>
          <w:rFonts w:eastAsia="Calibri"/>
          <w:color w:val="000000"/>
          <w:szCs w:val="24"/>
        </w:rPr>
        <w:t xml:space="preserve">575/2013 nuostatos, susijusios su įstaigų nuosavų lėšų reikalavimų techniniais reguliavimo standartais </w:t>
      </w:r>
      <w:r w:rsidRPr="00FD0B59">
        <w:rPr>
          <w:rFonts w:eastAsia="Calibri"/>
          <w:strike/>
          <w:color w:val="000000"/>
          <w:szCs w:val="24"/>
        </w:rPr>
        <w:t>(OL 2014 L 74, p. 8)</w:t>
      </w:r>
      <w:r w:rsidRPr="00BE020D">
        <w:rPr>
          <w:rFonts w:eastAsia="Calibri"/>
          <w:strike/>
          <w:color w:val="000000"/>
          <w:szCs w:val="24"/>
        </w:rPr>
        <w:t xml:space="preserve"> (toliau – Reglamentas (ES) Nr. 241/2014)</w:t>
      </w:r>
      <w:r w:rsidRPr="009456A3">
        <w:rPr>
          <w:rFonts w:eastAsia="Calibri"/>
          <w:color w:val="000000"/>
          <w:szCs w:val="24"/>
        </w:rPr>
        <w:t xml:space="preserve">, 10 straipsnio 3 dalies </w:t>
      </w:r>
      <w:r w:rsidRPr="009456A3">
        <w:rPr>
          <w:rFonts w:eastAsia="Calibri"/>
          <w:color w:val="000000"/>
          <w:szCs w:val="24"/>
        </w:rPr>
        <w:lastRenderedPageBreak/>
        <w:t>nuostatas. Apie sprendimą atsiskaityti, atidėti pajinių įnašų visos sumos grąžinimą ar apriboti pajinių įnašų dalies sumos grąžinimą asmeniui, kurio narystė centrinėje kredito unijoje pasibaigė, centrinė kredito unija nedelsdama privalo raštu pra</w:t>
      </w:r>
      <w:bookmarkStart w:id="0" w:name="_GoBack"/>
      <w:bookmarkEnd w:id="0"/>
      <w:r w:rsidRPr="009456A3">
        <w:rPr>
          <w:rFonts w:eastAsia="Calibri"/>
          <w:color w:val="000000"/>
          <w:szCs w:val="24"/>
        </w:rPr>
        <w:t>nešti priežiūros institucijai. Išnykus pajinių įnašų grąžinimo atidėjimo ar apribojimo pagrindui, centrinė kredito unija privalo nedelsdama spręsti klausimą dėl pajinių įnašų visos ar dalies sumos grąžinimo.</w:t>
      </w:r>
      <w:r>
        <w:rPr>
          <w:rFonts w:eastAsia="Calibri"/>
          <w:color w:val="000000"/>
          <w:szCs w:val="24"/>
        </w:rPr>
        <w:t>“</w:t>
      </w:r>
    </w:p>
    <w:p w14:paraId="52E26BEF" w14:textId="46916336" w:rsidR="00260899" w:rsidRDefault="00260899"/>
    <w:p w14:paraId="7B2B12B1" w14:textId="6BB98DCB" w:rsidR="00E77490" w:rsidRDefault="009456A3" w:rsidP="00E77490">
      <w:pPr>
        <w:ind w:firstLine="709"/>
        <w:rPr>
          <w:b/>
          <w:szCs w:val="24"/>
        </w:rPr>
      </w:pPr>
      <w:r>
        <w:rPr>
          <w:b/>
          <w:szCs w:val="24"/>
        </w:rPr>
        <w:t>5</w:t>
      </w:r>
      <w:r w:rsidR="00E77490">
        <w:rPr>
          <w:b/>
          <w:szCs w:val="24"/>
        </w:rPr>
        <w:t xml:space="preserve"> straipsnis. 34 straipsnio pakeitimas</w:t>
      </w:r>
    </w:p>
    <w:p w14:paraId="4B684BA7" w14:textId="2B0807CB" w:rsidR="00E77490" w:rsidRDefault="00FD0B59">
      <w:pPr>
        <w:ind w:firstLine="709"/>
        <w:rPr>
          <w:szCs w:val="24"/>
        </w:rPr>
      </w:pPr>
      <w:r>
        <w:rPr>
          <w:szCs w:val="24"/>
        </w:rPr>
        <w:t xml:space="preserve">Pripažinti </w:t>
      </w:r>
      <w:r w:rsidR="00E77490">
        <w:rPr>
          <w:szCs w:val="24"/>
        </w:rPr>
        <w:t xml:space="preserve">netekusia galios </w:t>
      </w:r>
      <w:r w:rsidR="00E77490">
        <w:rPr>
          <w:szCs w:val="24"/>
          <w:lang w:val="en-US"/>
        </w:rPr>
        <w:t>34 straipsnio 4</w:t>
      </w:r>
      <w:r w:rsidR="00E77490">
        <w:rPr>
          <w:szCs w:val="24"/>
        </w:rPr>
        <w:t xml:space="preserve"> dalį</w:t>
      </w:r>
      <w:r>
        <w:rPr>
          <w:szCs w:val="24"/>
        </w:rPr>
        <w:t>.</w:t>
      </w:r>
    </w:p>
    <w:p w14:paraId="22C5378F" w14:textId="362BC87E" w:rsidR="00E77490" w:rsidRDefault="00912992">
      <w:pPr>
        <w:ind w:firstLine="709"/>
        <w:rPr>
          <w:szCs w:val="24"/>
          <w:lang w:val="en-US"/>
        </w:rPr>
      </w:pPr>
      <w:r w:rsidRPr="00912992">
        <w:rPr>
          <w:strike/>
          <w:szCs w:val="24"/>
          <w:lang w:val="en-US"/>
        </w:rPr>
        <w:t>4. Paskirstymui iš kapitalo rezervų taikomi priežiūros institucijos vadovaujantis Europos Sąjungos teisės aktais nustatyti apribojimai.</w:t>
      </w:r>
    </w:p>
    <w:p w14:paraId="47CA6AD2" w14:textId="77777777" w:rsidR="00E77490" w:rsidRPr="00FD0B59" w:rsidRDefault="00E77490">
      <w:pPr>
        <w:ind w:firstLine="709"/>
        <w:rPr>
          <w:szCs w:val="24"/>
        </w:rPr>
      </w:pPr>
    </w:p>
    <w:p w14:paraId="53539F8B" w14:textId="444BEC61" w:rsidR="00260899" w:rsidRDefault="009456A3">
      <w:pPr>
        <w:ind w:firstLine="709"/>
        <w:rPr>
          <w:b/>
          <w:szCs w:val="24"/>
        </w:rPr>
      </w:pPr>
      <w:r>
        <w:rPr>
          <w:b/>
          <w:szCs w:val="24"/>
        </w:rPr>
        <w:t>6</w:t>
      </w:r>
      <w:r w:rsidR="004D68D3">
        <w:rPr>
          <w:b/>
          <w:szCs w:val="24"/>
        </w:rPr>
        <w:t xml:space="preserve"> </w:t>
      </w:r>
      <w:r w:rsidR="003174AF">
        <w:rPr>
          <w:b/>
          <w:szCs w:val="24"/>
        </w:rPr>
        <w:t>straipsnis. 49 straipsnio pakeitimas</w:t>
      </w:r>
    </w:p>
    <w:p w14:paraId="4A1C6AAB" w14:textId="77777777" w:rsidR="00260899" w:rsidRDefault="003174AF">
      <w:pPr>
        <w:ind w:firstLine="709"/>
        <w:jc w:val="both"/>
        <w:rPr>
          <w:bCs/>
          <w:szCs w:val="24"/>
        </w:rPr>
      </w:pPr>
      <w:r>
        <w:rPr>
          <w:bCs/>
          <w:szCs w:val="24"/>
        </w:rPr>
        <w:t>1. Pakeisti 49 straipsnio 2 dalies 6 punktą ir jį išdėstyti taip:</w:t>
      </w:r>
    </w:p>
    <w:p w14:paraId="3F34ED6D" w14:textId="77777777" w:rsidR="00260899" w:rsidRDefault="003174AF">
      <w:pPr>
        <w:ind w:firstLine="720"/>
        <w:jc w:val="both"/>
        <w:rPr>
          <w:szCs w:val="24"/>
        </w:rPr>
      </w:pPr>
      <w:r>
        <w:rPr>
          <w:szCs w:val="24"/>
        </w:rPr>
        <w:t>„6) sumažinti su centrinės kredito unijos veikla, produktais ir sistemomis</w:t>
      </w:r>
      <w:r>
        <w:rPr>
          <w:b/>
          <w:bCs/>
          <w:szCs w:val="24"/>
        </w:rPr>
        <w:t xml:space="preserve">, </w:t>
      </w:r>
      <w:r>
        <w:rPr>
          <w:b/>
          <w:bCs/>
          <w:szCs w:val="24"/>
          <w:lang w:bidi="lt-LT"/>
        </w:rPr>
        <w:t>įskaitant tretiesiems asmenims perduotą veiklą,</w:t>
      </w:r>
      <w:r>
        <w:rPr>
          <w:szCs w:val="24"/>
        </w:rPr>
        <w:t xml:space="preserve"> susijusią riziką;“. </w:t>
      </w:r>
    </w:p>
    <w:p w14:paraId="6C853720" w14:textId="77777777" w:rsidR="00260899" w:rsidRDefault="003174AF">
      <w:pPr>
        <w:ind w:firstLine="720"/>
        <w:jc w:val="both"/>
        <w:rPr>
          <w:rFonts w:eastAsia="Calibri"/>
          <w:color w:val="000000"/>
          <w:szCs w:val="24"/>
        </w:rPr>
      </w:pPr>
      <w:r>
        <w:rPr>
          <w:rFonts w:eastAsia="Calibri"/>
          <w:color w:val="000000"/>
          <w:szCs w:val="24"/>
        </w:rPr>
        <w:t>2.</w:t>
      </w:r>
      <w:r>
        <w:rPr>
          <w:bCs/>
          <w:szCs w:val="24"/>
        </w:rPr>
        <w:t xml:space="preserve"> Papildyti 49 straipsnio 2 dalį 21 punktu:</w:t>
      </w:r>
    </w:p>
    <w:p w14:paraId="4DA0C03C" w14:textId="1F417262" w:rsidR="00260899" w:rsidRDefault="003174AF">
      <w:pPr>
        <w:widowControl w:val="0"/>
        <w:ind w:firstLine="720"/>
        <w:jc w:val="both"/>
        <w:rPr>
          <w:iCs/>
          <w:szCs w:val="24"/>
          <w:lang w:bidi="lt-LT"/>
        </w:rPr>
      </w:pPr>
      <w:r w:rsidRPr="004A7D13">
        <w:rPr>
          <w:iCs/>
          <w:szCs w:val="24"/>
        </w:rPr>
        <w:t>„</w:t>
      </w:r>
      <w:r>
        <w:rPr>
          <w:b/>
          <w:bCs/>
          <w:iCs/>
          <w:szCs w:val="24"/>
        </w:rPr>
        <w:t xml:space="preserve">21) </w:t>
      </w:r>
      <w:r>
        <w:rPr>
          <w:b/>
          <w:bCs/>
          <w:iCs/>
          <w:szCs w:val="24"/>
          <w:lang w:bidi="lt-LT"/>
        </w:rPr>
        <w:t>pateikti priežiūros institucijai reikalavimų laikymosi atkūrimo planą, parengtą pagal šio įstatymo ir Reglamento (ES) Nr. 575/2013 reikalavimus, ir nustatyti galutinį šio plano įgyvendinimo terminą, įskaitant plano pakeitimus atsižvelgiant į jo taikymo sritį ir galutinį įgyvendinimo terminą.</w:t>
      </w:r>
      <w:r>
        <w:rPr>
          <w:iCs/>
          <w:szCs w:val="24"/>
          <w:lang w:bidi="lt-LT"/>
        </w:rPr>
        <w:t>“</w:t>
      </w:r>
    </w:p>
    <w:p w14:paraId="53834BBC" w14:textId="09994983" w:rsidR="009456A3" w:rsidRDefault="009456A3">
      <w:pPr>
        <w:widowControl w:val="0"/>
        <w:ind w:firstLine="720"/>
        <w:jc w:val="both"/>
        <w:rPr>
          <w:bCs/>
          <w:szCs w:val="24"/>
        </w:rPr>
      </w:pPr>
      <w:r>
        <w:rPr>
          <w:iCs/>
          <w:szCs w:val="24"/>
          <w:lang w:bidi="lt-LT"/>
        </w:rPr>
        <w:t xml:space="preserve">3. Pakeisti 49 </w:t>
      </w:r>
      <w:r>
        <w:rPr>
          <w:bCs/>
          <w:szCs w:val="24"/>
        </w:rPr>
        <w:t xml:space="preserve">straipsnio 5 </w:t>
      </w:r>
      <w:r w:rsidR="00580D9C">
        <w:rPr>
          <w:bCs/>
          <w:szCs w:val="24"/>
        </w:rPr>
        <w:t xml:space="preserve">dalį </w:t>
      </w:r>
      <w:r>
        <w:rPr>
          <w:bCs/>
          <w:szCs w:val="24"/>
        </w:rPr>
        <w:t>ir ją išdėstyti taip:</w:t>
      </w:r>
    </w:p>
    <w:p w14:paraId="11786B9E" w14:textId="77777777" w:rsidR="009D3B60" w:rsidRDefault="009456A3" w:rsidP="009456A3">
      <w:pPr>
        <w:widowControl w:val="0"/>
        <w:ind w:firstLine="720"/>
        <w:jc w:val="both"/>
        <w:rPr>
          <w:bCs/>
          <w:szCs w:val="24"/>
        </w:rPr>
      </w:pPr>
      <w:r>
        <w:rPr>
          <w:bCs/>
          <w:szCs w:val="24"/>
        </w:rPr>
        <w:t>„</w:t>
      </w:r>
      <w:r w:rsidRPr="009456A3">
        <w:rPr>
          <w:bCs/>
          <w:szCs w:val="24"/>
        </w:rPr>
        <w:t xml:space="preserve">5. Priežiūros institucija, nustačiusi, kad centrinė kredito unija pažeidžia šio įstatymo, Reglamento (ES) Nr. 575/2013, 2014 m. gegužės 15 d. Europos Parlamento ir Tarybos reglamento (ES) Nr. 600/2014 dėl finansinių priemonių rinkų, kuriuo iš dalies keičiamas Reglamentas (ES) Nr. 648/2012 </w:t>
      </w:r>
      <w:r w:rsidRPr="00FD0B59">
        <w:rPr>
          <w:bCs/>
          <w:strike/>
          <w:szCs w:val="24"/>
        </w:rPr>
        <w:t>(OL 2014, L 173, p. 84)</w:t>
      </w:r>
      <w:r w:rsidRPr="009456A3">
        <w:rPr>
          <w:bCs/>
          <w:szCs w:val="24"/>
        </w:rPr>
        <w:t>, 3, 4, 5, 6, 7, 14, 15, 16, 17, 24, 25 ir 26 straipsnių reikalavimus, arba turėdama duomenų, kad artimiausiu metu dėl sparčiai blogėjančios finansinės būklės centrinė kredito unija juos pažeis, turi teisę centrinei kredito unijai duoti šio straipsnio 2 dalies 14 ir 15 punktuose nustatytus ir šiuos privalomus nurodymus:</w:t>
      </w:r>
    </w:p>
    <w:p w14:paraId="526B52EF" w14:textId="77777777" w:rsidR="009D3B60" w:rsidRPr="009D3B60" w:rsidRDefault="009D3B60" w:rsidP="009D3B60">
      <w:pPr>
        <w:widowControl w:val="0"/>
        <w:ind w:firstLine="720"/>
        <w:jc w:val="both"/>
        <w:rPr>
          <w:bCs/>
          <w:szCs w:val="24"/>
          <w:lang w:val="en-US"/>
        </w:rPr>
      </w:pPr>
      <w:r w:rsidRPr="009D3B60">
        <w:rPr>
          <w:bCs/>
          <w:szCs w:val="24"/>
          <w:lang w:val="en-US"/>
        </w:rPr>
        <w:t>1) įgyvendinti vieną ar daugiau gaivinimo plane, parengtame pagal Finansinio tvarumo įstatymo 4–11 straipsnių nuostatas, nustatytų procedūrų ar priemonių arba gaivinimo planą atnaujinti, kai šioje dalyje nustatytų nurodymų taikymą paskatinusios aplinkybės skiriasi nuo galiojančiame gaivinimo plane nustatytų prielaidų, ir įgyvendinti vieną ar daugiau atnaujintame gaivinimo plane nustatytų procedūrų ar priemonių per priežiūros institucijos nustatytą laikotarpį, užtikrinant, kad būtų pašalintos šioje dalyje nustatytų priemonių taikymą paskatinusios aplinkybės;</w:t>
      </w:r>
    </w:p>
    <w:p w14:paraId="7B5BA048" w14:textId="77777777" w:rsidR="009D3B60" w:rsidRPr="009D3B60" w:rsidRDefault="009D3B60" w:rsidP="009D3B60">
      <w:pPr>
        <w:widowControl w:val="0"/>
        <w:ind w:firstLine="720"/>
        <w:jc w:val="both"/>
        <w:rPr>
          <w:bCs/>
          <w:szCs w:val="24"/>
          <w:lang w:val="en-US"/>
        </w:rPr>
      </w:pPr>
      <w:r w:rsidRPr="009D3B60">
        <w:rPr>
          <w:bCs/>
          <w:szCs w:val="24"/>
          <w:lang w:val="en-US"/>
        </w:rPr>
        <w:t>2) nušalinti arba pakeisti vieną ar daugiau centrinės kredito unijos stebėtojų tarybos narių, centrinės kredito unijos valdybos narių, centrinės kredito unijos administracijos vadovų ar asmenų, priklausančių centrinės kredito unijos vyresniajai vadovybei, jeigu nustatyta, kad tas asmuo (asmenys) neatitinka šio įstatymo 22 straipsnyje nustatytų reikalavimų;</w:t>
      </w:r>
    </w:p>
    <w:p w14:paraId="7DE7AD2D" w14:textId="77777777" w:rsidR="009D3B60" w:rsidRPr="009D3B60" w:rsidRDefault="009D3B60" w:rsidP="009D3B60">
      <w:pPr>
        <w:widowControl w:val="0"/>
        <w:ind w:firstLine="720"/>
        <w:jc w:val="both"/>
        <w:rPr>
          <w:bCs/>
          <w:szCs w:val="24"/>
          <w:lang w:val="en-US"/>
        </w:rPr>
      </w:pPr>
      <w:r w:rsidRPr="009D3B60">
        <w:rPr>
          <w:bCs/>
          <w:szCs w:val="24"/>
          <w:lang w:val="en-US"/>
        </w:rPr>
        <w:t>3) vadovaujantis gaivinimo planu, parengti derybų dėl skolos restruktūrizavimo su kai kuriais ar visais savo kreditoriais planą;</w:t>
      </w:r>
    </w:p>
    <w:p w14:paraId="4141CF76" w14:textId="5B4AE3E4" w:rsidR="009D3B60" w:rsidRPr="009D3B60" w:rsidRDefault="009D3B60" w:rsidP="009D3B60">
      <w:pPr>
        <w:widowControl w:val="0"/>
        <w:ind w:firstLine="720"/>
        <w:jc w:val="both"/>
        <w:rPr>
          <w:bCs/>
          <w:szCs w:val="24"/>
          <w:lang w:val="en-US"/>
        </w:rPr>
      </w:pPr>
      <w:r w:rsidRPr="009D3B60">
        <w:rPr>
          <w:bCs/>
          <w:szCs w:val="24"/>
          <w:lang w:val="en-US"/>
        </w:rPr>
        <w:t>4) pakeisti centrinės kredito unijos verslo strategiją;</w:t>
      </w:r>
    </w:p>
    <w:p w14:paraId="19B41B41" w14:textId="58A5CC34" w:rsidR="009456A3" w:rsidRDefault="009D3B60" w:rsidP="009D3B60">
      <w:pPr>
        <w:widowControl w:val="0"/>
        <w:ind w:firstLine="720"/>
        <w:jc w:val="both"/>
        <w:rPr>
          <w:iCs/>
          <w:szCs w:val="24"/>
          <w:lang w:bidi="lt-LT"/>
        </w:rPr>
      </w:pPr>
      <w:r w:rsidRPr="009D3B60">
        <w:rPr>
          <w:bCs/>
          <w:szCs w:val="24"/>
          <w:lang w:val="en-US"/>
        </w:rPr>
        <w:t>5) pakeisti centrinės kredito unijos teisinę ir organizacinę ar veiklos struktūrą.</w:t>
      </w:r>
      <w:r w:rsidR="009456A3">
        <w:rPr>
          <w:bCs/>
          <w:szCs w:val="24"/>
        </w:rPr>
        <w:t>“</w:t>
      </w:r>
    </w:p>
    <w:p w14:paraId="44611B68" w14:textId="08BAB749" w:rsidR="00DC7A26" w:rsidRPr="00FD0B59" w:rsidRDefault="009456A3">
      <w:pPr>
        <w:widowControl w:val="0"/>
        <w:ind w:firstLine="720"/>
        <w:jc w:val="both"/>
        <w:rPr>
          <w:iCs/>
          <w:szCs w:val="24"/>
          <w:lang w:val="en-US" w:bidi="lt-LT"/>
        </w:rPr>
      </w:pPr>
      <w:r>
        <w:rPr>
          <w:iCs/>
          <w:szCs w:val="24"/>
          <w:lang w:val="en-US" w:bidi="lt-LT"/>
        </w:rPr>
        <w:t>4</w:t>
      </w:r>
      <w:r w:rsidR="00DC7A26">
        <w:rPr>
          <w:iCs/>
          <w:szCs w:val="24"/>
          <w:lang w:val="en-US" w:bidi="lt-LT"/>
        </w:rPr>
        <w:t>.</w:t>
      </w:r>
      <w:r w:rsidR="00DC7A26">
        <w:rPr>
          <w:iCs/>
          <w:szCs w:val="24"/>
          <w:lang w:bidi="lt-LT"/>
        </w:rPr>
        <w:t xml:space="preserve"> Papildyti </w:t>
      </w:r>
      <w:r w:rsidR="00DC7A26">
        <w:rPr>
          <w:iCs/>
          <w:szCs w:val="24"/>
          <w:lang w:val="en-US" w:bidi="lt-LT"/>
        </w:rPr>
        <w:t xml:space="preserve">49 straipsnį </w:t>
      </w:r>
      <w:r w:rsidR="00B724E5">
        <w:rPr>
          <w:iCs/>
          <w:szCs w:val="24"/>
          <w:lang w:val="en-US" w:bidi="lt-LT"/>
        </w:rPr>
        <w:t xml:space="preserve">nauja </w:t>
      </w:r>
      <w:r w:rsidR="00DC7A26">
        <w:rPr>
          <w:iCs/>
          <w:szCs w:val="24"/>
          <w:lang w:val="en-US" w:bidi="lt-LT"/>
        </w:rPr>
        <w:t>9 dalimi:</w:t>
      </w:r>
    </w:p>
    <w:p w14:paraId="2CCDDB51" w14:textId="0AEA22C6" w:rsidR="00F55D43" w:rsidRDefault="00DC7A26">
      <w:pPr>
        <w:widowControl w:val="0"/>
        <w:ind w:firstLine="720"/>
        <w:jc w:val="both"/>
        <w:rPr>
          <w:iCs/>
          <w:szCs w:val="24"/>
        </w:rPr>
      </w:pPr>
      <w:r>
        <w:rPr>
          <w:iCs/>
          <w:szCs w:val="24"/>
        </w:rPr>
        <w:t>„</w:t>
      </w:r>
      <w:r w:rsidRPr="00BE020D">
        <w:rPr>
          <w:b/>
          <w:iCs/>
          <w:szCs w:val="24"/>
        </w:rPr>
        <w:t>9</w:t>
      </w:r>
      <w:r w:rsidR="00F55D43" w:rsidRPr="00BE020D">
        <w:rPr>
          <w:b/>
          <w:iCs/>
          <w:szCs w:val="24"/>
        </w:rPr>
        <w:t>. Šio straipsnio 2 dalies 10 punkte nustatytas privalomas nurodymas gali būti duodamas tik jeigu centrinė kredito unija iš esmės tos pačios prašomos informacijos priežiūros institucijai nėra pateikusi ar neteikia kitais būdais ar forma.</w:t>
      </w:r>
      <w:r>
        <w:rPr>
          <w:iCs/>
          <w:szCs w:val="24"/>
        </w:rPr>
        <w:t>“</w:t>
      </w:r>
    </w:p>
    <w:p w14:paraId="37893AB2" w14:textId="0CB7F168" w:rsidR="004D68D3" w:rsidRDefault="009456A3">
      <w:pPr>
        <w:ind w:firstLine="709"/>
        <w:jc w:val="both"/>
        <w:rPr>
          <w:bCs/>
          <w:szCs w:val="24"/>
        </w:rPr>
      </w:pPr>
      <w:r>
        <w:rPr>
          <w:bCs/>
          <w:szCs w:val="24"/>
        </w:rPr>
        <w:t>5</w:t>
      </w:r>
      <w:r w:rsidR="003174AF">
        <w:rPr>
          <w:bCs/>
          <w:szCs w:val="24"/>
        </w:rPr>
        <w:t xml:space="preserve">. </w:t>
      </w:r>
      <w:r w:rsidR="004D68D3">
        <w:rPr>
          <w:bCs/>
          <w:szCs w:val="24"/>
        </w:rPr>
        <w:t>Buvusias 9</w:t>
      </w:r>
      <w:r w:rsidR="00FD0B59" w:rsidRPr="009456A3">
        <w:rPr>
          <w:rFonts w:eastAsia="Calibri"/>
          <w:color w:val="000000"/>
          <w:szCs w:val="24"/>
        </w:rPr>
        <w:t>–</w:t>
      </w:r>
      <w:r w:rsidR="004D68D3">
        <w:rPr>
          <w:bCs/>
          <w:szCs w:val="24"/>
        </w:rPr>
        <w:t>12 dalis laikyti atitinkamai 10</w:t>
      </w:r>
      <w:r w:rsidR="00FD0B59" w:rsidRPr="009456A3">
        <w:rPr>
          <w:rFonts w:eastAsia="Calibri"/>
          <w:color w:val="000000"/>
          <w:szCs w:val="24"/>
        </w:rPr>
        <w:t>–</w:t>
      </w:r>
      <w:r w:rsidR="004D68D3">
        <w:rPr>
          <w:bCs/>
          <w:szCs w:val="24"/>
        </w:rPr>
        <w:t>13 dalimis.</w:t>
      </w:r>
    </w:p>
    <w:p w14:paraId="2AFB9025" w14:textId="07B4E53F" w:rsidR="00260899" w:rsidRDefault="009C141B">
      <w:pPr>
        <w:ind w:firstLine="709"/>
        <w:jc w:val="both"/>
        <w:rPr>
          <w:bCs/>
          <w:szCs w:val="24"/>
        </w:rPr>
      </w:pPr>
      <w:r>
        <w:rPr>
          <w:bCs/>
          <w:szCs w:val="24"/>
        </w:rPr>
        <w:t>6</w:t>
      </w:r>
      <w:r w:rsidR="004D68D3">
        <w:rPr>
          <w:bCs/>
          <w:szCs w:val="24"/>
        </w:rPr>
        <w:t xml:space="preserve">. </w:t>
      </w:r>
      <w:r w:rsidR="003174AF">
        <w:rPr>
          <w:bCs/>
          <w:szCs w:val="24"/>
        </w:rPr>
        <w:t xml:space="preserve">Pakeisti 49 straipsnio </w:t>
      </w:r>
      <w:r w:rsidR="004D68D3">
        <w:rPr>
          <w:bCs/>
          <w:szCs w:val="24"/>
        </w:rPr>
        <w:t xml:space="preserve">10 </w:t>
      </w:r>
      <w:r w:rsidR="003174AF">
        <w:rPr>
          <w:bCs/>
          <w:szCs w:val="24"/>
        </w:rPr>
        <w:t>dalį ir ją išdėstyti taip:</w:t>
      </w:r>
    </w:p>
    <w:p w14:paraId="0FD5A6D3" w14:textId="0BD34D45" w:rsidR="00260899" w:rsidRDefault="003174AF">
      <w:pPr>
        <w:widowControl w:val="0"/>
        <w:ind w:firstLine="720"/>
        <w:jc w:val="both"/>
        <w:rPr>
          <w:szCs w:val="24"/>
        </w:rPr>
      </w:pPr>
      <w:r>
        <w:rPr>
          <w:szCs w:val="24"/>
        </w:rPr>
        <w:t>„</w:t>
      </w:r>
      <w:r w:rsidRPr="00FD0B59">
        <w:rPr>
          <w:strike/>
          <w:szCs w:val="24"/>
        </w:rPr>
        <w:t>9</w:t>
      </w:r>
      <w:r w:rsidR="00912992" w:rsidRPr="00FD0B59">
        <w:rPr>
          <w:b/>
          <w:szCs w:val="24"/>
        </w:rPr>
        <w:t>10</w:t>
      </w:r>
      <w:r w:rsidR="00912992" w:rsidRPr="004211DD">
        <w:rPr>
          <w:szCs w:val="24"/>
        </w:rPr>
        <w:t>.</w:t>
      </w:r>
      <w:r>
        <w:rPr>
          <w:szCs w:val="24"/>
        </w:rPr>
        <w:t xml:space="preserve"> Pagal šio straipsnio 2 </w:t>
      </w:r>
      <w:r>
        <w:rPr>
          <w:strike/>
          <w:szCs w:val="24"/>
        </w:rPr>
        <w:t>dalį</w:t>
      </w:r>
      <w:r>
        <w:rPr>
          <w:szCs w:val="24"/>
        </w:rPr>
        <w:t xml:space="preserve"> </w:t>
      </w:r>
      <w:r>
        <w:rPr>
          <w:b/>
          <w:szCs w:val="24"/>
        </w:rPr>
        <w:t>dalies</w:t>
      </w:r>
      <w:r w:rsidR="004D68D3">
        <w:rPr>
          <w:b/>
          <w:szCs w:val="24"/>
        </w:rPr>
        <w:t xml:space="preserve"> 2 ir</w:t>
      </w:r>
      <w:r>
        <w:rPr>
          <w:b/>
          <w:szCs w:val="24"/>
        </w:rPr>
        <w:t xml:space="preserve"> 11 </w:t>
      </w:r>
      <w:r w:rsidR="004D68D3">
        <w:rPr>
          <w:b/>
          <w:szCs w:val="24"/>
        </w:rPr>
        <w:t xml:space="preserve">punktus </w:t>
      </w:r>
      <w:r>
        <w:rPr>
          <w:szCs w:val="24"/>
        </w:rPr>
        <w:t xml:space="preserve">priežiūros institucija, nustatydama </w:t>
      </w:r>
      <w:r w:rsidRPr="00FD0B59">
        <w:rPr>
          <w:szCs w:val="24"/>
        </w:rPr>
        <w:t xml:space="preserve">tinkamą individualaus centrinės kredito unijos kapitalo reikalavimo dydį arba </w:t>
      </w:r>
      <w:r w:rsidRPr="00FD0B59">
        <w:rPr>
          <w:szCs w:val="24"/>
        </w:rPr>
        <w:lastRenderedPageBreak/>
        <w:t>tinkamus kapitalo rezervų dydžius, taip pat</w:t>
      </w:r>
      <w:r>
        <w:rPr>
          <w:b/>
          <w:bCs/>
          <w:szCs w:val="24"/>
        </w:rPr>
        <w:t xml:space="preserve"> </w:t>
      </w:r>
      <w:r>
        <w:rPr>
          <w:szCs w:val="24"/>
        </w:rPr>
        <w:t>specialius likvidumo reikalavimus, atsižvelgia į kiekybinius ir kokybinius priežiūrinio tikrinimo ir vertinimo rezultatus</w:t>
      </w:r>
      <w:r>
        <w:rPr>
          <w:strike/>
          <w:szCs w:val="24"/>
        </w:rPr>
        <w:t>, sisteminės rizikos įvertinimą</w:t>
      </w:r>
      <w:r>
        <w:rPr>
          <w:szCs w:val="24"/>
        </w:rPr>
        <w:t>, centrinės kredito unijos valdymo struktūrą, rizikos nustatymo, valdymo, vidaus kontrolės procesus.“</w:t>
      </w:r>
    </w:p>
    <w:p w14:paraId="126D95CB" w14:textId="41CB59C9" w:rsidR="00260899" w:rsidRDefault="009C141B">
      <w:pPr>
        <w:ind w:firstLine="720"/>
        <w:jc w:val="both"/>
        <w:rPr>
          <w:rFonts w:eastAsia="Calibri"/>
          <w:color w:val="000000"/>
          <w:szCs w:val="24"/>
        </w:rPr>
      </w:pPr>
      <w:r>
        <w:rPr>
          <w:rFonts w:eastAsia="Calibri"/>
          <w:color w:val="000000"/>
          <w:szCs w:val="24"/>
        </w:rPr>
        <w:t>7</w:t>
      </w:r>
      <w:r w:rsidR="003174AF">
        <w:rPr>
          <w:rFonts w:eastAsia="Calibri"/>
          <w:color w:val="000000"/>
          <w:szCs w:val="24"/>
        </w:rPr>
        <w:t>.</w:t>
      </w:r>
      <w:r w:rsidR="003174AF">
        <w:rPr>
          <w:bCs/>
          <w:szCs w:val="24"/>
        </w:rPr>
        <w:t xml:space="preserve"> Papildyti 49 straipsnį </w:t>
      </w:r>
      <w:r w:rsidR="0047409F">
        <w:rPr>
          <w:bCs/>
          <w:szCs w:val="24"/>
        </w:rPr>
        <w:t xml:space="preserve">14 </w:t>
      </w:r>
      <w:r w:rsidR="003174AF">
        <w:rPr>
          <w:bCs/>
          <w:szCs w:val="24"/>
        </w:rPr>
        <w:t>dalimi:</w:t>
      </w:r>
    </w:p>
    <w:p w14:paraId="11183583" w14:textId="2200B0D3" w:rsidR="00260899" w:rsidRDefault="003174AF">
      <w:pPr>
        <w:widowControl w:val="0"/>
        <w:ind w:firstLine="720"/>
        <w:jc w:val="both"/>
        <w:rPr>
          <w:lang w:bidi="lt-LT"/>
        </w:rPr>
      </w:pPr>
      <w:r>
        <w:t>„</w:t>
      </w:r>
      <w:r w:rsidR="0047409F">
        <w:rPr>
          <w:b/>
          <w:bCs/>
        </w:rPr>
        <w:t>14</w:t>
      </w:r>
      <w:r>
        <w:rPr>
          <w:b/>
          <w:bCs/>
        </w:rPr>
        <w:t xml:space="preserve">. </w:t>
      </w:r>
      <w:r>
        <w:rPr>
          <w:b/>
          <w:bCs/>
          <w:lang w:bidi="lt-LT"/>
        </w:rPr>
        <w:t xml:space="preserve">Priežiūros institucija pertvarkymo instituciją informuoja apie pagal šio straipsnio 2 dalies 2 punktą nustatytus </w:t>
      </w:r>
      <w:r w:rsidR="00D1133D">
        <w:rPr>
          <w:b/>
          <w:bCs/>
          <w:lang w:bidi="lt-LT"/>
        </w:rPr>
        <w:t>papildomus</w:t>
      </w:r>
      <w:r>
        <w:rPr>
          <w:b/>
          <w:bCs/>
          <w:lang w:bidi="lt-LT"/>
        </w:rPr>
        <w:t xml:space="preserve"> kapitalo reikalavimo dydžius.</w:t>
      </w:r>
      <w:r>
        <w:rPr>
          <w:lang w:bidi="lt-LT"/>
        </w:rPr>
        <w:t>“</w:t>
      </w:r>
    </w:p>
    <w:p w14:paraId="55BF63CF" w14:textId="77777777" w:rsidR="00DA081A" w:rsidRDefault="00DA081A">
      <w:pPr>
        <w:widowControl w:val="0"/>
        <w:ind w:firstLine="720"/>
        <w:jc w:val="both"/>
        <w:rPr>
          <w:lang w:bidi="lt-LT"/>
        </w:rPr>
      </w:pPr>
    </w:p>
    <w:p w14:paraId="1C2BEB0B" w14:textId="77777777" w:rsidR="00DA081A" w:rsidRPr="00CA0A9C" w:rsidRDefault="00DA081A" w:rsidP="00DA081A">
      <w:pPr>
        <w:widowControl w:val="0"/>
        <w:ind w:firstLine="720"/>
        <w:jc w:val="both"/>
        <w:rPr>
          <w:b/>
          <w:lang w:bidi="lt-LT"/>
        </w:rPr>
      </w:pPr>
      <w:r w:rsidRPr="00CA0A9C">
        <w:rPr>
          <w:b/>
          <w:lang w:bidi="lt-LT"/>
        </w:rPr>
        <w:t>7 straipsnis. 61 straipsnio pakeitimas</w:t>
      </w:r>
    </w:p>
    <w:p w14:paraId="5BE4CF40" w14:textId="77777777" w:rsidR="00DA081A" w:rsidRDefault="00DA081A" w:rsidP="00DA081A">
      <w:pPr>
        <w:widowControl w:val="0"/>
        <w:ind w:firstLine="720"/>
        <w:jc w:val="both"/>
        <w:rPr>
          <w:lang w:bidi="lt-LT"/>
        </w:rPr>
      </w:pPr>
      <w:r>
        <w:rPr>
          <w:lang w:bidi="lt-LT"/>
        </w:rPr>
        <w:t>Pakeisti 61 straipsnio 2 dalį ir ją išdėstyti taip:</w:t>
      </w:r>
    </w:p>
    <w:p w14:paraId="73EFA450" w14:textId="77777777" w:rsidR="00DA081A" w:rsidRDefault="00DA081A" w:rsidP="00DA081A">
      <w:pPr>
        <w:widowControl w:val="0"/>
        <w:ind w:firstLine="720"/>
        <w:jc w:val="both"/>
        <w:rPr>
          <w:lang w:bidi="lt-LT"/>
        </w:rPr>
      </w:pPr>
      <w:r>
        <w:rPr>
          <w:lang w:bidi="lt-LT"/>
        </w:rPr>
        <w:t>„2. Centrinė kredito unija negali būti pertvarkoma</w:t>
      </w:r>
      <w:r w:rsidRPr="00541F59">
        <w:rPr>
          <w:strike/>
          <w:lang w:bidi="lt-LT"/>
        </w:rPr>
        <w:t>.</w:t>
      </w:r>
      <w:r>
        <w:rPr>
          <w:lang w:bidi="lt-LT"/>
        </w:rPr>
        <w:t xml:space="preserve"> </w:t>
      </w:r>
      <w:r w:rsidRPr="00CA0A9C">
        <w:rPr>
          <w:b/>
          <w:lang w:bidi="lt-LT"/>
        </w:rPr>
        <w:t>į</w:t>
      </w:r>
      <w:r>
        <w:rPr>
          <w:lang w:bidi="lt-LT"/>
        </w:rPr>
        <w:t xml:space="preserve"> </w:t>
      </w:r>
      <w:r w:rsidRPr="00CA0A9C">
        <w:rPr>
          <w:b/>
          <w:lang w:bidi="lt-LT"/>
        </w:rPr>
        <w:t>kitos teisinės formos juridinį asmenį</w:t>
      </w:r>
      <w:r w:rsidRPr="00541F59">
        <w:rPr>
          <w:b/>
          <w:lang w:bidi="lt-LT"/>
        </w:rPr>
        <w:t>.</w:t>
      </w:r>
      <w:r>
        <w:rPr>
          <w:lang w:bidi="lt-LT"/>
        </w:rPr>
        <w:t>“</w:t>
      </w:r>
    </w:p>
    <w:p w14:paraId="68C98EDF" w14:textId="77777777" w:rsidR="00260899" w:rsidRDefault="00260899">
      <w:pPr>
        <w:widowControl w:val="0"/>
        <w:ind w:firstLine="720"/>
        <w:jc w:val="both"/>
        <w:rPr>
          <w:lang w:bidi="lt-LT"/>
        </w:rPr>
      </w:pPr>
    </w:p>
    <w:p w14:paraId="177AE844" w14:textId="741D9BAD" w:rsidR="00260899" w:rsidRDefault="00DA081A">
      <w:pPr>
        <w:ind w:firstLine="709"/>
        <w:rPr>
          <w:b/>
          <w:szCs w:val="24"/>
        </w:rPr>
      </w:pPr>
      <w:r>
        <w:rPr>
          <w:b/>
          <w:szCs w:val="24"/>
        </w:rPr>
        <w:t>8</w:t>
      </w:r>
      <w:r w:rsidR="004D68D3">
        <w:rPr>
          <w:b/>
          <w:szCs w:val="24"/>
        </w:rPr>
        <w:t xml:space="preserve"> </w:t>
      </w:r>
      <w:r w:rsidR="003174AF">
        <w:rPr>
          <w:b/>
          <w:szCs w:val="24"/>
        </w:rPr>
        <w:t>straipsnis. 70 straipsnio pakeitimas</w:t>
      </w:r>
    </w:p>
    <w:p w14:paraId="44606D5F" w14:textId="38D7CB73" w:rsidR="00231767" w:rsidRDefault="00231767">
      <w:pPr>
        <w:ind w:firstLine="720"/>
        <w:jc w:val="both"/>
        <w:rPr>
          <w:color w:val="000000"/>
          <w:szCs w:val="24"/>
          <w:lang w:eastAsia="lt-LT"/>
        </w:rPr>
      </w:pPr>
      <w:r>
        <w:rPr>
          <w:color w:val="000000"/>
          <w:szCs w:val="24"/>
          <w:lang w:eastAsia="lt-LT"/>
        </w:rPr>
        <w:t>Pakeisti 70 straipsnį ir jį išdėstyti taip:</w:t>
      </w:r>
    </w:p>
    <w:p w14:paraId="4D8D9945" w14:textId="6E5FCD61" w:rsidR="00231767" w:rsidRPr="00231767" w:rsidRDefault="00231767" w:rsidP="00231767">
      <w:pPr>
        <w:ind w:firstLine="720"/>
        <w:jc w:val="both"/>
        <w:rPr>
          <w:color w:val="000000"/>
          <w:szCs w:val="24"/>
          <w:lang w:val="en-US" w:eastAsia="lt-LT"/>
        </w:rPr>
      </w:pPr>
      <w:r>
        <w:rPr>
          <w:lang w:bidi="lt-LT"/>
        </w:rPr>
        <w:t>„</w:t>
      </w:r>
      <w:r w:rsidRPr="00231767">
        <w:rPr>
          <w:bCs/>
          <w:color w:val="000000"/>
          <w:szCs w:val="24"/>
          <w:lang w:val="en-US" w:eastAsia="lt-LT"/>
        </w:rPr>
        <w:t>70 straipsnis. Kreditorių reikalavimų tenkinimo eilė</w:t>
      </w:r>
    </w:p>
    <w:p w14:paraId="7CAFF93F"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1. Pirmąja eile tenkinami darbuotojų reikalavimai, susiję su darbo santykiais.</w:t>
      </w:r>
    </w:p>
    <w:p w14:paraId="05F9DBAE"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2. Antrąja eile tenkinami reikalavimai dėl apdraustųjų indėlių, taip pat valstybės įmonės „Indėlių ir investicijų draudimas“ reikalavimai dėl išlaidų, susijusių su Indėlių draudimo fondo lėšų panaudojimu pagal Indėlių ir įsipareigojimų investuotojams draudimo įstatymą ir (ar) Finansinio tvarumo įstatymą.</w:t>
      </w:r>
    </w:p>
    <w:p w14:paraId="5D6D4401"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3. Trečiąja eile tenkinami reikalavimai dėl mokesčių ir kitų mokėjimų į biudžetą bei valstybinio socialinio draudimo ir privalomojo sveikatos draudimo įmokų, dėl suteiktų paskolų, gautų valstybės vardu ir su valstybės garantija, taip pat Garantinio fondo administratoriaus ir (ar) valstybei atstovaujančių institucijų atgręžtiniai reikalavimai.</w:t>
      </w:r>
    </w:p>
    <w:p w14:paraId="43D6B121"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4. Ketvirtąja eile tenkinami fizinių asmenų ir labai mažų, mažų ir vidutinių įmonių, kaip jos apibrėžtos Lietuvos Respublikos smulkiojo ir vidutinio verslo plėtros įstatyme, reikalavimai dėl indėlių dalies, viršijančios draudžiamą sumą, numatytą Indėlių ir įsipareigojimų investuotojams draudimo įstatymo 4 straipsnyje, ir fizinių asmenų ir labai mažų, mažų ir vidutinių įmonių reikalavimai dėl indėlių, kurie būtų laikomi reikalavimus atitinkančiais indėliais, jeigu būtų laikomi centrinėje kredito unijoje.</w:t>
      </w:r>
    </w:p>
    <w:p w14:paraId="1E5625DE"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5. Penktąja eile tenkinami kiti centrinės kredito unijos kreditorių reikalavimai, išskyrus šio straipsnio 1, 2, 3, 4, 6, 7, 8 ir 9 dalyse nurodytus reikalavimus.</w:t>
      </w:r>
    </w:p>
    <w:p w14:paraId="69F7782F"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6. Šeštąja eile tenkinami kreditorių reikalavimai dėl skolos priemonių – obligacijų ar kitų formų perduodamos skolos, finansinių priemonių, kuriomis sukuriama arba pripažįstama skola (toliau šiame straipsnyje bet kuri (kurios) iš jų atskirai ar visos kartu – skolos priemonės), – jeigu jos atitinka visas šias sąlygas:</w:t>
      </w:r>
    </w:p>
    <w:p w14:paraId="55CA884D"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1) skolos priemonių pradinis sutartinis terminas yra bent vieni metai;</w:t>
      </w:r>
    </w:p>
    <w:p w14:paraId="55DBDB05"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2) skolos priemonės nėra išvestinės finansinės priemonės ir jų sudedamąja dalimi nėra įterptosios išvestinės finansinės priemonės. Šiame punkte nurodytomis skolos priemonėmis, kurių sudedamąja dalimi yra įterptosios išvestinės finansinės priemonės, nelaikomos kintamosios palūkanų normos skolos priemonės, jeigu kintamoji palūkanų norma nustatyta taikant plačiai naudojamą pagrindinę palūkanų normą, ir emitento nacionaline valiuta neišreikštos skolos priemonės, jeigu pagrindinė skolos suma, grąžinama jos dalis ir palūkanos išreikštos ta pačia valiuta;</w:t>
      </w:r>
    </w:p>
    <w:p w14:paraId="1696947D" w14:textId="39B9ADB9" w:rsidR="00231767" w:rsidRDefault="00231767" w:rsidP="00231767">
      <w:pPr>
        <w:ind w:firstLine="720"/>
        <w:jc w:val="both"/>
        <w:rPr>
          <w:color w:val="000000"/>
          <w:szCs w:val="24"/>
          <w:lang w:eastAsia="lt-LT"/>
        </w:rPr>
      </w:pPr>
      <w:r>
        <w:rPr>
          <w:color w:val="000000"/>
          <w:szCs w:val="24"/>
          <w:lang w:eastAsia="lt-LT"/>
        </w:rPr>
        <w:t>3) sutartiniuose dokumentuose</w:t>
      </w:r>
      <w:r>
        <w:rPr>
          <w:strike/>
          <w:color w:val="000000"/>
          <w:szCs w:val="24"/>
          <w:lang w:eastAsia="lt-LT"/>
        </w:rPr>
        <w:t>,</w:t>
      </w:r>
      <w:r>
        <w:rPr>
          <w:strike/>
          <w:color w:val="000000"/>
          <w:lang w:eastAsia="lt-LT"/>
        </w:rPr>
        <w:t> </w:t>
      </w:r>
      <w:r>
        <w:rPr>
          <w:strike/>
          <w:color w:val="000000"/>
          <w:szCs w:val="24"/>
          <w:lang w:eastAsia="lt-LT"/>
        </w:rPr>
        <w:t>susijusiuose su emisija,</w:t>
      </w:r>
      <w:r>
        <w:rPr>
          <w:color w:val="000000"/>
          <w:szCs w:val="24"/>
          <w:lang w:eastAsia="lt-LT"/>
        </w:rPr>
        <w:t xml:space="preserve"> ir prospekte,</w:t>
      </w:r>
      <w:r>
        <w:t xml:space="preserve"> </w:t>
      </w:r>
      <w:r>
        <w:rPr>
          <w:b/>
          <w:bCs/>
          <w:color w:val="000000"/>
          <w:szCs w:val="24"/>
          <w:lang w:eastAsia="lt-LT"/>
        </w:rPr>
        <w:t>susijusiame su emisija</w:t>
      </w:r>
      <w:r>
        <w:rPr>
          <w:color w:val="000000"/>
          <w:szCs w:val="24"/>
          <w:lang w:eastAsia="lt-LT"/>
        </w:rPr>
        <w:t>, kai jis rengiamas, nustatyta, kad skolos priemonės turėtojo reikalavimas bus tenkinamas šioje dalyje nustatyta šeštąja eile.</w:t>
      </w:r>
    </w:p>
    <w:p w14:paraId="2CC72386" w14:textId="77777777" w:rsidR="00231767" w:rsidRDefault="00231767" w:rsidP="00231767">
      <w:pPr>
        <w:ind w:firstLine="720"/>
        <w:jc w:val="both"/>
        <w:rPr>
          <w:b/>
          <w:bCs/>
          <w:color w:val="000000"/>
          <w:szCs w:val="24"/>
          <w:lang w:eastAsia="lt-LT"/>
        </w:rPr>
      </w:pPr>
      <w:r>
        <w:rPr>
          <w:color w:val="000000"/>
          <w:szCs w:val="24"/>
          <w:lang w:eastAsia="lt-LT"/>
        </w:rPr>
        <w:t xml:space="preserve">7. Septintąja eile tenkinami kreditorių reikalavimai dėl centrinei kredito unijai suteiktų pasitikėtinių (subordinuotų) paskolų ir centrinės kredito unijos išleistų ne nuosavybės vertybinių </w:t>
      </w:r>
      <w:r>
        <w:rPr>
          <w:color w:val="000000"/>
          <w:szCs w:val="24"/>
          <w:lang w:eastAsia="lt-LT"/>
        </w:rPr>
        <w:lastRenderedPageBreak/>
        <w:t>popierių, kurie turi visus pasitikėtinės (subordinuotos) paskolos požymius,</w:t>
      </w:r>
      <w:r>
        <w:t xml:space="preserve"> </w:t>
      </w:r>
      <w:r>
        <w:rPr>
          <w:color w:val="000000"/>
          <w:szCs w:val="24"/>
          <w:lang w:eastAsia="lt-LT"/>
        </w:rPr>
        <w:t xml:space="preserve">išskyrus šio straipsnio 8 </w:t>
      </w:r>
      <w:r>
        <w:rPr>
          <w:strike/>
          <w:color w:val="000000"/>
          <w:szCs w:val="24"/>
          <w:lang w:eastAsia="lt-LT"/>
        </w:rPr>
        <w:t>dalyje</w:t>
      </w:r>
      <w:r>
        <w:rPr>
          <w:b/>
          <w:bCs/>
          <w:color w:val="000000"/>
          <w:szCs w:val="24"/>
          <w:lang w:eastAsia="lt-LT"/>
        </w:rPr>
        <w:t xml:space="preserve"> ir 9 dalyse nurodytus reikalavimus</w:t>
      </w:r>
      <w:r w:rsidRPr="00231767">
        <w:rPr>
          <w:bCs/>
          <w:color w:val="000000"/>
          <w:szCs w:val="24"/>
          <w:lang w:eastAsia="lt-LT"/>
        </w:rPr>
        <w:t>.</w:t>
      </w:r>
    </w:p>
    <w:p w14:paraId="14A64FD4" w14:textId="1B75D84C" w:rsidR="00231767" w:rsidRPr="00231767" w:rsidRDefault="00231767" w:rsidP="00231767">
      <w:pPr>
        <w:ind w:firstLine="720"/>
        <w:jc w:val="both"/>
        <w:rPr>
          <w:color w:val="000000"/>
          <w:szCs w:val="24"/>
          <w:lang w:val="en-US" w:eastAsia="lt-LT"/>
        </w:rPr>
      </w:pPr>
      <w:r>
        <w:rPr>
          <w:bCs/>
          <w:szCs w:val="24"/>
        </w:rPr>
        <w:t xml:space="preserve">8. Aštuntąja eile tenkinami kreditorių reikalavimai dėl </w:t>
      </w:r>
      <w:r>
        <w:rPr>
          <w:bCs/>
          <w:strike/>
          <w:szCs w:val="24"/>
        </w:rPr>
        <w:t>centrinės kredito unijos išleistų ne nuosavybės vertybinių popierių, kurie turi visus pasitikėtinės (subordinuotos) paskolos požymius ir kurių įsigijimo sandoriuose numatyta, kad pagal juos reikalavimai tenkinami tik po kitų centrinės kredito unijos kreditorių reikalavimų, įskaitant reikalavimus dėl centrinei kredito unijai suteiktų pasitikėtinių (subordinuotų) paskolų ir kitų centrinės kredito unijos išleistų ne nuosavybės vertybinių popierių, kurie turi visus pasitikėtinės (subordinuotos) paskolos požymius.</w:t>
      </w:r>
      <w:r>
        <w:rPr>
          <w:b/>
          <w:bCs/>
          <w:color w:val="000000"/>
          <w:szCs w:val="24"/>
          <w:lang w:eastAsia="lt-LT"/>
        </w:rPr>
        <w:t xml:space="preserve"> kapitalo priemonių, atitinkančių Reglamento (ES) Nr. 575/2013 63 straipsnyje nustatytas sąlygas</w:t>
      </w:r>
      <w:r>
        <w:rPr>
          <w:bCs/>
          <w:szCs w:val="24"/>
        </w:rPr>
        <w:t>.</w:t>
      </w:r>
      <w:r>
        <w:t xml:space="preserve"> </w:t>
      </w:r>
      <w:r>
        <w:rPr>
          <w:b/>
          <w:bCs/>
        </w:rPr>
        <w:t>Jei šioje dalyje nurodyta kapitalo priemonė tik iš dalies pripažįstama nuosavomis lėšomis, visi iš tokios priemonės kylantys reikalavimai tenkinami šioje dalyje nustatyta eile.</w:t>
      </w:r>
    </w:p>
    <w:p w14:paraId="4B512B6B" w14:textId="686C3D49" w:rsidR="00231767" w:rsidRDefault="00231767" w:rsidP="00231767">
      <w:pPr>
        <w:ind w:firstLine="720"/>
        <w:jc w:val="both"/>
        <w:rPr>
          <w:color w:val="000000"/>
          <w:szCs w:val="24"/>
          <w:lang w:eastAsia="lt-LT"/>
        </w:rPr>
      </w:pPr>
      <w:r>
        <w:rPr>
          <w:bCs/>
          <w:szCs w:val="24"/>
        </w:rPr>
        <w:t xml:space="preserve">9. Devintąja eile tenkinami </w:t>
      </w:r>
      <w:r>
        <w:rPr>
          <w:bCs/>
          <w:strike/>
          <w:szCs w:val="24"/>
        </w:rPr>
        <w:t>centrinės kredito unijos stebėtojų tarybos, valdybos ir centrinės kredito unijos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color w:val="000000"/>
          <w:szCs w:val="24"/>
          <w:lang w:eastAsia="lt-LT"/>
        </w:rPr>
        <w:t>.</w:t>
      </w:r>
      <w:r>
        <w:t xml:space="preserve"> </w:t>
      </w:r>
      <w:r>
        <w:rPr>
          <w:b/>
          <w:bCs/>
          <w:color w:val="000000"/>
          <w:szCs w:val="24"/>
          <w:lang w:eastAsia="lt-LT"/>
        </w:rPr>
        <w:t>Jei šioje dalyje nurodyta kapitalo priemonė tik iš dalies pripažįstama nuosavomis lėšomis, visi iš tokios priemonės kylantys reikalavimai tenkinami šioje dalyje nustatyta eile</w:t>
      </w:r>
      <w:r>
        <w:rPr>
          <w:color w:val="000000"/>
          <w:szCs w:val="24"/>
          <w:lang w:eastAsia="lt-LT"/>
        </w:rPr>
        <w:t xml:space="preserve">.“ </w:t>
      </w:r>
    </w:p>
    <w:p w14:paraId="4C697130" w14:textId="11FB3979" w:rsidR="00260899" w:rsidRDefault="00260899">
      <w:pPr>
        <w:widowControl w:val="0"/>
        <w:ind w:firstLine="720"/>
        <w:jc w:val="both"/>
        <w:rPr>
          <w:rFonts w:eastAsia="Arial"/>
          <w:b/>
          <w:bCs/>
          <w:szCs w:val="24"/>
          <w:lang w:eastAsia="lt-LT"/>
        </w:rPr>
      </w:pPr>
    </w:p>
    <w:p w14:paraId="04282791" w14:textId="6A877678" w:rsidR="00260899" w:rsidRDefault="00DA081A">
      <w:pPr>
        <w:widowControl w:val="0"/>
        <w:ind w:firstLine="720"/>
        <w:jc w:val="both"/>
        <w:rPr>
          <w:rFonts w:eastAsia="Arial"/>
          <w:b/>
          <w:bCs/>
          <w:szCs w:val="24"/>
          <w:lang w:eastAsia="lt-LT"/>
        </w:rPr>
      </w:pPr>
      <w:r>
        <w:rPr>
          <w:rFonts w:eastAsia="Arial"/>
          <w:b/>
          <w:bCs/>
          <w:szCs w:val="24"/>
          <w:lang w:eastAsia="lt-LT"/>
        </w:rPr>
        <w:t>9</w:t>
      </w:r>
      <w:r w:rsidR="004D68D3">
        <w:rPr>
          <w:rFonts w:eastAsia="Arial"/>
          <w:b/>
          <w:bCs/>
          <w:szCs w:val="24"/>
          <w:lang w:eastAsia="lt-LT"/>
        </w:rPr>
        <w:t xml:space="preserve"> </w:t>
      </w:r>
      <w:r w:rsidR="003174AF">
        <w:rPr>
          <w:rFonts w:eastAsia="Arial"/>
          <w:b/>
          <w:bCs/>
          <w:szCs w:val="24"/>
          <w:lang w:eastAsia="lt-LT"/>
        </w:rPr>
        <w:t>straipsnis. Įstatymo priedo pakeitimas</w:t>
      </w:r>
    </w:p>
    <w:p w14:paraId="13829316" w14:textId="77777777" w:rsidR="00260899" w:rsidRDefault="003174AF">
      <w:pPr>
        <w:ind w:firstLine="720"/>
        <w:jc w:val="both"/>
        <w:rPr>
          <w:bCs/>
          <w:szCs w:val="24"/>
        </w:rPr>
      </w:pPr>
      <w:r>
        <w:rPr>
          <w:bCs/>
          <w:szCs w:val="24"/>
        </w:rPr>
        <w:t>Pakeisti Įstatymo priedą ir jį išdėstyti taip:</w:t>
      </w:r>
    </w:p>
    <w:p w14:paraId="13516951" w14:textId="77777777" w:rsidR="00260899" w:rsidRDefault="003174AF">
      <w:pPr>
        <w:ind w:left="6237"/>
        <w:jc w:val="both"/>
        <w:rPr>
          <w:bCs/>
          <w:szCs w:val="24"/>
        </w:rPr>
      </w:pPr>
      <w:r>
        <w:rPr>
          <w:bCs/>
          <w:szCs w:val="24"/>
        </w:rPr>
        <w:t>„Lietuvos Respublikos centrinių kredito unijų įstatymo</w:t>
      </w:r>
    </w:p>
    <w:p w14:paraId="3542165A" w14:textId="77777777" w:rsidR="00260899" w:rsidRDefault="003174AF">
      <w:pPr>
        <w:ind w:left="6237"/>
        <w:jc w:val="both"/>
        <w:rPr>
          <w:bCs/>
          <w:szCs w:val="24"/>
        </w:rPr>
      </w:pPr>
      <w:r>
        <w:rPr>
          <w:bCs/>
          <w:szCs w:val="24"/>
        </w:rPr>
        <w:t>priedas</w:t>
      </w:r>
    </w:p>
    <w:p w14:paraId="436050F0" w14:textId="77777777" w:rsidR="00260899" w:rsidRDefault="00260899">
      <w:pPr>
        <w:ind w:firstLine="720"/>
        <w:jc w:val="both"/>
        <w:rPr>
          <w:bCs/>
          <w:szCs w:val="24"/>
        </w:rPr>
      </w:pPr>
    </w:p>
    <w:p w14:paraId="610DE3A6" w14:textId="77777777" w:rsidR="00260899" w:rsidRDefault="003174AF">
      <w:pPr>
        <w:jc w:val="center"/>
        <w:rPr>
          <w:bCs/>
          <w:szCs w:val="24"/>
        </w:rPr>
      </w:pPr>
      <w:r>
        <w:rPr>
          <w:bCs/>
          <w:szCs w:val="24"/>
        </w:rPr>
        <w:t>ĮGYVENDINAMI EUROPOS SĄJUNGOS TEISĖS AKTAI</w:t>
      </w:r>
    </w:p>
    <w:p w14:paraId="6CE336B0" w14:textId="77777777" w:rsidR="00260899" w:rsidRDefault="00260899">
      <w:pPr>
        <w:ind w:firstLine="720"/>
        <w:jc w:val="both"/>
        <w:rPr>
          <w:bCs/>
          <w:szCs w:val="24"/>
        </w:rPr>
      </w:pPr>
    </w:p>
    <w:p w14:paraId="63B5E08B" w14:textId="77777777" w:rsidR="00260899" w:rsidRDefault="003174AF">
      <w:pPr>
        <w:ind w:firstLine="720"/>
        <w:jc w:val="both"/>
        <w:rPr>
          <w:bCs/>
          <w:szCs w:val="24"/>
        </w:rPr>
      </w:pPr>
      <w:r>
        <w:rPr>
          <w:bCs/>
          <w:szCs w:val="24"/>
        </w:rPr>
        <w:t xml:space="preserve">1. 1986 m. gruodžio 8 d. Tarybos direktyva 86/635/EEB dėl bankų ir kitų finansų įstaigų metinės finansinės atskaitomybės ir konsoliduotos finansinės atskaitomybės </w:t>
      </w:r>
      <w:r>
        <w:rPr>
          <w:bCs/>
          <w:strike/>
          <w:szCs w:val="24"/>
        </w:rPr>
        <w:t>(OL 2004 m. specialusis leidimas, 6 skyrius, 1 tomas, p. 157)</w:t>
      </w:r>
      <w:r>
        <w:rPr>
          <w:bCs/>
          <w:szCs w:val="24"/>
        </w:rPr>
        <w:t xml:space="preserve"> su paskutiniais pakeitimais, padarytais 2003 m. birželio 23 d. Europos Parlamento ir Tarybos direktyva 2003/51/EB </w:t>
      </w:r>
      <w:r>
        <w:rPr>
          <w:bCs/>
          <w:strike/>
          <w:szCs w:val="24"/>
        </w:rPr>
        <w:t>(OL 2004 m. specialusis leidimas, 17 skyrius, 1 tomas, p. 273)</w:t>
      </w:r>
      <w:r>
        <w:rPr>
          <w:bCs/>
          <w:szCs w:val="24"/>
        </w:rPr>
        <w:t>.</w:t>
      </w:r>
    </w:p>
    <w:p w14:paraId="53740FD5" w14:textId="77777777" w:rsidR="00260899" w:rsidRDefault="003174AF">
      <w:pPr>
        <w:ind w:firstLine="720"/>
        <w:jc w:val="both"/>
        <w:rPr>
          <w:bCs/>
          <w:szCs w:val="24"/>
        </w:rPr>
      </w:pPr>
      <w:r>
        <w:rPr>
          <w:bCs/>
          <w:szCs w:val="24"/>
        </w:rPr>
        <w:t xml:space="preserve">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Pr>
          <w:b/>
          <w:szCs w:val="24"/>
        </w:rPr>
        <w:t xml:space="preserve">su paskutiniais pakeitimais, padarytais 2019 m. gegužės 20 d. </w:t>
      </w:r>
      <w:r>
        <w:rPr>
          <w:b/>
          <w:bCs/>
          <w:szCs w:val="24"/>
        </w:rPr>
        <w:t>Europos Parlamento ir Tarybos direktyva (ES) 2019/878</w:t>
      </w:r>
      <w:r>
        <w:rPr>
          <w:bCs/>
          <w:szCs w:val="24"/>
        </w:rPr>
        <w:t>.</w:t>
      </w:r>
    </w:p>
    <w:p w14:paraId="26904854" w14:textId="77777777" w:rsidR="00260899" w:rsidRDefault="003174AF">
      <w:pPr>
        <w:ind w:firstLine="720"/>
        <w:jc w:val="both"/>
        <w:rPr>
          <w:bCs/>
          <w:szCs w:val="24"/>
        </w:rPr>
      </w:pPr>
      <w:r>
        <w:rPr>
          <w:bCs/>
          <w:szCs w:val="24"/>
        </w:rPr>
        <w:t xml:space="preserve">3. 2014 m. balandžio 16 d. Europos Parlamento ir Tarybos direktyva 2014/49/ES dėl indėlių garantijų sistemų </w:t>
      </w:r>
      <w:r>
        <w:rPr>
          <w:bCs/>
          <w:strike/>
          <w:szCs w:val="24"/>
        </w:rPr>
        <w:t>(OL 2014 L 173, p. 149)</w:t>
      </w:r>
      <w:r>
        <w:rPr>
          <w:bCs/>
          <w:szCs w:val="24"/>
        </w:rPr>
        <w:t>.</w:t>
      </w:r>
    </w:p>
    <w:p w14:paraId="08339237" w14:textId="77777777" w:rsidR="00260899" w:rsidRDefault="003174AF">
      <w:pPr>
        <w:ind w:firstLine="720"/>
        <w:jc w:val="both"/>
        <w:rPr>
          <w:bCs/>
          <w:szCs w:val="24"/>
        </w:rPr>
      </w:pPr>
      <w:r>
        <w:rPr>
          <w:bCs/>
          <w:szCs w:val="24"/>
        </w:rPr>
        <w:t xml:space="preserve">4. 2014 m. gegužės 15 d. Europos Parlamento ir Tarybos direktyva 2014/59/ES, kuria nustatoma kredito įstaigų ir investicinių įmonių gaivinimo ir pertvarkymo sistema ir iš dalies keičiamos Tarybos direktyva 82/891/EEB, direktyvos 2001/24/EB, 2002/47/EB, 2004/25/EB, 2005/56/EB, 2007/36/EB, 2011/35/ES, 2012/30/ES bei 2013/36/ES ir Europos Parlamento ir Tarybos reglamentai (ES) Nr. 1093/2010 bei (ES) Nr. 648/2012 </w:t>
      </w:r>
      <w:r>
        <w:rPr>
          <w:bCs/>
          <w:strike/>
          <w:szCs w:val="24"/>
        </w:rPr>
        <w:t>(OL 2014 L 173, p. 190)</w:t>
      </w:r>
      <w:r>
        <w:rPr>
          <w:bCs/>
          <w:szCs w:val="24"/>
        </w:rPr>
        <w:t xml:space="preserve">, su paskutiniais pakeitimais, </w:t>
      </w:r>
      <w:r>
        <w:t>padarytais</w:t>
      </w:r>
      <w:r>
        <w:rPr>
          <w:bCs/>
          <w:strike/>
          <w:szCs w:val="24"/>
        </w:rPr>
        <w:t xml:space="preserve"> 2017 m. gruodžio 12 d. Europos Parlamento ir Tarybos direktyva (ES) 2017/2399 (OL 2017 L 345, p. 96)</w:t>
      </w:r>
      <w:r>
        <w:rPr>
          <w:b/>
          <w:szCs w:val="24"/>
        </w:rPr>
        <w:t xml:space="preserve"> 2019 m. gegužės 20 d. </w:t>
      </w:r>
      <w:r>
        <w:rPr>
          <w:b/>
          <w:bCs/>
          <w:szCs w:val="24"/>
        </w:rPr>
        <w:t>Europos Parlamento ir Tarybos direktyva (ES) 2019/879</w:t>
      </w:r>
      <w:r>
        <w:rPr>
          <w:bCs/>
          <w:szCs w:val="24"/>
        </w:rPr>
        <w:t>.“</w:t>
      </w:r>
    </w:p>
    <w:p w14:paraId="3D7CF756" w14:textId="77777777" w:rsidR="00260899" w:rsidRDefault="00260899">
      <w:pPr>
        <w:ind w:firstLine="720"/>
        <w:jc w:val="both"/>
        <w:rPr>
          <w:bCs/>
          <w:szCs w:val="24"/>
        </w:rPr>
      </w:pPr>
    </w:p>
    <w:p w14:paraId="7E297049" w14:textId="3F5ED653" w:rsidR="00260899" w:rsidRDefault="00DA081A">
      <w:pPr>
        <w:ind w:firstLine="709"/>
        <w:jc w:val="both"/>
        <w:rPr>
          <w:b/>
          <w:szCs w:val="24"/>
        </w:rPr>
      </w:pPr>
      <w:r>
        <w:rPr>
          <w:b/>
          <w:szCs w:val="24"/>
        </w:rPr>
        <w:t>10</w:t>
      </w:r>
      <w:r w:rsidR="004D68D3">
        <w:rPr>
          <w:b/>
          <w:szCs w:val="24"/>
        </w:rPr>
        <w:t xml:space="preserve"> </w:t>
      </w:r>
      <w:r w:rsidR="003174AF">
        <w:rPr>
          <w:b/>
          <w:szCs w:val="24"/>
        </w:rPr>
        <w:t>straipsnis. Įstatymo įsigaliojimas ir taikymas</w:t>
      </w:r>
    </w:p>
    <w:p w14:paraId="16C59CC1" w14:textId="734E4221" w:rsidR="00260899" w:rsidRDefault="003174AF">
      <w:pPr>
        <w:ind w:firstLine="709"/>
        <w:jc w:val="both"/>
        <w:rPr>
          <w:bCs/>
          <w:szCs w:val="24"/>
        </w:rPr>
      </w:pPr>
      <w:r>
        <w:rPr>
          <w:bCs/>
          <w:szCs w:val="24"/>
        </w:rPr>
        <w:t xml:space="preserve">1. Šis įstatymas įsigalioja 2021 m. </w:t>
      </w:r>
      <w:r w:rsidR="000F058E">
        <w:rPr>
          <w:bCs/>
          <w:szCs w:val="24"/>
        </w:rPr>
        <w:t xml:space="preserve">lapkričio 1 </w:t>
      </w:r>
      <w:r>
        <w:rPr>
          <w:bCs/>
          <w:szCs w:val="24"/>
        </w:rPr>
        <w:t>d.</w:t>
      </w:r>
    </w:p>
    <w:p w14:paraId="361B51E2" w14:textId="4B4BE11C" w:rsidR="00260899" w:rsidRDefault="003174AF">
      <w:pPr>
        <w:ind w:firstLine="709"/>
        <w:jc w:val="both"/>
        <w:rPr>
          <w:szCs w:val="24"/>
        </w:rPr>
      </w:pPr>
      <w:r>
        <w:rPr>
          <w:bCs/>
          <w:szCs w:val="24"/>
        </w:rPr>
        <w:lastRenderedPageBreak/>
        <w:t xml:space="preserve">2. </w:t>
      </w:r>
      <w:r>
        <w:rPr>
          <w:szCs w:val="24"/>
        </w:rPr>
        <w:t xml:space="preserve">Šio įstatymo </w:t>
      </w:r>
      <w:r w:rsidR="009D3B60">
        <w:rPr>
          <w:szCs w:val="24"/>
        </w:rPr>
        <w:t>8</w:t>
      </w:r>
      <w:r w:rsidR="00D1133D">
        <w:rPr>
          <w:szCs w:val="24"/>
        </w:rPr>
        <w:t xml:space="preserve"> </w:t>
      </w:r>
      <w:r>
        <w:rPr>
          <w:szCs w:val="24"/>
        </w:rPr>
        <w:t>straipsniu keičiamo Lietuvos Respublikos centrinių kredito unijų įstatymo 70 straipsnio nuostatos dėl kreditorių reikalavimų tenkinimo eilės taikomos pertvarkymo procedūroms, vykdomoms pagal Lietuvos Respublikos finansinio tvarumo įstatymą, ir bankroto procesams, kurie pradėti po šio įstatymo įsigaliojimo dienos, išskyrus Lietuvos Respublikos centrinių kredito unijų įstatymo Nr. VIII-1682 2, 70 straipsnių ir priedo pakeitimo įstatymo 4 straipsnio 2 dalyje nustatytą atvejį.</w:t>
      </w:r>
    </w:p>
    <w:p w14:paraId="512126AA" w14:textId="77777777" w:rsidR="00260899" w:rsidRDefault="00260899">
      <w:pPr>
        <w:ind w:firstLine="709"/>
        <w:jc w:val="both"/>
        <w:rPr>
          <w:bCs/>
          <w:szCs w:val="24"/>
        </w:rPr>
      </w:pPr>
    </w:p>
    <w:p w14:paraId="7FD5203F" w14:textId="77777777" w:rsidR="00260899" w:rsidRDefault="00260899">
      <w:pPr>
        <w:ind w:firstLine="709"/>
        <w:jc w:val="both"/>
        <w:rPr>
          <w:bCs/>
          <w:szCs w:val="24"/>
        </w:rPr>
      </w:pPr>
    </w:p>
    <w:p w14:paraId="2E42FE95" w14:textId="77777777" w:rsidR="00260899" w:rsidRDefault="003174AF">
      <w:pPr>
        <w:ind w:firstLine="709"/>
        <w:rPr>
          <w:rFonts w:eastAsia="Calibri"/>
          <w:i/>
          <w:szCs w:val="24"/>
        </w:rPr>
      </w:pPr>
      <w:r>
        <w:rPr>
          <w:rFonts w:eastAsia="Calibri"/>
          <w:i/>
          <w:szCs w:val="24"/>
        </w:rPr>
        <w:t>Skelbiu šį Lietuvos Respublikos Seimo priimtą įstatymą.</w:t>
      </w:r>
    </w:p>
    <w:p w14:paraId="5B2D70F8" w14:textId="77777777" w:rsidR="00260899" w:rsidRDefault="00260899">
      <w:pPr>
        <w:ind w:firstLine="771"/>
        <w:rPr>
          <w:rFonts w:eastAsia="Calibri"/>
          <w:i/>
          <w:szCs w:val="24"/>
        </w:rPr>
      </w:pPr>
    </w:p>
    <w:p w14:paraId="7953C7EF" w14:textId="77777777" w:rsidR="00260899" w:rsidRDefault="003174AF">
      <w:pPr>
        <w:rPr>
          <w:rFonts w:eastAsia="Calibri"/>
          <w:szCs w:val="24"/>
        </w:rPr>
      </w:pPr>
      <w:r>
        <w:rPr>
          <w:rFonts w:eastAsia="Calibri"/>
          <w:szCs w:val="24"/>
        </w:rPr>
        <w:t>Respublikos Prezidentas</w:t>
      </w:r>
    </w:p>
    <w:p w14:paraId="1E2A26F8" w14:textId="77777777" w:rsidR="00260899" w:rsidRDefault="00260899">
      <w:pPr>
        <w:ind w:firstLine="709"/>
        <w:rPr>
          <w:rFonts w:eastAsia="Calibri"/>
          <w:szCs w:val="24"/>
        </w:rPr>
      </w:pPr>
    </w:p>
    <w:p w14:paraId="5225B768" w14:textId="77777777" w:rsidR="00260899" w:rsidRDefault="00260899">
      <w:pPr>
        <w:widowControl w:val="0"/>
      </w:pPr>
    </w:p>
    <w:sectPr w:rsidR="00260899" w:rsidSect="00BA54C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418" w:left="1701" w:header="709" w:footer="709"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2F3092" w15:done="0"/>
  <w15:commentEx w15:paraId="07A20E4C" w15:done="0"/>
  <w15:commentEx w15:paraId="2DBCEAF6" w15:done="0"/>
  <w15:commentEx w15:paraId="26D12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CCD7" w16cex:dateUtc="2021-04-30T15:37:00Z"/>
  <w16cex:commentExtensible w16cex:durableId="2436C998" w16cex:dateUtc="2021-04-30T15:23:00Z"/>
  <w16cex:commentExtensible w16cex:durableId="2436CC4B" w16cex:dateUtc="2021-04-30T15:34:00Z"/>
  <w16cex:commentExtensible w16cex:durableId="2436CBE3" w16cex:dateUtc="2021-04-30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F3092" w16cid:durableId="2436CCD7"/>
  <w16cid:commentId w16cid:paraId="07A20E4C" w16cid:durableId="2436C998"/>
  <w16cid:commentId w16cid:paraId="2DBCEAF6" w16cid:durableId="2436CC4B"/>
  <w16cid:commentId w16cid:paraId="26D12A03" w16cid:durableId="2436CB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1CB47" w14:textId="77777777" w:rsidR="0087242E" w:rsidRDefault="0087242E">
      <w:pPr>
        <w:rPr>
          <w:rFonts w:ascii="TimesLT" w:hAnsi="TimesLT"/>
        </w:rPr>
      </w:pPr>
      <w:r>
        <w:rPr>
          <w:rFonts w:ascii="TimesLT" w:hAnsi="TimesLT"/>
        </w:rPr>
        <w:separator/>
      </w:r>
    </w:p>
  </w:endnote>
  <w:endnote w:type="continuationSeparator" w:id="0">
    <w:p w14:paraId="04A6CDB6" w14:textId="77777777" w:rsidR="0087242E" w:rsidRDefault="0087242E">
      <w:pPr>
        <w:rPr>
          <w:rFonts w:ascii="TimesLT" w:hAnsi="TimesLT"/>
        </w:rPr>
      </w:pPr>
      <w:r>
        <w:rPr>
          <w:rFonts w:ascii="TimesLT" w:hAnsi="TimesLT"/>
        </w:rPr>
        <w:continuationSeparator/>
      </w:r>
    </w:p>
  </w:endnote>
  <w:endnote w:type="continuationNotice" w:id="1">
    <w:p w14:paraId="24B8BC5F" w14:textId="77777777" w:rsidR="0087242E" w:rsidRDefault="00872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63AD" w14:textId="77777777" w:rsidR="00260899" w:rsidRDefault="003174A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73B88A3" w14:textId="77777777" w:rsidR="00260899" w:rsidRDefault="0026089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A9FDB" w14:textId="77777777" w:rsidR="00260899" w:rsidRDefault="0026089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87906" w14:textId="77777777" w:rsidR="00260899" w:rsidRDefault="0026089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59C48" w14:textId="77777777" w:rsidR="0087242E" w:rsidRDefault="0087242E">
      <w:pPr>
        <w:rPr>
          <w:rFonts w:ascii="TimesLT" w:hAnsi="TimesLT"/>
        </w:rPr>
      </w:pPr>
      <w:r>
        <w:rPr>
          <w:rFonts w:ascii="TimesLT" w:hAnsi="TimesLT"/>
        </w:rPr>
        <w:separator/>
      </w:r>
    </w:p>
  </w:footnote>
  <w:footnote w:type="continuationSeparator" w:id="0">
    <w:p w14:paraId="22056968" w14:textId="77777777" w:rsidR="0087242E" w:rsidRDefault="0087242E">
      <w:pPr>
        <w:rPr>
          <w:rFonts w:ascii="TimesLT" w:hAnsi="TimesLT"/>
        </w:rPr>
      </w:pPr>
      <w:r>
        <w:rPr>
          <w:rFonts w:ascii="TimesLT" w:hAnsi="TimesLT"/>
        </w:rPr>
        <w:continuationSeparator/>
      </w:r>
    </w:p>
  </w:footnote>
  <w:footnote w:type="continuationNotice" w:id="1">
    <w:p w14:paraId="36F9DD7B" w14:textId="77777777" w:rsidR="0087242E" w:rsidRDefault="008724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D976" w14:textId="77777777" w:rsidR="00260899" w:rsidRDefault="00260899">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4D758" w14:textId="77777777" w:rsidR="00260899" w:rsidRDefault="003174A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BA54C7">
      <w:rPr>
        <w:noProof/>
        <w:sz w:val="22"/>
        <w:szCs w:val="22"/>
        <w:lang w:eastAsia="lt-LT"/>
      </w:rPr>
      <w:t>5</w:t>
    </w:r>
    <w:r>
      <w:rPr>
        <w:sz w:val="22"/>
        <w:szCs w:val="22"/>
        <w:lang w:eastAsia="lt-LT"/>
      </w:rPr>
      <w:fldChar w:fldCharType="end"/>
    </w:r>
  </w:p>
  <w:p w14:paraId="1CF5EE7D" w14:textId="77777777" w:rsidR="00260899" w:rsidRDefault="0026089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AA516" w14:textId="77777777" w:rsidR="00260899" w:rsidRDefault="00260899">
    <w:pPr>
      <w:tabs>
        <w:tab w:val="center" w:pos="4680"/>
        <w:tab w:val="right" w:pos="9360"/>
      </w:tabs>
      <w:rPr>
        <w:sz w:val="22"/>
        <w:szCs w:val="22"/>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D5"/>
    <w:rsid w:val="000F058E"/>
    <w:rsid w:val="000F76AD"/>
    <w:rsid w:val="001A58B6"/>
    <w:rsid w:val="001B5B98"/>
    <w:rsid w:val="001E1726"/>
    <w:rsid w:val="00231767"/>
    <w:rsid w:val="00260899"/>
    <w:rsid w:val="002C3845"/>
    <w:rsid w:val="003174AF"/>
    <w:rsid w:val="004211DD"/>
    <w:rsid w:val="0047409F"/>
    <w:rsid w:val="0048643F"/>
    <w:rsid w:val="004A7D13"/>
    <w:rsid w:val="004D68D3"/>
    <w:rsid w:val="0056453F"/>
    <w:rsid w:val="00580D9C"/>
    <w:rsid w:val="0059317C"/>
    <w:rsid w:val="007256B0"/>
    <w:rsid w:val="007E69EF"/>
    <w:rsid w:val="0087242E"/>
    <w:rsid w:val="008A4FDE"/>
    <w:rsid w:val="008F3F2E"/>
    <w:rsid w:val="00912992"/>
    <w:rsid w:val="009456A3"/>
    <w:rsid w:val="0098417C"/>
    <w:rsid w:val="009B37ED"/>
    <w:rsid w:val="009C141B"/>
    <w:rsid w:val="009D3B60"/>
    <w:rsid w:val="00A525D5"/>
    <w:rsid w:val="00A63636"/>
    <w:rsid w:val="00A67EE0"/>
    <w:rsid w:val="00A75D4D"/>
    <w:rsid w:val="00B25A12"/>
    <w:rsid w:val="00B724E5"/>
    <w:rsid w:val="00B73129"/>
    <w:rsid w:val="00B95577"/>
    <w:rsid w:val="00BA54C7"/>
    <w:rsid w:val="00BE020D"/>
    <w:rsid w:val="00D1133D"/>
    <w:rsid w:val="00DA081A"/>
    <w:rsid w:val="00DC7A26"/>
    <w:rsid w:val="00E12918"/>
    <w:rsid w:val="00E44452"/>
    <w:rsid w:val="00E636CB"/>
    <w:rsid w:val="00E63EFB"/>
    <w:rsid w:val="00E77490"/>
    <w:rsid w:val="00ED2BA7"/>
    <w:rsid w:val="00F55D43"/>
    <w:rsid w:val="00FD0B59"/>
    <w:rsid w:val="00FE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B5B98"/>
    <w:rPr>
      <w:sz w:val="16"/>
      <w:szCs w:val="16"/>
    </w:rPr>
  </w:style>
  <w:style w:type="paragraph" w:styleId="Komentarotekstas">
    <w:name w:val="annotation text"/>
    <w:basedOn w:val="prastasis"/>
    <w:link w:val="KomentarotekstasDiagrama"/>
    <w:semiHidden/>
    <w:unhideWhenUsed/>
    <w:rsid w:val="001B5B98"/>
    <w:rPr>
      <w:sz w:val="20"/>
    </w:rPr>
  </w:style>
  <w:style w:type="character" w:customStyle="1" w:styleId="KomentarotekstasDiagrama">
    <w:name w:val="Komentaro tekstas Diagrama"/>
    <w:basedOn w:val="Numatytasispastraiposriftas"/>
    <w:link w:val="Komentarotekstas"/>
    <w:semiHidden/>
    <w:rsid w:val="001B5B98"/>
    <w:rPr>
      <w:sz w:val="20"/>
    </w:rPr>
  </w:style>
  <w:style w:type="paragraph" w:styleId="Komentarotema">
    <w:name w:val="annotation subject"/>
    <w:basedOn w:val="Komentarotekstas"/>
    <w:next w:val="Komentarotekstas"/>
    <w:link w:val="KomentarotemaDiagrama"/>
    <w:semiHidden/>
    <w:unhideWhenUsed/>
    <w:rsid w:val="001B5B98"/>
    <w:rPr>
      <w:b/>
      <w:bCs/>
    </w:rPr>
  </w:style>
  <w:style w:type="character" w:customStyle="1" w:styleId="KomentarotemaDiagrama">
    <w:name w:val="Komentaro tema Diagrama"/>
    <w:basedOn w:val="KomentarotekstasDiagrama"/>
    <w:link w:val="Komentarotema"/>
    <w:semiHidden/>
    <w:rsid w:val="001B5B98"/>
    <w:rPr>
      <w:b/>
      <w:bCs/>
      <w:sz w:val="20"/>
    </w:rPr>
  </w:style>
  <w:style w:type="paragraph" w:styleId="Debesliotekstas">
    <w:name w:val="Balloon Text"/>
    <w:basedOn w:val="prastasis"/>
    <w:link w:val="DebesliotekstasDiagrama"/>
    <w:rsid w:val="001B5B98"/>
    <w:rPr>
      <w:rFonts w:ascii="Segoe UI" w:hAnsi="Segoe UI" w:cs="Segoe UI"/>
      <w:sz w:val="18"/>
      <w:szCs w:val="18"/>
    </w:rPr>
  </w:style>
  <w:style w:type="character" w:customStyle="1" w:styleId="DebesliotekstasDiagrama">
    <w:name w:val="Debesėlio tekstas Diagrama"/>
    <w:basedOn w:val="Numatytasispastraiposriftas"/>
    <w:link w:val="Debesliotekstas"/>
    <w:rsid w:val="001B5B98"/>
    <w:rPr>
      <w:rFonts w:ascii="Segoe UI" w:hAnsi="Segoe UI" w:cs="Segoe UI"/>
      <w:sz w:val="18"/>
      <w:szCs w:val="18"/>
    </w:rPr>
  </w:style>
  <w:style w:type="paragraph" w:styleId="Sraopastraipa">
    <w:name w:val="List Paragraph"/>
    <w:basedOn w:val="prastasis"/>
    <w:rsid w:val="002C3845"/>
    <w:pPr>
      <w:ind w:left="720"/>
      <w:contextualSpacing/>
    </w:pPr>
  </w:style>
  <w:style w:type="character" w:styleId="Hipersaitas">
    <w:name w:val="Hyperlink"/>
    <w:basedOn w:val="Numatytasispastraiposriftas"/>
    <w:unhideWhenUsed/>
    <w:rsid w:val="00231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B5B98"/>
    <w:rPr>
      <w:sz w:val="16"/>
      <w:szCs w:val="16"/>
    </w:rPr>
  </w:style>
  <w:style w:type="paragraph" w:styleId="Komentarotekstas">
    <w:name w:val="annotation text"/>
    <w:basedOn w:val="prastasis"/>
    <w:link w:val="KomentarotekstasDiagrama"/>
    <w:semiHidden/>
    <w:unhideWhenUsed/>
    <w:rsid w:val="001B5B98"/>
    <w:rPr>
      <w:sz w:val="20"/>
    </w:rPr>
  </w:style>
  <w:style w:type="character" w:customStyle="1" w:styleId="KomentarotekstasDiagrama">
    <w:name w:val="Komentaro tekstas Diagrama"/>
    <w:basedOn w:val="Numatytasispastraiposriftas"/>
    <w:link w:val="Komentarotekstas"/>
    <w:semiHidden/>
    <w:rsid w:val="001B5B98"/>
    <w:rPr>
      <w:sz w:val="20"/>
    </w:rPr>
  </w:style>
  <w:style w:type="paragraph" w:styleId="Komentarotema">
    <w:name w:val="annotation subject"/>
    <w:basedOn w:val="Komentarotekstas"/>
    <w:next w:val="Komentarotekstas"/>
    <w:link w:val="KomentarotemaDiagrama"/>
    <w:semiHidden/>
    <w:unhideWhenUsed/>
    <w:rsid w:val="001B5B98"/>
    <w:rPr>
      <w:b/>
      <w:bCs/>
    </w:rPr>
  </w:style>
  <w:style w:type="character" w:customStyle="1" w:styleId="KomentarotemaDiagrama">
    <w:name w:val="Komentaro tema Diagrama"/>
    <w:basedOn w:val="KomentarotekstasDiagrama"/>
    <w:link w:val="Komentarotema"/>
    <w:semiHidden/>
    <w:rsid w:val="001B5B98"/>
    <w:rPr>
      <w:b/>
      <w:bCs/>
      <w:sz w:val="20"/>
    </w:rPr>
  </w:style>
  <w:style w:type="paragraph" w:styleId="Debesliotekstas">
    <w:name w:val="Balloon Text"/>
    <w:basedOn w:val="prastasis"/>
    <w:link w:val="DebesliotekstasDiagrama"/>
    <w:rsid w:val="001B5B98"/>
    <w:rPr>
      <w:rFonts w:ascii="Segoe UI" w:hAnsi="Segoe UI" w:cs="Segoe UI"/>
      <w:sz w:val="18"/>
      <w:szCs w:val="18"/>
    </w:rPr>
  </w:style>
  <w:style w:type="character" w:customStyle="1" w:styleId="DebesliotekstasDiagrama">
    <w:name w:val="Debesėlio tekstas Diagrama"/>
    <w:basedOn w:val="Numatytasispastraiposriftas"/>
    <w:link w:val="Debesliotekstas"/>
    <w:rsid w:val="001B5B98"/>
    <w:rPr>
      <w:rFonts w:ascii="Segoe UI" w:hAnsi="Segoe UI" w:cs="Segoe UI"/>
      <w:sz w:val="18"/>
      <w:szCs w:val="18"/>
    </w:rPr>
  </w:style>
  <w:style w:type="paragraph" w:styleId="Sraopastraipa">
    <w:name w:val="List Paragraph"/>
    <w:basedOn w:val="prastasis"/>
    <w:rsid w:val="002C3845"/>
    <w:pPr>
      <w:ind w:left="720"/>
      <w:contextualSpacing/>
    </w:pPr>
  </w:style>
  <w:style w:type="character" w:styleId="Hipersaitas">
    <w:name w:val="Hyperlink"/>
    <w:basedOn w:val="Numatytasispastraiposriftas"/>
    <w:unhideWhenUsed/>
    <w:rsid w:val="00231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5726">
      <w:bodyDiv w:val="1"/>
      <w:marLeft w:val="0"/>
      <w:marRight w:val="0"/>
      <w:marTop w:val="0"/>
      <w:marBottom w:val="0"/>
      <w:divBdr>
        <w:top w:val="none" w:sz="0" w:space="0" w:color="auto"/>
        <w:left w:val="none" w:sz="0" w:space="0" w:color="auto"/>
        <w:bottom w:val="none" w:sz="0" w:space="0" w:color="auto"/>
        <w:right w:val="none" w:sz="0" w:space="0" w:color="auto"/>
      </w:divBdr>
    </w:div>
    <w:div w:id="62334997">
      <w:bodyDiv w:val="1"/>
      <w:marLeft w:val="0"/>
      <w:marRight w:val="0"/>
      <w:marTop w:val="0"/>
      <w:marBottom w:val="0"/>
      <w:divBdr>
        <w:top w:val="none" w:sz="0" w:space="0" w:color="auto"/>
        <w:left w:val="none" w:sz="0" w:space="0" w:color="auto"/>
        <w:bottom w:val="none" w:sz="0" w:space="0" w:color="auto"/>
        <w:right w:val="none" w:sz="0" w:space="0" w:color="auto"/>
      </w:divBdr>
    </w:div>
    <w:div w:id="70739190">
      <w:bodyDiv w:val="1"/>
      <w:marLeft w:val="0"/>
      <w:marRight w:val="0"/>
      <w:marTop w:val="0"/>
      <w:marBottom w:val="0"/>
      <w:divBdr>
        <w:top w:val="none" w:sz="0" w:space="0" w:color="auto"/>
        <w:left w:val="none" w:sz="0" w:space="0" w:color="auto"/>
        <w:bottom w:val="none" w:sz="0" w:space="0" w:color="auto"/>
        <w:right w:val="none" w:sz="0" w:space="0" w:color="auto"/>
      </w:divBdr>
    </w:div>
    <w:div w:id="97021840">
      <w:bodyDiv w:val="1"/>
      <w:marLeft w:val="0"/>
      <w:marRight w:val="0"/>
      <w:marTop w:val="0"/>
      <w:marBottom w:val="0"/>
      <w:divBdr>
        <w:top w:val="none" w:sz="0" w:space="0" w:color="auto"/>
        <w:left w:val="none" w:sz="0" w:space="0" w:color="auto"/>
        <w:bottom w:val="none" w:sz="0" w:space="0" w:color="auto"/>
        <w:right w:val="none" w:sz="0" w:space="0" w:color="auto"/>
      </w:divBdr>
    </w:div>
    <w:div w:id="194852823">
      <w:bodyDiv w:val="1"/>
      <w:marLeft w:val="0"/>
      <w:marRight w:val="0"/>
      <w:marTop w:val="0"/>
      <w:marBottom w:val="0"/>
      <w:divBdr>
        <w:top w:val="none" w:sz="0" w:space="0" w:color="auto"/>
        <w:left w:val="none" w:sz="0" w:space="0" w:color="auto"/>
        <w:bottom w:val="none" w:sz="0" w:space="0" w:color="auto"/>
        <w:right w:val="none" w:sz="0" w:space="0" w:color="auto"/>
      </w:divBdr>
    </w:div>
    <w:div w:id="355035115">
      <w:bodyDiv w:val="1"/>
      <w:marLeft w:val="0"/>
      <w:marRight w:val="0"/>
      <w:marTop w:val="0"/>
      <w:marBottom w:val="0"/>
      <w:divBdr>
        <w:top w:val="none" w:sz="0" w:space="0" w:color="auto"/>
        <w:left w:val="none" w:sz="0" w:space="0" w:color="auto"/>
        <w:bottom w:val="none" w:sz="0" w:space="0" w:color="auto"/>
        <w:right w:val="none" w:sz="0" w:space="0" w:color="auto"/>
      </w:divBdr>
    </w:div>
    <w:div w:id="395784574">
      <w:bodyDiv w:val="1"/>
      <w:marLeft w:val="0"/>
      <w:marRight w:val="0"/>
      <w:marTop w:val="0"/>
      <w:marBottom w:val="0"/>
      <w:divBdr>
        <w:top w:val="none" w:sz="0" w:space="0" w:color="auto"/>
        <w:left w:val="none" w:sz="0" w:space="0" w:color="auto"/>
        <w:bottom w:val="none" w:sz="0" w:space="0" w:color="auto"/>
        <w:right w:val="none" w:sz="0" w:space="0" w:color="auto"/>
      </w:divBdr>
    </w:div>
    <w:div w:id="491412714">
      <w:bodyDiv w:val="1"/>
      <w:marLeft w:val="0"/>
      <w:marRight w:val="0"/>
      <w:marTop w:val="0"/>
      <w:marBottom w:val="0"/>
      <w:divBdr>
        <w:top w:val="none" w:sz="0" w:space="0" w:color="auto"/>
        <w:left w:val="none" w:sz="0" w:space="0" w:color="auto"/>
        <w:bottom w:val="none" w:sz="0" w:space="0" w:color="auto"/>
        <w:right w:val="none" w:sz="0" w:space="0" w:color="auto"/>
      </w:divBdr>
    </w:div>
    <w:div w:id="554900718">
      <w:bodyDiv w:val="1"/>
      <w:marLeft w:val="0"/>
      <w:marRight w:val="0"/>
      <w:marTop w:val="0"/>
      <w:marBottom w:val="0"/>
      <w:divBdr>
        <w:top w:val="none" w:sz="0" w:space="0" w:color="auto"/>
        <w:left w:val="none" w:sz="0" w:space="0" w:color="auto"/>
        <w:bottom w:val="none" w:sz="0" w:space="0" w:color="auto"/>
        <w:right w:val="none" w:sz="0" w:space="0" w:color="auto"/>
      </w:divBdr>
    </w:div>
    <w:div w:id="589002604">
      <w:bodyDiv w:val="1"/>
      <w:marLeft w:val="0"/>
      <w:marRight w:val="0"/>
      <w:marTop w:val="0"/>
      <w:marBottom w:val="0"/>
      <w:divBdr>
        <w:top w:val="none" w:sz="0" w:space="0" w:color="auto"/>
        <w:left w:val="none" w:sz="0" w:space="0" w:color="auto"/>
        <w:bottom w:val="none" w:sz="0" w:space="0" w:color="auto"/>
        <w:right w:val="none" w:sz="0" w:space="0" w:color="auto"/>
      </w:divBdr>
    </w:div>
    <w:div w:id="789472782">
      <w:bodyDiv w:val="1"/>
      <w:marLeft w:val="0"/>
      <w:marRight w:val="0"/>
      <w:marTop w:val="0"/>
      <w:marBottom w:val="0"/>
      <w:divBdr>
        <w:top w:val="none" w:sz="0" w:space="0" w:color="auto"/>
        <w:left w:val="none" w:sz="0" w:space="0" w:color="auto"/>
        <w:bottom w:val="none" w:sz="0" w:space="0" w:color="auto"/>
        <w:right w:val="none" w:sz="0" w:space="0" w:color="auto"/>
      </w:divBdr>
    </w:div>
    <w:div w:id="973026207">
      <w:bodyDiv w:val="1"/>
      <w:marLeft w:val="0"/>
      <w:marRight w:val="0"/>
      <w:marTop w:val="0"/>
      <w:marBottom w:val="0"/>
      <w:divBdr>
        <w:top w:val="none" w:sz="0" w:space="0" w:color="auto"/>
        <w:left w:val="none" w:sz="0" w:space="0" w:color="auto"/>
        <w:bottom w:val="none" w:sz="0" w:space="0" w:color="auto"/>
        <w:right w:val="none" w:sz="0" w:space="0" w:color="auto"/>
      </w:divBdr>
    </w:div>
    <w:div w:id="997804826">
      <w:bodyDiv w:val="1"/>
      <w:marLeft w:val="0"/>
      <w:marRight w:val="0"/>
      <w:marTop w:val="0"/>
      <w:marBottom w:val="0"/>
      <w:divBdr>
        <w:top w:val="none" w:sz="0" w:space="0" w:color="auto"/>
        <w:left w:val="none" w:sz="0" w:space="0" w:color="auto"/>
        <w:bottom w:val="none" w:sz="0" w:space="0" w:color="auto"/>
        <w:right w:val="none" w:sz="0" w:space="0" w:color="auto"/>
      </w:divBdr>
    </w:div>
    <w:div w:id="1081609407">
      <w:bodyDiv w:val="1"/>
      <w:marLeft w:val="0"/>
      <w:marRight w:val="0"/>
      <w:marTop w:val="0"/>
      <w:marBottom w:val="0"/>
      <w:divBdr>
        <w:top w:val="none" w:sz="0" w:space="0" w:color="auto"/>
        <w:left w:val="none" w:sz="0" w:space="0" w:color="auto"/>
        <w:bottom w:val="none" w:sz="0" w:space="0" w:color="auto"/>
        <w:right w:val="none" w:sz="0" w:space="0" w:color="auto"/>
      </w:divBdr>
    </w:div>
    <w:div w:id="1136945765">
      <w:bodyDiv w:val="1"/>
      <w:marLeft w:val="0"/>
      <w:marRight w:val="0"/>
      <w:marTop w:val="0"/>
      <w:marBottom w:val="0"/>
      <w:divBdr>
        <w:top w:val="none" w:sz="0" w:space="0" w:color="auto"/>
        <w:left w:val="none" w:sz="0" w:space="0" w:color="auto"/>
        <w:bottom w:val="none" w:sz="0" w:space="0" w:color="auto"/>
        <w:right w:val="none" w:sz="0" w:space="0" w:color="auto"/>
      </w:divBdr>
    </w:div>
    <w:div w:id="1192063179">
      <w:bodyDiv w:val="1"/>
      <w:marLeft w:val="0"/>
      <w:marRight w:val="0"/>
      <w:marTop w:val="0"/>
      <w:marBottom w:val="0"/>
      <w:divBdr>
        <w:top w:val="none" w:sz="0" w:space="0" w:color="auto"/>
        <w:left w:val="none" w:sz="0" w:space="0" w:color="auto"/>
        <w:bottom w:val="none" w:sz="0" w:space="0" w:color="auto"/>
        <w:right w:val="none" w:sz="0" w:space="0" w:color="auto"/>
      </w:divBdr>
    </w:div>
    <w:div w:id="1316186456">
      <w:bodyDiv w:val="1"/>
      <w:marLeft w:val="0"/>
      <w:marRight w:val="0"/>
      <w:marTop w:val="0"/>
      <w:marBottom w:val="0"/>
      <w:divBdr>
        <w:top w:val="none" w:sz="0" w:space="0" w:color="auto"/>
        <w:left w:val="none" w:sz="0" w:space="0" w:color="auto"/>
        <w:bottom w:val="none" w:sz="0" w:space="0" w:color="auto"/>
        <w:right w:val="none" w:sz="0" w:space="0" w:color="auto"/>
      </w:divBdr>
    </w:div>
    <w:div w:id="1350378710">
      <w:bodyDiv w:val="1"/>
      <w:marLeft w:val="0"/>
      <w:marRight w:val="0"/>
      <w:marTop w:val="0"/>
      <w:marBottom w:val="0"/>
      <w:divBdr>
        <w:top w:val="none" w:sz="0" w:space="0" w:color="auto"/>
        <w:left w:val="none" w:sz="0" w:space="0" w:color="auto"/>
        <w:bottom w:val="none" w:sz="0" w:space="0" w:color="auto"/>
        <w:right w:val="none" w:sz="0" w:space="0" w:color="auto"/>
      </w:divBdr>
    </w:div>
    <w:div w:id="1379017195">
      <w:bodyDiv w:val="1"/>
      <w:marLeft w:val="0"/>
      <w:marRight w:val="0"/>
      <w:marTop w:val="0"/>
      <w:marBottom w:val="0"/>
      <w:divBdr>
        <w:top w:val="none" w:sz="0" w:space="0" w:color="auto"/>
        <w:left w:val="none" w:sz="0" w:space="0" w:color="auto"/>
        <w:bottom w:val="none" w:sz="0" w:space="0" w:color="auto"/>
        <w:right w:val="none" w:sz="0" w:space="0" w:color="auto"/>
      </w:divBdr>
    </w:div>
    <w:div w:id="1407610103">
      <w:bodyDiv w:val="1"/>
      <w:marLeft w:val="0"/>
      <w:marRight w:val="0"/>
      <w:marTop w:val="0"/>
      <w:marBottom w:val="0"/>
      <w:divBdr>
        <w:top w:val="none" w:sz="0" w:space="0" w:color="auto"/>
        <w:left w:val="none" w:sz="0" w:space="0" w:color="auto"/>
        <w:bottom w:val="none" w:sz="0" w:space="0" w:color="auto"/>
        <w:right w:val="none" w:sz="0" w:space="0" w:color="auto"/>
      </w:divBdr>
    </w:div>
    <w:div w:id="1429812731">
      <w:bodyDiv w:val="1"/>
      <w:marLeft w:val="0"/>
      <w:marRight w:val="0"/>
      <w:marTop w:val="0"/>
      <w:marBottom w:val="0"/>
      <w:divBdr>
        <w:top w:val="none" w:sz="0" w:space="0" w:color="auto"/>
        <w:left w:val="none" w:sz="0" w:space="0" w:color="auto"/>
        <w:bottom w:val="none" w:sz="0" w:space="0" w:color="auto"/>
        <w:right w:val="none" w:sz="0" w:space="0" w:color="auto"/>
      </w:divBdr>
    </w:div>
    <w:div w:id="1439909273">
      <w:bodyDiv w:val="1"/>
      <w:marLeft w:val="0"/>
      <w:marRight w:val="0"/>
      <w:marTop w:val="0"/>
      <w:marBottom w:val="0"/>
      <w:divBdr>
        <w:top w:val="none" w:sz="0" w:space="0" w:color="auto"/>
        <w:left w:val="none" w:sz="0" w:space="0" w:color="auto"/>
        <w:bottom w:val="none" w:sz="0" w:space="0" w:color="auto"/>
        <w:right w:val="none" w:sz="0" w:space="0" w:color="auto"/>
      </w:divBdr>
    </w:div>
    <w:div w:id="1522011915">
      <w:bodyDiv w:val="1"/>
      <w:marLeft w:val="0"/>
      <w:marRight w:val="0"/>
      <w:marTop w:val="0"/>
      <w:marBottom w:val="0"/>
      <w:divBdr>
        <w:top w:val="none" w:sz="0" w:space="0" w:color="auto"/>
        <w:left w:val="none" w:sz="0" w:space="0" w:color="auto"/>
        <w:bottom w:val="none" w:sz="0" w:space="0" w:color="auto"/>
        <w:right w:val="none" w:sz="0" w:space="0" w:color="auto"/>
      </w:divBdr>
    </w:div>
    <w:div w:id="1527254143">
      <w:bodyDiv w:val="1"/>
      <w:marLeft w:val="0"/>
      <w:marRight w:val="0"/>
      <w:marTop w:val="0"/>
      <w:marBottom w:val="0"/>
      <w:divBdr>
        <w:top w:val="none" w:sz="0" w:space="0" w:color="auto"/>
        <w:left w:val="none" w:sz="0" w:space="0" w:color="auto"/>
        <w:bottom w:val="none" w:sz="0" w:space="0" w:color="auto"/>
        <w:right w:val="none" w:sz="0" w:space="0" w:color="auto"/>
      </w:divBdr>
    </w:div>
    <w:div w:id="1549949656">
      <w:bodyDiv w:val="1"/>
      <w:marLeft w:val="0"/>
      <w:marRight w:val="0"/>
      <w:marTop w:val="0"/>
      <w:marBottom w:val="0"/>
      <w:divBdr>
        <w:top w:val="none" w:sz="0" w:space="0" w:color="auto"/>
        <w:left w:val="none" w:sz="0" w:space="0" w:color="auto"/>
        <w:bottom w:val="none" w:sz="0" w:space="0" w:color="auto"/>
        <w:right w:val="none" w:sz="0" w:space="0" w:color="auto"/>
      </w:divBdr>
    </w:div>
    <w:div w:id="1555651797">
      <w:bodyDiv w:val="1"/>
      <w:marLeft w:val="0"/>
      <w:marRight w:val="0"/>
      <w:marTop w:val="0"/>
      <w:marBottom w:val="0"/>
      <w:divBdr>
        <w:top w:val="none" w:sz="0" w:space="0" w:color="auto"/>
        <w:left w:val="none" w:sz="0" w:space="0" w:color="auto"/>
        <w:bottom w:val="none" w:sz="0" w:space="0" w:color="auto"/>
        <w:right w:val="none" w:sz="0" w:space="0" w:color="auto"/>
      </w:divBdr>
    </w:div>
    <w:div w:id="1563445008">
      <w:bodyDiv w:val="1"/>
      <w:marLeft w:val="0"/>
      <w:marRight w:val="0"/>
      <w:marTop w:val="0"/>
      <w:marBottom w:val="0"/>
      <w:divBdr>
        <w:top w:val="none" w:sz="0" w:space="0" w:color="auto"/>
        <w:left w:val="none" w:sz="0" w:space="0" w:color="auto"/>
        <w:bottom w:val="none" w:sz="0" w:space="0" w:color="auto"/>
        <w:right w:val="none" w:sz="0" w:space="0" w:color="auto"/>
      </w:divBdr>
    </w:div>
    <w:div w:id="1596938561">
      <w:bodyDiv w:val="1"/>
      <w:marLeft w:val="0"/>
      <w:marRight w:val="0"/>
      <w:marTop w:val="0"/>
      <w:marBottom w:val="0"/>
      <w:divBdr>
        <w:top w:val="none" w:sz="0" w:space="0" w:color="auto"/>
        <w:left w:val="none" w:sz="0" w:space="0" w:color="auto"/>
        <w:bottom w:val="none" w:sz="0" w:space="0" w:color="auto"/>
        <w:right w:val="none" w:sz="0" w:space="0" w:color="auto"/>
      </w:divBdr>
    </w:div>
    <w:div w:id="1648630441">
      <w:bodyDiv w:val="1"/>
      <w:marLeft w:val="0"/>
      <w:marRight w:val="0"/>
      <w:marTop w:val="0"/>
      <w:marBottom w:val="0"/>
      <w:divBdr>
        <w:top w:val="none" w:sz="0" w:space="0" w:color="auto"/>
        <w:left w:val="none" w:sz="0" w:space="0" w:color="auto"/>
        <w:bottom w:val="none" w:sz="0" w:space="0" w:color="auto"/>
        <w:right w:val="none" w:sz="0" w:space="0" w:color="auto"/>
      </w:divBdr>
    </w:div>
    <w:div w:id="1672371613">
      <w:bodyDiv w:val="1"/>
      <w:marLeft w:val="0"/>
      <w:marRight w:val="0"/>
      <w:marTop w:val="0"/>
      <w:marBottom w:val="0"/>
      <w:divBdr>
        <w:top w:val="none" w:sz="0" w:space="0" w:color="auto"/>
        <w:left w:val="none" w:sz="0" w:space="0" w:color="auto"/>
        <w:bottom w:val="none" w:sz="0" w:space="0" w:color="auto"/>
        <w:right w:val="none" w:sz="0" w:space="0" w:color="auto"/>
      </w:divBdr>
    </w:div>
    <w:div w:id="1682470244">
      <w:bodyDiv w:val="1"/>
      <w:marLeft w:val="0"/>
      <w:marRight w:val="0"/>
      <w:marTop w:val="0"/>
      <w:marBottom w:val="0"/>
      <w:divBdr>
        <w:top w:val="none" w:sz="0" w:space="0" w:color="auto"/>
        <w:left w:val="none" w:sz="0" w:space="0" w:color="auto"/>
        <w:bottom w:val="none" w:sz="0" w:space="0" w:color="auto"/>
        <w:right w:val="none" w:sz="0" w:space="0" w:color="auto"/>
      </w:divBdr>
    </w:div>
    <w:div w:id="1733381885">
      <w:bodyDiv w:val="1"/>
      <w:marLeft w:val="0"/>
      <w:marRight w:val="0"/>
      <w:marTop w:val="0"/>
      <w:marBottom w:val="0"/>
      <w:divBdr>
        <w:top w:val="none" w:sz="0" w:space="0" w:color="auto"/>
        <w:left w:val="none" w:sz="0" w:space="0" w:color="auto"/>
        <w:bottom w:val="none" w:sz="0" w:space="0" w:color="auto"/>
        <w:right w:val="none" w:sz="0" w:space="0" w:color="auto"/>
      </w:divBdr>
    </w:div>
    <w:div w:id="1752700187">
      <w:bodyDiv w:val="1"/>
      <w:marLeft w:val="0"/>
      <w:marRight w:val="0"/>
      <w:marTop w:val="0"/>
      <w:marBottom w:val="0"/>
      <w:divBdr>
        <w:top w:val="none" w:sz="0" w:space="0" w:color="auto"/>
        <w:left w:val="none" w:sz="0" w:space="0" w:color="auto"/>
        <w:bottom w:val="none" w:sz="0" w:space="0" w:color="auto"/>
        <w:right w:val="none" w:sz="0" w:space="0" w:color="auto"/>
      </w:divBdr>
    </w:div>
    <w:div w:id="1764952105">
      <w:bodyDiv w:val="1"/>
      <w:marLeft w:val="0"/>
      <w:marRight w:val="0"/>
      <w:marTop w:val="0"/>
      <w:marBottom w:val="0"/>
      <w:divBdr>
        <w:top w:val="none" w:sz="0" w:space="0" w:color="auto"/>
        <w:left w:val="none" w:sz="0" w:space="0" w:color="auto"/>
        <w:bottom w:val="none" w:sz="0" w:space="0" w:color="auto"/>
        <w:right w:val="none" w:sz="0" w:space="0" w:color="auto"/>
      </w:divBdr>
    </w:div>
    <w:div w:id="1819569820">
      <w:bodyDiv w:val="1"/>
      <w:marLeft w:val="0"/>
      <w:marRight w:val="0"/>
      <w:marTop w:val="0"/>
      <w:marBottom w:val="0"/>
      <w:divBdr>
        <w:top w:val="none" w:sz="0" w:space="0" w:color="auto"/>
        <w:left w:val="none" w:sz="0" w:space="0" w:color="auto"/>
        <w:bottom w:val="none" w:sz="0" w:space="0" w:color="auto"/>
        <w:right w:val="none" w:sz="0" w:space="0" w:color="auto"/>
      </w:divBdr>
    </w:div>
    <w:div w:id="1847086028">
      <w:bodyDiv w:val="1"/>
      <w:marLeft w:val="0"/>
      <w:marRight w:val="0"/>
      <w:marTop w:val="0"/>
      <w:marBottom w:val="0"/>
      <w:divBdr>
        <w:top w:val="none" w:sz="0" w:space="0" w:color="auto"/>
        <w:left w:val="none" w:sz="0" w:space="0" w:color="auto"/>
        <w:bottom w:val="none" w:sz="0" w:space="0" w:color="auto"/>
        <w:right w:val="none" w:sz="0" w:space="0" w:color="auto"/>
      </w:divBdr>
    </w:div>
    <w:div w:id="1907177990">
      <w:bodyDiv w:val="1"/>
      <w:marLeft w:val="0"/>
      <w:marRight w:val="0"/>
      <w:marTop w:val="0"/>
      <w:marBottom w:val="0"/>
      <w:divBdr>
        <w:top w:val="none" w:sz="0" w:space="0" w:color="auto"/>
        <w:left w:val="none" w:sz="0" w:space="0" w:color="auto"/>
        <w:bottom w:val="none" w:sz="0" w:space="0" w:color="auto"/>
        <w:right w:val="none" w:sz="0" w:space="0" w:color="auto"/>
      </w:divBdr>
    </w:div>
    <w:div w:id="1955282939">
      <w:bodyDiv w:val="1"/>
      <w:marLeft w:val="0"/>
      <w:marRight w:val="0"/>
      <w:marTop w:val="0"/>
      <w:marBottom w:val="0"/>
      <w:divBdr>
        <w:top w:val="none" w:sz="0" w:space="0" w:color="auto"/>
        <w:left w:val="none" w:sz="0" w:space="0" w:color="auto"/>
        <w:bottom w:val="none" w:sz="0" w:space="0" w:color="auto"/>
        <w:right w:val="none" w:sz="0" w:space="0" w:color="auto"/>
      </w:divBdr>
    </w:div>
    <w:div w:id="1978416560">
      <w:bodyDiv w:val="1"/>
      <w:marLeft w:val="0"/>
      <w:marRight w:val="0"/>
      <w:marTop w:val="0"/>
      <w:marBottom w:val="0"/>
      <w:divBdr>
        <w:top w:val="none" w:sz="0" w:space="0" w:color="auto"/>
        <w:left w:val="none" w:sz="0" w:space="0" w:color="auto"/>
        <w:bottom w:val="none" w:sz="0" w:space="0" w:color="auto"/>
        <w:right w:val="none" w:sz="0" w:space="0" w:color="auto"/>
      </w:divBdr>
    </w:div>
    <w:div w:id="2078431073">
      <w:bodyDiv w:val="1"/>
      <w:marLeft w:val="0"/>
      <w:marRight w:val="0"/>
      <w:marTop w:val="0"/>
      <w:marBottom w:val="0"/>
      <w:divBdr>
        <w:top w:val="none" w:sz="0" w:space="0" w:color="auto"/>
        <w:left w:val="none" w:sz="0" w:space="0" w:color="auto"/>
        <w:bottom w:val="none" w:sz="0" w:space="0" w:color="auto"/>
        <w:right w:val="none" w:sz="0" w:space="0" w:color="auto"/>
      </w:divBdr>
    </w:div>
    <w:div w:id="21214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742416F-CB95-4D7F-9515-B03A4187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12181</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14006</CharactersWithSpaces>
  <SharedDoc>false</SharedDoc>
  <HyperlinkBase/>
  <HLinks>
    <vt:vector size="258" baseType="variant">
      <vt:variant>
        <vt:i4>1966174</vt:i4>
      </vt:variant>
      <vt:variant>
        <vt:i4>150</vt:i4>
      </vt:variant>
      <vt:variant>
        <vt:i4>0</vt:i4>
      </vt:variant>
      <vt:variant>
        <vt:i4>5</vt:i4>
      </vt:variant>
      <vt:variant>
        <vt:lpwstr>http://www3.lrs.lt/cgi-bin/preps2?a=415755&amp;b=</vt:lpwstr>
      </vt:variant>
      <vt:variant>
        <vt:lpwstr/>
      </vt:variant>
      <vt:variant>
        <vt:i4>2031705</vt:i4>
      </vt:variant>
      <vt:variant>
        <vt:i4>147</vt:i4>
      </vt:variant>
      <vt:variant>
        <vt:i4>0</vt:i4>
      </vt:variant>
      <vt:variant>
        <vt:i4>5</vt:i4>
      </vt:variant>
      <vt:variant>
        <vt:lpwstr>http://www3.lrs.lt/cgi-bin/preps2?a=397378&amp;b=</vt:lpwstr>
      </vt:variant>
      <vt:variant>
        <vt:lpwstr/>
      </vt:variant>
      <vt:variant>
        <vt:i4>2031696</vt:i4>
      </vt:variant>
      <vt:variant>
        <vt:i4>144</vt:i4>
      </vt:variant>
      <vt:variant>
        <vt:i4>0</vt:i4>
      </vt:variant>
      <vt:variant>
        <vt:i4>5</vt:i4>
      </vt:variant>
      <vt:variant>
        <vt:lpwstr>http://www3.lrs.lt/cgi-bin/preps2?a=350394&amp;b=</vt:lpwstr>
      </vt:variant>
      <vt:variant>
        <vt:lpwstr/>
      </vt:variant>
      <vt:variant>
        <vt:i4>1048666</vt:i4>
      </vt:variant>
      <vt:variant>
        <vt:i4>141</vt:i4>
      </vt:variant>
      <vt:variant>
        <vt:i4>0</vt:i4>
      </vt:variant>
      <vt:variant>
        <vt:i4>5</vt:i4>
      </vt:variant>
      <vt:variant>
        <vt:lpwstr>http://www3.lrs.lt/cgi-bin/preps2?a=291531&amp;b=</vt:lpwstr>
      </vt:variant>
      <vt:variant>
        <vt:lpwstr/>
      </vt:variant>
      <vt:variant>
        <vt:i4>2031705</vt:i4>
      </vt:variant>
      <vt:variant>
        <vt:i4>132</vt:i4>
      </vt:variant>
      <vt:variant>
        <vt:i4>0</vt:i4>
      </vt:variant>
      <vt:variant>
        <vt:i4>5</vt:i4>
      </vt:variant>
      <vt:variant>
        <vt:lpwstr>http://www3.lrs.lt/cgi-bin/preps2?a=397378&amp;b=</vt:lpwstr>
      </vt:variant>
      <vt:variant>
        <vt:lpwstr/>
      </vt:variant>
      <vt:variant>
        <vt:i4>1572952</vt:i4>
      </vt:variant>
      <vt:variant>
        <vt:i4>129</vt:i4>
      </vt:variant>
      <vt:variant>
        <vt:i4>0</vt:i4>
      </vt:variant>
      <vt:variant>
        <vt:i4>5</vt:i4>
      </vt:variant>
      <vt:variant>
        <vt:lpwstr>http://www3.lrs.lt/cgi-bin/preps2?a=245859&amp;b=</vt:lpwstr>
      </vt:variant>
      <vt:variant>
        <vt:lpwstr/>
      </vt:variant>
      <vt:variant>
        <vt:i4>2031696</vt:i4>
      </vt:variant>
      <vt:variant>
        <vt:i4>126</vt:i4>
      </vt:variant>
      <vt:variant>
        <vt:i4>0</vt:i4>
      </vt:variant>
      <vt:variant>
        <vt:i4>5</vt:i4>
      </vt:variant>
      <vt:variant>
        <vt:lpwstr>http://www3.lrs.lt/cgi-bin/preps2?a=350394&amp;b=</vt:lpwstr>
      </vt:variant>
      <vt:variant>
        <vt:lpwstr/>
      </vt:variant>
      <vt:variant>
        <vt:i4>2031708</vt:i4>
      </vt:variant>
      <vt:variant>
        <vt:i4>123</vt:i4>
      </vt:variant>
      <vt:variant>
        <vt:i4>0</vt:i4>
      </vt:variant>
      <vt:variant>
        <vt:i4>5</vt:i4>
      </vt:variant>
      <vt:variant>
        <vt:lpwstr>http://www3.lrs.lt/cgi-bin/preps2?a=415774&amp;b=</vt:lpwstr>
      </vt:variant>
      <vt:variant>
        <vt:lpwstr/>
      </vt:variant>
      <vt:variant>
        <vt:i4>2031705</vt:i4>
      </vt:variant>
      <vt:variant>
        <vt:i4>120</vt:i4>
      </vt:variant>
      <vt:variant>
        <vt:i4>0</vt:i4>
      </vt:variant>
      <vt:variant>
        <vt:i4>5</vt:i4>
      </vt:variant>
      <vt:variant>
        <vt:lpwstr>http://www3.lrs.lt/cgi-bin/preps2?a=397378&amp;b=</vt:lpwstr>
      </vt:variant>
      <vt:variant>
        <vt:lpwstr/>
      </vt:variant>
      <vt:variant>
        <vt:i4>2031705</vt:i4>
      </vt:variant>
      <vt:variant>
        <vt:i4>117</vt:i4>
      </vt:variant>
      <vt:variant>
        <vt:i4>0</vt:i4>
      </vt:variant>
      <vt:variant>
        <vt:i4>5</vt:i4>
      </vt:variant>
      <vt:variant>
        <vt:lpwstr>http://www3.lrs.lt/cgi-bin/preps2?a=397378&amp;b=</vt:lpwstr>
      </vt:variant>
      <vt:variant>
        <vt:lpwstr/>
      </vt:variant>
      <vt:variant>
        <vt:i4>2031705</vt:i4>
      </vt:variant>
      <vt:variant>
        <vt:i4>114</vt:i4>
      </vt:variant>
      <vt:variant>
        <vt:i4>0</vt:i4>
      </vt:variant>
      <vt:variant>
        <vt:i4>5</vt:i4>
      </vt:variant>
      <vt:variant>
        <vt:lpwstr>http://www3.lrs.lt/cgi-bin/preps2?a=397378&amp;b=</vt:lpwstr>
      </vt:variant>
      <vt:variant>
        <vt:lpwstr/>
      </vt:variant>
      <vt:variant>
        <vt:i4>1048666</vt:i4>
      </vt:variant>
      <vt:variant>
        <vt:i4>111</vt:i4>
      </vt:variant>
      <vt:variant>
        <vt:i4>0</vt:i4>
      </vt:variant>
      <vt:variant>
        <vt:i4>5</vt:i4>
      </vt:variant>
      <vt:variant>
        <vt:lpwstr>http://www3.lrs.lt/cgi-bin/preps2?a=291531&amp;b=</vt:lpwstr>
      </vt:variant>
      <vt:variant>
        <vt:lpwstr/>
      </vt:variant>
      <vt:variant>
        <vt:i4>2031705</vt:i4>
      </vt:variant>
      <vt:variant>
        <vt:i4>108</vt:i4>
      </vt:variant>
      <vt:variant>
        <vt:i4>0</vt:i4>
      </vt:variant>
      <vt:variant>
        <vt:i4>5</vt:i4>
      </vt:variant>
      <vt:variant>
        <vt:lpwstr>http://www3.lrs.lt/cgi-bin/preps2?a=397378&amp;b=</vt:lpwstr>
      </vt:variant>
      <vt:variant>
        <vt:lpwstr/>
      </vt:variant>
      <vt:variant>
        <vt:i4>2031705</vt:i4>
      </vt:variant>
      <vt:variant>
        <vt:i4>105</vt:i4>
      </vt:variant>
      <vt:variant>
        <vt:i4>0</vt:i4>
      </vt:variant>
      <vt:variant>
        <vt:i4>5</vt:i4>
      </vt:variant>
      <vt:variant>
        <vt:lpwstr>http://www3.lrs.lt/cgi-bin/preps2?a=397378&amp;b=</vt:lpwstr>
      </vt:variant>
      <vt:variant>
        <vt:lpwstr/>
      </vt:variant>
      <vt:variant>
        <vt:i4>2031705</vt:i4>
      </vt:variant>
      <vt:variant>
        <vt:i4>102</vt:i4>
      </vt:variant>
      <vt:variant>
        <vt:i4>0</vt:i4>
      </vt:variant>
      <vt:variant>
        <vt:i4>5</vt:i4>
      </vt:variant>
      <vt:variant>
        <vt:lpwstr>http://www3.lrs.lt/cgi-bin/preps2?a=397378&amp;b=</vt:lpwstr>
      </vt:variant>
      <vt:variant>
        <vt:lpwstr/>
      </vt:variant>
      <vt:variant>
        <vt:i4>2031705</vt:i4>
      </vt:variant>
      <vt:variant>
        <vt:i4>99</vt:i4>
      </vt:variant>
      <vt:variant>
        <vt:i4>0</vt:i4>
      </vt:variant>
      <vt:variant>
        <vt:i4>5</vt:i4>
      </vt:variant>
      <vt:variant>
        <vt:lpwstr>http://www3.lrs.lt/cgi-bin/preps2?a=397378&amp;b=</vt:lpwstr>
      </vt:variant>
      <vt:variant>
        <vt:lpwstr/>
      </vt:variant>
      <vt:variant>
        <vt:i4>2031705</vt:i4>
      </vt:variant>
      <vt:variant>
        <vt:i4>96</vt:i4>
      </vt:variant>
      <vt:variant>
        <vt:i4>0</vt:i4>
      </vt:variant>
      <vt:variant>
        <vt:i4>5</vt:i4>
      </vt:variant>
      <vt:variant>
        <vt:lpwstr>http://www3.lrs.lt/cgi-bin/preps2?a=397378&amp;b=</vt:lpwstr>
      </vt:variant>
      <vt:variant>
        <vt:lpwstr/>
      </vt:variant>
      <vt:variant>
        <vt:i4>2031705</vt:i4>
      </vt:variant>
      <vt:variant>
        <vt:i4>93</vt:i4>
      </vt:variant>
      <vt:variant>
        <vt:i4>0</vt:i4>
      </vt:variant>
      <vt:variant>
        <vt:i4>5</vt:i4>
      </vt:variant>
      <vt:variant>
        <vt:lpwstr>http://www3.lrs.lt/cgi-bin/preps2?a=397378&amp;b=</vt:lpwstr>
      </vt:variant>
      <vt:variant>
        <vt:lpwstr/>
      </vt:variant>
      <vt:variant>
        <vt:i4>2031705</vt:i4>
      </vt:variant>
      <vt:variant>
        <vt:i4>90</vt:i4>
      </vt:variant>
      <vt:variant>
        <vt:i4>0</vt:i4>
      </vt:variant>
      <vt:variant>
        <vt:i4>5</vt:i4>
      </vt:variant>
      <vt:variant>
        <vt:lpwstr>http://www3.lrs.lt/cgi-bin/preps2?a=397378&amp;b=</vt:lpwstr>
      </vt:variant>
      <vt:variant>
        <vt:lpwstr/>
      </vt:variant>
      <vt:variant>
        <vt:i4>2031705</vt:i4>
      </vt:variant>
      <vt:variant>
        <vt:i4>87</vt:i4>
      </vt:variant>
      <vt:variant>
        <vt:i4>0</vt:i4>
      </vt:variant>
      <vt:variant>
        <vt:i4>5</vt:i4>
      </vt:variant>
      <vt:variant>
        <vt:lpwstr>http://www3.lrs.lt/cgi-bin/preps2?a=397378&amp;b=</vt:lpwstr>
      </vt:variant>
      <vt:variant>
        <vt:lpwstr/>
      </vt:variant>
      <vt:variant>
        <vt:i4>1769561</vt:i4>
      </vt:variant>
      <vt:variant>
        <vt:i4>84</vt:i4>
      </vt:variant>
      <vt:variant>
        <vt:i4>0</vt:i4>
      </vt:variant>
      <vt:variant>
        <vt:i4>5</vt:i4>
      </vt:variant>
      <vt:variant>
        <vt:lpwstr>http://www3.lrs.lt/cgi-bin/preps2?a=322622&amp;b=</vt:lpwstr>
      </vt:variant>
      <vt:variant>
        <vt:lpwstr/>
      </vt:variant>
      <vt:variant>
        <vt:i4>2031705</vt:i4>
      </vt:variant>
      <vt:variant>
        <vt:i4>81</vt:i4>
      </vt:variant>
      <vt:variant>
        <vt:i4>0</vt:i4>
      </vt:variant>
      <vt:variant>
        <vt:i4>5</vt:i4>
      </vt:variant>
      <vt:variant>
        <vt:lpwstr>http://www3.lrs.lt/cgi-bin/preps2?a=397378&amp;b=</vt:lpwstr>
      </vt:variant>
      <vt:variant>
        <vt:lpwstr/>
      </vt:variant>
      <vt:variant>
        <vt:i4>1048666</vt:i4>
      </vt:variant>
      <vt:variant>
        <vt:i4>78</vt:i4>
      </vt:variant>
      <vt:variant>
        <vt:i4>0</vt:i4>
      </vt:variant>
      <vt:variant>
        <vt:i4>5</vt:i4>
      </vt:variant>
      <vt:variant>
        <vt:lpwstr>http://www3.lrs.lt/cgi-bin/preps2?a=291531&amp;b=</vt:lpwstr>
      </vt:variant>
      <vt:variant>
        <vt:lpwstr/>
      </vt:variant>
      <vt:variant>
        <vt:i4>2031705</vt:i4>
      </vt:variant>
      <vt:variant>
        <vt:i4>75</vt:i4>
      </vt:variant>
      <vt:variant>
        <vt:i4>0</vt:i4>
      </vt:variant>
      <vt:variant>
        <vt:i4>5</vt:i4>
      </vt:variant>
      <vt:variant>
        <vt:lpwstr>http://www3.lrs.lt/cgi-bin/preps2?a=397378&amp;b=</vt:lpwstr>
      </vt:variant>
      <vt:variant>
        <vt:lpwstr/>
      </vt:variant>
      <vt:variant>
        <vt:i4>2031705</vt:i4>
      </vt:variant>
      <vt:variant>
        <vt:i4>72</vt:i4>
      </vt:variant>
      <vt:variant>
        <vt:i4>0</vt:i4>
      </vt:variant>
      <vt:variant>
        <vt:i4>5</vt:i4>
      </vt:variant>
      <vt:variant>
        <vt:lpwstr>http://www3.lrs.lt/cgi-bin/preps2?a=397378&amp;b=</vt:lpwstr>
      </vt:variant>
      <vt:variant>
        <vt:lpwstr/>
      </vt:variant>
      <vt:variant>
        <vt:i4>2031705</vt:i4>
      </vt:variant>
      <vt:variant>
        <vt:i4>69</vt:i4>
      </vt:variant>
      <vt:variant>
        <vt:i4>0</vt:i4>
      </vt:variant>
      <vt:variant>
        <vt:i4>5</vt:i4>
      </vt:variant>
      <vt:variant>
        <vt:lpwstr>http://www3.lrs.lt/cgi-bin/preps2?a=397378&amp;b=</vt:lpwstr>
      </vt:variant>
      <vt:variant>
        <vt:lpwstr/>
      </vt:variant>
      <vt:variant>
        <vt:i4>2031705</vt:i4>
      </vt:variant>
      <vt:variant>
        <vt:i4>66</vt:i4>
      </vt:variant>
      <vt:variant>
        <vt:i4>0</vt:i4>
      </vt:variant>
      <vt:variant>
        <vt:i4>5</vt:i4>
      </vt:variant>
      <vt:variant>
        <vt:lpwstr>http://www3.lrs.lt/cgi-bin/preps2?a=397378&amp;b=</vt:lpwstr>
      </vt:variant>
      <vt:variant>
        <vt:lpwstr/>
      </vt:variant>
      <vt:variant>
        <vt:i4>2031705</vt:i4>
      </vt:variant>
      <vt:variant>
        <vt:i4>63</vt:i4>
      </vt:variant>
      <vt:variant>
        <vt:i4>0</vt:i4>
      </vt:variant>
      <vt:variant>
        <vt:i4>5</vt:i4>
      </vt:variant>
      <vt:variant>
        <vt:lpwstr>http://www3.lrs.lt/cgi-bin/preps2?a=397378&amp;b=</vt:lpwstr>
      </vt:variant>
      <vt:variant>
        <vt:lpwstr/>
      </vt:variant>
      <vt:variant>
        <vt:i4>1835098</vt:i4>
      </vt:variant>
      <vt:variant>
        <vt:i4>60</vt:i4>
      </vt:variant>
      <vt:variant>
        <vt:i4>0</vt:i4>
      </vt:variant>
      <vt:variant>
        <vt:i4>5</vt:i4>
      </vt:variant>
      <vt:variant>
        <vt:lpwstr>http://www3.lrs.lt/cgi-bin/preps2?a=362017&amp;b=</vt:lpwstr>
      </vt:variant>
      <vt:variant>
        <vt:lpwstr/>
      </vt:variant>
      <vt:variant>
        <vt:i4>2031705</vt:i4>
      </vt:variant>
      <vt:variant>
        <vt:i4>57</vt:i4>
      </vt:variant>
      <vt:variant>
        <vt:i4>0</vt:i4>
      </vt:variant>
      <vt:variant>
        <vt:i4>5</vt:i4>
      </vt:variant>
      <vt:variant>
        <vt:lpwstr>http://www3.lrs.lt/cgi-bin/preps2?a=397378&amp;b=</vt:lpwstr>
      </vt:variant>
      <vt:variant>
        <vt:lpwstr/>
      </vt:variant>
      <vt:variant>
        <vt:i4>1835098</vt:i4>
      </vt:variant>
      <vt:variant>
        <vt:i4>54</vt:i4>
      </vt:variant>
      <vt:variant>
        <vt:i4>0</vt:i4>
      </vt:variant>
      <vt:variant>
        <vt:i4>5</vt:i4>
      </vt:variant>
      <vt:variant>
        <vt:lpwstr>http://www3.lrs.lt/cgi-bin/preps2?a=362017&amp;b=</vt:lpwstr>
      </vt:variant>
      <vt:variant>
        <vt:lpwstr/>
      </vt:variant>
      <vt:variant>
        <vt:i4>2031708</vt:i4>
      </vt:variant>
      <vt:variant>
        <vt:i4>51</vt:i4>
      </vt:variant>
      <vt:variant>
        <vt:i4>0</vt:i4>
      </vt:variant>
      <vt:variant>
        <vt:i4>5</vt:i4>
      </vt:variant>
      <vt:variant>
        <vt:lpwstr>http://www3.lrs.lt/cgi-bin/preps2?a=415774&amp;b=</vt:lpwstr>
      </vt:variant>
      <vt:variant>
        <vt:lpwstr/>
      </vt:variant>
      <vt:variant>
        <vt:i4>1835098</vt:i4>
      </vt:variant>
      <vt:variant>
        <vt:i4>48</vt:i4>
      </vt:variant>
      <vt:variant>
        <vt:i4>0</vt:i4>
      </vt:variant>
      <vt:variant>
        <vt:i4>5</vt:i4>
      </vt:variant>
      <vt:variant>
        <vt:lpwstr>http://www3.lrs.lt/cgi-bin/preps2?a=362017&amp;b=</vt:lpwstr>
      </vt:variant>
      <vt:variant>
        <vt:lpwstr/>
      </vt:variant>
      <vt:variant>
        <vt:i4>1048666</vt:i4>
      </vt:variant>
      <vt:variant>
        <vt:i4>45</vt:i4>
      </vt:variant>
      <vt:variant>
        <vt:i4>0</vt:i4>
      </vt:variant>
      <vt:variant>
        <vt:i4>5</vt:i4>
      </vt:variant>
      <vt:variant>
        <vt:lpwstr>http://www3.lrs.lt/cgi-bin/preps2?a=291531&amp;b=</vt:lpwstr>
      </vt:variant>
      <vt:variant>
        <vt:lpwstr/>
      </vt:variant>
      <vt:variant>
        <vt:i4>1900631</vt:i4>
      </vt:variant>
      <vt:variant>
        <vt:i4>42</vt:i4>
      </vt:variant>
      <vt:variant>
        <vt:i4>0</vt:i4>
      </vt:variant>
      <vt:variant>
        <vt:i4>5</vt:i4>
      </vt:variant>
      <vt:variant>
        <vt:lpwstr>http://www3.lrs.lt/cgi-bin/preps2?a=478710&amp;b=</vt:lpwstr>
      </vt:variant>
      <vt:variant>
        <vt:lpwstr/>
      </vt:variant>
      <vt:variant>
        <vt:i4>1900631</vt:i4>
      </vt:variant>
      <vt:variant>
        <vt:i4>39</vt:i4>
      </vt:variant>
      <vt:variant>
        <vt:i4>0</vt:i4>
      </vt:variant>
      <vt:variant>
        <vt:i4>5</vt:i4>
      </vt:variant>
      <vt:variant>
        <vt:lpwstr>http://www3.lrs.lt/cgi-bin/preps2?a=478710&amp;b=</vt:lpwstr>
      </vt:variant>
      <vt:variant>
        <vt:lpwstr/>
      </vt:variant>
      <vt:variant>
        <vt:i4>2031708</vt:i4>
      </vt:variant>
      <vt:variant>
        <vt:i4>36</vt:i4>
      </vt:variant>
      <vt:variant>
        <vt:i4>0</vt:i4>
      </vt:variant>
      <vt:variant>
        <vt:i4>5</vt:i4>
      </vt:variant>
      <vt:variant>
        <vt:lpwstr>http://www3.lrs.lt/cgi-bin/preps2?a=415774&amp;b=</vt:lpwstr>
      </vt:variant>
      <vt:variant>
        <vt:lpwstr/>
      </vt:variant>
      <vt:variant>
        <vt:i4>1769560</vt:i4>
      </vt:variant>
      <vt:variant>
        <vt:i4>33</vt:i4>
      </vt:variant>
      <vt:variant>
        <vt:i4>0</vt:i4>
      </vt:variant>
      <vt:variant>
        <vt:i4>5</vt:i4>
      </vt:variant>
      <vt:variant>
        <vt:lpwstr>http://www3.lrs.lt/cgi-bin/preps2?a=361202&amp;b=</vt:lpwstr>
      </vt:variant>
      <vt:variant>
        <vt:lpwstr/>
      </vt:variant>
      <vt:variant>
        <vt:i4>1704031</vt:i4>
      </vt:variant>
      <vt:variant>
        <vt:i4>30</vt:i4>
      </vt:variant>
      <vt:variant>
        <vt:i4>0</vt:i4>
      </vt:variant>
      <vt:variant>
        <vt:i4>5</vt:i4>
      </vt:variant>
      <vt:variant>
        <vt:lpwstr>http://www3.lrs.lt/cgi-bin/preps2?a=478696&amp;b=</vt:lpwstr>
      </vt:variant>
      <vt:variant>
        <vt:lpwstr/>
      </vt:variant>
      <vt:variant>
        <vt:i4>2031708</vt:i4>
      </vt:variant>
      <vt:variant>
        <vt:i4>27</vt:i4>
      </vt:variant>
      <vt:variant>
        <vt:i4>0</vt:i4>
      </vt:variant>
      <vt:variant>
        <vt:i4>5</vt:i4>
      </vt:variant>
      <vt:variant>
        <vt:lpwstr>http://www3.lrs.lt/cgi-bin/preps2?a=415774&amp;b=</vt:lpwstr>
      </vt:variant>
      <vt:variant>
        <vt:lpwstr/>
      </vt:variant>
      <vt:variant>
        <vt:i4>1966174</vt:i4>
      </vt:variant>
      <vt:variant>
        <vt:i4>24</vt:i4>
      </vt:variant>
      <vt:variant>
        <vt:i4>0</vt:i4>
      </vt:variant>
      <vt:variant>
        <vt:i4>5</vt:i4>
      </vt:variant>
      <vt:variant>
        <vt:lpwstr>http://www3.lrs.lt/cgi-bin/preps2?a=415755&amp;b=</vt:lpwstr>
      </vt:variant>
      <vt:variant>
        <vt:lpwstr/>
      </vt:variant>
      <vt:variant>
        <vt:i4>1769560</vt:i4>
      </vt:variant>
      <vt:variant>
        <vt:i4>21</vt:i4>
      </vt:variant>
      <vt:variant>
        <vt:i4>0</vt:i4>
      </vt:variant>
      <vt:variant>
        <vt:i4>5</vt:i4>
      </vt:variant>
      <vt:variant>
        <vt:lpwstr>http://www3.lrs.lt/cgi-bin/preps2?a=361202&amp;b=</vt:lpwstr>
      </vt:variant>
      <vt:variant>
        <vt:lpwstr/>
      </vt:variant>
      <vt:variant>
        <vt:i4>1310811</vt:i4>
      </vt:variant>
      <vt:variant>
        <vt:i4>0</vt:i4>
      </vt:variant>
      <vt:variant>
        <vt:i4>0</vt:i4>
      </vt:variant>
      <vt:variant>
        <vt:i4>5</vt:i4>
      </vt:variant>
      <vt:variant>
        <vt:lpwstr>http://www3.lrs.lt/cgi-bin/preps2?a=231822&amp;b=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2021-09-23T11:01:00Z</dcterms:created>
  <dc:creator>Violeta Maniuskiene</dc:creator>
  <cp:lastModifiedBy>Joana Daukševič</cp:lastModifiedBy>
  <cp:lastPrinted>2000-05-25T05:51:00Z</cp:lastPrinted>
  <dcterms:modified xsi:type="dcterms:W3CDTF">2021-09-23T11:01:00Z</dcterms:modified>
  <cp:revision>2</cp:revision>
</cp:coreProperties>
</file>