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620DB" w14:textId="77777777" w:rsidR="00E21D92" w:rsidRDefault="00E21D92" w:rsidP="0004080A">
      <w:pPr>
        <w:tabs>
          <w:tab w:val="left" w:pos="7845"/>
        </w:tabs>
        <w:ind w:firstLine="709"/>
        <w:rPr>
          <w:b/>
          <w:color w:val="000000"/>
          <w:szCs w:val="24"/>
          <w:lang w:eastAsia="lt-LT"/>
        </w:rPr>
      </w:pPr>
      <w:r>
        <w:rPr>
          <w:b/>
          <w:color w:val="000000"/>
          <w:szCs w:val="24"/>
          <w:lang w:eastAsia="lt-LT"/>
        </w:rPr>
        <w:t xml:space="preserve">                                                                                                              </w:t>
      </w:r>
      <w:r w:rsidR="00662233" w:rsidRPr="00662233">
        <w:rPr>
          <w:b/>
          <w:color w:val="000000"/>
          <w:szCs w:val="24"/>
          <w:lang w:eastAsia="lt-LT"/>
        </w:rPr>
        <w:t>Projekt</w:t>
      </w:r>
      <w:r>
        <w:rPr>
          <w:b/>
          <w:color w:val="000000"/>
          <w:szCs w:val="24"/>
          <w:lang w:eastAsia="lt-LT"/>
        </w:rPr>
        <w:t>o</w:t>
      </w:r>
      <w:r>
        <w:rPr>
          <w:b/>
          <w:color w:val="000000"/>
          <w:szCs w:val="24"/>
          <w:lang w:eastAsia="lt-LT"/>
        </w:rPr>
        <w:tab/>
      </w:r>
    </w:p>
    <w:p w14:paraId="42374C72" w14:textId="7FBFE499" w:rsidR="00662233" w:rsidRPr="00662233" w:rsidRDefault="00E21D92" w:rsidP="0004080A">
      <w:pPr>
        <w:ind w:firstLine="709"/>
        <w:rPr>
          <w:b/>
          <w:color w:val="000000"/>
          <w:szCs w:val="24"/>
          <w:lang w:eastAsia="lt-LT"/>
        </w:rPr>
      </w:pPr>
      <w:r>
        <w:rPr>
          <w:b/>
          <w:color w:val="000000"/>
          <w:szCs w:val="24"/>
          <w:lang w:eastAsia="lt-LT"/>
        </w:rPr>
        <w:t xml:space="preserve">                                                                                                              lyginamasis variantas</w:t>
      </w:r>
      <w:r w:rsidR="00662233" w:rsidRPr="00662233">
        <w:rPr>
          <w:b/>
          <w:color w:val="000000"/>
          <w:szCs w:val="24"/>
          <w:lang w:eastAsia="lt-LT"/>
        </w:rPr>
        <w:t xml:space="preserve"> </w:t>
      </w:r>
    </w:p>
    <w:p w14:paraId="5E7C97EA" w14:textId="38454E44" w:rsidR="004538F2" w:rsidRDefault="004538F2">
      <w:pPr>
        <w:jc w:val="center"/>
        <w:rPr>
          <w:b/>
          <w:bCs/>
          <w:caps/>
          <w:color w:val="000000"/>
          <w:szCs w:val="24"/>
          <w:lang w:eastAsia="lt-LT"/>
        </w:rPr>
      </w:pPr>
    </w:p>
    <w:p w14:paraId="55D857B3" w14:textId="77777777" w:rsidR="006F7EB2" w:rsidRDefault="006F7EB2">
      <w:pPr>
        <w:jc w:val="center"/>
        <w:rPr>
          <w:b/>
          <w:bCs/>
          <w:caps/>
          <w:color w:val="000000"/>
          <w:szCs w:val="24"/>
          <w:lang w:eastAsia="lt-LT"/>
        </w:rPr>
      </w:pPr>
    </w:p>
    <w:p w14:paraId="6CDCD86D" w14:textId="77777777" w:rsidR="00E369B0" w:rsidRDefault="000F4555">
      <w:pPr>
        <w:jc w:val="center"/>
        <w:rPr>
          <w:b/>
          <w:bCs/>
          <w:caps/>
          <w:color w:val="000000"/>
          <w:szCs w:val="24"/>
          <w:lang w:eastAsia="lt-LT"/>
        </w:rPr>
      </w:pPr>
      <w:r>
        <w:rPr>
          <w:b/>
          <w:bCs/>
          <w:caps/>
          <w:color w:val="000000"/>
          <w:szCs w:val="24"/>
          <w:lang w:eastAsia="lt-LT"/>
        </w:rPr>
        <w:t>Lietuvos Respublikos Vyriausybė</w:t>
      </w:r>
    </w:p>
    <w:p w14:paraId="6F67C76E" w14:textId="77777777" w:rsidR="00E369B0" w:rsidRDefault="00E369B0">
      <w:pPr>
        <w:jc w:val="center"/>
        <w:rPr>
          <w:b/>
          <w:bCs/>
          <w:caps/>
          <w:color w:val="000000"/>
          <w:szCs w:val="24"/>
          <w:lang w:eastAsia="lt-LT"/>
        </w:rPr>
      </w:pPr>
    </w:p>
    <w:p w14:paraId="7B5AAE49" w14:textId="77777777" w:rsidR="00E369B0" w:rsidRDefault="000F4555">
      <w:pPr>
        <w:jc w:val="center"/>
        <w:rPr>
          <w:b/>
          <w:bCs/>
          <w:caps/>
          <w:color w:val="000000"/>
          <w:szCs w:val="24"/>
          <w:lang w:eastAsia="lt-LT"/>
        </w:rPr>
      </w:pPr>
      <w:r>
        <w:rPr>
          <w:b/>
          <w:bCs/>
          <w:caps/>
          <w:color w:val="000000"/>
          <w:szCs w:val="24"/>
          <w:lang w:eastAsia="lt-LT"/>
        </w:rPr>
        <w:t>nutarimas</w:t>
      </w:r>
    </w:p>
    <w:p w14:paraId="60DD12F0" w14:textId="77777777" w:rsidR="00E369B0" w:rsidRDefault="00662233">
      <w:pPr>
        <w:jc w:val="center"/>
        <w:rPr>
          <w:b/>
          <w:bCs/>
          <w:caps/>
          <w:color w:val="000000"/>
          <w:szCs w:val="24"/>
          <w:lang w:eastAsia="lt-LT"/>
        </w:rPr>
      </w:pPr>
      <w:r>
        <w:rPr>
          <w:b/>
          <w:bCs/>
          <w:caps/>
          <w:color w:val="000000"/>
          <w:szCs w:val="24"/>
          <w:lang w:eastAsia="lt-LT"/>
        </w:rPr>
        <w:t>DĖL LIETUVOS RESPUBLIKOS VYRIAUSYBĖS 2000 M. RUGPJŪČIO 16 D. NUTARIMO NR. 927 „</w:t>
      </w:r>
      <w:r w:rsidR="000F4555">
        <w:rPr>
          <w:b/>
          <w:bCs/>
          <w:caps/>
          <w:color w:val="000000"/>
          <w:szCs w:val="24"/>
          <w:lang w:eastAsia="lt-LT"/>
        </w:rPr>
        <w:t>Dėl VALSTYBĖS PREMIJŲ UŽ PASIEKTUS AUKŠTO MEISTRIŠKUMO SPORTO LAIMĖJIMUS sportininkAMS ir JŲ TRENERIAMS DYDŽIŲ NUSTATYMO IR VALSTYBĖS PREMIJŲ UŽ PASIEKTUS AUKŠTO MEISTRIŠKUMO SPORTO LAIMĖJIMUS sportininkAMS ir JŲ TRENERIAMS SKYRIMO IR MOKĖJIMO TVARKOS APRAŠO PATVIRTINIMO</w:t>
      </w:r>
      <w:r>
        <w:rPr>
          <w:b/>
          <w:bCs/>
          <w:caps/>
          <w:color w:val="000000"/>
          <w:szCs w:val="24"/>
          <w:lang w:eastAsia="lt-LT"/>
        </w:rPr>
        <w:t>“ PAKEITIMO</w:t>
      </w:r>
    </w:p>
    <w:p w14:paraId="1C2C7B19" w14:textId="77777777" w:rsidR="00E369B0" w:rsidRDefault="00E369B0">
      <w:pPr>
        <w:jc w:val="center"/>
        <w:rPr>
          <w:bCs/>
          <w:caps/>
          <w:color w:val="000000"/>
          <w:szCs w:val="24"/>
          <w:lang w:eastAsia="lt-LT"/>
        </w:rPr>
      </w:pPr>
    </w:p>
    <w:p w14:paraId="717B35DC" w14:textId="77777777" w:rsidR="00E369B0" w:rsidRDefault="000F4555">
      <w:pPr>
        <w:jc w:val="center"/>
        <w:rPr>
          <w:bCs/>
          <w:caps/>
          <w:color w:val="000000"/>
          <w:szCs w:val="24"/>
          <w:lang w:eastAsia="lt-LT"/>
        </w:rPr>
      </w:pPr>
      <w:r>
        <w:rPr>
          <w:color w:val="000000"/>
        </w:rPr>
        <w:t>20</w:t>
      </w:r>
      <w:r w:rsidR="00662233">
        <w:rPr>
          <w:color w:val="000000"/>
        </w:rPr>
        <w:t>21</w:t>
      </w:r>
      <w:r>
        <w:rPr>
          <w:color w:val="000000"/>
        </w:rPr>
        <w:t xml:space="preserve"> m. </w:t>
      </w:r>
      <w:r w:rsidR="00662233">
        <w:rPr>
          <w:color w:val="000000"/>
        </w:rPr>
        <w:t xml:space="preserve">                 d. Nr. </w:t>
      </w:r>
    </w:p>
    <w:p w14:paraId="1ECE3993" w14:textId="77777777" w:rsidR="00E369B0" w:rsidRDefault="000F4555">
      <w:pPr>
        <w:jc w:val="center"/>
        <w:rPr>
          <w:bCs/>
          <w:caps/>
          <w:color w:val="000000"/>
          <w:szCs w:val="24"/>
          <w:lang w:eastAsia="lt-LT"/>
        </w:rPr>
      </w:pPr>
      <w:r>
        <w:rPr>
          <w:bCs/>
          <w:color w:val="000000"/>
          <w:szCs w:val="24"/>
          <w:lang w:eastAsia="lt-LT"/>
        </w:rPr>
        <w:t>Vilnius</w:t>
      </w:r>
    </w:p>
    <w:p w14:paraId="68839198" w14:textId="77777777" w:rsidR="00662233" w:rsidRDefault="00662233">
      <w:pPr>
        <w:ind w:firstLine="709"/>
        <w:jc w:val="both"/>
        <w:rPr>
          <w:color w:val="000000"/>
          <w:szCs w:val="24"/>
          <w:lang w:eastAsia="lt-LT"/>
        </w:rPr>
      </w:pPr>
    </w:p>
    <w:p w14:paraId="1A756237" w14:textId="77777777" w:rsidR="004A3AE0" w:rsidRDefault="004A3AE0">
      <w:pPr>
        <w:ind w:firstLine="709"/>
        <w:jc w:val="both"/>
        <w:rPr>
          <w:color w:val="000000"/>
          <w:szCs w:val="24"/>
          <w:lang w:eastAsia="lt-LT"/>
        </w:rPr>
      </w:pPr>
    </w:p>
    <w:p w14:paraId="2445A456" w14:textId="77777777" w:rsidR="00E369B0" w:rsidRDefault="000F4555" w:rsidP="00D766A1">
      <w:pPr>
        <w:spacing w:line="360" w:lineRule="auto"/>
        <w:ind w:firstLine="567"/>
        <w:jc w:val="both"/>
        <w:rPr>
          <w:color w:val="000000"/>
          <w:szCs w:val="24"/>
          <w:lang w:eastAsia="lt-LT"/>
        </w:rPr>
      </w:pPr>
      <w:r>
        <w:rPr>
          <w:color w:val="000000"/>
          <w:szCs w:val="24"/>
          <w:lang w:eastAsia="lt-LT"/>
        </w:rPr>
        <w:t>Lietuvos Respublikos Vyriausybė n</w:t>
      </w:r>
      <w:r w:rsidR="004538F2">
        <w:rPr>
          <w:color w:val="000000"/>
          <w:szCs w:val="24"/>
          <w:lang w:eastAsia="lt-LT"/>
        </w:rPr>
        <w:t xml:space="preserve"> </w:t>
      </w:r>
      <w:r>
        <w:rPr>
          <w:color w:val="000000"/>
          <w:szCs w:val="24"/>
          <w:lang w:eastAsia="lt-LT"/>
        </w:rPr>
        <w:t>u</w:t>
      </w:r>
      <w:r w:rsidR="004538F2">
        <w:rPr>
          <w:color w:val="000000"/>
          <w:szCs w:val="24"/>
          <w:lang w:eastAsia="lt-LT"/>
        </w:rPr>
        <w:t xml:space="preserve"> </w:t>
      </w:r>
      <w:r>
        <w:rPr>
          <w:color w:val="000000"/>
          <w:szCs w:val="24"/>
          <w:lang w:eastAsia="lt-LT"/>
        </w:rPr>
        <w:t>t</w:t>
      </w:r>
      <w:r w:rsidR="004538F2">
        <w:rPr>
          <w:color w:val="000000"/>
          <w:szCs w:val="24"/>
          <w:lang w:eastAsia="lt-LT"/>
        </w:rPr>
        <w:t xml:space="preserve"> </w:t>
      </w:r>
      <w:r>
        <w:rPr>
          <w:color w:val="000000"/>
          <w:szCs w:val="24"/>
          <w:lang w:eastAsia="lt-LT"/>
        </w:rPr>
        <w:t>a</w:t>
      </w:r>
      <w:r w:rsidR="004538F2">
        <w:rPr>
          <w:color w:val="000000"/>
          <w:szCs w:val="24"/>
          <w:lang w:eastAsia="lt-LT"/>
        </w:rPr>
        <w:t xml:space="preserve"> </w:t>
      </w:r>
      <w:r>
        <w:rPr>
          <w:color w:val="000000"/>
          <w:szCs w:val="24"/>
          <w:lang w:eastAsia="lt-LT"/>
        </w:rPr>
        <w:t>r</w:t>
      </w:r>
      <w:r w:rsidR="004538F2">
        <w:rPr>
          <w:color w:val="000000"/>
          <w:szCs w:val="24"/>
          <w:lang w:eastAsia="lt-LT"/>
        </w:rPr>
        <w:t xml:space="preserve"> </w:t>
      </w:r>
      <w:r>
        <w:rPr>
          <w:color w:val="000000"/>
          <w:szCs w:val="24"/>
          <w:lang w:eastAsia="lt-LT"/>
        </w:rPr>
        <w:t>i</w:t>
      </w:r>
      <w:r w:rsidR="004538F2">
        <w:rPr>
          <w:color w:val="000000"/>
          <w:szCs w:val="24"/>
          <w:lang w:eastAsia="lt-LT"/>
        </w:rPr>
        <w:t xml:space="preserve"> </w:t>
      </w:r>
      <w:r>
        <w:rPr>
          <w:color w:val="000000"/>
          <w:szCs w:val="24"/>
          <w:lang w:eastAsia="lt-LT"/>
        </w:rPr>
        <w:t>a</w:t>
      </w:r>
      <w:r w:rsidR="004538F2">
        <w:rPr>
          <w:color w:val="000000"/>
          <w:szCs w:val="24"/>
          <w:lang w:eastAsia="lt-LT"/>
        </w:rPr>
        <w:t xml:space="preserve"> </w:t>
      </w:r>
      <w:r>
        <w:rPr>
          <w:color w:val="000000"/>
          <w:szCs w:val="24"/>
          <w:lang w:eastAsia="lt-LT"/>
        </w:rPr>
        <w:t>:</w:t>
      </w:r>
    </w:p>
    <w:p w14:paraId="1EBE2E3E" w14:textId="21DFCA57" w:rsidR="001F32DC" w:rsidRDefault="00F15AD5" w:rsidP="00D766A1">
      <w:pPr>
        <w:spacing w:line="360" w:lineRule="auto"/>
        <w:ind w:firstLine="567"/>
        <w:jc w:val="both"/>
        <w:rPr>
          <w:color w:val="000000"/>
          <w:szCs w:val="24"/>
          <w:lang w:eastAsia="lt-LT"/>
        </w:rPr>
      </w:pPr>
      <w:r>
        <w:rPr>
          <w:color w:val="000000"/>
          <w:szCs w:val="24"/>
          <w:lang w:eastAsia="lt-LT"/>
        </w:rPr>
        <w:t xml:space="preserve">1. </w:t>
      </w:r>
      <w:r w:rsidR="001F32DC" w:rsidRPr="001F32DC">
        <w:rPr>
          <w:color w:val="000000"/>
          <w:szCs w:val="24"/>
          <w:lang w:eastAsia="lt-LT"/>
        </w:rPr>
        <w:t xml:space="preserve">Pakeisti </w:t>
      </w:r>
      <w:r w:rsidR="001F32DC">
        <w:rPr>
          <w:color w:val="000000"/>
          <w:szCs w:val="24"/>
          <w:lang w:eastAsia="lt-LT"/>
        </w:rPr>
        <w:t xml:space="preserve">Lietuvos Respublikos Vyriausybės </w:t>
      </w:r>
      <w:r w:rsidR="001F32DC">
        <w:rPr>
          <w:color w:val="000000"/>
        </w:rPr>
        <w:t>2000 m. rugpjūčio 16 d. nutarimą Nr. 927</w:t>
      </w:r>
      <w:r w:rsidR="001F32DC" w:rsidRPr="001F32DC">
        <w:rPr>
          <w:color w:val="000000"/>
          <w:szCs w:val="24"/>
          <w:lang w:eastAsia="lt-LT"/>
        </w:rPr>
        <w:t xml:space="preserve"> „Dėl valstybės premijų už pasiektus aukšto meistriškumo sporto </w:t>
      </w:r>
      <w:proofErr w:type="spellStart"/>
      <w:r w:rsidR="001F32DC" w:rsidRPr="001F32DC">
        <w:rPr>
          <w:color w:val="000000"/>
          <w:szCs w:val="24"/>
          <w:lang w:eastAsia="lt-LT"/>
        </w:rPr>
        <w:t>laimėjimus</w:t>
      </w:r>
      <w:proofErr w:type="spellEnd"/>
      <w:r w:rsidR="001F32DC" w:rsidRPr="001F32DC">
        <w:rPr>
          <w:color w:val="000000"/>
          <w:szCs w:val="24"/>
          <w:lang w:eastAsia="lt-LT"/>
        </w:rPr>
        <w:t xml:space="preserve"> sportininkams ir jų treneriams dydžių nustatymo ir Valstybės premijų už pasiektus aukšto meistriškumo sporto </w:t>
      </w:r>
      <w:proofErr w:type="spellStart"/>
      <w:r w:rsidR="001F32DC" w:rsidRPr="001F32DC">
        <w:rPr>
          <w:color w:val="000000"/>
          <w:szCs w:val="24"/>
          <w:lang w:eastAsia="lt-LT"/>
        </w:rPr>
        <w:t>laimėjimus</w:t>
      </w:r>
      <w:proofErr w:type="spellEnd"/>
      <w:r w:rsidR="001F32DC" w:rsidRPr="001F32DC">
        <w:rPr>
          <w:color w:val="000000"/>
          <w:szCs w:val="24"/>
          <w:lang w:eastAsia="lt-LT"/>
        </w:rPr>
        <w:t xml:space="preserve"> sportininkams ir jų treneriams skyrimo ir mokėjimo tvarkos aprašo </w:t>
      </w:r>
      <w:r w:rsidR="001F32DC" w:rsidRPr="00D1783C">
        <w:rPr>
          <w:color w:val="000000"/>
          <w:szCs w:val="24"/>
          <w:lang w:eastAsia="lt-LT"/>
        </w:rPr>
        <w:t>patvirtinimo“:</w:t>
      </w:r>
    </w:p>
    <w:p w14:paraId="0100C071" w14:textId="7ED70604" w:rsidR="004538F2" w:rsidRDefault="00F15AD5" w:rsidP="00D766A1">
      <w:pPr>
        <w:spacing w:line="360" w:lineRule="auto"/>
        <w:ind w:firstLine="567"/>
        <w:jc w:val="both"/>
        <w:rPr>
          <w:color w:val="000000"/>
          <w:szCs w:val="24"/>
          <w:lang w:eastAsia="lt-LT"/>
        </w:rPr>
      </w:pPr>
      <w:r>
        <w:rPr>
          <w:color w:val="000000"/>
          <w:szCs w:val="24"/>
          <w:lang w:eastAsia="lt-LT"/>
        </w:rPr>
        <w:t>1.</w:t>
      </w:r>
      <w:r w:rsidR="001F32DC">
        <w:rPr>
          <w:color w:val="000000"/>
          <w:szCs w:val="24"/>
          <w:lang w:eastAsia="lt-LT"/>
        </w:rPr>
        <w:t>1.</w:t>
      </w:r>
      <w:r w:rsidR="006D4BFA">
        <w:rPr>
          <w:color w:val="000000"/>
          <w:szCs w:val="24"/>
          <w:lang w:eastAsia="lt-LT"/>
        </w:rPr>
        <w:t xml:space="preserve"> </w:t>
      </w:r>
      <w:r w:rsidR="001F32DC">
        <w:rPr>
          <w:color w:val="000000"/>
          <w:szCs w:val="24"/>
          <w:lang w:eastAsia="lt-LT"/>
        </w:rPr>
        <w:t>Pakeisti 2</w:t>
      </w:r>
      <w:r w:rsidR="004538F2">
        <w:rPr>
          <w:color w:val="000000"/>
          <w:szCs w:val="24"/>
          <w:lang w:eastAsia="lt-LT"/>
        </w:rPr>
        <w:t xml:space="preserve"> </w:t>
      </w:r>
      <w:r w:rsidR="001F32DC">
        <w:rPr>
          <w:color w:val="000000"/>
          <w:szCs w:val="24"/>
          <w:lang w:eastAsia="lt-LT"/>
        </w:rPr>
        <w:t>punktą ir jį išdėstyti taip</w:t>
      </w:r>
      <w:r w:rsidR="004538F2">
        <w:rPr>
          <w:color w:val="000000"/>
          <w:szCs w:val="24"/>
          <w:lang w:eastAsia="lt-LT"/>
        </w:rPr>
        <w:t>:</w:t>
      </w:r>
    </w:p>
    <w:p w14:paraId="14E36035" w14:textId="77777777" w:rsidR="00E369B0" w:rsidRPr="004538F2" w:rsidRDefault="004538F2" w:rsidP="00D766A1">
      <w:pPr>
        <w:spacing w:line="360" w:lineRule="auto"/>
        <w:ind w:firstLine="567"/>
        <w:jc w:val="both"/>
        <w:rPr>
          <w:strike/>
          <w:color w:val="000000"/>
          <w:szCs w:val="24"/>
          <w:lang w:eastAsia="lt-LT"/>
        </w:rPr>
      </w:pPr>
      <w:r>
        <w:rPr>
          <w:color w:val="000000"/>
          <w:szCs w:val="24"/>
          <w:lang w:eastAsia="lt-LT"/>
        </w:rPr>
        <w:t>„</w:t>
      </w:r>
      <w:r w:rsidR="000F4555" w:rsidRPr="001F32DC">
        <w:rPr>
          <w:color w:val="000000"/>
          <w:szCs w:val="24"/>
          <w:lang w:eastAsia="lt-LT"/>
        </w:rPr>
        <w:t xml:space="preserve">2. </w:t>
      </w:r>
      <w:r w:rsidR="000F4555" w:rsidRPr="003E7CC2">
        <w:rPr>
          <w:color w:val="000000"/>
          <w:szCs w:val="24"/>
          <w:lang w:eastAsia="lt-LT"/>
        </w:rPr>
        <w:t>Įgalioti</w:t>
      </w:r>
      <w:r w:rsidR="000F4555" w:rsidRPr="003E7CC2">
        <w:rPr>
          <w:strike/>
          <w:color w:val="000000"/>
          <w:szCs w:val="24"/>
          <w:lang w:eastAsia="lt-LT"/>
        </w:rPr>
        <w:t>:</w:t>
      </w:r>
    </w:p>
    <w:p w14:paraId="71EE8AB9" w14:textId="77777777" w:rsidR="00E369B0" w:rsidRPr="004538F2" w:rsidRDefault="000F4555" w:rsidP="00D766A1">
      <w:pPr>
        <w:spacing w:line="360" w:lineRule="auto"/>
        <w:ind w:firstLine="567"/>
        <w:jc w:val="both"/>
        <w:rPr>
          <w:strike/>
          <w:color w:val="000000"/>
          <w:szCs w:val="24"/>
          <w:lang w:eastAsia="lt-LT"/>
        </w:rPr>
      </w:pPr>
      <w:r w:rsidRPr="004538F2">
        <w:rPr>
          <w:strike/>
          <w:color w:val="000000"/>
          <w:szCs w:val="24"/>
          <w:lang w:eastAsia="lt-LT"/>
        </w:rPr>
        <w:t xml:space="preserve">2.1. Iki 2019 m. rugsėjo 30 d. Kūno kultūros ir sporto departamentą prie Lietuvos Respublikos Vyriausybės atlikti šiuo nutarimu patvirtintame Valstybės premijų už pasiektus aukšto meistriškumo sporto </w:t>
      </w:r>
      <w:proofErr w:type="spellStart"/>
      <w:r w:rsidRPr="004538F2">
        <w:rPr>
          <w:strike/>
          <w:color w:val="000000"/>
          <w:szCs w:val="24"/>
          <w:lang w:eastAsia="lt-LT"/>
        </w:rPr>
        <w:t>laimėjimus</w:t>
      </w:r>
      <w:proofErr w:type="spellEnd"/>
      <w:r w:rsidRPr="004538F2">
        <w:rPr>
          <w:strike/>
          <w:color w:val="000000"/>
          <w:szCs w:val="24"/>
          <w:lang w:eastAsia="lt-LT"/>
        </w:rPr>
        <w:t xml:space="preserve"> sportininkams ir jų treneriams skyrimo ir mokėjimo tvarkos apraše numatytas Lietuvos Respublikos Vyriausybės įgaliotos institucijos funkcijas ir veiksmus.</w:t>
      </w:r>
    </w:p>
    <w:p w14:paraId="674CCCC2" w14:textId="77777777" w:rsidR="00E369B0" w:rsidRPr="001F32DC" w:rsidRDefault="000F4555" w:rsidP="00D766A1">
      <w:pPr>
        <w:spacing w:line="360" w:lineRule="auto"/>
        <w:ind w:firstLine="567"/>
        <w:jc w:val="both"/>
        <w:rPr>
          <w:color w:val="000000"/>
          <w:szCs w:val="24"/>
          <w:lang w:eastAsia="lt-LT"/>
        </w:rPr>
      </w:pPr>
      <w:r w:rsidRPr="001F32DC">
        <w:rPr>
          <w:strike/>
          <w:color w:val="000000"/>
          <w:szCs w:val="24"/>
          <w:lang w:eastAsia="lt-LT"/>
        </w:rPr>
        <w:t>2.</w:t>
      </w:r>
      <w:r w:rsidRPr="00D677D7">
        <w:rPr>
          <w:strike/>
          <w:color w:val="000000"/>
          <w:szCs w:val="24"/>
          <w:lang w:eastAsia="lt-LT"/>
        </w:rPr>
        <w:t>2. Nuo 2019 m. spalio 1 d.</w:t>
      </w:r>
      <w:r w:rsidRPr="001F32DC">
        <w:rPr>
          <w:color w:val="000000"/>
          <w:szCs w:val="24"/>
          <w:lang w:eastAsia="lt-LT"/>
        </w:rPr>
        <w:t xml:space="preserve"> Lietuvos Respublikos švietimo, mokslo ir sporto ministeriją atlikti šiuo nutarimu patvirtintame Valstybės premijų už pasiektus aukšto meistriškumo sporto </w:t>
      </w:r>
      <w:proofErr w:type="spellStart"/>
      <w:r w:rsidRPr="001F32DC">
        <w:rPr>
          <w:color w:val="000000"/>
          <w:szCs w:val="24"/>
          <w:lang w:eastAsia="lt-LT"/>
        </w:rPr>
        <w:t>laimėjimus</w:t>
      </w:r>
      <w:proofErr w:type="spellEnd"/>
      <w:r w:rsidRPr="001F32DC">
        <w:rPr>
          <w:color w:val="000000"/>
          <w:szCs w:val="24"/>
          <w:lang w:eastAsia="lt-LT"/>
        </w:rPr>
        <w:t xml:space="preserve"> sportininkams ir jų treneriams skyrimo ir mokėjimo tvarkos apraše numatytas Lietuvos Respublikos Vyriausybės įgaliotos institucijos funkcijas ir veiksmus.</w:t>
      </w:r>
      <w:r w:rsidR="004538F2" w:rsidRPr="001F32DC">
        <w:rPr>
          <w:color w:val="000000"/>
          <w:szCs w:val="24"/>
          <w:lang w:eastAsia="lt-LT"/>
        </w:rPr>
        <w:t>“</w:t>
      </w:r>
    </w:p>
    <w:p w14:paraId="08582624" w14:textId="409EB15A" w:rsidR="004538F2" w:rsidRDefault="00F15AD5" w:rsidP="00D766A1">
      <w:pPr>
        <w:spacing w:line="360" w:lineRule="auto"/>
        <w:ind w:firstLine="567"/>
        <w:jc w:val="both"/>
        <w:rPr>
          <w:color w:val="000000"/>
          <w:szCs w:val="24"/>
          <w:lang w:eastAsia="lt-LT"/>
        </w:rPr>
      </w:pPr>
      <w:r>
        <w:rPr>
          <w:color w:val="000000"/>
          <w:szCs w:val="24"/>
          <w:lang w:eastAsia="lt-LT"/>
        </w:rPr>
        <w:t>1.</w:t>
      </w:r>
      <w:r w:rsidR="00D677D7">
        <w:rPr>
          <w:color w:val="000000"/>
          <w:szCs w:val="24"/>
          <w:lang w:eastAsia="lt-LT"/>
        </w:rPr>
        <w:t xml:space="preserve">2. </w:t>
      </w:r>
      <w:r w:rsidR="004538F2">
        <w:rPr>
          <w:color w:val="000000"/>
          <w:szCs w:val="24"/>
          <w:lang w:eastAsia="lt-LT"/>
        </w:rPr>
        <w:t>Pakeisti 3 punktą</w:t>
      </w:r>
      <w:r w:rsidR="00D677D7">
        <w:rPr>
          <w:color w:val="000000"/>
          <w:szCs w:val="24"/>
          <w:lang w:eastAsia="lt-LT"/>
        </w:rPr>
        <w:t xml:space="preserve"> ir jį išdėstyti taip</w:t>
      </w:r>
      <w:r w:rsidR="004538F2">
        <w:rPr>
          <w:color w:val="000000"/>
          <w:szCs w:val="24"/>
          <w:lang w:eastAsia="lt-LT"/>
        </w:rPr>
        <w:t>:</w:t>
      </w:r>
    </w:p>
    <w:p w14:paraId="38BBE9A0" w14:textId="77777777" w:rsidR="00E369B0" w:rsidRPr="00FF5647" w:rsidRDefault="004538F2" w:rsidP="00D766A1">
      <w:pPr>
        <w:spacing w:line="360" w:lineRule="auto"/>
        <w:ind w:firstLine="567"/>
        <w:jc w:val="both"/>
        <w:rPr>
          <w:color w:val="000000"/>
          <w:szCs w:val="24"/>
          <w:lang w:eastAsia="lt-LT"/>
        </w:rPr>
      </w:pPr>
      <w:r>
        <w:rPr>
          <w:color w:val="000000"/>
          <w:szCs w:val="24"/>
          <w:lang w:eastAsia="lt-LT"/>
        </w:rPr>
        <w:t>„</w:t>
      </w:r>
      <w:r w:rsidR="000F4555">
        <w:rPr>
          <w:color w:val="000000"/>
          <w:szCs w:val="24"/>
          <w:lang w:eastAsia="lt-LT"/>
        </w:rPr>
        <w:t>3. Nustatyti</w:t>
      </w:r>
      <w:r w:rsidR="000F4555" w:rsidRPr="0004080A">
        <w:rPr>
          <w:color w:val="000000"/>
          <w:szCs w:val="24"/>
          <w:lang w:eastAsia="lt-LT"/>
        </w:rPr>
        <w:t>, kad:</w:t>
      </w:r>
      <w:r w:rsidRPr="00FF5647">
        <w:rPr>
          <w:color w:val="000000"/>
          <w:szCs w:val="24"/>
          <w:lang w:eastAsia="lt-LT"/>
        </w:rPr>
        <w:t xml:space="preserve"> </w:t>
      </w:r>
    </w:p>
    <w:p w14:paraId="1BFE81F5" w14:textId="77777777" w:rsidR="00E369B0" w:rsidRPr="00F11AA7" w:rsidRDefault="000F4555" w:rsidP="00F11AA7">
      <w:pPr>
        <w:spacing w:line="360" w:lineRule="auto"/>
        <w:ind w:firstLine="567"/>
        <w:jc w:val="both"/>
        <w:rPr>
          <w:color w:val="000000"/>
          <w:szCs w:val="24"/>
          <w:lang w:eastAsia="lt-LT"/>
        </w:rPr>
      </w:pPr>
      <w:r w:rsidRPr="00D677D7">
        <w:rPr>
          <w:color w:val="000000"/>
          <w:szCs w:val="24"/>
          <w:lang w:eastAsia="lt-LT"/>
        </w:rPr>
        <w:t xml:space="preserve">3.1. </w:t>
      </w:r>
      <w:r w:rsidRPr="004A3AE0">
        <w:rPr>
          <w:color w:val="000000"/>
          <w:szCs w:val="24"/>
          <w:lang w:eastAsia="lt-LT"/>
        </w:rPr>
        <w:t xml:space="preserve">Lėšos šio nutarimo 1.1 papunktyje nurodytoms reikmėms </w:t>
      </w:r>
      <w:r w:rsidRPr="004538F2">
        <w:rPr>
          <w:strike/>
          <w:color w:val="000000"/>
          <w:szCs w:val="24"/>
          <w:lang w:eastAsia="lt-LT"/>
        </w:rPr>
        <w:t xml:space="preserve">iki 2019 m. rugsėjo 30 d. </w:t>
      </w:r>
      <w:r w:rsidRPr="004A3AE0">
        <w:rPr>
          <w:color w:val="000000"/>
          <w:szCs w:val="24"/>
          <w:lang w:eastAsia="lt-LT"/>
        </w:rPr>
        <w:t xml:space="preserve">skiriamos iš Lietuvos Respublikos valstybės biudžeto bendrųjų asignavimų, skirtų </w:t>
      </w:r>
      <w:r w:rsidRPr="004538F2">
        <w:rPr>
          <w:strike/>
          <w:color w:val="000000"/>
          <w:szCs w:val="24"/>
          <w:lang w:eastAsia="lt-LT"/>
        </w:rPr>
        <w:t xml:space="preserve">Kūno kultūros ir sporto departamentui prie Lietuvos Respublikos Vyriausybės, nuo 2019 m. spalio 1 d. – skirtų </w:t>
      </w:r>
      <w:r w:rsidRPr="004A3AE0">
        <w:rPr>
          <w:color w:val="000000"/>
          <w:szCs w:val="24"/>
          <w:lang w:eastAsia="lt-LT"/>
        </w:rPr>
        <w:t>Lietuvos Respublikos švietimo, mokslo ir sporto ministerijai.</w:t>
      </w:r>
      <w:r w:rsidR="00BB6CDC" w:rsidRPr="004A3AE0">
        <w:rPr>
          <w:color w:val="000000"/>
          <w:szCs w:val="24"/>
          <w:lang w:eastAsia="lt-LT"/>
        </w:rPr>
        <w:t xml:space="preserve"> </w:t>
      </w:r>
    </w:p>
    <w:p w14:paraId="4E7871BE" w14:textId="1C32D44C" w:rsidR="00B1399F" w:rsidRPr="003674C3" w:rsidRDefault="000F4555" w:rsidP="003674C3">
      <w:pPr>
        <w:spacing w:line="360" w:lineRule="auto"/>
        <w:ind w:firstLine="567"/>
        <w:jc w:val="both"/>
        <w:rPr>
          <w:color w:val="000000"/>
          <w:szCs w:val="24"/>
          <w:lang w:eastAsia="lt-LT"/>
        </w:rPr>
      </w:pPr>
      <w:r w:rsidRPr="00BB6CDC">
        <w:rPr>
          <w:color w:val="000000"/>
          <w:szCs w:val="24"/>
          <w:lang w:eastAsia="lt-LT"/>
        </w:rPr>
        <w:lastRenderedPageBreak/>
        <w:t>3.2. Jeigu</w:t>
      </w:r>
      <w:r>
        <w:rPr>
          <w:color w:val="000000"/>
          <w:szCs w:val="24"/>
          <w:lang w:eastAsia="lt-LT"/>
        </w:rPr>
        <w:t xml:space="preserve"> atstovaujamos sporto šakos tarptautinė federacija (išskyrus specialiosios olimpiados judėjimą) nėra pripažinusi Pasaulinio </w:t>
      </w:r>
      <w:proofErr w:type="spellStart"/>
      <w:r>
        <w:rPr>
          <w:color w:val="000000"/>
          <w:szCs w:val="24"/>
          <w:lang w:eastAsia="lt-LT"/>
        </w:rPr>
        <w:t>antidopingo</w:t>
      </w:r>
      <w:proofErr w:type="spellEnd"/>
      <w:r>
        <w:rPr>
          <w:color w:val="000000"/>
          <w:szCs w:val="24"/>
          <w:lang w:eastAsia="lt-LT"/>
        </w:rPr>
        <w:t xml:space="preserve"> kodekso, šios sporto šakos sportininkams ir jų treneriams negali būti skiriamos valstybės premijos.</w:t>
      </w:r>
      <w:r w:rsidR="00F15AD5" w:rsidRPr="00196A8B">
        <w:rPr>
          <w:color w:val="000000"/>
        </w:rPr>
        <w:t>“</w:t>
      </w:r>
      <w:r w:rsidR="006B3439">
        <w:rPr>
          <w:b/>
          <w:color w:val="000000"/>
        </w:rPr>
        <w:t xml:space="preserve"> </w:t>
      </w:r>
    </w:p>
    <w:p w14:paraId="75FE3AA7" w14:textId="19AC8409" w:rsidR="003674C3" w:rsidRDefault="00D1783C" w:rsidP="006B3439">
      <w:pPr>
        <w:spacing w:line="360" w:lineRule="auto"/>
        <w:ind w:firstLine="567"/>
        <w:jc w:val="both"/>
        <w:rPr>
          <w:color w:val="000000"/>
        </w:rPr>
      </w:pPr>
      <w:r w:rsidRPr="00D1783C">
        <w:rPr>
          <w:color w:val="000000"/>
        </w:rPr>
        <w:t>1.3. P</w:t>
      </w:r>
      <w:r w:rsidR="003674C3" w:rsidRPr="003674C3">
        <w:rPr>
          <w:color w:val="000000"/>
        </w:rPr>
        <w:t>akeisti nurodytu nutarimu patvirti</w:t>
      </w:r>
      <w:r w:rsidR="003674C3">
        <w:rPr>
          <w:color w:val="000000"/>
        </w:rPr>
        <w:t>ntus</w:t>
      </w:r>
      <w:r w:rsidR="003674C3">
        <w:rPr>
          <w:b/>
          <w:color w:val="000000"/>
        </w:rPr>
        <w:t xml:space="preserve"> </w:t>
      </w:r>
      <w:r w:rsidR="003674C3">
        <w:rPr>
          <w:color w:val="000000"/>
        </w:rPr>
        <w:t xml:space="preserve">Valstybės premijų už pasiektus aukšto meistriškumo sporto </w:t>
      </w:r>
      <w:proofErr w:type="spellStart"/>
      <w:r w:rsidR="003674C3">
        <w:rPr>
          <w:color w:val="000000"/>
        </w:rPr>
        <w:t>laimėjimus</w:t>
      </w:r>
      <w:proofErr w:type="spellEnd"/>
      <w:r w:rsidR="003674C3">
        <w:rPr>
          <w:color w:val="000000"/>
        </w:rPr>
        <w:t xml:space="preserve"> sportininkams ir jų treneriams dydžius:</w:t>
      </w:r>
    </w:p>
    <w:p w14:paraId="69609E73" w14:textId="2B8B95D3" w:rsidR="003674C3" w:rsidRDefault="00D1783C" w:rsidP="006B3439">
      <w:pPr>
        <w:spacing w:line="360" w:lineRule="auto"/>
        <w:ind w:firstLine="567"/>
        <w:jc w:val="both"/>
        <w:rPr>
          <w:b/>
          <w:color w:val="000000"/>
        </w:rPr>
      </w:pPr>
      <w:r>
        <w:rPr>
          <w:color w:val="000000"/>
        </w:rPr>
        <w:t xml:space="preserve">1.3.1. </w:t>
      </w:r>
      <w:r w:rsidR="003674C3">
        <w:rPr>
          <w:color w:val="000000"/>
        </w:rPr>
        <w:t>Pakeisti 2.3 papunktį ir jį išdėstyti taip:</w:t>
      </w:r>
    </w:p>
    <w:tbl>
      <w:tblPr>
        <w:tblW w:w="974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8"/>
        <w:gridCol w:w="2260"/>
        <w:gridCol w:w="817"/>
        <w:gridCol w:w="822"/>
        <w:gridCol w:w="832"/>
        <w:gridCol w:w="989"/>
        <w:gridCol w:w="894"/>
        <w:gridCol w:w="723"/>
        <w:gridCol w:w="1000"/>
        <w:gridCol w:w="934"/>
      </w:tblGrid>
      <w:tr w:rsidR="003674C3" w:rsidRPr="003674C3" w14:paraId="76F3BE10" w14:textId="77777777" w:rsidTr="003674C3">
        <w:trPr>
          <w:trHeight w:val="23"/>
        </w:trPr>
        <w:tc>
          <w:tcPr>
            <w:tcW w:w="478" w:type="dxa"/>
            <w:hideMark/>
          </w:tcPr>
          <w:p w14:paraId="377A5092" w14:textId="0105EFD6" w:rsidR="003674C3" w:rsidRPr="003674C3" w:rsidRDefault="003674C3" w:rsidP="003674C3">
            <w:pPr>
              <w:jc w:val="center"/>
              <w:rPr>
                <w:szCs w:val="24"/>
                <w:lang w:eastAsia="lt-LT"/>
              </w:rPr>
            </w:pPr>
            <w:r>
              <w:rPr>
                <w:szCs w:val="24"/>
                <w:lang w:eastAsia="lt-LT"/>
              </w:rPr>
              <w:t>„</w:t>
            </w:r>
            <w:r w:rsidRPr="003674C3">
              <w:rPr>
                <w:szCs w:val="24"/>
                <w:lang w:eastAsia="lt-LT"/>
              </w:rPr>
              <w:t>2.3.</w:t>
            </w:r>
          </w:p>
        </w:tc>
        <w:tc>
          <w:tcPr>
            <w:tcW w:w="2260" w:type="dxa"/>
            <w:tcMar>
              <w:top w:w="28" w:type="dxa"/>
              <w:left w:w="57" w:type="dxa"/>
              <w:bottom w:w="28" w:type="dxa"/>
              <w:right w:w="57" w:type="dxa"/>
            </w:tcMar>
            <w:hideMark/>
          </w:tcPr>
          <w:p w14:paraId="6A71C1A9" w14:textId="77777777" w:rsidR="003674C3" w:rsidRPr="003674C3" w:rsidRDefault="003674C3" w:rsidP="003674C3">
            <w:pPr>
              <w:rPr>
                <w:szCs w:val="24"/>
                <w:lang w:eastAsia="lt-LT"/>
              </w:rPr>
            </w:pPr>
            <w:proofErr w:type="spellStart"/>
            <w:r w:rsidRPr="003674C3">
              <w:rPr>
                <w:szCs w:val="24"/>
                <w:lang w:eastAsia="lt-LT"/>
              </w:rPr>
              <w:t>Paralimpinės</w:t>
            </w:r>
            <w:proofErr w:type="spellEnd"/>
            <w:r w:rsidRPr="003674C3">
              <w:rPr>
                <w:strike/>
                <w:szCs w:val="24"/>
                <w:lang w:eastAsia="lt-LT"/>
              </w:rPr>
              <w:t>, kurčiųjų</w:t>
            </w:r>
            <w:r w:rsidRPr="003674C3">
              <w:rPr>
                <w:szCs w:val="24"/>
                <w:lang w:eastAsia="lt-LT"/>
              </w:rPr>
              <w:t xml:space="preserve"> žaidynės</w:t>
            </w:r>
          </w:p>
        </w:tc>
        <w:tc>
          <w:tcPr>
            <w:tcW w:w="817" w:type="dxa"/>
            <w:tcMar>
              <w:top w:w="28" w:type="dxa"/>
              <w:left w:w="57" w:type="dxa"/>
              <w:bottom w:w="28" w:type="dxa"/>
              <w:right w:w="57" w:type="dxa"/>
            </w:tcMar>
            <w:hideMark/>
          </w:tcPr>
          <w:p w14:paraId="5884F77C" w14:textId="77777777" w:rsidR="003674C3" w:rsidRPr="003674C3" w:rsidRDefault="003674C3" w:rsidP="003674C3">
            <w:pPr>
              <w:jc w:val="center"/>
              <w:rPr>
                <w:strike/>
                <w:szCs w:val="24"/>
                <w:lang w:eastAsia="lt-LT"/>
              </w:rPr>
            </w:pPr>
            <w:r w:rsidRPr="003674C3">
              <w:rPr>
                <w:strike/>
                <w:szCs w:val="24"/>
                <w:lang w:eastAsia="lt-LT"/>
              </w:rPr>
              <w:t>458</w:t>
            </w:r>
          </w:p>
          <w:p w14:paraId="291F5B52" w14:textId="32284950" w:rsidR="003674C3" w:rsidRPr="003674C3" w:rsidRDefault="003674C3" w:rsidP="003674C3">
            <w:pPr>
              <w:jc w:val="center"/>
              <w:rPr>
                <w:b/>
                <w:szCs w:val="24"/>
                <w:lang w:eastAsia="lt-LT"/>
              </w:rPr>
            </w:pPr>
            <w:r w:rsidRPr="003674C3">
              <w:rPr>
                <w:b/>
                <w:szCs w:val="24"/>
                <w:lang w:eastAsia="lt-LT"/>
              </w:rPr>
              <w:t>916</w:t>
            </w:r>
          </w:p>
        </w:tc>
        <w:tc>
          <w:tcPr>
            <w:tcW w:w="822" w:type="dxa"/>
            <w:tcMar>
              <w:top w:w="28" w:type="dxa"/>
              <w:left w:w="57" w:type="dxa"/>
              <w:bottom w:w="28" w:type="dxa"/>
              <w:right w:w="57" w:type="dxa"/>
            </w:tcMar>
            <w:hideMark/>
          </w:tcPr>
          <w:p w14:paraId="349E84DB" w14:textId="77777777" w:rsidR="003674C3" w:rsidRPr="003674C3" w:rsidRDefault="003674C3" w:rsidP="003674C3">
            <w:pPr>
              <w:jc w:val="center"/>
              <w:rPr>
                <w:strike/>
                <w:szCs w:val="24"/>
                <w:lang w:eastAsia="lt-LT"/>
              </w:rPr>
            </w:pPr>
            <w:r w:rsidRPr="003674C3">
              <w:rPr>
                <w:strike/>
                <w:szCs w:val="24"/>
                <w:lang w:eastAsia="lt-LT"/>
              </w:rPr>
              <w:t>229</w:t>
            </w:r>
          </w:p>
          <w:p w14:paraId="32FF13FC" w14:textId="7957589A" w:rsidR="003674C3" w:rsidRPr="003674C3" w:rsidRDefault="003674C3" w:rsidP="003674C3">
            <w:pPr>
              <w:jc w:val="center"/>
              <w:rPr>
                <w:b/>
                <w:szCs w:val="24"/>
                <w:lang w:eastAsia="lt-LT"/>
              </w:rPr>
            </w:pPr>
            <w:r w:rsidRPr="003674C3">
              <w:rPr>
                <w:b/>
                <w:szCs w:val="24"/>
                <w:lang w:eastAsia="lt-LT"/>
              </w:rPr>
              <w:t>458</w:t>
            </w:r>
          </w:p>
        </w:tc>
        <w:tc>
          <w:tcPr>
            <w:tcW w:w="832" w:type="dxa"/>
            <w:tcMar>
              <w:top w:w="28" w:type="dxa"/>
              <w:left w:w="57" w:type="dxa"/>
              <w:bottom w:w="28" w:type="dxa"/>
              <w:right w:w="57" w:type="dxa"/>
            </w:tcMar>
            <w:hideMark/>
          </w:tcPr>
          <w:p w14:paraId="207FAB14" w14:textId="77777777" w:rsidR="003674C3" w:rsidRPr="003674C3" w:rsidRDefault="003674C3" w:rsidP="003674C3">
            <w:pPr>
              <w:jc w:val="center"/>
              <w:rPr>
                <w:strike/>
                <w:szCs w:val="24"/>
                <w:lang w:eastAsia="lt-LT"/>
              </w:rPr>
            </w:pPr>
            <w:r w:rsidRPr="003674C3">
              <w:rPr>
                <w:strike/>
                <w:szCs w:val="24"/>
                <w:lang w:eastAsia="lt-LT"/>
              </w:rPr>
              <w:t>153</w:t>
            </w:r>
          </w:p>
          <w:p w14:paraId="7EAE710D" w14:textId="010BD99F" w:rsidR="003674C3" w:rsidRPr="003674C3" w:rsidRDefault="003674C3" w:rsidP="003674C3">
            <w:pPr>
              <w:jc w:val="center"/>
              <w:rPr>
                <w:b/>
                <w:szCs w:val="24"/>
                <w:lang w:eastAsia="lt-LT"/>
              </w:rPr>
            </w:pPr>
            <w:r w:rsidRPr="003674C3">
              <w:rPr>
                <w:b/>
                <w:szCs w:val="24"/>
                <w:lang w:eastAsia="lt-LT"/>
              </w:rPr>
              <w:t>306</w:t>
            </w:r>
          </w:p>
        </w:tc>
        <w:tc>
          <w:tcPr>
            <w:tcW w:w="989" w:type="dxa"/>
            <w:tcMar>
              <w:top w:w="28" w:type="dxa"/>
              <w:left w:w="57" w:type="dxa"/>
              <w:bottom w:w="28" w:type="dxa"/>
              <w:right w:w="57" w:type="dxa"/>
            </w:tcMar>
            <w:hideMark/>
          </w:tcPr>
          <w:p w14:paraId="1B44E7E1" w14:textId="77777777" w:rsidR="003674C3" w:rsidRPr="003674C3" w:rsidRDefault="003674C3" w:rsidP="003674C3">
            <w:pPr>
              <w:jc w:val="center"/>
              <w:rPr>
                <w:strike/>
                <w:szCs w:val="24"/>
                <w:lang w:eastAsia="lt-LT"/>
              </w:rPr>
            </w:pPr>
            <w:r w:rsidRPr="003674C3">
              <w:rPr>
                <w:strike/>
                <w:szCs w:val="24"/>
                <w:lang w:eastAsia="lt-LT"/>
              </w:rPr>
              <w:t>105</w:t>
            </w:r>
          </w:p>
          <w:p w14:paraId="0533FD02" w14:textId="0DA3DF74" w:rsidR="003674C3" w:rsidRPr="003674C3" w:rsidRDefault="003674C3" w:rsidP="003674C3">
            <w:pPr>
              <w:jc w:val="center"/>
              <w:rPr>
                <w:b/>
                <w:szCs w:val="24"/>
                <w:lang w:eastAsia="lt-LT"/>
              </w:rPr>
            </w:pPr>
            <w:r w:rsidRPr="003674C3">
              <w:rPr>
                <w:b/>
                <w:szCs w:val="24"/>
                <w:lang w:eastAsia="lt-LT"/>
              </w:rPr>
              <w:t>210</w:t>
            </w:r>
          </w:p>
        </w:tc>
        <w:tc>
          <w:tcPr>
            <w:tcW w:w="894" w:type="dxa"/>
            <w:tcMar>
              <w:top w:w="28" w:type="dxa"/>
              <w:left w:w="57" w:type="dxa"/>
              <w:bottom w:w="28" w:type="dxa"/>
              <w:right w:w="57" w:type="dxa"/>
            </w:tcMar>
            <w:hideMark/>
          </w:tcPr>
          <w:p w14:paraId="367DDDD0" w14:textId="77777777" w:rsidR="003674C3" w:rsidRPr="003674C3" w:rsidRDefault="003674C3" w:rsidP="003674C3">
            <w:pPr>
              <w:jc w:val="center"/>
              <w:rPr>
                <w:szCs w:val="24"/>
                <w:lang w:eastAsia="lt-LT"/>
              </w:rPr>
            </w:pPr>
            <w:r w:rsidRPr="003674C3">
              <w:rPr>
                <w:szCs w:val="24"/>
                <w:lang w:eastAsia="lt-LT"/>
              </w:rPr>
              <w:t>–</w:t>
            </w:r>
          </w:p>
        </w:tc>
        <w:tc>
          <w:tcPr>
            <w:tcW w:w="723" w:type="dxa"/>
            <w:tcMar>
              <w:top w:w="28" w:type="dxa"/>
              <w:left w:w="57" w:type="dxa"/>
              <w:bottom w:w="28" w:type="dxa"/>
              <w:right w:w="57" w:type="dxa"/>
            </w:tcMar>
            <w:hideMark/>
          </w:tcPr>
          <w:p w14:paraId="15B35539" w14:textId="77777777" w:rsidR="003674C3" w:rsidRPr="003674C3" w:rsidRDefault="003674C3" w:rsidP="003674C3">
            <w:pPr>
              <w:jc w:val="center"/>
              <w:rPr>
                <w:szCs w:val="24"/>
                <w:lang w:eastAsia="lt-LT"/>
              </w:rPr>
            </w:pPr>
            <w:r w:rsidRPr="003674C3">
              <w:rPr>
                <w:szCs w:val="24"/>
                <w:lang w:eastAsia="lt-LT"/>
              </w:rPr>
              <w:t>–</w:t>
            </w:r>
          </w:p>
        </w:tc>
        <w:tc>
          <w:tcPr>
            <w:tcW w:w="1000" w:type="dxa"/>
            <w:tcMar>
              <w:top w:w="28" w:type="dxa"/>
              <w:left w:w="57" w:type="dxa"/>
              <w:bottom w:w="28" w:type="dxa"/>
              <w:right w:w="57" w:type="dxa"/>
            </w:tcMar>
            <w:hideMark/>
          </w:tcPr>
          <w:p w14:paraId="1BD92B53" w14:textId="77777777" w:rsidR="003674C3" w:rsidRPr="003674C3" w:rsidRDefault="003674C3" w:rsidP="003674C3">
            <w:pPr>
              <w:jc w:val="center"/>
              <w:rPr>
                <w:szCs w:val="24"/>
                <w:lang w:eastAsia="lt-LT"/>
              </w:rPr>
            </w:pPr>
            <w:r w:rsidRPr="003674C3">
              <w:rPr>
                <w:szCs w:val="24"/>
                <w:lang w:eastAsia="lt-LT"/>
              </w:rPr>
              <w:t>–</w:t>
            </w:r>
          </w:p>
        </w:tc>
        <w:tc>
          <w:tcPr>
            <w:tcW w:w="934" w:type="dxa"/>
            <w:tcMar>
              <w:top w:w="28" w:type="dxa"/>
              <w:left w:w="57" w:type="dxa"/>
              <w:bottom w:w="28" w:type="dxa"/>
              <w:right w:w="57" w:type="dxa"/>
            </w:tcMar>
            <w:hideMark/>
          </w:tcPr>
          <w:p w14:paraId="755FCACB" w14:textId="1C54BB06" w:rsidR="003674C3" w:rsidRPr="003674C3" w:rsidRDefault="003674C3" w:rsidP="003674C3">
            <w:pPr>
              <w:jc w:val="center"/>
              <w:rPr>
                <w:szCs w:val="24"/>
                <w:lang w:eastAsia="lt-LT"/>
              </w:rPr>
            </w:pPr>
            <w:r w:rsidRPr="003674C3">
              <w:rPr>
                <w:szCs w:val="24"/>
                <w:lang w:eastAsia="lt-LT"/>
              </w:rPr>
              <w:t>–</w:t>
            </w:r>
            <w:r w:rsidR="00DA24BE" w:rsidRPr="00196A8B">
              <w:rPr>
                <w:color w:val="000000"/>
              </w:rPr>
              <w:t>“</w:t>
            </w:r>
          </w:p>
        </w:tc>
      </w:tr>
    </w:tbl>
    <w:p w14:paraId="66082F70" w14:textId="77777777" w:rsidR="00CA1B70" w:rsidRPr="00CA1B70" w:rsidRDefault="00CA1B70" w:rsidP="003674C3">
      <w:pPr>
        <w:spacing w:line="360" w:lineRule="auto"/>
        <w:ind w:firstLine="567"/>
        <w:jc w:val="both"/>
        <w:rPr>
          <w:color w:val="000000"/>
          <w:sz w:val="8"/>
        </w:rPr>
      </w:pPr>
    </w:p>
    <w:p w14:paraId="07B4AB55" w14:textId="0361E23D" w:rsidR="001835EA" w:rsidRDefault="001835EA" w:rsidP="003674C3">
      <w:pPr>
        <w:spacing w:line="360" w:lineRule="auto"/>
        <w:ind w:firstLine="567"/>
        <w:jc w:val="both"/>
        <w:rPr>
          <w:bCs/>
          <w:color w:val="000000"/>
        </w:rPr>
      </w:pPr>
      <w:r>
        <w:rPr>
          <w:bCs/>
          <w:color w:val="000000"/>
        </w:rPr>
        <w:t>1.</w:t>
      </w:r>
      <w:r w:rsidR="005E4BF1">
        <w:rPr>
          <w:bCs/>
          <w:color w:val="000000"/>
        </w:rPr>
        <w:t>3</w:t>
      </w:r>
      <w:r>
        <w:rPr>
          <w:bCs/>
          <w:color w:val="000000"/>
        </w:rPr>
        <w:t>.</w:t>
      </w:r>
      <w:r w:rsidR="00D25AB5">
        <w:rPr>
          <w:bCs/>
          <w:color w:val="000000"/>
        </w:rPr>
        <w:t>2</w:t>
      </w:r>
      <w:r w:rsidR="005E4BF1">
        <w:rPr>
          <w:bCs/>
          <w:color w:val="000000"/>
        </w:rPr>
        <w:t>.</w:t>
      </w:r>
      <w:r>
        <w:rPr>
          <w:bCs/>
          <w:color w:val="000000"/>
        </w:rPr>
        <w:t xml:space="preserve"> </w:t>
      </w:r>
      <w:r w:rsidRPr="00D1783C">
        <w:rPr>
          <w:color w:val="000000"/>
        </w:rPr>
        <w:t>P</w:t>
      </w:r>
      <w:r w:rsidRPr="003674C3">
        <w:rPr>
          <w:color w:val="000000"/>
        </w:rPr>
        <w:t xml:space="preserve">akeisti </w:t>
      </w:r>
      <w:r>
        <w:rPr>
          <w:bCs/>
          <w:color w:val="000000"/>
        </w:rPr>
        <w:t xml:space="preserve">2.3 papunktį </w:t>
      </w:r>
      <w:r w:rsidR="005E4BF1">
        <w:rPr>
          <w:bCs/>
          <w:color w:val="000000"/>
        </w:rPr>
        <w:t xml:space="preserve">ir jį </w:t>
      </w:r>
      <w:r>
        <w:rPr>
          <w:bCs/>
          <w:color w:val="000000"/>
        </w:rPr>
        <w:t>išdėstyti taip:</w:t>
      </w:r>
    </w:p>
    <w:tbl>
      <w:tblPr>
        <w:tblW w:w="974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8"/>
        <w:gridCol w:w="2260"/>
        <w:gridCol w:w="817"/>
        <w:gridCol w:w="822"/>
        <w:gridCol w:w="832"/>
        <w:gridCol w:w="989"/>
        <w:gridCol w:w="894"/>
        <w:gridCol w:w="723"/>
        <w:gridCol w:w="1000"/>
        <w:gridCol w:w="934"/>
      </w:tblGrid>
      <w:tr w:rsidR="005E4BF1" w:rsidRPr="003674C3" w14:paraId="22AA1BBB" w14:textId="77777777" w:rsidTr="005E4BF1">
        <w:trPr>
          <w:trHeight w:val="23"/>
        </w:trPr>
        <w:tc>
          <w:tcPr>
            <w:tcW w:w="478" w:type="dxa"/>
            <w:hideMark/>
          </w:tcPr>
          <w:p w14:paraId="7F073FFA" w14:textId="77777777" w:rsidR="005E4BF1" w:rsidRPr="003674C3" w:rsidRDefault="005E4BF1" w:rsidP="0009113A">
            <w:pPr>
              <w:jc w:val="center"/>
              <w:rPr>
                <w:szCs w:val="24"/>
                <w:lang w:eastAsia="lt-LT"/>
              </w:rPr>
            </w:pPr>
            <w:r>
              <w:rPr>
                <w:szCs w:val="24"/>
                <w:lang w:eastAsia="lt-LT"/>
              </w:rPr>
              <w:t>„</w:t>
            </w:r>
            <w:r w:rsidRPr="005E4BF1">
              <w:rPr>
                <w:b/>
                <w:szCs w:val="24"/>
                <w:lang w:eastAsia="lt-LT"/>
              </w:rPr>
              <w:t>2.3.</w:t>
            </w:r>
          </w:p>
        </w:tc>
        <w:tc>
          <w:tcPr>
            <w:tcW w:w="2260" w:type="dxa"/>
            <w:tcMar>
              <w:top w:w="28" w:type="dxa"/>
              <w:left w:w="57" w:type="dxa"/>
              <w:bottom w:w="28" w:type="dxa"/>
              <w:right w:w="57" w:type="dxa"/>
            </w:tcMar>
            <w:hideMark/>
          </w:tcPr>
          <w:p w14:paraId="542E4771" w14:textId="77777777" w:rsidR="005E4BF1" w:rsidRPr="005E4BF1" w:rsidRDefault="005E4BF1" w:rsidP="0009113A">
            <w:pPr>
              <w:rPr>
                <w:b/>
                <w:szCs w:val="24"/>
                <w:lang w:eastAsia="lt-LT"/>
              </w:rPr>
            </w:pPr>
            <w:proofErr w:type="spellStart"/>
            <w:r w:rsidRPr="005E4BF1">
              <w:rPr>
                <w:b/>
                <w:szCs w:val="24"/>
                <w:lang w:eastAsia="lt-LT"/>
              </w:rPr>
              <w:t>Paralimpinės</w:t>
            </w:r>
            <w:proofErr w:type="spellEnd"/>
            <w:r w:rsidRPr="005E4BF1">
              <w:rPr>
                <w:b/>
                <w:szCs w:val="24"/>
                <w:lang w:eastAsia="lt-LT"/>
              </w:rPr>
              <w:t>, kurčiųjų žaidynės</w:t>
            </w:r>
          </w:p>
        </w:tc>
        <w:tc>
          <w:tcPr>
            <w:tcW w:w="817" w:type="dxa"/>
            <w:tcMar>
              <w:top w:w="28" w:type="dxa"/>
              <w:left w:w="57" w:type="dxa"/>
              <w:bottom w:w="28" w:type="dxa"/>
              <w:right w:w="57" w:type="dxa"/>
            </w:tcMar>
            <w:hideMark/>
          </w:tcPr>
          <w:p w14:paraId="0E778A01" w14:textId="6B6BD1F0" w:rsidR="005E4BF1" w:rsidRPr="005E4BF1" w:rsidRDefault="005E4BF1" w:rsidP="0009113A">
            <w:pPr>
              <w:jc w:val="center"/>
              <w:rPr>
                <w:b/>
                <w:szCs w:val="24"/>
                <w:lang w:eastAsia="lt-LT"/>
              </w:rPr>
            </w:pPr>
            <w:r w:rsidRPr="005E4BF1">
              <w:rPr>
                <w:b/>
                <w:szCs w:val="24"/>
                <w:lang w:eastAsia="lt-LT"/>
              </w:rPr>
              <w:t>458</w:t>
            </w:r>
          </w:p>
          <w:p w14:paraId="1AF5F493" w14:textId="3E5F4B81" w:rsidR="005E4BF1" w:rsidRPr="005E4BF1" w:rsidRDefault="005E4BF1" w:rsidP="0009113A">
            <w:pPr>
              <w:jc w:val="center"/>
              <w:rPr>
                <w:b/>
                <w:szCs w:val="24"/>
                <w:lang w:eastAsia="lt-LT"/>
              </w:rPr>
            </w:pPr>
          </w:p>
        </w:tc>
        <w:tc>
          <w:tcPr>
            <w:tcW w:w="822" w:type="dxa"/>
            <w:tcMar>
              <w:top w:w="28" w:type="dxa"/>
              <w:left w:w="57" w:type="dxa"/>
              <w:bottom w:w="28" w:type="dxa"/>
              <w:right w:w="57" w:type="dxa"/>
            </w:tcMar>
            <w:hideMark/>
          </w:tcPr>
          <w:p w14:paraId="68B46552" w14:textId="77777777" w:rsidR="005E4BF1" w:rsidRPr="005E4BF1" w:rsidRDefault="005E4BF1" w:rsidP="0009113A">
            <w:pPr>
              <w:jc w:val="center"/>
              <w:rPr>
                <w:b/>
                <w:szCs w:val="24"/>
                <w:lang w:eastAsia="lt-LT"/>
              </w:rPr>
            </w:pPr>
            <w:r w:rsidRPr="005E4BF1">
              <w:rPr>
                <w:b/>
                <w:szCs w:val="24"/>
                <w:lang w:eastAsia="lt-LT"/>
              </w:rPr>
              <w:t>229</w:t>
            </w:r>
          </w:p>
          <w:p w14:paraId="6B9FE449" w14:textId="51EB6F0C" w:rsidR="005E4BF1" w:rsidRPr="005E4BF1" w:rsidRDefault="005E4BF1" w:rsidP="0009113A">
            <w:pPr>
              <w:jc w:val="center"/>
              <w:rPr>
                <w:b/>
                <w:szCs w:val="24"/>
                <w:lang w:eastAsia="lt-LT"/>
              </w:rPr>
            </w:pPr>
          </w:p>
        </w:tc>
        <w:tc>
          <w:tcPr>
            <w:tcW w:w="832" w:type="dxa"/>
            <w:tcMar>
              <w:top w:w="28" w:type="dxa"/>
              <w:left w:w="57" w:type="dxa"/>
              <w:bottom w:w="28" w:type="dxa"/>
              <w:right w:w="57" w:type="dxa"/>
            </w:tcMar>
            <w:hideMark/>
          </w:tcPr>
          <w:p w14:paraId="7005BB21" w14:textId="77777777" w:rsidR="005E4BF1" w:rsidRPr="005E4BF1" w:rsidRDefault="005E4BF1" w:rsidP="0009113A">
            <w:pPr>
              <w:jc w:val="center"/>
              <w:rPr>
                <w:b/>
                <w:szCs w:val="24"/>
                <w:lang w:eastAsia="lt-LT"/>
              </w:rPr>
            </w:pPr>
            <w:r w:rsidRPr="005E4BF1">
              <w:rPr>
                <w:b/>
                <w:szCs w:val="24"/>
                <w:lang w:eastAsia="lt-LT"/>
              </w:rPr>
              <w:t>153</w:t>
            </w:r>
          </w:p>
          <w:p w14:paraId="26E8CF82" w14:textId="763182E8" w:rsidR="005E4BF1" w:rsidRPr="005E4BF1" w:rsidRDefault="005E4BF1" w:rsidP="0009113A">
            <w:pPr>
              <w:jc w:val="center"/>
              <w:rPr>
                <w:b/>
                <w:szCs w:val="24"/>
                <w:lang w:eastAsia="lt-LT"/>
              </w:rPr>
            </w:pPr>
          </w:p>
        </w:tc>
        <w:tc>
          <w:tcPr>
            <w:tcW w:w="989" w:type="dxa"/>
            <w:tcMar>
              <w:top w:w="28" w:type="dxa"/>
              <w:left w:w="57" w:type="dxa"/>
              <w:bottom w:w="28" w:type="dxa"/>
              <w:right w:w="57" w:type="dxa"/>
            </w:tcMar>
            <w:hideMark/>
          </w:tcPr>
          <w:p w14:paraId="4C6D8511" w14:textId="77777777" w:rsidR="005E4BF1" w:rsidRPr="005E4BF1" w:rsidRDefault="005E4BF1" w:rsidP="0009113A">
            <w:pPr>
              <w:jc w:val="center"/>
              <w:rPr>
                <w:b/>
                <w:szCs w:val="24"/>
                <w:lang w:eastAsia="lt-LT"/>
              </w:rPr>
            </w:pPr>
            <w:r w:rsidRPr="005E4BF1">
              <w:rPr>
                <w:b/>
                <w:szCs w:val="24"/>
                <w:lang w:eastAsia="lt-LT"/>
              </w:rPr>
              <w:t>105</w:t>
            </w:r>
          </w:p>
          <w:p w14:paraId="2096CB06" w14:textId="4FD88440" w:rsidR="005E4BF1" w:rsidRPr="005E4BF1" w:rsidRDefault="005E4BF1" w:rsidP="0009113A">
            <w:pPr>
              <w:jc w:val="center"/>
              <w:rPr>
                <w:b/>
                <w:szCs w:val="24"/>
                <w:lang w:eastAsia="lt-LT"/>
              </w:rPr>
            </w:pPr>
          </w:p>
        </w:tc>
        <w:tc>
          <w:tcPr>
            <w:tcW w:w="894" w:type="dxa"/>
            <w:tcMar>
              <w:top w:w="28" w:type="dxa"/>
              <w:left w:w="57" w:type="dxa"/>
              <w:bottom w:w="28" w:type="dxa"/>
              <w:right w:w="57" w:type="dxa"/>
            </w:tcMar>
            <w:hideMark/>
          </w:tcPr>
          <w:p w14:paraId="53F76398" w14:textId="77777777" w:rsidR="005E4BF1" w:rsidRPr="005E4BF1" w:rsidRDefault="005E4BF1" w:rsidP="0009113A">
            <w:pPr>
              <w:jc w:val="center"/>
              <w:rPr>
                <w:b/>
                <w:szCs w:val="24"/>
                <w:lang w:eastAsia="lt-LT"/>
              </w:rPr>
            </w:pPr>
            <w:r w:rsidRPr="005E4BF1">
              <w:rPr>
                <w:b/>
                <w:szCs w:val="24"/>
                <w:lang w:eastAsia="lt-LT"/>
              </w:rPr>
              <w:t>–</w:t>
            </w:r>
          </w:p>
        </w:tc>
        <w:tc>
          <w:tcPr>
            <w:tcW w:w="723" w:type="dxa"/>
            <w:tcMar>
              <w:top w:w="28" w:type="dxa"/>
              <w:left w:w="57" w:type="dxa"/>
              <w:bottom w:w="28" w:type="dxa"/>
              <w:right w:w="57" w:type="dxa"/>
            </w:tcMar>
            <w:hideMark/>
          </w:tcPr>
          <w:p w14:paraId="54B4A3D2" w14:textId="77777777" w:rsidR="005E4BF1" w:rsidRPr="005E4BF1" w:rsidRDefault="005E4BF1" w:rsidP="0009113A">
            <w:pPr>
              <w:jc w:val="center"/>
              <w:rPr>
                <w:b/>
                <w:szCs w:val="24"/>
                <w:lang w:eastAsia="lt-LT"/>
              </w:rPr>
            </w:pPr>
            <w:r w:rsidRPr="005E4BF1">
              <w:rPr>
                <w:b/>
                <w:szCs w:val="24"/>
                <w:lang w:eastAsia="lt-LT"/>
              </w:rPr>
              <w:t>–</w:t>
            </w:r>
          </w:p>
        </w:tc>
        <w:tc>
          <w:tcPr>
            <w:tcW w:w="1000" w:type="dxa"/>
            <w:tcMar>
              <w:top w:w="28" w:type="dxa"/>
              <w:left w:w="57" w:type="dxa"/>
              <w:bottom w:w="28" w:type="dxa"/>
              <w:right w:w="57" w:type="dxa"/>
            </w:tcMar>
            <w:hideMark/>
          </w:tcPr>
          <w:p w14:paraId="30FD94D1" w14:textId="77777777" w:rsidR="005E4BF1" w:rsidRPr="005E4BF1" w:rsidRDefault="005E4BF1" w:rsidP="0009113A">
            <w:pPr>
              <w:jc w:val="center"/>
              <w:rPr>
                <w:b/>
                <w:szCs w:val="24"/>
                <w:lang w:eastAsia="lt-LT"/>
              </w:rPr>
            </w:pPr>
            <w:r w:rsidRPr="005E4BF1">
              <w:rPr>
                <w:b/>
                <w:szCs w:val="24"/>
                <w:lang w:eastAsia="lt-LT"/>
              </w:rPr>
              <w:t>–</w:t>
            </w:r>
          </w:p>
        </w:tc>
        <w:tc>
          <w:tcPr>
            <w:tcW w:w="934" w:type="dxa"/>
            <w:tcMar>
              <w:top w:w="28" w:type="dxa"/>
              <w:left w:w="57" w:type="dxa"/>
              <w:bottom w:w="28" w:type="dxa"/>
              <w:right w:w="57" w:type="dxa"/>
            </w:tcMar>
            <w:hideMark/>
          </w:tcPr>
          <w:p w14:paraId="0B42F47D" w14:textId="57E1F8AD" w:rsidR="005E4BF1" w:rsidRPr="003674C3" w:rsidRDefault="005E4BF1" w:rsidP="00D25AB5">
            <w:pPr>
              <w:jc w:val="center"/>
              <w:rPr>
                <w:szCs w:val="24"/>
                <w:lang w:eastAsia="lt-LT"/>
              </w:rPr>
            </w:pPr>
            <w:r w:rsidRPr="005E4BF1">
              <w:rPr>
                <w:b/>
                <w:szCs w:val="24"/>
                <w:lang w:eastAsia="lt-LT"/>
              </w:rPr>
              <w:t>–</w:t>
            </w:r>
            <w:r w:rsidR="00D25AB5" w:rsidRPr="00196A8B">
              <w:rPr>
                <w:color w:val="000000"/>
              </w:rPr>
              <w:t>“</w:t>
            </w:r>
          </w:p>
        </w:tc>
      </w:tr>
    </w:tbl>
    <w:p w14:paraId="2B1C1D77" w14:textId="77777777" w:rsidR="001835EA" w:rsidRPr="001835EA" w:rsidRDefault="001835EA" w:rsidP="003674C3">
      <w:pPr>
        <w:spacing w:line="360" w:lineRule="auto"/>
        <w:ind w:firstLine="567"/>
        <w:jc w:val="both"/>
        <w:rPr>
          <w:bCs/>
          <w:color w:val="000000"/>
          <w:sz w:val="8"/>
        </w:rPr>
      </w:pPr>
    </w:p>
    <w:p w14:paraId="03CC8824" w14:textId="2A82C8B9" w:rsidR="00D25AB5" w:rsidRDefault="00D25AB5" w:rsidP="00D25AB5">
      <w:pPr>
        <w:spacing w:line="360" w:lineRule="auto"/>
        <w:ind w:firstLine="567"/>
        <w:jc w:val="both"/>
        <w:rPr>
          <w:b/>
          <w:color w:val="000000"/>
        </w:rPr>
      </w:pPr>
      <w:r>
        <w:rPr>
          <w:color w:val="000000"/>
        </w:rPr>
        <w:t>1.3.3. Papildyti 2.3</w:t>
      </w:r>
      <w:r>
        <w:rPr>
          <w:color w:val="000000"/>
          <w:vertAlign w:val="superscript"/>
        </w:rPr>
        <w:t>1</w:t>
      </w:r>
      <w:r>
        <w:rPr>
          <w:color w:val="000000"/>
        </w:rPr>
        <w:t xml:space="preserve"> papunkčiu:</w:t>
      </w:r>
    </w:p>
    <w:tbl>
      <w:tblPr>
        <w:tblW w:w="974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7"/>
        <w:gridCol w:w="2240"/>
        <w:gridCol w:w="812"/>
        <w:gridCol w:w="817"/>
        <w:gridCol w:w="827"/>
        <w:gridCol w:w="982"/>
        <w:gridCol w:w="885"/>
        <w:gridCol w:w="716"/>
        <w:gridCol w:w="989"/>
        <w:gridCol w:w="924"/>
      </w:tblGrid>
      <w:tr w:rsidR="00D25AB5" w:rsidRPr="003674C3" w14:paraId="567E7ADD" w14:textId="77777777" w:rsidTr="0009113A">
        <w:trPr>
          <w:trHeight w:val="23"/>
        </w:trPr>
        <w:tc>
          <w:tcPr>
            <w:tcW w:w="557" w:type="dxa"/>
          </w:tcPr>
          <w:p w14:paraId="588F7B75" w14:textId="77777777" w:rsidR="00D25AB5" w:rsidRPr="003674C3" w:rsidRDefault="00D25AB5" w:rsidP="0009113A">
            <w:pPr>
              <w:jc w:val="center"/>
              <w:rPr>
                <w:b/>
                <w:szCs w:val="24"/>
                <w:lang w:eastAsia="lt-LT"/>
              </w:rPr>
            </w:pPr>
            <w:r w:rsidRPr="003674C3">
              <w:rPr>
                <w:szCs w:val="24"/>
                <w:lang w:eastAsia="lt-LT"/>
              </w:rPr>
              <w:t>„</w:t>
            </w:r>
            <w:r w:rsidRPr="003674C3">
              <w:rPr>
                <w:b/>
                <w:szCs w:val="24"/>
                <w:lang w:eastAsia="lt-LT"/>
              </w:rPr>
              <w:t>2.3</w:t>
            </w:r>
            <w:r w:rsidRPr="003674C3">
              <w:rPr>
                <w:b/>
                <w:szCs w:val="24"/>
                <w:vertAlign w:val="superscript"/>
                <w:lang w:eastAsia="lt-LT"/>
              </w:rPr>
              <w:t>1</w:t>
            </w:r>
            <w:r w:rsidRPr="003674C3">
              <w:rPr>
                <w:b/>
                <w:szCs w:val="24"/>
                <w:lang w:eastAsia="lt-LT"/>
              </w:rPr>
              <w:t>.</w:t>
            </w:r>
          </w:p>
        </w:tc>
        <w:tc>
          <w:tcPr>
            <w:tcW w:w="2240" w:type="dxa"/>
            <w:tcMar>
              <w:top w:w="28" w:type="dxa"/>
              <w:left w:w="57" w:type="dxa"/>
              <w:bottom w:w="28" w:type="dxa"/>
              <w:right w:w="57" w:type="dxa"/>
            </w:tcMar>
          </w:tcPr>
          <w:p w14:paraId="1380220E" w14:textId="77777777" w:rsidR="00D25AB5" w:rsidRPr="003674C3" w:rsidRDefault="00D25AB5" w:rsidP="0009113A">
            <w:pPr>
              <w:rPr>
                <w:b/>
                <w:szCs w:val="24"/>
                <w:lang w:eastAsia="lt-LT"/>
              </w:rPr>
            </w:pPr>
            <w:r w:rsidRPr="003674C3">
              <w:rPr>
                <w:b/>
                <w:szCs w:val="24"/>
                <w:lang w:eastAsia="lt-LT"/>
              </w:rPr>
              <w:t>Kurčiųjų žaidynės</w:t>
            </w:r>
          </w:p>
        </w:tc>
        <w:tc>
          <w:tcPr>
            <w:tcW w:w="812" w:type="dxa"/>
            <w:tcMar>
              <w:top w:w="28" w:type="dxa"/>
              <w:left w:w="57" w:type="dxa"/>
              <w:bottom w:w="28" w:type="dxa"/>
              <w:right w:w="57" w:type="dxa"/>
            </w:tcMar>
          </w:tcPr>
          <w:p w14:paraId="35A731CD" w14:textId="77777777" w:rsidR="00D25AB5" w:rsidRPr="003674C3" w:rsidRDefault="00D25AB5" w:rsidP="0009113A">
            <w:pPr>
              <w:jc w:val="center"/>
              <w:rPr>
                <w:b/>
                <w:szCs w:val="24"/>
                <w:lang w:eastAsia="lt-LT"/>
              </w:rPr>
            </w:pPr>
            <w:r w:rsidRPr="003674C3">
              <w:rPr>
                <w:b/>
                <w:szCs w:val="24"/>
                <w:lang w:eastAsia="lt-LT"/>
              </w:rPr>
              <w:t>458</w:t>
            </w:r>
          </w:p>
        </w:tc>
        <w:tc>
          <w:tcPr>
            <w:tcW w:w="817" w:type="dxa"/>
            <w:tcMar>
              <w:top w:w="28" w:type="dxa"/>
              <w:left w:w="57" w:type="dxa"/>
              <w:bottom w:w="28" w:type="dxa"/>
              <w:right w:w="57" w:type="dxa"/>
            </w:tcMar>
          </w:tcPr>
          <w:p w14:paraId="6A2E6095" w14:textId="77777777" w:rsidR="00D25AB5" w:rsidRPr="003674C3" w:rsidRDefault="00D25AB5" w:rsidP="0009113A">
            <w:pPr>
              <w:jc w:val="center"/>
              <w:rPr>
                <w:b/>
                <w:szCs w:val="24"/>
                <w:lang w:eastAsia="lt-LT"/>
              </w:rPr>
            </w:pPr>
            <w:r w:rsidRPr="003674C3">
              <w:rPr>
                <w:b/>
                <w:szCs w:val="24"/>
                <w:lang w:eastAsia="lt-LT"/>
              </w:rPr>
              <w:t>229</w:t>
            </w:r>
          </w:p>
        </w:tc>
        <w:tc>
          <w:tcPr>
            <w:tcW w:w="827" w:type="dxa"/>
            <w:tcMar>
              <w:top w:w="28" w:type="dxa"/>
              <w:left w:w="57" w:type="dxa"/>
              <w:bottom w:w="28" w:type="dxa"/>
              <w:right w:w="57" w:type="dxa"/>
            </w:tcMar>
          </w:tcPr>
          <w:p w14:paraId="103C2F8A" w14:textId="77777777" w:rsidR="00D25AB5" w:rsidRPr="003674C3" w:rsidRDefault="00D25AB5" w:rsidP="0009113A">
            <w:pPr>
              <w:jc w:val="center"/>
              <w:rPr>
                <w:b/>
                <w:szCs w:val="24"/>
                <w:lang w:eastAsia="lt-LT"/>
              </w:rPr>
            </w:pPr>
            <w:r w:rsidRPr="003674C3">
              <w:rPr>
                <w:b/>
                <w:szCs w:val="24"/>
                <w:lang w:eastAsia="lt-LT"/>
              </w:rPr>
              <w:t>153</w:t>
            </w:r>
          </w:p>
        </w:tc>
        <w:tc>
          <w:tcPr>
            <w:tcW w:w="982" w:type="dxa"/>
            <w:tcMar>
              <w:top w:w="28" w:type="dxa"/>
              <w:left w:w="57" w:type="dxa"/>
              <w:bottom w:w="28" w:type="dxa"/>
              <w:right w:w="57" w:type="dxa"/>
            </w:tcMar>
          </w:tcPr>
          <w:p w14:paraId="6FF87AD3" w14:textId="77777777" w:rsidR="00D25AB5" w:rsidRPr="003674C3" w:rsidRDefault="00D25AB5" w:rsidP="0009113A">
            <w:pPr>
              <w:jc w:val="center"/>
              <w:rPr>
                <w:b/>
                <w:szCs w:val="24"/>
                <w:lang w:eastAsia="lt-LT"/>
              </w:rPr>
            </w:pPr>
            <w:r w:rsidRPr="003674C3">
              <w:rPr>
                <w:b/>
                <w:szCs w:val="24"/>
                <w:lang w:eastAsia="lt-LT"/>
              </w:rPr>
              <w:t>105</w:t>
            </w:r>
          </w:p>
        </w:tc>
        <w:tc>
          <w:tcPr>
            <w:tcW w:w="885" w:type="dxa"/>
            <w:tcMar>
              <w:top w:w="28" w:type="dxa"/>
              <w:left w:w="57" w:type="dxa"/>
              <w:bottom w:w="28" w:type="dxa"/>
              <w:right w:w="57" w:type="dxa"/>
            </w:tcMar>
          </w:tcPr>
          <w:p w14:paraId="2A8CEB9C" w14:textId="77777777" w:rsidR="00D25AB5" w:rsidRPr="003674C3" w:rsidRDefault="00D25AB5" w:rsidP="0009113A">
            <w:pPr>
              <w:jc w:val="center"/>
              <w:rPr>
                <w:b/>
                <w:szCs w:val="24"/>
                <w:lang w:eastAsia="lt-LT"/>
              </w:rPr>
            </w:pPr>
            <w:r w:rsidRPr="003674C3">
              <w:rPr>
                <w:b/>
                <w:szCs w:val="24"/>
                <w:lang w:eastAsia="lt-LT"/>
              </w:rPr>
              <w:t>–</w:t>
            </w:r>
          </w:p>
        </w:tc>
        <w:tc>
          <w:tcPr>
            <w:tcW w:w="716" w:type="dxa"/>
            <w:tcMar>
              <w:top w:w="28" w:type="dxa"/>
              <w:left w:w="57" w:type="dxa"/>
              <w:bottom w:w="28" w:type="dxa"/>
              <w:right w:w="57" w:type="dxa"/>
            </w:tcMar>
          </w:tcPr>
          <w:p w14:paraId="7B379C5B" w14:textId="77777777" w:rsidR="00D25AB5" w:rsidRPr="003674C3" w:rsidRDefault="00D25AB5" w:rsidP="0009113A">
            <w:pPr>
              <w:jc w:val="center"/>
              <w:rPr>
                <w:b/>
                <w:szCs w:val="24"/>
                <w:lang w:eastAsia="lt-LT"/>
              </w:rPr>
            </w:pPr>
            <w:r w:rsidRPr="003674C3">
              <w:rPr>
                <w:b/>
                <w:szCs w:val="24"/>
                <w:lang w:eastAsia="lt-LT"/>
              </w:rPr>
              <w:t>–</w:t>
            </w:r>
          </w:p>
        </w:tc>
        <w:tc>
          <w:tcPr>
            <w:tcW w:w="989" w:type="dxa"/>
            <w:tcMar>
              <w:top w:w="28" w:type="dxa"/>
              <w:left w:w="57" w:type="dxa"/>
              <w:bottom w:w="28" w:type="dxa"/>
              <w:right w:w="57" w:type="dxa"/>
            </w:tcMar>
          </w:tcPr>
          <w:p w14:paraId="1F76435A" w14:textId="77777777" w:rsidR="00D25AB5" w:rsidRPr="003674C3" w:rsidRDefault="00D25AB5" w:rsidP="0009113A">
            <w:pPr>
              <w:jc w:val="center"/>
              <w:rPr>
                <w:b/>
                <w:szCs w:val="24"/>
                <w:lang w:eastAsia="lt-LT"/>
              </w:rPr>
            </w:pPr>
            <w:r w:rsidRPr="003674C3">
              <w:rPr>
                <w:b/>
                <w:szCs w:val="24"/>
                <w:lang w:eastAsia="lt-LT"/>
              </w:rPr>
              <w:t>–</w:t>
            </w:r>
          </w:p>
        </w:tc>
        <w:tc>
          <w:tcPr>
            <w:tcW w:w="924" w:type="dxa"/>
            <w:tcMar>
              <w:top w:w="28" w:type="dxa"/>
              <w:left w:w="57" w:type="dxa"/>
              <w:bottom w:w="28" w:type="dxa"/>
              <w:right w:w="57" w:type="dxa"/>
            </w:tcMar>
          </w:tcPr>
          <w:p w14:paraId="17028394" w14:textId="77777777" w:rsidR="00D25AB5" w:rsidRPr="003674C3" w:rsidRDefault="00D25AB5" w:rsidP="0009113A">
            <w:pPr>
              <w:jc w:val="center"/>
              <w:rPr>
                <w:szCs w:val="24"/>
                <w:lang w:eastAsia="lt-LT"/>
              </w:rPr>
            </w:pPr>
            <w:r w:rsidRPr="003674C3">
              <w:rPr>
                <w:szCs w:val="24"/>
                <w:lang w:eastAsia="lt-LT"/>
              </w:rPr>
              <w:t>–</w:t>
            </w:r>
            <w:r w:rsidRPr="00196A8B">
              <w:rPr>
                <w:color w:val="000000"/>
              </w:rPr>
              <w:t>“</w:t>
            </w:r>
          </w:p>
        </w:tc>
      </w:tr>
    </w:tbl>
    <w:p w14:paraId="09339D9E" w14:textId="77777777" w:rsidR="00D25AB5" w:rsidRPr="00D25AB5" w:rsidRDefault="00D25AB5" w:rsidP="00D25AB5">
      <w:pPr>
        <w:spacing w:line="360" w:lineRule="auto"/>
        <w:ind w:firstLine="567"/>
        <w:jc w:val="both"/>
        <w:rPr>
          <w:color w:val="000000"/>
          <w:sz w:val="8"/>
        </w:rPr>
      </w:pPr>
      <w:bookmarkStart w:id="0" w:name="_GoBack"/>
      <w:bookmarkEnd w:id="0"/>
    </w:p>
    <w:p w14:paraId="22CB8BCB" w14:textId="36C8B54D" w:rsidR="001B21F8" w:rsidRDefault="001B21F8" w:rsidP="003674C3">
      <w:pPr>
        <w:spacing w:line="360" w:lineRule="auto"/>
        <w:ind w:firstLine="567"/>
        <w:jc w:val="both"/>
        <w:rPr>
          <w:color w:val="000000"/>
        </w:rPr>
      </w:pPr>
      <w:r>
        <w:rPr>
          <w:bCs/>
          <w:color w:val="000000"/>
          <w:lang w:val="en-GB"/>
        </w:rPr>
        <w:t xml:space="preserve">1.3.4. </w:t>
      </w:r>
      <w:proofErr w:type="spellStart"/>
      <w:r>
        <w:rPr>
          <w:bCs/>
          <w:color w:val="000000"/>
          <w:lang w:val="en-GB"/>
        </w:rPr>
        <w:t>Pripažinti</w:t>
      </w:r>
      <w:proofErr w:type="spellEnd"/>
      <w:r>
        <w:rPr>
          <w:bCs/>
          <w:color w:val="000000"/>
          <w:lang w:val="en-GB"/>
        </w:rPr>
        <w:t xml:space="preserve"> </w:t>
      </w:r>
      <w:proofErr w:type="spellStart"/>
      <w:r>
        <w:rPr>
          <w:bCs/>
          <w:color w:val="000000"/>
          <w:lang w:val="en-GB"/>
        </w:rPr>
        <w:t>netekusiu</w:t>
      </w:r>
      <w:proofErr w:type="spellEnd"/>
      <w:r>
        <w:rPr>
          <w:bCs/>
          <w:color w:val="000000"/>
          <w:lang w:val="en-GB"/>
        </w:rPr>
        <w:t xml:space="preserve"> </w:t>
      </w:r>
      <w:proofErr w:type="spellStart"/>
      <w:r>
        <w:rPr>
          <w:bCs/>
          <w:color w:val="000000"/>
          <w:lang w:val="en-GB"/>
        </w:rPr>
        <w:t>galios</w:t>
      </w:r>
      <w:proofErr w:type="spellEnd"/>
      <w:r>
        <w:rPr>
          <w:bCs/>
          <w:color w:val="000000"/>
          <w:lang w:val="en-GB"/>
        </w:rPr>
        <w:t xml:space="preserve"> </w:t>
      </w:r>
      <w:r>
        <w:rPr>
          <w:color w:val="000000"/>
        </w:rPr>
        <w:t>2.3</w:t>
      </w:r>
      <w:r>
        <w:rPr>
          <w:color w:val="000000"/>
          <w:vertAlign w:val="superscript"/>
        </w:rPr>
        <w:t>1</w:t>
      </w:r>
      <w:r>
        <w:rPr>
          <w:color w:val="000000"/>
        </w:rPr>
        <w:t xml:space="preserve"> papunktį.</w:t>
      </w:r>
    </w:p>
    <w:tbl>
      <w:tblPr>
        <w:tblW w:w="974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7"/>
        <w:gridCol w:w="2240"/>
        <w:gridCol w:w="812"/>
        <w:gridCol w:w="817"/>
        <w:gridCol w:w="827"/>
        <w:gridCol w:w="982"/>
        <w:gridCol w:w="885"/>
        <w:gridCol w:w="716"/>
        <w:gridCol w:w="989"/>
        <w:gridCol w:w="924"/>
      </w:tblGrid>
      <w:tr w:rsidR="001B21F8" w:rsidRPr="001B21F8" w14:paraId="24B6D9F2" w14:textId="77777777" w:rsidTr="00FA7201">
        <w:trPr>
          <w:trHeight w:val="23"/>
        </w:trPr>
        <w:tc>
          <w:tcPr>
            <w:tcW w:w="557" w:type="dxa"/>
          </w:tcPr>
          <w:p w14:paraId="678A484D" w14:textId="77777777" w:rsidR="001B21F8" w:rsidRPr="001B21F8" w:rsidRDefault="001B21F8" w:rsidP="00FA7201">
            <w:pPr>
              <w:jc w:val="center"/>
              <w:rPr>
                <w:strike/>
                <w:szCs w:val="24"/>
                <w:lang w:eastAsia="lt-LT"/>
              </w:rPr>
            </w:pPr>
            <w:r w:rsidRPr="00D25AB5">
              <w:rPr>
                <w:szCs w:val="24"/>
                <w:lang w:eastAsia="lt-LT"/>
              </w:rPr>
              <w:t>„</w:t>
            </w:r>
            <w:r w:rsidRPr="001B21F8">
              <w:rPr>
                <w:strike/>
                <w:szCs w:val="24"/>
                <w:lang w:eastAsia="lt-LT"/>
              </w:rPr>
              <w:t>2.3</w:t>
            </w:r>
            <w:r w:rsidRPr="001B21F8">
              <w:rPr>
                <w:strike/>
                <w:szCs w:val="24"/>
                <w:vertAlign w:val="superscript"/>
                <w:lang w:eastAsia="lt-LT"/>
              </w:rPr>
              <w:t>1</w:t>
            </w:r>
            <w:r w:rsidRPr="001B21F8">
              <w:rPr>
                <w:strike/>
                <w:szCs w:val="24"/>
                <w:lang w:eastAsia="lt-LT"/>
              </w:rPr>
              <w:t>.</w:t>
            </w:r>
          </w:p>
        </w:tc>
        <w:tc>
          <w:tcPr>
            <w:tcW w:w="2240" w:type="dxa"/>
            <w:tcMar>
              <w:top w:w="28" w:type="dxa"/>
              <w:left w:w="57" w:type="dxa"/>
              <w:bottom w:w="28" w:type="dxa"/>
              <w:right w:w="57" w:type="dxa"/>
            </w:tcMar>
          </w:tcPr>
          <w:p w14:paraId="3F049A6C" w14:textId="77777777" w:rsidR="001B21F8" w:rsidRPr="001B21F8" w:rsidRDefault="001B21F8" w:rsidP="00FA7201">
            <w:pPr>
              <w:rPr>
                <w:strike/>
                <w:szCs w:val="24"/>
                <w:lang w:eastAsia="lt-LT"/>
              </w:rPr>
            </w:pPr>
            <w:r w:rsidRPr="001B21F8">
              <w:rPr>
                <w:strike/>
                <w:szCs w:val="24"/>
                <w:lang w:eastAsia="lt-LT"/>
              </w:rPr>
              <w:t>Kurčiųjų žaidynės</w:t>
            </w:r>
          </w:p>
        </w:tc>
        <w:tc>
          <w:tcPr>
            <w:tcW w:w="812" w:type="dxa"/>
            <w:tcMar>
              <w:top w:w="28" w:type="dxa"/>
              <w:left w:w="57" w:type="dxa"/>
              <w:bottom w:w="28" w:type="dxa"/>
              <w:right w:w="57" w:type="dxa"/>
            </w:tcMar>
          </w:tcPr>
          <w:p w14:paraId="2EA50304" w14:textId="77777777" w:rsidR="001B21F8" w:rsidRPr="001B21F8" w:rsidRDefault="001B21F8" w:rsidP="00FA7201">
            <w:pPr>
              <w:jc w:val="center"/>
              <w:rPr>
                <w:strike/>
                <w:szCs w:val="24"/>
                <w:lang w:eastAsia="lt-LT"/>
              </w:rPr>
            </w:pPr>
            <w:r w:rsidRPr="001B21F8">
              <w:rPr>
                <w:strike/>
                <w:szCs w:val="24"/>
                <w:lang w:eastAsia="lt-LT"/>
              </w:rPr>
              <w:t>458</w:t>
            </w:r>
          </w:p>
        </w:tc>
        <w:tc>
          <w:tcPr>
            <w:tcW w:w="817" w:type="dxa"/>
            <w:tcMar>
              <w:top w:w="28" w:type="dxa"/>
              <w:left w:w="57" w:type="dxa"/>
              <w:bottom w:w="28" w:type="dxa"/>
              <w:right w:w="57" w:type="dxa"/>
            </w:tcMar>
          </w:tcPr>
          <w:p w14:paraId="0B718BDF" w14:textId="77777777" w:rsidR="001B21F8" w:rsidRPr="001B21F8" w:rsidRDefault="001B21F8" w:rsidP="00FA7201">
            <w:pPr>
              <w:jc w:val="center"/>
              <w:rPr>
                <w:strike/>
                <w:szCs w:val="24"/>
                <w:lang w:eastAsia="lt-LT"/>
              </w:rPr>
            </w:pPr>
            <w:r w:rsidRPr="001B21F8">
              <w:rPr>
                <w:strike/>
                <w:szCs w:val="24"/>
                <w:lang w:eastAsia="lt-LT"/>
              </w:rPr>
              <w:t>229</w:t>
            </w:r>
          </w:p>
        </w:tc>
        <w:tc>
          <w:tcPr>
            <w:tcW w:w="827" w:type="dxa"/>
            <w:tcMar>
              <w:top w:w="28" w:type="dxa"/>
              <w:left w:w="57" w:type="dxa"/>
              <w:bottom w:w="28" w:type="dxa"/>
              <w:right w:w="57" w:type="dxa"/>
            </w:tcMar>
          </w:tcPr>
          <w:p w14:paraId="1E0F8E34" w14:textId="77777777" w:rsidR="001B21F8" w:rsidRPr="001B21F8" w:rsidRDefault="001B21F8" w:rsidP="00FA7201">
            <w:pPr>
              <w:jc w:val="center"/>
              <w:rPr>
                <w:strike/>
                <w:szCs w:val="24"/>
                <w:lang w:eastAsia="lt-LT"/>
              </w:rPr>
            </w:pPr>
            <w:r w:rsidRPr="001B21F8">
              <w:rPr>
                <w:strike/>
                <w:szCs w:val="24"/>
                <w:lang w:eastAsia="lt-LT"/>
              </w:rPr>
              <w:t>153</w:t>
            </w:r>
          </w:p>
        </w:tc>
        <w:tc>
          <w:tcPr>
            <w:tcW w:w="982" w:type="dxa"/>
            <w:tcMar>
              <w:top w:w="28" w:type="dxa"/>
              <w:left w:w="57" w:type="dxa"/>
              <w:bottom w:w="28" w:type="dxa"/>
              <w:right w:w="57" w:type="dxa"/>
            </w:tcMar>
          </w:tcPr>
          <w:p w14:paraId="55CF3077" w14:textId="77777777" w:rsidR="001B21F8" w:rsidRPr="001B21F8" w:rsidRDefault="001B21F8" w:rsidP="00FA7201">
            <w:pPr>
              <w:jc w:val="center"/>
              <w:rPr>
                <w:strike/>
                <w:szCs w:val="24"/>
                <w:lang w:eastAsia="lt-LT"/>
              </w:rPr>
            </w:pPr>
            <w:r w:rsidRPr="001B21F8">
              <w:rPr>
                <w:strike/>
                <w:szCs w:val="24"/>
                <w:lang w:eastAsia="lt-LT"/>
              </w:rPr>
              <w:t>105</w:t>
            </w:r>
          </w:p>
        </w:tc>
        <w:tc>
          <w:tcPr>
            <w:tcW w:w="885" w:type="dxa"/>
            <w:tcMar>
              <w:top w:w="28" w:type="dxa"/>
              <w:left w:w="57" w:type="dxa"/>
              <w:bottom w:w="28" w:type="dxa"/>
              <w:right w:w="57" w:type="dxa"/>
            </w:tcMar>
          </w:tcPr>
          <w:p w14:paraId="08831B54" w14:textId="77777777" w:rsidR="001B21F8" w:rsidRPr="001B21F8" w:rsidRDefault="001B21F8" w:rsidP="00FA7201">
            <w:pPr>
              <w:jc w:val="center"/>
              <w:rPr>
                <w:strike/>
                <w:szCs w:val="24"/>
                <w:lang w:eastAsia="lt-LT"/>
              </w:rPr>
            </w:pPr>
            <w:r w:rsidRPr="001B21F8">
              <w:rPr>
                <w:strike/>
                <w:szCs w:val="24"/>
                <w:lang w:eastAsia="lt-LT"/>
              </w:rPr>
              <w:t>–</w:t>
            </w:r>
          </w:p>
        </w:tc>
        <w:tc>
          <w:tcPr>
            <w:tcW w:w="716" w:type="dxa"/>
            <w:tcMar>
              <w:top w:w="28" w:type="dxa"/>
              <w:left w:w="57" w:type="dxa"/>
              <w:bottom w:w="28" w:type="dxa"/>
              <w:right w:w="57" w:type="dxa"/>
            </w:tcMar>
          </w:tcPr>
          <w:p w14:paraId="28BC0DAE" w14:textId="77777777" w:rsidR="001B21F8" w:rsidRPr="001B21F8" w:rsidRDefault="001B21F8" w:rsidP="00FA7201">
            <w:pPr>
              <w:jc w:val="center"/>
              <w:rPr>
                <w:strike/>
                <w:szCs w:val="24"/>
                <w:lang w:eastAsia="lt-LT"/>
              </w:rPr>
            </w:pPr>
            <w:r w:rsidRPr="001B21F8">
              <w:rPr>
                <w:strike/>
                <w:szCs w:val="24"/>
                <w:lang w:eastAsia="lt-LT"/>
              </w:rPr>
              <w:t>–</w:t>
            </w:r>
          </w:p>
        </w:tc>
        <w:tc>
          <w:tcPr>
            <w:tcW w:w="989" w:type="dxa"/>
            <w:tcMar>
              <w:top w:w="28" w:type="dxa"/>
              <w:left w:w="57" w:type="dxa"/>
              <w:bottom w:w="28" w:type="dxa"/>
              <w:right w:w="57" w:type="dxa"/>
            </w:tcMar>
          </w:tcPr>
          <w:p w14:paraId="51658D79" w14:textId="77777777" w:rsidR="001B21F8" w:rsidRPr="001B21F8" w:rsidRDefault="001B21F8" w:rsidP="00FA7201">
            <w:pPr>
              <w:jc w:val="center"/>
              <w:rPr>
                <w:strike/>
                <w:szCs w:val="24"/>
                <w:lang w:eastAsia="lt-LT"/>
              </w:rPr>
            </w:pPr>
            <w:r w:rsidRPr="001B21F8">
              <w:rPr>
                <w:strike/>
                <w:szCs w:val="24"/>
                <w:lang w:eastAsia="lt-LT"/>
              </w:rPr>
              <w:t>–</w:t>
            </w:r>
          </w:p>
        </w:tc>
        <w:tc>
          <w:tcPr>
            <w:tcW w:w="924" w:type="dxa"/>
            <w:tcMar>
              <w:top w:w="28" w:type="dxa"/>
              <w:left w:w="57" w:type="dxa"/>
              <w:bottom w:w="28" w:type="dxa"/>
              <w:right w:w="57" w:type="dxa"/>
            </w:tcMar>
          </w:tcPr>
          <w:p w14:paraId="3FF13CD0" w14:textId="034FED72" w:rsidR="001B21F8" w:rsidRPr="001B21F8" w:rsidRDefault="001B21F8" w:rsidP="00D25AB5">
            <w:pPr>
              <w:jc w:val="center"/>
              <w:rPr>
                <w:strike/>
                <w:szCs w:val="24"/>
                <w:lang w:eastAsia="lt-LT"/>
              </w:rPr>
            </w:pPr>
            <w:r w:rsidRPr="001B21F8">
              <w:rPr>
                <w:strike/>
                <w:szCs w:val="24"/>
                <w:lang w:eastAsia="lt-LT"/>
              </w:rPr>
              <w:t>–</w:t>
            </w:r>
            <w:r w:rsidR="00D25AB5" w:rsidRPr="00196A8B">
              <w:rPr>
                <w:color w:val="000000"/>
              </w:rPr>
              <w:t>“</w:t>
            </w:r>
          </w:p>
        </w:tc>
      </w:tr>
    </w:tbl>
    <w:p w14:paraId="15D3DF59" w14:textId="77777777" w:rsidR="001B21F8" w:rsidRPr="00CA1B70" w:rsidRDefault="001B21F8" w:rsidP="001B21F8">
      <w:pPr>
        <w:spacing w:line="360" w:lineRule="auto"/>
        <w:ind w:firstLine="567"/>
        <w:jc w:val="both"/>
        <w:rPr>
          <w:bCs/>
          <w:color w:val="000000"/>
          <w:sz w:val="8"/>
        </w:rPr>
      </w:pPr>
    </w:p>
    <w:p w14:paraId="631CE913" w14:textId="7A803058" w:rsidR="003674C3" w:rsidRDefault="00F15AD5" w:rsidP="003674C3">
      <w:pPr>
        <w:spacing w:line="360" w:lineRule="auto"/>
        <w:ind w:firstLine="567"/>
        <w:jc w:val="both"/>
        <w:rPr>
          <w:bCs/>
          <w:color w:val="000000"/>
        </w:rPr>
      </w:pPr>
      <w:r w:rsidRPr="00F15AD5">
        <w:rPr>
          <w:bCs/>
          <w:color w:val="000000"/>
        </w:rPr>
        <w:t xml:space="preserve">2. Valstybės premijų dydžiai pagal asmenų prašymus dėl valstybės premijų už </w:t>
      </w:r>
      <w:r w:rsidRPr="00F15AD5">
        <w:rPr>
          <w:bCs/>
          <w:color w:val="000000"/>
          <w:szCs w:val="24"/>
          <w:lang w:eastAsia="lt-LT"/>
        </w:rPr>
        <w:t>2021 met</w:t>
      </w:r>
      <w:r w:rsidR="003674C3">
        <w:rPr>
          <w:bCs/>
          <w:color w:val="000000"/>
          <w:szCs w:val="24"/>
          <w:lang w:eastAsia="lt-LT"/>
        </w:rPr>
        <w:t xml:space="preserve">ais įvykusiose </w:t>
      </w:r>
      <w:proofErr w:type="spellStart"/>
      <w:r w:rsidRPr="00F15AD5">
        <w:rPr>
          <w:bCs/>
          <w:color w:val="000000"/>
          <w:szCs w:val="24"/>
          <w:lang w:eastAsia="lt-LT"/>
        </w:rPr>
        <w:t>paralimpin</w:t>
      </w:r>
      <w:r w:rsidR="003674C3">
        <w:rPr>
          <w:bCs/>
          <w:color w:val="000000"/>
          <w:szCs w:val="24"/>
          <w:lang w:eastAsia="lt-LT"/>
        </w:rPr>
        <w:t>ėse</w:t>
      </w:r>
      <w:proofErr w:type="spellEnd"/>
      <w:r w:rsidRPr="00F15AD5">
        <w:rPr>
          <w:bCs/>
          <w:color w:val="000000"/>
          <w:szCs w:val="24"/>
          <w:lang w:eastAsia="lt-LT"/>
        </w:rPr>
        <w:t xml:space="preserve"> </w:t>
      </w:r>
      <w:r w:rsidRPr="00F15AD5">
        <w:rPr>
          <w:bCs/>
          <w:color w:val="000000"/>
        </w:rPr>
        <w:t>žaidyn</w:t>
      </w:r>
      <w:r w:rsidR="003674C3">
        <w:rPr>
          <w:bCs/>
          <w:color w:val="000000"/>
        </w:rPr>
        <w:t>ėse</w:t>
      </w:r>
      <w:r w:rsidRPr="00F15AD5">
        <w:rPr>
          <w:bCs/>
          <w:color w:val="000000"/>
        </w:rPr>
        <w:t xml:space="preserve"> pasiektus aukšto meistriškumo sporto </w:t>
      </w:r>
      <w:proofErr w:type="spellStart"/>
      <w:r w:rsidRPr="00F15AD5">
        <w:rPr>
          <w:bCs/>
          <w:color w:val="000000"/>
        </w:rPr>
        <w:t>laimėjimus</w:t>
      </w:r>
      <w:proofErr w:type="spellEnd"/>
      <w:r w:rsidRPr="00F15AD5">
        <w:rPr>
          <w:bCs/>
          <w:color w:val="000000"/>
        </w:rPr>
        <w:t xml:space="preserve"> skyrimo, pateiktus iki šio nutarimo įsigaliojimo</w:t>
      </w:r>
      <w:r>
        <w:rPr>
          <w:bCs/>
          <w:color w:val="000000"/>
        </w:rPr>
        <w:t>, a</w:t>
      </w:r>
      <w:r w:rsidRPr="00F15AD5">
        <w:rPr>
          <w:bCs/>
          <w:color w:val="000000"/>
        </w:rPr>
        <w:t xml:space="preserve">pskaičiuojami </w:t>
      </w:r>
      <w:r w:rsidRPr="00FA192F">
        <w:rPr>
          <w:bCs/>
          <w:color w:val="000000"/>
        </w:rPr>
        <w:t>vadovaujantis</w:t>
      </w:r>
      <w:r w:rsidR="0073266B" w:rsidRPr="00FA192F">
        <w:rPr>
          <w:bCs/>
          <w:color w:val="000000"/>
        </w:rPr>
        <w:t xml:space="preserve"> </w:t>
      </w:r>
      <w:r w:rsidR="00D1783C" w:rsidRPr="00FA192F">
        <w:rPr>
          <w:bCs/>
          <w:color w:val="000000"/>
        </w:rPr>
        <w:t>šio nutarimo 1.3.1</w:t>
      </w:r>
      <w:r w:rsidRPr="00FA192F">
        <w:rPr>
          <w:bCs/>
          <w:color w:val="000000"/>
        </w:rPr>
        <w:t xml:space="preserve"> papunkčiu</w:t>
      </w:r>
      <w:r w:rsidRPr="00F15AD5">
        <w:rPr>
          <w:bCs/>
          <w:color w:val="000000"/>
        </w:rPr>
        <w:t>.</w:t>
      </w:r>
    </w:p>
    <w:p w14:paraId="036D7D33" w14:textId="6820BD87" w:rsidR="001835EA" w:rsidRPr="003674C3" w:rsidRDefault="00B736E9" w:rsidP="003674C3">
      <w:pPr>
        <w:spacing w:line="360" w:lineRule="auto"/>
        <w:ind w:firstLine="567"/>
        <w:jc w:val="both"/>
        <w:rPr>
          <w:bCs/>
          <w:color w:val="000000"/>
        </w:rPr>
      </w:pPr>
      <w:r>
        <w:t>3</w:t>
      </w:r>
      <w:r w:rsidR="001835EA">
        <w:t>. Šio nutarimo 1.</w:t>
      </w:r>
      <w:r w:rsidR="00B23BAF">
        <w:t>3.</w:t>
      </w:r>
      <w:r w:rsidR="00D25AB5">
        <w:t>2</w:t>
      </w:r>
      <w:r w:rsidR="001835EA">
        <w:t xml:space="preserve"> </w:t>
      </w:r>
      <w:r w:rsidR="001B21F8">
        <w:t xml:space="preserve">ir </w:t>
      </w:r>
      <w:r w:rsidR="001B21F8">
        <w:rPr>
          <w:lang w:val="en-GB"/>
        </w:rPr>
        <w:t xml:space="preserve">1.3.4 </w:t>
      </w:r>
      <w:r w:rsidR="001B21F8">
        <w:t xml:space="preserve">papunkčiai </w:t>
      </w:r>
      <w:r w:rsidR="001835EA">
        <w:t>įsigalioja 2022 m. sausio 1 dien</w:t>
      </w:r>
      <w:r w:rsidR="005E4BF1">
        <w:t>ą</w:t>
      </w:r>
      <w:r w:rsidR="001835EA">
        <w:t>.</w:t>
      </w:r>
    </w:p>
    <w:p w14:paraId="3C9B4421" w14:textId="00AAB0EB" w:rsidR="005878C6" w:rsidRDefault="005878C6" w:rsidP="005878C6">
      <w:pPr>
        <w:tabs>
          <w:tab w:val="right" w:pos="9639"/>
        </w:tabs>
      </w:pPr>
    </w:p>
    <w:p w14:paraId="2F51DD8C" w14:textId="77777777" w:rsidR="00BA1E2E" w:rsidRDefault="00BA1E2E" w:rsidP="005878C6">
      <w:pPr>
        <w:tabs>
          <w:tab w:val="right" w:pos="9639"/>
        </w:tabs>
      </w:pPr>
    </w:p>
    <w:p w14:paraId="3289BDA9" w14:textId="77777777" w:rsidR="005878C6" w:rsidRDefault="005878C6" w:rsidP="005878C6">
      <w:pPr>
        <w:tabs>
          <w:tab w:val="right" w:pos="9639"/>
        </w:tabs>
      </w:pPr>
    </w:p>
    <w:p w14:paraId="0798B273" w14:textId="77777777" w:rsidR="00E369B0" w:rsidRDefault="00F11AA7" w:rsidP="005878C6">
      <w:pPr>
        <w:tabs>
          <w:tab w:val="right" w:pos="9639"/>
        </w:tabs>
      </w:pPr>
      <w:r>
        <w:t>Ministras Pirmininkas</w:t>
      </w:r>
    </w:p>
    <w:p w14:paraId="08029AE8" w14:textId="77777777" w:rsidR="00F11AA7" w:rsidRDefault="00F11AA7" w:rsidP="005878C6">
      <w:pPr>
        <w:tabs>
          <w:tab w:val="right" w:pos="9639"/>
        </w:tabs>
      </w:pPr>
    </w:p>
    <w:p w14:paraId="66FD6170" w14:textId="77777777" w:rsidR="00F11AA7" w:rsidRDefault="00F11AA7" w:rsidP="005878C6">
      <w:pPr>
        <w:tabs>
          <w:tab w:val="right" w:pos="9639"/>
        </w:tabs>
      </w:pPr>
    </w:p>
    <w:p w14:paraId="218FF781" w14:textId="77777777" w:rsidR="004A3AE0" w:rsidRDefault="004A3AE0" w:rsidP="005878C6">
      <w:pPr>
        <w:tabs>
          <w:tab w:val="right" w:pos="9639"/>
        </w:tabs>
      </w:pPr>
    </w:p>
    <w:p w14:paraId="2B16E655" w14:textId="77777777" w:rsidR="00F11AA7" w:rsidRDefault="00F11AA7" w:rsidP="005878C6">
      <w:pPr>
        <w:tabs>
          <w:tab w:val="right" w:pos="9639"/>
        </w:tabs>
      </w:pPr>
      <w:r>
        <w:t>Finansų ministras</w:t>
      </w:r>
    </w:p>
    <w:p w14:paraId="288F15E2" w14:textId="77777777" w:rsidR="00E369B0" w:rsidRDefault="00E369B0" w:rsidP="005878C6">
      <w:pPr>
        <w:tabs>
          <w:tab w:val="right" w:pos="9639"/>
        </w:tabs>
      </w:pPr>
    </w:p>
    <w:p w14:paraId="14475220" w14:textId="77777777" w:rsidR="00E369B0" w:rsidRDefault="00E369B0" w:rsidP="005878C6">
      <w:pPr>
        <w:ind w:left="5670" w:firstLine="62"/>
        <w:rPr>
          <w:caps/>
        </w:rPr>
      </w:pPr>
    </w:p>
    <w:p w14:paraId="0F2652FF" w14:textId="77777777" w:rsidR="00F11AA7" w:rsidRDefault="00F11AA7" w:rsidP="005878C6">
      <w:pPr>
        <w:ind w:left="5670" w:firstLine="62"/>
        <w:rPr>
          <w:color w:val="000000"/>
          <w:szCs w:val="24"/>
          <w:lang w:eastAsia="lt-LT"/>
        </w:rPr>
      </w:pPr>
    </w:p>
    <w:p w14:paraId="4C4AAB0C" w14:textId="77777777" w:rsidR="00F11AA7" w:rsidRDefault="00F11AA7">
      <w:pPr>
        <w:ind w:left="5670" w:firstLine="62"/>
        <w:rPr>
          <w:color w:val="000000"/>
          <w:szCs w:val="24"/>
          <w:lang w:eastAsia="lt-LT"/>
        </w:rPr>
      </w:pPr>
    </w:p>
    <w:sectPr w:rsidR="00F11AA7" w:rsidSect="00F11AA7">
      <w:headerReference w:type="even" r:id="rId11"/>
      <w:headerReference w:type="default" r:id="rId12"/>
      <w:footerReference w:type="even" r:id="rId13"/>
      <w:footerReference w:type="default" r:id="rId14"/>
      <w:headerReference w:type="first" r:id="rId15"/>
      <w:footerReference w:type="first" r:id="rId16"/>
      <w:pgSz w:w="11906" w:h="16838" w:code="9"/>
      <w:pgMar w:top="1134" w:right="566" w:bottom="1134" w:left="1701" w:header="567" w:footer="567" w:gutter="0"/>
      <w:pgNumType w:start="1"/>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72F3A" w16cex:dateUtc="2021-09-23T13:52:00Z"/>
  <w16cex:commentExtensible w16cex:durableId="24F73093" w16cex:dateUtc="2021-09-23T1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77EA0F" w16cid:durableId="24F72F3A"/>
  <w16cid:commentId w16cid:paraId="2D2AB00D" w16cid:durableId="24F7309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9026E" w14:textId="77777777" w:rsidR="00E40AB8" w:rsidRDefault="00E40AB8">
      <w:r>
        <w:separator/>
      </w:r>
    </w:p>
  </w:endnote>
  <w:endnote w:type="continuationSeparator" w:id="0">
    <w:p w14:paraId="0FEF4286" w14:textId="77777777" w:rsidR="00E40AB8" w:rsidRDefault="00E4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9F050" w14:textId="77777777" w:rsidR="00E369B0" w:rsidRDefault="00E369B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6A1D8" w14:textId="77777777" w:rsidR="00E369B0" w:rsidRDefault="00E369B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3BBA2" w14:textId="77777777" w:rsidR="00E369B0" w:rsidRDefault="00E369B0">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0E54C" w14:textId="77777777" w:rsidR="00E40AB8" w:rsidRDefault="00E40AB8">
      <w:r>
        <w:separator/>
      </w:r>
    </w:p>
  </w:footnote>
  <w:footnote w:type="continuationSeparator" w:id="0">
    <w:p w14:paraId="2EAA6C3A" w14:textId="77777777" w:rsidR="00E40AB8" w:rsidRDefault="00E40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6A2A2" w14:textId="77777777" w:rsidR="00E369B0" w:rsidRDefault="000F4555">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6959E64F" w14:textId="77777777" w:rsidR="00E369B0" w:rsidRDefault="00E369B0">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8C96" w14:textId="67125C4C" w:rsidR="00E369B0" w:rsidRDefault="000F4555">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1A1A8C">
      <w:rPr>
        <w:noProof/>
        <w:lang w:val="en-GB"/>
      </w:rPr>
      <w:t>2</w:t>
    </w:r>
    <w:r>
      <w:rPr>
        <w:lang w:val="en-GB"/>
      </w:rPr>
      <w:fldChar w:fldCharType="end"/>
    </w:r>
  </w:p>
  <w:p w14:paraId="1B9731E8" w14:textId="77777777" w:rsidR="00E369B0" w:rsidRDefault="00E369B0">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893CB" w14:textId="77777777" w:rsidR="00E369B0" w:rsidRDefault="00E369B0">
    <w:pPr>
      <w:tabs>
        <w:tab w:val="center" w:pos="4153"/>
        <w:tab w:val="right" w:pos="8306"/>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8931DC"/>
    <w:multiLevelType w:val="hybridMultilevel"/>
    <w:tmpl w:val="FE628D6E"/>
    <w:lvl w:ilvl="0" w:tplc="D81659A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8"/>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FD1"/>
    <w:rsid w:val="000013E3"/>
    <w:rsid w:val="0004080A"/>
    <w:rsid w:val="00074218"/>
    <w:rsid w:val="000F4555"/>
    <w:rsid w:val="001421DC"/>
    <w:rsid w:val="00160DA3"/>
    <w:rsid w:val="001835EA"/>
    <w:rsid w:val="00196A8B"/>
    <w:rsid w:val="001A1A8C"/>
    <w:rsid w:val="001B1477"/>
    <w:rsid w:val="001B21F8"/>
    <w:rsid w:val="001F32DC"/>
    <w:rsid w:val="001F4D62"/>
    <w:rsid w:val="00212225"/>
    <w:rsid w:val="00261DFA"/>
    <w:rsid w:val="00272871"/>
    <w:rsid w:val="002903DB"/>
    <w:rsid w:val="00295FD1"/>
    <w:rsid w:val="0032268D"/>
    <w:rsid w:val="003674C3"/>
    <w:rsid w:val="003E7CC2"/>
    <w:rsid w:val="00400287"/>
    <w:rsid w:val="00403632"/>
    <w:rsid w:val="0043539B"/>
    <w:rsid w:val="004538F2"/>
    <w:rsid w:val="0048359A"/>
    <w:rsid w:val="00493D4A"/>
    <w:rsid w:val="004A3AE0"/>
    <w:rsid w:val="004F407E"/>
    <w:rsid w:val="004F7E55"/>
    <w:rsid w:val="00544B95"/>
    <w:rsid w:val="005615BC"/>
    <w:rsid w:val="005878C6"/>
    <w:rsid w:val="005E4BF1"/>
    <w:rsid w:val="006428B1"/>
    <w:rsid w:val="00662233"/>
    <w:rsid w:val="006B3439"/>
    <w:rsid w:val="006D4BFA"/>
    <w:rsid w:val="006F7EB2"/>
    <w:rsid w:val="007076CD"/>
    <w:rsid w:val="00710CB8"/>
    <w:rsid w:val="0073266B"/>
    <w:rsid w:val="00766022"/>
    <w:rsid w:val="007913C8"/>
    <w:rsid w:val="007A0FD4"/>
    <w:rsid w:val="007C70EF"/>
    <w:rsid w:val="007F72A6"/>
    <w:rsid w:val="00840336"/>
    <w:rsid w:val="00874BA2"/>
    <w:rsid w:val="00881F19"/>
    <w:rsid w:val="008C0373"/>
    <w:rsid w:val="008D0919"/>
    <w:rsid w:val="00916505"/>
    <w:rsid w:val="00930A97"/>
    <w:rsid w:val="00933D21"/>
    <w:rsid w:val="0094209F"/>
    <w:rsid w:val="009747AE"/>
    <w:rsid w:val="009D3B24"/>
    <w:rsid w:val="00A4484B"/>
    <w:rsid w:val="00A54A86"/>
    <w:rsid w:val="00AC18DB"/>
    <w:rsid w:val="00AC1AA9"/>
    <w:rsid w:val="00B1399F"/>
    <w:rsid w:val="00B15DB0"/>
    <w:rsid w:val="00B220D4"/>
    <w:rsid w:val="00B23BAF"/>
    <w:rsid w:val="00B6228E"/>
    <w:rsid w:val="00B736E9"/>
    <w:rsid w:val="00BA1E2E"/>
    <w:rsid w:val="00BB6CDC"/>
    <w:rsid w:val="00BC34C6"/>
    <w:rsid w:val="00BD1A36"/>
    <w:rsid w:val="00C02C6F"/>
    <w:rsid w:val="00C062DB"/>
    <w:rsid w:val="00C2669A"/>
    <w:rsid w:val="00C465A1"/>
    <w:rsid w:val="00CA1B70"/>
    <w:rsid w:val="00CA7920"/>
    <w:rsid w:val="00D1783C"/>
    <w:rsid w:val="00D21EC2"/>
    <w:rsid w:val="00D25AB5"/>
    <w:rsid w:val="00D307BE"/>
    <w:rsid w:val="00D677D7"/>
    <w:rsid w:val="00D766A1"/>
    <w:rsid w:val="00D9033B"/>
    <w:rsid w:val="00DA24BE"/>
    <w:rsid w:val="00DA55DA"/>
    <w:rsid w:val="00E21D92"/>
    <w:rsid w:val="00E369B0"/>
    <w:rsid w:val="00E40AB8"/>
    <w:rsid w:val="00EE4280"/>
    <w:rsid w:val="00F11AA7"/>
    <w:rsid w:val="00F15AD5"/>
    <w:rsid w:val="00F27037"/>
    <w:rsid w:val="00F4109F"/>
    <w:rsid w:val="00F42DC5"/>
    <w:rsid w:val="00F45CA2"/>
    <w:rsid w:val="00FA192F"/>
    <w:rsid w:val="00FC2F65"/>
    <w:rsid w:val="00FF5647"/>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A4901"/>
  <w15:docId w15:val="{B4573849-CC5F-4FF1-8C1E-A93066CA8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iPriority w:val="99"/>
    <w:unhideWhenUsed/>
    <w:rPr>
      <w:color w:val="0000FF"/>
      <w:u w:val="single"/>
    </w:rPr>
  </w:style>
  <w:style w:type="paragraph" w:styleId="Sraopastraipa">
    <w:name w:val="List Paragraph"/>
    <w:basedOn w:val="prastasis"/>
    <w:rsid w:val="001F32DC"/>
    <w:pPr>
      <w:ind w:left="720"/>
      <w:contextualSpacing/>
    </w:pPr>
  </w:style>
  <w:style w:type="character" w:styleId="Komentaronuoroda">
    <w:name w:val="annotation reference"/>
    <w:basedOn w:val="Numatytasispastraiposriftas"/>
    <w:semiHidden/>
    <w:unhideWhenUsed/>
    <w:rsid w:val="007F72A6"/>
    <w:rPr>
      <w:sz w:val="16"/>
      <w:szCs w:val="16"/>
    </w:rPr>
  </w:style>
  <w:style w:type="paragraph" w:styleId="Komentarotekstas">
    <w:name w:val="annotation text"/>
    <w:basedOn w:val="prastasis"/>
    <w:link w:val="KomentarotekstasDiagrama"/>
    <w:semiHidden/>
    <w:unhideWhenUsed/>
    <w:rsid w:val="007F72A6"/>
    <w:rPr>
      <w:sz w:val="20"/>
    </w:rPr>
  </w:style>
  <w:style w:type="character" w:customStyle="1" w:styleId="KomentarotekstasDiagrama">
    <w:name w:val="Komentaro tekstas Diagrama"/>
    <w:basedOn w:val="Numatytasispastraiposriftas"/>
    <w:link w:val="Komentarotekstas"/>
    <w:semiHidden/>
    <w:rsid w:val="007F72A6"/>
    <w:rPr>
      <w:sz w:val="20"/>
    </w:rPr>
  </w:style>
  <w:style w:type="paragraph" w:styleId="Komentarotema">
    <w:name w:val="annotation subject"/>
    <w:basedOn w:val="Komentarotekstas"/>
    <w:next w:val="Komentarotekstas"/>
    <w:link w:val="KomentarotemaDiagrama"/>
    <w:semiHidden/>
    <w:unhideWhenUsed/>
    <w:rsid w:val="007F72A6"/>
    <w:rPr>
      <w:b/>
      <w:bCs/>
    </w:rPr>
  </w:style>
  <w:style w:type="character" w:customStyle="1" w:styleId="KomentarotemaDiagrama">
    <w:name w:val="Komentaro tema Diagrama"/>
    <w:basedOn w:val="KomentarotekstasDiagrama"/>
    <w:link w:val="Komentarotema"/>
    <w:semiHidden/>
    <w:rsid w:val="007F72A6"/>
    <w:rPr>
      <w:b/>
      <w:bCs/>
      <w:sz w:val="20"/>
    </w:rPr>
  </w:style>
  <w:style w:type="paragraph" w:styleId="Debesliotekstas">
    <w:name w:val="Balloon Text"/>
    <w:basedOn w:val="prastasis"/>
    <w:link w:val="DebesliotekstasDiagrama"/>
    <w:semiHidden/>
    <w:unhideWhenUsed/>
    <w:rsid w:val="007F72A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F72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14617">
      <w:bodyDiv w:val="1"/>
      <w:marLeft w:val="0"/>
      <w:marRight w:val="0"/>
      <w:marTop w:val="0"/>
      <w:marBottom w:val="0"/>
      <w:divBdr>
        <w:top w:val="none" w:sz="0" w:space="0" w:color="auto"/>
        <w:left w:val="none" w:sz="0" w:space="0" w:color="auto"/>
        <w:bottom w:val="none" w:sz="0" w:space="0" w:color="auto"/>
        <w:right w:val="none" w:sz="0" w:space="0" w:color="auto"/>
      </w:divBdr>
    </w:div>
    <w:div w:id="139277624">
      <w:bodyDiv w:val="1"/>
      <w:marLeft w:val="0"/>
      <w:marRight w:val="0"/>
      <w:marTop w:val="0"/>
      <w:marBottom w:val="0"/>
      <w:divBdr>
        <w:top w:val="none" w:sz="0" w:space="0" w:color="auto"/>
        <w:left w:val="none" w:sz="0" w:space="0" w:color="auto"/>
        <w:bottom w:val="none" w:sz="0" w:space="0" w:color="auto"/>
        <w:right w:val="none" w:sz="0" w:space="0" w:color="auto"/>
      </w:divBdr>
    </w:div>
    <w:div w:id="204679890">
      <w:bodyDiv w:val="1"/>
      <w:marLeft w:val="0"/>
      <w:marRight w:val="0"/>
      <w:marTop w:val="0"/>
      <w:marBottom w:val="0"/>
      <w:divBdr>
        <w:top w:val="none" w:sz="0" w:space="0" w:color="auto"/>
        <w:left w:val="none" w:sz="0" w:space="0" w:color="auto"/>
        <w:bottom w:val="none" w:sz="0" w:space="0" w:color="auto"/>
        <w:right w:val="none" w:sz="0" w:space="0" w:color="auto"/>
      </w:divBdr>
    </w:div>
    <w:div w:id="291834084">
      <w:bodyDiv w:val="1"/>
      <w:marLeft w:val="0"/>
      <w:marRight w:val="0"/>
      <w:marTop w:val="0"/>
      <w:marBottom w:val="0"/>
      <w:divBdr>
        <w:top w:val="none" w:sz="0" w:space="0" w:color="auto"/>
        <w:left w:val="none" w:sz="0" w:space="0" w:color="auto"/>
        <w:bottom w:val="none" w:sz="0" w:space="0" w:color="auto"/>
        <w:right w:val="none" w:sz="0" w:space="0" w:color="auto"/>
      </w:divBdr>
    </w:div>
    <w:div w:id="293561659">
      <w:bodyDiv w:val="1"/>
      <w:marLeft w:val="0"/>
      <w:marRight w:val="0"/>
      <w:marTop w:val="0"/>
      <w:marBottom w:val="0"/>
      <w:divBdr>
        <w:top w:val="none" w:sz="0" w:space="0" w:color="auto"/>
        <w:left w:val="none" w:sz="0" w:space="0" w:color="auto"/>
        <w:bottom w:val="none" w:sz="0" w:space="0" w:color="auto"/>
        <w:right w:val="none" w:sz="0" w:space="0" w:color="auto"/>
      </w:divBdr>
    </w:div>
    <w:div w:id="391851637">
      <w:bodyDiv w:val="1"/>
      <w:marLeft w:val="0"/>
      <w:marRight w:val="0"/>
      <w:marTop w:val="0"/>
      <w:marBottom w:val="0"/>
      <w:divBdr>
        <w:top w:val="none" w:sz="0" w:space="0" w:color="auto"/>
        <w:left w:val="none" w:sz="0" w:space="0" w:color="auto"/>
        <w:bottom w:val="none" w:sz="0" w:space="0" w:color="auto"/>
        <w:right w:val="none" w:sz="0" w:space="0" w:color="auto"/>
      </w:divBdr>
    </w:div>
    <w:div w:id="402026945">
      <w:bodyDiv w:val="1"/>
      <w:marLeft w:val="0"/>
      <w:marRight w:val="0"/>
      <w:marTop w:val="0"/>
      <w:marBottom w:val="0"/>
      <w:divBdr>
        <w:top w:val="none" w:sz="0" w:space="0" w:color="auto"/>
        <w:left w:val="none" w:sz="0" w:space="0" w:color="auto"/>
        <w:bottom w:val="none" w:sz="0" w:space="0" w:color="auto"/>
        <w:right w:val="none" w:sz="0" w:space="0" w:color="auto"/>
      </w:divBdr>
    </w:div>
    <w:div w:id="665131202">
      <w:bodyDiv w:val="1"/>
      <w:marLeft w:val="0"/>
      <w:marRight w:val="0"/>
      <w:marTop w:val="0"/>
      <w:marBottom w:val="0"/>
      <w:divBdr>
        <w:top w:val="none" w:sz="0" w:space="0" w:color="auto"/>
        <w:left w:val="none" w:sz="0" w:space="0" w:color="auto"/>
        <w:bottom w:val="none" w:sz="0" w:space="0" w:color="auto"/>
        <w:right w:val="none" w:sz="0" w:space="0" w:color="auto"/>
      </w:divBdr>
    </w:div>
    <w:div w:id="947544796">
      <w:bodyDiv w:val="1"/>
      <w:marLeft w:val="0"/>
      <w:marRight w:val="0"/>
      <w:marTop w:val="0"/>
      <w:marBottom w:val="0"/>
      <w:divBdr>
        <w:top w:val="none" w:sz="0" w:space="0" w:color="auto"/>
        <w:left w:val="none" w:sz="0" w:space="0" w:color="auto"/>
        <w:bottom w:val="none" w:sz="0" w:space="0" w:color="auto"/>
        <w:right w:val="none" w:sz="0" w:space="0" w:color="auto"/>
      </w:divBdr>
    </w:div>
    <w:div w:id="994265753">
      <w:bodyDiv w:val="1"/>
      <w:marLeft w:val="0"/>
      <w:marRight w:val="0"/>
      <w:marTop w:val="0"/>
      <w:marBottom w:val="0"/>
      <w:divBdr>
        <w:top w:val="none" w:sz="0" w:space="0" w:color="auto"/>
        <w:left w:val="none" w:sz="0" w:space="0" w:color="auto"/>
        <w:bottom w:val="none" w:sz="0" w:space="0" w:color="auto"/>
        <w:right w:val="none" w:sz="0" w:space="0" w:color="auto"/>
      </w:divBdr>
    </w:div>
    <w:div w:id="1060325029">
      <w:bodyDiv w:val="1"/>
      <w:marLeft w:val="0"/>
      <w:marRight w:val="0"/>
      <w:marTop w:val="0"/>
      <w:marBottom w:val="0"/>
      <w:divBdr>
        <w:top w:val="none" w:sz="0" w:space="0" w:color="auto"/>
        <w:left w:val="none" w:sz="0" w:space="0" w:color="auto"/>
        <w:bottom w:val="none" w:sz="0" w:space="0" w:color="auto"/>
        <w:right w:val="none" w:sz="0" w:space="0" w:color="auto"/>
      </w:divBdr>
    </w:div>
    <w:div w:id="1086026955">
      <w:bodyDiv w:val="1"/>
      <w:marLeft w:val="0"/>
      <w:marRight w:val="0"/>
      <w:marTop w:val="0"/>
      <w:marBottom w:val="0"/>
      <w:divBdr>
        <w:top w:val="none" w:sz="0" w:space="0" w:color="auto"/>
        <w:left w:val="none" w:sz="0" w:space="0" w:color="auto"/>
        <w:bottom w:val="none" w:sz="0" w:space="0" w:color="auto"/>
        <w:right w:val="none" w:sz="0" w:space="0" w:color="auto"/>
      </w:divBdr>
    </w:div>
    <w:div w:id="1095901004">
      <w:bodyDiv w:val="1"/>
      <w:marLeft w:val="0"/>
      <w:marRight w:val="0"/>
      <w:marTop w:val="0"/>
      <w:marBottom w:val="0"/>
      <w:divBdr>
        <w:top w:val="none" w:sz="0" w:space="0" w:color="auto"/>
        <w:left w:val="none" w:sz="0" w:space="0" w:color="auto"/>
        <w:bottom w:val="none" w:sz="0" w:space="0" w:color="auto"/>
        <w:right w:val="none" w:sz="0" w:space="0" w:color="auto"/>
      </w:divBdr>
    </w:div>
    <w:div w:id="1281373896">
      <w:bodyDiv w:val="1"/>
      <w:marLeft w:val="0"/>
      <w:marRight w:val="0"/>
      <w:marTop w:val="0"/>
      <w:marBottom w:val="0"/>
      <w:divBdr>
        <w:top w:val="none" w:sz="0" w:space="0" w:color="auto"/>
        <w:left w:val="none" w:sz="0" w:space="0" w:color="auto"/>
        <w:bottom w:val="none" w:sz="0" w:space="0" w:color="auto"/>
        <w:right w:val="none" w:sz="0" w:space="0" w:color="auto"/>
      </w:divBdr>
    </w:div>
    <w:div w:id="1416365714">
      <w:bodyDiv w:val="1"/>
      <w:marLeft w:val="0"/>
      <w:marRight w:val="0"/>
      <w:marTop w:val="0"/>
      <w:marBottom w:val="0"/>
      <w:divBdr>
        <w:top w:val="none" w:sz="0" w:space="0" w:color="auto"/>
        <w:left w:val="none" w:sz="0" w:space="0" w:color="auto"/>
        <w:bottom w:val="none" w:sz="0" w:space="0" w:color="auto"/>
        <w:right w:val="none" w:sz="0" w:space="0" w:color="auto"/>
      </w:divBdr>
    </w:div>
    <w:div w:id="1454204523">
      <w:bodyDiv w:val="1"/>
      <w:marLeft w:val="0"/>
      <w:marRight w:val="0"/>
      <w:marTop w:val="0"/>
      <w:marBottom w:val="0"/>
      <w:divBdr>
        <w:top w:val="none" w:sz="0" w:space="0" w:color="auto"/>
        <w:left w:val="none" w:sz="0" w:space="0" w:color="auto"/>
        <w:bottom w:val="none" w:sz="0" w:space="0" w:color="auto"/>
        <w:right w:val="none" w:sz="0" w:space="0" w:color="auto"/>
      </w:divBdr>
    </w:div>
    <w:div w:id="1903635962">
      <w:bodyDiv w:val="1"/>
      <w:marLeft w:val="0"/>
      <w:marRight w:val="0"/>
      <w:marTop w:val="0"/>
      <w:marBottom w:val="0"/>
      <w:divBdr>
        <w:top w:val="none" w:sz="0" w:space="0" w:color="auto"/>
        <w:left w:val="none" w:sz="0" w:space="0" w:color="auto"/>
        <w:bottom w:val="none" w:sz="0" w:space="0" w:color="auto"/>
        <w:right w:val="none" w:sz="0" w:space="0" w:color="auto"/>
      </w:divBdr>
    </w:div>
    <w:div w:id="1977098357">
      <w:bodyDiv w:val="1"/>
      <w:marLeft w:val="0"/>
      <w:marRight w:val="0"/>
      <w:marTop w:val="0"/>
      <w:marBottom w:val="0"/>
      <w:divBdr>
        <w:top w:val="none" w:sz="0" w:space="0" w:color="auto"/>
        <w:left w:val="none" w:sz="0" w:space="0" w:color="auto"/>
        <w:bottom w:val="none" w:sz="0" w:space="0" w:color="auto"/>
        <w:right w:val="none" w:sz="0" w:space="0" w:color="auto"/>
      </w:divBdr>
    </w:div>
    <w:div w:id="214592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19" Target="commentsIds.xml"
                 Type="http://schemas.microsoft.com/office/2016/09/relationships/commentsIds"/>
   <Relationship Id="rId2" Target="../customXml/item2.xml"
                 Type="http://schemas.openxmlformats.org/officeDocument/2006/relationships/customXml"/>
   <Relationship Id="rId20" Target="commentsExtensible.xml"
                 Type="http://schemas.microsoft.com/office/2018/08/relationships/commentsExtensibl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88712-B962-4A32-8BFA-592E2D61B664}">
  <ds:schemaRefs>
    <ds:schemaRef ds:uri="http://schemas.microsoft.com/sharepoint/v3/contenttype/forms"/>
  </ds:schemaRefs>
</ds:datastoreItem>
</file>

<file path=customXml/itemProps2.xml><?xml version="1.0" encoding="utf-8"?>
<ds:datastoreItem xmlns:ds="http://schemas.openxmlformats.org/officeDocument/2006/customXml" ds:itemID="{BA1807BA-0FF3-4BD0-8FDD-D2EBAC2B522B}"/>
</file>

<file path=customXml/itemProps3.xml><?xml version="1.0" encoding="utf-8"?>
<ds:datastoreItem xmlns:ds="http://schemas.openxmlformats.org/officeDocument/2006/customXml" ds:itemID="{41F37260-7B05-4FC3-9C61-080C72E22C1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BB6B40E-868D-43B0-8266-A8E8AF122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2255</Words>
  <Characters>1286</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2021-09-24T05:19:00Z</dcterms:created>
  <dc:creator>User</dc:creator>
  <cp:lastModifiedBy>Šimkūnaitė Ilona | ŠMSM</cp:lastModifiedBy>
  <dcterms:modified xsi:type="dcterms:W3CDTF">2021-09-24T08:34:00Z</dcterms:modified>
  <cp:revision>4</cp:revision>
  <dc:title>1fbb10eb-fccb-458c-91ac-29c797616899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