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Look w:val="0000" w:firstRow="0" w:lastRow="0" w:firstColumn="0" w:lastColumn="0" w:noHBand="0" w:noVBand="0"/>
      </w:tblPr>
      <w:tblGrid>
        <w:gridCol w:w="4068"/>
        <w:gridCol w:w="16"/>
      </w:tblGrid>
      <w:tr w:rsidR="00033F22" w14:paraId="16A8DF23" w14:textId="77777777" w:rsidTr="00D22A39">
        <w:trPr>
          <w:cantSplit/>
          <w:trHeight w:val="340"/>
        </w:trPr>
        <w:tc>
          <w:tcPr>
            <w:tcW w:w="4084" w:type="dxa"/>
            <w:gridSpan w:val="2"/>
          </w:tcPr>
          <w:p w14:paraId="7CC11754" w14:textId="57B8C66C" w:rsidR="00033F22" w:rsidRDefault="008A6547" w:rsidP="00477775">
            <w:pPr>
              <w:framePr w:hSpace="180" w:wrap="around" w:vAnchor="text" w:hAnchor="page" w:x="7286" w:y="12"/>
              <w:ind w:right="24"/>
            </w:pPr>
            <w:r>
              <w:t xml:space="preserve">  </w:t>
            </w:r>
            <w:r w:rsidR="00033F22">
              <w:t>20</w:t>
            </w:r>
            <w:r w:rsidR="00BF4628">
              <w:t>21</w:t>
            </w:r>
            <w:r w:rsidR="00033F22">
              <w:t>-</w:t>
            </w:r>
            <w:r>
              <w:t xml:space="preserve">06-  </w:t>
            </w:r>
            <w:r w:rsidR="00E75D83">
              <w:t xml:space="preserve"> </w:t>
            </w:r>
            <w:r>
              <w:t xml:space="preserve">  </w:t>
            </w:r>
            <w:r w:rsidR="00033F22">
              <w:t xml:space="preserve">Nr. </w:t>
            </w:r>
          </w:p>
        </w:tc>
      </w:tr>
      <w:tr w:rsidR="00033F22" w14:paraId="77037953" w14:textId="77777777" w:rsidTr="00D22A39">
        <w:trPr>
          <w:gridAfter w:val="1"/>
          <w:wAfter w:w="16" w:type="dxa"/>
          <w:cantSplit/>
          <w:trHeight w:val="340"/>
        </w:trPr>
        <w:tc>
          <w:tcPr>
            <w:tcW w:w="4068" w:type="dxa"/>
          </w:tcPr>
          <w:p w14:paraId="6B580456" w14:textId="426EC417" w:rsidR="008A6547" w:rsidRDefault="00BF4628" w:rsidP="008A6547">
            <w:pPr>
              <w:framePr w:hSpace="180" w:wrap="around" w:vAnchor="text" w:hAnchor="page" w:x="7286" w:y="12"/>
              <w:suppressAutoHyphens w:val="0"/>
              <w:rPr>
                <w:lang w:eastAsia="en-GB"/>
              </w:rPr>
            </w:pPr>
            <w:r>
              <w:t>Į 2021</w:t>
            </w:r>
            <w:r w:rsidR="00E75D83">
              <w:t>-</w:t>
            </w:r>
            <w:r w:rsidR="008A6547">
              <w:t>06-</w:t>
            </w:r>
            <w:r w:rsidR="008A6547" w:rsidRPr="008A6547">
              <w:t>11</w:t>
            </w:r>
            <w:r w:rsidR="00E75D83" w:rsidRPr="008A6547">
              <w:t xml:space="preserve"> Nr.</w:t>
            </w:r>
            <w:r w:rsidR="008A6547" w:rsidRPr="008A6547">
              <w:rPr>
                <w:color w:val="000000"/>
                <w:shd w:val="clear" w:color="auto" w:fill="FFFFFF"/>
              </w:rPr>
              <w:t xml:space="preserve"> 10-3626</w:t>
            </w:r>
          </w:p>
          <w:p w14:paraId="678511A9" w14:textId="2AAB4E74" w:rsidR="00033F22" w:rsidRDefault="00033F22" w:rsidP="007B4A13">
            <w:pPr>
              <w:framePr w:hSpace="180" w:wrap="around" w:vAnchor="text" w:hAnchor="page" w:x="7286" w:y="12"/>
              <w:ind w:right="24"/>
            </w:pPr>
          </w:p>
        </w:tc>
      </w:tr>
    </w:tbl>
    <w:p w14:paraId="5B526BCC" w14:textId="58A8606E" w:rsidR="00E75D83" w:rsidRDefault="008A6547" w:rsidP="00E75D83">
      <w:pPr>
        <w:pStyle w:val="Adresas"/>
      </w:pPr>
      <w:r>
        <w:t xml:space="preserve">Lietuvos Respublikos sveikatos apsaugos ministerijai </w:t>
      </w:r>
    </w:p>
    <w:p w14:paraId="03FE5AB0" w14:textId="77777777" w:rsidR="00E75D83" w:rsidRDefault="00E75D83" w:rsidP="00E75D83">
      <w:pPr>
        <w:pStyle w:val="Adresas"/>
      </w:pPr>
    </w:p>
    <w:p w14:paraId="4FE9C2CA" w14:textId="77777777" w:rsidR="00E75D83" w:rsidRDefault="00E75D83" w:rsidP="00E75D83">
      <w:pPr>
        <w:pStyle w:val="Adresas"/>
      </w:pPr>
    </w:p>
    <w:p w14:paraId="55E2A9B4" w14:textId="77777777" w:rsidR="00E75D83" w:rsidRPr="00CA1F17" w:rsidRDefault="00E75D83" w:rsidP="00E75D83">
      <w:pPr>
        <w:pStyle w:val="Adresas"/>
      </w:pPr>
    </w:p>
    <w:p w14:paraId="739554ED" w14:textId="77777777" w:rsidR="00E75D83" w:rsidRPr="00CA1F17" w:rsidRDefault="00E75D83" w:rsidP="00E75D83">
      <w:pPr>
        <w:pStyle w:val="Kopija"/>
        <w:ind w:right="279"/>
      </w:pPr>
      <w:r w:rsidRPr="00CA1F17">
        <w:t xml:space="preserve"> </w:t>
      </w:r>
    </w:p>
    <w:p w14:paraId="62B95FA1" w14:textId="2EE85E79" w:rsidR="008A6547" w:rsidRDefault="008A6547" w:rsidP="008A6547">
      <w:pPr>
        <w:suppressAutoHyphens w:val="0"/>
        <w:rPr>
          <w:b/>
          <w:bCs/>
          <w:color w:val="000000"/>
          <w:lang w:eastAsia="en-GB"/>
        </w:rPr>
      </w:pPr>
      <w:r w:rsidRPr="008A6547">
        <w:rPr>
          <w:b/>
          <w:bCs/>
          <w:color w:val="000000"/>
          <w:lang w:eastAsia="en-GB"/>
        </w:rPr>
        <w:t>DĖL VYRIAUSYBĖS NUTARIMŲ PROJEKTŲ DERINIMO</w:t>
      </w:r>
    </w:p>
    <w:p w14:paraId="237D0241" w14:textId="0DCC373B" w:rsidR="005B3FD9" w:rsidRDefault="005B3FD9" w:rsidP="008A6547">
      <w:pPr>
        <w:suppressAutoHyphens w:val="0"/>
        <w:rPr>
          <w:b/>
          <w:bCs/>
          <w:color w:val="000000"/>
          <w:lang w:eastAsia="en-GB"/>
        </w:rPr>
      </w:pPr>
    </w:p>
    <w:p w14:paraId="6E6F8E13" w14:textId="77777777" w:rsidR="005B3FD9" w:rsidRPr="008A6547" w:rsidRDefault="005B3FD9" w:rsidP="008A6547">
      <w:pPr>
        <w:suppressAutoHyphens w:val="0"/>
        <w:rPr>
          <w:lang w:eastAsia="en-GB"/>
        </w:rPr>
      </w:pPr>
    </w:p>
    <w:p w14:paraId="56DEAE65" w14:textId="77777777" w:rsidR="00E75D83" w:rsidRDefault="00E75D83" w:rsidP="00E75D83"/>
    <w:p w14:paraId="75BA2D45" w14:textId="5957C9E9" w:rsidR="008A6547" w:rsidRDefault="000E6449" w:rsidP="000E6449">
      <w:pPr>
        <w:ind w:firstLine="1276"/>
        <w:jc w:val="both"/>
        <w:rPr>
          <w:color w:val="000000"/>
          <w:lang w:eastAsia="en-GB"/>
        </w:rPr>
      </w:pPr>
      <w:r>
        <w:t xml:space="preserve">Lietuvos Respublikos teisingumo ministerija gavo išvadai </w:t>
      </w:r>
      <w:r w:rsidR="0077591A">
        <w:t>pateikti</w:t>
      </w:r>
      <w:r>
        <w:t xml:space="preserve"> </w:t>
      </w:r>
      <w:hyperlink r:id="rId8" w:history="1">
        <w:r w:rsidR="008A6547" w:rsidRPr="008A6547">
          <w:rPr>
            <w:rStyle w:val="Hipersaitas"/>
            <w:lang w:eastAsia="en-GB"/>
          </w:rPr>
          <w:t>Lietuvos Respublikos Vyriausybės nutarimo „Dėl Lietuvos Respublikos Vyriausybės 1995 m. gruodžio 28 d. nutarimo Nr. 1630 „Dėl veiklos, susijusios su vaistiniais preparatais, kurių sudėtyje yra I sąrašo</w:t>
        </w:r>
      </w:hyperlink>
      <w:r w:rsidR="008A6547" w:rsidRPr="008A6547">
        <w:rPr>
          <w:color w:val="000000"/>
          <w:lang w:eastAsia="en-GB"/>
        </w:rPr>
        <w:t xml:space="preserve"> </w:t>
      </w:r>
      <w:hyperlink r:id="rId9" w:history="1">
        <w:r w:rsidR="00EE1170" w:rsidRPr="00EE1170">
          <w:rPr>
            <w:rStyle w:val="Hipersaitas"/>
            <w:lang w:eastAsia="en-GB"/>
          </w:rPr>
          <w:t>medžiagų, ir II, III sąrašų narkotinėmis ir psichotropinėmis medžiagomis licencijavimo taisyklių ir Leidimų mokslinių tyrimų veiklai su medžiagomis, įtrauktomis į I narkotinių ir psichotropinių medžiagų sąrašą, išdavimo tvarkos aprašo patvirtinimo“ pakei</w:t>
        </w:r>
        <w:r w:rsidR="00EE1170">
          <w:rPr>
            <w:rStyle w:val="Hipersaitas"/>
            <w:lang w:eastAsia="en-GB"/>
          </w:rPr>
          <w:t xml:space="preserve">timo projektą </w:t>
        </w:r>
      </w:hyperlink>
      <w:r w:rsidR="008A6547" w:rsidRPr="008A6547">
        <w:rPr>
          <w:color w:val="000000"/>
          <w:lang w:eastAsia="en-GB"/>
        </w:rPr>
        <w:t>(toliau – </w:t>
      </w:r>
      <w:r w:rsidR="00913175">
        <w:rPr>
          <w:color w:val="000000"/>
          <w:lang w:eastAsia="en-GB"/>
        </w:rPr>
        <w:t>P</w:t>
      </w:r>
      <w:r w:rsidR="008A6547" w:rsidRPr="008A6547">
        <w:rPr>
          <w:color w:val="000000"/>
          <w:lang w:eastAsia="en-GB"/>
        </w:rPr>
        <w:t xml:space="preserve">rojektas) ir </w:t>
      </w:r>
      <w:hyperlink r:id="rId10" w:history="1">
        <w:r w:rsidR="00EE1170" w:rsidRPr="00EE1170">
          <w:rPr>
            <w:rStyle w:val="Hipersaitas"/>
            <w:lang w:eastAsia="en-GB"/>
          </w:rPr>
          <w:t>Lietuvos Respublikos Vyriausybės nutarimo „Dėl Lietuvos Respublikos Vyriausybės 2018 m. gruodžio 12 d. nutarimo Nr. 1298 „Dėl Valstybės tarnautojų ir darbuotojų, dirbančių pagal darbo sutartis, pareigybių poreikio nustatymo kriterijų aprašo ir Didžiausio</w:t>
        </w:r>
      </w:hyperlink>
      <w:r w:rsidR="00EE1170">
        <w:rPr>
          <w:color w:val="000000"/>
          <w:lang w:eastAsia="en-GB"/>
        </w:rPr>
        <w:t xml:space="preserve"> </w:t>
      </w:r>
      <w:hyperlink r:id="rId11" w:history="1">
        <w:r w:rsidR="008A6547" w:rsidRPr="008A6547">
          <w:rPr>
            <w:rStyle w:val="Hipersaitas"/>
            <w:lang w:eastAsia="en-GB"/>
          </w:rPr>
          <w:t>valstybės tarnautojų ir darbuotojų, dirbančių pagal darbo sutartis ir gaunančių darbo užmokestį iš valstybės biudžeto ir valstybės pinigų fondų, pareigybių skaičiaus sąrašo patvirtinimo“ pakeitimo“ projekt</w:t>
        </w:r>
        <w:r w:rsidR="00F34EF5">
          <w:rPr>
            <w:rStyle w:val="Hipersaitas"/>
            <w:lang w:eastAsia="en-GB"/>
          </w:rPr>
          <w:t>ą</w:t>
        </w:r>
      </w:hyperlink>
      <w:r w:rsidR="004B3360">
        <w:rPr>
          <w:rStyle w:val="Hipersaitas"/>
          <w:lang w:eastAsia="en-GB"/>
        </w:rPr>
        <w:t>.</w:t>
      </w:r>
      <w:r w:rsidR="008A6547" w:rsidRPr="008A6547">
        <w:rPr>
          <w:color w:val="000000"/>
          <w:lang w:eastAsia="en-GB"/>
        </w:rPr>
        <w:t xml:space="preserve"> </w:t>
      </w:r>
      <w:r w:rsidR="00913175">
        <w:rPr>
          <w:color w:val="000000"/>
          <w:lang w:eastAsia="en-GB"/>
        </w:rPr>
        <w:t xml:space="preserve">Pagal kompetenciją įvertinę </w:t>
      </w:r>
      <w:r w:rsidR="0077591A">
        <w:rPr>
          <w:color w:val="000000"/>
          <w:lang w:eastAsia="en-GB"/>
        </w:rPr>
        <w:t xml:space="preserve">minėtus </w:t>
      </w:r>
      <w:r w:rsidR="007A18C6">
        <w:rPr>
          <w:color w:val="000000"/>
          <w:lang w:eastAsia="en-GB"/>
        </w:rPr>
        <w:t xml:space="preserve">teisės aktų </w:t>
      </w:r>
      <w:r w:rsidR="00913175">
        <w:rPr>
          <w:color w:val="000000"/>
          <w:lang w:eastAsia="en-GB"/>
        </w:rPr>
        <w:t xml:space="preserve">projektus teikiame pastabas ir pasiūlymus: </w:t>
      </w:r>
    </w:p>
    <w:p w14:paraId="7D8551A8" w14:textId="3D0E2438" w:rsidR="00CB1DCC" w:rsidRPr="0013694D" w:rsidRDefault="00CB1DCC" w:rsidP="00CB1DCC">
      <w:pPr>
        <w:pStyle w:val="Sraopastraipa"/>
        <w:numPr>
          <w:ilvl w:val="0"/>
          <w:numId w:val="13"/>
        </w:numPr>
        <w:suppressAutoHyphens w:val="0"/>
        <w:ind w:left="0" w:firstLine="1134"/>
        <w:jc w:val="both"/>
        <w:rPr>
          <w:lang w:eastAsia="en-GB"/>
        </w:rPr>
      </w:pPr>
      <w:r>
        <w:t xml:space="preserve">Projekto 2.1 </w:t>
      </w:r>
      <w:r w:rsidRPr="00CB1DCC">
        <w:t xml:space="preserve">papunktyje dėstomame 1 punkte nereikia pateikti </w:t>
      </w:r>
      <w:r w:rsidRPr="00CB1DCC">
        <w:rPr>
          <w:color w:val="000000"/>
          <w:lang w:eastAsia="en-GB"/>
        </w:rPr>
        <w:t>Lietuvos Respublikos narkotinių ir psichotropinių medžiagų kontrolės įstatymo</w:t>
      </w:r>
      <w:r w:rsidR="00640E03">
        <w:rPr>
          <w:color w:val="000000"/>
          <w:lang w:eastAsia="en-GB"/>
        </w:rPr>
        <w:t xml:space="preserve"> (toliau – Įstatymas)</w:t>
      </w:r>
      <w:r w:rsidRPr="00CB1DCC">
        <w:rPr>
          <w:color w:val="000000"/>
          <w:lang w:eastAsia="en-GB"/>
        </w:rPr>
        <w:t xml:space="preserve"> santrumpos skliausteliuose. Vadovaujantis teisės aktų projektų rengimo rekomendacijų, patvirtintų Lietuvos Respublikos teisingumo ministro </w:t>
      </w:r>
      <w:r w:rsidRPr="00CB1DCC">
        <w:rPr>
          <w:color w:val="000000"/>
        </w:rPr>
        <w:t xml:space="preserve">2013 m. gruodžio 23 d. įsakymu Nr. 1R-298, 6.1 papunkčiu </w:t>
      </w:r>
      <w:r w:rsidRPr="00CB1DCC">
        <w:rPr>
          <w:color w:val="000000"/>
          <w:shd w:val="clear" w:color="auto" w:fill="FFFFFF"/>
          <w:lang w:eastAsia="en-GB"/>
        </w:rPr>
        <w:t>„jei teisės akto, institucijos, pareigų ir pan. pavadinimas, kuris prasideda žodžiais „Lietuvos Respublika“, minimas ne kartą, pirmą kartą parašius visą pavadinimą, toliau jis gali būti rašomas be žodžių „Lietuvos Respublika“. </w:t>
      </w:r>
    </w:p>
    <w:p w14:paraId="5F75EA8E" w14:textId="68A54EB7" w:rsidR="00D9641F" w:rsidRDefault="0013694D" w:rsidP="00D9641F">
      <w:pPr>
        <w:pStyle w:val="Sraopastraipa"/>
        <w:numPr>
          <w:ilvl w:val="0"/>
          <w:numId w:val="13"/>
        </w:numPr>
        <w:suppressAutoHyphens w:val="0"/>
        <w:ind w:left="0" w:firstLine="1134"/>
        <w:jc w:val="both"/>
        <w:rPr>
          <w:lang w:eastAsia="en-GB"/>
        </w:rPr>
      </w:pPr>
      <w:r>
        <w:t xml:space="preserve">Siūlytina įvertinti pereinamųjų nuostatų </w:t>
      </w:r>
      <w:r w:rsidR="00F377AB">
        <w:t xml:space="preserve">(kiek to nereglamentuoja </w:t>
      </w:r>
      <w:r w:rsidR="00F377AB" w:rsidRPr="00F377AB">
        <w:t>Lietuvos Respublikos narkotinių ir psichotropinių medžiagų kontrolės įstatymo Nr. VIII-602 2, 3, 4, 8, 8</w:t>
      </w:r>
      <w:r w:rsidR="00F377AB" w:rsidRPr="00F377AB">
        <w:rPr>
          <w:vertAlign w:val="superscript"/>
        </w:rPr>
        <w:t>1</w:t>
      </w:r>
      <w:r w:rsidR="00F377AB" w:rsidRPr="00F377AB">
        <w:t>, 9, 10, 10</w:t>
      </w:r>
      <w:r w:rsidR="00F377AB" w:rsidRPr="00F377AB">
        <w:rPr>
          <w:vertAlign w:val="superscript"/>
        </w:rPr>
        <w:t>1</w:t>
      </w:r>
      <w:r w:rsidR="00F377AB" w:rsidRPr="00F377AB">
        <w:t>, 10</w:t>
      </w:r>
      <w:r w:rsidR="00F377AB" w:rsidRPr="00F377AB">
        <w:rPr>
          <w:vertAlign w:val="superscript"/>
        </w:rPr>
        <w:t>4</w:t>
      </w:r>
      <w:r w:rsidR="00F377AB" w:rsidRPr="00F377AB">
        <w:t>, 12, 13, 14, 15, 16, 21, 21</w:t>
      </w:r>
      <w:r w:rsidR="00F377AB" w:rsidRPr="00F377AB">
        <w:rPr>
          <w:vertAlign w:val="superscript"/>
        </w:rPr>
        <w:t>1</w:t>
      </w:r>
      <w:r w:rsidR="00F377AB" w:rsidRPr="00F377AB">
        <w:t>, 21</w:t>
      </w:r>
      <w:r w:rsidR="00F377AB" w:rsidRPr="00F377AB">
        <w:rPr>
          <w:vertAlign w:val="superscript"/>
        </w:rPr>
        <w:t>4</w:t>
      </w:r>
      <w:r w:rsidR="00F377AB" w:rsidRPr="00F377AB">
        <w:t>, 21</w:t>
      </w:r>
      <w:r w:rsidR="00F377AB" w:rsidRPr="00F377AB">
        <w:rPr>
          <w:vertAlign w:val="superscript"/>
        </w:rPr>
        <w:t>7</w:t>
      </w:r>
      <w:r w:rsidR="00F377AB" w:rsidRPr="00F377AB">
        <w:t>, 23 straipsnių, priedo pakeitimo ir Įstatymo papildymo ketvirtuoju</w:t>
      </w:r>
      <w:r w:rsidR="00F377AB" w:rsidRPr="00F377AB">
        <w:rPr>
          <w:vertAlign w:val="superscript"/>
        </w:rPr>
        <w:t>2</w:t>
      </w:r>
      <w:r w:rsidR="00F377AB" w:rsidRPr="00F377AB">
        <w:t xml:space="preserve"> skirsniu įstatym</w:t>
      </w:r>
      <w:r w:rsidR="00F377AB">
        <w:t xml:space="preserve">o 24 straipsnio 4 ir 5 dalys) </w:t>
      </w:r>
      <w:r>
        <w:t>poreikį iki Projekto įsigaliojimo pradėtoms procedūroms ir</w:t>
      </w:r>
      <w:r w:rsidR="00B57D95">
        <w:t>,</w:t>
      </w:r>
      <w:r>
        <w:t xml:space="preserve"> esant poreikiui</w:t>
      </w:r>
      <w:r w:rsidR="00B57D95">
        <w:t>,</w:t>
      </w:r>
      <w:r>
        <w:t xml:space="preserve"> papildyti Projektą. </w:t>
      </w:r>
    </w:p>
    <w:p w14:paraId="65CF5834" w14:textId="4ECDA23F" w:rsidR="00FA1066" w:rsidRPr="00D9641F" w:rsidRDefault="00FA1066" w:rsidP="00D9641F">
      <w:pPr>
        <w:pStyle w:val="Sraopastraipa"/>
        <w:numPr>
          <w:ilvl w:val="0"/>
          <w:numId w:val="13"/>
        </w:numPr>
        <w:suppressAutoHyphens w:val="0"/>
        <w:ind w:left="0" w:firstLine="1134"/>
        <w:jc w:val="both"/>
        <w:rPr>
          <w:lang w:eastAsia="en-GB"/>
        </w:rPr>
      </w:pPr>
      <w:r>
        <w:t xml:space="preserve">Įvertinant tai, kad </w:t>
      </w:r>
      <w:r w:rsidRPr="00FA1066">
        <w:t>Veiklos, susijusios su vaistiniais preparatais, kurių sudėtyje yra I sąrašo medžiagų, ir II, III sąrašų narkotinėmis ir psichotropinėmis medžiagomis licencijavimo taisykl</w:t>
      </w:r>
      <w:r>
        <w:t>ės</w:t>
      </w:r>
      <w:r w:rsidR="005050A8">
        <w:t xml:space="preserve"> </w:t>
      </w:r>
      <w:r>
        <w:t>keičiamos tik ta apimtimi, kiek susiję su licencijų dublikatų išdavimo atsisakymu, siūlytina įvertinti</w:t>
      </w:r>
      <w:r w:rsidR="00F8118B">
        <w:t>,</w:t>
      </w:r>
      <w:r>
        <w:t xml:space="preserve"> ar šių taisyklių nuostatos neturėtų būti peržiūrimos ir aktualizuojamos ir atitikties Viešojo administravimo įstatymo 2 straipsnio 7 daliai ir 29 straipsnio 1 daliai aspektu.</w:t>
      </w:r>
    </w:p>
    <w:p w14:paraId="009F4818" w14:textId="0CCB47AF" w:rsidR="00116042" w:rsidRPr="00116042" w:rsidRDefault="00116042" w:rsidP="00116042">
      <w:pPr>
        <w:pStyle w:val="Sraopastraipa"/>
        <w:numPr>
          <w:ilvl w:val="0"/>
          <w:numId w:val="13"/>
        </w:numPr>
        <w:suppressAutoHyphens w:val="0"/>
        <w:ind w:left="0" w:firstLine="1134"/>
        <w:jc w:val="both"/>
        <w:rPr>
          <w:lang w:eastAsia="en-GB"/>
        </w:rPr>
      </w:pPr>
      <w:r>
        <w:rPr>
          <w:lang w:eastAsia="en-GB"/>
        </w:rPr>
        <w:t xml:space="preserve">Siūlytina </w:t>
      </w:r>
      <w:r w:rsidR="00F34EF5" w:rsidRPr="00F34EF5">
        <w:rPr>
          <w:lang w:eastAsia="en-GB"/>
        </w:rPr>
        <w:t>Specialiųjų leidimų naudoti I, II ir (ar) III sąrašų narkotines, psichotropines medžiagas moksliniams tyrimams išdavimo taisykl</w:t>
      </w:r>
      <w:r w:rsidR="00F34EF5">
        <w:rPr>
          <w:lang w:eastAsia="en-GB"/>
        </w:rPr>
        <w:t xml:space="preserve">ėse </w:t>
      </w:r>
      <w:r w:rsidR="00F34EF5">
        <w:t xml:space="preserve">(toliau – Taisyklės) </w:t>
      </w:r>
      <w:r>
        <w:rPr>
          <w:lang w:eastAsia="en-GB"/>
        </w:rPr>
        <w:t xml:space="preserve">(žr. Taisyklių 4 punktą ir kt.) nenurodyti </w:t>
      </w:r>
      <w:r w:rsidR="008F0FF9">
        <w:rPr>
          <w:lang w:eastAsia="en-GB"/>
        </w:rPr>
        <w:t xml:space="preserve">konkrečios </w:t>
      </w:r>
      <w:r>
        <w:rPr>
          <w:lang w:eastAsia="en-GB"/>
        </w:rPr>
        <w:t xml:space="preserve">Vyriausybės įgaliotos institucijos – </w:t>
      </w:r>
      <w:r w:rsidRPr="00116042">
        <w:rPr>
          <w:color w:val="000000"/>
          <w:lang w:eastAsia="en-GB"/>
        </w:rPr>
        <w:t xml:space="preserve">Narkotikų, tabako ir alkoholio </w:t>
      </w:r>
      <w:r w:rsidRPr="00116042">
        <w:rPr>
          <w:color w:val="000000"/>
          <w:lang w:eastAsia="en-GB"/>
        </w:rPr>
        <w:lastRenderedPageBreak/>
        <w:t>kontrolės departament</w:t>
      </w:r>
      <w:r>
        <w:rPr>
          <w:color w:val="000000"/>
          <w:lang w:eastAsia="en-GB"/>
        </w:rPr>
        <w:t xml:space="preserve">o. Instituciją, kuriai pavedama atlikti Vyriausybės įgaliotos institucijos funkcijas, siūlytina nurodyti </w:t>
      </w:r>
      <w:r w:rsidR="00F377AB">
        <w:rPr>
          <w:color w:val="000000"/>
          <w:lang w:eastAsia="en-GB"/>
        </w:rPr>
        <w:t>keičiamame nutarime</w:t>
      </w:r>
      <w:r>
        <w:rPr>
          <w:color w:val="000000"/>
          <w:lang w:eastAsia="en-GB"/>
        </w:rPr>
        <w:t xml:space="preserve">. </w:t>
      </w:r>
      <w:r w:rsidRPr="00116042">
        <w:rPr>
          <w:color w:val="000000"/>
          <w:lang w:eastAsia="en-GB"/>
        </w:rPr>
        <w:t> </w:t>
      </w:r>
    </w:p>
    <w:p w14:paraId="2C9C78F7" w14:textId="346975E1" w:rsidR="00662A71" w:rsidRDefault="005E2862" w:rsidP="00D9641F">
      <w:pPr>
        <w:pStyle w:val="Sraopastraipa"/>
        <w:numPr>
          <w:ilvl w:val="0"/>
          <w:numId w:val="13"/>
        </w:numPr>
        <w:suppressAutoHyphens w:val="0"/>
        <w:ind w:left="0" w:firstLine="1134"/>
        <w:jc w:val="both"/>
        <w:rPr>
          <w:lang w:eastAsia="en-GB"/>
        </w:rPr>
      </w:pPr>
      <w:r>
        <w:rPr>
          <w:lang w:eastAsia="en-GB"/>
        </w:rPr>
        <w:t>Siūlytina patikslinti Taisyklių 6.1.2 papunktį, nes nėra aišku, kas yra „</w:t>
      </w:r>
      <w:r w:rsidRPr="005E2862">
        <w:rPr>
          <w:i/>
          <w:iCs/>
          <w:lang w:eastAsia="en-GB"/>
        </w:rPr>
        <w:t>juridinio asmens pobūdis</w:t>
      </w:r>
      <w:r>
        <w:rPr>
          <w:lang w:eastAsia="en-GB"/>
        </w:rPr>
        <w:t xml:space="preserve">“. </w:t>
      </w:r>
    </w:p>
    <w:p w14:paraId="4CDBFFEB" w14:textId="6A92D63C" w:rsidR="00813025" w:rsidRPr="005E2862" w:rsidRDefault="00813025" w:rsidP="00D9641F">
      <w:pPr>
        <w:pStyle w:val="Sraopastraipa"/>
        <w:numPr>
          <w:ilvl w:val="0"/>
          <w:numId w:val="13"/>
        </w:numPr>
        <w:suppressAutoHyphens w:val="0"/>
        <w:ind w:left="0" w:firstLine="1134"/>
        <w:jc w:val="both"/>
        <w:rPr>
          <w:lang w:eastAsia="en-GB"/>
        </w:rPr>
      </w:pPr>
      <w:r>
        <w:rPr>
          <w:lang w:eastAsia="en-GB"/>
        </w:rPr>
        <w:t>Vadovaujantis Viešojo administravimo įstatymo 12 straipsnio 2 dalimi</w:t>
      </w:r>
      <w:r w:rsidR="005050A8">
        <w:rPr>
          <w:lang w:eastAsia="en-GB"/>
        </w:rPr>
        <w:t>,</w:t>
      </w:r>
      <w:r>
        <w:rPr>
          <w:lang w:eastAsia="en-GB"/>
        </w:rPr>
        <w:t xml:space="preserve"> vi</w:t>
      </w:r>
      <w:r w:rsidRPr="00813025">
        <w:rPr>
          <w:lang w:eastAsia="en-GB"/>
        </w:rPr>
        <w:t>ešojo administravimo subjektas gali reikalauti tik tų dokumentų ir informacijos, kurių nėra valstybės registruose (kadastruose), žinybiniuose registruose, valstybės informacinėse sistemose ir kitose informacinėse sistemose, finansuojamose iš valstybės ar savivaldybės biudžeto ir (ar) valstybės pinigų fondų</w:t>
      </w:r>
      <w:r>
        <w:rPr>
          <w:lang w:eastAsia="en-GB"/>
        </w:rPr>
        <w:t>. Atsižvelgiant į tai, turėtų būti įvertinama</w:t>
      </w:r>
      <w:r w:rsidR="005050A8">
        <w:rPr>
          <w:lang w:eastAsia="en-GB"/>
        </w:rPr>
        <w:t>,</w:t>
      </w:r>
      <w:r>
        <w:rPr>
          <w:lang w:eastAsia="en-GB"/>
        </w:rPr>
        <w:t xml:space="preserve"> ar duomenys apie juridinio asmens vadovą ir valdymo organus negalėtų būti gaunami tiesiogiai i</w:t>
      </w:r>
      <w:r w:rsidR="00F8118B">
        <w:rPr>
          <w:lang w:eastAsia="en-GB"/>
        </w:rPr>
        <w:t>š</w:t>
      </w:r>
      <w:r>
        <w:rPr>
          <w:lang w:eastAsia="en-GB"/>
        </w:rPr>
        <w:t xml:space="preserve"> Juridinių asmenų registro ir susijusių informacinių sistemų, o Taisyklių 6.1.3, 6.</w:t>
      </w:r>
      <w:r w:rsidR="00467546">
        <w:rPr>
          <w:lang w:eastAsia="en-GB"/>
        </w:rPr>
        <w:t>9</w:t>
      </w:r>
      <w:r>
        <w:rPr>
          <w:lang w:eastAsia="en-GB"/>
        </w:rPr>
        <w:t xml:space="preserve"> papunk</w:t>
      </w:r>
      <w:r w:rsidR="00467546">
        <w:rPr>
          <w:lang w:eastAsia="en-GB"/>
        </w:rPr>
        <w:t>čiai</w:t>
      </w:r>
      <w:r w:rsidR="0077591A">
        <w:rPr>
          <w:lang w:eastAsia="en-GB"/>
        </w:rPr>
        <w:t xml:space="preserve"> –</w:t>
      </w:r>
      <w:r>
        <w:rPr>
          <w:lang w:eastAsia="en-GB"/>
        </w:rPr>
        <w:t xml:space="preserve"> </w:t>
      </w:r>
      <w:r w:rsidR="00F8118B">
        <w:rPr>
          <w:lang w:eastAsia="en-GB"/>
        </w:rPr>
        <w:t xml:space="preserve">ar </w:t>
      </w:r>
      <w:r>
        <w:rPr>
          <w:lang w:eastAsia="en-GB"/>
        </w:rPr>
        <w:t>atitinka Viešojo administravimo įstatyme nustatytą reguliavimą.</w:t>
      </w:r>
      <w:r w:rsidR="00467546">
        <w:rPr>
          <w:lang w:eastAsia="en-GB"/>
        </w:rPr>
        <w:t xml:space="preserve"> Šiuo aspektu siūlytina įvertinti ir </w:t>
      </w:r>
      <w:r w:rsidR="00467546" w:rsidRPr="00467546">
        <w:rPr>
          <w:lang w:eastAsia="en-GB"/>
        </w:rPr>
        <w:t xml:space="preserve">Veiklos, susijusios su vaistiniais preparatais, kurių sudėtyje yra I sąrašo medžiagų, ir II, III sąrašų narkotinėmis ir psichotropinėmis medžiagomis licencijavimo </w:t>
      </w:r>
      <w:r w:rsidR="0077591A">
        <w:rPr>
          <w:lang w:eastAsia="en-GB"/>
        </w:rPr>
        <w:t>T</w:t>
      </w:r>
      <w:r w:rsidR="00467546" w:rsidRPr="00467546">
        <w:rPr>
          <w:lang w:eastAsia="en-GB"/>
        </w:rPr>
        <w:t>aisykl</w:t>
      </w:r>
      <w:r w:rsidR="00467546">
        <w:rPr>
          <w:lang w:eastAsia="en-GB"/>
        </w:rPr>
        <w:t>ėse nustatytą reguliavimą.</w:t>
      </w:r>
    </w:p>
    <w:p w14:paraId="688EAE93" w14:textId="41062411" w:rsidR="007C2BF7" w:rsidRPr="00F377AB" w:rsidRDefault="007C2BF7" w:rsidP="00F377AB">
      <w:pPr>
        <w:pStyle w:val="Sraopastraipa"/>
        <w:numPr>
          <w:ilvl w:val="0"/>
          <w:numId w:val="13"/>
        </w:numPr>
        <w:suppressAutoHyphens w:val="0"/>
        <w:ind w:left="0" w:firstLine="1134"/>
        <w:jc w:val="both"/>
        <w:rPr>
          <w:lang w:eastAsia="en-GB"/>
        </w:rPr>
      </w:pPr>
      <w:r>
        <w:rPr>
          <w:lang w:eastAsia="en-GB"/>
        </w:rPr>
        <w:t>Taisyklių 6.1.6 papunktyje reikalaujama nurodyti „</w:t>
      </w:r>
      <w:r w:rsidRPr="007C2BF7">
        <w:rPr>
          <w:i/>
          <w:iCs/>
          <w:color w:val="000000"/>
          <w:lang w:eastAsia="en-GB"/>
        </w:rPr>
        <w:t>veiklos vietos</w:t>
      </w:r>
      <w:r w:rsidRPr="007C2BF7">
        <w:rPr>
          <w:color w:val="000000"/>
          <w:lang w:eastAsia="en-GB"/>
        </w:rPr>
        <w:t xml:space="preserve">, kurioje bus vykdomas mokslinis tyrimas naudojant I, II ir (ar) III sąrašų medžiagas (įskaitant laikymą), adresas, </w:t>
      </w:r>
      <w:r w:rsidRPr="007C2BF7">
        <w:rPr>
          <w:i/>
          <w:iCs/>
          <w:color w:val="000000"/>
          <w:lang w:eastAsia="en-GB"/>
        </w:rPr>
        <w:t>telefono ryšio numeris, elektroninio pašto adresas</w:t>
      </w:r>
      <w:r>
        <w:rPr>
          <w:color w:val="000000"/>
          <w:lang w:eastAsia="en-GB"/>
        </w:rPr>
        <w:t xml:space="preserve">“. Pastebėtina, kad </w:t>
      </w:r>
      <w:r w:rsidRPr="007C2BF7">
        <w:rPr>
          <w:color w:val="000000"/>
          <w:lang w:eastAsia="en-GB"/>
        </w:rPr>
        <w:t xml:space="preserve">telefono ryšio </w:t>
      </w:r>
      <w:r w:rsidR="00F377AB" w:rsidRPr="007C2BF7">
        <w:rPr>
          <w:color w:val="000000"/>
          <w:lang w:eastAsia="en-GB"/>
        </w:rPr>
        <w:t>numeri</w:t>
      </w:r>
      <w:r w:rsidR="00F377AB">
        <w:rPr>
          <w:color w:val="000000"/>
          <w:lang w:eastAsia="en-GB"/>
        </w:rPr>
        <w:t>s</w:t>
      </w:r>
      <w:r w:rsidRPr="007C2BF7">
        <w:rPr>
          <w:color w:val="000000"/>
          <w:lang w:eastAsia="en-GB"/>
        </w:rPr>
        <w:t xml:space="preserve">, elektroninio pašto </w:t>
      </w:r>
      <w:r w:rsidR="00F377AB" w:rsidRPr="007C2BF7">
        <w:rPr>
          <w:color w:val="000000"/>
          <w:lang w:eastAsia="en-GB"/>
        </w:rPr>
        <w:t>adres</w:t>
      </w:r>
      <w:r w:rsidR="00F377AB">
        <w:rPr>
          <w:color w:val="000000"/>
          <w:lang w:eastAsia="en-GB"/>
        </w:rPr>
        <w:t>as nėra sietini su konkrečiomis patalpomis ar pastatu, todėl neaiškus jų pateikimo tikslingumas</w:t>
      </w:r>
      <w:r w:rsidR="0077591A">
        <w:rPr>
          <w:color w:val="000000"/>
          <w:lang w:eastAsia="en-GB"/>
        </w:rPr>
        <w:t>,</w:t>
      </w:r>
      <w:r w:rsidR="00F377AB">
        <w:rPr>
          <w:color w:val="000000"/>
          <w:lang w:eastAsia="en-GB"/>
        </w:rPr>
        <w:t xml:space="preserve"> ir </w:t>
      </w:r>
      <w:r w:rsidR="005050A8">
        <w:rPr>
          <w:color w:val="000000"/>
          <w:lang w:eastAsia="en-GB"/>
        </w:rPr>
        <w:t>kyla klausimas, ar neužtektų</w:t>
      </w:r>
      <w:r w:rsidR="00F377AB">
        <w:rPr>
          <w:color w:val="000000"/>
          <w:lang w:eastAsia="en-GB"/>
        </w:rPr>
        <w:t xml:space="preserve"> bendrųjų juridinio asmens </w:t>
      </w:r>
      <w:r w:rsidR="00F377AB" w:rsidRPr="00F377AB">
        <w:rPr>
          <w:color w:val="000000"/>
          <w:lang w:eastAsia="en-GB"/>
        </w:rPr>
        <w:t xml:space="preserve">kontaktinių duomenų. </w:t>
      </w:r>
    </w:p>
    <w:p w14:paraId="3887E961" w14:textId="0AF79382" w:rsidR="007C2BF7" w:rsidRDefault="00652F99" w:rsidP="00654D3C">
      <w:pPr>
        <w:pStyle w:val="Sraopastraipa"/>
        <w:numPr>
          <w:ilvl w:val="0"/>
          <w:numId w:val="13"/>
        </w:numPr>
        <w:suppressAutoHyphens w:val="0"/>
        <w:ind w:left="0" w:firstLine="1134"/>
        <w:jc w:val="both"/>
        <w:rPr>
          <w:lang w:eastAsia="en-GB"/>
        </w:rPr>
      </w:pPr>
      <w:r>
        <w:rPr>
          <w:lang w:eastAsia="en-GB"/>
        </w:rPr>
        <w:t xml:space="preserve">Taisyklių 6.1.13 papunktį siūlytina formuluoti nurodant, kad reikalaujama pateikti patvirtinimą, kad pareiškėjas turi </w:t>
      </w:r>
      <w:r w:rsidRPr="00652F99">
        <w:rPr>
          <w:i/>
          <w:iCs/>
          <w:lang w:eastAsia="en-GB"/>
        </w:rPr>
        <w:t>taisykles</w:t>
      </w:r>
      <w:r>
        <w:rPr>
          <w:lang w:eastAsia="en-GB"/>
        </w:rPr>
        <w:t xml:space="preserve">, o ne </w:t>
      </w:r>
      <w:r w:rsidRPr="00652F99">
        <w:rPr>
          <w:i/>
          <w:iCs/>
          <w:lang w:eastAsia="en-GB"/>
        </w:rPr>
        <w:t>įsakymą</w:t>
      </w:r>
      <w:r>
        <w:rPr>
          <w:lang w:eastAsia="en-GB"/>
        </w:rPr>
        <w:t xml:space="preserve">, kuriuo patvirtintos taisyklės. </w:t>
      </w:r>
    </w:p>
    <w:p w14:paraId="58524632" w14:textId="484144C2" w:rsidR="00467546" w:rsidRPr="00654D3C" w:rsidRDefault="00467546" w:rsidP="00654D3C">
      <w:pPr>
        <w:pStyle w:val="Sraopastraipa"/>
        <w:numPr>
          <w:ilvl w:val="0"/>
          <w:numId w:val="13"/>
        </w:numPr>
        <w:suppressAutoHyphens w:val="0"/>
        <w:ind w:left="0" w:firstLine="1134"/>
        <w:jc w:val="both"/>
        <w:rPr>
          <w:lang w:eastAsia="en-GB"/>
        </w:rPr>
      </w:pPr>
      <w:r>
        <w:rPr>
          <w:lang w:eastAsia="en-GB"/>
        </w:rPr>
        <w:t xml:space="preserve">Vertinant </w:t>
      </w:r>
      <w:r w:rsidR="0077591A">
        <w:rPr>
          <w:lang w:eastAsia="en-GB"/>
        </w:rPr>
        <w:t>T</w:t>
      </w:r>
      <w:r>
        <w:rPr>
          <w:lang w:eastAsia="en-GB"/>
        </w:rPr>
        <w:t xml:space="preserve">aisyklių 11 ir 13 punktų nuostatas ir jų santykį, atkreiptinas dėmesys į tai, kad </w:t>
      </w:r>
      <w:r w:rsidR="0077591A">
        <w:rPr>
          <w:lang w:eastAsia="en-GB"/>
        </w:rPr>
        <w:t>Lietuvos Respublikos p</w:t>
      </w:r>
      <w:r>
        <w:rPr>
          <w:lang w:eastAsia="en-GB"/>
        </w:rPr>
        <w:t xml:space="preserve">aslaugų įstatymo 7 straipsnio 4 dalyje nereikalaujama visų dokumentų pateikimo, </w:t>
      </w:r>
      <w:r w:rsidR="0095607B">
        <w:rPr>
          <w:lang w:eastAsia="en-GB"/>
        </w:rPr>
        <w:t xml:space="preserve">o </w:t>
      </w:r>
      <w:r>
        <w:rPr>
          <w:lang w:eastAsia="en-GB"/>
        </w:rPr>
        <w:t xml:space="preserve">orientuojamasi į </w:t>
      </w:r>
      <w:r w:rsidR="005050A8">
        <w:rPr>
          <w:lang w:eastAsia="en-GB"/>
        </w:rPr>
        <w:t xml:space="preserve">paties </w:t>
      </w:r>
      <w:r>
        <w:rPr>
          <w:lang w:eastAsia="en-GB"/>
        </w:rPr>
        <w:t>prašymo gavimo fakto</w:t>
      </w:r>
      <w:r w:rsidR="00D94BEE">
        <w:rPr>
          <w:lang w:eastAsia="en-GB"/>
        </w:rPr>
        <w:t xml:space="preserve"> patvirtinimą. Atsižvelgiant į tai, manytina, </w:t>
      </w:r>
      <w:r w:rsidR="005050A8">
        <w:rPr>
          <w:lang w:eastAsia="en-GB"/>
        </w:rPr>
        <w:t xml:space="preserve">kad </w:t>
      </w:r>
      <w:r w:rsidR="00D94BEE">
        <w:rPr>
          <w:lang w:eastAsia="en-GB"/>
        </w:rPr>
        <w:t>informavimo apie gautą prašymą pareiga kyla nuo prašymo gavimo momento, nepriklausomai</w:t>
      </w:r>
      <w:r w:rsidR="0077591A">
        <w:rPr>
          <w:lang w:eastAsia="en-GB"/>
        </w:rPr>
        <w:t>,</w:t>
      </w:r>
      <w:r w:rsidR="00D94BEE">
        <w:rPr>
          <w:lang w:eastAsia="en-GB"/>
        </w:rPr>
        <w:t xml:space="preserve"> ar prie jo pridėti visi dokumentai. Pastebėtina, kad praktikoje informavimas apie gautą prašymą ir informavimas apie </w:t>
      </w:r>
      <w:r w:rsidR="0082756D">
        <w:rPr>
          <w:lang w:eastAsia="en-GB"/>
        </w:rPr>
        <w:t xml:space="preserve">prašymo trūkumus ir </w:t>
      </w:r>
      <w:r w:rsidR="00D94BEE">
        <w:rPr>
          <w:lang w:eastAsia="en-GB"/>
        </w:rPr>
        <w:t>trūkstamus dokumentus dažnai sutampa</w:t>
      </w:r>
      <w:r w:rsidR="0082756D">
        <w:rPr>
          <w:lang w:eastAsia="en-GB"/>
        </w:rPr>
        <w:t>.</w:t>
      </w:r>
    </w:p>
    <w:p w14:paraId="409431E5" w14:textId="4D3B693B" w:rsidR="00654D3C" w:rsidRPr="00654D3C" w:rsidRDefault="00683668" w:rsidP="00654D3C">
      <w:pPr>
        <w:pStyle w:val="Sraopastraipa"/>
        <w:numPr>
          <w:ilvl w:val="0"/>
          <w:numId w:val="13"/>
        </w:numPr>
        <w:suppressAutoHyphens w:val="0"/>
        <w:ind w:left="0" w:firstLine="1134"/>
        <w:jc w:val="both"/>
        <w:rPr>
          <w:lang w:eastAsia="en-GB"/>
        </w:rPr>
      </w:pPr>
      <w:r>
        <w:rPr>
          <w:lang w:eastAsia="en-GB"/>
        </w:rPr>
        <w:t xml:space="preserve"> </w:t>
      </w:r>
      <w:r w:rsidR="00654D3C">
        <w:rPr>
          <w:lang w:eastAsia="en-GB"/>
        </w:rPr>
        <w:t xml:space="preserve">Siūlytina tikslinti Taisyklių 14 punkto formuluotę „šiam juridiniam asmeniui“, nes nėra aišku, ar turimas omenyje pirmasis dokumentus pateikęs juridinis asmuo ar antrasis. </w:t>
      </w:r>
    </w:p>
    <w:p w14:paraId="3A89438D" w14:textId="7B40CBB4" w:rsidR="00654D3C" w:rsidRDefault="00683668" w:rsidP="00654D3C">
      <w:pPr>
        <w:pStyle w:val="Sraopastraipa"/>
        <w:numPr>
          <w:ilvl w:val="0"/>
          <w:numId w:val="13"/>
        </w:numPr>
        <w:suppressAutoHyphens w:val="0"/>
        <w:ind w:left="0" w:firstLine="1134"/>
        <w:jc w:val="both"/>
        <w:rPr>
          <w:lang w:eastAsia="en-GB"/>
        </w:rPr>
      </w:pPr>
      <w:r>
        <w:rPr>
          <w:lang w:eastAsia="en-GB"/>
        </w:rPr>
        <w:t xml:space="preserve"> </w:t>
      </w:r>
      <w:r w:rsidR="000B26BE">
        <w:rPr>
          <w:lang w:eastAsia="en-GB"/>
        </w:rPr>
        <w:t>Pažymėtina, kad specialiojo leidimo neišdavimo</w:t>
      </w:r>
      <w:r w:rsidR="00934D54">
        <w:rPr>
          <w:lang w:eastAsia="en-GB"/>
        </w:rPr>
        <w:t>, atsisakymo keisti</w:t>
      </w:r>
      <w:r w:rsidR="000B26BE">
        <w:rPr>
          <w:lang w:eastAsia="en-GB"/>
        </w:rPr>
        <w:t xml:space="preserve"> pagrindai įtvirtinti Įstatymo 21</w:t>
      </w:r>
      <w:r w:rsidR="000B26BE">
        <w:rPr>
          <w:vertAlign w:val="superscript"/>
          <w:lang w:eastAsia="en-GB"/>
        </w:rPr>
        <w:t>10</w:t>
      </w:r>
      <w:r w:rsidR="000B26BE">
        <w:rPr>
          <w:lang w:eastAsia="en-GB"/>
        </w:rPr>
        <w:t xml:space="preserve"> straipsnio 1 dalyje. Šiuo aspektu tikslintin</w:t>
      </w:r>
      <w:r w:rsidR="00AA7C86">
        <w:rPr>
          <w:lang w:eastAsia="en-GB"/>
        </w:rPr>
        <w:t>os</w:t>
      </w:r>
      <w:r w:rsidR="000B26BE">
        <w:rPr>
          <w:lang w:eastAsia="en-GB"/>
        </w:rPr>
        <w:t xml:space="preserve"> Taisyklių 18</w:t>
      </w:r>
      <w:r w:rsidR="00934D54">
        <w:rPr>
          <w:lang w:eastAsia="en-GB"/>
        </w:rPr>
        <w:t xml:space="preserve">, 21 </w:t>
      </w:r>
      <w:r w:rsidR="000B26BE">
        <w:rPr>
          <w:lang w:eastAsia="en-GB"/>
        </w:rPr>
        <w:t>punkt</w:t>
      </w:r>
      <w:r w:rsidR="00934D54">
        <w:rPr>
          <w:lang w:eastAsia="en-GB"/>
        </w:rPr>
        <w:t>uose</w:t>
      </w:r>
      <w:r w:rsidR="000B26BE">
        <w:rPr>
          <w:lang w:eastAsia="en-GB"/>
        </w:rPr>
        <w:t xml:space="preserve"> pateikiam</w:t>
      </w:r>
      <w:r w:rsidR="00934D54">
        <w:rPr>
          <w:lang w:eastAsia="en-GB"/>
        </w:rPr>
        <w:t xml:space="preserve">os </w:t>
      </w:r>
      <w:r w:rsidR="000B26BE">
        <w:rPr>
          <w:lang w:eastAsia="en-GB"/>
        </w:rPr>
        <w:t>nuorod</w:t>
      </w:r>
      <w:r w:rsidR="00934D54">
        <w:rPr>
          <w:lang w:eastAsia="en-GB"/>
        </w:rPr>
        <w:t>os</w:t>
      </w:r>
      <w:r w:rsidR="000B26BE">
        <w:rPr>
          <w:lang w:eastAsia="en-GB"/>
        </w:rPr>
        <w:t xml:space="preserve">. </w:t>
      </w:r>
    </w:p>
    <w:p w14:paraId="54EC3AB8" w14:textId="7FD3BF55" w:rsidR="0082756D" w:rsidRPr="000B26BE" w:rsidRDefault="00683668" w:rsidP="00654D3C">
      <w:pPr>
        <w:pStyle w:val="Sraopastraipa"/>
        <w:numPr>
          <w:ilvl w:val="0"/>
          <w:numId w:val="13"/>
        </w:numPr>
        <w:suppressAutoHyphens w:val="0"/>
        <w:ind w:left="0" w:firstLine="1134"/>
        <w:jc w:val="both"/>
        <w:rPr>
          <w:lang w:eastAsia="en-GB"/>
        </w:rPr>
      </w:pPr>
      <w:r>
        <w:rPr>
          <w:lang w:eastAsia="en-GB"/>
        </w:rPr>
        <w:t xml:space="preserve"> </w:t>
      </w:r>
      <w:r w:rsidR="0082756D">
        <w:rPr>
          <w:lang w:eastAsia="en-GB"/>
        </w:rPr>
        <w:t xml:space="preserve">Taisyklių 20 punkte tikslinga kalbėti apie Taisyklių 11 ir 12 punktų nuostatų taikymą </w:t>
      </w:r>
      <w:proofErr w:type="spellStart"/>
      <w:r w:rsidR="0082756D" w:rsidRPr="0095607B">
        <w:rPr>
          <w:i/>
          <w:iCs/>
          <w:lang w:eastAsia="en-GB"/>
        </w:rPr>
        <w:t>mutatis</w:t>
      </w:r>
      <w:proofErr w:type="spellEnd"/>
      <w:r w:rsidR="0082756D" w:rsidRPr="0095607B">
        <w:rPr>
          <w:i/>
          <w:iCs/>
          <w:lang w:eastAsia="en-GB"/>
        </w:rPr>
        <w:t xml:space="preserve"> </w:t>
      </w:r>
      <w:proofErr w:type="spellStart"/>
      <w:r w:rsidR="0082756D" w:rsidRPr="0095607B">
        <w:rPr>
          <w:i/>
          <w:iCs/>
          <w:lang w:eastAsia="en-GB"/>
        </w:rPr>
        <w:t>mutandis</w:t>
      </w:r>
      <w:proofErr w:type="spellEnd"/>
      <w:r w:rsidR="0082756D">
        <w:rPr>
          <w:lang w:eastAsia="en-GB"/>
        </w:rPr>
        <w:t>, kadangi tiesioginis jų taikymas būtų negalimas dėl juose vartojamų formuluočių konkretumo.</w:t>
      </w:r>
    </w:p>
    <w:p w14:paraId="123BFA9E" w14:textId="33313555" w:rsidR="000B26BE" w:rsidRDefault="000B26BE" w:rsidP="00A6469A">
      <w:pPr>
        <w:pStyle w:val="Sraopastraipa"/>
        <w:numPr>
          <w:ilvl w:val="0"/>
          <w:numId w:val="13"/>
        </w:numPr>
        <w:suppressAutoHyphens w:val="0"/>
        <w:ind w:left="0" w:firstLine="1134"/>
        <w:jc w:val="both"/>
        <w:rPr>
          <w:lang w:eastAsia="en-GB"/>
        </w:rPr>
      </w:pPr>
      <w:r>
        <w:rPr>
          <w:lang w:eastAsia="en-GB"/>
        </w:rPr>
        <w:t xml:space="preserve"> </w:t>
      </w:r>
      <w:r w:rsidR="00A6469A">
        <w:rPr>
          <w:lang w:eastAsia="en-GB"/>
        </w:rPr>
        <w:t xml:space="preserve">Taisyklių 27 punkte nurodoma, kad Taisyklių 6.10 papunktyje nurodyti dokumentai pateikiami Valstybinės vaistų kontrolės tarnybos </w:t>
      </w:r>
      <w:r w:rsidR="00A6469A" w:rsidRPr="00A6469A">
        <w:rPr>
          <w:i/>
          <w:iCs/>
          <w:lang w:eastAsia="en-GB"/>
        </w:rPr>
        <w:t>prašymu</w:t>
      </w:r>
      <w:r w:rsidR="00A6469A">
        <w:rPr>
          <w:lang w:eastAsia="en-GB"/>
        </w:rPr>
        <w:t xml:space="preserve">. Visgi atsižvelgiant į tai, kad prievolė patikrinti atitiktį nepriekaištingos reputacijos reikalavimams yra aiškiai įtvirtinta, manytina, kad užsienio valstybių kompetentingų institucijų pažymos apie pareiškėjo atitiktį reikalavimams turėtų būti pateikiamos be atskiro tarnybos prašymo. </w:t>
      </w:r>
    </w:p>
    <w:p w14:paraId="01D7CE6E" w14:textId="79602553" w:rsidR="0082756D" w:rsidRPr="00A6469A" w:rsidRDefault="00683668" w:rsidP="00A6469A">
      <w:pPr>
        <w:pStyle w:val="Sraopastraipa"/>
        <w:numPr>
          <w:ilvl w:val="0"/>
          <w:numId w:val="13"/>
        </w:numPr>
        <w:suppressAutoHyphens w:val="0"/>
        <w:ind w:left="0" w:firstLine="1134"/>
        <w:jc w:val="both"/>
        <w:rPr>
          <w:lang w:eastAsia="en-GB"/>
        </w:rPr>
      </w:pPr>
      <w:r>
        <w:rPr>
          <w:lang w:eastAsia="en-GB"/>
        </w:rPr>
        <w:t xml:space="preserve"> </w:t>
      </w:r>
      <w:r w:rsidR="0082756D">
        <w:rPr>
          <w:lang w:eastAsia="en-GB"/>
        </w:rPr>
        <w:t>Vertinant Taisyklių 28 p</w:t>
      </w:r>
      <w:r w:rsidR="005050A8">
        <w:rPr>
          <w:lang w:eastAsia="en-GB"/>
        </w:rPr>
        <w:t>unkto</w:t>
      </w:r>
      <w:r w:rsidR="0082756D">
        <w:rPr>
          <w:lang w:eastAsia="en-GB"/>
        </w:rPr>
        <w:t xml:space="preserve"> nuostatas pastebėtina, kad reikalavimus administracinio sprendimo turiniui, informavimui apie priimtą sprendimą nustato Viešojo administravimo įstatymas (10, 13 straipsniai). Atsižvelgiant į tai</w:t>
      </w:r>
      <w:r w:rsidR="0095607B">
        <w:rPr>
          <w:lang w:eastAsia="en-GB"/>
        </w:rPr>
        <w:t>,</w:t>
      </w:r>
      <w:r w:rsidR="0082756D">
        <w:rPr>
          <w:lang w:eastAsia="en-GB"/>
        </w:rPr>
        <w:t xml:space="preserve"> Taisyklių 28 p</w:t>
      </w:r>
      <w:r w:rsidR="005050A8">
        <w:rPr>
          <w:lang w:eastAsia="en-GB"/>
        </w:rPr>
        <w:t>unkte</w:t>
      </w:r>
      <w:r w:rsidR="0082756D">
        <w:rPr>
          <w:lang w:eastAsia="en-GB"/>
        </w:rPr>
        <w:t xml:space="preserve"> neturėtų būti Viešojo administravimo įstatymą dubliuojančių ar juo labiau su juo konkuruojančių</w:t>
      </w:r>
      <w:r w:rsidR="00CA0CE2">
        <w:rPr>
          <w:lang w:eastAsia="en-GB"/>
        </w:rPr>
        <w:t xml:space="preserve"> </w:t>
      </w:r>
      <w:r w:rsidR="0095607B">
        <w:rPr>
          <w:lang w:eastAsia="en-GB"/>
        </w:rPr>
        <w:t>ar išimtis nustatančių</w:t>
      </w:r>
      <w:r w:rsidR="0082756D">
        <w:rPr>
          <w:lang w:eastAsia="en-GB"/>
        </w:rPr>
        <w:t xml:space="preserve"> nuostatų ir galėtų būti nebent numatyta papildoma informacija, kuri turėtų būti pateikiama administraciniame sprendime</w:t>
      </w:r>
      <w:r w:rsidR="0095607B">
        <w:rPr>
          <w:lang w:eastAsia="en-GB"/>
        </w:rPr>
        <w:t xml:space="preserve"> ar informuojant apie jį</w:t>
      </w:r>
      <w:r w:rsidR="0082756D">
        <w:rPr>
          <w:lang w:eastAsia="en-GB"/>
        </w:rPr>
        <w:t>.</w:t>
      </w:r>
    </w:p>
    <w:p w14:paraId="3B38CC7F" w14:textId="29D7FC57" w:rsidR="00A6469A" w:rsidRPr="00CC673C" w:rsidRDefault="00A6469A" w:rsidP="00A6469A">
      <w:pPr>
        <w:pStyle w:val="Sraopastraipa"/>
        <w:numPr>
          <w:ilvl w:val="0"/>
          <w:numId w:val="13"/>
        </w:numPr>
        <w:suppressAutoHyphens w:val="0"/>
        <w:ind w:left="0" w:firstLine="1134"/>
        <w:jc w:val="both"/>
        <w:rPr>
          <w:lang w:eastAsia="en-GB"/>
        </w:rPr>
      </w:pPr>
      <w:r>
        <w:rPr>
          <w:lang w:eastAsia="en-GB"/>
        </w:rPr>
        <w:t xml:space="preserve"> </w:t>
      </w:r>
      <w:r w:rsidR="001E5D86">
        <w:rPr>
          <w:lang w:eastAsia="en-GB"/>
        </w:rPr>
        <w:t xml:space="preserve">Vadovaujantis Taisyklių 31.8 papunkčiu, specialiajame leidime nurodoma taip pat ir  specialiojo </w:t>
      </w:r>
      <w:r w:rsidR="001E5D86" w:rsidRPr="00B4689F">
        <w:rPr>
          <w:i/>
          <w:iCs/>
          <w:lang w:eastAsia="en-GB"/>
        </w:rPr>
        <w:t>leidimo įsigaliojimo data</w:t>
      </w:r>
      <w:r w:rsidR="001E5D86">
        <w:rPr>
          <w:lang w:eastAsia="en-GB"/>
        </w:rPr>
        <w:t xml:space="preserve">. </w:t>
      </w:r>
      <w:r w:rsidR="00B4689F">
        <w:rPr>
          <w:lang w:eastAsia="en-GB"/>
        </w:rPr>
        <w:t xml:space="preserve">Pastebėtina, kad nei Įstatyme, nei Taisyklėse nėra minima </w:t>
      </w:r>
      <w:r w:rsidR="00B4689F">
        <w:rPr>
          <w:lang w:eastAsia="en-GB"/>
        </w:rPr>
        <w:lastRenderedPageBreak/>
        <w:t xml:space="preserve">galimybė nustatyti leidimo įsigaliojimo datos ar leidimo įsigaliojimo atidėti, taip pat nėra numatyta galimybė tokį prašymą teikti ir pagal Taisyklių 6 punktą. </w:t>
      </w:r>
    </w:p>
    <w:p w14:paraId="751DDEEF" w14:textId="2B4FF3F9" w:rsidR="0095607B" w:rsidRDefault="00683668" w:rsidP="00BF2CBD">
      <w:pPr>
        <w:pStyle w:val="Sraopastraipa"/>
        <w:numPr>
          <w:ilvl w:val="0"/>
          <w:numId w:val="13"/>
        </w:numPr>
        <w:suppressAutoHyphens w:val="0"/>
        <w:ind w:left="0" w:firstLine="1134"/>
        <w:jc w:val="both"/>
        <w:rPr>
          <w:lang w:eastAsia="en-GB"/>
        </w:rPr>
      </w:pPr>
      <w:r>
        <w:rPr>
          <w:lang w:eastAsia="en-GB"/>
        </w:rPr>
        <w:t xml:space="preserve"> </w:t>
      </w:r>
      <w:r w:rsidR="0095607B" w:rsidRPr="0095607B">
        <w:rPr>
          <w:lang w:eastAsia="en-GB"/>
        </w:rPr>
        <w:t xml:space="preserve">Siūlytina keisti </w:t>
      </w:r>
      <w:r w:rsidR="0077591A">
        <w:rPr>
          <w:lang w:eastAsia="en-GB"/>
        </w:rPr>
        <w:t>Taisyklių</w:t>
      </w:r>
      <w:r w:rsidR="0077591A" w:rsidRPr="0095607B">
        <w:rPr>
          <w:lang w:eastAsia="en-GB"/>
        </w:rPr>
        <w:t xml:space="preserve"> </w:t>
      </w:r>
      <w:r w:rsidR="0095607B" w:rsidRPr="0095607B">
        <w:rPr>
          <w:lang w:eastAsia="en-GB"/>
        </w:rPr>
        <w:t xml:space="preserve">36 punktą, nurodant ir konkrečiai įvardijant Europos Sąjungos ir Lietuvos Respublikos teisės aktus, </w:t>
      </w:r>
      <w:r w:rsidR="0077591A">
        <w:rPr>
          <w:lang w:eastAsia="en-GB"/>
        </w:rPr>
        <w:t>ir</w:t>
      </w:r>
      <w:r w:rsidR="0077591A" w:rsidRPr="0095607B">
        <w:rPr>
          <w:lang w:eastAsia="en-GB"/>
        </w:rPr>
        <w:t xml:space="preserve"> </w:t>
      </w:r>
      <w:r w:rsidR="0095607B" w:rsidRPr="0095607B">
        <w:rPr>
          <w:lang w:eastAsia="en-GB"/>
        </w:rPr>
        <w:t xml:space="preserve">šį punktą formuluoti </w:t>
      </w:r>
      <w:r w:rsidR="005050A8">
        <w:rPr>
          <w:lang w:eastAsia="en-GB"/>
        </w:rPr>
        <w:t>taip</w:t>
      </w:r>
      <w:r w:rsidR="0095607B" w:rsidRPr="0095607B">
        <w:rPr>
          <w:lang w:eastAsia="en-GB"/>
        </w:rPr>
        <w:t xml:space="preserve">: </w:t>
      </w:r>
      <w:r w:rsidR="0095607B" w:rsidRPr="00805EBD">
        <w:rPr>
          <w:i/>
          <w:iCs/>
          <w:lang w:eastAsia="en-GB"/>
        </w:rPr>
        <w:t>„Įgaliota institucija asmens duomenis, kurie pateikiami dokumentuose pagal Taisyklių 6.9 ir 6.10 papunkčius, tvarko vadovaudamasi šiomis Taisyklėmis, 2016 m. balandžio 27 d. Europos Parlamento ir Tarybos reglamentu (ES) 2016/679 dėl fizinių asmenų apsaugos tvarkant asmens duomenis ir dėl laisvo tokių duomenų judėjimo ir kuriuo panaikinama Direktyva 95/46 EB (Bendrasis duomenų apsaugos reglamentas), Lietuvos Respublikos asmens duomenų teisinės apsaugos įstatymu bei kitais Lietuvos Respublikos teisės aktais, reglamentuojančiais asmens duomenų apsaugą, siekdama nustatyti, ar nėra Narkotinių ir psichotropinių medžiagų kontrolės įstatymo 10</w:t>
      </w:r>
      <w:r w:rsidR="0095607B" w:rsidRPr="00561FB0">
        <w:rPr>
          <w:i/>
          <w:iCs/>
          <w:vertAlign w:val="superscript"/>
          <w:lang w:eastAsia="en-GB"/>
        </w:rPr>
        <w:t>3</w:t>
      </w:r>
      <w:r w:rsidR="0095607B" w:rsidRPr="00805EBD">
        <w:rPr>
          <w:i/>
          <w:iCs/>
          <w:lang w:eastAsia="en-GB"/>
        </w:rPr>
        <w:t xml:space="preserve"> straipsnio 3 ir 4 punktuose nurodytų aplinkybių.“</w:t>
      </w:r>
      <w:r w:rsidR="0095607B" w:rsidRPr="0095607B">
        <w:rPr>
          <w:lang w:eastAsia="en-GB"/>
        </w:rPr>
        <w:t xml:space="preserve"> </w:t>
      </w:r>
      <w:r w:rsidR="005050A8">
        <w:rPr>
          <w:lang w:eastAsia="en-GB"/>
        </w:rPr>
        <w:t>.</w:t>
      </w:r>
      <w:r w:rsidR="0095607B" w:rsidRPr="0095607B">
        <w:rPr>
          <w:lang w:eastAsia="en-GB"/>
        </w:rPr>
        <w:t xml:space="preserve"> </w:t>
      </w:r>
    </w:p>
    <w:p w14:paraId="178449F1" w14:textId="087A98B6" w:rsidR="00BF2CBD" w:rsidRDefault="00CC673C" w:rsidP="00BF2CBD">
      <w:pPr>
        <w:pStyle w:val="Sraopastraipa"/>
        <w:numPr>
          <w:ilvl w:val="0"/>
          <w:numId w:val="13"/>
        </w:numPr>
        <w:suppressAutoHyphens w:val="0"/>
        <w:ind w:left="0" w:firstLine="1134"/>
        <w:jc w:val="both"/>
        <w:rPr>
          <w:lang w:eastAsia="en-GB"/>
        </w:rPr>
      </w:pPr>
      <w:r>
        <w:rPr>
          <w:lang w:eastAsia="en-GB"/>
        </w:rPr>
        <w:t xml:space="preserve"> </w:t>
      </w:r>
      <w:r w:rsidR="00BF2CBD">
        <w:rPr>
          <w:lang w:eastAsia="en-GB"/>
        </w:rPr>
        <w:t xml:space="preserve">Taisyklių 36 ir 37 punktuose reglamentuojama asmens duomenų, nurodytų Taisyklių 6.9 ir 6.10 papunkčiuose, tvarkymo tikslas, saugojimo laikotarpis. 2016 m. balandžio 27 d. Europos Parlamento ir Tarybos reglamento (ES) 2016/679 dėl fizinių asmenų apsaugos tvarkant asmens duomenis ir dėl laisvo tokių duomenų judėjimo ir kuriuo panaikinama Direktyva 95/46 EB (Bendrasis duomenų apsaugos reglamentas) 4 straipsnio 1 punkte pateikiama asmens duomenų sąvoka, pagal kurią </w:t>
      </w:r>
      <w:r w:rsidR="005050A8">
        <w:rPr>
          <w:lang w:eastAsia="en-GB"/>
        </w:rPr>
        <w:t>tai</w:t>
      </w:r>
      <w:r w:rsidR="00683668">
        <w:rPr>
          <w:lang w:eastAsia="en-GB"/>
        </w:rPr>
        <w:t xml:space="preserve"> yra</w:t>
      </w:r>
      <w:r w:rsidR="005050A8">
        <w:rPr>
          <w:lang w:eastAsia="en-GB"/>
        </w:rPr>
        <w:t xml:space="preserve"> </w:t>
      </w:r>
      <w:r w:rsidR="00BF2CBD">
        <w:rPr>
          <w:lang w:eastAsia="en-GB"/>
        </w:rPr>
        <w:t xml:space="preserve">bet kokia informacija apie fizinį asmenį, kurio tapatybė nustatyta arba kurio tapatybę galima nustatyti (duomenų subjektas). Atsižvelgiant į tai, siūlytina nustatyti ir kitose Taisyklių nuostatose (pvz., 6.1.3, 6.1.8, 25 ir kituose punktuose) nurodytų asmens duomenų valdytoją, tvarkymo tikslą bei saugojimo laikotarpį. </w:t>
      </w:r>
    </w:p>
    <w:p w14:paraId="7943C1AC" w14:textId="7884CE52" w:rsidR="0082756D" w:rsidRPr="00BF2CBD" w:rsidRDefault="00683668" w:rsidP="00BF2CBD">
      <w:pPr>
        <w:pStyle w:val="Sraopastraipa"/>
        <w:numPr>
          <w:ilvl w:val="0"/>
          <w:numId w:val="13"/>
        </w:numPr>
        <w:suppressAutoHyphens w:val="0"/>
        <w:ind w:left="0" w:firstLine="1134"/>
        <w:jc w:val="both"/>
        <w:rPr>
          <w:lang w:eastAsia="en-GB"/>
        </w:rPr>
      </w:pPr>
      <w:r>
        <w:rPr>
          <w:lang w:eastAsia="en-GB"/>
        </w:rPr>
        <w:t xml:space="preserve"> </w:t>
      </w:r>
      <w:r w:rsidR="0082756D">
        <w:rPr>
          <w:lang w:eastAsia="en-GB"/>
        </w:rPr>
        <w:t xml:space="preserve">Pastebėtina, kad </w:t>
      </w:r>
      <w:r w:rsidR="00F8118B">
        <w:rPr>
          <w:lang w:eastAsia="en-GB"/>
        </w:rPr>
        <w:t>lieka neapibrėžtas ir neaiškus Taisyklių 40 ir 41 punktų paskutinių sakinių santykis. Abejotina, ar Taisyklių 40 punkte numatyta alternatyva „</w:t>
      </w:r>
      <w:r w:rsidR="00F8118B" w:rsidRPr="00F8118B">
        <w:rPr>
          <w:lang w:eastAsia="en-GB"/>
        </w:rPr>
        <w:t>suformuoti elektroninėmis priemonėmis, kurios leidžia užtikrinti teksto vientisumą ir nepakeičiamumą</w:t>
      </w:r>
      <w:r w:rsidR="00F8118B">
        <w:rPr>
          <w:lang w:eastAsia="en-GB"/>
        </w:rPr>
        <w:t>“ pakankama užtikrinti dokumento autentiškumą ir jį teikiančio subjekto identifikavimą. Manytina, teikiamas dokumentas visais atvejais turėtų būti tinkamai pasirašytas.</w:t>
      </w:r>
    </w:p>
    <w:p w14:paraId="5DF86195" w14:textId="19EC12A8" w:rsidR="00CC673C" w:rsidRPr="00A6469A" w:rsidRDefault="00683668" w:rsidP="00A6469A">
      <w:pPr>
        <w:pStyle w:val="Sraopastraipa"/>
        <w:numPr>
          <w:ilvl w:val="0"/>
          <w:numId w:val="13"/>
        </w:numPr>
        <w:suppressAutoHyphens w:val="0"/>
        <w:ind w:left="0" w:firstLine="1134"/>
        <w:jc w:val="both"/>
        <w:rPr>
          <w:lang w:eastAsia="en-GB"/>
        </w:rPr>
      </w:pPr>
      <w:r>
        <w:rPr>
          <w:lang w:eastAsia="en-GB"/>
        </w:rPr>
        <w:t xml:space="preserve"> </w:t>
      </w:r>
      <w:r w:rsidR="00BA151B">
        <w:rPr>
          <w:lang w:eastAsia="en-GB"/>
        </w:rPr>
        <w:t xml:space="preserve">Manytina, kad specialiojo leidimo formą turėtų tvirtinti ją išduodanti Vyriausybės įgaliota institucija, o ne Vyriausybė. Taip pat neaiškus „pavyzdinės“ specialiojo leidimo formos statusas ir teisinė galia – ar tai privaloma specialiojo leidimo forma, ar ja turi/gali/privalo vadovautis specialųjį leidimą išduodanti institucija ir kt. </w:t>
      </w:r>
      <w:r w:rsidR="00BF635C">
        <w:rPr>
          <w:lang w:eastAsia="en-GB"/>
        </w:rPr>
        <w:t xml:space="preserve">Siūlytina įvertinti šio Taisyklių priedo tikslingumą.  </w:t>
      </w:r>
    </w:p>
    <w:p w14:paraId="7B30C0FE" w14:textId="77777777" w:rsidR="00E75D83" w:rsidRPr="00CB1DCC" w:rsidRDefault="00E75D83" w:rsidP="00E75D83">
      <w:pPr>
        <w:ind w:firstLine="1276"/>
        <w:jc w:val="both"/>
      </w:pPr>
    </w:p>
    <w:p w14:paraId="25EB5620" w14:textId="77777777" w:rsidR="00E75D83" w:rsidRPr="00CB1DCC" w:rsidRDefault="00E75D83" w:rsidP="00E75D83">
      <w:pPr>
        <w:ind w:firstLine="1276"/>
        <w:jc w:val="both"/>
      </w:pPr>
    </w:p>
    <w:p w14:paraId="34D1A176" w14:textId="77777777" w:rsidR="00492E3E" w:rsidRDefault="00492E3E" w:rsidP="00492E3E">
      <w:r w:rsidRPr="00F353AF">
        <w:t>Teisingumo ministr</w:t>
      </w:r>
      <w:r>
        <w:t>ė</w:t>
      </w:r>
      <w:r w:rsidRPr="00F353AF">
        <w:t xml:space="preserve"> </w:t>
      </w:r>
      <w:r w:rsidRPr="00F353AF">
        <w:tab/>
      </w:r>
      <w:r>
        <w:tab/>
      </w:r>
      <w:r>
        <w:tab/>
      </w:r>
      <w:r>
        <w:tab/>
      </w:r>
      <w:r>
        <w:tab/>
      </w:r>
      <w:r>
        <w:tab/>
      </w:r>
      <w:r>
        <w:tab/>
      </w:r>
      <w:r>
        <w:tab/>
        <w:t xml:space="preserve">   Evelina Dobrovolska</w:t>
      </w:r>
    </w:p>
    <w:p w14:paraId="692BFB70" w14:textId="77777777" w:rsidR="00492E3E" w:rsidRDefault="00492E3E" w:rsidP="00492E3E"/>
    <w:p w14:paraId="1519CF3D" w14:textId="6D71DBCE" w:rsidR="00492E3E" w:rsidRDefault="00492E3E" w:rsidP="00492E3E">
      <w:pPr>
        <w:rPr>
          <w:sz w:val="20"/>
        </w:rPr>
      </w:pPr>
    </w:p>
    <w:p w14:paraId="440A51F1" w14:textId="5AF657CD" w:rsidR="00CA0CE2" w:rsidRDefault="00CA0CE2" w:rsidP="00492E3E">
      <w:pPr>
        <w:rPr>
          <w:sz w:val="20"/>
        </w:rPr>
      </w:pPr>
    </w:p>
    <w:p w14:paraId="379337BA" w14:textId="25CDB5C3" w:rsidR="00CA0CE2" w:rsidRDefault="00CA0CE2" w:rsidP="00492E3E">
      <w:pPr>
        <w:rPr>
          <w:sz w:val="20"/>
        </w:rPr>
      </w:pPr>
    </w:p>
    <w:p w14:paraId="5FC2AF7D" w14:textId="4AD32A59" w:rsidR="00CA0CE2" w:rsidRDefault="00CA0CE2" w:rsidP="00492E3E">
      <w:pPr>
        <w:rPr>
          <w:sz w:val="20"/>
        </w:rPr>
      </w:pPr>
    </w:p>
    <w:p w14:paraId="220C6D4E" w14:textId="51C9FC10" w:rsidR="00CA0CE2" w:rsidRDefault="00CA0CE2" w:rsidP="00492E3E">
      <w:pPr>
        <w:rPr>
          <w:sz w:val="20"/>
        </w:rPr>
      </w:pPr>
    </w:p>
    <w:p w14:paraId="4CD7CA87" w14:textId="0D817948" w:rsidR="00CA0CE2" w:rsidRDefault="00CA0CE2" w:rsidP="00492E3E">
      <w:pPr>
        <w:rPr>
          <w:sz w:val="20"/>
        </w:rPr>
      </w:pPr>
    </w:p>
    <w:p w14:paraId="3B1689A3" w14:textId="6AAAFAD1" w:rsidR="00CA0CE2" w:rsidRDefault="00CA0CE2" w:rsidP="00492E3E">
      <w:pPr>
        <w:rPr>
          <w:sz w:val="20"/>
        </w:rPr>
      </w:pPr>
    </w:p>
    <w:p w14:paraId="3C652481" w14:textId="0F363704" w:rsidR="00CA0CE2" w:rsidRDefault="00CA0CE2" w:rsidP="00492E3E">
      <w:pPr>
        <w:rPr>
          <w:sz w:val="20"/>
        </w:rPr>
      </w:pPr>
    </w:p>
    <w:p w14:paraId="2DE9593D" w14:textId="6C114942" w:rsidR="00CA0CE2" w:rsidRDefault="00CA0CE2" w:rsidP="00492E3E">
      <w:pPr>
        <w:rPr>
          <w:sz w:val="20"/>
        </w:rPr>
      </w:pPr>
    </w:p>
    <w:p w14:paraId="6E34497B" w14:textId="66F3F216" w:rsidR="00CA0CE2" w:rsidRDefault="00CA0CE2" w:rsidP="00492E3E">
      <w:pPr>
        <w:rPr>
          <w:sz w:val="20"/>
        </w:rPr>
      </w:pPr>
    </w:p>
    <w:p w14:paraId="379B2051" w14:textId="55339399" w:rsidR="00CA0CE2" w:rsidRDefault="00CA0CE2" w:rsidP="00492E3E">
      <w:pPr>
        <w:rPr>
          <w:sz w:val="20"/>
        </w:rPr>
      </w:pPr>
    </w:p>
    <w:p w14:paraId="36B23C0F" w14:textId="77777777" w:rsidR="00CA0CE2" w:rsidRPr="00CA1F17" w:rsidRDefault="00CA0CE2" w:rsidP="00492E3E">
      <w:pPr>
        <w:rPr>
          <w:sz w:val="20"/>
        </w:rPr>
      </w:pPr>
    </w:p>
    <w:p w14:paraId="165C82B4" w14:textId="77777777" w:rsidR="00461791" w:rsidRPr="00CA1F17" w:rsidRDefault="00461791" w:rsidP="00461791">
      <w:pPr>
        <w:rPr>
          <w:sz w:val="20"/>
        </w:rPr>
      </w:pPr>
    </w:p>
    <w:p w14:paraId="760EDF98" w14:textId="77777777" w:rsidR="00461791" w:rsidRPr="00923F72" w:rsidRDefault="00461791" w:rsidP="00461791">
      <w:pPr>
        <w:tabs>
          <w:tab w:val="decimal" w:pos="9638"/>
        </w:tabs>
        <w:rPr>
          <w:color w:val="000000" w:themeColor="text1"/>
          <w:sz w:val="16"/>
          <w:szCs w:val="16"/>
        </w:rPr>
      </w:pPr>
      <w:r w:rsidRPr="00923F72">
        <w:rPr>
          <w:color w:val="000000" w:themeColor="text1"/>
          <w:sz w:val="16"/>
          <w:szCs w:val="16"/>
        </w:rPr>
        <w:t xml:space="preserve">Jūratė Burtilienė, (8 5) 219 1896, el. p. </w:t>
      </w:r>
      <w:hyperlink r:id="rId12" w:history="1">
        <w:r w:rsidRPr="00923F72">
          <w:rPr>
            <w:rStyle w:val="Hipersaitas"/>
            <w:sz w:val="16"/>
            <w:szCs w:val="16"/>
          </w:rPr>
          <w:t>jurate.burtiliene@tm.lt</w:t>
        </w:r>
      </w:hyperlink>
      <w:r w:rsidRPr="00923F72">
        <w:rPr>
          <w:color w:val="000000" w:themeColor="text1"/>
          <w:sz w:val="16"/>
          <w:szCs w:val="16"/>
        </w:rPr>
        <w:t xml:space="preserve"> </w:t>
      </w:r>
    </w:p>
    <w:p w14:paraId="6CFF148A" w14:textId="77777777" w:rsidR="0095607B" w:rsidRDefault="00461791" w:rsidP="00461791">
      <w:pPr>
        <w:tabs>
          <w:tab w:val="decimal" w:pos="9638"/>
        </w:tabs>
        <w:rPr>
          <w:color w:val="000000" w:themeColor="text1"/>
          <w:sz w:val="16"/>
          <w:szCs w:val="16"/>
        </w:rPr>
      </w:pPr>
      <w:r w:rsidRPr="00923F72">
        <w:rPr>
          <w:color w:val="000000" w:themeColor="text1"/>
          <w:sz w:val="16"/>
          <w:szCs w:val="16"/>
        </w:rPr>
        <w:t xml:space="preserve">Indrė </w:t>
      </w:r>
      <w:proofErr w:type="spellStart"/>
      <w:r w:rsidRPr="00923F72">
        <w:rPr>
          <w:color w:val="000000" w:themeColor="text1"/>
          <w:sz w:val="16"/>
          <w:szCs w:val="16"/>
        </w:rPr>
        <w:t>Gaisrytė</w:t>
      </w:r>
      <w:proofErr w:type="spellEnd"/>
      <w:r w:rsidRPr="00923F72">
        <w:rPr>
          <w:color w:val="000000" w:themeColor="text1"/>
          <w:sz w:val="16"/>
          <w:szCs w:val="16"/>
        </w:rPr>
        <w:t xml:space="preserve">, (8 5) 266 2923, el. p. </w:t>
      </w:r>
      <w:hyperlink r:id="rId13" w:history="1">
        <w:r w:rsidRPr="00923F72">
          <w:rPr>
            <w:rStyle w:val="Hipersaitas"/>
            <w:sz w:val="16"/>
            <w:szCs w:val="16"/>
          </w:rPr>
          <w:t>indre.gaistryte</w:t>
        </w:r>
        <w:r w:rsidRPr="00923F72">
          <w:rPr>
            <w:rStyle w:val="Hipersaitas"/>
            <w:sz w:val="16"/>
            <w:szCs w:val="16"/>
            <w:lang w:val="en-GB"/>
          </w:rPr>
          <w:t>@</w:t>
        </w:r>
        <w:proofErr w:type="spellStart"/>
        <w:r w:rsidRPr="00923F72">
          <w:rPr>
            <w:rStyle w:val="Hipersaitas"/>
            <w:sz w:val="16"/>
            <w:szCs w:val="16"/>
          </w:rPr>
          <w:t>tm.lt</w:t>
        </w:r>
        <w:proofErr w:type="spellEnd"/>
      </w:hyperlink>
      <w:r w:rsidRPr="00923F72">
        <w:rPr>
          <w:color w:val="000000" w:themeColor="text1"/>
          <w:sz w:val="16"/>
          <w:szCs w:val="16"/>
        </w:rPr>
        <w:t xml:space="preserve"> </w:t>
      </w:r>
    </w:p>
    <w:p w14:paraId="33A4D0DE" w14:textId="0C8BB447" w:rsidR="00461791" w:rsidRPr="00923F72" w:rsidRDefault="0095607B" w:rsidP="00461791">
      <w:pPr>
        <w:tabs>
          <w:tab w:val="decimal" w:pos="9638"/>
        </w:tabs>
        <w:rPr>
          <w:color w:val="000000" w:themeColor="text1"/>
          <w:sz w:val="16"/>
          <w:szCs w:val="16"/>
        </w:rPr>
      </w:pPr>
      <w:r>
        <w:rPr>
          <w:color w:val="000000" w:themeColor="text1"/>
          <w:sz w:val="16"/>
          <w:szCs w:val="16"/>
        </w:rPr>
        <w:t>Dovilė Mekionytė</w:t>
      </w:r>
      <w:r w:rsidR="0071622C">
        <w:rPr>
          <w:color w:val="000000" w:themeColor="text1"/>
          <w:sz w:val="16"/>
          <w:szCs w:val="16"/>
        </w:rPr>
        <w:t xml:space="preserve">, (8 5) 266 2953, el. p. </w:t>
      </w:r>
      <w:hyperlink r:id="rId14" w:history="1">
        <w:r w:rsidR="0071622C" w:rsidRPr="00EC0257">
          <w:rPr>
            <w:rStyle w:val="Hipersaitas"/>
            <w:sz w:val="16"/>
            <w:szCs w:val="16"/>
          </w:rPr>
          <w:t>dovile.mekionyte@tm.lt</w:t>
        </w:r>
      </w:hyperlink>
      <w:r w:rsidR="0071622C">
        <w:rPr>
          <w:color w:val="000000" w:themeColor="text1"/>
          <w:sz w:val="16"/>
          <w:szCs w:val="16"/>
        </w:rPr>
        <w:t xml:space="preserve"> </w:t>
      </w:r>
      <w:r w:rsidR="00461791" w:rsidRPr="00923F72">
        <w:rPr>
          <w:color w:val="000000" w:themeColor="text1"/>
          <w:sz w:val="16"/>
          <w:szCs w:val="16"/>
        </w:rPr>
        <w:tab/>
        <w:t xml:space="preserve"> </w:t>
      </w:r>
    </w:p>
    <w:sectPr w:rsidR="00461791" w:rsidRPr="00923F72" w:rsidSect="00E55830">
      <w:headerReference w:type="even" r:id="rId15"/>
      <w:headerReference w:type="default" r:id="rId16"/>
      <w:headerReference w:type="first" r:id="rId17"/>
      <w:footerReference w:type="first" r:id="rId18"/>
      <w:footnotePr>
        <w:pos w:val="beneathText"/>
      </w:footnotePr>
      <w:pgSz w:w="11905" w:h="16837"/>
      <w:pgMar w:top="1778"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8100" w14:textId="77777777" w:rsidR="00EE3FB7" w:rsidRDefault="00EE3FB7">
      <w:r>
        <w:separator/>
      </w:r>
    </w:p>
  </w:endnote>
  <w:endnote w:type="continuationSeparator" w:id="0">
    <w:p w14:paraId="02F0026C" w14:textId="77777777" w:rsidR="00EE3FB7" w:rsidRDefault="00EE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82B8" w14:textId="77777777" w:rsidR="001F4940" w:rsidRDefault="001F4940" w:rsidP="00137EFF">
    <w:pPr>
      <w:pStyle w:val="Porat"/>
      <w:tabs>
        <w:tab w:val="clear" w:pos="8306"/>
        <w:tab w:val="left" w:pos="8080"/>
        <w:tab w:val="right" w:pos="9356"/>
      </w:tabs>
    </w:pP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BD940" w14:textId="77777777" w:rsidR="00EE3FB7" w:rsidRDefault="00EE3FB7">
      <w:r>
        <w:separator/>
      </w:r>
    </w:p>
  </w:footnote>
  <w:footnote w:type="continuationSeparator" w:id="0">
    <w:p w14:paraId="356B271C" w14:textId="77777777" w:rsidR="00EE3FB7" w:rsidRDefault="00EE3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429593487"/>
      <w:docPartObj>
        <w:docPartGallery w:val="Page Numbers (Top of Page)"/>
        <w:docPartUnique/>
      </w:docPartObj>
    </w:sdtPr>
    <w:sdtEndPr>
      <w:rPr>
        <w:rStyle w:val="Puslapionumeris"/>
      </w:rPr>
    </w:sdtEndPr>
    <w:sdtContent>
      <w:p w14:paraId="2A528AB7" w14:textId="135908C4" w:rsidR="00B93367" w:rsidRDefault="00B93367" w:rsidP="0076607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114B4BA9" w14:textId="77777777" w:rsidR="00BF4628" w:rsidRDefault="00BF46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375432244"/>
      <w:docPartObj>
        <w:docPartGallery w:val="Page Numbers (Top of Page)"/>
        <w:docPartUnique/>
      </w:docPartObj>
    </w:sdtPr>
    <w:sdtEndPr>
      <w:rPr>
        <w:rStyle w:val="Puslapionumeris"/>
      </w:rPr>
    </w:sdtEndPr>
    <w:sdtContent>
      <w:p w14:paraId="0E650099" w14:textId="081AC195" w:rsidR="00B93367" w:rsidRDefault="00B93367" w:rsidP="0076607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683668">
          <w:rPr>
            <w:rStyle w:val="Puslapionumeris"/>
            <w:noProof/>
          </w:rPr>
          <w:t>2</w:t>
        </w:r>
        <w:r>
          <w:rPr>
            <w:rStyle w:val="Puslapionumeris"/>
          </w:rPr>
          <w:fldChar w:fldCharType="end"/>
        </w:r>
      </w:p>
    </w:sdtContent>
  </w:sdt>
  <w:p w14:paraId="3EE61096" w14:textId="77777777" w:rsidR="0006186E" w:rsidRDefault="0006186E" w:rsidP="00EE5859">
    <w:pPr>
      <w:pStyle w:val="Antrat1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B565"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110DDAB0" w14:textId="77777777" w:rsidR="006A0169" w:rsidRPr="006A0169" w:rsidRDefault="006A0169" w:rsidP="006A0169">
    <w:pPr>
      <w:suppressAutoHyphens w:val="0"/>
      <w:jc w:val="center"/>
      <w:rPr>
        <w:b/>
        <w:bCs/>
        <w:sz w:val="26"/>
        <w:lang w:eastAsia="en-US"/>
      </w:rPr>
    </w:pPr>
  </w:p>
  <w:p w14:paraId="5B8B41F7"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086E8B22" w14:textId="224C4069"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hyperlink r:id="rId2" w:history="1">
      <w:r w:rsidR="00D00BD9" w:rsidRPr="000F6070">
        <w:rPr>
          <w:rStyle w:val="Hipersaitas"/>
          <w:sz w:val="20"/>
          <w:lang w:eastAsia="en-US"/>
        </w:rPr>
        <w:t>rastine@tm.lt</w:t>
      </w:r>
    </w:hyperlink>
    <w:r>
      <w:rPr>
        <w:sz w:val="20"/>
        <w:lang w:eastAsia="en-US"/>
      </w:rPr>
      <w:t>,</w:t>
    </w:r>
    <w:r w:rsidR="00D00BD9">
      <w:rPr>
        <w:sz w:val="20"/>
        <w:lang w:eastAsia="en-US"/>
      </w:rPr>
      <w:t xml:space="preserve"> </w:t>
    </w:r>
    <w:r w:rsidR="00D00BD9" w:rsidRPr="00293077">
      <w:rPr>
        <w:sz w:val="20"/>
        <w:lang w:eastAsia="en-US"/>
      </w:rPr>
      <w:t>https://tm.lrv.lt</w:t>
    </w:r>
    <w:r w:rsidR="00D00BD9">
      <w:rPr>
        <w:sz w:val="20"/>
        <w:lang w:eastAsia="en-US"/>
      </w:rPr>
      <w:t>.</w:t>
    </w:r>
  </w:p>
  <w:p w14:paraId="04C7FD59"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074EED44" w14:textId="77777777" w:rsidR="006A0169" w:rsidRPr="006A0169" w:rsidRDefault="006A0169" w:rsidP="006A0169">
    <w:pPr>
      <w:tabs>
        <w:tab w:val="right" w:pos="8306"/>
      </w:tabs>
      <w:suppressAutoHyphens w:val="0"/>
      <w:jc w:val="center"/>
      <w:rPr>
        <w:sz w:val="20"/>
        <w:lang w:eastAsia="en-US"/>
      </w:rPr>
    </w:pP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EC5963"/>
    <w:multiLevelType w:val="hybridMultilevel"/>
    <w:tmpl w:val="FC561C44"/>
    <w:lvl w:ilvl="0" w:tplc="4C0AB00A">
      <w:start w:val="1"/>
      <w:numFmt w:val="decimal"/>
      <w:lvlText w:val="%1."/>
      <w:lvlJc w:val="left"/>
      <w:pPr>
        <w:ind w:left="1636" w:hanging="360"/>
      </w:pPr>
      <w:rPr>
        <w:rFonts w:hint="default"/>
        <w:color w:val="00000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3"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4"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643639E7"/>
    <w:multiLevelType w:val="hybridMultilevel"/>
    <w:tmpl w:val="EFAEA13C"/>
    <w:lvl w:ilvl="0" w:tplc="0809000F">
      <w:start w:val="1"/>
      <w:numFmt w:val="decimal"/>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9"/>
  </w:num>
  <w:num w:numId="3">
    <w:abstractNumId w:val="2"/>
  </w:num>
  <w:num w:numId="4">
    <w:abstractNumId w:val="11"/>
  </w:num>
  <w:num w:numId="5">
    <w:abstractNumId w:val="7"/>
  </w:num>
  <w:num w:numId="6">
    <w:abstractNumId w:val="6"/>
  </w:num>
  <w:num w:numId="7">
    <w:abstractNumId w:val="3"/>
  </w:num>
  <w:num w:numId="8">
    <w:abstractNumId w:val="4"/>
  </w:num>
  <w:num w:numId="9">
    <w:abstractNumId w:val="5"/>
  </w:num>
  <w:num w:numId="10">
    <w:abstractNumId w:val="8"/>
  </w:num>
  <w:num w:numId="11">
    <w:abstractNumId w:val="9"/>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203F3"/>
    <w:rsid w:val="00022E3C"/>
    <w:rsid w:val="00023992"/>
    <w:rsid w:val="00033F22"/>
    <w:rsid w:val="000356BD"/>
    <w:rsid w:val="0004405D"/>
    <w:rsid w:val="00045F11"/>
    <w:rsid w:val="0006186E"/>
    <w:rsid w:val="00072919"/>
    <w:rsid w:val="000756A8"/>
    <w:rsid w:val="00093791"/>
    <w:rsid w:val="00095F50"/>
    <w:rsid w:val="000B0D10"/>
    <w:rsid w:val="000B1ECA"/>
    <w:rsid w:val="000B26BE"/>
    <w:rsid w:val="000B67D8"/>
    <w:rsid w:val="000D0B1C"/>
    <w:rsid w:val="000D3171"/>
    <w:rsid w:val="000E34D4"/>
    <w:rsid w:val="000E6449"/>
    <w:rsid w:val="000E6E4F"/>
    <w:rsid w:val="000E7556"/>
    <w:rsid w:val="000F75E7"/>
    <w:rsid w:val="00106269"/>
    <w:rsid w:val="00110A05"/>
    <w:rsid w:val="00116042"/>
    <w:rsid w:val="00133358"/>
    <w:rsid w:val="0013694D"/>
    <w:rsid w:val="00137EFF"/>
    <w:rsid w:val="00163C9F"/>
    <w:rsid w:val="00190B04"/>
    <w:rsid w:val="00194508"/>
    <w:rsid w:val="001A2BEB"/>
    <w:rsid w:val="001B28DE"/>
    <w:rsid w:val="001C1840"/>
    <w:rsid w:val="001E0731"/>
    <w:rsid w:val="001E192A"/>
    <w:rsid w:val="001E213B"/>
    <w:rsid w:val="001E5D86"/>
    <w:rsid w:val="001E6F39"/>
    <w:rsid w:val="001F4940"/>
    <w:rsid w:val="00216724"/>
    <w:rsid w:val="00224C7E"/>
    <w:rsid w:val="00225009"/>
    <w:rsid w:val="00247655"/>
    <w:rsid w:val="00263E07"/>
    <w:rsid w:val="00271BCA"/>
    <w:rsid w:val="0027526A"/>
    <w:rsid w:val="002C0406"/>
    <w:rsid w:val="002D24DA"/>
    <w:rsid w:val="002F357E"/>
    <w:rsid w:val="00314884"/>
    <w:rsid w:val="0031547F"/>
    <w:rsid w:val="00316B60"/>
    <w:rsid w:val="00335E75"/>
    <w:rsid w:val="00345C41"/>
    <w:rsid w:val="00350171"/>
    <w:rsid w:val="0035263F"/>
    <w:rsid w:val="00357B11"/>
    <w:rsid w:val="00374572"/>
    <w:rsid w:val="0038266A"/>
    <w:rsid w:val="00392BAA"/>
    <w:rsid w:val="003A0D57"/>
    <w:rsid w:val="003A403B"/>
    <w:rsid w:val="003A4DCB"/>
    <w:rsid w:val="003A6CAA"/>
    <w:rsid w:val="003C1BC9"/>
    <w:rsid w:val="003C76FB"/>
    <w:rsid w:val="00422F55"/>
    <w:rsid w:val="004400C5"/>
    <w:rsid w:val="00444D3C"/>
    <w:rsid w:val="004473FF"/>
    <w:rsid w:val="0045010C"/>
    <w:rsid w:val="00461791"/>
    <w:rsid w:val="00467546"/>
    <w:rsid w:val="00477775"/>
    <w:rsid w:val="00492E3E"/>
    <w:rsid w:val="004949C3"/>
    <w:rsid w:val="004B3360"/>
    <w:rsid w:val="004C157C"/>
    <w:rsid w:val="004E0354"/>
    <w:rsid w:val="004E4C97"/>
    <w:rsid w:val="004F7E5E"/>
    <w:rsid w:val="00503401"/>
    <w:rsid w:val="005050A8"/>
    <w:rsid w:val="0051548F"/>
    <w:rsid w:val="00520A99"/>
    <w:rsid w:val="00526983"/>
    <w:rsid w:val="005468FA"/>
    <w:rsid w:val="00551E59"/>
    <w:rsid w:val="00561FB0"/>
    <w:rsid w:val="005901F4"/>
    <w:rsid w:val="005934F7"/>
    <w:rsid w:val="005A2039"/>
    <w:rsid w:val="005A32E3"/>
    <w:rsid w:val="005B22EF"/>
    <w:rsid w:val="005B3FD9"/>
    <w:rsid w:val="005B71DB"/>
    <w:rsid w:val="005E2862"/>
    <w:rsid w:val="005E7F01"/>
    <w:rsid w:val="005F6849"/>
    <w:rsid w:val="005F70CA"/>
    <w:rsid w:val="0061247A"/>
    <w:rsid w:val="006202AA"/>
    <w:rsid w:val="00631354"/>
    <w:rsid w:val="00632C30"/>
    <w:rsid w:val="00640E03"/>
    <w:rsid w:val="00652F99"/>
    <w:rsid w:val="00654D3C"/>
    <w:rsid w:val="00662A71"/>
    <w:rsid w:val="00674F0A"/>
    <w:rsid w:val="00683668"/>
    <w:rsid w:val="00685024"/>
    <w:rsid w:val="00692B0B"/>
    <w:rsid w:val="006A0169"/>
    <w:rsid w:val="006A29C0"/>
    <w:rsid w:val="006A3AEE"/>
    <w:rsid w:val="006E2FF8"/>
    <w:rsid w:val="0070100A"/>
    <w:rsid w:val="007155A1"/>
    <w:rsid w:val="0071622C"/>
    <w:rsid w:val="00735C7F"/>
    <w:rsid w:val="0074745C"/>
    <w:rsid w:val="00755247"/>
    <w:rsid w:val="0075689A"/>
    <w:rsid w:val="0077591A"/>
    <w:rsid w:val="00775BDF"/>
    <w:rsid w:val="007A18C6"/>
    <w:rsid w:val="007B1F82"/>
    <w:rsid w:val="007B3C8C"/>
    <w:rsid w:val="007B4A13"/>
    <w:rsid w:val="007C2BF7"/>
    <w:rsid w:val="007F7B9B"/>
    <w:rsid w:val="00805EBD"/>
    <w:rsid w:val="00813025"/>
    <w:rsid w:val="0082756D"/>
    <w:rsid w:val="008309E8"/>
    <w:rsid w:val="008A5254"/>
    <w:rsid w:val="008A6547"/>
    <w:rsid w:val="008C162A"/>
    <w:rsid w:val="008F0FF9"/>
    <w:rsid w:val="00913175"/>
    <w:rsid w:val="00921A20"/>
    <w:rsid w:val="00934D54"/>
    <w:rsid w:val="00935287"/>
    <w:rsid w:val="0095607B"/>
    <w:rsid w:val="00967916"/>
    <w:rsid w:val="00977F51"/>
    <w:rsid w:val="00991FC2"/>
    <w:rsid w:val="009A11A6"/>
    <w:rsid w:val="009B0944"/>
    <w:rsid w:val="009B4576"/>
    <w:rsid w:val="009D5D3E"/>
    <w:rsid w:val="009E11EE"/>
    <w:rsid w:val="009E135C"/>
    <w:rsid w:val="009E48CE"/>
    <w:rsid w:val="00A17E41"/>
    <w:rsid w:val="00A36467"/>
    <w:rsid w:val="00A40CD2"/>
    <w:rsid w:val="00A43DDD"/>
    <w:rsid w:val="00A45A83"/>
    <w:rsid w:val="00A500C7"/>
    <w:rsid w:val="00A5068D"/>
    <w:rsid w:val="00A51241"/>
    <w:rsid w:val="00A6469A"/>
    <w:rsid w:val="00A94549"/>
    <w:rsid w:val="00AA7C86"/>
    <w:rsid w:val="00AC27D6"/>
    <w:rsid w:val="00AD37E3"/>
    <w:rsid w:val="00AE0614"/>
    <w:rsid w:val="00AE3511"/>
    <w:rsid w:val="00B40D2F"/>
    <w:rsid w:val="00B4689F"/>
    <w:rsid w:val="00B57D95"/>
    <w:rsid w:val="00B7339D"/>
    <w:rsid w:val="00B93367"/>
    <w:rsid w:val="00B942CE"/>
    <w:rsid w:val="00B95075"/>
    <w:rsid w:val="00BA151B"/>
    <w:rsid w:val="00BA348A"/>
    <w:rsid w:val="00BA510D"/>
    <w:rsid w:val="00BA60D3"/>
    <w:rsid w:val="00BB1BC1"/>
    <w:rsid w:val="00BD01B6"/>
    <w:rsid w:val="00BD62CA"/>
    <w:rsid w:val="00BF2CBD"/>
    <w:rsid w:val="00BF4400"/>
    <w:rsid w:val="00BF4628"/>
    <w:rsid w:val="00BF635C"/>
    <w:rsid w:val="00C03C0F"/>
    <w:rsid w:val="00C2360C"/>
    <w:rsid w:val="00C26D5D"/>
    <w:rsid w:val="00C43A57"/>
    <w:rsid w:val="00C52D99"/>
    <w:rsid w:val="00C843F3"/>
    <w:rsid w:val="00CA0CE2"/>
    <w:rsid w:val="00CB1D28"/>
    <w:rsid w:val="00CB1DCC"/>
    <w:rsid w:val="00CC51E5"/>
    <w:rsid w:val="00CC673C"/>
    <w:rsid w:val="00CC742A"/>
    <w:rsid w:val="00CD660D"/>
    <w:rsid w:val="00D00BD9"/>
    <w:rsid w:val="00D1048C"/>
    <w:rsid w:val="00D2173F"/>
    <w:rsid w:val="00D22358"/>
    <w:rsid w:val="00D22A39"/>
    <w:rsid w:val="00D43614"/>
    <w:rsid w:val="00D519E9"/>
    <w:rsid w:val="00D553A0"/>
    <w:rsid w:val="00D6461F"/>
    <w:rsid w:val="00D9324E"/>
    <w:rsid w:val="00D94BEE"/>
    <w:rsid w:val="00D9641F"/>
    <w:rsid w:val="00DA10E1"/>
    <w:rsid w:val="00DA16FD"/>
    <w:rsid w:val="00E03B24"/>
    <w:rsid w:val="00E04931"/>
    <w:rsid w:val="00E214C4"/>
    <w:rsid w:val="00E32D88"/>
    <w:rsid w:val="00E35543"/>
    <w:rsid w:val="00E36636"/>
    <w:rsid w:val="00E55830"/>
    <w:rsid w:val="00E63465"/>
    <w:rsid w:val="00E6391B"/>
    <w:rsid w:val="00E75D83"/>
    <w:rsid w:val="00E81F28"/>
    <w:rsid w:val="00E843B1"/>
    <w:rsid w:val="00E96B50"/>
    <w:rsid w:val="00EA3009"/>
    <w:rsid w:val="00ED73D6"/>
    <w:rsid w:val="00EE1170"/>
    <w:rsid w:val="00EE3FB7"/>
    <w:rsid w:val="00EE5859"/>
    <w:rsid w:val="00EF07A0"/>
    <w:rsid w:val="00EF5630"/>
    <w:rsid w:val="00F05FB4"/>
    <w:rsid w:val="00F34EF5"/>
    <w:rsid w:val="00F377AB"/>
    <w:rsid w:val="00F6147E"/>
    <w:rsid w:val="00F62B9E"/>
    <w:rsid w:val="00F73A02"/>
    <w:rsid w:val="00F8118B"/>
    <w:rsid w:val="00F85A80"/>
    <w:rsid w:val="00F947AC"/>
    <w:rsid w:val="00FA1066"/>
    <w:rsid w:val="00FB183B"/>
    <w:rsid w:val="00FB295F"/>
    <w:rsid w:val="00FB41D3"/>
    <w:rsid w:val="00FB5D01"/>
    <w:rsid w:val="00FC0237"/>
    <w:rsid w:val="00FC0E93"/>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Neapdorotaspaminjimas1">
    <w:name w:val="Neapdorotas paminėjimas1"/>
    <w:basedOn w:val="Numatytasispastraiposriftas"/>
    <w:uiPriority w:val="99"/>
    <w:semiHidden/>
    <w:unhideWhenUsed/>
    <w:rsid w:val="00D00BD9"/>
    <w:rPr>
      <w:color w:val="605E5C"/>
      <w:shd w:val="clear" w:color="auto" w:fill="E1DFDD"/>
    </w:rPr>
  </w:style>
  <w:style w:type="character" w:customStyle="1" w:styleId="apple-converted-space">
    <w:name w:val="apple-converted-space"/>
    <w:basedOn w:val="Numatytasispastraiposriftas"/>
    <w:rsid w:val="008A6547"/>
  </w:style>
  <w:style w:type="paragraph" w:styleId="Sraopastraipa">
    <w:name w:val="List Paragraph"/>
    <w:basedOn w:val="prastasis"/>
    <w:uiPriority w:val="34"/>
    <w:qFormat/>
    <w:rsid w:val="00BA510D"/>
    <w:pPr>
      <w:ind w:left="720"/>
      <w:contextualSpacing/>
    </w:pPr>
  </w:style>
  <w:style w:type="character" w:customStyle="1" w:styleId="bkg-highlight-red">
    <w:name w:val="bkg-highlight-red"/>
    <w:basedOn w:val="Numatytasispastraiposriftas"/>
    <w:rsid w:val="00CB1DCC"/>
  </w:style>
  <w:style w:type="paragraph" w:customStyle="1" w:styleId="tin">
    <w:name w:val="tin"/>
    <w:basedOn w:val="prastasis"/>
    <w:rsid w:val="00CB1DCC"/>
    <w:pPr>
      <w:suppressAutoHyphens w:val="0"/>
      <w:spacing w:before="100" w:beforeAutospacing="1" w:after="100" w:afterAutospacing="1"/>
    </w:pPr>
    <w:rPr>
      <w:lang w:eastAsia="en-GB"/>
    </w:rPr>
  </w:style>
  <w:style w:type="character" w:styleId="Komentaronuoroda">
    <w:name w:val="annotation reference"/>
    <w:basedOn w:val="Numatytasispastraiposriftas"/>
    <w:semiHidden/>
    <w:unhideWhenUsed/>
    <w:rsid w:val="00F377AB"/>
    <w:rPr>
      <w:sz w:val="16"/>
      <w:szCs w:val="16"/>
    </w:rPr>
  </w:style>
  <w:style w:type="paragraph" w:styleId="Komentarotekstas">
    <w:name w:val="annotation text"/>
    <w:basedOn w:val="prastasis"/>
    <w:link w:val="KomentarotekstasDiagrama"/>
    <w:semiHidden/>
    <w:unhideWhenUsed/>
    <w:rsid w:val="00F377AB"/>
    <w:rPr>
      <w:sz w:val="20"/>
      <w:szCs w:val="20"/>
    </w:rPr>
  </w:style>
  <w:style w:type="character" w:customStyle="1" w:styleId="KomentarotekstasDiagrama">
    <w:name w:val="Komentaro tekstas Diagrama"/>
    <w:basedOn w:val="Numatytasispastraiposriftas"/>
    <w:link w:val="Komentarotekstas"/>
    <w:semiHidden/>
    <w:rsid w:val="00F377AB"/>
    <w:rPr>
      <w:lang w:eastAsia="ar-SA"/>
    </w:rPr>
  </w:style>
  <w:style w:type="paragraph" w:styleId="Komentarotema">
    <w:name w:val="annotation subject"/>
    <w:basedOn w:val="Komentarotekstas"/>
    <w:next w:val="Komentarotekstas"/>
    <w:link w:val="KomentarotemaDiagrama"/>
    <w:semiHidden/>
    <w:unhideWhenUsed/>
    <w:rsid w:val="00F377AB"/>
    <w:rPr>
      <w:b/>
      <w:bCs/>
    </w:rPr>
  </w:style>
  <w:style w:type="character" w:customStyle="1" w:styleId="KomentarotemaDiagrama">
    <w:name w:val="Komentaro tema Diagrama"/>
    <w:basedOn w:val="KomentarotekstasDiagrama"/>
    <w:link w:val="Komentarotema"/>
    <w:semiHidden/>
    <w:rsid w:val="00F377AB"/>
    <w:rPr>
      <w:b/>
      <w:bCs/>
      <w:lang w:eastAsia="ar-SA"/>
    </w:rPr>
  </w:style>
  <w:style w:type="character" w:styleId="Perirtashipersaitas">
    <w:name w:val="FollowedHyperlink"/>
    <w:basedOn w:val="Numatytasispastraiposriftas"/>
    <w:semiHidden/>
    <w:unhideWhenUsed/>
    <w:rsid w:val="00F34E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8616">
      <w:bodyDiv w:val="1"/>
      <w:marLeft w:val="0"/>
      <w:marRight w:val="0"/>
      <w:marTop w:val="0"/>
      <w:marBottom w:val="0"/>
      <w:divBdr>
        <w:top w:val="none" w:sz="0" w:space="0" w:color="auto"/>
        <w:left w:val="none" w:sz="0" w:space="0" w:color="auto"/>
        <w:bottom w:val="none" w:sz="0" w:space="0" w:color="auto"/>
        <w:right w:val="none" w:sz="0" w:space="0" w:color="auto"/>
      </w:divBdr>
    </w:div>
    <w:div w:id="204559863">
      <w:bodyDiv w:val="1"/>
      <w:marLeft w:val="0"/>
      <w:marRight w:val="0"/>
      <w:marTop w:val="0"/>
      <w:marBottom w:val="0"/>
      <w:divBdr>
        <w:top w:val="none" w:sz="0" w:space="0" w:color="auto"/>
        <w:left w:val="none" w:sz="0" w:space="0" w:color="auto"/>
        <w:bottom w:val="none" w:sz="0" w:space="0" w:color="auto"/>
        <w:right w:val="none" w:sz="0" w:space="0" w:color="auto"/>
      </w:divBdr>
    </w:div>
    <w:div w:id="251161500">
      <w:bodyDiv w:val="1"/>
      <w:marLeft w:val="0"/>
      <w:marRight w:val="0"/>
      <w:marTop w:val="0"/>
      <w:marBottom w:val="0"/>
      <w:divBdr>
        <w:top w:val="none" w:sz="0" w:space="0" w:color="auto"/>
        <w:left w:val="none" w:sz="0" w:space="0" w:color="auto"/>
        <w:bottom w:val="none" w:sz="0" w:space="0" w:color="auto"/>
        <w:right w:val="none" w:sz="0" w:space="0" w:color="auto"/>
      </w:divBdr>
    </w:div>
    <w:div w:id="329720117">
      <w:bodyDiv w:val="1"/>
      <w:marLeft w:val="0"/>
      <w:marRight w:val="0"/>
      <w:marTop w:val="0"/>
      <w:marBottom w:val="0"/>
      <w:divBdr>
        <w:top w:val="none" w:sz="0" w:space="0" w:color="auto"/>
        <w:left w:val="none" w:sz="0" w:space="0" w:color="auto"/>
        <w:bottom w:val="none" w:sz="0" w:space="0" w:color="auto"/>
        <w:right w:val="none" w:sz="0" w:space="0" w:color="auto"/>
      </w:divBdr>
    </w:div>
    <w:div w:id="769084012">
      <w:bodyDiv w:val="1"/>
      <w:marLeft w:val="0"/>
      <w:marRight w:val="0"/>
      <w:marTop w:val="0"/>
      <w:marBottom w:val="0"/>
      <w:divBdr>
        <w:top w:val="none" w:sz="0" w:space="0" w:color="auto"/>
        <w:left w:val="none" w:sz="0" w:space="0" w:color="auto"/>
        <w:bottom w:val="none" w:sz="0" w:space="0" w:color="auto"/>
        <w:right w:val="none" w:sz="0" w:space="0" w:color="auto"/>
      </w:divBdr>
    </w:div>
    <w:div w:id="1248002098">
      <w:bodyDiv w:val="1"/>
      <w:marLeft w:val="0"/>
      <w:marRight w:val="0"/>
      <w:marTop w:val="0"/>
      <w:marBottom w:val="0"/>
      <w:divBdr>
        <w:top w:val="none" w:sz="0" w:space="0" w:color="auto"/>
        <w:left w:val="none" w:sz="0" w:space="0" w:color="auto"/>
        <w:bottom w:val="none" w:sz="0" w:space="0" w:color="auto"/>
        <w:right w:val="none" w:sz="0" w:space="0" w:color="auto"/>
      </w:divBdr>
    </w:div>
    <w:div w:id="1337683482">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459639749">
      <w:bodyDiv w:val="1"/>
      <w:marLeft w:val="0"/>
      <w:marRight w:val="0"/>
      <w:marTop w:val="0"/>
      <w:marBottom w:val="0"/>
      <w:divBdr>
        <w:top w:val="none" w:sz="0" w:space="0" w:color="auto"/>
        <w:left w:val="none" w:sz="0" w:space="0" w:color="auto"/>
        <w:bottom w:val="none" w:sz="0" w:space="0" w:color="auto"/>
        <w:right w:val="none" w:sz="0" w:space="0" w:color="auto"/>
      </w:divBdr>
    </w:div>
    <w:div w:id="1524127669">
      <w:bodyDiv w:val="1"/>
      <w:marLeft w:val="0"/>
      <w:marRight w:val="0"/>
      <w:marTop w:val="0"/>
      <w:marBottom w:val="0"/>
      <w:divBdr>
        <w:top w:val="none" w:sz="0" w:space="0" w:color="auto"/>
        <w:left w:val="none" w:sz="0" w:space="0" w:color="auto"/>
        <w:bottom w:val="none" w:sz="0" w:space="0" w:color="auto"/>
        <w:right w:val="none" w:sz="0" w:space="0" w:color="auto"/>
      </w:divBdr>
    </w:div>
    <w:div w:id="158560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8f66d553cab311eb91e294a1358e77e9" TargetMode="External"/><Relationship Id="rId13" Type="http://schemas.openxmlformats.org/officeDocument/2006/relationships/hyperlink" Target="mailto:indre.gaistryte@tm.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rate.burtiliene@tm.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4143d2a3cab411eb91e294a1358e77e9?jfwid=ld4gwnbo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seimas.lrs.lt/portal/legalAct/lt/TAP/4143d2a3cab411eb91e294a1358e77e9?jfwid=ld4gwnbo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imas.lrs.lt/portal/legalAct/lt/TAP/8f66d553cab311eb91e294a1358e77e9" TargetMode="External"/><Relationship Id="rId14" Type="http://schemas.openxmlformats.org/officeDocument/2006/relationships/hyperlink" Target="mailto:dovile.mekionyte@tm.lt"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rastine@tm.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4D061-33BB-4ABF-9F18-25CDA470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6726</Words>
  <Characters>3834</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Rima Markuvienė</cp:lastModifiedBy>
  <cp:revision>3</cp:revision>
  <cp:lastPrinted>2020-01-13T12:15:00Z</cp:lastPrinted>
  <dcterms:created xsi:type="dcterms:W3CDTF">2021-06-29T13:42:00Z</dcterms:created>
  <dcterms:modified xsi:type="dcterms:W3CDTF">2021-08-06T18:54:00Z</dcterms:modified>
</cp:coreProperties>
</file>