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90" w:rsidRPr="00077641" w:rsidRDefault="00EE1216">
      <w:pPr>
        <w:pStyle w:val="BodyA"/>
        <w:jc w:val="center"/>
        <w:rPr>
          <w:rFonts w:hAnsi="Times New Roman" w:cs="Times New Roman"/>
          <w:b/>
          <w:lang w:val="lt-LT"/>
        </w:rPr>
      </w:pPr>
      <w:r w:rsidRPr="00077641">
        <w:rPr>
          <w:rFonts w:hAnsi="Times New Roman" w:cs="Times New Roman"/>
          <w:b/>
          <w:lang w:val="lt-LT"/>
        </w:rPr>
        <w:t xml:space="preserve">ES </w:t>
      </w:r>
      <w:r w:rsidR="00073929">
        <w:rPr>
          <w:rFonts w:hAnsi="Times New Roman" w:cs="Times New Roman"/>
          <w:b/>
          <w:lang w:val="lt-LT"/>
        </w:rPr>
        <w:t xml:space="preserve">TEISINGUMO IR </w:t>
      </w:r>
      <w:r w:rsidR="002C7E0C" w:rsidRPr="00077641">
        <w:rPr>
          <w:rFonts w:hAnsi="Times New Roman" w:cs="Times New Roman"/>
          <w:b/>
          <w:lang w:val="lt-LT"/>
        </w:rPr>
        <w:t xml:space="preserve">VIDAUS REIKALŲ </w:t>
      </w:r>
      <w:r w:rsidR="00D920D6">
        <w:rPr>
          <w:rFonts w:hAnsi="Times New Roman" w:cs="Times New Roman"/>
          <w:b/>
          <w:lang w:val="lt-LT"/>
        </w:rPr>
        <w:t xml:space="preserve">MINISTRŲ </w:t>
      </w:r>
      <w:r w:rsidR="00073929">
        <w:rPr>
          <w:rFonts w:hAnsi="Times New Roman" w:cs="Times New Roman"/>
          <w:b/>
          <w:lang w:val="lt-LT"/>
        </w:rPr>
        <w:t>TARYBA</w:t>
      </w:r>
    </w:p>
    <w:p w:rsidR="004B217F" w:rsidRPr="00077641" w:rsidRDefault="003C4B90">
      <w:pPr>
        <w:pStyle w:val="BodyA"/>
        <w:jc w:val="center"/>
        <w:rPr>
          <w:rFonts w:eastAsia="Times New Roman Bold" w:hAnsi="Times New Roman" w:cs="Times New Roman"/>
          <w:b/>
          <w:lang w:val="lt-LT"/>
        </w:rPr>
      </w:pPr>
      <w:r w:rsidRPr="00077641">
        <w:rPr>
          <w:rFonts w:hAnsi="Times New Roman" w:cs="Times New Roman"/>
          <w:b/>
          <w:lang w:val="lt-LT"/>
        </w:rPr>
        <w:t>202</w:t>
      </w:r>
      <w:r w:rsidR="00D920D6">
        <w:rPr>
          <w:rFonts w:hAnsi="Times New Roman" w:cs="Times New Roman"/>
          <w:b/>
          <w:lang w:val="lt-LT"/>
        </w:rPr>
        <w:t>1</w:t>
      </w:r>
      <w:r w:rsidRPr="00077641">
        <w:rPr>
          <w:rFonts w:hAnsi="Times New Roman" w:cs="Times New Roman"/>
          <w:b/>
          <w:lang w:val="lt-LT"/>
        </w:rPr>
        <w:t xml:space="preserve"> M. </w:t>
      </w:r>
      <w:r w:rsidR="00073929">
        <w:rPr>
          <w:rFonts w:hAnsi="Times New Roman" w:cs="Times New Roman"/>
          <w:b/>
          <w:lang w:val="lt-LT"/>
        </w:rPr>
        <w:t>BIRŽELIO</w:t>
      </w:r>
      <w:r w:rsidRPr="00077641">
        <w:rPr>
          <w:rFonts w:hAnsi="Times New Roman" w:cs="Times New Roman"/>
          <w:b/>
          <w:lang w:val="lt-LT"/>
        </w:rPr>
        <w:t xml:space="preserve"> </w:t>
      </w:r>
      <w:r w:rsidR="00073929">
        <w:rPr>
          <w:rFonts w:hAnsi="Times New Roman" w:cs="Times New Roman"/>
          <w:b/>
          <w:lang w:val="lt-LT"/>
        </w:rPr>
        <w:t>7-8</w:t>
      </w:r>
      <w:r w:rsidRPr="00077641">
        <w:rPr>
          <w:rFonts w:hAnsi="Times New Roman" w:cs="Times New Roman"/>
          <w:b/>
          <w:lang w:val="lt-LT"/>
        </w:rPr>
        <w:t xml:space="preserve"> D.</w:t>
      </w:r>
    </w:p>
    <w:p w:rsidR="004B217F" w:rsidRDefault="004B217F">
      <w:pPr>
        <w:pStyle w:val="BodyA"/>
        <w:rPr>
          <w:rFonts w:eastAsia="Times New Roman Bold" w:hAnsi="Times New Roman" w:cs="Times New Roman"/>
          <w:lang w:val="lt-LT"/>
        </w:rPr>
      </w:pPr>
    </w:p>
    <w:p w:rsidR="00073929" w:rsidRDefault="00073929">
      <w:pPr>
        <w:pStyle w:val="BodyA"/>
        <w:rPr>
          <w:rFonts w:eastAsia="Times New Roman Bold" w:hAnsi="Times New Roman" w:cs="Times New Roman"/>
          <w:lang w:val="lt-LT"/>
        </w:rPr>
      </w:pPr>
    </w:p>
    <w:tbl>
      <w:tblPr>
        <w:tblStyle w:val="Lentelstinklelis"/>
        <w:tblpPr w:leftFromText="180" w:rightFromText="180" w:vertAnchor="text" w:horzAnchor="page" w:tblpX="1990" w:tblpY="63"/>
        <w:tblW w:w="9067" w:type="dxa"/>
        <w:tblLook w:val="04A0" w:firstRow="1" w:lastRow="0" w:firstColumn="1" w:lastColumn="0" w:noHBand="0" w:noVBand="1"/>
      </w:tblPr>
      <w:tblGrid>
        <w:gridCol w:w="9067"/>
      </w:tblGrid>
      <w:tr w:rsidR="00073929" w:rsidTr="00073929">
        <w:tc>
          <w:tcPr>
            <w:tcW w:w="9067" w:type="dxa"/>
          </w:tcPr>
          <w:p w:rsidR="00073929" w:rsidRPr="00073929" w:rsidRDefault="00073929" w:rsidP="00073929">
            <w:pPr>
              <w:rPr>
                <w:b/>
              </w:rPr>
            </w:pPr>
            <w:r w:rsidRPr="00073929">
              <w:rPr>
                <w:rFonts w:eastAsia="Times New Roman Bold"/>
                <w:b/>
                <w:lang w:val="lt-LT"/>
              </w:rPr>
              <w:t xml:space="preserve">1. </w:t>
            </w:r>
            <w:r w:rsidRPr="00073929">
              <w:rPr>
                <w:b/>
              </w:rPr>
              <w:t xml:space="preserve"> </w:t>
            </w:r>
            <w:r w:rsidRPr="00073929">
              <w:rPr>
                <w:b/>
                <w:lang w:val="lt-LT"/>
              </w:rPr>
              <w:t>Reglamentas, kuriuo iš dalies keičiamas Reglamentas (ES) 2016/794 dėl Europolo</w:t>
            </w:r>
          </w:p>
          <w:p w:rsidR="00073929" w:rsidRPr="00073929" w:rsidRDefault="00073929" w:rsidP="00C308A0">
            <w:pPr>
              <w:pStyle w:val="Sraopastraipa"/>
              <w:numPr>
                <w:ilvl w:val="0"/>
                <w:numId w:val="13"/>
              </w:numPr>
              <w:ind w:hanging="375"/>
              <w:rPr>
                <w:rFonts w:hAnsi="Times New Roman" w:cs="Times New Roman"/>
                <w:lang w:val="lt-LT"/>
              </w:rPr>
            </w:pPr>
            <w:r>
              <w:rPr>
                <w:rFonts w:hAnsi="Times New Roman" w:cs="Times New Roman"/>
                <w:i/>
                <w:lang w:val="lt-LT"/>
              </w:rPr>
              <w:t>Pažangos ataskaita</w:t>
            </w:r>
          </w:p>
          <w:p w:rsidR="00073929" w:rsidRDefault="00073929" w:rsidP="00073929">
            <w:pPr>
              <w:spacing w:after="120"/>
              <w:rPr>
                <w:b/>
                <w:u w:val="single"/>
                <w:lang w:val="lt-LT"/>
              </w:rPr>
            </w:pPr>
            <w:r w:rsidRPr="00077641">
              <w:rPr>
                <w:b/>
                <w:u w:val="single"/>
                <w:lang w:val="lt-LT"/>
              </w:rPr>
              <w:t>Klausimo esmė:</w:t>
            </w:r>
          </w:p>
          <w:p w:rsidR="00B166E2" w:rsidRDefault="00B166E2" w:rsidP="000A1B5E">
            <w:pPr>
              <w:jc w:val="both"/>
              <w:rPr>
                <w:lang w:val="lt-LT"/>
              </w:rPr>
            </w:pPr>
            <w:r w:rsidRPr="000A1B5E">
              <w:rPr>
                <w:lang w:val="lt-LT"/>
              </w:rPr>
              <w:t>Teisėkūros pasiūlymą dėl Europolo reglamento pakeitimų Europos Komisija pateikė 2020 m. gruodžio 9 d</w:t>
            </w:r>
            <w:r w:rsidR="000A1B5E">
              <w:rPr>
                <w:lang w:val="lt-LT"/>
              </w:rPr>
              <w:t>. Jo</w:t>
            </w:r>
            <w:r w:rsidRPr="000A1B5E">
              <w:rPr>
                <w:lang w:val="lt-LT"/>
              </w:rPr>
              <w:t xml:space="preserve"> tikslas – sustiprinti Europolo įgaliojimus keliose srityse, kuriose valstybės narės mat</w:t>
            </w:r>
            <w:r w:rsidR="00575E5E">
              <w:rPr>
                <w:lang w:val="lt-LT"/>
              </w:rPr>
              <w:t xml:space="preserve"> </w:t>
            </w:r>
            <w:r w:rsidRPr="000A1B5E">
              <w:rPr>
                <w:lang w:val="lt-LT"/>
              </w:rPr>
              <w:t xml:space="preserve">o didelius operatyvinius poreikius, pavyzdžiui, pagerinti Europolo bendradarbiavimą su privačiais subjektais ir trečiosiomis šalimis, aiškiai apibrėžti Europolo teises ir vaidmenį tvarkant didelius ir sudėtingus duomenų rinkinius bei sustiprinti Europolo vaidmenį mokslinių tyrimų ir inovacijų srityje. Pasiūlymu taip pat siekiama stiprinti Europolo bendradarbiavimą su Europos prokuratūra, suderinti Europolo duomenų apsaugos tvarką su Reglamentu (ES) 2018/1725, išplėsti Europolo galimybę prašyti pradėti nusikalstamų veikų tyrimą valstybėje narėje ir suteikti Europolui galimybę </w:t>
            </w:r>
            <w:r w:rsidR="000A1B5E" w:rsidRPr="000A1B5E">
              <w:rPr>
                <w:lang w:val="lt-LT"/>
              </w:rPr>
              <w:t>į</w:t>
            </w:r>
            <w:r w:rsidRPr="000A1B5E">
              <w:rPr>
                <w:lang w:val="lt-LT"/>
              </w:rPr>
              <w:t xml:space="preserve"> Šengeno informacinę sistemą (SIS) </w:t>
            </w:r>
            <w:r w:rsidR="000A1B5E" w:rsidRPr="000A1B5E">
              <w:rPr>
                <w:lang w:val="lt-LT"/>
              </w:rPr>
              <w:t xml:space="preserve">įkelti duomenis, gautus iš </w:t>
            </w:r>
            <w:r w:rsidRPr="000A1B5E">
              <w:rPr>
                <w:lang w:val="lt-LT"/>
              </w:rPr>
              <w:t>trečiųjų</w:t>
            </w:r>
            <w:r w:rsidR="000A1B5E" w:rsidRPr="000A1B5E">
              <w:rPr>
                <w:lang w:val="lt-LT"/>
              </w:rPr>
              <w:t>, kad</w:t>
            </w:r>
            <w:r w:rsidRPr="000A1B5E">
              <w:rPr>
                <w:lang w:val="lt-LT"/>
              </w:rPr>
              <w:t xml:space="preserve"> </w:t>
            </w:r>
            <w:r w:rsidR="000A1B5E" w:rsidRPr="000A1B5E">
              <w:rPr>
                <w:lang w:val="lt-LT"/>
              </w:rPr>
              <w:t>jie būtų prieinami</w:t>
            </w:r>
            <w:r w:rsidRPr="000A1B5E">
              <w:rPr>
                <w:lang w:val="lt-LT"/>
              </w:rPr>
              <w:t xml:space="preserve"> pirm</w:t>
            </w:r>
            <w:r w:rsidR="000A1B5E" w:rsidRPr="000A1B5E">
              <w:rPr>
                <w:lang w:val="lt-LT"/>
              </w:rPr>
              <w:t>os</w:t>
            </w:r>
            <w:r w:rsidRPr="000A1B5E">
              <w:rPr>
                <w:lang w:val="lt-LT"/>
              </w:rPr>
              <w:t xml:space="preserve"> grandies</w:t>
            </w:r>
            <w:r w:rsidR="000A1B5E" w:rsidRPr="000A1B5E">
              <w:rPr>
                <w:lang w:val="lt-LT"/>
              </w:rPr>
              <w:t xml:space="preserve"> teisėsaugos</w:t>
            </w:r>
            <w:r w:rsidRPr="000A1B5E">
              <w:rPr>
                <w:lang w:val="lt-LT"/>
              </w:rPr>
              <w:t xml:space="preserve"> pareigūnams.</w:t>
            </w:r>
          </w:p>
          <w:p w:rsidR="000A1B5E" w:rsidRPr="00575E5E" w:rsidRDefault="00575E5E" w:rsidP="00575E5E">
            <w:pPr>
              <w:jc w:val="both"/>
              <w:rPr>
                <w:lang w:val="lt-LT"/>
              </w:rPr>
            </w:pPr>
            <w:r>
              <w:rPr>
                <w:lang w:val="lt-LT"/>
              </w:rPr>
              <w:t>Šį pusmetį Reglamento projektas intensyviai nagrinėjimas ES Tarybos parengiamuosiuose darbo organuose. Nagrinėjimas organizuojamas pasiūlymo nuostatas išskirsčius į tokius 9 tematinius blokus</w:t>
            </w:r>
            <w:r w:rsidRPr="00575E5E">
              <w:rPr>
                <w:lang w:val="lt-LT"/>
              </w:rPr>
              <w:t xml:space="preserve">: </w:t>
            </w:r>
            <w:r w:rsidR="000A1B5E" w:rsidRPr="00575E5E">
              <w:rPr>
                <w:lang w:val="lt-LT"/>
              </w:rPr>
              <w:t>a) bendradarbiavimas su privači</w:t>
            </w:r>
            <w:r>
              <w:rPr>
                <w:lang w:val="lt-LT"/>
              </w:rPr>
              <w:t>ais subjektais</w:t>
            </w:r>
            <w:r w:rsidR="000A1B5E" w:rsidRPr="00575E5E">
              <w:rPr>
                <w:lang w:val="lt-LT"/>
              </w:rPr>
              <w:t>; b) didel</w:t>
            </w:r>
            <w:r>
              <w:rPr>
                <w:lang w:val="lt-LT"/>
              </w:rPr>
              <w:t>ės</w:t>
            </w:r>
            <w:r w:rsidR="000A1B5E" w:rsidRPr="00575E5E">
              <w:rPr>
                <w:lang w:val="lt-LT"/>
              </w:rPr>
              <w:t xml:space="preserve"> </w:t>
            </w:r>
            <w:r>
              <w:rPr>
                <w:lang w:val="lt-LT"/>
              </w:rPr>
              <w:t>apimties duomenų</w:t>
            </w:r>
            <w:r w:rsidR="000A1B5E" w:rsidRPr="00575E5E">
              <w:rPr>
                <w:lang w:val="lt-LT"/>
              </w:rPr>
              <w:t xml:space="preserve"> tvarkymas; c) inovacijos; d) treči</w:t>
            </w:r>
            <w:r w:rsidRPr="00575E5E">
              <w:rPr>
                <w:lang w:val="lt-LT"/>
              </w:rPr>
              <w:t>ųjų šalių</w:t>
            </w:r>
            <w:r w:rsidR="000A1B5E" w:rsidRPr="00575E5E">
              <w:rPr>
                <w:lang w:val="lt-LT"/>
              </w:rPr>
              <w:t xml:space="preserve"> informacijos įvedimas į SIS; e) bendradarbiavimas su</w:t>
            </w:r>
            <w:r w:rsidRPr="00575E5E">
              <w:rPr>
                <w:lang w:val="lt-LT"/>
              </w:rPr>
              <w:t xml:space="preserve"> trečiosiomis šalimis</w:t>
            </w:r>
            <w:r w:rsidR="000A1B5E" w:rsidRPr="00575E5E">
              <w:rPr>
                <w:lang w:val="lt-LT"/>
              </w:rPr>
              <w:t xml:space="preserve">; </w:t>
            </w:r>
            <w:r w:rsidRPr="00575E5E">
              <w:rPr>
                <w:lang w:val="lt-LT"/>
              </w:rPr>
              <w:t>f</w:t>
            </w:r>
            <w:r w:rsidR="000A1B5E" w:rsidRPr="00575E5E">
              <w:rPr>
                <w:lang w:val="lt-LT"/>
              </w:rPr>
              <w:t>) Europolo ir E</w:t>
            </w:r>
            <w:r>
              <w:rPr>
                <w:lang w:val="lt-LT"/>
              </w:rPr>
              <w:t xml:space="preserve">uropos prokuratūros santykiai; </w:t>
            </w:r>
            <w:r w:rsidR="000A1B5E" w:rsidRPr="00575E5E">
              <w:rPr>
                <w:lang w:val="lt-LT"/>
              </w:rPr>
              <w:t>g) Europolo prašymas pradėti nusikalstamų ve</w:t>
            </w:r>
            <w:r w:rsidRPr="00575E5E">
              <w:rPr>
                <w:lang w:val="lt-LT"/>
              </w:rPr>
              <w:t>ikų tyrimus valstybėse narėse; h</w:t>
            </w:r>
            <w:r w:rsidR="000A1B5E" w:rsidRPr="00575E5E">
              <w:rPr>
                <w:lang w:val="lt-LT"/>
              </w:rPr>
              <w:t>) Euro</w:t>
            </w:r>
            <w:r w:rsidRPr="00575E5E">
              <w:rPr>
                <w:lang w:val="lt-LT"/>
              </w:rPr>
              <w:t>polo duomenų apsaugos tvarka; i</w:t>
            </w:r>
            <w:r w:rsidR="000A1B5E" w:rsidRPr="00575E5E">
              <w:rPr>
                <w:lang w:val="lt-LT"/>
              </w:rPr>
              <w:t>) kitos nuostatos, neįtrauktos į nė vieną iš ankstesnių blokų;</w:t>
            </w:r>
          </w:p>
          <w:p w:rsidR="00BC6261" w:rsidRDefault="00BC6261" w:rsidP="00BC6261">
            <w:pPr>
              <w:jc w:val="both"/>
              <w:rPr>
                <w:lang w:val="lt-LT"/>
              </w:rPr>
            </w:pPr>
            <w:r w:rsidRPr="00BC6261">
              <w:rPr>
                <w:lang w:val="lt-LT"/>
              </w:rPr>
              <w:t>Pirmininkaujanti šalis parengė ataskaitą apie pažangą, pasiektą kiekviename iš 9 blokų, kurią pristatys ministrams birželio 8 d. TVR Tarybos posėdyje. Ataskaitoje informuojama, kad jau pasiekta reikšminga pažanga. Kai kurie blokai gali būti laikomi uždarytais arba praktiškai nereikia jokių tolesnių diskusijų, išskyrus kai kuriuos galutinius techninius patikslinimus: tai visų pirma pasakytina apie 1 ir 5 blokus dėl Europolo bendradarbiavimo su privači</w:t>
            </w:r>
            <w:r>
              <w:rPr>
                <w:lang w:val="lt-LT"/>
              </w:rPr>
              <w:t>ais sub</w:t>
            </w:r>
            <w:r w:rsidRPr="00BC6261">
              <w:rPr>
                <w:lang w:val="lt-LT"/>
              </w:rPr>
              <w:t>jektais ir su trečiosiomis šalimis, taip pat 3 bloką dėl Europolo vaidmens inovacijų srityje ir 6 bloką dėl Europolo ir Europos prokuratūros santykių. Valstybės narės taip pat visiškai pritarė būtiniems pakeitimams septintajame bloke dėl baudžiamojo proceso inicijavimo.</w:t>
            </w:r>
          </w:p>
          <w:p w:rsidR="00BC6261" w:rsidRPr="00BC6261" w:rsidRDefault="00BC6261" w:rsidP="00BC6261">
            <w:pPr>
              <w:jc w:val="both"/>
              <w:rPr>
                <w:lang w:val="lt-LT"/>
              </w:rPr>
            </w:pPr>
            <w:r w:rsidRPr="00BC6261">
              <w:rPr>
                <w:lang w:val="lt-LT"/>
              </w:rPr>
              <w:t xml:space="preserve">Nepaisant pasiūlymo </w:t>
            </w:r>
            <w:r w:rsidR="00A629DD">
              <w:rPr>
                <w:lang w:val="lt-LT"/>
              </w:rPr>
              <w:t>kompleks</w:t>
            </w:r>
            <w:r>
              <w:rPr>
                <w:lang w:val="lt-LT"/>
              </w:rPr>
              <w:t>iškumo</w:t>
            </w:r>
            <w:r w:rsidRPr="00BC6261">
              <w:rPr>
                <w:lang w:val="lt-LT"/>
              </w:rPr>
              <w:t xml:space="preserve">, pirmininkaujanti valstybė </w:t>
            </w:r>
            <w:r w:rsidR="00A629DD">
              <w:rPr>
                <w:lang w:val="lt-LT"/>
              </w:rPr>
              <w:t>yra</w:t>
            </w:r>
            <w:r w:rsidRPr="00BC6261">
              <w:rPr>
                <w:lang w:val="lt-LT"/>
              </w:rPr>
              <w:t xml:space="preserve"> </w:t>
            </w:r>
            <w:r w:rsidR="00A629DD">
              <w:rPr>
                <w:lang w:val="lt-LT"/>
              </w:rPr>
              <w:t>pilnai</w:t>
            </w:r>
            <w:r w:rsidRPr="00BC6261">
              <w:rPr>
                <w:lang w:val="lt-LT"/>
              </w:rPr>
              <w:t xml:space="preserve"> įsipareigojusi tęsti darbą </w:t>
            </w:r>
            <w:r w:rsidR="00A629DD">
              <w:rPr>
                <w:lang w:val="lt-LT"/>
              </w:rPr>
              <w:t xml:space="preserve">per </w:t>
            </w:r>
            <w:r w:rsidRPr="00BC6261">
              <w:rPr>
                <w:lang w:val="lt-LT"/>
              </w:rPr>
              <w:t>likusi</w:t>
            </w:r>
            <w:r w:rsidR="00A629DD">
              <w:rPr>
                <w:lang w:val="lt-LT"/>
              </w:rPr>
              <w:t>as</w:t>
            </w:r>
            <w:r w:rsidRPr="00BC6261">
              <w:rPr>
                <w:lang w:val="lt-LT"/>
              </w:rPr>
              <w:t xml:space="preserve"> šio pusmečio savait</w:t>
            </w:r>
            <w:r w:rsidR="00A629DD">
              <w:rPr>
                <w:lang w:val="lt-LT"/>
              </w:rPr>
              <w:t>es</w:t>
            </w:r>
            <w:r w:rsidRPr="00BC6261">
              <w:rPr>
                <w:lang w:val="lt-LT"/>
              </w:rPr>
              <w:t>, kad už</w:t>
            </w:r>
            <w:r w:rsidR="00A629DD">
              <w:rPr>
                <w:lang w:val="lt-LT"/>
              </w:rPr>
              <w:t>darytų</w:t>
            </w:r>
            <w:r w:rsidRPr="00BC6261">
              <w:rPr>
                <w:lang w:val="lt-LT"/>
              </w:rPr>
              <w:t xml:space="preserve"> kuo daugiau pirmiau minėtų derybų blokų nagrinėjimą ir gautų </w:t>
            </w:r>
            <w:r w:rsidR="00A629DD">
              <w:rPr>
                <w:lang w:val="lt-LT"/>
              </w:rPr>
              <w:t>mandatą (ar bent dalinį mandatą)</w:t>
            </w:r>
            <w:r w:rsidRPr="00BC6261">
              <w:rPr>
                <w:lang w:val="lt-LT"/>
              </w:rPr>
              <w:t xml:space="preserve"> deryboms su Europos Parlamentu</w:t>
            </w:r>
            <w:r w:rsidR="00A629DD">
              <w:rPr>
                <w:lang w:val="lt-LT"/>
              </w:rPr>
              <w:t xml:space="preserve"> pradėti</w:t>
            </w:r>
            <w:r w:rsidRPr="00BC6261">
              <w:rPr>
                <w:lang w:val="lt-LT"/>
              </w:rPr>
              <w:t>.</w:t>
            </w:r>
          </w:p>
          <w:p w:rsidR="00073929" w:rsidRDefault="00073929" w:rsidP="00073929">
            <w:pPr>
              <w:spacing w:before="120" w:after="120"/>
              <w:rPr>
                <w:b/>
                <w:u w:val="single"/>
                <w:lang w:val="lt-LT"/>
              </w:rPr>
            </w:pPr>
            <w:r w:rsidRPr="00077641">
              <w:rPr>
                <w:b/>
                <w:u w:val="single"/>
                <w:lang w:val="lt-LT"/>
              </w:rPr>
              <w:t>Lietuvos pozicija:</w:t>
            </w:r>
          </w:p>
          <w:p w:rsidR="00073929" w:rsidRDefault="00F27FFB" w:rsidP="00073929">
            <w:pPr>
              <w:rPr>
                <w:lang w:val="lt-LT"/>
              </w:rPr>
            </w:pPr>
            <w:r>
              <w:rPr>
                <w:lang w:val="lt-LT"/>
              </w:rPr>
              <w:t>Tai informacinio pobūdžio klausimas, todėl siūloma tik išklausyti pirmininkaujančios šalies informaciją apie pasiektą pažangą ir posėdžio metu nepasisakinėti.</w:t>
            </w:r>
          </w:p>
          <w:p w:rsidR="00477C2F" w:rsidRDefault="00477C2F" w:rsidP="00477C2F">
            <w:pPr>
              <w:jc w:val="both"/>
              <w:rPr>
                <w:color w:val="000000"/>
                <w:lang w:val="lt-LT"/>
              </w:rPr>
            </w:pPr>
          </w:p>
          <w:p w:rsidR="00477C2F" w:rsidRPr="00073929" w:rsidRDefault="00477C2F" w:rsidP="0009739F">
            <w:pPr>
              <w:pStyle w:val="prastasiniatinklio"/>
              <w:spacing w:before="0" w:beforeAutospacing="0" w:after="0" w:afterAutospacing="0"/>
              <w:jc w:val="both"/>
            </w:pPr>
            <w:r w:rsidRPr="00477C2F">
              <w:rPr>
                <w:color w:val="000000"/>
              </w:rPr>
              <w:t> </w:t>
            </w:r>
          </w:p>
        </w:tc>
      </w:tr>
    </w:tbl>
    <w:p w:rsidR="00073929" w:rsidRDefault="00073929">
      <w:pPr>
        <w:pStyle w:val="BodyA"/>
        <w:rPr>
          <w:rFonts w:eastAsia="Times New Roman Bold" w:hAnsi="Times New Roman" w:cs="Times New Roman"/>
          <w:lang w:val="lt-LT"/>
        </w:rPr>
      </w:pPr>
    </w:p>
    <w:p w:rsidR="00073929" w:rsidRPr="00077641" w:rsidRDefault="00073929">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65002E" w:rsidTr="00946AC6">
        <w:trPr>
          <w:trHeight w:val="9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64C9" w:rsidRPr="00077641" w:rsidRDefault="00073929" w:rsidP="002C67CC">
            <w:pPr>
              <w:pStyle w:val="BodyA"/>
              <w:rPr>
                <w:rFonts w:hAnsi="Times New Roman" w:cs="Times New Roman"/>
                <w:b/>
                <w:lang w:val="lt-LT"/>
              </w:rPr>
            </w:pPr>
            <w:r>
              <w:rPr>
                <w:rFonts w:hAnsi="Times New Roman" w:cs="Times New Roman"/>
                <w:b/>
                <w:lang w:val="lt-LT"/>
              </w:rPr>
              <w:lastRenderedPageBreak/>
              <w:t>2</w:t>
            </w:r>
            <w:r w:rsidR="00EE1216" w:rsidRPr="00077641">
              <w:rPr>
                <w:rFonts w:hAnsi="Times New Roman" w:cs="Times New Roman"/>
                <w:b/>
                <w:lang w:val="lt-LT"/>
              </w:rPr>
              <w:t xml:space="preserve">. </w:t>
            </w:r>
            <w:r w:rsidR="00A101C3" w:rsidRPr="00A101C3">
              <w:rPr>
                <w:b/>
                <w:lang w:val="lt-LT"/>
              </w:rPr>
              <w:t xml:space="preserve">Direktyva </w:t>
            </w:r>
            <w:r w:rsidR="00A101C3" w:rsidRPr="00A101C3">
              <w:rPr>
                <w:rFonts w:hAnsi="Times New Roman" w:cs="Times New Roman"/>
                <w:b/>
                <w:bCs/>
                <w:lang w:val="lt-LT"/>
              </w:rPr>
              <w:t>dėl ypatingos svarbos subjektų atsparumo</w:t>
            </w:r>
          </w:p>
          <w:p w:rsidR="003264C9" w:rsidRPr="00073929" w:rsidRDefault="00073929" w:rsidP="00C308A0">
            <w:pPr>
              <w:pStyle w:val="Sraopastraipa"/>
              <w:numPr>
                <w:ilvl w:val="0"/>
                <w:numId w:val="13"/>
              </w:numPr>
              <w:ind w:hanging="375"/>
              <w:rPr>
                <w:rFonts w:hAnsi="Times New Roman" w:cs="Times New Roman"/>
                <w:lang w:val="lt-LT"/>
              </w:rPr>
            </w:pPr>
            <w:r w:rsidRPr="00073929">
              <w:rPr>
                <w:rFonts w:hAnsi="Times New Roman" w:cs="Times New Roman"/>
                <w:i/>
                <w:iCs/>
                <w:lang w:val="lt-LT"/>
              </w:rPr>
              <w:t>Pažangos ataskaita</w:t>
            </w:r>
          </w:p>
          <w:p w:rsidR="002C67CC" w:rsidRDefault="002C67CC" w:rsidP="0058250F">
            <w:pPr>
              <w:spacing w:after="120"/>
              <w:rPr>
                <w:b/>
                <w:u w:val="single"/>
                <w:lang w:val="lt-LT"/>
              </w:rPr>
            </w:pPr>
            <w:r w:rsidRPr="00077641">
              <w:rPr>
                <w:b/>
                <w:u w:val="single"/>
                <w:lang w:val="lt-LT"/>
              </w:rPr>
              <w:t>Klausimo esmė:</w:t>
            </w:r>
          </w:p>
          <w:p w:rsidR="00167710" w:rsidRDefault="000412D9" w:rsidP="000412D9">
            <w:pPr>
              <w:spacing w:after="120"/>
              <w:jc w:val="both"/>
              <w:rPr>
                <w:lang w:val="lt-LT"/>
              </w:rPr>
            </w:pPr>
            <w:r w:rsidRPr="000412D9">
              <w:rPr>
                <w:color w:val="000000"/>
                <w:lang w:val="lt-LT"/>
              </w:rPr>
              <w:t>Europos Komisija 2020 m. gruodžio 16 d. pateikė pasiūlymą dėl </w:t>
            </w:r>
            <w:r w:rsidRPr="00BB54D1">
              <w:rPr>
                <w:rStyle w:val="Grietas"/>
                <w:b w:val="0"/>
                <w:color w:val="000000"/>
                <w:lang w:val="lt-LT"/>
              </w:rPr>
              <w:t>Ypatingos svarbos subjektų atsparumo direktyvos,</w:t>
            </w:r>
            <w:r w:rsidRPr="000412D9">
              <w:rPr>
                <w:rStyle w:val="Grietas"/>
                <w:color w:val="000000"/>
                <w:lang w:val="lt-LT"/>
              </w:rPr>
              <w:t xml:space="preserve"> </w:t>
            </w:r>
            <w:r w:rsidRPr="000412D9">
              <w:rPr>
                <w:rStyle w:val="Grietas"/>
                <w:b w:val="0"/>
                <w:color w:val="000000"/>
                <w:lang w:val="lt-LT"/>
              </w:rPr>
              <w:t>kuria</w:t>
            </w:r>
            <w:r w:rsidRPr="000412D9">
              <w:rPr>
                <w:color w:val="000000"/>
                <w:lang w:val="lt-LT"/>
              </w:rPr>
              <w:t> </w:t>
            </w:r>
            <w:r>
              <w:rPr>
                <w:color w:val="000000"/>
                <w:lang w:val="lt-LT"/>
              </w:rPr>
              <w:t xml:space="preserve">numatoma </w:t>
            </w:r>
            <w:r w:rsidRPr="000412D9">
              <w:rPr>
                <w:color w:val="000000"/>
                <w:lang w:val="lt-LT"/>
              </w:rPr>
              <w:t>išpl</w:t>
            </w:r>
            <w:r>
              <w:rPr>
                <w:color w:val="000000"/>
                <w:lang w:val="lt-LT"/>
              </w:rPr>
              <w:t>ėsti</w:t>
            </w:r>
            <w:r w:rsidRPr="000412D9">
              <w:rPr>
                <w:color w:val="000000"/>
                <w:lang w:val="lt-LT"/>
              </w:rPr>
              <w:t xml:space="preserve"> 2008 m. Europos ypatingos svarbos infrastruktūros objektų direktyvos taikymo sritis ir apimtis. Dabar </w:t>
            </w:r>
            <w:r>
              <w:rPr>
                <w:color w:val="000000"/>
                <w:lang w:val="lt-LT"/>
              </w:rPr>
              <w:t>siūloma</w:t>
            </w:r>
            <w:r w:rsidRPr="000412D9">
              <w:rPr>
                <w:color w:val="000000"/>
                <w:lang w:val="lt-LT"/>
              </w:rPr>
              <w:t xml:space="preserve"> apim</w:t>
            </w:r>
            <w:r>
              <w:rPr>
                <w:color w:val="000000"/>
                <w:lang w:val="lt-LT"/>
              </w:rPr>
              <w:t>ti</w:t>
            </w:r>
            <w:r w:rsidRPr="000412D9">
              <w:rPr>
                <w:color w:val="000000"/>
                <w:lang w:val="lt-LT"/>
              </w:rPr>
              <w:t xml:space="preserve"> dešimt sektorių: energetikos, transporto, bankininkystės, finansų rinkos infrastruktūrų, sveikatos, geriamojo vandens, nuotekų, skaitmeninės infrastruktūros, vie</w:t>
            </w:r>
            <w:r w:rsidR="004916B9">
              <w:rPr>
                <w:color w:val="000000"/>
                <w:lang w:val="lt-LT"/>
              </w:rPr>
              <w:t>šojo administravimo ir kosmoso.</w:t>
            </w:r>
            <w:r w:rsidR="008B5863">
              <w:rPr>
                <w:color w:val="000000"/>
                <w:lang w:val="lt-LT"/>
              </w:rPr>
              <w:t xml:space="preserve"> </w:t>
            </w:r>
            <w:r w:rsidR="008B5863" w:rsidRPr="008B5863">
              <w:rPr>
                <w:lang w:val="lt-LT"/>
              </w:rPr>
              <w:t>Ši</w:t>
            </w:r>
            <w:r w:rsidR="008B5863">
              <w:rPr>
                <w:lang w:val="lt-LT"/>
              </w:rPr>
              <w:t xml:space="preserve">uo pasiūlymu </w:t>
            </w:r>
            <w:r w:rsidR="008B5863" w:rsidRPr="008B5863">
              <w:rPr>
                <w:lang w:val="lt-LT"/>
              </w:rPr>
              <w:t>siekiama prisidėti stiprinant ypatingos svarbos subjektų, valdančių infrastruktūrą ir teikiančių paslaugas gyvybiškai svarbiai visuomenės ar ekonominei veiklai ir piliečių gerovei, apsaugos ir atsparumo lygį, taip užtikrinant gerą vidaus rinkos veikimą.</w:t>
            </w:r>
            <w:r w:rsidR="008B5863">
              <w:rPr>
                <w:lang w:val="lt-LT"/>
              </w:rPr>
              <w:t xml:space="preserve"> </w:t>
            </w:r>
            <w:r w:rsidR="000F4BDE">
              <w:rPr>
                <w:lang w:val="lt-LT"/>
              </w:rPr>
              <w:t>Pirmininkaujanti šalis birželio 8 d. TVR Taryboje vidaus reikalų ministrams pristatys informaciją apie per šį pusmetį pasiektą pažangą, nagrinėjant direktyvos projektą Taryboje darbo grupių lygiu.</w:t>
            </w:r>
            <w:r w:rsidR="00477C2F">
              <w:rPr>
                <w:lang w:val="lt-LT"/>
              </w:rPr>
              <w:t xml:space="preserve"> </w:t>
            </w:r>
          </w:p>
          <w:p w:rsidR="00167710" w:rsidRPr="000F4BDE" w:rsidRDefault="00167710" w:rsidP="000412D9">
            <w:pPr>
              <w:spacing w:after="120"/>
              <w:jc w:val="both"/>
              <w:rPr>
                <w:lang w:val="lt-LT"/>
              </w:rPr>
            </w:pPr>
            <w:r>
              <w:rPr>
                <w:lang w:val="lt-LT"/>
              </w:rPr>
              <w:t xml:space="preserve">Per šį pusmetį </w:t>
            </w:r>
            <w:r w:rsidR="00192A67">
              <w:rPr>
                <w:lang w:val="lt-LT"/>
              </w:rPr>
              <w:t xml:space="preserve">specialiai tam įsteigtame </w:t>
            </w:r>
            <w:r>
              <w:rPr>
                <w:lang w:val="lt-LT"/>
              </w:rPr>
              <w:t>Tarybos Civilinės saugos darbo grupės pogrupyje (PROCIV-CER)</w:t>
            </w:r>
            <w:r w:rsidR="00192A67">
              <w:rPr>
                <w:lang w:val="lt-LT"/>
              </w:rPr>
              <w:t xml:space="preserve">, </w:t>
            </w:r>
            <w:r>
              <w:rPr>
                <w:lang w:val="lt-LT"/>
              </w:rPr>
              <w:t xml:space="preserve"> buvo pravestas detalus viso direktyvos pasiūlymo skaitymas ir aptarimas. </w:t>
            </w:r>
            <w:r w:rsidRPr="00167710">
              <w:rPr>
                <w:lang w:val="lt-LT"/>
              </w:rPr>
              <w:t xml:space="preserve">Pirmininkaujanti </w:t>
            </w:r>
            <w:r>
              <w:rPr>
                <w:lang w:val="lt-LT"/>
              </w:rPr>
              <w:t>šalis</w:t>
            </w:r>
            <w:r w:rsidRPr="00167710">
              <w:rPr>
                <w:lang w:val="lt-LT"/>
              </w:rPr>
              <w:t xml:space="preserve"> įsitikinus</w:t>
            </w:r>
            <w:r w:rsidR="00192A67">
              <w:rPr>
                <w:lang w:val="lt-LT"/>
              </w:rPr>
              <w:t>i, kad iki šiol atliktas darbas</w:t>
            </w:r>
            <w:r w:rsidRPr="00167710">
              <w:rPr>
                <w:lang w:val="lt-LT"/>
              </w:rPr>
              <w:t xml:space="preserve"> leido gauti papildomus paaiškinimus iš Komisijos dėl pagrindinių </w:t>
            </w:r>
            <w:r>
              <w:rPr>
                <w:lang w:val="lt-LT"/>
              </w:rPr>
              <w:t xml:space="preserve">direktyvos pasiūlymo </w:t>
            </w:r>
            <w:r w:rsidRPr="00167710">
              <w:rPr>
                <w:lang w:val="lt-LT"/>
              </w:rPr>
              <w:t xml:space="preserve">elementų ir kartu pabrėžti pagrindinius su pasiūlymu susijusius klausimus, kurie turėtų būti toliau svarstomi </w:t>
            </w:r>
            <w:r>
              <w:rPr>
                <w:lang w:val="lt-LT"/>
              </w:rPr>
              <w:t xml:space="preserve">toliau </w:t>
            </w:r>
            <w:r w:rsidRPr="00167710">
              <w:rPr>
                <w:lang w:val="lt-LT"/>
              </w:rPr>
              <w:t xml:space="preserve">diskutuojant dėl pasiūlymo, taip sudarant palankesnes sąlygas siekiant laiku susitarti dėl bendro </w:t>
            </w:r>
            <w:r>
              <w:rPr>
                <w:lang w:val="lt-LT"/>
              </w:rPr>
              <w:t xml:space="preserve">Tarybos </w:t>
            </w:r>
            <w:r w:rsidRPr="00167710">
              <w:rPr>
                <w:lang w:val="lt-LT"/>
              </w:rPr>
              <w:t>požiūrio.</w:t>
            </w:r>
            <w:r>
              <w:rPr>
                <w:lang w:val="lt-LT"/>
              </w:rPr>
              <w:t xml:space="preserve"> Pirmininkaujanti šalis aktyviai bendradarbiauja su antrąjį š. m. pusmet</w:t>
            </w:r>
            <w:r w:rsidR="00192A67">
              <w:rPr>
                <w:lang w:val="lt-LT"/>
              </w:rPr>
              <w:t>į</w:t>
            </w:r>
            <w:r>
              <w:rPr>
                <w:lang w:val="lt-LT"/>
              </w:rPr>
              <w:t xml:space="preserve"> pirmininkavimą ES Tarybai perimsiančia S</w:t>
            </w:r>
            <w:r w:rsidRPr="00167710">
              <w:rPr>
                <w:lang w:val="lt-LT"/>
              </w:rPr>
              <w:t xml:space="preserve">lovėnija, kad būtų sudarytos sąlygos </w:t>
            </w:r>
            <w:r>
              <w:rPr>
                <w:lang w:val="lt-LT"/>
              </w:rPr>
              <w:t xml:space="preserve">darbo grupėje sklandžiai </w:t>
            </w:r>
            <w:r w:rsidRPr="00167710">
              <w:rPr>
                <w:lang w:val="lt-LT"/>
              </w:rPr>
              <w:t>tęsti diskusijas</w:t>
            </w:r>
            <w:r>
              <w:rPr>
                <w:lang w:val="lt-LT"/>
              </w:rPr>
              <w:t xml:space="preserve"> dėl direktyvos pasiūlymo. </w:t>
            </w:r>
          </w:p>
          <w:p w:rsidR="00BB54D1" w:rsidRDefault="002C67CC" w:rsidP="00A101C3">
            <w:pPr>
              <w:spacing w:before="120" w:after="120"/>
              <w:rPr>
                <w:b/>
                <w:u w:val="single"/>
                <w:lang w:val="lt-LT"/>
              </w:rPr>
            </w:pPr>
            <w:r w:rsidRPr="00077641">
              <w:rPr>
                <w:b/>
                <w:u w:val="single"/>
                <w:lang w:val="lt-LT"/>
              </w:rPr>
              <w:t>Lietuvos pozicija:</w:t>
            </w:r>
          </w:p>
          <w:p w:rsidR="00477C2F" w:rsidRDefault="00477C2F" w:rsidP="00477C2F">
            <w:pPr>
              <w:rPr>
                <w:lang w:val="lt-LT"/>
              </w:rPr>
            </w:pPr>
            <w:r>
              <w:rPr>
                <w:lang w:val="lt-LT"/>
              </w:rPr>
              <w:t>Tai informacinio pobūdžio klausimas, todėl siūloma tik išklausyti pirmininkaujančios šalies informaciją apie pasiektą pažangą ir posėdžio metu nepasisakinėti.</w:t>
            </w:r>
          </w:p>
          <w:p w:rsidR="00477C2F" w:rsidRPr="00477C2F" w:rsidRDefault="00477C2F" w:rsidP="00477C2F">
            <w:pPr>
              <w:rPr>
                <w:lang w:val="lt-LT"/>
              </w:rPr>
            </w:pPr>
          </w:p>
          <w:p w:rsidR="005B7EF8" w:rsidRPr="005B7EF8" w:rsidRDefault="005B7EF8" w:rsidP="005B7EF8">
            <w:pPr>
              <w:spacing w:after="120"/>
              <w:jc w:val="both"/>
              <w:rPr>
                <w:color w:val="000000"/>
                <w:lang w:val="lt-LT"/>
              </w:rPr>
            </w:pPr>
            <w:r w:rsidRPr="005B7EF8">
              <w:rPr>
                <w:color w:val="000000"/>
                <w:lang w:val="lt-LT"/>
              </w:rPr>
              <w:t xml:space="preserve"> </w:t>
            </w:r>
          </w:p>
        </w:tc>
      </w:tr>
    </w:tbl>
    <w:p w:rsidR="004B217F" w:rsidRPr="00077641" w:rsidRDefault="004B217F">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1C0AB5"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073929" w:rsidRPr="00073929" w:rsidRDefault="00073929" w:rsidP="00073929">
            <w:pPr>
              <w:rPr>
                <w:b/>
                <w:lang w:val="lt-LT"/>
              </w:rPr>
            </w:pPr>
            <w:r>
              <w:rPr>
                <w:b/>
                <w:lang w:val="lt-LT"/>
              </w:rPr>
              <w:t>3</w:t>
            </w:r>
            <w:r w:rsidRPr="00073929">
              <w:rPr>
                <w:b/>
                <w:lang w:val="lt-LT"/>
              </w:rPr>
              <w:t>. Naujas migracijos ir prieglobsčio paktas. Dabartinė padėtis ir tolesni veiksmai</w:t>
            </w:r>
          </w:p>
          <w:p w:rsidR="002C67CC" w:rsidRPr="009D494C" w:rsidRDefault="009D494C" w:rsidP="00C308A0">
            <w:pPr>
              <w:pStyle w:val="Sraopastraipa"/>
              <w:numPr>
                <w:ilvl w:val="0"/>
                <w:numId w:val="13"/>
              </w:numPr>
              <w:ind w:hanging="375"/>
              <w:rPr>
                <w:rFonts w:hAnsi="Times New Roman" w:cs="Times New Roman"/>
                <w:lang w:val="lt-LT"/>
              </w:rPr>
            </w:pPr>
            <w:r>
              <w:rPr>
                <w:rFonts w:hAnsi="Times New Roman" w:cs="Times New Roman"/>
                <w:i/>
                <w:lang w:val="lt-LT"/>
              </w:rPr>
              <w:t>Pažangos ataskaita</w:t>
            </w:r>
          </w:p>
          <w:p w:rsidR="00A82DF1" w:rsidRDefault="00EE1216" w:rsidP="00080285">
            <w:pPr>
              <w:pStyle w:val="BodyA"/>
              <w:tabs>
                <w:tab w:val="left" w:pos="-222"/>
              </w:tabs>
              <w:spacing w:after="120"/>
              <w:ind w:hanging="221"/>
              <w:rPr>
                <w:rFonts w:hAnsi="Times New Roman" w:cs="Times New Roman"/>
                <w:b/>
                <w:u w:val="single"/>
                <w:lang w:val="lt-LT"/>
              </w:rPr>
            </w:pPr>
            <w:r w:rsidRPr="00077641">
              <w:rPr>
                <w:rFonts w:hAnsi="Times New Roman" w:cs="Times New Roman"/>
                <w:b/>
                <w:u w:val="single"/>
                <w:lang w:val="lt-LT"/>
              </w:rPr>
              <w:t>Klausimo esmė</w:t>
            </w:r>
            <w:r w:rsidR="002C67CC" w:rsidRPr="00077641">
              <w:rPr>
                <w:rFonts w:hAnsi="Times New Roman" w:cs="Times New Roman"/>
                <w:b/>
                <w:u w:val="single"/>
                <w:lang w:val="lt-LT"/>
              </w:rPr>
              <w:t>:</w:t>
            </w:r>
          </w:p>
          <w:p w:rsidR="009852CE" w:rsidRPr="009852CE" w:rsidRDefault="00FA2DA2" w:rsidP="009852CE">
            <w:pPr>
              <w:spacing w:after="120"/>
              <w:jc w:val="both"/>
              <w:rPr>
                <w:lang w:val="lt-LT"/>
              </w:rPr>
            </w:pPr>
            <w:r w:rsidRPr="009852CE">
              <w:rPr>
                <w:lang w:val="lt-LT"/>
              </w:rPr>
              <w:lastRenderedPageBreak/>
              <w:t>Naujojo migracijos ir prieglobsčio pakto pasiūlymai svarstomi nuo 2020 m. rugsėjo 23 d. Nuo 2021 m. sausio mėn. E</w:t>
            </w:r>
            <w:r w:rsidR="009852CE" w:rsidRPr="009852CE">
              <w:rPr>
                <w:lang w:val="lt-LT"/>
              </w:rPr>
              <w:t xml:space="preserve">S </w:t>
            </w:r>
            <w:r w:rsidRPr="009852CE">
              <w:rPr>
                <w:lang w:val="lt-LT"/>
              </w:rPr>
              <w:t>Tarybai pirmininkaujanti Portugalija vykdė diskusijas dėl pakto tiek techniniu, tiek politiniu lygmenimis.</w:t>
            </w:r>
            <w:r w:rsidR="009852CE">
              <w:rPr>
                <w:lang w:val="lt-LT"/>
              </w:rPr>
              <w:t xml:space="preserve"> Portugalija parengė ir vidaus reikalų ministrams </w:t>
            </w:r>
            <w:r w:rsidR="00B97906">
              <w:rPr>
                <w:lang w:val="lt-LT"/>
              </w:rPr>
              <w:t xml:space="preserve">posėdyje </w:t>
            </w:r>
            <w:r w:rsidR="009852CE">
              <w:rPr>
                <w:lang w:val="lt-LT"/>
              </w:rPr>
              <w:t>pristatys ataskaitą apie pasiektą pažangą. Joje išskiriami tokie svarbiausi elementai:</w:t>
            </w:r>
          </w:p>
          <w:p w:rsidR="00FA2DA2" w:rsidRPr="009852CE" w:rsidRDefault="00FA2DA2" w:rsidP="009852CE">
            <w:pPr>
              <w:spacing w:after="120"/>
              <w:jc w:val="both"/>
              <w:rPr>
                <w:b/>
                <w:bCs/>
                <w:lang w:val="lt-LT"/>
              </w:rPr>
            </w:pPr>
            <w:r w:rsidRPr="009852CE">
              <w:rPr>
                <w:b/>
                <w:bCs/>
                <w:lang w:val="lt-LT"/>
              </w:rPr>
              <w:t>Išorės dimensija</w:t>
            </w:r>
          </w:p>
          <w:p w:rsidR="00FA2DA2" w:rsidRPr="009852CE" w:rsidRDefault="00FA2DA2" w:rsidP="009852CE">
            <w:pPr>
              <w:spacing w:after="120"/>
              <w:jc w:val="both"/>
              <w:rPr>
                <w:lang w:val="lt-LT"/>
              </w:rPr>
            </w:pPr>
            <w:r w:rsidRPr="009852CE">
              <w:rPr>
                <w:lang w:val="lt-LT"/>
              </w:rPr>
              <w:t xml:space="preserve">Bendradarbiavimas su trečiosiomis šalimis yra vienas iš pagrindinių aspektų siekiant visapusiško ES požiūrio į migraciją ir prieglobsčio valdymą. </w:t>
            </w:r>
          </w:p>
          <w:p w:rsidR="00FA2DA2" w:rsidRPr="009852CE" w:rsidRDefault="00FA2DA2" w:rsidP="009852CE">
            <w:pPr>
              <w:spacing w:after="120"/>
              <w:jc w:val="both"/>
              <w:rPr>
                <w:lang w:val="lt-LT"/>
              </w:rPr>
            </w:pPr>
            <w:r w:rsidRPr="009852CE">
              <w:rPr>
                <w:lang w:val="lt-LT"/>
              </w:rPr>
              <w:t xml:space="preserve">Jungtiniame VRM ir URM ministrų posėdyje buvo patvirtintas tvirtas sutarimas dėl visapusiškų, konkretiems poreikiams pritaikytų ir abipusiai naudingų partnerysčių su pagrindinėmis šalimis partnerėmis, taip pat dėl geresnio valstybių narių ir ES lygmens pastangų koordinavimo. Valstybės narės taip pat susitarė, kad reikia sutelkti atitinkamas ES turimas politikos kryptis ir priemones, kad būtų remiamos visapusiškos, subalansuotos ir abipusiai naudingos partnerystės, įskaitant vystomąjį bendradarbiavimą, vizas, prekybą ir investicijas, užimtumą ir švietimą. </w:t>
            </w:r>
          </w:p>
          <w:p w:rsidR="00FA2DA2" w:rsidRPr="009852CE" w:rsidRDefault="00FA2DA2" w:rsidP="009852CE">
            <w:pPr>
              <w:spacing w:after="120"/>
              <w:jc w:val="both"/>
              <w:rPr>
                <w:lang w:val="lt-LT"/>
              </w:rPr>
            </w:pPr>
            <w:r w:rsidRPr="009852CE">
              <w:rPr>
                <w:lang w:val="lt-LT"/>
              </w:rPr>
              <w:t xml:space="preserve">Gegužės 10-11 d. įvykusioje ministrų konferencijoje migrantų srautų valdymo klausimais taip pat daugiausia dėmesio skirta diskusijų su atitinkamomis Afrikos šalimis skatinimui. </w:t>
            </w:r>
          </w:p>
          <w:p w:rsidR="00FA2DA2" w:rsidRPr="009852CE" w:rsidRDefault="00FA2DA2" w:rsidP="009852CE">
            <w:pPr>
              <w:spacing w:after="120"/>
              <w:jc w:val="both"/>
              <w:rPr>
                <w:b/>
                <w:bCs/>
                <w:lang w:val="lt-LT"/>
              </w:rPr>
            </w:pPr>
            <w:r w:rsidRPr="009852CE">
              <w:rPr>
                <w:b/>
                <w:bCs/>
                <w:lang w:val="lt-LT"/>
              </w:rPr>
              <w:t>Vidaus dimensija</w:t>
            </w:r>
          </w:p>
          <w:p w:rsidR="00FA2DA2" w:rsidRPr="009852CE" w:rsidRDefault="00FA2DA2" w:rsidP="009852CE">
            <w:pPr>
              <w:spacing w:after="120"/>
              <w:jc w:val="both"/>
              <w:rPr>
                <w:b/>
                <w:bCs/>
                <w:lang w:val="lt-LT"/>
              </w:rPr>
            </w:pPr>
            <w:r w:rsidRPr="009852CE">
              <w:rPr>
                <w:b/>
                <w:lang w:val="lt-LT"/>
              </w:rPr>
              <w:t>1.</w:t>
            </w:r>
            <w:r w:rsidRPr="009852CE">
              <w:rPr>
                <w:lang w:val="lt-LT"/>
              </w:rPr>
              <w:t xml:space="preserve"> </w:t>
            </w:r>
            <w:r w:rsidRPr="009852CE">
              <w:rPr>
                <w:b/>
                <w:bCs/>
                <w:lang w:val="lt-LT"/>
              </w:rPr>
              <w:t>Prieglobstis</w:t>
            </w:r>
          </w:p>
          <w:p w:rsidR="00FA2DA2" w:rsidRPr="009852CE" w:rsidRDefault="00FA2DA2" w:rsidP="009852CE">
            <w:pPr>
              <w:spacing w:after="120"/>
              <w:jc w:val="both"/>
              <w:rPr>
                <w:lang w:val="lt-LT"/>
              </w:rPr>
            </w:pPr>
            <w:r w:rsidRPr="009852CE">
              <w:rPr>
                <w:lang w:val="lt-LT"/>
              </w:rPr>
              <w:t>Du pagrindiniai teisėkūr</w:t>
            </w:r>
            <w:r w:rsidR="00B97906">
              <w:rPr>
                <w:lang w:val="lt-LT"/>
              </w:rPr>
              <w:t>os</w:t>
            </w:r>
            <w:r w:rsidRPr="009852CE">
              <w:rPr>
                <w:lang w:val="lt-LT"/>
              </w:rPr>
              <w:t xml:space="preserve"> pa</w:t>
            </w:r>
            <w:r w:rsidR="00B97906">
              <w:rPr>
                <w:lang w:val="lt-LT"/>
              </w:rPr>
              <w:t>s</w:t>
            </w:r>
            <w:r w:rsidRPr="009852CE">
              <w:rPr>
                <w:lang w:val="lt-LT"/>
              </w:rPr>
              <w:t xml:space="preserve">iūlymai, kuriais siekiama atsakomybės ir solidarumo pusiausvyros, yra Prieglobsčio ir migracijos valdymo reglamentas (AMMR) ir Prieglobsčio procedūrų reglamentas. </w:t>
            </w:r>
          </w:p>
          <w:p w:rsidR="00FA2DA2" w:rsidRPr="009852CE" w:rsidRDefault="00FA2DA2" w:rsidP="009852CE">
            <w:pPr>
              <w:spacing w:after="120"/>
              <w:jc w:val="both"/>
              <w:rPr>
                <w:lang w:val="lt-LT"/>
              </w:rPr>
            </w:pPr>
            <w:r w:rsidRPr="009852CE">
              <w:rPr>
                <w:lang w:val="lt-LT"/>
              </w:rPr>
              <w:t>Diskusijose dėl šių dviejų pasiūlymų buvo išaiškintos skirtingos valstybių narių pozicijos, susijusios su atsakomybės pasidalijimu bei solidarumu (įskaitant perkėlimą Europos Sąjungoje, grąžinimo rėmimą ir kitas solidarumo formas).</w:t>
            </w:r>
          </w:p>
          <w:p w:rsidR="00FA2DA2" w:rsidRPr="009852CE" w:rsidRDefault="00FA2DA2" w:rsidP="009852CE">
            <w:pPr>
              <w:spacing w:after="120"/>
              <w:jc w:val="both"/>
              <w:rPr>
                <w:lang w:val="lt-LT"/>
              </w:rPr>
            </w:pPr>
            <w:r w:rsidRPr="009852CE">
              <w:rPr>
                <w:lang w:val="lt-LT"/>
              </w:rPr>
              <w:t xml:space="preserve">Pirmininkaujanti Portugalija siekė kuo didesnės pažangos techniniu lygiu. </w:t>
            </w:r>
          </w:p>
          <w:p w:rsidR="00FA2DA2" w:rsidRPr="009852CE" w:rsidRDefault="00FA2DA2" w:rsidP="009852CE">
            <w:pPr>
              <w:spacing w:after="120"/>
              <w:jc w:val="both"/>
              <w:rPr>
                <w:b/>
                <w:bCs/>
                <w:lang w:val="lt-LT"/>
              </w:rPr>
            </w:pPr>
            <w:r w:rsidRPr="009852CE">
              <w:rPr>
                <w:lang w:val="lt-LT"/>
              </w:rPr>
              <w:t xml:space="preserve">• </w:t>
            </w:r>
            <w:r w:rsidRPr="009852CE">
              <w:rPr>
                <w:b/>
                <w:bCs/>
                <w:lang w:val="lt-LT"/>
              </w:rPr>
              <w:t>Prieglobsčio ir migracijos valdymo reglamento pasiūlymas</w:t>
            </w:r>
          </w:p>
          <w:p w:rsidR="00FA2DA2" w:rsidRPr="009852CE" w:rsidRDefault="00FA2DA2" w:rsidP="009852CE">
            <w:pPr>
              <w:spacing w:after="120"/>
              <w:jc w:val="both"/>
              <w:rPr>
                <w:lang w:val="lt-LT"/>
              </w:rPr>
            </w:pPr>
            <w:r w:rsidRPr="009852CE">
              <w:rPr>
                <w:lang w:val="lt-LT"/>
              </w:rPr>
              <w:t xml:space="preserve">Užbaigtas pirmasis skaitymas darbo grupės lygiu (13 posėdžių). </w:t>
            </w:r>
          </w:p>
          <w:p w:rsidR="00FA2DA2" w:rsidRPr="009852CE" w:rsidRDefault="00FA2DA2" w:rsidP="009852CE">
            <w:pPr>
              <w:spacing w:after="120"/>
              <w:jc w:val="both"/>
              <w:rPr>
                <w:lang w:val="lt-LT"/>
              </w:rPr>
            </w:pPr>
            <w:r w:rsidRPr="009852CE">
              <w:rPr>
                <w:lang w:val="lt-LT"/>
              </w:rPr>
              <w:t xml:space="preserve">Pirmininkaujanti valstybė narė nustatė keletą klausimų, dėl kurių valstybės narės išreiškė skirtingas/prieštaringas nuomones. Šie klausimai nebegali būti sprendžiami techniniu lygmeniu, juos reikia spręsti politiniu lygmeniu. </w:t>
            </w:r>
          </w:p>
          <w:p w:rsidR="00FA2DA2" w:rsidRPr="009852CE" w:rsidRDefault="00FA2DA2" w:rsidP="009852CE">
            <w:pPr>
              <w:spacing w:after="120"/>
              <w:jc w:val="both"/>
              <w:rPr>
                <w:lang w:val="lt-LT"/>
              </w:rPr>
            </w:pPr>
            <w:r w:rsidRPr="009852CE">
              <w:rPr>
                <w:lang w:val="lt-LT"/>
              </w:rPr>
              <w:t xml:space="preserve">Per pirmąjį svarstymą nustatyti šie pagrindiniai aspektai: </w:t>
            </w:r>
          </w:p>
          <w:p w:rsidR="00FA2DA2" w:rsidRPr="009852CE" w:rsidRDefault="00FA2DA2" w:rsidP="009852CE">
            <w:pPr>
              <w:spacing w:after="120"/>
              <w:jc w:val="both"/>
              <w:rPr>
                <w:lang w:val="lt-LT"/>
              </w:rPr>
            </w:pPr>
            <w:r w:rsidRPr="009852CE">
              <w:rPr>
                <w:lang w:val="lt-LT"/>
              </w:rPr>
              <w:lastRenderedPageBreak/>
              <w:t xml:space="preserve">1) solidarumo mechanizmo taikymo lankstumas. Kai kurios valstybės narės prieštarauja atskiram SAR išlaipinimo mechanizmui, perkėlimų privalomumui, grąžinimų </w:t>
            </w:r>
            <w:proofErr w:type="spellStart"/>
            <w:r w:rsidRPr="009852CE">
              <w:rPr>
                <w:lang w:val="lt-LT"/>
              </w:rPr>
              <w:t>sponsorystei</w:t>
            </w:r>
            <w:proofErr w:type="spellEnd"/>
            <w:r w:rsidRPr="009852CE">
              <w:rPr>
                <w:lang w:val="lt-LT"/>
              </w:rPr>
              <w:t xml:space="preserve">, paramos nuspėjamumo stokai ir kt.  </w:t>
            </w:r>
          </w:p>
          <w:p w:rsidR="00FA2DA2" w:rsidRPr="009852CE" w:rsidRDefault="00FA2DA2" w:rsidP="009852CE">
            <w:pPr>
              <w:spacing w:after="120"/>
              <w:jc w:val="both"/>
              <w:rPr>
                <w:lang w:val="lt-LT"/>
              </w:rPr>
            </w:pPr>
            <w:r w:rsidRPr="009852CE">
              <w:rPr>
                <w:lang w:val="lt-LT"/>
              </w:rPr>
              <w:t>2) poreikis toliau tobulinti valstybių narių gebėjimų veiksmingai įgyvendinti prieglobsčio ir migracijos politiką stebėseną ir užtikrinti koordinavimą ES lygiu.</w:t>
            </w:r>
          </w:p>
          <w:p w:rsidR="00FA2DA2" w:rsidRPr="009852CE" w:rsidRDefault="00FA2DA2" w:rsidP="009852CE">
            <w:pPr>
              <w:spacing w:after="120"/>
              <w:jc w:val="both"/>
              <w:rPr>
                <w:lang w:val="lt-LT"/>
              </w:rPr>
            </w:pPr>
            <w:r w:rsidRPr="009852CE">
              <w:rPr>
                <w:lang w:val="lt-LT"/>
              </w:rPr>
              <w:t xml:space="preserve">Komisija (kartu su EASO) pristatė simuliacijas, pagrįstas dviem fiktyviais migracijos spaudimo ES scenarijais. Nors valstybės narės palankiai įvertino modeliavimą kaip labai naudingą priemonę, buvo prašoma įtraukti ir kitus parametrus, susijusius su privaloma pasienio procedūra, išsamesnės informacijos apie įvairius solidarumo mechanizmo etapus, taip pat antrinio judėjimo atspindėjimą. </w:t>
            </w:r>
          </w:p>
          <w:p w:rsidR="00FA2DA2" w:rsidRPr="009852CE" w:rsidRDefault="00FA2DA2" w:rsidP="009852CE">
            <w:pPr>
              <w:spacing w:after="120"/>
              <w:jc w:val="both"/>
              <w:rPr>
                <w:b/>
                <w:bCs/>
                <w:lang w:val="lt-LT"/>
              </w:rPr>
            </w:pPr>
            <w:r w:rsidRPr="009852CE">
              <w:rPr>
                <w:lang w:val="lt-LT"/>
              </w:rPr>
              <w:t xml:space="preserve">• </w:t>
            </w:r>
            <w:r w:rsidRPr="009852CE">
              <w:rPr>
                <w:b/>
                <w:bCs/>
                <w:lang w:val="lt-LT"/>
              </w:rPr>
              <w:t xml:space="preserve">Prieglobsčio procedūrų reglamentas </w:t>
            </w:r>
          </w:p>
          <w:p w:rsidR="00FA2DA2" w:rsidRPr="009852CE" w:rsidRDefault="00FA2DA2" w:rsidP="009852CE">
            <w:pPr>
              <w:spacing w:after="120"/>
              <w:jc w:val="both"/>
              <w:rPr>
                <w:lang w:val="lt-LT"/>
              </w:rPr>
            </w:pPr>
            <w:r w:rsidRPr="009852CE">
              <w:rPr>
                <w:lang w:val="lt-LT"/>
              </w:rPr>
              <w:t xml:space="preserve">Pirmininkaujanti Portugalija pradėjo antrąjį teksto svarstymą. </w:t>
            </w:r>
          </w:p>
          <w:p w:rsidR="00FA2DA2" w:rsidRPr="009852CE" w:rsidRDefault="00FA2DA2" w:rsidP="009852CE">
            <w:pPr>
              <w:spacing w:after="120"/>
              <w:jc w:val="both"/>
              <w:rPr>
                <w:lang w:val="lt-LT"/>
              </w:rPr>
            </w:pPr>
            <w:r w:rsidRPr="009852CE">
              <w:rPr>
                <w:lang w:val="lt-LT"/>
              </w:rPr>
              <w:t xml:space="preserve">Vis dar reikia aptarti šiuos aspektus, dėl kurių tarp valstybių narių nėra sutarimo: </w:t>
            </w:r>
          </w:p>
          <w:p w:rsidR="00FA2DA2" w:rsidRPr="009852CE" w:rsidRDefault="00FA2DA2" w:rsidP="00C308A0">
            <w:pPr>
              <w:pStyle w:val="Sraopastraipa"/>
              <w:numPr>
                <w:ilvl w:val="0"/>
                <w:numId w:val="14"/>
              </w:numPr>
              <w:spacing w:after="0"/>
              <w:ind w:left="714" w:hanging="357"/>
              <w:jc w:val="both"/>
              <w:rPr>
                <w:rFonts w:hAnsi="Times New Roman" w:cs="Times New Roman"/>
                <w:lang w:val="lt-LT"/>
              </w:rPr>
            </w:pPr>
            <w:r w:rsidRPr="009852CE">
              <w:rPr>
                <w:rFonts w:hAnsi="Times New Roman" w:cs="Times New Roman"/>
                <w:lang w:val="lt-LT"/>
              </w:rPr>
              <w:t xml:space="preserve">Privalomas ir (arba) savanoriškas prieglobsčio pasienio procedūros pobūdis, taip pat jos taikymo sritis ir išimtys; </w:t>
            </w:r>
          </w:p>
          <w:p w:rsidR="00FA2DA2" w:rsidRPr="009852CE" w:rsidRDefault="00FA2DA2" w:rsidP="00C308A0">
            <w:pPr>
              <w:pStyle w:val="Sraopastraipa"/>
              <w:numPr>
                <w:ilvl w:val="0"/>
                <w:numId w:val="14"/>
              </w:numPr>
              <w:spacing w:after="0"/>
              <w:ind w:left="714" w:hanging="357"/>
              <w:jc w:val="both"/>
              <w:rPr>
                <w:rFonts w:hAnsi="Times New Roman" w:cs="Times New Roman"/>
                <w:lang w:val="lt-LT"/>
              </w:rPr>
            </w:pPr>
            <w:r w:rsidRPr="009852CE">
              <w:rPr>
                <w:rFonts w:hAnsi="Times New Roman" w:cs="Times New Roman"/>
                <w:lang w:val="lt-LT"/>
              </w:rPr>
              <w:t xml:space="preserve">Galimybė susieti prieglobsčio ir grąžinimo pasienio procedūras, trumpi terminai; </w:t>
            </w:r>
          </w:p>
          <w:p w:rsidR="00FA2DA2" w:rsidRPr="009852CE" w:rsidRDefault="00FA2DA2" w:rsidP="00C308A0">
            <w:pPr>
              <w:pStyle w:val="Sraopastraipa"/>
              <w:numPr>
                <w:ilvl w:val="0"/>
                <w:numId w:val="14"/>
              </w:numPr>
              <w:spacing w:after="0"/>
              <w:ind w:left="714" w:hanging="357"/>
              <w:jc w:val="both"/>
              <w:rPr>
                <w:rFonts w:hAnsi="Times New Roman" w:cs="Times New Roman"/>
                <w:lang w:val="lt-LT"/>
              </w:rPr>
            </w:pPr>
            <w:r w:rsidRPr="009852CE">
              <w:rPr>
                <w:rFonts w:hAnsi="Times New Roman" w:cs="Times New Roman"/>
                <w:lang w:val="lt-LT"/>
              </w:rPr>
              <w:t xml:space="preserve">Teisinės fikcijos dėl neatvykimo į teritoriją įgyvendinimas, sulaikymo taikymas bei galimos jo alternatyvos. </w:t>
            </w:r>
          </w:p>
          <w:p w:rsidR="00FA2DA2" w:rsidRPr="009852CE" w:rsidRDefault="00FA2DA2" w:rsidP="00B97906">
            <w:pPr>
              <w:spacing w:before="120" w:after="120"/>
              <w:jc w:val="both"/>
              <w:rPr>
                <w:b/>
                <w:bCs/>
                <w:lang w:val="lt-LT"/>
              </w:rPr>
            </w:pPr>
            <w:r w:rsidRPr="009852CE">
              <w:rPr>
                <w:b/>
                <w:bCs/>
                <w:lang w:val="lt-LT"/>
              </w:rPr>
              <w:t>• EURODAC reglamentas</w:t>
            </w:r>
          </w:p>
          <w:p w:rsidR="00FA2DA2" w:rsidRPr="009852CE" w:rsidRDefault="00FA2DA2" w:rsidP="00B97906">
            <w:pPr>
              <w:spacing w:after="120"/>
              <w:jc w:val="both"/>
              <w:rPr>
                <w:lang w:val="lt-LT"/>
              </w:rPr>
            </w:pPr>
            <w:r w:rsidRPr="009852CE">
              <w:rPr>
                <w:lang w:val="lt-LT"/>
              </w:rPr>
              <w:t xml:space="preserve">Nepaisant to, kad valstybės narės plačiai pritaria į iš dalies pakeistą pasiūlymą įtrauktiems tiksliniams pakeitimams, kai kurios valstybės narės primygtinai reikalauja visus pasiūlymus dėl teisėkūros procedūra priimamų aktų, kuriais siekiama reformuoti Europos prieglobsčio ir migracijos politiką, laikyti paketu. </w:t>
            </w:r>
          </w:p>
          <w:p w:rsidR="00FA2DA2" w:rsidRPr="009852CE" w:rsidRDefault="00FA2DA2" w:rsidP="00B97906">
            <w:pPr>
              <w:spacing w:after="120"/>
              <w:jc w:val="both"/>
              <w:rPr>
                <w:lang w:val="lt-LT"/>
              </w:rPr>
            </w:pPr>
            <w:r w:rsidRPr="009852CE">
              <w:rPr>
                <w:lang w:val="lt-LT"/>
              </w:rPr>
              <w:t xml:space="preserve">Atsižvelgdama į tai, taip pat į tai, kad Europos Parlamentas vis dar svarsto iš dalies pakeistą pasiūlymą, pirmininkaujanti Portugalija nusprendė netęsti tolesnių diskusijų Taryboje. </w:t>
            </w:r>
          </w:p>
          <w:p w:rsidR="00FA2DA2" w:rsidRPr="009852CE" w:rsidRDefault="00FA2DA2" w:rsidP="00B97906">
            <w:pPr>
              <w:spacing w:after="120"/>
              <w:jc w:val="both"/>
              <w:rPr>
                <w:b/>
                <w:bCs/>
                <w:lang w:val="lt-LT"/>
              </w:rPr>
            </w:pPr>
            <w:r w:rsidRPr="009852CE">
              <w:rPr>
                <w:b/>
                <w:bCs/>
                <w:lang w:val="lt-LT"/>
              </w:rPr>
              <w:t>• Europos Sąjungos prieglobsčio agentūros reglamentas</w:t>
            </w:r>
          </w:p>
          <w:p w:rsidR="00FA2DA2" w:rsidRPr="009852CE" w:rsidRDefault="00FA2DA2" w:rsidP="00B97906">
            <w:pPr>
              <w:spacing w:after="120"/>
              <w:jc w:val="both"/>
              <w:rPr>
                <w:lang w:val="lt-LT"/>
              </w:rPr>
            </w:pPr>
            <w:r w:rsidRPr="009852CE">
              <w:rPr>
                <w:lang w:val="lt-LT"/>
              </w:rPr>
              <w:t>Po dvišalių susitikimų politiniu lygiu pirmininkaujanti Portugalija konstatavo, kad pasiūlymas yra blokuotas dėl kai kurių valstybių narių „paketo požiūrio“ laikymosi. Tačiau atsižvelgdama į tai, kad šis dokumentas yra labai svarbus, pirmininkaujanti valstybė narė vis dar ieško tolesnių sprendimų.</w:t>
            </w:r>
          </w:p>
          <w:p w:rsidR="00FA2DA2" w:rsidRPr="009852CE" w:rsidRDefault="00FA2DA2" w:rsidP="00B97906">
            <w:pPr>
              <w:spacing w:after="120"/>
              <w:jc w:val="both"/>
              <w:rPr>
                <w:b/>
                <w:bCs/>
                <w:lang w:val="lt-LT"/>
              </w:rPr>
            </w:pPr>
            <w:r w:rsidRPr="009852CE">
              <w:rPr>
                <w:b/>
                <w:lang w:val="lt-LT"/>
              </w:rPr>
              <w:t>2.</w:t>
            </w:r>
            <w:r w:rsidRPr="009852CE">
              <w:rPr>
                <w:lang w:val="lt-LT"/>
              </w:rPr>
              <w:t xml:space="preserve"> </w:t>
            </w:r>
            <w:r w:rsidRPr="009852CE">
              <w:rPr>
                <w:b/>
                <w:bCs/>
                <w:lang w:val="lt-LT"/>
              </w:rPr>
              <w:t>Teisėta migracija</w:t>
            </w:r>
          </w:p>
          <w:p w:rsidR="00FA2DA2" w:rsidRPr="009852CE" w:rsidRDefault="00FA2DA2" w:rsidP="00B97906">
            <w:pPr>
              <w:spacing w:after="120"/>
              <w:jc w:val="both"/>
              <w:rPr>
                <w:lang w:val="lt-LT"/>
              </w:rPr>
            </w:pPr>
            <w:r w:rsidRPr="009852CE">
              <w:rPr>
                <w:b/>
                <w:lang w:val="lt-LT"/>
              </w:rPr>
              <w:lastRenderedPageBreak/>
              <w:t>I.</w:t>
            </w:r>
            <w:r w:rsidRPr="009852CE">
              <w:rPr>
                <w:lang w:val="lt-LT"/>
              </w:rPr>
              <w:t xml:space="preserve"> </w:t>
            </w:r>
            <w:r w:rsidRPr="009852CE">
              <w:rPr>
                <w:b/>
                <w:bCs/>
                <w:lang w:val="lt-LT"/>
              </w:rPr>
              <w:t>Mėlynosios kortelės direktyva</w:t>
            </w:r>
          </w:p>
          <w:p w:rsidR="00FA2DA2" w:rsidRPr="009852CE" w:rsidRDefault="00FA2DA2" w:rsidP="00B97906">
            <w:pPr>
              <w:spacing w:after="120"/>
              <w:jc w:val="both"/>
              <w:rPr>
                <w:lang w:val="lt-LT"/>
              </w:rPr>
            </w:pPr>
            <w:r w:rsidRPr="009852CE">
              <w:rPr>
                <w:lang w:val="lt-LT"/>
              </w:rPr>
              <w:t xml:space="preserve">Gegužės 17 d. pirmininkaujanti Portugalija pasiekė preliminarų susitarimą su Europos Parlamentu dėl Direktyvos dėl aukštos kvalifikacijos darbuotojų priėmimo ir gyvenimo sąlygų peržiūros. Gegužės 21 d. Nuolatinių atstovų komitetas patvirtino preliminarų susitarimą. Tikimasi, kad Europos Parlamento Piliečių laisvių, teisingumo ir vidaus reikalų komitetas jį patvirtins birželio 3 d. </w:t>
            </w:r>
          </w:p>
          <w:p w:rsidR="00FA2DA2" w:rsidRPr="009852CE" w:rsidRDefault="00FA2DA2" w:rsidP="00B97906">
            <w:pPr>
              <w:spacing w:after="120"/>
              <w:jc w:val="both"/>
              <w:rPr>
                <w:b/>
                <w:bCs/>
                <w:lang w:val="lt-LT"/>
              </w:rPr>
            </w:pPr>
            <w:r w:rsidRPr="009852CE">
              <w:rPr>
                <w:b/>
                <w:lang w:val="lt-LT"/>
              </w:rPr>
              <w:t>II.</w:t>
            </w:r>
            <w:r w:rsidRPr="009852CE">
              <w:rPr>
                <w:lang w:val="lt-LT"/>
              </w:rPr>
              <w:t xml:space="preserve"> </w:t>
            </w:r>
            <w:r w:rsidRPr="009852CE">
              <w:rPr>
                <w:b/>
                <w:bCs/>
                <w:lang w:val="lt-LT"/>
              </w:rPr>
              <w:t>Talentų partnerystės</w:t>
            </w:r>
          </w:p>
          <w:p w:rsidR="00FA2DA2" w:rsidRPr="009852CE" w:rsidRDefault="00FA2DA2" w:rsidP="00B97906">
            <w:pPr>
              <w:spacing w:after="120"/>
              <w:jc w:val="both"/>
              <w:rPr>
                <w:lang w:val="lt-LT"/>
              </w:rPr>
            </w:pPr>
            <w:r w:rsidRPr="009852CE">
              <w:rPr>
                <w:lang w:val="lt-LT"/>
              </w:rPr>
              <w:t xml:space="preserve">Pirmininkaujanti Portugalija skatino diskusijas dėl „Talentų partnerystės“. Tikslas – remti teisėtą migraciją ir </w:t>
            </w:r>
            <w:proofErr w:type="spellStart"/>
            <w:r w:rsidRPr="009852CE">
              <w:rPr>
                <w:lang w:val="lt-LT"/>
              </w:rPr>
              <w:t>judumą</w:t>
            </w:r>
            <w:proofErr w:type="spellEnd"/>
            <w:r w:rsidRPr="009852CE">
              <w:rPr>
                <w:lang w:val="lt-LT"/>
              </w:rPr>
              <w:t xml:space="preserve"> studijų, mokymo ir darbo tikslais. Tai gali padėti sutelkti ES ir valstybes nares ir strategiškai įtraukti šalis partneres siekiant sustiprinti teisėtos migracijos kanalus. </w:t>
            </w:r>
          </w:p>
          <w:p w:rsidR="00FA2DA2" w:rsidRPr="009852CE" w:rsidRDefault="00FA2DA2" w:rsidP="00B97906">
            <w:pPr>
              <w:spacing w:after="120"/>
              <w:jc w:val="both"/>
              <w:rPr>
                <w:b/>
                <w:bCs/>
                <w:lang w:val="lt-LT"/>
              </w:rPr>
            </w:pPr>
            <w:r w:rsidRPr="009852CE">
              <w:rPr>
                <w:b/>
                <w:bCs/>
                <w:lang w:val="lt-LT"/>
              </w:rPr>
              <w:t>III. Skaitmeninė transformacija</w:t>
            </w:r>
          </w:p>
          <w:p w:rsidR="00FA2DA2" w:rsidRPr="009852CE" w:rsidRDefault="00FA2DA2" w:rsidP="00B97906">
            <w:pPr>
              <w:spacing w:after="120"/>
              <w:jc w:val="both"/>
              <w:rPr>
                <w:lang w:val="lt-LT"/>
              </w:rPr>
            </w:pPr>
            <w:r w:rsidRPr="009852CE">
              <w:rPr>
                <w:lang w:val="lt-LT"/>
              </w:rPr>
              <w:t xml:space="preserve">Migracijos valdymo srityje vis aktualesnis tampa dirbtinio intelekto ir skaitmeninimo naudojimas. Tai pasakytina, pavyzdžiui, apie sienų valdymą, migracijos ir prieglobsčio procedūras.  </w:t>
            </w:r>
          </w:p>
          <w:p w:rsidR="00FA2DA2" w:rsidRPr="009852CE" w:rsidRDefault="00FA2DA2" w:rsidP="00B97906">
            <w:pPr>
              <w:spacing w:after="120"/>
              <w:jc w:val="both"/>
              <w:rPr>
                <w:lang w:val="lt-LT"/>
              </w:rPr>
            </w:pPr>
            <w:r w:rsidRPr="009852CE">
              <w:rPr>
                <w:lang w:val="lt-LT"/>
              </w:rPr>
              <w:t>Pirmininkaujanti Portugalija, bendradarbiaudama su Europos migracijos tinklu (EMT), balandžio 30 d. surengė virtualią konferenciją „Skaitmeninė transformacija migracijos srityje“.</w:t>
            </w:r>
          </w:p>
          <w:p w:rsidR="00FA2DA2" w:rsidRPr="009852CE" w:rsidRDefault="00FA2DA2" w:rsidP="00B97906">
            <w:pPr>
              <w:spacing w:after="120"/>
              <w:jc w:val="both"/>
              <w:rPr>
                <w:b/>
                <w:bCs/>
                <w:lang w:val="lt-LT"/>
              </w:rPr>
            </w:pPr>
            <w:r w:rsidRPr="009852CE">
              <w:rPr>
                <w:b/>
                <w:bCs/>
                <w:lang w:val="lt-LT"/>
              </w:rPr>
              <w:t>3. Išorės sienos</w:t>
            </w:r>
          </w:p>
          <w:p w:rsidR="00FA2DA2" w:rsidRPr="009852CE" w:rsidRDefault="00FA2DA2" w:rsidP="00B97906">
            <w:pPr>
              <w:spacing w:after="120"/>
              <w:jc w:val="both"/>
              <w:rPr>
                <w:lang w:val="lt-LT"/>
              </w:rPr>
            </w:pPr>
            <w:r w:rsidRPr="009852CE">
              <w:rPr>
                <w:lang w:val="lt-LT"/>
              </w:rPr>
              <w:t xml:space="preserve">Pirmininkaujanti Portugalija pripažįsta, kad būtinas modernus, tvirtas ir integruotas ES išorės sienų valdymas kartu su tinkamu migracijos srautų valdymu. </w:t>
            </w:r>
          </w:p>
          <w:p w:rsidR="00FA2DA2" w:rsidRPr="009852CE" w:rsidRDefault="00FA2DA2" w:rsidP="00B97906">
            <w:pPr>
              <w:spacing w:after="120"/>
              <w:jc w:val="both"/>
              <w:rPr>
                <w:b/>
                <w:bCs/>
                <w:lang w:val="lt-LT"/>
              </w:rPr>
            </w:pPr>
            <w:r w:rsidRPr="009852CE">
              <w:rPr>
                <w:b/>
                <w:bCs/>
                <w:lang w:val="lt-LT"/>
              </w:rPr>
              <w:t>• Patikros reglamentas</w:t>
            </w:r>
          </w:p>
          <w:p w:rsidR="00FA2DA2" w:rsidRPr="009852CE" w:rsidRDefault="00FA2DA2" w:rsidP="00B97906">
            <w:pPr>
              <w:spacing w:after="120"/>
              <w:jc w:val="both"/>
              <w:rPr>
                <w:lang w:val="lt-LT"/>
              </w:rPr>
            </w:pPr>
            <w:r w:rsidRPr="009852CE">
              <w:rPr>
                <w:lang w:val="lt-LT"/>
              </w:rPr>
              <w:t xml:space="preserve">Užbaigtas antrasis Pasiūlymo dėl tikrinimo prie sienų reglamento svarstymas. Lieka išlygų dėl viso pasiūlymo turinio, nes jis susijęs su pasiūlymu dėl Prieglobsčio procedūrų reglamento ir nauju Prieglobsčio ir migracijos valdymo reglamento solidarumo mechanizmu. </w:t>
            </w:r>
          </w:p>
          <w:p w:rsidR="00FA2DA2" w:rsidRPr="009852CE" w:rsidRDefault="00FA2DA2" w:rsidP="00B97906">
            <w:pPr>
              <w:spacing w:after="120"/>
              <w:jc w:val="both"/>
              <w:rPr>
                <w:lang w:val="lt-LT"/>
              </w:rPr>
            </w:pPr>
            <w:r w:rsidRPr="009852CE">
              <w:rPr>
                <w:lang w:val="lt-LT"/>
              </w:rPr>
              <w:t xml:space="preserve">Pirmininkaujanti Portugalija laikėsi nuomonės, kad darbas techniniu lygmeniu gegužės mėn. pabaigoje pasiekė savo ribas, nes akivaizdu, kad likę klausimai turi būti sprendžiami politiniu lygmeniu. </w:t>
            </w:r>
          </w:p>
          <w:p w:rsidR="00FA2DA2" w:rsidRPr="009852CE" w:rsidRDefault="00FA2DA2" w:rsidP="00B97906">
            <w:pPr>
              <w:spacing w:after="120"/>
              <w:jc w:val="both"/>
              <w:rPr>
                <w:b/>
                <w:bCs/>
                <w:lang w:val="lt-LT"/>
              </w:rPr>
            </w:pPr>
            <w:r w:rsidRPr="009852CE">
              <w:rPr>
                <w:b/>
                <w:bCs/>
                <w:lang w:val="lt-LT"/>
              </w:rPr>
              <w:t>4. Grąžinimas ir readmisija</w:t>
            </w:r>
          </w:p>
          <w:p w:rsidR="00FA2DA2" w:rsidRPr="009852CE" w:rsidRDefault="00FA2DA2" w:rsidP="00B97906">
            <w:pPr>
              <w:spacing w:after="120"/>
              <w:jc w:val="both"/>
              <w:rPr>
                <w:lang w:val="lt-LT"/>
              </w:rPr>
            </w:pPr>
            <w:r w:rsidRPr="009852CE">
              <w:rPr>
                <w:lang w:val="lt-LT"/>
              </w:rPr>
              <w:t xml:space="preserve">Grąžinimo direktyvos išdėstymas nauja redakcija yra itin svarbus. Tikimasi, kad greitu laiku Europos Parlamentas priims poziciją, leidžiančią pradėti </w:t>
            </w:r>
            <w:proofErr w:type="spellStart"/>
            <w:r w:rsidRPr="009852CE">
              <w:rPr>
                <w:lang w:val="lt-LT"/>
              </w:rPr>
              <w:t>tarpinstitucines</w:t>
            </w:r>
            <w:proofErr w:type="spellEnd"/>
            <w:r w:rsidRPr="009852CE">
              <w:rPr>
                <w:lang w:val="lt-LT"/>
              </w:rPr>
              <w:t xml:space="preserve"> derybas. Tačiau data Europos Parlamente dar nenustatyta. </w:t>
            </w:r>
          </w:p>
          <w:p w:rsidR="00FA2DA2" w:rsidRPr="009852CE" w:rsidRDefault="00FA2DA2" w:rsidP="00B97906">
            <w:pPr>
              <w:spacing w:after="120"/>
              <w:jc w:val="both"/>
              <w:rPr>
                <w:lang w:val="lt-LT"/>
              </w:rPr>
            </w:pPr>
            <w:r w:rsidRPr="009852CE">
              <w:rPr>
                <w:lang w:val="lt-LT"/>
              </w:rPr>
              <w:lastRenderedPageBreak/>
              <w:t xml:space="preserve">Naująją Europos Komisijos pristatytą ES savanoriško grįžimo ir reintegracijos strategiją valstybės narės įvertino palankiai. </w:t>
            </w:r>
          </w:p>
          <w:p w:rsidR="00FA2DA2" w:rsidRPr="009852CE" w:rsidRDefault="00FA2DA2" w:rsidP="00B97906">
            <w:pPr>
              <w:spacing w:after="120"/>
              <w:jc w:val="both"/>
              <w:rPr>
                <w:b/>
                <w:bCs/>
                <w:lang w:val="lt-LT"/>
              </w:rPr>
            </w:pPr>
            <w:r w:rsidRPr="009852CE">
              <w:rPr>
                <w:b/>
                <w:bCs/>
                <w:lang w:val="lt-LT"/>
              </w:rPr>
              <w:t>5. Šengeno erdvė</w:t>
            </w:r>
          </w:p>
          <w:p w:rsidR="00FA2DA2" w:rsidRPr="009852CE" w:rsidRDefault="00FA2DA2" w:rsidP="00B97906">
            <w:pPr>
              <w:spacing w:after="120"/>
              <w:jc w:val="both"/>
              <w:rPr>
                <w:lang w:val="lt-LT"/>
              </w:rPr>
            </w:pPr>
            <w:r w:rsidRPr="009852CE">
              <w:rPr>
                <w:lang w:val="lt-LT"/>
              </w:rPr>
              <w:t xml:space="preserve">Šengeno erdvė yra ypatingas Europos Sąjungos laimėjimas. Ji sudarė sąlygas ekonomikos augimui, padidino laisvę ir skatino technologijų plėtrą. Pirmininkaujanti Portugalija yra įsipareigojusi prisidėti prie šios srities stiprinimo ir gero veikimo stiprinant jos valdymą ir atsparumą. </w:t>
            </w:r>
          </w:p>
          <w:p w:rsidR="00FA2DA2" w:rsidRPr="009852CE" w:rsidRDefault="00FA2DA2" w:rsidP="00B97906">
            <w:pPr>
              <w:spacing w:after="120"/>
              <w:jc w:val="both"/>
              <w:rPr>
                <w:b/>
                <w:bCs/>
                <w:lang w:val="lt-LT"/>
              </w:rPr>
            </w:pPr>
            <w:r w:rsidRPr="009852CE">
              <w:rPr>
                <w:lang w:val="lt-LT"/>
              </w:rPr>
              <w:t xml:space="preserve">• </w:t>
            </w:r>
            <w:r w:rsidRPr="009852CE">
              <w:rPr>
                <w:b/>
                <w:bCs/>
                <w:lang w:val="lt-LT"/>
              </w:rPr>
              <w:t xml:space="preserve">Šengeno vertinimo ir stebėsenos mechanizmas (SEMM) </w:t>
            </w:r>
          </w:p>
          <w:p w:rsidR="00FA2DA2" w:rsidRPr="009852CE" w:rsidRDefault="00FA2DA2" w:rsidP="00B97906">
            <w:pPr>
              <w:spacing w:after="120"/>
              <w:jc w:val="both"/>
              <w:rPr>
                <w:lang w:val="lt-LT"/>
              </w:rPr>
            </w:pPr>
            <w:r w:rsidRPr="009852CE">
              <w:rPr>
                <w:lang w:val="lt-LT"/>
              </w:rPr>
              <w:t xml:space="preserve">Vasario 1 d. pirmajame pirmininkaujančios Portugalijos Šengeno darbo grupės posėdyje buvo išnagrinėta Komisijos ataskaita dėl SEMM veikimo 2015-2019 m. (pateikta 2020 m. lapkričio mėn.). Valstybės narės nurodė, kad reikia tobulinti keletą aspektų, pavyzdžiui, supaprastinti bei greitinti procedūrą. Tai būtų galima padaryti daugiausia dėmesio skiriant strategiškesnių rekomendacijų įgyvendinimui, sudarant sąlygas gauti reikiamą finansavimą ir (arba) finansinę paramą ir pritaikant mechanizmą prie naujų technologijų, naujos teisinės sistemos ir naujų Šengeno </w:t>
            </w:r>
            <w:proofErr w:type="spellStart"/>
            <w:r w:rsidRPr="009852CE">
              <w:rPr>
                <w:lang w:val="lt-LT"/>
              </w:rPr>
              <w:t>acquis</w:t>
            </w:r>
            <w:proofErr w:type="spellEnd"/>
            <w:r w:rsidRPr="009852CE">
              <w:rPr>
                <w:lang w:val="lt-LT"/>
              </w:rPr>
              <w:t xml:space="preserve"> įgyvendinančių subjektų (Sąjungos agentūrų). </w:t>
            </w:r>
          </w:p>
          <w:p w:rsidR="00FA2DA2" w:rsidRPr="009852CE" w:rsidRDefault="00FA2DA2" w:rsidP="00B97906">
            <w:pPr>
              <w:spacing w:after="120"/>
              <w:jc w:val="both"/>
              <w:rPr>
                <w:lang w:val="lt-LT"/>
              </w:rPr>
            </w:pPr>
            <w:r w:rsidRPr="009852CE">
              <w:rPr>
                <w:lang w:val="lt-LT"/>
              </w:rPr>
              <w:t xml:space="preserve">Balandžio 16 d. priimtos Tarybos išvados dėl Šengeno vertinimo ir stebėsenos mechanizmo veikimo. </w:t>
            </w:r>
          </w:p>
          <w:p w:rsidR="00FA2DA2" w:rsidRPr="009852CE" w:rsidRDefault="00FA2DA2" w:rsidP="00B97906">
            <w:pPr>
              <w:spacing w:after="120"/>
              <w:jc w:val="both"/>
              <w:rPr>
                <w:b/>
                <w:bCs/>
                <w:lang w:val="lt-LT"/>
              </w:rPr>
            </w:pPr>
            <w:r w:rsidRPr="009852CE">
              <w:rPr>
                <w:lang w:val="lt-LT"/>
              </w:rPr>
              <w:t xml:space="preserve">• </w:t>
            </w:r>
            <w:r w:rsidRPr="009852CE">
              <w:rPr>
                <w:b/>
                <w:bCs/>
                <w:lang w:val="lt-LT"/>
              </w:rPr>
              <w:t xml:space="preserve">Kroatijos </w:t>
            </w:r>
            <w:r w:rsidR="00B97906">
              <w:rPr>
                <w:b/>
                <w:bCs/>
                <w:lang w:val="lt-LT"/>
              </w:rPr>
              <w:t xml:space="preserve">atitikties Šengeno </w:t>
            </w:r>
            <w:proofErr w:type="spellStart"/>
            <w:r w:rsidR="00B97906">
              <w:rPr>
                <w:b/>
                <w:bCs/>
                <w:lang w:val="lt-LT"/>
              </w:rPr>
              <w:t>acquis</w:t>
            </w:r>
            <w:proofErr w:type="spellEnd"/>
            <w:r w:rsidR="00B97906">
              <w:rPr>
                <w:b/>
                <w:bCs/>
                <w:lang w:val="lt-LT"/>
              </w:rPr>
              <w:t xml:space="preserve"> </w:t>
            </w:r>
            <w:r w:rsidRPr="009852CE">
              <w:rPr>
                <w:b/>
                <w:bCs/>
                <w:lang w:val="lt-LT"/>
              </w:rPr>
              <w:t xml:space="preserve">vertinimas </w:t>
            </w:r>
          </w:p>
          <w:p w:rsidR="00FA2DA2" w:rsidRPr="009852CE" w:rsidRDefault="00FA2DA2" w:rsidP="00B97906">
            <w:pPr>
              <w:spacing w:after="120"/>
              <w:jc w:val="both"/>
              <w:rPr>
                <w:lang w:val="lt-LT"/>
              </w:rPr>
            </w:pPr>
            <w:r w:rsidRPr="009852CE">
              <w:rPr>
                <w:lang w:val="lt-LT"/>
              </w:rPr>
              <w:t>Vasario 2 d. Komisija paskelbė apie Kroatijos veiksmų plano, skirto trūkumams išorės sienų valdymo srityje pašalinti, užbaigimą. Jis buvo patvirtintas kovo 12 d. įvykusiame neoficialiame TVR ministrų susitikime.</w:t>
            </w:r>
          </w:p>
          <w:p w:rsidR="00FA2DA2" w:rsidRPr="009852CE" w:rsidRDefault="00FA2DA2" w:rsidP="00B97906">
            <w:pPr>
              <w:spacing w:after="120"/>
              <w:jc w:val="both"/>
              <w:rPr>
                <w:lang w:val="lt-LT"/>
              </w:rPr>
            </w:pPr>
            <w:r w:rsidRPr="009852CE">
              <w:rPr>
                <w:lang w:val="lt-LT"/>
              </w:rPr>
              <w:t xml:space="preserve">Pirmininkausianti Slovėnija imsis tolesnių veiksmų visais klausimais. </w:t>
            </w:r>
          </w:p>
          <w:p w:rsidR="000E1695" w:rsidRPr="00077641" w:rsidRDefault="002C67CC" w:rsidP="00B97906">
            <w:pPr>
              <w:spacing w:after="120"/>
              <w:ind w:left="-221"/>
              <w:jc w:val="both"/>
              <w:rPr>
                <w:b/>
                <w:lang w:val="lt-LT"/>
              </w:rPr>
            </w:pPr>
            <w:r w:rsidRPr="00077641">
              <w:rPr>
                <w:b/>
                <w:u w:val="single"/>
                <w:lang w:val="lt-LT"/>
              </w:rPr>
              <w:t>Lietuvos pozicija:</w:t>
            </w:r>
          </w:p>
          <w:p w:rsidR="001C0AB5" w:rsidRPr="00B97906" w:rsidRDefault="00B97906" w:rsidP="00B97906">
            <w:pPr>
              <w:rPr>
                <w:lang w:val="lt-LT"/>
              </w:rPr>
            </w:pPr>
            <w:r>
              <w:rPr>
                <w:lang w:val="lt-LT"/>
              </w:rPr>
              <w:t>Tai informacinio pobūdžio klausimas, todėl siūloma tik išklausyti pirmininkaujančios šalies informaciją apie pasiektą pažangą ir posėdžio metu nepasisakinėti.</w:t>
            </w:r>
          </w:p>
        </w:tc>
      </w:tr>
    </w:tbl>
    <w:p w:rsidR="004B217F" w:rsidRPr="00077641" w:rsidRDefault="004B217F">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65002E"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4B217F" w:rsidRPr="009D494C" w:rsidRDefault="009D494C" w:rsidP="00EE76DE">
            <w:pPr>
              <w:pStyle w:val="BodyA"/>
              <w:ind w:hanging="222"/>
              <w:rPr>
                <w:rFonts w:hAnsi="Times New Roman" w:cs="Times New Roman"/>
                <w:b/>
                <w:lang w:val="lt-LT"/>
              </w:rPr>
            </w:pPr>
            <w:r>
              <w:rPr>
                <w:rFonts w:hAnsi="Times New Roman" w:cs="Times New Roman"/>
                <w:b/>
                <w:lang w:val="lt-LT"/>
              </w:rPr>
              <w:t>4</w:t>
            </w:r>
            <w:r w:rsidR="00EE1216" w:rsidRPr="00077641">
              <w:rPr>
                <w:rFonts w:hAnsi="Times New Roman" w:cs="Times New Roman"/>
                <w:b/>
                <w:lang w:val="lt-LT"/>
              </w:rPr>
              <w:t xml:space="preserve">. </w:t>
            </w:r>
            <w:r w:rsidRPr="009D494C">
              <w:rPr>
                <w:rFonts w:hAnsi="Times New Roman" w:cs="Times New Roman"/>
                <w:b/>
                <w:lang w:val="lt-LT"/>
              </w:rPr>
              <w:t>Kovos su terorizmu grupės naujausia informacija apie tolesnį kompetentingų institucijų bendradarbiavimą kovojant su terorizmu</w:t>
            </w:r>
          </w:p>
          <w:p w:rsidR="009D494C" w:rsidRPr="009D494C" w:rsidRDefault="009D494C" w:rsidP="00C308A0">
            <w:pPr>
              <w:pStyle w:val="Sraopastraipa"/>
              <w:numPr>
                <w:ilvl w:val="0"/>
                <w:numId w:val="13"/>
              </w:numPr>
              <w:ind w:hanging="375"/>
              <w:rPr>
                <w:rFonts w:hAnsi="Times New Roman" w:cs="Times New Roman"/>
                <w:lang w:val="lt-LT"/>
              </w:rPr>
            </w:pPr>
            <w:r w:rsidRPr="009D494C">
              <w:rPr>
                <w:rFonts w:hAnsi="Times New Roman" w:cs="Times New Roman"/>
                <w:i/>
                <w:lang w:val="lt-LT"/>
              </w:rPr>
              <w:t>Pasikeitimas nuomonėmis</w:t>
            </w:r>
          </w:p>
          <w:p w:rsidR="00F466F5" w:rsidRDefault="00BF7037" w:rsidP="00616977">
            <w:pPr>
              <w:pStyle w:val="BodyA"/>
              <w:tabs>
                <w:tab w:val="left" w:pos="284"/>
              </w:tabs>
              <w:spacing w:after="120"/>
              <w:ind w:left="284" w:hanging="505"/>
              <w:rPr>
                <w:rFonts w:hAnsi="Times New Roman" w:cs="Times New Roman"/>
                <w:b/>
                <w:u w:val="single"/>
                <w:lang w:val="lt-LT"/>
              </w:rPr>
            </w:pPr>
            <w:r w:rsidRPr="00077641">
              <w:rPr>
                <w:rFonts w:hAnsi="Times New Roman" w:cs="Times New Roman"/>
                <w:b/>
                <w:u w:val="single"/>
                <w:lang w:val="lt-LT"/>
              </w:rPr>
              <w:t>Klausimo esmė:</w:t>
            </w:r>
          </w:p>
          <w:p w:rsidR="00245FA7" w:rsidRPr="00600973" w:rsidRDefault="00245FA7" w:rsidP="00245F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lang w:val="lt-LT"/>
              </w:rPr>
            </w:pPr>
            <w:r w:rsidRPr="001B4B42">
              <w:rPr>
                <w:lang w:val="lt-LT"/>
              </w:rPr>
              <w:lastRenderedPageBreak/>
              <w:t xml:space="preserve">Šis darbotvarkės klausimas bus svarstomas ribotame formate. Numatoma, kad kovos su terorizmu grupės (CTG) pirmininkas ES ir Šengeno asocijuotų šalių ministrams </w:t>
            </w:r>
            <w:r w:rsidRPr="001B4B42">
              <w:rPr>
                <w:rFonts w:eastAsia="Times New Roman"/>
                <w:color w:val="000000"/>
                <w:lang w:val="lt-LT" w:eastAsia="lt-LT"/>
              </w:rPr>
              <w:t>pristatys terorizmo grėsmės E</w:t>
            </w:r>
            <w:r>
              <w:rPr>
                <w:rFonts w:eastAsia="Times New Roman"/>
                <w:color w:val="000000"/>
                <w:lang w:val="lt-LT" w:eastAsia="lt-LT"/>
              </w:rPr>
              <w:t xml:space="preserve">S </w:t>
            </w:r>
            <w:r w:rsidRPr="001B4B42">
              <w:rPr>
                <w:rFonts w:eastAsia="Times New Roman"/>
                <w:color w:val="000000"/>
                <w:lang w:val="lt-LT" w:eastAsia="lt-LT"/>
              </w:rPr>
              <w:t>vertinimą, apžvelgs šiandienines tendencijas bei pristatys CTG veiklą vykdant prevenciją ir kovą su terorizmu</w:t>
            </w:r>
            <w:r>
              <w:rPr>
                <w:rFonts w:eastAsia="Times New Roman"/>
                <w:color w:val="000000"/>
                <w:lang w:val="lt-LT" w:eastAsia="lt-LT"/>
              </w:rPr>
              <w:t>.</w:t>
            </w:r>
            <w:r w:rsidRPr="001B4B42">
              <w:rPr>
                <w:rFonts w:eastAsia="Times New Roman"/>
                <w:color w:val="000000"/>
                <w:lang w:val="lt-LT" w:eastAsia="lt-LT"/>
              </w:rPr>
              <w:t xml:space="preserve"> Bus aptarta bendradarbiavimo tarp CTG tarnybų platforma, CTG bendradarbiavimas su užsienio partneriais, ES institucijomis ir agentūromis, taip pat bus apžvelgtas tarnybų progresas suvedant užsienio teroristų kovotojų sąrašą į Šengeno informacinę sistemą.</w:t>
            </w:r>
            <w:r w:rsidRPr="001B4B42">
              <w:rPr>
                <w:rFonts w:eastAsia="Times New Roman"/>
                <w:lang w:val="lt-LT" w:eastAsia="lt-LT"/>
              </w:rPr>
              <w:t xml:space="preserve"> </w:t>
            </w:r>
            <w:r w:rsidRPr="001B4B42">
              <w:rPr>
                <w:rFonts w:eastAsia="Times New Roman"/>
                <w:color w:val="000000"/>
                <w:lang w:val="lt-LT" w:eastAsia="lt-LT"/>
              </w:rPr>
              <w:t xml:space="preserve">Galiausiai, CTG Pirmininkas trumpai pristatys šiuo metu ES svarstomus žvalgybos ir saugumo tarnybų bendruomenei aktualiausius klausimus </w:t>
            </w:r>
            <w:r>
              <w:rPr>
                <w:rFonts w:eastAsia="Times New Roman"/>
                <w:color w:val="000000"/>
                <w:lang w:val="lt-LT" w:eastAsia="lt-LT"/>
              </w:rPr>
              <w:t>dėl</w:t>
            </w:r>
            <w:r w:rsidRPr="001B4B42">
              <w:rPr>
                <w:rFonts w:eastAsia="Times New Roman"/>
                <w:color w:val="000000"/>
                <w:lang w:val="lt-LT" w:eastAsia="lt-LT"/>
              </w:rPr>
              <w:t xml:space="preserve"> duomenų saugojimo (</w:t>
            </w:r>
            <w:r w:rsidRPr="001B4B42">
              <w:rPr>
                <w:rFonts w:eastAsia="Times New Roman"/>
                <w:i/>
                <w:iCs/>
                <w:color w:val="000000"/>
                <w:lang w:val="lt-LT" w:eastAsia="lt-LT"/>
              </w:rPr>
              <w:t xml:space="preserve">data </w:t>
            </w:r>
            <w:proofErr w:type="spellStart"/>
            <w:r w:rsidRPr="001B4B42">
              <w:rPr>
                <w:rFonts w:eastAsia="Times New Roman"/>
                <w:i/>
                <w:iCs/>
                <w:color w:val="000000"/>
                <w:lang w:val="lt-LT" w:eastAsia="lt-LT"/>
              </w:rPr>
              <w:t>retention</w:t>
            </w:r>
            <w:proofErr w:type="spellEnd"/>
            <w:r w:rsidRPr="001B4B42">
              <w:rPr>
                <w:rFonts w:eastAsia="Times New Roman"/>
                <w:color w:val="000000"/>
                <w:lang w:val="lt-LT" w:eastAsia="lt-LT"/>
              </w:rPr>
              <w:t xml:space="preserve">) bei teisėtos už nacionalinį saugumą atsakingų institucijų prieigos prie šifruotų duomenų. </w:t>
            </w:r>
          </w:p>
          <w:p w:rsidR="00BF7037" w:rsidRPr="00077641" w:rsidRDefault="00BF7037" w:rsidP="00080285">
            <w:pPr>
              <w:pStyle w:val="BodyA"/>
              <w:tabs>
                <w:tab w:val="left" w:pos="-222"/>
                <w:tab w:val="left" w:pos="62"/>
              </w:tabs>
              <w:spacing w:after="120"/>
              <w:ind w:left="-221"/>
              <w:jc w:val="both"/>
              <w:rPr>
                <w:rFonts w:hAnsi="Times New Roman" w:cs="Times New Roman"/>
                <w:b/>
                <w:u w:val="single"/>
                <w:lang w:val="lt-LT"/>
              </w:rPr>
            </w:pPr>
            <w:bookmarkStart w:id="0" w:name="_GoBack"/>
            <w:bookmarkEnd w:id="0"/>
            <w:r w:rsidRPr="00077641">
              <w:rPr>
                <w:rFonts w:hAnsi="Times New Roman" w:cs="Times New Roman"/>
                <w:b/>
                <w:u w:val="single"/>
                <w:lang w:val="lt-LT"/>
              </w:rPr>
              <w:t>Lietuvos pozicija:</w:t>
            </w:r>
          </w:p>
          <w:p w:rsidR="008B2A52" w:rsidRPr="00077641" w:rsidRDefault="009237CB" w:rsidP="00616977">
            <w:pPr>
              <w:pStyle w:val="prastasiniatinklio"/>
              <w:spacing w:before="0" w:beforeAutospacing="0" w:after="120" w:afterAutospacing="0"/>
              <w:jc w:val="both"/>
            </w:pPr>
            <w:r>
              <w:t>Siūloma išklausyti informaciją. Pasisakyti neplanuojama, nes klausimo svarstymui darbotvarkėje skirta tik 15 min. Lietuva visapusiškai remia ES kovos su terorizmu priemonių stiprinimą ir kompetentingų institucijų bendradarbiavimo šioje srityje plėtojimą.</w:t>
            </w:r>
          </w:p>
        </w:tc>
      </w:tr>
    </w:tbl>
    <w:p w:rsidR="004B217F" w:rsidRPr="00077641" w:rsidRDefault="004B217F" w:rsidP="00946AC6">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BF7037" w:rsidRPr="0065002E" w:rsidTr="0009739F">
        <w:trPr>
          <w:trHeight w:val="937"/>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D494C" w:rsidRPr="009D494C" w:rsidRDefault="009D494C" w:rsidP="009D494C">
            <w:pPr>
              <w:rPr>
                <w:lang w:val="lt-LT"/>
              </w:rPr>
            </w:pPr>
            <w:r w:rsidRPr="009D494C">
              <w:rPr>
                <w:b/>
                <w:lang w:val="lt-LT"/>
              </w:rPr>
              <w:t>5</w:t>
            </w:r>
            <w:r w:rsidR="00BF7037" w:rsidRPr="009D494C">
              <w:rPr>
                <w:b/>
                <w:lang w:val="lt-LT"/>
              </w:rPr>
              <w:t xml:space="preserve">. </w:t>
            </w:r>
            <w:r w:rsidRPr="009D494C">
              <w:rPr>
                <w:b/>
                <w:lang w:val="lt-LT"/>
              </w:rPr>
              <w:t>COVID-19 ir kova su nusikalstamumu – po vienerių metų</w:t>
            </w:r>
          </w:p>
          <w:p w:rsidR="009D494C" w:rsidRPr="009D494C" w:rsidRDefault="009D494C" w:rsidP="00C308A0">
            <w:pPr>
              <w:pStyle w:val="Sraopastraipa"/>
              <w:numPr>
                <w:ilvl w:val="0"/>
                <w:numId w:val="13"/>
              </w:numPr>
              <w:ind w:hanging="375"/>
              <w:rPr>
                <w:rFonts w:hAnsi="Times New Roman" w:cs="Times New Roman"/>
                <w:lang w:val="lt-LT"/>
              </w:rPr>
            </w:pPr>
            <w:r w:rsidRPr="009D494C">
              <w:rPr>
                <w:i/>
                <w:iCs/>
                <w:lang w:val="lt-LT"/>
              </w:rPr>
              <w:t>Politiniai debatai</w:t>
            </w:r>
          </w:p>
          <w:p w:rsidR="00BF7037" w:rsidRDefault="00BF7037" w:rsidP="009D494C">
            <w:pPr>
              <w:pStyle w:val="BodyA"/>
              <w:tabs>
                <w:tab w:val="left" w:pos="284"/>
              </w:tabs>
              <w:spacing w:after="120"/>
              <w:rPr>
                <w:rFonts w:hAnsi="Times New Roman" w:cs="Times New Roman"/>
                <w:b/>
                <w:u w:val="single"/>
                <w:lang w:val="lt-LT"/>
              </w:rPr>
            </w:pPr>
            <w:r w:rsidRPr="00077641">
              <w:rPr>
                <w:rFonts w:hAnsi="Times New Roman" w:cs="Times New Roman"/>
                <w:b/>
                <w:u w:val="single"/>
                <w:lang w:val="lt-LT"/>
              </w:rPr>
              <w:t>Klausimo esmė:</w:t>
            </w:r>
          </w:p>
          <w:p w:rsidR="00085C84" w:rsidRPr="00085C84" w:rsidRDefault="00085C84" w:rsidP="00085C84">
            <w:pPr>
              <w:jc w:val="both"/>
              <w:rPr>
                <w:lang w:val="lt-LT"/>
              </w:rPr>
            </w:pPr>
            <w:r w:rsidRPr="00085C84">
              <w:rPr>
                <w:lang w:val="lt-LT"/>
              </w:rPr>
              <w:t xml:space="preserve">Diskusinis dokumentas šiuo </w:t>
            </w:r>
            <w:r>
              <w:rPr>
                <w:lang w:val="lt-LT"/>
              </w:rPr>
              <w:t xml:space="preserve">darbotvarkės </w:t>
            </w:r>
            <w:r w:rsidRPr="00085C84">
              <w:rPr>
                <w:lang w:val="lt-LT"/>
              </w:rPr>
              <w:t>klausimu dar negautas.</w:t>
            </w:r>
            <w:r w:rsidR="008E5707">
              <w:rPr>
                <w:lang w:val="lt-LT"/>
              </w:rPr>
              <w:t xml:space="preserve"> Darbotvarkėje jo svarstymui skirta tik 30 min.</w:t>
            </w:r>
          </w:p>
          <w:p w:rsidR="00085C84" w:rsidRPr="00085C84" w:rsidRDefault="00085C84" w:rsidP="00085C84">
            <w:pPr>
              <w:jc w:val="both"/>
              <w:rPr>
                <w:lang w:val="lt-LT"/>
              </w:rPr>
            </w:pPr>
            <w:r>
              <w:rPr>
                <w:lang w:val="lt-LT"/>
              </w:rPr>
              <w:t>Numatoma, kad ES Tar</w:t>
            </w:r>
            <w:r w:rsidRPr="00085C84">
              <w:rPr>
                <w:lang w:val="lt-LT"/>
              </w:rPr>
              <w:t xml:space="preserve">ybai pirmininkaujanti </w:t>
            </w:r>
            <w:r>
              <w:rPr>
                <w:lang w:val="lt-LT"/>
              </w:rPr>
              <w:t>Portugalija</w:t>
            </w:r>
            <w:r w:rsidRPr="00085C84">
              <w:rPr>
                <w:lang w:val="lt-LT"/>
              </w:rPr>
              <w:t xml:space="preserve"> vidaus reikalų ministrams pateiks informaciją ir pakvies padiskutuoti apie COVID-19 pandemijos poveikį ES vidaus saugumui, su kokiomis specifinėmis grėsmėmis ir nusikalstamumo tendencijomis buvo susidurta pandemijos laikotarpiu, kokios svarbiausios ES teisėsaugos išmoktos pamokos, kokių bendrų veiksmų kovojant su COVID-19 turėtų imtis valstybių narių nacionalinės teisėsaugos institucijos ir atitinkamos Europos agentūros, ypač Europolas, bus akcentuojamas atsparumo stiprinimas, prevencija ir pasirengimas būsimoms krizinėms situacijoms ES ir VN lygiu.</w:t>
            </w:r>
          </w:p>
          <w:p w:rsidR="00085C84" w:rsidRDefault="00085C84" w:rsidP="009D494C">
            <w:pPr>
              <w:pStyle w:val="BodyA"/>
              <w:tabs>
                <w:tab w:val="left" w:pos="284"/>
              </w:tabs>
              <w:spacing w:after="120"/>
              <w:rPr>
                <w:rFonts w:hAnsi="Times New Roman" w:cs="Times New Roman"/>
                <w:b/>
                <w:u w:val="single"/>
                <w:lang w:val="lt-LT"/>
              </w:rPr>
            </w:pPr>
          </w:p>
          <w:p w:rsidR="00BF7037" w:rsidRPr="00077641" w:rsidRDefault="00BF7037" w:rsidP="009D494C">
            <w:pPr>
              <w:pStyle w:val="BodyA"/>
              <w:tabs>
                <w:tab w:val="left" w:pos="0"/>
                <w:tab w:val="left" w:pos="62"/>
              </w:tabs>
              <w:spacing w:after="120"/>
              <w:jc w:val="both"/>
              <w:rPr>
                <w:rFonts w:hAnsi="Times New Roman" w:cs="Times New Roman"/>
                <w:b/>
                <w:u w:val="single"/>
                <w:lang w:val="lt-LT"/>
              </w:rPr>
            </w:pPr>
            <w:r w:rsidRPr="00077641">
              <w:rPr>
                <w:rFonts w:hAnsi="Times New Roman" w:cs="Times New Roman"/>
                <w:b/>
                <w:u w:val="single"/>
                <w:lang w:val="lt-LT"/>
              </w:rPr>
              <w:t>Lietuvos pozicija:</w:t>
            </w:r>
          </w:p>
          <w:p w:rsidR="00CA640F" w:rsidRPr="00616977" w:rsidRDefault="004F7893" w:rsidP="00087B37">
            <w:pPr>
              <w:pStyle w:val="xmsonormal0"/>
              <w:spacing w:before="0" w:beforeAutospacing="0" w:after="120" w:afterAutospacing="0"/>
              <w:jc w:val="both"/>
              <w:rPr>
                <w:color w:val="000000"/>
              </w:rPr>
            </w:pPr>
            <w:r>
              <w:rPr>
                <w:color w:val="000000"/>
              </w:rPr>
              <w:t xml:space="preserve">Covid-19 pandemija buvo ir išlieka pakankamai rimtas iššūkis valstybių narių teisėsaugos institucijoms. </w:t>
            </w:r>
            <w:proofErr w:type="spellStart"/>
            <w:r w:rsidR="008E5707">
              <w:rPr>
                <w:color w:val="000000"/>
              </w:rPr>
              <w:t>Pandeminė</w:t>
            </w:r>
            <w:proofErr w:type="spellEnd"/>
            <w:r w:rsidR="008E5707">
              <w:rPr>
                <w:color w:val="000000"/>
              </w:rPr>
              <w:t xml:space="preserve"> situacija dar labiau</w:t>
            </w:r>
            <w:r>
              <w:rPr>
                <w:color w:val="000000"/>
              </w:rPr>
              <w:t xml:space="preserve"> išryškino </w:t>
            </w:r>
            <w:r w:rsidR="008E5707">
              <w:rPr>
                <w:color w:val="000000"/>
              </w:rPr>
              <w:t>tam tikras organizuoto nusikalstamumo sritis bei nusikalstamas veiklas, kur reikalingas stipresnis ES teisėsaugos atsakas ir teisėsaugos bendradarbiavimas</w:t>
            </w:r>
            <w:r>
              <w:rPr>
                <w:color w:val="000000"/>
              </w:rPr>
              <w:t>.</w:t>
            </w:r>
            <w:r w:rsidR="008E5707">
              <w:rPr>
                <w:color w:val="000000"/>
              </w:rPr>
              <w:t xml:space="preserve"> Lietuva</w:t>
            </w:r>
            <w:r>
              <w:rPr>
                <w:color w:val="000000"/>
              </w:rPr>
              <w:t xml:space="preserve"> </w:t>
            </w:r>
            <w:r w:rsidR="008E5707">
              <w:t>remia šiemet priimtą kovos su organizuotu nusikalstamumu strategiją</w:t>
            </w:r>
            <w:r w:rsidR="00087B37">
              <w:t xml:space="preserve"> ir kovos su organizuotu tarpvalstybiniu nusikalstamumu prioritetus. </w:t>
            </w:r>
            <w:r w:rsidR="00087B37" w:rsidRPr="00087B37">
              <w:rPr>
                <w:bCs/>
              </w:rPr>
              <w:t xml:space="preserve">Kaip svarbiausias sritis, į kurias turėtų būti koncentruojami prioritetai, </w:t>
            </w:r>
            <w:r w:rsidR="008E5707" w:rsidRPr="00087B37">
              <w:rPr>
                <w:bCs/>
              </w:rPr>
              <w:t xml:space="preserve"> </w:t>
            </w:r>
            <w:r w:rsidR="00087B37" w:rsidRPr="00087B37">
              <w:rPr>
                <w:bCs/>
              </w:rPr>
              <w:t>išskirtume</w:t>
            </w:r>
            <w:r w:rsidR="008E5707" w:rsidRPr="00087B37">
              <w:rPr>
                <w:bCs/>
              </w:rPr>
              <w:t xml:space="preserve"> </w:t>
            </w:r>
            <w:r w:rsidR="00087B37" w:rsidRPr="00087B37">
              <w:rPr>
                <w:bCs/>
              </w:rPr>
              <w:t>didelės rizikos nusikalstamus tinklus (HRCN)</w:t>
            </w:r>
            <w:r w:rsidR="008E5707" w:rsidRPr="00087B37">
              <w:rPr>
                <w:bCs/>
              </w:rPr>
              <w:t>, tabako gaminių kontrabandą ir neteisėtą migraciją</w:t>
            </w:r>
            <w:r w:rsidR="00087B37" w:rsidRPr="00087B37">
              <w:rPr>
                <w:bCs/>
              </w:rPr>
              <w:t>.</w:t>
            </w:r>
            <w:r w:rsidR="00087B37">
              <w:rPr>
                <w:bCs/>
              </w:rPr>
              <w:t xml:space="preserve"> Taip pat labai svarbus kovos su nusikalstamumu elektroninėje erdvėje stiprinimas. </w:t>
            </w:r>
          </w:p>
        </w:tc>
      </w:tr>
    </w:tbl>
    <w:p w:rsidR="00BF7037" w:rsidRDefault="00BF7037" w:rsidP="00616977">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A60FAF" w:rsidRPr="0065002E" w:rsidTr="00C308A0">
        <w:trPr>
          <w:trHeight w:val="795"/>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D494C" w:rsidRPr="009D494C" w:rsidRDefault="009D494C" w:rsidP="009D494C">
            <w:pPr>
              <w:pStyle w:val="Sraopastraipa"/>
              <w:spacing w:after="0"/>
              <w:ind w:left="0"/>
              <w:rPr>
                <w:b/>
                <w:lang w:val="lt-LT"/>
              </w:rPr>
            </w:pPr>
            <w:r w:rsidRPr="009D494C">
              <w:rPr>
                <w:b/>
                <w:lang w:val="lt-LT"/>
              </w:rPr>
              <w:t>6</w:t>
            </w:r>
            <w:r w:rsidR="00A60FAF" w:rsidRPr="009D494C">
              <w:rPr>
                <w:b/>
                <w:lang w:val="lt-LT"/>
              </w:rPr>
              <w:t xml:space="preserve">. </w:t>
            </w:r>
            <w:r w:rsidRPr="009D494C">
              <w:rPr>
                <w:b/>
                <w:lang w:val="lt-LT"/>
              </w:rPr>
              <w:t>Dirbtinis intelektas. Vidaus saugumo perspektyvos</w:t>
            </w:r>
          </w:p>
          <w:p w:rsidR="009D494C" w:rsidRPr="009D494C" w:rsidRDefault="009D494C" w:rsidP="00C308A0">
            <w:pPr>
              <w:pStyle w:val="Sraopastraipa"/>
              <w:numPr>
                <w:ilvl w:val="0"/>
                <w:numId w:val="13"/>
              </w:numPr>
              <w:spacing w:after="0"/>
              <w:ind w:hanging="375"/>
              <w:rPr>
                <w:rFonts w:hAnsi="Times New Roman" w:cs="Times New Roman"/>
                <w:lang w:val="lt-LT"/>
              </w:rPr>
            </w:pPr>
            <w:r w:rsidRPr="009D494C">
              <w:rPr>
                <w:rFonts w:hAnsi="Times New Roman" w:cs="Times New Roman"/>
                <w:i/>
                <w:iCs/>
                <w:lang w:val="lt-LT"/>
              </w:rPr>
              <w:t>Komisijos pranešimas ir pasikeitimas nuomonėmis</w:t>
            </w:r>
          </w:p>
          <w:p w:rsidR="00A60FAF" w:rsidRPr="00077641" w:rsidRDefault="00A60FAF" w:rsidP="00A60FAF">
            <w:pPr>
              <w:pStyle w:val="BodyA"/>
              <w:tabs>
                <w:tab w:val="left" w:pos="284"/>
              </w:tabs>
              <w:rPr>
                <w:rFonts w:hAnsi="Times New Roman" w:cs="Times New Roman"/>
                <w:lang w:val="lt-LT"/>
              </w:rPr>
            </w:pPr>
          </w:p>
          <w:p w:rsidR="009D494C" w:rsidRDefault="00A60FAF" w:rsidP="004206F7">
            <w:pPr>
              <w:pStyle w:val="BodyA"/>
              <w:tabs>
                <w:tab w:val="left" w:pos="284"/>
              </w:tabs>
              <w:spacing w:after="120"/>
              <w:ind w:left="284" w:hanging="284"/>
              <w:rPr>
                <w:rFonts w:hAnsi="Times New Roman" w:cs="Times New Roman"/>
                <w:b/>
                <w:u w:val="single"/>
                <w:lang w:val="lt-LT"/>
              </w:rPr>
            </w:pPr>
            <w:r w:rsidRPr="00077641">
              <w:rPr>
                <w:rFonts w:hAnsi="Times New Roman" w:cs="Times New Roman"/>
                <w:b/>
                <w:u w:val="single"/>
                <w:lang w:val="lt-LT"/>
              </w:rPr>
              <w:t>Klausimo esmė:</w:t>
            </w:r>
          </w:p>
          <w:p w:rsidR="00773710" w:rsidRPr="004206F7" w:rsidRDefault="004206F7" w:rsidP="004206F7">
            <w:pPr>
              <w:pStyle w:val="BodyA"/>
              <w:tabs>
                <w:tab w:val="left" w:pos="0"/>
              </w:tabs>
              <w:spacing w:after="120"/>
              <w:jc w:val="both"/>
              <w:rPr>
                <w:rFonts w:hAnsi="Times New Roman" w:cs="Times New Roman"/>
                <w:lang w:val="lt-LT"/>
              </w:rPr>
            </w:pPr>
            <w:r w:rsidRPr="004206F7">
              <w:rPr>
                <w:rFonts w:hAnsi="Times New Roman" w:cs="Times New Roman"/>
                <w:lang w:val="lt-LT"/>
              </w:rPr>
              <w:t>Vienas iš neseniai pa</w:t>
            </w:r>
            <w:r>
              <w:rPr>
                <w:rFonts w:hAnsi="Times New Roman" w:cs="Times New Roman"/>
                <w:lang w:val="lt-LT"/>
              </w:rPr>
              <w:t>teikto Europos</w:t>
            </w:r>
            <w:r w:rsidRPr="004206F7">
              <w:rPr>
                <w:rFonts w:hAnsi="Times New Roman" w:cs="Times New Roman"/>
                <w:lang w:val="lt-LT"/>
              </w:rPr>
              <w:t xml:space="preserve"> Komisijos pasiūlymo dėl reglamento, kuriuo nustatomos suderintos dirbtinio intelekto</w:t>
            </w:r>
            <w:r w:rsidR="00777E25">
              <w:rPr>
                <w:rFonts w:hAnsi="Times New Roman" w:cs="Times New Roman"/>
                <w:lang w:val="lt-LT"/>
              </w:rPr>
              <w:t xml:space="preserve"> (DI)</w:t>
            </w:r>
            <w:r w:rsidRPr="004206F7">
              <w:rPr>
                <w:rFonts w:hAnsi="Times New Roman" w:cs="Times New Roman"/>
                <w:lang w:val="lt-LT"/>
              </w:rPr>
              <w:t xml:space="preserve"> taisyklės, tikslų – užtikrinti patikimą dirbtinio intelekto naudojimą</w:t>
            </w:r>
            <w:r w:rsidR="00777E25">
              <w:rPr>
                <w:rFonts w:hAnsi="Times New Roman" w:cs="Times New Roman"/>
                <w:lang w:val="lt-LT"/>
              </w:rPr>
              <w:t>,</w:t>
            </w:r>
            <w:r w:rsidRPr="004206F7">
              <w:rPr>
                <w:rFonts w:hAnsi="Times New Roman" w:cs="Times New Roman"/>
                <w:lang w:val="lt-LT"/>
              </w:rPr>
              <w:t xml:space="preserve"> </w:t>
            </w:r>
            <w:r>
              <w:rPr>
                <w:rFonts w:hAnsi="Times New Roman" w:cs="Times New Roman"/>
                <w:lang w:val="lt-LT"/>
              </w:rPr>
              <w:t>nustatant</w:t>
            </w:r>
            <w:r w:rsidRPr="004206F7">
              <w:rPr>
                <w:rFonts w:hAnsi="Times New Roman" w:cs="Times New Roman"/>
                <w:lang w:val="lt-LT"/>
              </w:rPr>
              <w:t xml:space="preserve"> draudžiamų </w:t>
            </w:r>
            <w:r w:rsidR="00777E25">
              <w:rPr>
                <w:rFonts w:hAnsi="Times New Roman" w:cs="Times New Roman"/>
                <w:lang w:val="lt-LT"/>
              </w:rPr>
              <w:t xml:space="preserve">DI </w:t>
            </w:r>
            <w:r w:rsidRPr="004206F7">
              <w:rPr>
                <w:rFonts w:hAnsi="Times New Roman" w:cs="Times New Roman"/>
                <w:lang w:val="lt-LT"/>
              </w:rPr>
              <w:t>sistemų ir (arba) naudojimo atvejų kategorijas (su tam tikromis išimtimis teisėsaugos srityje)</w:t>
            </w:r>
            <w:r w:rsidR="00777E25">
              <w:rPr>
                <w:rFonts w:hAnsi="Times New Roman" w:cs="Times New Roman"/>
                <w:lang w:val="lt-LT"/>
              </w:rPr>
              <w:t xml:space="preserve"> bei</w:t>
            </w:r>
            <w:r w:rsidRPr="004206F7">
              <w:rPr>
                <w:rFonts w:hAnsi="Times New Roman" w:cs="Times New Roman"/>
                <w:lang w:val="lt-LT"/>
              </w:rPr>
              <w:t xml:space="preserve"> </w:t>
            </w:r>
            <w:r>
              <w:rPr>
                <w:rFonts w:hAnsi="Times New Roman" w:cs="Times New Roman"/>
                <w:lang w:val="lt-LT"/>
              </w:rPr>
              <w:t>apibrėžiant</w:t>
            </w:r>
            <w:r w:rsidRPr="004206F7">
              <w:rPr>
                <w:rFonts w:hAnsi="Times New Roman" w:cs="Times New Roman"/>
                <w:lang w:val="lt-LT"/>
              </w:rPr>
              <w:t xml:space="preserve"> reikalavimus</w:t>
            </w:r>
            <w:r>
              <w:rPr>
                <w:rFonts w:hAnsi="Times New Roman" w:cs="Times New Roman"/>
                <w:lang w:val="lt-LT"/>
              </w:rPr>
              <w:t xml:space="preserve"> ir</w:t>
            </w:r>
            <w:r w:rsidRPr="004206F7">
              <w:rPr>
                <w:rFonts w:hAnsi="Times New Roman" w:cs="Times New Roman"/>
                <w:lang w:val="lt-LT"/>
              </w:rPr>
              <w:t xml:space="preserve"> pareigas</w:t>
            </w:r>
            <w:r>
              <w:rPr>
                <w:rFonts w:hAnsi="Times New Roman" w:cs="Times New Roman"/>
                <w:lang w:val="lt-LT"/>
              </w:rPr>
              <w:t xml:space="preserve"> didelės rizikos sistemoms</w:t>
            </w:r>
            <w:r w:rsidRPr="004206F7">
              <w:rPr>
                <w:rFonts w:hAnsi="Times New Roman" w:cs="Times New Roman"/>
                <w:lang w:val="lt-LT"/>
              </w:rPr>
              <w:t xml:space="preserve"> ir </w:t>
            </w:r>
            <w:r>
              <w:rPr>
                <w:rFonts w:hAnsi="Times New Roman" w:cs="Times New Roman"/>
                <w:lang w:val="lt-LT"/>
              </w:rPr>
              <w:t xml:space="preserve">įvedant jų </w:t>
            </w:r>
            <w:r w:rsidRPr="004206F7">
              <w:rPr>
                <w:rFonts w:hAnsi="Times New Roman" w:cs="Times New Roman"/>
                <w:lang w:val="lt-LT"/>
              </w:rPr>
              <w:t xml:space="preserve">atitikties </w:t>
            </w:r>
            <w:r>
              <w:rPr>
                <w:rFonts w:hAnsi="Times New Roman" w:cs="Times New Roman"/>
                <w:lang w:val="lt-LT"/>
              </w:rPr>
              <w:t xml:space="preserve">šiems reikalavimams nustatymo </w:t>
            </w:r>
            <w:r w:rsidRPr="004206F7">
              <w:rPr>
                <w:rFonts w:hAnsi="Times New Roman" w:cs="Times New Roman"/>
                <w:lang w:val="lt-LT"/>
              </w:rPr>
              <w:t>sistem</w:t>
            </w:r>
            <w:r>
              <w:rPr>
                <w:rFonts w:hAnsi="Times New Roman" w:cs="Times New Roman"/>
                <w:lang w:val="lt-LT"/>
              </w:rPr>
              <w:t>ą</w:t>
            </w:r>
            <w:r w:rsidRPr="004206F7">
              <w:rPr>
                <w:rFonts w:hAnsi="Times New Roman" w:cs="Times New Roman"/>
                <w:lang w:val="lt-LT"/>
              </w:rPr>
              <w:t>.</w:t>
            </w:r>
            <w:r w:rsidR="00777E25">
              <w:rPr>
                <w:rFonts w:hAnsi="Times New Roman" w:cs="Times New Roman"/>
                <w:lang w:val="lt-LT"/>
              </w:rPr>
              <w:t xml:space="preserve"> </w:t>
            </w:r>
          </w:p>
          <w:p w:rsidR="00C308A0" w:rsidRDefault="00777E25" w:rsidP="009C0967">
            <w:pPr>
              <w:pStyle w:val="BodyA"/>
              <w:tabs>
                <w:tab w:val="left" w:pos="0"/>
              </w:tabs>
              <w:spacing w:after="120"/>
              <w:rPr>
                <w:rFonts w:hAnsi="Times New Roman" w:cs="Times New Roman"/>
                <w:lang w:val="lt-LT"/>
              </w:rPr>
            </w:pPr>
            <w:r w:rsidRPr="00777E25">
              <w:rPr>
                <w:rFonts w:hAnsi="Times New Roman" w:cs="Times New Roman"/>
                <w:lang w:val="lt-LT"/>
              </w:rPr>
              <w:t xml:space="preserve">Pirmininkaujanti </w:t>
            </w:r>
            <w:r>
              <w:rPr>
                <w:rFonts w:hAnsi="Times New Roman" w:cs="Times New Roman"/>
                <w:lang w:val="lt-LT"/>
              </w:rPr>
              <w:t xml:space="preserve">šalis parengė dokumentą vidaus reikalų ministrų diskusijai, kurioje apžvelgiamas siūlomo DI reglamentavimo galimas poveikis ir implikacijos vidaus saugumo </w:t>
            </w:r>
            <w:r w:rsidR="009C0967">
              <w:rPr>
                <w:rFonts w:hAnsi="Times New Roman" w:cs="Times New Roman"/>
                <w:lang w:val="lt-LT"/>
              </w:rPr>
              <w:t>srities ir ypač teisėsaugos institucijų atžvilgiu ir su tuo susijusios rizikos bei iššūkiai.</w:t>
            </w:r>
          </w:p>
          <w:p w:rsidR="009C0967" w:rsidRDefault="009C0967" w:rsidP="009C0967">
            <w:pPr>
              <w:pStyle w:val="BodyA"/>
              <w:tabs>
                <w:tab w:val="left" w:pos="0"/>
              </w:tabs>
              <w:spacing w:after="120"/>
              <w:jc w:val="both"/>
              <w:rPr>
                <w:rFonts w:hAnsi="Times New Roman" w:cs="Times New Roman"/>
                <w:lang w:val="lt-LT"/>
              </w:rPr>
            </w:pPr>
            <w:r>
              <w:rPr>
                <w:rFonts w:hAnsi="Times New Roman" w:cs="Times New Roman"/>
                <w:lang w:val="lt-LT"/>
              </w:rPr>
              <w:t>Dokumente daroma išvada, kad siūlomo DI reglamento n</w:t>
            </w:r>
            <w:r w:rsidRPr="009C0967">
              <w:rPr>
                <w:rFonts w:hAnsi="Times New Roman" w:cs="Times New Roman"/>
                <w:lang w:val="lt-LT"/>
              </w:rPr>
              <w:t xml:space="preserve">uostatos dėl draudimų ir dėl tam tikrų </w:t>
            </w:r>
            <w:r>
              <w:rPr>
                <w:rFonts w:hAnsi="Times New Roman" w:cs="Times New Roman"/>
                <w:lang w:val="lt-LT"/>
              </w:rPr>
              <w:t>DI</w:t>
            </w:r>
            <w:r w:rsidRPr="009C0967">
              <w:rPr>
                <w:rFonts w:hAnsi="Times New Roman" w:cs="Times New Roman"/>
                <w:lang w:val="lt-LT"/>
              </w:rPr>
              <w:t xml:space="preserve"> sistemų priskyrimo didelės rizikos sistemoms </w:t>
            </w:r>
            <w:r>
              <w:rPr>
                <w:rFonts w:hAnsi="Times New Roman" w:cs="Times New Roman"/>
                <w:lang w:val="lt-LT"/>
              </w:rPr>
              <w:t>bei</w:t>
            </w:r>
            <w:r w:rsidRPr="009C0967">
              <w:rPr>
                <w:rFonts w:hAnsi="Times New Roman" w:cs="Times New Roman"/>
                <w:lang w:val="lt-LT"/>
              </w:rPr>
              <w:t xml:space="preserve"> su tuo susijusių reikalavimų yra itin svarbios pagrindinių teisių apsaug</w:t>
            </w:r>
            <w:r>
              <w:rPr>
                <w:rFonts w:hAnsi="Times New Roman" w:cs="Times New Roman"/>
                <w:lang w:val="lt-LT"/>
              </w:rPr>
              <w:t>os atžvilgiu</w:t>
            </w:r>
            <w:r w:rsidRPr="009C0967">
              <w:rPr>
                <w:rFonts w:hAnsi="Times New Roman" w:cs="Times New Roman"/>
                <w:lang w:val="lt-LT"/>
              </w:rPr>
              <w:t xml:space="preserve">, tačiau šie apribojimai ir apsaugos priemonės turėtų būti suderinti su teisėsaugos institucijų galimybėmis ateityje naudoti ir plėtoti </w:t>
            </w:r>
            <w:r>
              <w:rPr>
                <w:rFonts w:hAnsi="Times New Roman" w:cs="Times New Roman"/>
                <w:lang w:val="lt-LT"/>
              </w:rPr>
              <w:t>DI</w:t>
            </w:r>
            <w:r w:rsidRPr="009C0967">
              <w:rPr>
                <w:rFonts w:hAnsi="Times New Roman" w:cs="Times New Roman"/>
                <w:lang w:val="lt-LT"/>
              </w:rPr>
              <w:t xml:space="preserve"> sistemas</w:t>
            </w:r>
            <w:r>
              <w:rPr>
                <w:rFonts w:hAnsi="Times New Roman" w:cs="Times New Roman"/>
                <w:lang w:val="lt-LT"/>
              </w:rPr>
              <w:t>.</w:t>
            </w:r>
            <w:r w:rsidRPr="009C0967">
              <w:rPr>
                <w:rFonts w:hAnsi="Times New Roman" w:cs="Times New Roman"/>
                <w:lang w:val="lt-LT"/>
              </w:rPr>
              <w:t xml:space="preserve"> </w:t>
            </w:r>
            <w:r>
              <w:rPr>
                <w:rFonts w:hAnsi="Times New Roman" w:cs="Times New Roman"/>
                <w:lang w:val="lt-LT"/>
              </w:rPr>
              <w:t>Todėl t</w:t>
            </w:r>
            <w:r w:rsidRPr="009C0967">
              <w:rPr>
                <w:rFonts w:hAnsi="Times New Roman" w:cs="Times New Roman"/>
                <w:lang w:val="lt-LT"/>
              </w:rPr>
              <w:t>urėtų būti siekiama suteikti teisėsaugos institucijoms tinkamas modernias priemones piliečių saugumui užtikrinti,</w:t>
            </w:r>
            <w:r>
              <w:rPr>
                <w:rFonts w:hAnsi="Times New Roman" w:cs="Times New Roman"/>
                <w:lang w:val="lt-LT"/>
              </w:rPr>
              <w:t xml:space="preserve"> kartu</w:t>
            </w:r>
            <w:r w:rsidRPr="009C0967">
              <w:rPr>
                <w:rFonts w:hAnsi="Times New Roman" w:cs="Times New Roman"/>
                <w:lang w:val="lt-LT"/>
              </w:rPr>
              <w:t xml:space="preserve"> taikant </w:t>
            </w:r>
            <w:r>
              <w:rPr>
                <w:rFonts w:hAnsi="Times New Roman" w:cs="Times New Roman"/>
                <w:lang w:val="lt-LT"/>
              </w:rPr>
              <w:t>reikiamas</w:t>
            </w:r>
            <w:r w:rsidRPr="009C0967">
              <w:rPr>
                <w:rFonts w:hAnsi="Times New Roman" w:cs="Times New Roman"/>
                <w:lang w:val="lt-LT"/>
              </w:rPr>
              <w:t xml:space="preserve"> apsaugos priemones, kad būtų gerbiamos jų pagrindinės teisės ir laisvės.</w:t>
            </w:r>
          </w:p>
          <w:p w:rsidR="009C0967" w:rsidRDefault="009C0967" w:rsidP="009C0967">
            <w:pPr>
              <w:pStyle w:val="BodyA"/>
              <w:tabs>
                <w:tab w:val="left" w:pos="0"/>
              </w:tabs>
              <w:spacing w:after="120"/>
              <w:jc w:val="both"/>
              <w:rPr>
                <w:rFonts w:hAnsi="Times New Roman" w:cs="Times New Roman"/>
                <w:lang w:val="lt-LT"/>
              </w:rPr>
            </w:pPr>
            <w:r>
              <w:rPr>
                <w:rFonts w:hAnsi="Times New Roman" w:cs="Times New Roman"/>
                <w:lang w:val="lt-LT"/>
              </w:rPr>
              <w:t>S</w:t>
            </w:r>
            <w:r w:rsidRPr="009C0967">
              <w:rPr>
                <w:rFonts w:hAnsi="Times New Roman" w:cs="Times New Roman"/>
                <w:lang w:val="lt-LT"/>
              </w:rPr>
              <w:t>varbu, kad saugumo ir baudžiamosios teisenos</w:t>
            </w:r>
            <w:r>
              <w:rPr>
                <w:rFonts w:hAnsi="Times New Roman" w:cs="Times New Roman"/>
                <w:lang w:val="lt-LT"/>
              </w:rPr>
              <w:t xml:space="preserve"> sektoriuose nebūtų stabdomas</w:t>
            </w:r>
            <w:r w:rsidRPr="009C0967">
              <w:rPr>
                <w:rFonts w:hAnsi="Times New Roman" w:cs="Times New Roman"/>
                <w:lang w:val="lt-LT"/>
              </w:rPr>
              <w:t xml:space="preserve"> gebėjimas diegti naujoves ir naudoti produktus, kurie yra naujausių technologijų plėtros rezultatas. Vienas iš pagrindinių Komisijos pasiūlymo tikslų – skatinti tiek privačiojo, tiek viešojo sektoriaus subjektus plėtoti saugų ir teisėtą </w:t>
            </w:r>
            <w:r>
              <w:rPr>
                <w:rFonts w:hAnsi="Times New Roman" w:cs="Times New Roman"/>
                <w:lang w:val="lt-LT"/>
              </w:rPr>
              <w:t>DI</w:t>
            </w:r>
            <w:r w:rsidRPr="009C0967">
              <w:rPr>
                <w:rFonts w:hAnsi="Times New Roman" w:cs="Times New Roman"/>
                <w:lang w:val="lt-LT"/>
              </w:rPr>
              <w:t>, kuriuo būtų gerbiamos pagrindinės teisės bendrojoje rinkoje</w:t>
            </w:r>
            <w:r>
              <w:rPr>
                <w:rFonts w:hAnsi="Times New Roman" w:cs="Times New Roman"/>
                <w:lang w:val="lt-LT"/>
              </w:rPr>
              <w:t>. S</w:t>
            </w:r>
            <w:r w:rsidRPr="009C0967">
              <w:rPr>
                <w:rFonts w:hAnsi="Times New Roman" w:cs="Times New Roman"/>
                <w:lang w:val="lt-LT"/>
              </w:rPr>
              <w:t>iekia</w:t>
            </w:r>
            <w:r w:rsidR="00BD2D91">
              <w:rPr>
                <w:rFonts w:hAnsi="Times New Roman" w:cs="Times New Roman"/>
                <w:lang w:val="lt-LT"/>
              </w:rPr>
              <w:t>ma</w:t>
            </w:r>
            <w:r w:rsidRPr="009C0967">
              <w:rPr>
                <w:rFonts w:hAnsi="Times New Roman" w:cs="Times New Roman"/>
                <w:lang w:val="lt-LT"/>
              </w:rPr>
              <w:t xml:space="preserve"> parengti tekstą, kuris galėtų atlaikyti teisinius iššūkius Teisingumo Teisme. </w:t>
            </w:r>
            <w:r w:rsidR="00BD2D91">
              <w:rPr>
                <w:rFonts w:hAnsi="Times New Roman" w:cs="Times New Roman"/>
                <w:lang w:val="lt-LT"/>
              </w:rPr>
              <w:t>Būtina surasti</w:t>
            </w:r>
            <w:r w:rsidRPr="009C0967">
              <w:rPr>
                <w:rFonts w:hAnsi="Times New Roman" w:cs="Times New Roman"/>
                <w:lang w:val="lt-LT"/>
              </w:rPr>
              <w:t xml:space="preserve"> tinkamą </w:t>
            </w:r>
            <w:r w:rsidR="00BD2D91">
              <w:rPr>
                <w:rFonts w:hAnsi="Times New Roman" w:cs="Times New Roman"/>
                <w:lang w:val="lt-LT"/>
              </w:rPr>
              <w:t>balansą</w:t>
            </w:r>
            <w:r w:rsidRPr="009C0967">
              <w:rPr>
                <w:rFonts w:hAnsi="Times New Roman" w:cs="Times New Roman"/>
                <w:lang w:val="lt-LT"/>
              </w:rPr>
              <w:t xml:space="preserve"> tarp asmenų pagrindinių teisių ir laisvių</w:t>
            </w:r>
            <w:r w:rsidR="00BD2D91">
              <w:rPr>
                <w:rFonts w:hAnsi="Times New Roman" w:cs="Times New Roman"/>
                <w:lang w:val="lt-LT"/>
              </w:rPr>
              <w:t xml:space="preserve"> užtikrinimo</w:t>
            </w:r>
            <w:r w:rsidRPr="009C0967">
              <w:rPr>
                <w:rFonts w:hAnsi="Times New Roman" w:cs="Times New Roman"/>
                <w:lang w:val="lt-LT"/>
              </w:rPr>
              <w:t xml:space="preserve"> ir teisėsaugos institucijų poreikių vykdyti savo teisėtas pagrindines pareigas užtikrin</w:t>
            </w:r>
            <w:r w:rsidR="00BD2D91">
              <w:rPr>
                <w:rFonts w:hAnsi="Times New Roman" w:cs="Times New Roman"/>
                <w:lang w:val="lt-LT"/>
              </w:rPr>
              <w:t>ant</w:t>
            </w:r>
            <w:r w:rsidRPr="009C0967">
              <w:rPr>
                <w:rFonts w:hAnsi="Times New Roman" w:cs="Times New Roman"/>
                <w:lang w:val="lt-LT"/>
              </w:rPr>
              <w:t xml:space="preserve"> saugumą ir palaik</w:t>
            </w:r>
            <w:r w:rsidR="00BD2D91">
              <w:rPr>
                <w:rFonts w:hAnsi="Times New Roman" w:cs="Times New Roman"/>
                <w:lang w:val="lt-LT"/>
              </w:rPr>
              <w:t>ant</w:t>
            </w:r>
            <w:r w:rsidRPr="009C0967">
              <w:rPr>
                <w:rFonts w:hAnsi="Times New Roman" w:cs="Times New Roman"/>
                <w:lang w:val="lt-LT"/>
              </w:rPr>
              <w:t xml:space="preserve"> viešąją tvarką, taip pat poreikį </w:t>
            </w:r>
            <w:r w:rsidR="00BD2D91">
              <w:rPr>
                <w:rFonts w:hAnsi="Times New Roman" w:cs="Times New Roman"/>
                <w:lang w:val="lt-LT"/>
              </w:rPr>
              <w:t xml:space="preserve">gebėti </w:t>
            </w:r>
            <w:r w:rsidRPr="009C0967">
              <w:rPr>
                <w:rFonts w:hAnsi="Times New Roman" w:cs="Times New Roman"/>
                <w:lang w:val="lt-LT"/>
              </w:rPr>
              <w:t xml:space="preserve">reaguoti į </w:t>
            </w:r>
            <w:r w:rsidR="00BD2D91">
              <w:rPr>
                <w:rFonts w:hAnsi="Times New Roman" w:cs="Times New Roman"/>
                <w:lang w:val="lt-LT"/>
              </w:rPr>
              <w:t>neribotą</w:t>
            </w:r>
            <w:r w:rsidRPr="009C0967">
              <w:rPr>
                <w:rFonts w:hAnsi="Times New Roman" w:cs="Times New Roman"/>
                <w:lang w:val="lt-LT"/>
              </w:rPr>
              <w:t xml:space="preserve"> technologijų plėtros išnaudojimą</w:t>
            </w:r>
            <w:r w:rsidR="00BD2D91">
              <w:rPr>
                <w:rFonts w:hAnsi="Times New Roman" w:cs="Times New Roman"/>
                <w:lang w:val="lt-LT"/>
              </w:rPr>
              <w:t xml:space="preserve"> kriminaliniame pasaulyje</w:t>
            </w:r>
            <w:r w:rsidRPr="009C0967">
              <w:rPr>
                <w:rFonts w:hAnsi="Times New Roman" w:cs="Times New Roman"/>
                <w:lang w:val="lt-LT"/>
              </w:rPr>
              <w:t xml:space="preserve">. Vienas iš svarbiausių pasiūlymo sėkmės veiksnių bus galimybių visiems sektoriams, įskaitant tuos, kurių </w:t>
            </w:r>
            <w:r w:rsidR="00BD2D91">
              <w:rPr>
                <w:rFonts w:hAnsi="Times New Roman" w:cs="Times New Roman"/>
                <w:lang w:val="lt-LT"/>
              </w:rPr>
              <w:t>DI</w:t>
            </w:r>
            <w:r w:rsidRPr="009C0967">
              <w:rPr>
                <w:rFonts w:hAnsi="Times New Roman" w:cs="Times New Roman"/>
                <w:lang w:val="lt-LT"/>
              </w:rPr>
              <w:t xml:space="preserve"> naudojimas gali būti laikomas </w:t>
            </w:r>
            <w:r w:rsidR="00BD2D91">
              <w:rPr>
                <w:rFonts w:hAnsi="Times New Roman" w:cs="Times New Roman"/>
                <w:lang w:val="lt-LT"/>
              </w:rPr>
              <w:t xml:space="preserve">kaip </w:t>
            </w:r>
            <w:r w:rsidRPr="009C0967">
              <w:rPr>
                <w:rFonts w:hAnsi="Times New Roman" w:cs="Times New Roman"/>
                <w:lang w:val="lt-LT"/>
              </w:rPr>
              <w:t xml:space="preserve">didelės rizikos, </w:t>
            </w:r>
            <w:r w:rsidR="00BD2D91">
              <w:rPr>
                <w:rFonts w:hAnsi="Times New Roman" w:cs="Times New Roman"/>
                <w:lang w:val="lt-LT"/>
              </w:rPr>
              <w:t xml:space="preserve">sudarymas </w:t>
            </w:r>
            <w:r w:rsidRPr="009C0967">
              <w:rPr>
                <w:rFonts w:hAnsi="Times New Roman" w:cs="Times New Roman"/>
                <w:lang w:val="lt-LT"/>
              </w:rPr>
              <w:t xml:space="preserve">pasinaudoti naujausiais technologijų pokyčiais. Jei </w:t>
            </w:r>
            <w:r w:rsidR="00BD2D91">
              <w:rPr>
                <w:rFonts w:hAnsi="Times New Roman" w:cs="Times New Roman"/>
                <w:lang w:val="lt-LT"/>
              </w:rPr>
              <w:t xml:space="preserve">tikimės, kad ES </w:t>
            </w:r>
            <w:r w:rsidRPr="009C0967">
              <w:rPr>
                <w:rFonts w:hAnsi="Times New Roman" w:cs="Times New Roman"/>
                <w:lang w:val="lt-LT"/>
              </w:rPr>
              <w:t>DI reglamenta</w:t>
            </w:r>
            <w:r w:rsidR="00BD2D91">
              <w:rPr>
                <w:rFonts w:hAnsi="Times New Roman" w:cs="Times New Roman"/>
                <w:lang w:val="lt-LT"/>
              </w:rPr>
              <w:t>vimas ilgainiui taps</w:t>
            </w:r>
            <w:r w:rsidRPr="009C0967">
              <w:rPr>
                <w:rFonts w:hAnsi="Times New Roman" w:cs="Times New Roman"/>
                <w:lang w:val="lt-LT"/>
              </w:rPr>
              <w:t xml:space="preserve"> pasauliniu nuosekl</w:t>
            </w:r>
            <w:r w:rsidR="00BD2D91">
              <w:rPr>
                <w:rFonts w:hAnsi="Times New Roman" w:cs="Times New Roman"/>
                <w:lang w:val="lt-LT"/>
              </w:rPr>
              <w:t>aus</w:t>
            </w:r>
            <w:r w:rsidRPr="009C0967">
              <w:rPr>
                <w:rFonts w:hAnsi="Times New Roman" w:cs="Times New Roman"/>
                <w:lang w:val="lt-LT"/>
              </w:rPr>
              <w:t xml:space="preserve"> </w:t>
            </w:r>
            <w:proofErr w:type="spellStart"/>
            <w:r w:rsidRPr="009C0967">
              <w:rPr>
                <w:rFonts w:hAnsi="Times New Roman" w:cs="Times New Roman"/>
                <w:lang w:val="lt-LT"/>
              </w:rPr>
              <w:t>tarpsektorini</w:t>
            </w:r>
            <w:r w:rsidR="00BD2D91">
              <w:rPr>
                <w:rFonts w:hAnsi="Times New Roman" w:cs="Times New Roman"/>
                <w:lang w:val="lt-LT"/>
              </w:rPr>
              <w:t>o</w:t>
            </w:r>
            <w:proofErr w:type="spellEnd"/>
            <w:r w:rsidR="00BD2D91">
              <w:rPr>
                <w:rFonts w:hAnsi="Times New Roman" w:cs="Times New Roman"/>
                <w:lang w:val="lt-LT"/>
              </w:rPr>
              <w:t xml:space="preserve"> DI teisės</w:t>
            </w:r>
            <w:r w:rsidRPr="009C0967">
              <w:rPr>
                <w:rFonts w:hAnsi="Times New Roman" w:cs="Times New Roman"/>
                <w:lang w:val="lt-LT"/>
              </w:rPr>
              <w:t xml:space="preserve"> pavyzdžiu, </w:t>
            </w:r>
            <w:r w:rsidR="00BD2D91">
              <w:rPr>
                <w:rFonts w:hAnsi="Times New Roman" w:cs="Times New Roman"/>
                <w:lang w:val="lt-LT"/>
              </w:rPr>
              <w:t>svarbu</w:t>
            </w:r>
            <w:r w:rsidR="00BD2D91" w:rsidRPr="009C0967">
              <w:rPr>
                <w:rFonts w:hAnsi="Times New Roman" w:cs="Times New Roman"/>
                <w:lang w:val="lt-LT"/>
              </w:rPr>
              <w:t xml:space="preserve"> </w:t>
            </w:r>
            <w:r w:rsidRPr="009C0967">
              <w:rPr>
                <w:rFonts w:hAnsi="Times New Roman" w:cs="Times New Roman"/>
                <w:lang w:val="lt-LT"/>
              </w:rPr>
              <w:t>pasiekti šią pusiausvyrą</w:t>
            </w:r>
            <w:r w:rsidR="00BD2D91">
              <w:rPr>
                <w:rFonts w:hAnsi="Times New Roman" w:cs="Times New Roman"/>
                <w:lang w:val="lt-LT"/>
              </w:rPr>
              <w:t xml:space="preserve"> nuo pat pradžių</w:t>
            </w:r>
            <w:r w:rsidRPr="009C0967">
              <w:rPr>
                <w:rFonts w:hAnsi="Times New Roman" w:cs="Times New Roman"/>
                <w:lang w:val="lt-LT"/>
              </w:rPr>
              <w:t>.</w:t>
            </w:r>
          </w:p>
          <w:p w:rsidR="00BD2D91" w:rsidRDefault="00BD2D91" w:rsidP="004222B3">
            <w:pPr>
              <w:pStyle w:val="BodyA"/>
              <w:tabs>
                <w:tab w:val="left" w:pos="0"/>
              </w:tabs>
              <w:spacing w:after="120"/>
              <w:jc w:val="both"/>
              <w:rPr>
                <w:rFonts w:hAnsi="Times New Roman" w:cs="Times New Roman"/>
                <w:lang w:val="lt-LT"/>
              </w:rPr>
            </w:pPr>
            <w:r w:rsidRPr="00BD2D91">
              <w:rPr>
                <w:rFonts w:hAnsi="Times New Roman" w:cs="Times New Roman"/>
                <w:lang w:val="lt-LT"/>
              </w:rPr>
              <w:lastRenderedPageBreak/>
              <w:t xml:space="preserve">Svarbu </w:t>
            </w:r>
            <w:r>
              <w:rPr>
                <w:rFonts w:hAnsi="Times New Roman" w:cs="Times New Roman"/>
                <w:lang w:val="lt-LT"/>
              </w:rPr>
              <w:t>DI</w:t>
            </w:r>
            <w:r w:rsidR="004222B3">
              <w:rPr>
                <w:rFonts w:hAnsi="Times New Roman" w:cs="Times New Roman"/>
                <w:lang w:val="lt-LT"/>
              </w:rPr>
              <w:t xml:space="preserve"> sistemų </w:t>
            </w:r>
            <w:r w:rsidRPr="00BD2D91">
              <w:rPr>
                <w:rFonts w:hAnsi="Times New Roman" w:cs="Times New Roman"/>
                <w:lang w:val="lt-LT"/>
              </w:rPr>
              <w:t>skirsty</w:t>
            </w:r>
            <w:r w:rsidR="004222B3">
              <w:rPr>
                <w:rFonts w:hAnsi="Times New Roman" w:cs="Times New Roman"/>
                <w:lang w:val="lt-LT"/>
              </w:rPr>
              <w:t>mą</w:t>
            </w:r>
            <w:r w:rsidRPr="00BD2D91">
              <w:rPr>
                <w:rFonts w:hAnsi="Times New Roman" w:cs="Times New Roman"/>
                <w:lang w:val="lt-LT"/>
              </w:rPr>
              <w:t xml:space="preserve"> į kateg</w:t>
            </w:r>
            <w:r w:rsidR="004222B3">
              <w:rPr>
                <w:rFonts w:hAnsi="Times New Roman" w:cs="Times New Roman"/>
                <w:lang w:val="lt-LT"/>
              </w:rPr>
              <w:t xml:space="preserve">orijas pagal rizikos laipsnį </w:t>
            </w:r>
            <w:r w:rsidRPr="00BD2D91">
              <w:rPr>
                <w:rFonts w:hAnsi="Times New Roman" w:cs="Times New Roman"/>
                <w:lang w:val="lt-LT"/>
              </w:rPr>
              <w:t>grįst</w:t>
            </w:r>
            <w:r w:rsidR="004222B3">
              <w:rPr>
                <w:rFonts w:hAnsi="Times New Roman" w:cs="Times New Roman"/>
                <w:lang w:val="lt-LT"/>
              </w:rPr>
              <w:t>i</w:t>
            </w:r>
            <w:r w:rsidRPr="00BD2D91">
              <w:rPr>
                <w:rFonts w:hAnsi="Times New Roman" w:cs="Times New Roman"/>
                <w:lang w:val="lt-LT"/>
              </w:rPr>
              <w:t xml:space="preserve"> ne tik jų naudotojais arba atitinkamu sektoriumi, kuriame jos naudojamos, bet ir išsamia bendro poveikio analize, ypač internete, kur panašios užduotys gali būti pavestos ir viešiesiems, ir privatiems subjektams. Kad būtų galima įvertinti būdingą riziką ir jos galimą poveikį, reikia </w:t>
            </w:r>
            <w:r>
              <w:rPr>
                <w:rFonts w:hAnsi="Times New Roman" w:cs="Times New Roman"/>
                <w:lang w:val="lt-LT"/>
              </w:rPr>
              <w:t>taikyti tik aiškiais</w:t>
            </w:r>
            <w:r w:rsidRPr="00BD2D91">
              <w:rPr>
                <w:rFonts w:hAnsi="Times New Roman" w:cs="Times New Roman"/>
                <w:lang w:val="lt-LT"/>
              </w:rPr>
              <w:t xml:space="preserve"> įrodymais ir informacija pagrįstą metod</w:t>
            </w:r>
            <w:r>
              <w:rPr>
                <w:rFonts w:hAnsi="Times New Roman" w:cs="Times New Roman"/>
                <w:lang w:val="lt-LT"/>
              </w:rPr>
              <w:t>iką</w:t>
            </w:r>
            <w:r w:rsidRPr="00BD2D91">
              <w:rPr>
                <w:rFonts w:hAnsi="Times New Roman" w:cs="Times New Roman"/>
                <w:lang w:val="lt-LT"/>
              </w:rPr>
              <w:t>.</w:t>
            </w:r>
          </w:p>
          <w:p w:rsidR="00BD2D91" w:rsidRDefault="00BD2D91" w:rsidP="004222B3">
            <w:pPr>
              <w:pStyle w:val="BodyA"/>
              <w:tabs>
                <w:tab w:val="left" w:pos="0"/>
              </w:tabs>
              <w:spacing w:after="120"/>
              <w:jc w:val="both"/>
              <w:rPr>
                <w:rFonts w:hAnsi="Times New Roman" w:cs="Times New Roman"/>
                <w:lang w:val="lt-LT"/>
              </w:rPr>
            </w:pPr>
            <w:r>
              <w:rPr>
                <w:rFonts w:hAnsi="Times New Roman" w:cs="Times New Roman"/>
                <w:lang w:val="lt-LT"/>
              </w:rPr>
              <w:t xml:space="preserve">Todėl </w:t>
            </w:r>
            <w:r w:rsidR="004222B3">
              <w:rPr>
                <w:rFonts w:hAnsi="Times New Roman" w:cs="Times New Roman"/>
                <w:lang w:val="lt-LT"/>
              </w:rPr>
              <w:t>tokio</w:t>
            </w:r>
            <w:r w:rsidRPr="00BD2D91">
              <w:rPr>
                <w:rFonts w:hAnsi="Times New Roman" w:cs="Times New Roman"/>
                <w:lang w:val="lt-LT"/>
              </w:rPr>
              <w:t xml:space="preserve"> </w:t>
            </w:r>
            <w:r w:rsidR="004222B3">
              <w:rPr>
                <w:rFonts w:hAnsi="Times New Roman" w:cs="Times New Roman"/>
                <w:lang w:val="lt-LT"/>
              </w:rPr>
              <w:t xml:space="preserve">plataus ir </w:t>
            </w:r>
            <w:r w:rsidRPr="00BD2D91">
              <w:rPr>
                <w:rFonts w:hAnsi="Times New Roman" w:cs="Times New Roman"/>
                <w:lang w:val="lt-LT"/>
              </w:rPr>
              <w:t xml:space="preserve">horizontalaus pasiūlymo poveikis, susijęs su </w:t>
            </w:r>
            <w:r w:rsidR="004222B3">
              <w:rPr>
                <w:rFonts w:hAnsi="Times New Roman" w:cs="Times New Roman"/>
                <w:lang w:val="lt-LT"/>
              </w:rPr>
              <w:t xml:space="preserve">labai </w:t>
            </w:r>
            <w:r w:rsidRPr="00BD2D91">
              <w:rPr>
                <w:rFonts w:hAnsi="Times New Roman" w:cs="Times New Roman"/>
                <w:lang w:val="lt-LT"/>
              </w:rPr>
              <w:t xml:space="preserve">skirtingais ir reikšmingais padariniais, įskaitant </w:t>
            </w:r>
            <w:r w:rsidR="004222B3">
              <w:rPr>
                <w:rFonts w:hAnsi="Times New Roman" w:cs="Times New Roman"/>
                <w:lang w:val="lt-LT"/>
              </w:rPr>
              <w:t xml:space="preserve">Reglamento pasiūlymo </w:t>
            </w:r>
            <w:r w:rsidRPr="00BD2D91">
              <w:rPr>
                <w:rFonts w:hAnsi="Times New Roman" w:cs="Times New Roman"/>
                <w:lang w:val="lt-LT"/>
              </w:rPr>
              <w:t>III priede išvardytus didelės rizikos naudojimo atvejus, susijusius su teisėsauga</w:t>
            </w:r>
            <w:r w:rsidR="004222B3">
              <w:rPr>
                <w:rFonts w:hAnsi="Times New Roman" w:cs="Times New Roman"/>
                <w:lang w:val="lt-LT"/>
              </w:rPr>
              <w:t>, t</w:t>
            </w:r>
            <w:r w:rsidR="004222B3" w:rsidRPr="00BD2D91">
              <w:rPr>
                <w:rFonts w:hAnsi="Times New Roman" w:cs="Times New Roman"/>
                <w:lang w:val="lt-LT"/>
              </w:rPr>
              <w:t>urėtų būti įvertintas</w:t>
            </w:r>
            <w:r w:rsidR="004222B3">
              <w:rPr>
                <w:rFonts w:hAnsi="Times New Roman" w:cs="Times New Roman"/>
                <w:lang w:val="lt-LT"/>
              </w:rPr>
              <w:t xml:space="preserve"> itin nuodugniai</w:t>
            </w:r>
            <w:r w:rsidRPr="00BD2D91">
              <w:rPr>
                <w:rFonts w:hAnsi="Times New Roman" w:cs="Times New Roman"/>
                <w:lang w:val="lt-LT"/>
              </w:rPr>
              <w:t xml:space="preserve">. </w:t>
            </w:r>
            <w:r w:rsidR="004222B3">
              <w:rPr>
                <w:rFonts w:hAnsi="Times New Roman" w:cs="Times New Roman"/>
                <w:lang w:val="lt-LT"/>
              </w:rPr>
              <w:t xml:space="preserve">Atskiras </w:t>
            </w:r>
            <w:r w:rsidRPr="00BD2D91">
              <w:rPr>
                <w:rFonts w:hAnsi="Times New Roman" w:cs="Times New Roman"/>
                <w:lang w:val="lt-LT"/>
              </w:rPr>
              <w:t>poveikio sektoriams vertinimas galėtų padėti geriau suprasti praktin</w:t>
            </w:r>
            <w:r w:rsidR="004222B3">
              <w:rPr>
                <w:rFonts w:hAnsi="Times New Roman" w:cs="Times New Roman"/>
                <w:lang w:val="lt-LT"/>
              </w:rPr>
              <w:t>es</w:t>
            </w:r>
            <w:r w:rsidRPr="00BD2D91">
              <w:rPr>
                <w:rFonts w:hAnsi="Times New Roman" w:cs="Times New Roman"/>
                <w:lang w:val="lt-LT"/>
              </w:rPr>
              <w:t xml:space="preserve"> p</w:t>
            </w:r>
            <w:r w:rsidR="004222B3">
              <w:rPr>
                <w:rFonts w:hAnsi="Times New Roman" w:cs="Times New Roman"/>
                <w:lang w:val="lt-LT"/>
              </w:rPr>
              <w:t>asekmes</w:t>
            </w:r>
            <w:r w:rsidRPr="00BD2D91">
              <w:rPr>
                <w:rFonts w:hAnsi="Times New Roman" w:cs="Times New Roman"/>
                <w:lang w:val="lt-LT"/>
              </w:rPr>
              <w:t xml:space="preserve"> TVR </w:t>
            </w:r>
            <w:r w:rsidR="004222B3">
              <w:rPr>
                <w:rFonts w:hAnsi="Times New Roman" w:cs="Times New Roman"/>
                <w:lang w:val="lt-LT"/>
              </w:rPr>
              <w:t xml:space="preserve">sričiai </w:t>
            </w:r>
            <w:r w:rsidRPr="00BD2D91">
              <w:rPr>
                <w:rFonts w:hAnsi="Times New Roman" w:cs="Times New Roman"/>
                <w:lang w:val="lt-LT"/>
              </w:rPr>
              <w:t xml:space="preserve">ir </w:t>
            </w:r>
            <w:r w:rsidR="004222B3">
              <w:rPr>
                <w:rFonts w:hAnsi="Times New Roman" w:cs="Times New Roman"/>
                <w:lang w:val="lt-LT"/>
              </w:rPr>
              <w:t>konkretiems vidaus</w:t>
            </w:r>
            <w:r w:rsidRPr="00BD2D91">
              <w:rPr>
                <w:rFonts w:hAnsi="Times New Roman" w:cs="Times New Roman"/>
                <w:lang w:val="lt-LT"/>
              </w:rPr>
              <w:t xml:space="preserve"> saugumo grandinės procesams, atsižvelgiant į jų ypatumus.</w:t>
            </w:r>
          </w:p>
          <w:p w:rsidR="004720F6" w:rsidRPr="004720F6" w:rsidRDefault="004720F6" w:rsidP="009D494C">
            <w:pPr>
              <w:pStyle w:val="BodyA"/>
              <w:tabs>
                <w:tab w:val="left" w:pos="284"/>
              </w:tabs>
              <w:spacing w:after="120"/>
              <w:ind w:left="284" w:hanging="284"/>
              <w:rPr>
                <w:rFonts w:hAnsi="Times New Roman" w:cs="Times New Roman"/>
                <w:b/>
                <w:lang w:val="lt-LT"/>
              </w:rPr>
            </w:pPr>
            <w:r w:rsidRPr="004720F6">
              <w:rPr>
                <w:rFonts w:hAnsi="Times New Roman" w:cs="Times New Roman"/>
                <w:b/>
                <w:lang w:val="lt-LT"/>
              </w:rPr>
              <w:t>Ministrų diskusijai keliami tokie klausimai:</w:t>
            </w:r>
          </w:p>
          <w:p w:rsidR="004720F6" w:rsidRPr="004720F6" w:rsidRDefault="004720F6" w:rsidP="00C308A0">
            <w:pPr>
              <w:pStyle w:val="BodyA"/>
              <w:numPr>
                <w:ilvl w:val="0"/>
                <w:numId w:val="15"/>
              </w:numPr>
              <w:tabs>
                <w:tab w:val="left" w:pos="1053"/>
              </w:tabs>
              <w:spacing w:after="120"/>
              <w:ind w:left="345" w:hanging="284"/>
              <w:jc w:val="both"/>
              <w:rPr>
                <w:rFonts w:hAnsi="Times New Roman" w:cs="Times New Roman"/>
                <w:i/>
                <w:lang w:val="lt-LT"/>
              </w:rPr>
            </w:pPr>
            <w:r w:rsidRPr="004720F6">
              <w:rPr>
                <w:rFonts w:hAnsi="Times New Roman" w:cs="Times New Roman"/>
                <w:i/>
                <w:lang w:val="lt-LT"/>
              </w:rPr>
              <w:t xml:space="preserve">Koks jūsų preliminarus siūlomo reglamento atitinkamų dalių, susijusių su dirbtinio intelekto priemonių naudojimu teisėsaugos srityje, vertinimas? </w:t>
            </w:r>
          </w:p>
          <w:p w:rsidR="004720F6" w:rsidRPr="00773710" w:rsidRDefault="004720F6" w:rsidP="00773710">
            <w:pPr>
              <w:pStyle w:val="BodyA"/>
              <w:numPr>
                <w:ilvl w:val="0"/>
                <w:numId w:val="15"/>
              </w:numPr>
              <w:tabs>
                <w:tab w:val="left" w:pos="1053"/>
              </w:tabs>
              <w:spacing w:after="120"/>
              <w:ind w:left="345" w:hanging="284"/>
              <w:jc w:val="both"/>
              <w:rPr>
                <w:rFonts w:hAnsi="Times New Roman" w:cs="Times New Roman"/>
                <w:i/>
                <w:lang w:val="lt-LT"/>
              </w:rPr>
            </w:pPr>
            <w:r w:rsidRPr="004720F6">
              <w:rPr>
                <w:rFonts w:hAnsi="Times New Roman" w:cs="Times New Roman"/>
                <w:i/>
                <w:lang w:val="lt-LT"/>
              </w:rPr>
              <w:t>Ar esate patenkint</w:t>
            </w:r>
            <w:r>
              <w:rPr>
                <w:rFonts w:hAnsi="Times New Roman" w:cs="Times New Roman"/>
                <w:i/>
                <w:lang w:val="lt-LT"/>
              </w:rPr>
              <w:t>i</w:t>
            </w:r>
            <w:r w:rsidRPr="004720F6">
              <w:rPr>
                <w:rFonts w:hAnsi="Times New Roman" w:cs="Times New Roman"/>
                <w:i/>
                <w:lang w:val="lt-LT"/>
              </w:rPr>
              <w:t xml:space="preserve"> bendru</w:t>
            </w:r>
            <w:r>
              <w:rPr>
                <w:rFonts w:hAnsi="Times New Roman" w:cs="Times New Roman"/>
                <w:i/>
                <w:lang w:val="lt-LT"/>
              </w:rPr>
              <w:t>oju</w:t>
            </w:r>
            <w:r w:rsidRPr="004720F6">
              <w:rPr>
                <w:rFonts w:hAnsi="Times New Roman" w:cs="Times New Roman"/>
                <w:i/>
                <w:lang w:val="lt-LT"/>
              </w:rPr>
              <w:t xml:space="preserve"> poveikio vertinimu, ar norėtumėte gauti </w:t>
            </w:r>
            <w:r>
              <w:rPr>
                <w:rFonts w:hAnsi="Times New Roman" w:cs="Times New Roman"/>
                <w:i/>
                <w:lang w:val="lt-LT"/>
              </w:rPr>
              <w:t xml:space="preserve">atskirą </w:t>
            </w:r>
            <w:r w:rsidRPr="004720F6">
              <w:rPr>
                <w:rFonts w:hAnsi="Times New Roman" w:cs="Times New Roman"/>
                <w:i/>
                <w:lang w:val="lt-LT"/>
              </w:rPr>
              <w:t>išsamesnį svarbiausių pasekmių TVR sri</w:t>
            </w:r>
            <w:r>
              <w:rPr>
                <w:rFonts w:hAnsi="Times New Roman" w:cs="Times New Roman"/>
                <w:i/>
                <w:lang w:val="lt-LT"/>
              </w:rPr>
              <w:t>čiai</w:t>
            </w:r>
            <w:r w:rsidRPr="004720F6">
              <w:rPr>
                <w:rFonts w:hAnsi="Times New Roman" w:cs="Times New Roman"/>
                <w:i/>
                <w:lang w:val="lt-LT"/>
              </w:rPr>
              <w:t xml:space="preserve"> apskritai ir ypač teisėsaug</w:t>
            </w:r>
            <w:r>
              <w:rPr>
                <w:rFonts w:hAnsi="Times New Roman" w:cs="Times New Roman"/>
                <w:i/>
                <w:lang w:val="lt-LT"/>
              </w:rPr>
              <w:t xml:space="preserve">ai </w:t>
            </w:r>
            <w:r w:rsidRPr="004720F6">
              <w:rPr>
                <w:rFonts w:hAnsi="Times New Roman" w:cs="Times New Roman"/>
                <w:i/>
                <w:lang w:val="lt-LT"/>
              </w:rPr>
              <w:t>vertinimą?</w:t>
            </w:r>
          </w:p>
          <w:p w:rsidR="00A60FAF" w:rsidRPr="00077641" w:rsidRDefault="00A60FAF" w:rsidP="009D494C">
            <w:pPr>
              <w:pStyle w:val="BodyA"/>
              <w:tabs>
                <w:tab w:val="left" w:pos="-222"/>
                <w:tab w:val="left" w:pos="62"/>
              </w:tabs>
              <w:spacing w:after="120"/>
              <w:ind w:left="-221" w:firstLine="221"/>
              <w:jc w:val="both"/>
              <w:rPr>
                <w:rFonts w:hAnsi="Times New Roman" w:cs="Times New Roman"/>
                <w:b/>
                <w:u w:val="single"/>
                <w:lang w:val="lt-LT"/>
              </w:rPr>
            </w:pPr>
            <w:r w:rsidRPr="00077641">
              <w:rPr>
                <w:rFonts w:hAnsi="Times New Roman" w:cs="Times New Roman"/>
                <w:b/>
                <w:u w:val="single"/>
                <w:lang w:val="lt-LT"/>
              </w:rPr>
              <w:t>Lietuvos pozicija:</w:t>
            </w:r>
          </w:p>
          <w:p w:rsidR="000F2A9D" w:rsidRDefault="00B41E9B" w:rsidP="004720F6">
            <w:pPr>
              <w:spacing w:before="120" w:after="120"/>
              <w:jc w:val="both"/>
              <w:rPr>
                <w:rFonts w:eastAsia="Calibri"/>
                <w:lang w:val="lt-LT" w:eastAsia="de-DE"/>
              </w:rPr>
            </w:pPr>
            <w:r w:rsidRPr="00E510A7">
              <w:rPr>
                <w:rFonts w:eastAsia="Times New Roman"/>
                <w:color w:val="000000"/>
                <w:lang w:val="lt-LT" w:eastAsia="lt-LT"/>
              </w:rPr>
              <w:t>Siekį harmonizuoti dirbtinio intelekto (DI) reguliavimą bei užtikrinti šios technologijos etišką ir saugų naudojimą Bendrijoje vertiname teigiamai.</w:t>
            </w:r>
            <w:r>
              <w:rPr>
                <w:rFonts w:eastAsia="Times New Roman"/>
                <w:color w:val="000000"/>
                <w:lang w:eastAsia="lt-LT"/>
              </w:rPr>
              <w:t xml:space="preserve"> </w:t>
            </w:r>
            <w:r w:rsidR="00751173" w:rsidRPr="00751173">
              <w:rPr>
                <w:rFonts w:eastAsia="Calibri"/>
                <w:lang w:val="lt-LT" w:eastAsia="de-DE"/>
              </w:rPr>
              <w:t xml:space="preserve">Manome, jog </w:t>
            </w:r>
            <w:r w:rsidR="00751173" w:rsidRPr="00751173">
              <w:rPr>
                <w:color w:val="000000"/>
                <w:lang w:val="lt-LT"/>
              </w:rPr>
              <w:t xml:space="preserve">aiškaus teisinio reglamentavimo dėl </w:t>
            </w:r>
            <w:r>
              <w:rPr>
                <w:color w:val="000000"/>
                <w:lang w:val="lt-LT"/>
              </w:rPr>
              <w:t>DI</w:t>
            </w:r>
            <w:r w:rsidR="00751173" w:rsidRPr="00751173">
              <w:rPr>
                <w:color w:val="000000"/>
                <w:lang w:val="lt-LT"/>
              </w:rPr>
              <w:t xml:space="preserve"> </w:t>
            </w:r>
            <w:r w:rsidR="000F2A9D">
              <w:rPr>
                <w:color w:val="000000"/>
                <w:lang w:val="lt-LT"/>
              </w:rPr>
              <w:t>sukūrimas turėtų padidinti</w:t>
            </w:r>
            <w:r w:rsidR="00751173" w:rsidRPr="00751173">
              <w:rPr>
                <w:color w:val="000000"/>
                <w:lang w:val="lt-LT"/>
              </w:rPr>
              <w:t xml:space="preserve"> </w:t>
            </w:r>
            <w:r w:rsidR="000F2A9D">
              <w:rPr>
                <w:color w:val="000000"/>
                <w:lang w:val="lt-LT"/>
              </w:rPr>
              <w:t xml:space="preserve">skaidrumą, </w:t>
            </w:r>
            <w:r w:rsidR="00751173" w:rsidRPr="00751173">
              <w:rPr>
                <w:color w:val="000000"/>
                <w:lang w:val="lt-LT"/>
              </w:rPr>
              <w:t>pasitikėjimą</w:t>
            </w:r>
            <w:r w:rsidR="000F2A9D">
              <w:rPr>
                <w:color w:val="000000"/>
                <w:lang w:val="lt-LT"/>
              </w:rPr>
              <w:t xml:space="preserve"> ir</w:t>
            </w:r>
            <w:r w:rsidR="00751173" w:rsidRPr="00751173">
              <w:rPr>
                <w:color w:val="000000"/>
                <w:lang w:val="lt-LT"/>
              </w:rPr>
              <w:t xml:space="preserve"> </w:t>
            </w:r>
            <w:r w:rsidR="000F2A9D">
              <w:rPr>
                <w:color w:val="000000"/>
                <w:lang w:val="lt-LT"/>
              </w:rPr>
              <w:t>galimybes saugių technologijų</w:t>
            </w:r>
            <w:r w:rsidR="00751173" w:rsidRPr="00751173">
              <w:rPr>
                <w:color w:val="000000"/>
                <w:lang w:val="lt-LT"/>
              </w:rPr>
              <w:t xml:space="preserve"> ir inovacijų plėtrai bei taikymui</w:t>
            </w:r>
            <w:r w:rsidR="000F2A9D">
              <w:rPr>
                <w:color w:val="000000"/>
                <w:lang w:val="lt-LT"/>
              </w:rPr>
              <w:t>, taip pat ir teisėsaugos srityje. Todėl</w:t>
            </w:r>
            <w:r w:rsidR="004720F6" w:rsidRPr="00751173">
              <w:rPr>
                <w:rFonts w:eastAsia="Calibri"/>
                <w:lang w:val="lt-LT" w:eastAsia="de-DE"/>
              </w:rPr>
              <w:t xml:space="preserve"> sveikiname </w:t>
            </w:r>
            <w:r w:rsidR="000F2A9D">
              <w:rPr>
                <w:rFonts w:eastAsia="Calibri"/>
                <w:lang w:val="lt-LT" w:eastAsia="de-DE"/>
              </w:rPr>
              <w:t xml:space="preserve">pateiktą reglamento </w:t>
            </w:r>
            <w:r w:rsidR="004720F6" w:rsidRPr="00751173">
              <w:rPr>
                <w:rFonts w:eastAsia="Calibri"/>
                <w:lang w:val="lt-LT" w:eastAsia="de-DE"/>
              </w:rPr>
              <w:t xml:space="preserve">pasiūlymą </w:t>
            </w:r>
            <w:r w:rsidR="000F2A9D">
              <w:rPr>
                <w:rFonts w:eastAsia="Calibri"/>
                <w:lang w:val="lt-LT" w:eastAsia="de-DE"/>
              </w:rPr>
              <w:t xml:space="preserve">ir esame pasirengę aktyviai dirbti, kad rastume aiškius, tvarius ir </w:t>
            </w:r>
            <w:r w:rsidR="00E510A7">
              <w:rPr>
                <w:rFonts w:eastAsia="Calibri"/>
                <w:lang w:val="lt-LT" w:eastAsia="de-DE"/>
              </w:rPr>
              <w:t xml:space="preserve">visiems </w:t>
            </w:r>
            <w:r w:rsidR="000F2A9D">
              <w:rPr>
                <w:rFonts w:eastAsia="Calibri"/>
                <w:lang w:val="lt-LT" w:eastAsia="de-DE"/>
              </w:rPr>
              <w:t>priimtinus sprendimus.</w:t>
            </w:r>
          </w:p>
          <w:p w:rsidR="00B41E9B" w:rsidRDefault="000F2A9D" w:rsidP="004720F6">
            <w:pPr>
              <w:spacing w:before="120" w:after="120"/>
              <w:jc w:val="both"/>
              <w:rPr>
                <w:rFonts w:eastAsia="Calibri"/>
                <w:lang w:val="lt-LT" w:eastAsia="de-DE"/>
              </w:rPr>
            </w:pPr>
            <w:r>
              <w:rPr>
                <w:rFonts w:eastAsia="Calibri"/>
                <w:lang w:val="lt-LT" w:eastAsia="de-DE"/>
              </w:rPr>
              <w:t xml:space="preserve">Kalbant apie siūlomo Reglamento poveikį </w:t>
            </w:r>
            <w:r w:rsidR="00B41E9B">
              <w:rPr>
                <w:rFonts w:eastAsia="Calibri"/>
                <w:lang w:val="lt-LT" w:eastAsia="de-DE"/>
              </w:rPr>
              <w:t>v</w:t>
            </w:r>
            <w:r>
              <w:rPr>
                <w:rFonts w:eastAsia="Calibri"/>
                <w:lang w:val="lt-LT" w:eastAsia="de-DE"/>
              </w:rPr>
              <w:t xml:space="preserve">idaus </w:t>
            </w:r>
            <w:r w:rsidR="00B41E9B">
              <w:rPr>
                <w:rFonts w:eastAsia="Calibri"/>
                <w:lang w:val="lt-LT" w:eastAsia="de-DE"/>
              </w:rPr>
              <w:t>saugumo</w:t>
            </w:r>
            <w:r>
              <w:rPr>
                <w:rFonts w:eastAsia="Calibri"/>
                <w:lang w:val="lt-LT" w:eastAsia="de-DE"/>
              </w:rPr>
              <w:t xml:space="preserve"> sričiai ir teisėsaugos darbui,</w:t>
            </w:r>
            <w:r w:rsidR="004720F6" w:rsidRPr="00751173">
              <w:rPr>
                <w:rFonts w:eastAsia="Calibri"/>
                <w:lang w:val="lt-LT" w:eastAsia="de-DE"/>
              </w:rPr>
              <w:t xml:space="preserve"> norėtume pasidalinti</w:t>
            </w:r>
            <w:r>
              <w:rPr>
                <w:rFonts w:eastAsia="Calibri"/>
                <w:lang w:val="lt-LT" w:eastAsia="de-DE"/>
              </w:rPr>
              <w:t xml:space="preserve"> tokiomis</w:t>
            </w:r>
            <w:r w:rsidR="004720F6" w:rsidRPr="00751173">
              <w:rPr>
                <w:rFonts w:eastAsia="Calibri"/>
                <w:lang w:val="lt-LT" w:eastAsia="de-DE"/>
              </w:rPr>
              <w:t xml:space="preserve"> </w:t>
            </w:r>
            <w:r>
              <w:rPr>
                <w:rFonts w:eastAsia="Calibri"/>
                <w:lang w:val="lt-LT" w:eastAsia="de-DE"/>
              </w:rPr>
              <w:t xml:space="preserve">pirminėmis </w:t>
            </w:r>
            <w:r w:rsidR="00C308A0">
              <w:rPr>
                <w:rFonts w:eastAsia="Calibri"/>
                <w:lang w:val="lt-LT" w:eastAsia="de-DE"/>
              </w:rPr>
              <w:t xml:space="preserve">savo </w:t>
            </w:r>
            <w:r>
              <w:rPr>
                <w:rFonts w:eastAsia="Calibri"/>
                <w:lang w:val="lt-LT" w:eastAsia="de-DE"/>
              </w:rPr>
              <w:t>įžvalgomis</w:t>
            </w:r>
            <w:r w:rsidR="00E510A7">
              <w:rPr>
                <w:rFonts w:eastAsia="Calibri"/>
                <w:lang w:val="lt-LT" w:eastAsia="de-DE"/>
              </w:rPr>
              <w:t>:</w:t>
            </w:r>
          </w:p>
          <w:p w:rsidR="0009739F" w:rsidRPr="0009739F" w:rsidRDefault="00B41E9B" w:rsidP="0009739F">
            <w:pPr>
              <w:pStyle w:val="Sraopastraipa"/>
              <w:numPr>
                <w:ilvl w:val="0"/>
                <w:numId w:val="17"/>
              </w:numPr>
              <w:spacing w:before="120" w:after="120" w:line="240" w:lineRule="auto"/>
              <w:jc w:val="both"/>
              <w:rPr>
                <w:rFonts w:eastAsia="Calibri" w:hAnsi="Times New Roman" w:cs="Times New Roman"/>
                <w:lang w:val="lt-LT" w:eastAsia="de-DE"/>
              </w:rPr>
            </w:pPr>
            <w:r w:rsidRPr="0009739F">
              <w:rPr>
                <w:rFonts w:hAnsi="Times New Roman" w:cs="Times New Roman"/>
                <w:lang w:val="lt-LT"/>
              </w:rPr>
              <w:t xml:space="preserve">Sutinkame </w:t>
            </w:r>
            <w:r w:rsidR="00E510A7" w:rsidRPr="0009739F">
              <w:rPr>
                <w:rFonts w:hAnsi="Times New Roman" w:cs="Times New Roman"/>
                <w:lang w:val="lt-LT"/>
              </w:rPr>
              <w:t xml:space="preserve">su </w:t>
            </w:r>
            <w:r w:rsidRPr="0009739F">
              <w:rPr>
                <w:rFonts w:hAnsi="Times New Roman" w:cs="Times New Roman"/>
                <w:lang w:val="lt-LT"/>
              </w:rPr>
              <w:t>diskusini</w:t>
            </w:r>
            <w:r w:rsidR="00E510A7" w:rsidRPr="0009739F">
              <w:rPr>
                <w:rFonts w:hAnsi="Times New Roman" w:cs="Times New Roman"/>
                <w:lang w:val="lt-LT"/>
              </w:rPr>
              <w:t>o</w:t>
            </w:r>
            <w:r w:rsidRPr="0009739F">
              <w:rPr>
                <w:rFonts w:hAnsi="Times New Roman" w:cs="Times New Roman"/>
                <w:lang w:val="lt-LT"/>
              </w:rPr>
              <w:t xml:space="preserve"> dokument</w:t>
            </w:r>
            <w:r w:rsidR="00E510A7" w:rsidRPr="0009739F">
              <w:rPr>
                <w:rFonts w:hAnsi="Times New Roman" w:cs="Times New Roman"/>
                <w:lang w:val="lt-LT"/>
              </w:rPr>
              <w:t>o</w:t>
            </w:r>
            <w:r w:rsidRPr="0009739F">
              <w:rPr>
                <w:rFonts w:hAnsi="Times New Roman" w:cs="Times New Roman"/>
                <w:lang w:val="lt-LT"/>
              </w:rPr>
              <w:t xml:space="preserve"> išvadoms, kad </w:t>
            </w:r>
            <w:r w:rsidR="00E510A7" w:rsidRPr="0009739F">
              <w:rPr>
                <w:rFonts w:hAnsi="Times New Roman" w:cs="Times New Roman"/>
                <w:lang w:val="lt-LT"/>
              </w:rPr>
              <w:t>reikalingas</w:t>
            </w:r>
            <w:r w:rsidRPr="0009739F">
              <w:rPr>
                <w:rFonts w:hAnsi="Times New Roman" w:cs="Times New Roman"/>
                <w:lang w:val="lt-LT"/>
              </w:rPr>
              <w:t xml:space="preserve"> balansas tarp </w:t>
            </w:r>
            <w:r w:rsidR="00E510A7" w:rsidRPr="0009739F">
              <w:rPr>
                <w:rFonts w:hAnsi="Times New Roman" w:cs="Times New Roman"/>
                <w:lang w:val="lt-LT"/>
              </w:rPr>
              <w:t>DI</w:t>
            </w:r>
            <w:r w:rsidRPr="0009739F">
              <w:rPr>
                <w:rFonts w:hAnsi="Times New Roman" w:cs="Times New Roman"/>
                <w:lang w:val="lt-LT"/>
              </w:rPr>
              <w:t xml:space="preserve"> sistemų taikymo apribojimų, skirtų apsaugoti asmenų teises ir laisves, ir teisėsaugos bei nacionalinį saugumą užtikrinančių institucijų galimybių naudoti ir plėtoti </w:t>
            </w:r>
            <w:r w:rsidR="00E510A7" w:rsidRPr="000F7016">
              <w:rPr>
                <w:rFonts w:hAnsi="Times New Roman" w:cs="Times New Roman"/>
                <w:lang w:val="lt-LT"/>
              </w:rPr>
              <w:t>DI</w:t>
            </w:r>
            <w:r w:rsidRPr="000F7016">
              <w:rPr>
                <w:rFonts w:hAnsi="Times New Roman" w:cs="Times New Roman"/>
                <w:lang w:val="lt-LT"/>
              </w:rPr>
              <w:t xml:space="preserve"> sistemas, siekiant užtikrinti valstybės saugumą ir viešąją tvarką. </w:t>
            </w:r>
            <w:r w:rsidR="0009739F" w:rsidRPr="0009739F">
              <w:rPr>
                <w:rFonts w:hAnsi="Times New Roman" w:cs="Times New Roman"/>
                <w:lang w:val="lt-LT"/>
              </w:rPr>
              <w:t>Pažymėtina, kad šiuo metu reglamente nėra aiškiai įvardinta, ar apribojimai / išimtys dirbtinio intelekto naudojimui yra taikomi nacionalinį saugumą užtikrinančioms institucijoms (žvalgybos tarnyboms), o tai sukuria teisinį neapibrėžtumą.</w:t>
            </w:r>
          </w:p>
          <w:p w:rsidR="00E510A7" w:rsidRPr="00E510A7" w:rsidRDefault="00E510A7" w:rsidP="00E510A7">
            <w:pPr>
              <w:pStyle w:val="Sraopastraipa"/>
              <w:numPr>
                <w:ilvl w:val="0"/>
                <w:numId w:val="17"/>
              </w:numPr>
              <w:spacing w:before="120" w:after="120" w:line="240" w:lineRule="auto"/>
              <w:jc w:val="both"/>
              <w:rPr>
                <w:rFonts w:eastAsia="Calibri" w:hAnsi="Times New Roman" w:cs="Times New Roman"/>
                <w:lang w:val="lt-LT" w:eastAsia="de-DE"/>
              </w:rPr>
            </w:pPr>
            <w:r w:rsidRPr="00E510A7">
              <w:rPr>
                <w:rFonts w:hAnsi="Times New Roman" w:cs="Times New Roman"/>
                <w:lang w:val="lt-LT"/>
              </w:rPr>
              <w:t>Pritari</w:t>
            </w:r>
            <w:r>
              <w:rPr>
                <w:rFonts w:hAnsi="Times New Roman" w:cs="Times New Roman"/>
                <w:lang w:val="lt-LT"/>
              </w:rPr>
              <w:t>ame</w:t>
            </w:r>
            <w:r w:rsidRPr="00E510A7">
              <w:rPr>
                <w:rFonts w:hAnsi="Times New Roman" w:cs="Times New Roman"/>
                <w:lang w:val="lt-LT"/>
              </w:rPr>
              <w:t xml:space="preserve">, kad turėtų būti išsamiai įvertintas pasiūlymo poveikis teisėsaugai ir ieškoma būdų, kaip sudaryti sąlygas efektyviam darbui, žengiant koja kojon su modernių technologijų raida. </w:t>
            </w:r>
            <w:r w:rsidRPr="00E510A7">
              <w:rPr>
                <w:rFonts w:hAnsi="Times New Roman" w:cs="Times New Roman"/>
                <w:lang w:val="lt-LT" w:eastAsia="de-DE"/>
              </w:rPr>
              <w:t xml:space="preserve">Teisėsauga negali atsilikti šioje srityje. </w:t>
            </w:r>
          </w:p>
          <w:p w:rsidR="00E510A7" w:rsidRDefault="004720F6" w:rsidP="00E510A7">
            <w:pPr>
              <w:pStyle w:val="Sraopastraipa"/>
              <w:numPr>
                <w:ilvl w:val="0"/>
                <w:numId w:val="17"/>
              </w:numPr>
              <w:spacing w:before="120" w:after="120" w:line="240" w:lineRule="auto"/>
              <w:jc w:val="both"/>
              <w:rPr>
                <w:rFonts w:eastAsia="Calibri" w:hAnsi="Times New Roman" w:cs="Times New Roman"/>
                <w:lang w:val="lt-LT" w:eastAsia="de-DE"/>
              </w:rPr>
            </w:pPr>
            <w:r w:rsidRPr="00E510A7">
              <w:rPr>
                <w:rFonts w:eastAsia="Calibri" w:hAnsi="Times New Roman" w:cs="Times New Roman"/>
                <w:lang w:val="lt-LT" w:eastAsia="de-DE"/>
              </w:rPr>
              <w:lastRenderedPageBreak/>
              <w:t>Reglamente siūlomas DI sis</w:t>
            </w:r>
            <w:r w:rsidR="00C308A0" w:rsidRPr="00E510A7">
              <w:rPr>
                <w:rFonts w:eastAsia="Calibri" w:hAnsi="Times New Roman" w:cs="Times New Roman"/>
                <w:lang w:val="lt-LT" w:eastAsia="de-DE"/>
              </w:rPr>
              <w:t xml:space="preserve">temų skirstymas pagal sektorius, </w:t>
            </w:r>
            <w:r w:rsidRPr="00E510A7">
              <w:rPr>
                <w:rFonts w:eastAsia="Calibri" w:hAnsi="Times New Roman" w:cs="Times New Roman"/>
                <w:lang w:val="lt-LT" w:eastAsia="de-DE"/>
              </w:rPr>
              <w:t>kuri</w:t>
            </w:r>
            <w:r w:rsidR="00C308A0" w:rsidRPr="00E510A7">
              <w:rPr>
                <w:rFonts w:eastAsia="Calibri" w:hAnsi="Times New Roman" w:cs="Times New Roman"/>
                <w:lang w:val="lt-LT" w:eastAsia="de-DE"/>
              </w:rPr>
              <w:t>uose</w:t>
            </w:r>
            <w:r w:rsidRPr="00E510A7">
              <w:rPr>
                <w:rFonts w:eastAsia="Calibri" w:hAnsi="Times New Roman" w:cs="Times New Roman"/>
                <w:lang w:val="lt-LT" w:eastAsia="de-DE"/>
              </w:rPr>
              <w:t xml:space="preserve"> šios sistemos naudojamos, gali būti nelankstus ir ribojantis</w:t>
            </w:r>
            <w:r w:rsidR="00C308A0" w:rsidRPr="00E510A7">
              <w:rPr>
                <w:rFonts w:eastAsia="Calibri" w:hAnsi="Times New Roman" w:cs="Times New Roman"/>
                <w:lang w:val="lt-LT" w:eastAsia="de-DE"/>
              </w:rPr>
              <w:t>.</w:t>
            </w:r>
            <w:r w:rsidRPr="00E510A7">
              <w:rPr>
                <w:rFonts w:eastAsia="Calibri" w:hAnsi="Times New Roman" w:cs="Times New Roman"/>
                <w:lang w:val="lt-LT" w:eastAsia="de-DE"/>
              </w:rPr>
              <w:t xml:space="preserve"> </w:t>
            </w:r>
            <w:r w:rsidR="00C308A0" w:rsidRPr="00E510A7">
              <w:rPr>
                <w:rFonts w:eastAsia="Calibri" w:hAnsi="Times New Roman" w:cs="Times New Roman"/>
                <w:lang w:val="lt-LT" w:eastAsia="de-DE"/>
              </w:rPr>
              <w:t>K</w:t>
            </w:r>
            <w:r w:rsidRPr="00E510A7">
              <w:rPr>
                <w:rFonts w:eastAsia="Calibri" w:hAnsi="Times New Roman" w:cs="Times New Roman"/>
                <w:lang w:val="lt-LT" w:eastAsia="de-DE"/>
              </w:rPr>
              <w:t xml:space="preserve">yla rizika, kad jis </w:t>
            </w:r>
            <w:r w:rsidR="00C308A0" w:rsidRPr="00E510A7">
              <w:rPr>
                <w:rFonts w:eastAsia="Calibri" w:hAnsi="Times New Roman" w:cs="Times New Roman"/>
                <w:lang w:val="lt-LT" w:eastAsia="de-DE"/>
              </w:rPr>
              <w:t>neatitiks</w:t>
            </w:r>
            <w:r w:rsidRPr="00E510A7">
              <w:rPr>
                <w:rFonts w:eastAsia="Calibri" w:hAnsi="Times New Roman" w:cs="Times New Roman"/>
                <w:lang w:val="lt-LT" w:eastAsia="de-DE"/>
              </w:rPr>
              <w:t xml:space="preserve"> praktinio DI sistemų veikimo ir </w:t>
            </w:r>
            <w:r w:rsidR="00C308A0" w:rsidRPr="00E510A7">
              <w:rPr>
                <w:rFonts w:eastAsia="Calibri" w:hAnsi="Times New Roman" w:cs="Times New Roman"/>
                <w:lang w:val="lt-LT" w:eastAsia="de-DE"/>
              </w:rPr>
              <w:t>realaus jų</w:t>
            </w:r>
            <w:r w:rsidRPr="00E510A7">
              <w:rPr>
                <w:rFonts w:eastAsia="Calibri" w:hAnsi="Times New Roman" w:cs="Times New Roman"/>
                <w:lang w:val="lt-LT" w:eastAsia="de-DE"/>
              </w:rPr>
              <w:t xml:space="preserve"> poveikio. Manome, kad būtų prasming</w:t>
            </w:r>
            <w:r w:rsidR="00C308A0" w:rsidRPr="00E510A7">
              <w:rPr>
                <w:rFonts w:eastAsia="Calibri" w:hAnsi="Times New Roman" w:cs="Times New Roman"/>
                <w:lang w:val="lt-LT" w:eastAsia="de-DE"/>
              </w:rPr>
              <w:t>iau</w:t>
            </w:r>
            <w:r w:rsidRPr="00E510A7">
              <w:rPr>
                <w:rFonts w:eastAsia="Calibri" w:hAnsi="Times New Roman" w:cs="Times New Roman"/>
                <w:lang w:val="lt-LT" w:eastAsia="de-DE"/>
              </w:rPr>
              <w:t xml:space="preserve"> DI sistemų skirstymą </w:t>
            </w:r>
            <w:r w:rsidR="00C308A0" w:rsidRPr="00E510A7">
              <w:rPr>
                <w:rFonts w:eastAsia="Calibri" w:hAnsi="Times New Roman" w:cs="Times New Roman"/>
                <w:lang w:val="lt-LT" w:eastAsia="de-DE"/>
              </w:rPr>
              <w:t xml:space="preserve">grįsti </w:t>
            </w:r>
            <w:r w:rsidRPr="00E510A7">
              <w:rPr>
                <w:rFonts w:eastAsia="Calibri" w:hAnsi="Times New Roman" w:cs="Times New Roman"/>
                <w:lang w:val="lt-LT" w:eastAsia="de-DE"/>
              </w:rPr>
              <w:t xml:space="preserve">horizontalia ir objektyvia rizikos / poveikio </w:t>
            </w:r>
            <w:r w:rsidR="00E510A7" w:rsidRPr="00E510A7">
              <w:rPr>
                <w:rFonts w:eastAsia="Calibri" w:hAnsi="Times New Roman" w:cs="Times New Roman"/>
                <w:lang w:val="lt-LT" w:eastAsia="de-DE"/>
              </w:rPr>
              <w:t>nustatymo</w:t>
            </w:r>
            <w:r w:rsidRPr="00E510A7">
              <w:rPr>
                <w:rFonts w:eastAsia="Calibri" w:hAnsi="Times New Roman" w:cs="Times New Roman"/>
                <w:lang w:val="lt-LT" w:eastAsia="de-DE"/>
              </w:rPr>
              <w:t xml:space="preserve"> metodika, kuri </w:t>
            </w:r>
            <w:r w:rsidR="00C308A0" w:rsidRPr="00E510A7">
              <w:rPr>
                <w:rFonts w:eastAsia="Calibri" w:hAnsi="Times New Roman" w:cs="Times New Roman"/>
                <w:lang w:val="lt-LT" w:eastAsia="de-DE"/>
              </w:rPr>
              <w:t>būtų paremta</w:t>
            </w:r>
            <w:r w:rsidRPr="00E510A7">
              <w:rPr>
                <w:rFonts w:eastAsia="Calibri" w:hAnsi="Times New Roman" w:cs="Times New Roman"/>
                <w:lang w:val="lt-LT" w:eastAsia="de-DE"/>
              </w:rPr>
              <w:t xml:space="preserve"> proporcingumo principu ir žiniomis / </w:t>
            </w:r>
            <w:r w:rsidR="00C308A0" w:rsidRPr="00E510A7">
              <w:rPr>
                <w:rFonts w:eastAsia="Calibri" w:hAnsi="Times New Roman" w:cs="Times New Roman"/>
                <w:lang w:val="lt-LT" w:eastAsia="de-DE"/>
              </w:rPr>
              <w:t>į</w:t>
            </w:r>
            <w:r w:rsidRPr="00E510A7">
              <w:rPr>
                <w:rFonts w:eastAsia="Calibri" w:hAnsi="Times New Roman" w:cs="Times New Roman"/>
                <w:lang w:val="lt-LT" w:eastAsia="de-DE"/>
              </w:rPr>
              <w:t xml:space="preserve">rodymais pagrįstu vertinimu. </w:t>
            </w:r>
          </w:p>
          <w:p w:rsidR="00C308A0" w:rsidRPr="00E510A7" w:rsidRDefault="00B41E9B" w:rsidP="00E510A7">
            <w:pPr>
              <w:pStyle w:val="Sraopastraipa"/>
              <w:numPr>
                <w:ilvl w:val="0"/>
                <w:numId w:val="17"/>
              </w:numPr>
              <w:spacing w:before="120" w:after="120" w:line="240" w:lineRule="auto"/>
              <w:jc w:val="both"/>
              <w:rPr>
                <w:rFonts w:eastAsia="Calibri" w:hAnsi="Times New Roman" w:cs="Times New Roman"/>
                <w:lang w:val="lt-LT" w:eastAsia="de-DE"/>
              </w:rPr>
            </w:pPr>
            <w:r w:rsidRPr="00E510A7">
              <w:rPr>
                <w:rFonts w:eastAsia="Calibri" w:hAnsi="Times New Roman" w:cs="Times New Roman"/>
                <w:lang w:val="lt-LT" w:eastAsia="de-DE"/>
              </w:rPr>
              <w:t>Neramina ir tai</w:t>
            </w:r>
            <w:r w:rsidR="004720F6" w:rsidRPr="00E510A7">
              <w:rPr>
                <w:rFonts w:eastAsia="Calibri" w:hAnsi="Times New Roman" w:cs="Times New Roman"/>
                <w:lang w:val="lt-LT" w:eastAsia="de-DE"/>
              </w:rPr>
              <w:t xml:space="preserve">, kad </w:t>
            </w:r>
            <w:r w:rsidR="00C308A0" w:rsidRPr="00E510A7">
              <w:rPr>
                <w:rFonts w:eastAsia="Calibri" w:hAnsi="Times New Roman" w:cs="Times New Roman"/>
                <w:lang w:val="lt-LT" w:eastAsia="de-DE"/>
              </w:rPr>
              <w:t xml:space="preserve">siūlomas </w:t>
            </w:r>
            <w:r w:rsidR="004720F6" w:rsidRPr="00E510A7">
              <w:rPr>
                <w:rFonts w:eastAsia="Calibri" w:hAnsi="Times New Roman" w:cs="Times New Roman"/>
                <w:lang w:val="lt-LT" w:eastAsia="de-DE"/>
              </w:rPr>
              <w:t xml:space="preserve">reguliavimas numato didelę administracinę naštą dirbtinio intelekto technologijų veikimui. Tai gali kelti riziką, kad dirbtinio intelekto technologijos </w:t>
            </w:r>
            <w:r w:rsidR="00C308A0" w:rsidRPr="00E510A7">
              <w:rPr>
                <w:rFonts w:eastAsia="Calibri" w:hAnsi="Times New Roman" w:cs="Times New Roman"/>
                <w:lang w:val="lt-LT" w:eastAsia="de-DE"/>
              </w:rPr>
              <w:t>taps</w:t>
            </w:r>
            <w:r w:rsidR="004720F6" w:rsidRPr="00E510A7">
              <w:rPr>
                <w:rFonts w:eastAsia="Calibri" w:hAnsi="Times New Roman" w:cs="Times New Roman"/>
                <w:lang w:val="lt-LT" w:eastAsia="de-DE"/>
              </w:rPr>
              <w:t xml:space="preserve"> nepatrauklios kūrėjams, todėl plėtra gali strigti, o tiksl</w:t>
            </w:r>
            <w:r w:rsidR="00C308A0" w:rsidRPr="00E510A7">
              <w:rPr>
                <w:rFonts w:eastAsia="Calibri" w:hAnsi="Times New Roman" w:cs="Times New Roman"/>
                <w:lang w:val="lt-LT" w:eastAsia="de-DE"/>
              </w:rPr>
              <w:t>as</w:t>
            </w:r>
            <w:r w:rsidR="004720F6" w:rsidRPr="00E510A7">
              <w:rPr>
                <w:rFonts w:eastAsia="Calibri" w:hAnsi="Times New Roman" w:cs="Times New Roman"/>
                <w:lang w:val="lt-LT" w:eastAsia="de-DE"/>
              </w:rPr>
              <w:t xml:space="preserve"> </w:t>
            </w:r>
            <w:r w:rsidR="00C308A0" w:rsidRPr="00E510A7">
              <w:rPr>
                <w:rFonts w:eastAsia="Calibri" w:hAnsi="Times New Roman" w:cs="Times New Roman"/>
                <w:lang w:val="lt-LT" w:eastAsia="de-DE"/>
              </w:rPr>
              <w:t>maksimaliai</w:t>
            </w:r>
            <w:r w:rsidR="004720F6" w:rsidRPr="00E510A7">
              <w:rPr>
                <w:rFonts w:eastAsia="Calibri" w:hAnsi="Times New Roman" w:cs="Times New Roman"/>
                <w:lang w:val="lt-LT" w:eastAsia="de-DE"/>
              </w:rPr>
              <w:t xml:space="preserve"> išnaudoti dirbtinio intelekto potencialą gali </w:t>
            </w:r>
            <w:r w:rsidR="00C308A0" w:rsidRPr="00E510A7">
              <w:rPr>
                <w:rFonts w:eastAsia="Calibri" w:hAnsi="Times New Roman" w:cs="Times New Roman"/>
                <w:lang w:val="lt-LT" w:eastAsia="de-DE"/>
              </w:rPr>
              <w:t>likti</w:t>
            </w:r>
            <w:r w:rsidR="004720F6" w:rsidRPr="00E510A7">
              <w:rPr>
                <w:rFonts w:eastAsia="Calibri" w:hAnsi="Times New Roman" w:cs="Times New Roman"/>
                <w:lang w:val="lt-LT" w:eastAsia="de-DE"/>
              </w:rPr>
              <w:t xml:space="preserve"> nepasiekta</w:t>
            </w:r>
            <w:r w:rsidR="00C308A0" w:rsidRPr="00E510A7">
              <w:rPr>
                <w:rFonts w:eastAsia="Calibri" w:hAnsi="Times New Roman" w:cs="Times New Roman"/>
                <w:lang w:val="lt-LT" w:eastAsia="de-DE"/>
              </w:rPr>
              <w:t>s</w:t>
            </w:r>
            <w:r w:rsidR="004720F6" w:rsidRPr="00E510A7">
              <w:rPr>
                <w:rFonts w:eastAsia="Calibri" w:hAnsi="Times New Roman" w:cs="Times New Roman"/>
                <w:lang w:val="lt-LT" w:eastAsia="de-DE"/>
              </w:rPr>
              <w:t xml:space="preserve">. Atitikties režimas neturėtų tapti neišvengiama kliūtimi taikant DI. Todėl mes palaikome žiniomis ir įrodymais pagrįstą požiūrį, siekdami tinkamos pusiausvyros tarp rizikos valdymo ir naudos iš dirbtinio intelekto galimybių.  </w:t>
            </w:r>
          </w:p>
          <w:p w:rsidR="00455593" w:rsidRPr="00455593" w:rsidRDefault="00455593" w:rsidP="00E510A7">
            <w:pPr>
              <w:pStyle w:val="Sraopastraipa"/>
              <w:numPr>
                <w:ilvl w:val="0"/>
                <w:numId w:val="17"/>
              </w:numPr>
              <w:spacing w:before="120" w:after="120" w:line="240" w:lineRule="auto"/>
              <w:jc w:val="both"/>
              <w:rPr>
                <w:rFonts w:eastAsia="Calibri" w:hAnsi="Times New Roman" w:cs="Times New Roman"/>
                <w:lang w:val="lt-LT" w:eastAsia="de-DE"/>
              </w:rPr>
            </w:pPr>
            <w:r w:rsidRPr="00455593">
              <w:rPr>
                <w:rFonts w:hAnsi="Times New Roman" w:cs="Times New Roman"/>
                <w:lang w:val="lt-LT"/>
              </w:rPr>
              <w:t>Taip pat matome DI produktų, kurie gaminami trečiosiose šalyse ir kurių gamybos procese dalyvauja trečiosios šalys, rizikos valdymo mechanizmo poreikį, atsižvelgiant į tai, kad dirbtinio intelekto technologijos gali būti išnaudotos priešiškų valstybinių ar nevalstybinių veikėjų vykdyti veiklai, nukreiptai prieš ES ar atskirų VN interesus.</w:t>
            </w:r>
          </w:p>
        </w:tc>
      </w:tr>
    </w:tbl>
    <w:p w:rsidR="00A60FAF" w:rsidRDefault="00A60FAF" w:rsidP="00616977">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9237CB" w:rsidRPr="009D494C" w:rsidTr="007325BF">
        <w:trPr>
          <w:trHeight w:val="2213"/>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237CB" w:rsidRPr="009D494C" w:rsidRDefault="009237CB" w:rsidP="007325BF">
            <w:pPr>
              <w:tabs>
                <w:tab w:val="left" w:pos="0"/>
              </w:tabs>
              <w:rPr>
                <w:b/>
                <w:lang w:val="lt-LT"/>
              </w:rPr>
            </w:pPr>
            <w:r w:rsidRPr="009D494C">
              <w:rPr>
                <w:b/>
                <w:lang w:val="lt-LT"/>
              </w:rPr>
              <w:t>7. Komunikatas dėl Šengeno strategijos</w:t>
            </w:r>
          </w:p>
          <w:p w:rsidR="009237CB" w:rsidRPr="009D494C" w:rsidRDefault="009237CB" w:rsidP="007325BF">
            <w:pPr>
              <w:tabs>
                <w:tab w:val="left" w:pos="0"/>
              </w:tabs>
              <w:rPr>
                <w:i/>
                <w:iCs/>
                <w:lang w:val="lt-LT"/>
              </w:rPr>
            </w:pPr>
            <w:r w:rsidRPr="009D494C">
              <w:rPr>
                <w:i/>
                <w:iCs/>
                <w:lang w:val="lt-LT"/>
              </w:rPr>
              <w:t>- Komisijos pranešimas ir pasikeitimas nuomonėmis</w:t>
            </w:r>
          </w:p>
          <w:p w:rsidR="009237CB" w:rsidRPr="009D494C" w:rsidRDefault="009237CB" w:rsidP="007325BF">
            <w:pPr>
              <w:rPr>
                <w:b/>
                <w:lang w:val="lt-LT"/>
              </w:rPr>
            </w:pPr>
          </w:p>
          <w:p w:rsidR="009237CB" w:rsidRDefault="009237CB" w:rsidP="00BF234E">
            <w:pPr>
              <w:pStyle w:val="Sraopastraipa"/>
              <w:spacing w:after="120"/>
              <w:ind w:left="0"/>
              <w:rPr>
                <w:rFonts w:hAnsi="Times New Roman" w:cs="Times New Roman"/>
                <w:b/>
                <w:u w:val="single"/>
                <w:lang w:val="lt-LT"/>
              </w:rPr>
            </w:pPr>
            <w:r w:rsidRPr="009D494C">
              <w:rPr>
                <w:rFonts w:hAnsi="Times New Roman" w:cs="Times New Roman"/>
                <w:b/>
                <w:u w:val="single"/>
                <w:lang w:val="lt-LT"/>
              </w:rPr>
              <w:t>Klausimo esmė:</w:t>
            </w:r>
          </w:p>
          <w:p w:rsidR="00AD3F97" w:rsidRPr="00BF234E" w:rsidRDefault="00AD3F97" w:rsidP="00BF234E">
            <w:pPr>
              <w:spacing w:after="120"/>
              <w:jc w:val="both"/>
              <w:rPr>
                <w:lang w:val="lt-LT"/>
              </w:rPr>
            </w:pPr>
            <w:r w:rsidRPr="00BF234E">
              <w:rPr>
                <w:lang w:val="lt-LT"/>
              </w:rPr>
              <w:t>2021 m. birželio 2 d. Europos Komisija pristatys Šengeno strategiją. Kartu su strategija bus pristatytas teisėkūr</w:t>
            </w:r>
            <w:r w:rsidR="00BF234E">
              <w:rPr>
                <w:lang w:val="lt-LT"/>
              </w:rPr>
              <w:t>os</w:t>
            </w:r>
            <w:r w:rsidRPr="00BF234E">
              <w:rPr>
                <w:lang w:val="lt-LT"/>
              </w:rPr>
              <w:t xml:space="preserve"> pasiūlymas dėl Šengeno vertinimų mechanizmo peržiūros, o pasiūlymas dėl Šengeno sienų kodekso pakeitimo bus pateiktas vėliau (planuojama šiemet).</w:t>
            </w:r>
          </w:p>
          <w:p w:rsidR="00AD3F97" w:rsidRPr="00BF234E" w:rsidRDefault="00AD3F97" w:rsidP="00BF234E">
            <w:pPr>
              <w:spacing w:after="120"/>
              <w:jc w:val="both"/>
              <w:rPr>
                <w:lang w:val="lt-LT"/>
              </w:rPr>
            </w:pPr>
            <w:r w:rsidRPr="00BF234E">
              <w:rPr>
                <w:lang w:val="lt-LT"/>
              </w:rPr>
              <w:t>Šengeno strategijoje bus atspindėtos ES valstybių narių pozicijos, išsakytos dviejuose Šengeno forumuose, įvykusiuose 2020 m. lapkričio ir 2021 m. gegužės mėn.</w:t>
            </w:r>
          </w:p>
          <w:p w:rsidR="00AD3F97" w:rsidRPr="00BF234E" w:rsidRDefault="00AD3F97" w:rsidP="00BF234E">
            <w:pPr>
              <w:spacing w:after="120"/>
              <w:jc w:val="both"/>
              <w:rPr>
                <w:lang w:val="lt-LT"/>
              </w:rPr>
            </w:pPr>
            <w:r w:rsidRPr="00BF234E">
              <w:rPr>
                <w:lang w:val="lt-LT"/>
              </w:rPr>
              <w:t>Trys esminės sritys, kurios bus aptariamos Šengeno strategijoje, yra efektyvi sienų apsauga, priemonės, kompensuojančios vidaus sienų kontrolės nebuvimą ir geras valdymas (vertinimo mechanizmas).</w:t>
            </w:r>
          </w:p>
          <w:p w:rsidR="009237CB" w:rsidRPr="009D494C" w:rsidRDefault="009237CB" w:rsidP="00751173">
            <w:pPr>
              <w:pStyle w:val="Sraopastraipa"/>
              <w:spacing w:after="120"/>
              <w:ind w:left="0"/>
              <w:rPr>
                <w:rFonts w:hAnsi="Times New Roman" w:cs="Times New Roman"/>
                <w:b/>
                <w:u w:val="single"/>
                <w:lang w:val="lt-LT"/>
              </w:rPr>
            </w:pPr>
            <w:r w:rsidRPr="009D494C">
              <w:rPr>
                <w:rFonts w:hAnsi="Times New Roman" w:cs="Times New Roman"/>
                <w:b/>
                <w:u w:val="single"/>
                <w:lang w:val="lt-LT"/>
              </w:rPr>
              <w:t>Lietuvos pozicija:</w:t>
            </w:r>
          </w:p>
          <w:p w:rsidR="00BF234E" w:rsidRPr="00BF234E" w:rsidRDefault="00BF234E" w:rsidP="00BF234E">
            <w:pPr>
              <w:pStyle w:val="BodyA"/>
              <w:spacing w:after="120"/>
              <w:jc w:val="both"/>
              <w:rPr>
                <w:rFonts w:hAnsi="Times New Roman" w:cs="Times New Roman"/>
                <w:lang w:val="lt-LT"/>
              </w:rPr>
            </w:pPr>
            <w:r w:rsidRPr="00BF234E">
              <w:rPr>
                <w:rFonts w:hAnsi="Times New Roman" w:cs="Times New Roman"/>
                <w:lang w:val="lt-LT"/>
              </w:rPr>
              <w:lastRenderedPageBreak/>
              <w:t xml:space="preserve">Lietuva visuomet pabrėžia, kad Šengeno erdvė yra vienas didžiausių ir svarbiausių Europos integracijos pasiekimų, todėl privalome dėti visas pastangas, kad užtikrintume efektyvų jos funkcionavimą ir sustiprintume jos atsparumą galimiems būsimiems iššūkiams. </w:t>
            </w:r>
          </w:p>
          <w:p w:rsidR="00BF234E" w:rsidRPr="00BF234E" w:rsidRDefault="00BF234E" w:rsidP="00BF234E">
            <w:pPr>
              <w:pStyle w:val="BodyA"/>
              <w:spacing w:before="120" w:after="120"/>
              <w:jc w:val="both"/>
              <w:rPr>
                <w:rFonts w:hAnsi="Times New Roman" w:cs="Times New Roman"/>
                <w:lang w:val="lt-LT"/>
              </w:rPr>
            </w:pPr>
            <w:r w:rsidRPr="00BF234E">
              <w:rPr>
                <w:rFonts w:hAnsi="Times New Roman" w:cs="Times New Roman"/>
                <w:lang w:val="lt-LT"/>
              </w:rPr>
              <w:t xml:space="preserve">Akivaizdu, kad vienos valstybės narės priimti sprendimai paveikia ir kitas valstybes nares. Todėl pritariame išorės sienų valdymo koordinavimo ES lygiu stiprinimui – tai yra Integruoto sienų valdymo ir saugios Šengeno erdvės pamatas. </w:t>
            </w:r>
          </w:p>
          <w:p w:rsidR="0009739F" w:rsidRDefault="00BF234E" w:rsidP="00BF234E">
            <w:pPr>
              <w:pStyle w:val="BodyA"/>
              <w:spacing w:before="120" w:after="120"/>
              <w:jc w:val="both"/>
              <w:rPr>
                <w:rFonts w:hAnsi="Times New Roman" w:cs="Times New Roman"/>
                <w:lang w:val="lt-LT"/>
              </w:rPr>
            </w:pPr>
            <w:r w:rsidRPr="00BF234E">
              <w:rPr>
                <w:rFonts w:hAnsi="Times New Roman" w:cs="Times New Roman"/>
                <w:lang w:val="lt-LT"/>
              </w:rPr>
              <w:t xml:space="preserve">Esame įsitikinę, kad visas ES išorės sienos ilgis turėtų būti vienodai aukšto apsaugos lygio. Prieš daugiau kaip 3 metus Lietuva pradėjo iniciatyvą nustatyti </w:t>
            </w:r>
            <w:r w:rsidRPr="00BF234E">
              <w:rPr>
                <w:rFonts w:hAnsi="Times New Roman" w:cs="Times New Roman"/>
                <w:b/>
                <w:bCs/>
                <w:lang w:val="lt-LT"/>
              </w:rPr>
              <w:t xml:space="preserve">bendrus būtinuosius ES išorės sienų stebėjimo standartus. </w:t>
            </w:r>
            <w:r w:rsidRPr="00BF234E">
              <w:rPr>
                <w:rFonts w:hAnsi="Times New Roman" w:cs="Times New Roman"/>
                <w:lang w:val="lt-LT"/>
              </w:rPr>
              <w:t>Lietuvoje apie du trečdaliai ES išorės sausumos sienos stebimi moderniomis stebėjimo sistemomis. Siekiame užtikrinti visišką [100 %] aprėptį.</w:t>
            </w:r>
          </w:p>
          <w:p w:rsidR="00BF234E" w:rsidRPr="00BF234E" w:rsidRDefault="0009739F" w:rsidP="00BF234E">
            <w:pPr>
              <w:pStyle w:val="BodyA"/>
              <w:spacing w:before="120" w:after="120"/>
              <w:jc w:val="both"/>
              <w:rPr>
                <w:rFonts w:hAnsi="Times New Roman" w:cs="Times New Roman"/>
                <w:lang w:val="lt-LT"/>
              </w:rPr>
            </w:pPr>
            <w:r>
              <w:rPr>
                <w:rFonts w:hAnsi="Times New Roman" w:cs="Times New Roman"/>
                <w:lang w:val="lt-LT"/>
              </w:rPr>
              <w:t xml:space="preserve">Lietuva kartu su Estija parengė ir išplatino koncepcinį </w:t>
            </w:r>
            <w:proofErr w:type="spellStart"/>
            <w:r>
              <w:rPr>
                <w:rFonts w:hAnsi="Times New Roman" w:cs="Times New Roman"/>
                <w:lang w:val="lt-LT"/>
              </w:rPr>
              <w:t>dokumenta</w:t>
            </w:r>
            <w:proofErr w:type="spellEnd"/>
            <w:r>
              <w:rPr>
                <w:rFonts w:hAnsi="Times New Roman" w:cs="Times New Roman"/>
                <w:lang w:val="lt-LT"/>
              </w:rPr>
              <w:t xml:space="preserve"> (</w:t>
            </w:r>
            <w:proofErr w:type="spellStart"/>
            <w:r>
              <w:rPr>
                <w:rFonts w:hAnsi="Times New Roman" w:cs="Times New Roman"/>
                <w:lang w:val="lt-LT"/>
              </w:rPr>
              <w:t>non-paper</w:t>
            </w:r>
            <w:proofErr w:type="spellEnd"/>
            <w:r>
              <w:rPr>
                <w:rFonts w:hAnsi="Times New Roman" w:cs="Times New Roman"/>
                <w:lang w:val="lt-LT"/>
              </w:rPr>
              <w:t>), kuriame pa</w:t>
            </w:r>
            <w:r w:rsidR="000F7016">
              <w:rPr>
                <w:rFonts w:hAnsi="Times New Roman" w:cs="Times New Roman"/>
                <w:lang w:val="lt-LT"/>
              </w:rPr>
              <w:t>brė</w:t>
            </w:r>
            <w:r>
              <w:rPr>
                <w:rFonts w:hAnsi="Times New Roman" w:cs="Times New Roman"/>
                <w:lang w:val="lt-LT"/>
              </w:rPr>
              <w:t>žia bendrų išorės sienos stebėjimo standa</w:t>
            </w:r>
            <w:r w:rsidR="000F7016">
              <w:rPr>
                <w:rFonts w:hAnsi="Times New Roman" w:cs="Times New Roman"/>
                <w:lang w:val="lt-LT"/>
              </w:rPr>
              <w:t>rtų svarbą</w:t>
            </w:r>
            <w:r>
              <w:rPr>
                <w:rFonts w:hAnsi="Times New Roman" w:cs="Times New Roman"/>
                <w:lang w:val="lt-LT"/>
              </w:rPr>
              <w:t xml:space="preserve"> ir siūlo </w:t>
            </w:r>
            <w:r w:rsidR="000F7016">
              <w:rPr>
                <w:rFonts w:hAnsi="Times New Roman" w:cs="Times New Roman"/>
                <w:lang w:val="lt-LT"/>
              </w:rPr>
              <w:t>juos įtraukti į Šengeno sienų kodekso pakeitimus, kuriuos Europos Komisija ketina pateikti dar šiemet.</w:t>
            </w:r>
          </w:p>
          <w:p w:rsidR="00BF234E" w:rsidRPr="00BF234E" w:rsidRDefault="00BF234E" w:rsidP="00BF234E">
            <w:pPr>
              <w:pStyle w:val="BodyA"/>
              <w:spacing w:before="120" w:after="120"/>
              <w:jc w:val="both"/>
              <w:rPr>
                <w:rFonts w:hAnsi="Times New Roman" w:cs="Times New Roman"/>
                <w:lang w:val="lt-LT"/>
              </w:rPr>
            </w:pPr>
            <w:r w:rsidRPr="00BF234E">
              <w:rPr>
                <w:rFonts w:hAnsi="Times New Roman" w:cs="Times New Roman"/>
                <w:lang w:val="lt-LT"/>
              </w:rPr>
              <w:t xml:space="preserve">Lietuvos patirtis rodo, kad moderni sienų stebėjimo sistema leidžia užtikrinti informuotumą apie padėtį prie išorės sienų, padeda veiksmingai užkirsti kelią neteisėtam sienos kirtimui ir nusikalstamai veiklai pasienyje ir greitai į juos reaguoti. </w:t>
            </w:r>
          </w:p>
          <w:p w:rsidR="00BF234E" w:rsidRPr="00BF234E" w:rsidRDefault="00BF234E" w:rsidP="00BF234E">
            <w:pPr>
              <w:pStyle w:val="BodyA"/>
              <w:spacing w:before="120" w:after="120"/>
              <w:jc w:val="both"/>
              <w:rPr>
                <w:rFonts w:hAnsi="Times New Roman" w:cs="Times New Roman"/>
                <w:lang w:val="lt-LT"/>
              </w:rPr>
            </w:pPr>
            <w:r w:rsidRPr="00BF234E">
              <w:rPr>
                <w:rFonts w:hAnsi="Times New Roman" w:cs="Times New Roman"/>
                <w:lang w:val="lt-LT"/>
              </w:rPr>
              <w:t xml:space="preserve">Esame įsitikinę, kad šiuolaikinės technologijos, įskaitant stebėjimo sistemas, taip pat galėtų būti veiksmingai naudojamos prie vidaus sienų ir kai kuriais atvejais pakeisti vidaus sienų kontrolę. Tam tikrais atvejais laikinieji policijos patikrinimai gali būti veiksminga alternatyva. Tuo tarpu vidaus sienų kontrolės atnaujinimas ir toliau turėtų būti kraštutinė priemonė. </w:t>
            </w:r>
          </w:p>
          <w:p w:rsidR="009237CB" w:rsidRPr="00BF234E" w:rsidRDefault="00BF234E" w:rsidP="00BF234E">
            <w:pPr>
              <w:pStyle w:val="BodyA"/>
              <w:spacing w:before="120" w:after="120"/>
              <w:jc w:val="both"/>
              <w:rPr>
                <w:rFonts w:hAnsi="Times New Roman" w:cs="Times New Roman"/>
                <w:lang w:val="lt-LT"/>
              </w:rPr>
            </w:pPr>
            <w:r w:rsidRPr="00BF234E">
              <w:rPr>
                <w:rFonts w:hAnsi="Times New Roman" w:cs="Times New Roman"/>
                <w:lang w:val="lt-LT"/>
              </w:rPr>
              <w:t>Tam turi būti aiškios, skaidrios, bet kartu pakankamai lanksčios taisyklės, įgalinančios ES valstybes nares priimti savalaikius sprendimus reaguojant į kylančias grėsmes.</w:t>
            </w:r>
          </w:p>
        </w:tc>
      </w:tr>
    </w:tbl>
    <w:p w:rsidR="009237CB" w:rsidRDefault="009237CB" w:rsidP="00616977">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9237CB" w:rsidRPr="009D494C" w:rsidTr="00E510A7">
        <w:trPr>
          <w:trHeight w:val="1929"/>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C763BD" w:rsidRPr="00C763BD" w:rsidRDefault="004F7893" w:rsidP="00C763BD">
            <w:pPr>
              <w:tabs>
                <w:tab w:val="left" w:pos="0"/>
              </w:tabs>
              <w:rPr>
                <w:lang w:val="lt-LT"/>
              </w:rPr>
            </w:pPr>
            <w:r w:rsidRPr="00C763BD">
              <w:rPr>
                <w:b/>
                <w:lang w:val="lt-LT"/>
              </w:rPr>
              <w:t>8</w:t>
            </w:r>
            <w:r w:rsidR="009237CB" w:rsidRPr="00C763BD">
              <w:rPr>
                <w:b/>
                <w:lang w:val="lt-LT"/>
              </w:rPr>
              <w:t xml:space="preserve">. </w:t>
            </w:r>
            <w:r w:rsidR="00C763BD" w:rsidRPr="00C763BD">
              <w:rPr>
                <w:b/>
                <w:lang w:val="lt-LT"/>
              </w:rPr>
              <w:t>Sąveikumo įgyvendinimas. Dabartinė padėtis įgyvendinat atvykimo ir išvykimo sistemą ir Europos kelionių informacijos ir leidimų sistemą</w:t>
            </w:r>
          </w:p>
          <w:p w:rsidR="009237CB" w:rsidRPr="00C763BD" w:rsidRDefault="00C763BD" w:rsidP="00C763BD">
            <w:pPr>
              <w:tabs>
                <w:tab w:val="left" w:pos="0"/>
              </w:tabs>
              <w:rPr>
                <w:i/>
                <w:iCs/>
                <w:lang w:val="lt-LT"/>
              </w:rPr>
            </w:pPr>
            <w:r w:rsidRPr="00C763BD">
              <w:rPr>
                <w:i/>
                <w:iCs/>
                <w:lang w:val="lt-LT"/>
              </w:rPr>
              <w:t>- Komisijos informacija</w:t>
            </w:r>
          </w:p>
          <w:p w:rsidR="009237CB" w:rsidRPr="009D494C" w:rsidRDefault="009237CB" w:rsidP="007325BF">
            <w:pPr>
              <w:rPr>
                <w:b/>
                <w:lang w:val="lt-LT"/>
              </w:rPr>
            </w:pPr>
          </w:p>
          <w:p w:rsidR="009237CB" w:rsidRDefault="009237CB" w:rsidP="00751173">
            <w:pPr>
              <w:pStyle w:val="Sraopastraipa"/>
              <w:spacing w:after="120"/>
              <w:ind w:left="0"/>
              <w:rPr>
                <w:rFonts w:hAnsi="Times New Roman" w:cs="Times New Roman"/>
                <w:b/>
                <w:u w:val="single"/>
                <w:lang w:val="lt-LT"/>
              </w:rPr>
            </w:pPr>
            <w:r w:rsidRPr="009D494C">
              <w:rPr>
                <w:rFonts w:hAnsi="Times New Roman" w:cs="Times New Roman"/>
                <w:b/>
                <w:u w:val="single"/>
                <w:lang w:val="lt-LT"/>
              </w:rPr>
              <w:t>Klausimo esmė:</w:t>
            </w:r>
          </w:p>
          <w:p w:rsidR="00751173" w:rsidRPr="00077641" w:rsidRDefault="00751173" w:rsidP="00751173">
            <w:pPr>
              <w:pStyle w:val="BodyA"/>
              <w:tabs>
                <w:tab w:val="left" w:pos="0"/>
              </w:tabs>
              <w:jc w:val="both"/>
              <w:rPr>
                <w:rFonts w:hAnsi="Times New Roman" w:cs="Times New Roman"/>
                <w:lang w:val="lt-LT"/>
              </w:rPr>
            </w:pPr>
            <w:r w:rsidRPr="00077641">
              <w:rPr>
                <w:rFonts w:hAnsi="Times New Roman" w:cs="Times New Roman"/>
                <w:lang w:val="lt-LT"/>
              </w:rPr>
              <w:t xml:space="preserve">Saugus ir patikimas informacijos valdymas bei keitimasis ja yra būtinas norint užtikrinti aukštą Europos vidaus saugumo lygį ir laisvą asmenų judėjimą Šengeno erdvėje. Atsižvelgiant į tai, buvo pradėtas procesas, kurio tikslas - iš esmės pagerinti ES informacines </w:t>
            </w:r>
            <w:r w:rsidRPr="00077641">
              <w:rPr>
                <w:rFonts w:hAnsi="Times New Roman" w:cs="Times New Roman"/>
                <w:lang w:val="lt-LT"/>
              </w:rPr>
              <w:lastRenderedPageBreak/>
              <w:t>sistemas sienų, migracijos, vizų ir saugumo srityse: atnaujinti esamas ir įdiegti naujas sistemas bei užtikrinti jų sąveikumą, pašalinant svarbius identifikuotus trūkumus.</w:t>
            </w:r>
          </w:p>
          <w:p w:rsidR="00751173" w:rsidRPr="00077641" w:rsidRDefault="00751173" w:rsidP="00751173">
            <w:pPr>
              <w:pStyle w:val="BodyA"/>
              <w:tabs>
                <w:tab w:val="left" w:pos="0"/>
              </w:tabs>
              <w:spacing w:after="120"/>
              <w:jc w:val="both"/>
              <w:rPr>
                <w:rFonts w:hAnsi="Times New Roman" w:cs="Times New Roman"/>
                <w:lang w:val="lt-LT"/>
              </w:rPr>
            </w:pPr>
            <w:r w:rsidRPr="00077641">
              <w:rPr>
                <w:rFonts w:hAnsi="Times New Roman" w:cs="Times New Roman"/>
                <w:lang w:val="lt-LT"/>
              </w:rPr>
              <w:t>To pasėkoje buvo pateikti teisėkūros pasiūlymai, kurių dalis jau yra priimta, o dėl likusių vyksta derybos. Jais siekiama:</w:t>
            </w:r>
          </w:p>
          <w:p w:rsidR="00751173" w:rsidRPr="00077641" w:rsidRDefault="00751173" w:rsidP="00C308A0">
            <w:pPr>
              <w:pStyle w:val="BodyA"/>
              <w:numPr>
                <w:ilvl w:val="0"/>
                <w:numId w:val="16"/>
              </w:numPr>
              <w:tabs>
                <w:tab w:val="left" w:pos="0"/>
              </w:tabs>
              <w:ind w:left="623" w:hanging="357"/>
              <w:jc w:val="both"/>
              <w:rPr>
                <w:rFonts w:hAnsi="Times New Roman" w:cs="Times New Roman"/>
                <w:lang w:val="lt-LT"/>
              </w:rPr>
            </w:pPr>
            <w:r w:rsidRPr="00077641">
              <w:rPr>
                <w:rFonts w:hAnsi="Times New Roman" w:cs="Times New Roman"/>
                <w:lang w:val="lt-LT"/>
              </w:rPr>
              <w:t>Sukurti naujas ES informacines sistemas, t. y. Atvykimo / išvykimo sistemą (AIS), Europos kelionių informacijos ir leidimų sistemą (ETIAS) ir Europos nuosprendžių registrų informacinę sistemą trečiųjų šalių piliečiams (ECRIS-TCN);</w:t>
            </w:r>
          </w:p>
          <w:p w:rsidR="00751173" w:rsidRPr="00077641" w:rsidRDefault="00751173" w:rsidP="00C308A0">
            <w:pPr>
              <w:pStyle w:val="BodyA"/>
              <w:numPr>
                <w:ilvl w:val="0"/>
                <w:numId w:val="16"/>
              </w:numPr>
              <w:tabs>
                <w:tab w:val="left" w:pos="0"/>
              </w:tabs>
              <w:ind w:left="623" w:hanging="357"/>
              <w:jc w:val="both"/>
              <w:rPr>
                <w:rFonts w:hAnsi="Times New Roman" w:cs="Times New Roman"/>
                <w:lang w:val="lt-LT"/>
              </w:rPr>
            </w:pPr>
            <w:r w:rsidRPr="00077641">
              <w:rPr>
                <w:rFonts w:hAnsi="Times New Roman" w:cs="Times New Roman"/>
                <w:lang w:val="lt-LT"/>
              </w:rPr>
              <w:t xml:space="preserve">Atnaujinti ir plėtoti kitas jau egzistuojančias sistemas, </w:t>
            </w:r>
            <w:proofErr w:type="spellStart"/>
            <w:r w:rsidRPr="00077641">
              <w:rPr>
                <w:rFonts w:hAnsi="Times New Roman" w:cs="Times New Roman"/>
                <w:lang w:val="lt-LT"/>
              </w:rPr>
              <w:t>ty</w:t>
            </w:r>
            <w:proofErr w:type="spellEnd"/>
            <w:r w:rsidRPr="00077641">
              <w:rPr>
                <w:rFonts w:hAnsi="Times New Roman" w:cs="Times New Roman"/>
                <w:lang w:val="lt-LT"/>
              </w:rPr>
              <w:t xml:space="preserve"> Šengeno informacinę sistemą (SIS), kurioje įdiegtos arba jau įgyvendinamos kelios naujos funkcijos, Vizų informacinę sistemą (VIS), dėl kurios modernizavimo deramasi su Parlamentu ir „</w:t>
            </w:r>
            <w:proofErr w:type="spellStart"/>
            <w:r w:rsidRPr="00077641">
              <w:rPr>
                <w:rFonts w:hAnsi="Times New Roman" w:cs="Times New Roman"/>
                <w:lang w:val="lt-LT"/>
              </w:rPr>
              <w:t>Eurodac</w:t>
            </w:r>
            <w:proofErr w:type="spellEnd"/>
            <w:r w:rsidRPr="00077641">
              <w:rPr>
                <w:rFonts w:hAnsi="Times New Roman" w:cs="Times New Roman"/>
                <w:lang w:val="lt-LT"/>
              </w:rPr>
              <w:t>“, dėl kurio Komisija neseniai pateikė iš dalies pakeistą teisėkūros pasiūlymą;</w:t>
            </w:r>
          </w:p>
          <w:p w:rsidR="00751173" w:rsidRPr="00077641" w:rsidRDefault="00751173" w:rsidP="00C308A0">
            <w:pPr>
              <w:pStyle w:val="BodyA"/>
              <w:numPr>
                <w:ilvl w:val="0"/>
                <w:numId w:val="16"/>
              </w:numPr>
              <w:tabs>
                <w:tab w:val="left" w:pos="0"/>
              </w:tabs>
              <w:spacing w:after="120"/>
              <w:ind w:left="623" w:hanging="357"/>
              <w:jc w:val="both"/>
              <w:rPr>
                <w:rFonts w:hAnsi="Times New Roman" w:cs="Times New Roman"/>
                <w:lang w:val="lt-LT"/>
              </w:rPr>
            </w:pPr>
            <w:r w:rsidRPr="00077641">
              <w:rPr>
                <w:rFonts w:hAnsi="Times New Roman" w:cs="Times New Roman"/>
                <w:lang w:val="lt-LT"/>
              </w:rPr>
              <w:t>Sukurti šių paminėtų ES informacinių sistemų sąveikumą, kuris, pvz. turėtų suteikti galimybę toms sistemoms papildyti viena kitą, kad būtų lengviau tinkamai identifikuoti asmenis ir nustatyti tapatybės klastojimo ir sukčiavimo atvejus.</w:t>
            </w:r>
          </w:p>
          <w:p w:rsidR="00751173" w:rsidRDefault="00751173" w:rsidP="00751173">
            <w:pPr>
              <w:pStyle w:val="BodyA"/>
              <w:tabs>
                <w:tab w:val="left" w:pos="0"/>
              </w:tabs>
              <w:spacing w:after="120"/>
              <w:jc w:val="both"/>
              <w:rPr>
                <w:rFonts w:hAnsi="Times New Roman" w:cs="Times New Roman"/>
                <w:lang w:val="lt-LT"/>
              </w:rPr>
            </w:pPr>
            <w:r w:rsidRPr="00077641">
              <w:rPr>
                <w:rFonts w:hAnsi="Times New Roman" w:cs="Times New Roman"/>
                <w:lang w:val="lt-LT"/>
              </w:rPr>
              <w:t xml:space="preserve">Savalaikis atnaujintos TVR IT sistemų architektūros įgyvendinimas yra vienas iš svarbiausių prioritetų. Dėl savo kompleksiškumo ir kuriamų jungčių </w:t>
            </w:r>
            <w:proofErr w:type="spellStart"/>
            <w:r w:rsidRPr="00077641">
              <w:rPr>
                <w:rFonts w:hAnsi="Times New Roman" w:cs="Times New Roman"/>
                <w:lang w:val="lt-LT"/>
              </w:rPr>
              <w:t>daugialypiškumo</w:t>
            </w:r>
            <w:proofErr w:type="spellEnd"/>
            <w:r w:rsidRPr="00077641">
              <w:rPr>
                <w:rFonts w:hAnsi="Times New Roman" w:cs="Times New Roman"/>
                <w:lang w:val="lt-LT"/>
              </w:rPr>
              <w:t>, tai yra sudėtingas uždavinys tiek valstybėms narėms, tiek susijusioms ES agentūroms. COVID-19 pandemija taip pat sukėlė sutrikimų ir kliūčių įgyvendinant projektus, visų pirma AIS. Atsižvelgiant į tai, kad kiekvienos sistemos paleidimas laiku priklausys nuo to, ar kiekviena valstybė narė tam numatytu metu bus pilnai pasirengusi, akivaizdu, kad tiek valstybėms narėms, tiek ES agentūroms planuojant savo darbus reikia patikimumo ir skaidrumo.</w:t>
            </w:r>
          </w:p>
          <w:p w:rsidR="00FE6E9B" w:rsidRPr="000F7016" w:rsidRDefault="00751173" w:rsidP="00751173">
            <w:pPr>
              <w:pStyle w:val="BodyA"/>
              <w:tabs>
                <w:tab w:val="left" w:pos="0"/>
              </w:tabs>
              <w:jc w:val="both"/>
              <w:rPr>
                <w:rFonts w:hAnsi="Times New Roman" w:cs="Times New Roman"/>
                <w:lang w:val="lt-LT"/>
              </w:rPr>
            </w:pPr>
            <w:r w:rsidRPr="000F7016">
              <w:rPr>
                <w:rFonts w:hAnsi="Times New Roman" w:cs="Times New Roman"/>
                <w:lang w:val="lt-LT"/>
              </w:rPr>
              <w:t xml:space="preserve">Šiame TVR Tarybos posėdyje Europos Komisija informuos vidaus reikalų ministrus apie dabartinę situaciją AIS ir ETIAS sistemų įgyvendinimo procese. </w:t>
            </w:r>
          </w:p>
          <w:p w:rsidR="00751173" w:rsidRPr="00751173" w:rsidRDefault="00751173" w:rsidP="00751173">
            <w:pPr>
              <w:pStyle w:val="BodyA"/>
              <w:tabs>
                <w:tab w:val="left" w:pos="-222"/>
              </w:tabs>
              <w:ind w:left="-221"/>
              <w:jc w:val="both"/>
              <w:rPr>
                <w:rFonts w:hAnsi="Times New Roman" w:cs="Times New Roman"/>
                <w:lang w:val="lt-LT"/>
              </w:rPr>
            </w:pPr>
          </w:p>
          <w:p w:rsidR="009237CB" w:rsidRPr="009D494C" w:rsidRDefault="009237CB" w:rsidP="007325BF">
            <w:pPr>
              <w:pStyle w:val="Sraopastraipa"/>
              <w:spacing w:after="0"/>
              <w:ind w:left="0"/>
              <w:rPr>
                <w:rFonts w:hAnsi="Times New Roman" w:cs="Times New Roman"/>
                <w:b/>
                <w:u w:val="single"/>
                <w:lang w:val="lt-LT"/>
              </w:rPr>
            </w:pPr>
            <w:r w:rsidRPr="009D494C">
              <w:rPr>
                <w:rFonts w:hAnsi="Times New Roman" w:cs="Times New Roman"/>
                <w:b/>
                <w:u w:val="single"/>
                <w:lang w:val="lt-LT"/>
              </w:rPr>
              <w:t>Lietuvos pozicija:</w:t>
            </w:r>
          </w:p>
          <w:p w:rsidR="009237CB" w:rsidRDefault="009237CB" w:rsidP="007325BF">
            <w:pPr>
              <w:pStyle w:val="Sraopastraipa"/>
              <w:spacing w:after="0"/>
              <w:rPr>
                <w:b/>
                <w:lang w:val="lt-LT"/>
              </w:rPr>
            </w:pPr>
          </w:p>
          <w:p w:rsidR="00FE6E9B" w:rsidRDefault="00FE6E9B" w:rsidP="00FE6E9B">
            <w:pPr>
              <w:pStyle w:val="prastasiniatinklio"/>
              <w:spacing w:before="0" w:beforeAutospacing="0" w:after="120" w:afterAutospacing="0"/>
              <w:jc w:val="both"/>
            </w:pPr>
            <w:r>
              <w:t>Tai informacinio pobūdžio klausimas, tad siūloma išklausyti Komisijos pranešimą. Pasisakyti neplanuojama.</w:t>
            </w:r>
          </w:p>
          <w:p w:rsidR="00087B37" w:rsidRDefault="00FE6E9B" w:rsidP="00FE6E9B">
            <w:pPr>
              <w:pStyle w:val="prastasiniatinklio"/>
              <w:spacing w:before="0" w:beforeAutospacing="0" w:after="120" w:afterAutospacing="0"/>
              <w:jc w:val="both"/>
            </w:pPr>
            <w:r w:rsidRPr="00FE6E9B">
              <w:t xml:space="preserve">Naujos IT architektūros įgyvendinimas </w:t>
            </w:r>
            <w:r>
              <w:t xml:space="preserve">mums </w:t>
            </w:r>
            <w:r w:rsidRPr="00FE6E9B">
              <w:t xml:space="preserve">yra svarbus tikslas ir politinis prioritetas. </w:t>
            </w:r>
            <w:r>
              <w:t>Todėl d</w:t>
            </w:r>
            <w:r w:rsidRPr="00FE6E9B">
              <w:t>edame visas pastangas, kad naujoji IT architektūra būtų įgyvendinta laiku. Tai yra sudėtingas procesas, kurio sėkmė priklauso nuo daugelio veiksnių (pavyzdžiui, ilgesnių nei planuota viešųjų pirkimų procedūrų, taip pat nuo pandemijos poveikio ir kt.).</w:t>
            </w:r>
          </w:p>
          <w:p w:rsidR="006B7AC7" w:rsidRPr="006B7AC7" w:rsidRDefault="006B7AC7" w:rsidP="00FE6E9B">
            <w:pPr>
              <w:pStyle w:val="prastasiniatinklio"/>
              <w:spacing w:before="0" w:beforeAutospacing="0" w:after="120" w:afterAutospacing="0"/>
              <w:jc w:val="both"/>
            </w:pPr>
            <w:r w:rsidRPr="006B7AC7">
              <w:t xml:space="preserve">Esame pasiryžę imtis visų būtinų priemonių, kad užtikrintume tinkamą susijusių ES reglamentų įgyvendinimą. Atvykimo-išvykimo sistemai (AIS), kaip pirmajai pradėsiančiai </w:t>
            </w:r>
            <w:r w:rsidRPr="006B7AC7">
              <w:lastRenderedPageBreak/>
              <w:t>veikti IT sistemai, skiriame ypatingą dėmesį ir pastangas. AIS įgyvendinimas šiuo metu vyksta pagal nacionalinį planą, tačiau negalime atmesti rizikų susijusių su viešaisiais pirkimais, o taip pat ir kitų neigiamų veiksnių.</w:t>
            </w:r>
          </w:p>
          <w:p w:rsidR="00087B37" w:rsidRPr="006B7AC7" w:rsidRDefault="00087B37" w:rsidP="006B7AC7">
            <w:pPr>
              <w:pStyle w:val="BodyA"/>
              <w:spacing w:before="120" w:after="120"/>
              <w:jc w:val="both"/>
              <w:rPr>
                <w:rFonts w:hAnsi="Times New Roman" w:cs="Times New Roman"/>
                <w:lang w:val="lt-LT"/>
              </w:rPr>
            </w:pPr>
            <w:r w:rsidRPr="00FE6E9B">
              <w:rPr>
                <w:rFonts w:hAnsi="Times New Roman" w:cs="Times New Roman"/>
                <w:lang w:val="lt-LT"/>
              </w:rPr>
              <w:t xml:space="preserve"> </w:t>
            </w:r>
          </w:p>
        </w:tc>
      </w:tr>
    </w:tbl>
    <w:p w:rsidR="009237CB" w:rsidRPr="00077641" w:rsidRDefault="009237CB" w:rsidP="00E510A7">
      <w:pPr>
        <w:pStyle w:val="BodyA"/>
        <w:rPr>
          <w:rFonts w:hAnsi="Times New Roman" w:cs="Times New Roman"/>
          <w:lang w:val="lt-LT"/>
        </w:rPr>
      </w:pPr>
    </w:p>
    <w:sectPr w:rsidR="009237CB" w:rsidRPr="00077641">
      <w:headerReference w:type="default" r:id="rId8"/>
      <w:footerReference w:type="default" r:id="rId9"/>
      <w:headerReference w:type="first" r:id="rId10"/>
      <w:footerReference w:type="first" r:id="rId11"/>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E2" w:rsidRDefault="00994BE2">
      <w:r>
        <w:separator/>
      </w:r>
    </w:p>
  </w:endnote>
  <w:endnote w:type="continuationSeparator" w:id="0">
    <w:p w:rsidR="00994BE2" w:rsidRDefault="0099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7F" w:rsidRPr="00F526F9"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rsidR="00B70894" w:rsidRDefault="00B708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E2" w:rsidRDefault="00994BE2">
      <w:r>
        <w:separator/>
      </w:r>
    </w:p>
  </w:footnote>
  <w:footnote w:type="continuationSeparator" w:id="0">
    <w:p w:rsidR="00994BE2" w:rsidRDefault="00994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6F9" w:rsidRPr="00D920D6" w:rsidRDefault="00EE1216" w:rsidP="00F526F9">
    <w:pPr>
      <w:pStyle w:val="BodyA"/>
      <w:tabs>
        <w:tab w:val="center" w:pos="4153"/>
        <w:tab w:val="right" w:pos="8306"/>
      </w:tabs>
      <w:jc w:val="right"/>
      <w:rPr>
        <w:rFonts w:hAnsi="Times New Roman" w:cs="Times New Roman"/>
        <w:i/>
        <w:iCs/>
        <w:lang w:val="lt-LT"/>
      </w:rPr>
    </w:pPr>
    <w:r w:rsidRPr="00D920D6">
      <w:rPr>
        <w:lang w:val="lt-LT"/>
      </w:rPr>
      <w:t xml:space="preserve">                                         </w:t>
    </w:r>
    <w:r w:rsidR="00F526F9" w:rsidRPr="00D920D6">
      <w:rPr>
        <w:rFonts w:hAnsi="Times New Roman" w:cs="Times New Roman"/>
        <w:i/>
        <w:iCs/>
        <w:lang w:val="lt-LT"/>
      </w:rPr>
      <w:t>Parengė: Lietuvos Respublikos vidaus reikalų ministerija</w:t>
    </w:r>
  </w:p>
  <w:p w:rsidR="00F526F9" w:rsidRPr="00D920D6" w:rsidRDefault="00F526F9" w:rsidP="00F526F9">
    <w:pPr>
      <w:pStyle w:val="BodyA"/>
      <w:tabs>
        <w:tab w:val="center" w:pos="4153"/>
        <w:tab w:val="right" w:pos="8306"/>
      </w:tabs>
      <w:jc w:val="right"/>
      <w:rPr>
        <w:rFonts w:hAnsi="Times New Roman" w:cs="Times New Roman"/>
        <w:i/>
        <w:iCs/>
        <w:lang w:val="lt-LT"/>
      </w:rPr>
    </w:pPr>
    <w:r w:rsidRPr="00D920D6">
      <w:rPr>
        <w:rFonts w:hAnsi="Times New Roman" w:cs="Times New Roman"/>
        <w:i/>
        <w:iCs/>
        <w:lang w:val="lt-LT"/>
      </w:rPr>
      <w:t>(Tarptautinio bendradarbiavimo grupė)</w:t>
    </w:r>
  </w:p>
  <w:p w:rsidR="00F526F9" w:rsidRPr="00D920D6" w:rsidRDefault="00F526F9" w:rsidP="00F526F9">
    <w:pPr>
      <w:pStyle w:val="BodyA"/>
      <w:tabs>
        <w:tab w:val="center" w:pos="4153"/>
        <w:tab w:val="right" w:pos="8306"/>
      </w:tabs>
      <w:jc w:val="right"/>
      <w:rPr>
        <w:rFonts w:hAnsi="Times New Roman" w:cs="Times New Roman"/>
        <w:lang w:val="lt-LT"/>
      </w:rPr>
    </w:pPr>
    <w:r w:rsidRPr="00D920D6">
      <w:rPr>
        <w:rFonts w:hAnsi="Times New Roman" w:cs="Times New Roman"/>
        <w:i/>
        <w:iCs/>
        <w:lang w:val="lt-LT"/>
      </w:rPr>
      <w:t>202</w:t>
    </w:r>
    <w:r w:rsidR="00D920D6" w:rsidRPr="00D920D6">
      <w:rPr>
        <w:rFonts w:hAnsi="Times New Roman" w:cs="Times New Roman"/>
        <w:i/>
        <w:iCs/>
        <w:lang w:val="lt-LT"/>
      </w:rPr>
      <w:t>1</w:t>
    </w:r>
    <w:r w:rsidRPr="00D920D6">
      <w:rPr>
        <w:rFonts w:hAnsi="Times New Roman" w:cs="Times New Roman"/>
        <w:i/>
        <w:iCs/>
        <w:lang w:val="lt-LT"/>
      </w:rPr>
      <w:t xml:space="preserve"> m. </w:t>
    </w:r>
    <w:r w:rsidR="009D494C">
      <w:rPr>
        <w:rFonts w:hAnsi="Times New Roman" w:cs="Times New Roman"/>
        <w:i/>
        <w:iCs/>
        <w:lang w:val="lt-LT"/>
      </w:rPr>
      <w:t>gegužės</w:t>
    </w:r>
    <w:r w:rsidR="00D920D6" w:rsidRPr="00D920D6">
      <w:rPr>
        <w:rFonts w:hAnsi="Times New Roman" w:cs="Times New Roman"/>
        <w:i/>
        <w:iCs/>
        <w:lang w:val="lt-LT"/>
      </w:rPr>
      <w:t xml:space="preserve"> </w:t>
    </w:r>
    <w:r w:rsidR="009D494C">
      <w:rPr>
        <w:rFonts w:hAnsi="Times New Roman" w:cs="Times New Roman"/>
        <w:i/>
        <w:iCs/>
        <w:lang w:val="lt-LT"/>
      </w:rPr>
      <w:t>31</w:t>
    </w:r>
    <w:r w:rsidRPr="00D920D6">
      <w:rPr>
        <w:rFonts w:hAnsi="Times New Roman" w:cs="Times New Roman"/>
        <w:i/>
        <w:iCs/>
        <w:lang w:val="lt-LT"/>
      </w:rPr>
      <w:t xml:space="preserve"> d.</w:t>
    </w:r>
  </w:p>
  <w:p w:rsidR="004B217F" w:rsidRPr="00742CF5" w:rsidRDefault="004B217F" w:rsidP="00F526F9">
    <w:pPr>
      <w:pStyle w:val="BodyA"/>
      <w:tabs>
        <w:tab w:val="center" w:pos="4153"/>
        <w:tab w:val="right" w:pos="8306"/>
      </w:tabs>
      <w:jc w:val="right"/>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0C" w:rsidRPr="008C30EF" w:rsidRDefault="00EF0DF3" w:rsidP="00B03FB8">
    <w:pPr>
      <w:pStyle w:val="BodyA"/>
      <w:tabs>
        <w:tab w:val="center" w:pos="4153"/>
        <w:tab w:val="right" w:pos="8306"/>
      </w:tabs>
      <w:jc w:val="right"/>
      <w:rPr>
        <w:rFonts w:hAnsi="Times New Roman" w:cs="Times New Roman"/>
        <w:i/>
        <w:iCs/>
        <w:lang w:val="lt-LT"/>
      </w:rPr>
    </w:pPr>
    <w:r w:rsidRPr="008C30EF">
      <w:rPr>
        <w:rFonts w:hAnsi="Times New Roman" w:cs="Times New Roman"/>
        <w:i/>
        <w:iCs/>
        <w:lang w:val="lt-LT"/>
      </w:rPr>
      <w:t>Parengė:</w:t>
    </w:r>
    <w:r w:rsidR="002C7E0C" w:rsidRPr="008C30EF">
      <w:rPr>
        <w:rFonts w:hAnsi="Times New Roman" w:cs="Times New Roman"/>
        <w:i/>
        <w:iCs/>
        <w:lang w:val="lt-LT"/>
      </w:rPr>
      <w:t xml:space="preserve"> Lietuvos Respublikos vidaus reikalų ministerija</w:t>
    </w:r>
  </w:p>
  <w:p w:rsidR="00EF0DF3" w:rsidRPr="008C30EF" w:rsidRDefault="002C7E0C" w:rsidP="00B03FB8">
    <w:pPr>
      <w:pStyle w:val="BodyA"/>
      <w:tabs>
        <w:tab w:val="center" w:pos="4153"/>
        <w:tab w:val="right" w:pos="8306"/>
      </w:tabs>
      <w:jc w:val="right"/>
      <w:rPr>
        <w:rFonts w:hAnsi="Times New Roman" w:cs="Times New Roman"/>
        <w:i/>
        <w:iCs/>
        <w:lang w:val="lt-LT"/>
      </w:rPr>
    </w:pPr>
    <w:r w:rsidRPr="008C30EF">
      <w:rPr>
        <w:rFonts w:hAnsi="Times New Roman" w:cs="Times New Roman"/>
        <w:i/>
        <w:iCs/>
        <w:lang w:val="lt-LT"/>
      </w:rPr>
      <w:t>(Tarptautinio bendradarbiavimo grupė)</w:t>
    </w:r>
  </w:p>
  <w:p w:rsidR="00EF0DF3" w:rsidRPr="008C30EF" w:rsidRDefault="00416028" w:rsidP="00B03FB8">
    <w:pPr>
      <w:pStyle w:val="BodyA"/>
      <w:tabs>
        <w:tab w:val="center" w:pos="4153"/>
        <w:tab w:val="right" w:pos="8306"/>
      </w:tabs>
      <w:jc w:val="right"/>
      <w:rPr>
        <w:rFonts w:hAnsi="Times New Roman" w:cs="Times New Roman"/>
        <w:lang w:val="lt-LT"/>
      </w:rPr>
    </w:pPr>
    <w:r w:rsidRPr="008C30EF">
      <w:rPr>
        <w:rFonts w:hAnsi="Times New Roman" w:cs="Times New Roman"/>
        <w:i/>
        <w:iCs/>
        <w:lang w:val="lt-LT"/>
      </w:rPr>
      <w:t>202</w:t>
    </w:r>
    <w:r w:rsidR="008C30EF" w:rsidRPr="008C30EF">
      <w:rPr>
        <w:rFonts w:hAnsi="Times New Roman" w:cs="Times New Roman"/>
        <w:i/>
        <w:iCs/>
        <w:lang w:val="lt-LT"/>
      </w:rPr>
      <w:t>1</w:t>
    </w:r>
    <w:r w:rsidRPr="008C30EF">
      <w:rPr>
        <w:rFonts w:hAnsi="Times New Roman" w:cs="Times New Roman"/>
        <w:i/>
        <w:iCs/>
        <w:lang w:val="lt-LT"/>
      </w:rPr>
      <w:t xml:space="preserve"> m. </w:t>
    </w:r>
    <w:r w:rsidR="00073929">
      <w:rPr>
        <w:rFonts w:hAnsi="Times New Roman" w:cs="Times New Roman"/>
        <w:i/>
        <w:iCs/>
        <w:lang w:val="lt-LT"/>
      </w:rPr>
      <w:t>gegužės</w:t>
    </w:r>
    <w:r w:rsidR="00073929" w:rsidRPr="008C30EF">
      <w:rPr>
        <w:rFonts w:hAnsi="Times New Roman" w:cs="Times New Roman"/>
        <w:i/>
        <w:iCs/>
        <w:lang w:val="lt-LT"/>
      </w:rPr>
      <w:t xml:space="preserve"> </w:t>
    </w:r>
    <w:r w:rsidR="00073929">
      <w:rPr>
        <w:rFonts w:hAnsi="Times New Roman" w:cs="Times New Roman"/>
        <w:i/>
        <w:iCs/>
        <w:lang w:val="lt-LT"/>
      </w:rPr>
      <w:t>31</w:t>
    </w:r>
    <w:r w:rsidR="002C7E0C" w:rsidRPr="008C30EF">
      <w:rPr>
        <w:rFonts w:hAnsi="Times New Roman" w:cs="Times New Roman"/>
        <w:i/>
        <w:iCs/>
        <w:lang w:val="lt-LT"/>
      </w:rPr>
      <w:t xml:space="preserve"> d.</w:t>
    </w:r>
  </w:p>
  <w:p w:rsidR="00EF0DF3" w:rsidRPr="00A60FAF" w:rsidRDefault="00EF0DF3" w:rsidP="00EF0DF3">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F4155F4"/>
    <w:multiLevelType w:val="hybridMultilevel"/>
    <w:tmpl w:val="4F0E4F92"/>
    <w:lvl w:ilvl="0" w:tplc="051EA7DC">
      <w:start w:val="1"/>
      <w:numFmt w:val="bullet"/>
      <w:lvlText w:val=""/>
      <w:lvlJc w:val="left"/>
      <w:pPr>
        <w:ind w:left="720" w:hanging="360"/>
      </w:pPr>
      <w:rPr>
        <w:rFonts w:ascii="Symbol" w:hAnsi="Symbol"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751E69"/>
    <w:multiLevelType w:val="hybridMultilevel"/>
    <w:tmpl w:val="DE2E4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BDD3672"/>
    <w:multiLevelType w:val="hybridMultilevel"/>
    <w:tmpl w:val="946EEF06"/>
    <w:lvl w:ilvl="0" w:tplc="61A4341C">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7"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8"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9"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15:restartNumberingAfterBreak="0">
    <w:nsid w:val="39693D41"/>
    <w:multiLevelType w:val="hybridMultilevel"/>
    <w:tmpl w:val="4422292E"/>
    <w:lvl w:ilvl="0" w:tplc="051EA7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2"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13"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5" w15:restartNumberingAfterBreak="0">
    <w:nsid w:val="557E7CB2"/>
    <w:multiLevelType w:val="hybridMultilevel"/>
    <w:tmpl w:val="2F622018"/>
    <w:lvl w:ilvl="0" w:tplc="0427000F">
      <w:start w:val="1"/>
      <w:numFmt w:val="decimal"/>
      <w:lvlText w:val="%1."/>
      <w:lvlJc w:val="left"/>
      <w:pPr>
        <w:ind w:left="923" w:hanging="360"/>
      </w:pPr>
    </w:lvl>
    <w:lvl w:ilvl="1" w:tplc="04270019" w:tentative="1">
      <w:start w:val="1"/>
      <w:numFmt w:val="lowerLetter"/>
      <w:lvlText w:val="%2."/>
      <w:lvlJc w:val="left"/>
      <w:pPr>
        <w:ind w:left="1643" w:hanging="360"/>
      </w:pPr>
    </w:lvl>
    <w:lvl w:ilvl="2" w:tplc="0427001B" w:tentative="1">
      <w:start w:val="1"/>
      <w:numFmt w:val="lowerRoman"/>
      <w:lvlText w:val="%3."/>
      <w:lvlJc w:val="right"/>
      <w:pPr>
        <w:ind w:left="2363" w:hanging="180"/>
      </w:pPr>
    </w:lvl>
    <w:lvl w:ilvl="3" w:tplc="0427000F" w:tentative="1">
      <w:start w:val="1"/>
      <w:numFmt w:val="decimal"/>
      <w:lvlText w:val="%4."/>
      <w:lvlJc w:val="left"/>
      <w:pPr>
        <w:ind w:left="3083" w:hanging="360"/>
      </w:pPr>
    </w:lvl>
    <w:lvl w:ilvl="4" w:tplc="04270019" w:tentative="1">
      <w:start w:val="1"/>
      <w:numFmt w:val="lowerLetter"/>
      <w:lvlText w:val="%5."/>
      <w:lvlJc w:val="left"/>
      <w:pPr>
        <w:ind w:left="3803" w:hanging="360"/>
      </w:pPr>
    </w:lvl>
    <w:lvl w:ilvl="5" w:tplc="0427001B" w:tentative="1">
      <w:start w:val="1"/>
      <w:numFmt w:val="lowerRoman"/>
      <w:lvlText w:val="%6."/>
      <w:lvlJc w:val="right"/>
      <w:pPr>
        <w:ind w:left="4523" w:hanging="180"/>
      </w:pPr>
    </w:lvl>
    <w:lvl w:ilvl="6" w:tplc="0427000F" w:tentative="1">
      <w:start w:val="1"/>
      <w:numFmt w:val="decimal"/>
      <w:lvlText w:val="%7."/>
      <w:lvlJc w:val="left"/>
      <w:pPr>
        <w:ind w:left="5243" w:hanging="360"/>
      </w:pPr>
    </w:lvl>
    <w:lvl w:ilvl="7" w:tplc="04270019" w:tentative="1">
      <w:start w:val="1"/>
      <w:numFmt w:val="lowerLetter"/>
      <w:lvlText w:val="%8."/>
      <w:lvlJc w:val="left"/>
      <w:pPr>
        <w:ind w:left="5963" w:hanging="360"/>
      </w:pPr>
    </w:lvl>
    <w:lvl w:ilvl="8" w:tplc="0427001B" w:tentative="1">
      <w:start w:val="1"/>
      <w:numFmt w:val="lowerRoman"/>
      <w:lvlText w:val="%9."/>
      <w:lvlJc w:val="right"/>
      <w:pPr>
        <w:ind w:left="6683" w:hanging="180"/>
      </w:pPr>
    </w:lvl>
  </w:abstractNum>
  <w:abstractNum w:abstractNumId="16"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6"/>
  </w:num>
  <w:num w:numId="2">
    <w:abstractNumId w:val="8"/>
  </w:num>
  <w:num w:numId="3">
    <w:abstractNumId w:val="9"/>
  </w:num>
  <w:num w:numId="4">
    <w:abstractNumId w:val="12"/>
  </w:num>
  <w:num w:numId="5">
    <w:abstractNumId w:val="13"/>
  </w:num>
  <w:num w:numId="6">
    <w:abstractNumId w:val="14"/>
  </w:num>
  <w:num w:numId="7">
    <w:abstractNumId w:val="4"/>
  </w:num>
  <w:num w:numId="8">
    <w:abstractNumId w:val="0"/>
  </w:num>
  <w:num w:numId="9">
    <w:abstractNumId w:val="1"/>
  </w:num>
  <w:num w:numId="10">
    <w:abstractNumId w:val="11"/>
  </w:num>
  <w:num w:numId="11">
    <w:abstractNumId w:val="7"/>
  </w:num>
  <w:num w:numId="12">
    <w:abstractNumId w:val="16"/>
  </w:num>
  <w:num w:numId="13">
    <w:abstractNumId w:val="5"/>
  </w:num>
  <w:num w:numId="14">
    <w:abstractNumId w:val="10"/>
  </w:num>
  <w:num w:numId="15">
    <w:abstractNumId w:val="15"/>
  </w:num>
  <w:num w:numId="16">
    <w:abstractNumId w:val="2"/>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412D9"/>
    <w:rsid w:val="0004381B"/>
    <w:rsid w:val="00056429"/>
    <w:rsid w:val="00073929"/>
    <w:rsid w:val="00077641"/>
    <w:rsid w:val="00080285"/>
    <w:rsid w:val="00085C84"/>
    <w:rsid w:val="00087B37"/>
    <w:rsid w:val="0009739F"/>
    <w:rsid w:val="000A1B5E"/>
    <w:rsid w:val="000B1E25"/>
    <w:rsid w:val="000B58F3"/>
    <w:rsid w:val="000E1695"/>
    <w:rsid w:val="000F2A9D"/>
    <w:rsid w:val="000F4BDE"/>
    <w:rsid w:val="000F7016"/>
    <w:rsid w:val="00115659"/>
    <w:rsid w:val="0011594A"/>
    <w:rsid w:val="001231BB"/>
    <w:rsid w:val="001363EE"/>
    <w:rsid w:val="00167710"/>
    <w:rsid w:val="0019164D"/>
    <w:rsid w:val="00192A67"/>
    <w:rsid w:val="001C0AB5"/>
    <w:rsid w:val="00245FA7"/>
    <w:rsid w:val="002C2E28"/>
    <w:rsid w:val="002C67CC"/>
    <w:rsid w:val="002C7E0C"/>
    <w:rsid w:val="00302D04"/>
    <w:rsid w:val="0032098C"/>
    <w:rsid w:val="003264C9"/>
    <w:rsid w:val="00327EB3"/>
    <w:rsid w:val="00342C7D"/>
    <w:rsid w:val="0037691B"/>
    <w:rsid w:val="00392B97"/>
    <w:rsid w:val="00396DE4"/>
    <w:rsid w:val="003B0824"/>
    <w:rsid w:val="003C4B90"/>
    <w:rsid w:val="003C65B4"/>
    <w:rsid w:val="003C6810"/>
    <w:rsid w:val="003E0211"/>
    <w:rsid w:val="003E2F37"/>
    <w:rsid w:val="003F58E0"/>
    <w:rsid w:val="00412526"/>
    <w:rsid w:val="00416028"/>
    <w:rsid w:val="004206F7"/>
    <w:rsid w:val="004222B3"/>
    <w:rsid w:val="004360A1"/>
    <w:rsid w:val="00442FF4"/>
    <w:rsid w:val="00444377"/>
    <w:rsid w:val="00452360"/>
    <w:rsid w:val="00455593"/>
    <w:rsid w:val="004720F6"/>
    <w:rsid w:val="00477C2F"/>
    <w:rsid w:val="004916B9"/>
    <w:rsid w:val="0049434A"/>
    <w:rsid w:val="004B217F"/>
    <w:rsid w:val="004E273E"/>
    <w:rsid w:val="004E38B4"/>
    <w:rsid w:val="004E3E97"/>
    <w:rsid w:val="004F7893"/>
    <w:rsid w:val="00554DC5"/>
    <w:rsid w:val="00557D5B"/>
    <w:rsid w:val="00573FCF"/>
    <w:rsid w:val="00575E5E"/>
    <w:rsid w:val="0058250F"/>
    <w:rsid w:val="005B7EF8"/>
    <w:rsid w:val="005C75EB"/>
    <w:rsid w:val="005E6A9E"/>
    <w:rsid w:val="005E763B"/>
    <w:rsid w:val="00600385"/>
    <w:rsid w:val="00600973"/>
    <w:rsid w:val="00616977"/>
    <w:rsid w:val="0065002E"/>
    <w:rsid w:val="00661546"/>
    <w:rsid w:val="00680105"/>
    <w:rsid w:val="006B1A71"/>
    <w:rsid w:val="006B7AC7"/>
    <w:rsid w:val="006C1908"/>
    <w:rsid w:val="006D6C5E"/>
    <w:rsid w:val="0071096D"/>
    <w:rsid w:val="00731F0F"/>
    <w:rsid w:val="00742CF5"/>
    <w:rsid w:val="007430FE"/>
    <w:rsid w:val="0074700F"/>
    <w:rsid w:val="00751173"/>
    <w:rsid w:val="007547A4"/>
    <w:rsid w:val="00773710"/>
    <w:rsid w:val="00777E25"/>
    <w:rsid w:val="007824A0"/>
    <w:rsid w:val="00797067"/>
    <w:rsid w:val="007A212E"/>
    <w:rsid w:val="007B63FB"/>
    <w:rsid w:val="007C3085"/>
    <w:rsid w:val="007D0025"/>
    <w:rsid w:val="007E1F14"/>
    <w:rsid w:val="007F70F1"/>
    <w:rsid w:val="008466F9"/>
    <w:rsid w:val="008921A6"/>
    <w:rsid w:val="008B2A52"/>
    <w:rsid w:val="008B5863"/>
    <w:rsid w:val="008C30EF"/>
    <w:rsid w:val="008D1D2A"/>
    <w:rsid w:val="008E4444"/>
    <w:rsid w:val="008E5707"/>
    <w:rsid w:val="009237CB"/>
    <w:rsid w:val="009469ED"/>
    <w:rsid w:val="00946AC6"/>
    <w:rsid w:val="00963406"/>
    <w:rsid w:val="009852CE"/>
    <w:rsid w:val="00994BE2"/>
    <w:rsid w:val="009B1F29"/>
    <w:rsid w:val="009B6FB3"/>
    <w:rsid w:val="009C0967"/>
    <w:rsid w:val="009D0CCE"/>
    <w:rsid w:val="009D494C"/>
    <w:rsid w:val="009D5D6F"/>
    <w:rsid w:val="00A101C3"/>
    <w:rsid w:val="00A26397"/>
    <w:rsid w:val="00A31080"/>
    <w:rsid w:val="00A33567"/>
    <w:rsid w:val="00A46916"/>
    <w:rsid w:val="00A60FAF"/>
    <w:rsid w:val="00A629DD"/>
    <w:rsid w:val="00A62AB3"/>
    <w:rsid w:val="00A77F7D"/>
    <w:rsid w:val="00A82DF1"/>
    <w:rsid w:val="00AD3F97"/>
    <w:rsid w:val="00AD7E3A"/>
    <w:rsid w:val="00B02F33"/>
    <w:rsid w:val="00B03FB8"/>
    <w:rsid w:val="00B166E2"/>
    <w:rsid w:val="00B227C5"/>
    <w:rsid w:val="00B27B7E"/>
    <w:rsid w:val="00B41E9B"/>
    <w:rsid w:val="00B67F14"/>
    <w:rsid w:val="00B70894"/>
    <w:rsid w:val="00B97906"/>
    <w:rsid w:val="00BA186A"/>
    <w:rsid w:val="00BB54D1"/>
    <w:rsid w:val="00BC6261"/>
    <w:rsid w:val="00BC62D4"/>
    <w:rsid w:val="00BD2D91"/>
    <w:rsid w:val="00BD43DF"/>
    <w:rsid w:val="00BF234E"/>
    <w:rsid w:val="00BF2B1A"/>
    <w:rsid w:val="00BF7037"/>
    <w:rsid w:val="00C02130"/>
    <w:rsid w:val="00C26227"/>
    <w:rsid w:val="00C308A0"/>
    <w:rsid w:val="00C42C92"/>
    <w:rsid w:val="00C657C6"/>
    <w:rsid w:val="00C67932"/>
    <w:rsid w:val="00C71C4E"/>
    <w:rsid w:val="00C763BD"/>
    <w:rsid w:val="00C8004F"/>
    <w:rsid w:val="00C842BA"/>
    <w:rsid w:val="00C85E93"/>
    <w:rsid w:val="00CA640F"/>
    <w:rsid w:val="00CC7552"/>
    <w:rsid w:val="00CD18D7"/>
    <w:rsid w:val="00CF029D"/>
    <w:rsid w:val="00D31597"/>
    <w:rsid w:val="00D34348"/>
    <w:rsid w:val="00D5387B"/>
    <w:rsid w:val="00D76041"/>
    <w:rsid w:val="00D90E71"/>
    <w:rsid w:val="00D920D6"/>
    <w:rsid w:val="00DC7618"/>
    <w:rsid w:val="00DE2D88"/>
    <w:rsid w:val="00E01BFC"/>
    <w:rsid w:val="00E4299A"/>
    <w:rsid w:val="00E510A7"/>
    <w:rsid w:val="00E90989"/>
    <w:rsid w:val="00EA3E49"/>
    <w:rsid w:val="00EC1661"/>
    <w:rsid w:val="00EC384A"/>
    <w:rsid w:val="00EE1216"/>
    <w:rsid w:val="00EE76DE"/>
    <w:rsid w:val="00EF0DF3"/>
    <w:rsid w:val="00EF67DB"/>
    <w:rsid w:val="00F27FFB"/>
    <w:rsid w:val="00F466F5"/>
    <w:rsid w:val="00F526F9"/>
    <w:rsid w:val="00F926FB"/>
    <w:rsid w:val="00FA2DA2"/>
    <w:rsid w:val="00FA625F"/>
    <w:rsid w:val="00FE6E9B"/>
    <w:rsid w:val="00FF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FE5A3A-14A1-4298-A162-6BA3DF2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character" w:customStyle="1" w:styleId="tlid-translation">
    <w:name w:val="tlid-translation"/>
    <w:basedOn w:val="Numatytasispastraiposriftas"/>
    <w:rsid w:val="002C7E0C"/>
  </w:style>
  <w:style w:type="character" w:styleId="Emfaz">
    <w:name w:val="Emphasis"/>
    <w:uiPriority w:val="20"/>
    <w:qFormat/>
    <w:rsid w:val="000E1695"/>
    <w:rPr>
      <w:i/>
      <w:iCs/>
    </w:rPr>
  </w:style>
  <w:style w:type="paragraph" w:customStyle="1" w:styleId="xmsonormal">
    <w:name w:val="xmsonormal"/>
    <w:basedOn w:val="prastasis"/>
    <w:rsid w:val="00BF7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rastasiniatinklio">
    <w:name w:val="Normal (Web)"/>
    <w:basedOn w:val="prastasis"/>
    <w:uiPriority w:val="99"/>
    <w:unhideWhenUsed/>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0">
    <w:name w:val="x_msonormal"/>
    <w:basedOn w:val="prastasis"/>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listparagraph">
    <w:name w:val="x_msolistparagraph"/>
    <w:basedOn w:val="prastasis"/>
    <w:rsid w:val="00A82D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a">
    <w:name w:val="x_bodya"/>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default">
    <w:name w:val="x_default"/>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A31080"/>
    <w:rPr>
      <w:b/>
      <w:bCs/>
    </w:rPr>
  </w:style>
  <w:style w:type="paragraph" w:styleId="Debesliotekstas">
    <w:name w:val="Balloon Text"/>
    <w:basedOn w:val="prastasis"/>
    <w:link w:val="DebesliotekstasDiagrama"/>
    <w:uiPriority w:val="99"/>
    <w:semiHidden/>
    <w:unhideWhenUsed/>
    <w:rsid w:val="00731F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F0F"/>
    <w:rPr>
      <w:rFonts w:ascii="Segoe UI" w:hAnsi="Segoe UI" w:cs="Segoe UI"/>
      <w:sz w:val="18"/>
      <w:szCs w:val="18"/>
    </w:rPr>
  </w:style>
  <w:style w:type="character" w:styleId="Komentaronuoroda">
    <w:name w:val="annotation reference"/>
    <w:basedOn w:val="Numatytasispastraiposriftas"/>
    <w:uiPriority w:val="99"/>
    <w:semiHidden/>
    <w:unhideWhenUsed/>
    <w:rsid w:val="00077641"/>
    <w:rPr>
      <w:sz w:val="16"/>
      <w:szCs w:val="16"/>
    </w:rPr>
  </w:style>
  <w:style w:type="paragraph" w:styleId="Komentarotekstas">
    <w:name w:val="annotation text"/>
    <w:basedOn w:val="prastasis"/>
    <w:link w:val="KomentarotekstasDiagrama"/>
    <w:uiPriority w:val="99"/>
    <w:semiHidden/>
    <w:unhideWhenUsed/>
    <w:rsid w:val="00077641"/>
    <w:rPr>
      <w:sz w:val="20"/>
      <w:szCs w:val="20"/>
    </w:rPr>
  </w:style>
  <w:style w:type="character" w:customStyle="1" w:styleId="KomentarotekstasDiagrama">
    <w:name w:val="Komentaro tekstas Diagrama"/>
    <w:basedOn w:val="Numatytasispastraiposriftas"/>
    <w:link w:val="Komentarotekstas"/>
    <w:uiPriority w:val="99"/>
    <w:semiHidden/>
    <w:rsid w:val="00077641"/>
  </w:style>
  <w:style w:type="paragraph" w:styleId="Komentarotema">
    <w:name w:val="annotation subject"/>
    <w:basedOn w:val="Komentarotekstas"/>
    <w:next w:val="Komentarotekstas"/>
    <w:link w:val="KomentarotemaDiagrama"/>
    <w:uiPriority w:val="99"/>
    <w:semiHidden/>
    <w:unhideWhenUsed/>
    <w:rsid w:val="00077641"/>
    <w:rPr>
      <w:b/>
      <w:bCs/>
    </w:rPr>
  </w:style>
  <w:style w:type="character" w:customStyle="1" w:styleId="KomentarotemaDiagrama">
    <w:name w:val="Komentaro tema Diagrama"/>
    <w:basedOn w:val="KomentarotekstasDiagrama"/>
    <w:link w:val="Komentarotema"/>
    <w:uiPriority w:val="99"/>
    <w:semiHidden/>
    <w:rsid w:val="00077641"/>
    <w:rPr>
      <w:b/>
      <w:bCs/>
    </w:rPr>
  </w:style>
  <w:style w:type="table" w:styleId="Lentelstinklelis">
    <w:name w:val="Table Grid"/>
    <w:basedOn w:val="prastojilentel"/>
    <w:uiPriority w:val="39"/>
    <w:rsid w:val="0007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9D494C"/>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eastAsiaTheme="minorHAnsi"/>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9D494C"/>
    <w:rPr>
      <w:rFonts w:eastAsiaTheme="minorHAnsi"/>
      <w:sz w:val="24"/>
      <w:bdr w:val="none" w:sz="0" w:space="0" w:color="auto"/>
      <w:lang w:val="lt-LT"/>
    </w:rPr>
  </w:style>
  <w:style w:type="paragraph" w:styleId="Betarp">
    <w:name w:val="No Spacing"/>
    <w:basedOn w:val="prastasis"/>
    <w:uiPriority w:val="1"/>
    <w:qFormat/>
    <w:rsid w:val="00477C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312">
      <w:bodyDiv w:val="1"/>
      <w:marLeft w:val="0"/>
      <w:marRight w:val="0"/>
      <w:marTop w:val="0"/>
      <w:marBottom w:val="0"/>
      <w:divBdr>
        <w:top w:val="none" w:sz="0" w:space="0" w:color="auto"/>
        <w:left w:val="none" w:sz="0" w:space="0" w:color="auto"/>
        <w:bottom w:val="none" w:sz="0" w:space="0" w:color="auto"/>
        <w:right w:val="none" w:sz="0" w:space="0" w:color="auto"/>
      </w:divBdr>
    </w:div>
    <w:div w:id="63644438">
      <w:bodyDiv w:val="1"/>
      <w:marLeft w:val="0"/>
      <w:marRight w:val="0"/>
      <w:marTop w:val="0"/>
      <w:marBottom w:val="0"/>
      <w:divBdr>
        <w:top w:val="none" w:sz="0" w:space="0" w:color="auto"/>
        <w:left w:val="none" w:sz="0" w:space="0" w:color="auto"/>
        <w:bottom w:val="none" w:sz="0" w:space="0" w:color="auto"/>
        <w:right w:val="none" w:sz="0" w:space="0" w:color="auto"/>
      </w:divBdr>
    </w:div>
    <w:div w:id="118038099">
      <w:bodyDiv w:val="1"/>
      <w:marLeft w:val="0"/>
      <w:marRight w:val="0"/>
      <w:marTop w:val="0"/>
      <w:marBottom w:val="0"/>
      <w:divBdr>
        <w:top w:val="none" w:sz="0" w:space="0" w:color="auto"/>
        <w:left w:val="none" w:sz="0" w:space="0" w:color="auto"/>
        <w:bottom w:val="none" w:sz="0" w:space="0" w:color="auto"/>
        <w:right w:val="none" w:sz="0" w:space="0" w:color="auto"/>
      </w:divBdr>
    </w:div>
    <w:div w:id="126510678">
      <w:bodyDiv w:val="1"/>
      <w:marLeft w:val="0"/>
      <w:marRight w:val="0"/>
      <w:marTop w:val="0"/>
      <w:marBottom w:val="0"/>
      <w:divBdr>
        <w:top w:val="none" w:sz="0" w:space="0" w:color="auto"/>
        <w:left w:val="none" w:sz="0" w:space="0" w:color="auto"/>
        <w:bottom w:val="none" w:sz="0" w:space="0" w:color="auto"/>
        <w:right w:val="none" w:sz="0" w:space="0" w:color="auto"/>
      </w:divBdr>
    </w:div>
    <w:div w:id="226259875">
      <w:bodyDiv w:val="1"/>
      <w:marLeft w:val="0"/>
      <w:marRight w:val="0"/>
      <w:marTop w:val="0"/>
      <w:marBottom w:val="0"/>
      <w:divBdr>
        <w:top w:val="none" w:sz="0" w:space="0" w:color="auto"/>
        <w:left w:val="none" w:sz="0" w:space="0" w:color="auto"/>
        <w:bottom w:val="none" w:sz="0" w:space="0" w:color="auto"/>
        <w:right w:val="none" w:sz="0" w:space="0" w:color="auto"/>
      </w:divBdr>
    </w:div>
    <w:div w:id="248080118">
      <w:bodyDiv w:val="1"/>
      <w:marLeft w:val="0"/>
      <w:marRight w:val="0"/>
      <w:marTop w:val="0"/>
      <w:marBottom w:val="0"/>
      <w:divBdr>
        <w:top w:val="none" w:sz="0" w:space="0" w:color="auto"/>
        <w:left w:val="none" w:sz="0" w:space="0" w:color="auto"/>
        <w:bottom w:val="none" w:sz="0" w:space="0" w:color="auto"/>
        <w:right w:val="none" w:sz="0" w:space="0" w:color="auto"/>
      </w:divBdr>
    </w:div>
    <w:div w:id="276260901">
      <w:bodyDiv w:val="1"/>
      <w:marLeft w:val="0"/>
      <w:marRight w:val="0"/>
      <w:marTop w:val="0"/>
      <w:marBottom w:val="0"/>
      <w:divBdr>
        <w:top w:val="none" w:sz="0" w:space="0" w:color="auto"/>
        <w:left w:val="none" w:sz="0" w:space="0" w:color="auto"/>
        <w:bottom w:val="none" w:sz="0" w:space="0" w:color="auto"/>
        <w:right w:val="none" w:sz="0" w:space="0" w:color="auto"/>
      </w:divBdr>
    </w:div>
    <w:div w:id="293147351">
      <w:bodyDiv w:val="1"/>
      <w:marLeft w:val="0"/>
      <w:marRight w:val="0"/>
      <w:marTop w:val="0"/>
      <w:marBottom w:val="0"/>
      <w:divBdr>
        <w:top w:val="none" w:sz="0" w:space="0" w:color="auto"/>
        <w:left w:val="none" w:sz="0" w:space="0" w:color="auto"/>
        <w:bottom w:val="none" w:sz="0" w:space="0" w:color="auto"/>
        <w:right w:val="none" w:sz="0" w:space="0" w:color="auto"/>
      </w:divBdr>
    </w:div>
    <w:div w:id="295530071">
      <w:bodyDiv w:val="1"/>
      <w:marLeft w:val="0"/>
      <w:marRight w:val="0"/>
      <w:marTop w:val="0"/>
      <w:marBottom w:val="0"/>
      <w:divBdr>
        <w:top w:val="none" w:sz="0" w:space="0" w:color="auto"/>
        <w:left w:val="none" w:sz="0" w:space="0" w:color="auto"/>
        <w:bottom w:val="none" w:sz="0" w:space="0" w:color="auto"/>
        <w:right w:val="none" w:sz="0" w:space="0" w:color="auto"/>
      </w:divBdr>
    </w:div>
    <w:div w:id="330720847">
      <w:bodyDiv w:val="1"/>
      <w:marLeft w:val="0"/>
      <w:marRight w:val="0"/>
      <w:marTop w:val="0"/>
      <w:marBottom w:val="0"/>
      <w:divBdr>
        <w:top w:val="none" w:sz="0" w:space="0" w:color="auto"/>
        <w:left w:val="none" w:sz="0" w:space="0" w:color="auto"/>
        <w:bottom w:val="none" w:sz="0" w:space="0" w:color="auto"/>
        <w:right w:val="none" w:sz="0" w:space="0" w:color="auto"/>
      </w:divBdr>
    </w:div>
    <w:div w:id="433134765">
      <w:bodyDiv w:val="1"/>
      <w:marLeft w:val="0"/>
      <w:marRight w:val="0"/>
      <w:marTop w:val="0"/>
      <w:marBottom w:val="0"/>
      <w:divBdr>
        <w:top w:val="none" w:sz="0" w:space="0" w:color="auto"/>
        <w:left w:val="none" w:sz="0" w:space="0" w:color="auto"/>
        <w:bottom w:val="none" w:sz="0" w:space="0" w:color="auto"/>
        <w:right w:val="none" w:sz="0" w:space="0" w:color="auto"/>
      </w:divBdr>
    </w:div>
    <w:div w:id="448088630">
      <w:bodyDiv w:val="1"/>
      <w:marLeft w:val="0"/>
      <w:marRight w:val="0"/>
      <w:marTop w:val="0"/>
      <w:marBottom w:val="0"/>
      <w:divBdr>
        <w:top w:val="none" w:sz="0" w:space="0" w:color="auto"/>
        <w:left w:val="none" w:sz="0" w:space="0" w:color="auto"/>
        <w:bottom w:val="none" w:sz="0" w:space="0" w:color="auto"/>
        <w:right w:val="none" w:sz="0" w:space="0" w:color="auto"/>
      </w:divBdr>
    </w:div>
    <w:div w:id="468598140">
      <w:bodyDiv w:val="1"/>
      <w:marLeft w:val="0"/>
      <w:marRight w:val="0"/>
      <w:marTop w:val="0"/>
      <w:marBottom w:val="0"/>
      <w:divBdr>
        <w:top w:val="none" w:sz="0" w:space="0" w:color="auto"/>
        <w:left w:val="none" w:sz="0" w:space="0" w:color="auto"/>
        <w:bottom w:val="none" w:sz="0" w:space="0" w:color="auto"/>
        <w:right w:val="none" w:sz="0" w:space="0" w:color="auto"/>
      </w:divBdr>
    </w:div>
    <w:div w:id="558856812">
      <w:bodyDiv w:val="1"/>
      <w:marLeft w:val="0"/>
      <w:marRight w:val="0"/>
      <w:marTop w:val="0"/>
      <w:marBottom w:val="0"/>
      <w:divBdr>
        <w:top w:val="none" w:sz="0" w:space="0" w:color="auto"/>
        <w:left w:val="none" w:sz="0" w:space="0" w:color="auto"/>
        <w:bottom w:val="none" w:sz="0" w:space="0" w:color="auto"/>
        <w:right w:val="none" w:sz="0" w:space="0" w:color="auto"/>
      </w:divBdr>
    </w:div>
    <w:div w:id="698243657">
      <w:bodyDiv w:val="1"/>
      <w:marLeft w:val="0"/>
      <w:marRight w:val="0"/>
      <w:marTop w:val="0"/>
      <w:marBottom w:val="0"/>
      <w:divBdr>
        <w:top w:val="none" w:sz="0" w:space="0" w:color="auto"/>
        <w:left w:val="none" w:sz="0" w:space="0" w:color="auto"/>
        <w:bottom w:val="none" w:sz="0" w:space="0" w:color="auto"/>
        <w:right w:val="none" w:sz="0" w:space="0" w:color="auto"/>
      </w:divBdr>
    </w:div>
    <w:div w:id="776487427">
      <w:bodyDiv w:val="1"/>
      <w:marLeft w:val="0"/>
      <w:marRight w:val="0"/>
      <w:marTop w:val="0"/>
      <w:marBottom w:val="0"/>
      <w:divBdr>
        <w:top w:val="none" w:sz="0" w:space="0" w:color="auto"/>
        <w:left w:val="none" w:sz="0" w:space="0" w:color="auto"/>
        <w:bottom w:val="none" w:sz="0" w:space="0" w:color="auto"/>
        <w:right w:val="none" w:sz="0" w:space="0" w:color="auto"/>
      </w:divBdr>
    </w:div>
    <w:div w:id="871504132">
      <w:bodyDiv w:val="1"/>
      <w:marLeft w:val="0"/>
      <w:marRight w:val="0"/>
      <w:marTop w:val="0"/>
      <w:marBottom w:val="0"/>
      <w:divBdr>
        <w:top w:val="none" w:sz="0" w:space="0" w:color="auto"/>
        <w:left w:val="none" w:sz="0" w:space="0" w:color="auto"/>
        <w:bottom w:val="none" w:sz="0" w:space="0" w:color="auto"/>
        <w:right w:val="none" w:sz="0" w:space="0" w:color="auto"/>
      </w:divBdr>
    </w:div>
    <w:div w:id="946885603">
      <w:bodyDiv w:val="1"/>
      <w:marLeft w:val="0"/>
      <w:marRight w:val="0"/>
      <w:marTop w:val="0"/>
      <w:marBottom w:val="0"/>
      <w:divBdr>
        <w:top w:val="none" w:sz="0" w:space="0" w:color="auto"/>
        <w:left w:val="none" w:sz="0" w:space="0" w:color="auto"/>
        <w:bottom w:val="none" w:sz="0" w:space="0" w:color="auto"/>
        <w:right w:val="none" w:sz="0" w:space="0" w:color="auto"/>
      </w:divBdr>
    </w:div>
    <w:div w:id="1031347646">
      <w:bodyDiv w:val="1"/>
      <w:marLeft w:val="0"/>
      <w:marRight w:val="0"/>
      <w:marTop w:val="0"/>
      <w:marBottom w:val="0"/>
      <w:divBdr>
        <w:top w:val="none" w:sz="0" w:space="0" w:color="auto"/>
        <w:left w:val="none" w:sz="0" w:space="0" w:color="auto"/>
        <w:bottom w:val="none" w:sz="0" w:space="0" w:color="auto"/>
        <w:right w:val="none" w:sz="0" w:space="0" w:color="auto"/>
      </w:divBdr>
    </w:div>
    <w:div w:id="1056515351">
      <w:bodyDiv w:val="1"/>
      <w:marLeft w:val="0"/>
      <w:marRight w:val="0"/>
      <w:marTop w:val="0"/>
      <w:marBottom w:val="0"/>
      <w:divBdr>
        <w:top w:val="none" w:sz="0" w:space="0" w:color="auto"/>
        <w:left w:val="none" w:sz="0" w:space="0" w:color="auto"/>
        <w:bottom w:val="none" w:sz="0" w:space="0" w:color="auto"/>
        <w:right w:val="none" w:sz="0" w:space="0" w:color="auto"/>
      </w:divBdr>
    </w:div>
    <w:div w:id="1124498446">
      <w:bodyDiv w:val="1"/>
      <w:marLeft w:val="0"/>
      <w:marRight w:val="0"/>
      <w:marTop w:val="0"/>
      <w:marBottom w:val="0"/>
      <w:divBdr>
        <w:top w:val="none" w:sz="0" w:space="0" w:color="auto"/>
        <w:left w:val="none" w:sz="0" w:space="0" w:color="auto"/>
        <w:bottom w:val="none" w:sz="0" w:space="0" w:color="auto"/>
        <w:right w:val="none" w:sz="0" w:space="0" w:color="auto"/>
      </w:divBdr>
    </w:div>
    <w:div w:id="1248811797">
      <w:bodyDiv w:val="1"/>
      <w:marLeft w:val="0"/>
      <w:marRight w:val="0"/>
      <w:marTop w:val="0"/>
      <w:marBottom w:val="0"/>
      <w:divBdr>
        <w:top w:val="none" w:sz="0" w:space="0" w:color="auto"/>
        <w:left w:val="none" w:sz="0" w:space="0" w:color="auto"/>
        <w:bottom w:val="none" w:sz="0" w:space="0" w:color="auto"/>
        <w:right w:val="none" w:sz="0" w:space="0" w:color="auto"/>
      </w:divBdr>
    </w:div>
    <w:div w:id="1602763020">
      <w:bodyDiv w:val="1"/>
      <w:marLeft w:val="0"/>
      <w:marRight w:val="0"/>
      <w:marTop w:val="0"/>
      <w:marBottom w:val="0"/>
      <w:divBdr>
        <w:top w:val="none" w:sz="0" w:space="0" w:color="auto"/>
        <w:left w:val="none" w:sz="0" w:space="0" w:color="auto"/>
        <w:bottom w:val="none" w:sz="0" w:space="0" w:color="auto"/>
        <w:right w:val="none" w:sz="0" w:space="0" w:color="auto"/>
      </w:divBdr>
    </w:div>
    <w:div w:id="1609120014">
      <w:bodyDiv w:val="1"/>
      <w:marLeft w:val="0"/>
      <w:marRight w:val="0"/>
      <w:marTop w:val="0"/>
      <w:marBottom w:val="0"/>
      <w:divBdr>
        <w:top w:val="none" w:sz="0" w:space="0" w:color="auto"/>
        <w:left w:val="none" w:sz="0" w:space="0" w:color="auto"/>
        <w:bottom w:val="none" w:sz="0" w:space="0" w:color="auto"/>
        <w:right w:val="none" w:sz="0" w:space="0" w:color="auto"/>
      </w:divBdr>
    </w:div>
    <w:div w:id="1692028589">
      <w:bodyDiv w:val="1"/>
      <w:marLeft w:val="0"/>
      <w:marRight w:val="0"/>
      <w:marTop w:val="0"/>
      <w:marBottom w:val="0"/>
      <w:divBdr>
        <w:top w:val="none" w:sz="0" w:space="0" w:color="auto"/>
        <w:left w:val="none" w:sz="0" w:space="0" w:color="auto"/>
        <w:bottom w:val="none" w:sz="0" w:space="0" w:color="auto"/>
        <w:right w:val="none" w:sz="0" w:space="0" w:color="auto"/>
      </w:divBdr>
    </w:div>
    <w:div w:id="1870021348">
      <w:bodyDiv w:val="1"/>
      <w:marLeft w:val="0"/>
      <w:marRight w:val="0"/>
      <w:marTop w:val="0"/>
      <w:marBottom w:val="0"/>
      <w:divBdr>
        <w:top w:val="none" w:sz="0" w:space="0" w:color="auto"/>
        <w:left w:val="none" w:sz="0" w:space="0" w:color="auto"/>
        <w:bottom w:val="none" w:sz="0" w:space="0" w:color="auto"/>
        <w:right w:val="none" w:sz="0" w:space="0" w:color="auto"/>
      </w:divBdr>
    </w:div>
    <w:div w:id="1878857953">
      <w:bodyDiv w:val="1"/>
      <w:marLeft w:val="0"/>
      <w:marRight w:val="0"/>
      <w:marTop w:val="0"/>
      <w:marBottom w:val="0"/>
      <w:divBdr>
        <w:top w:val="none" w:sz="0" w:space="0" w:color="auto"/>
        <w:left w:val="none" w:sz="0" w:space="0" w:color="auto"/>
        <w:bottom w:val="none" w:sz="0" w:space="0" w:color="auto"/>
        <w:right w:val="none" w:sz="0" w:space="0" w:color="auto"/>
      </w:divBdr>
    </w:div>
    <w:div w:id="1899318813">
      <w:bodyDiv w:val="1"/>
      <w:marLeft w:val="0"/>
      <w:marRight w:val="0"/>
      <w:marTop w:val="0"/>
      <w:marBottom w:val="0"/>
      <w:divBdr>
        <w:top w:val="none" w:sz="0" w:space="0" w:color="auto"/>
        <w:left w:val="none" w:sz="0" w:space="0" w:color="auto"/>
        <w:bottom w:val="none" w:sz="0" w:space="0" w:color="auto"/>
        <w:right w:val="none" w:sz="0" w:space="0" w:color="auto"/>
      </w:divBdr>
    </w:div>
    <w:div w:id="2007128116">
      <w:bodyDiv w:val="1"/>
      <w:marLeft w:val="0"/>
      <w:marRight w:val="0"/>
      <w:marTop w:val="0"/>
      <w:marBottom w:val="0"/>
      <w:divBdr>
        <w:top w:val="none" w:sz="0" w:space="0" w:color="auto"/>
        <w:left w:val="none" w:sz="0" w:space="0" w:color="auto"/>
        <w:bottom w:val="none" w:sz="0" w:space="0" w:color="auto"/>
        <w:right w:val="none" w:sz="0" w:space="0" w:color="auto"/>
      </w:divBdr>
    </w:div>
    <w:div w:id="2054771790">
      <w:bodyDiv w:val="1"/>
      <w:marLeft w:val="0"/>
      <w:marRight w:val="0"/>
      <w:marTop w:val="0"/>
      <w:marBottom w:val="0"/>
      <w:divBdr>
        <w:top w:val="none" w:sz="0" w:space="0" w:color="auto"/>
        <w:left w:val="none" w:sz="0" w:space="0" w:color="auto"/>
        <w:bottom w:val="none" w:sz="0" w:space="0" w:color="auto"/>
        <w:right w:val="none" w:sz="0" w:space="0" w:color="auto"/>
      </w:divBdr>
    </w:div>
    <w:div w:id="2084373688">
      <w:bodyDiv w:val="1"/>
      <w:marLeft w:val="0"/>
      <w:marRight w:val="0"/>
      <w:marTop w:val="0"/>
      <w:marBottom w:val="0"/>
      <w:divBdr>
        <w:top w:val="none" w:sz="0" w:space="0" w:color="auto"/>
        <w:left w:val="none" w:sz="0" w:space="0" w:color="auto"/>
        <w:bottom w:val="none" w:sz="0" w:space="0" w:color="auto"/>
        <w:right w:val="none" w:sz="0" w:space="0" w:color="auto"/>
      </w:divBdr>
    </w:div>
    <w:div w:id="211979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C31B-3197-4C5C-B6DE-F6D573BA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18025</Words>
  <Characters>10275</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Antanaitė</dc:creator>
  <cp:lastModifiedBy>Jurgis Stirblys</cp:lastModifiedBy>
  <cp:revision>2</cp:revision>
  <cp:lastPrinted>2021-06-01T05:58:00Z</cp:lastPrinted>
  <dcterms:created xsi:type="dcterms:W3CDTF">2021-06-01T07:29:00Z</dcterms:created>
  <dcterms:modified xsi:type="dcterms:W3CDTF">2021-06-01T07:29:00Z</dcterms:modified>
</cp:coreProperties>
</file>