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sdt>
      <w:sdtPr>
        <w:alias w:val="pagrindine"/>
        <w:tag w:val="part_b26d7f0941fd48b5a914da14ff6a74d0"/>
        <w:lock w:val="sdtLocked"/>
        <w:richText/>
      </w:sdtPr>
      <w:sdtContent>
        <w:p w14:paraId="56D4A885" w14:textId="77777777">
          <w:pPr>
            <w:tabs>
              <w:tab w:val="center" w:pos="4819"/>
              <w:tab w:val="right" w:pos="9638"/>
            </w:tabs>
            <w:ind w:firstLine="720"/>
            <w:rPr>
              <w:rFonts w:ascii="Arial" w:hAnsi="Arial" w:cs="Arial"/>
              <w:sz w:val="20"/>
              <w:lang w:eastAsia="lt-LT"/>
            </w:rPr>
          </w:pPr>
        </w:p>
        <w:p w14:paraId="4DB89313" w14:textId="77777777">
          <w:pPr>
            <w:tabs>
              <w:tab w:val="center" w:pos="4819"/>
              <w:tab w:val="right" w:pos="9638"/>
            </w:tabs>
            <w:ind w:right="1275" w:firstLine="6300"/>
            <w:jc w:val="right"/>
            <w:rPr>
              <w:b/>
              <w:bCs/>
              <w:szCs w:val="24"/>
              <w:lang w:eastAsia="lt-LT"/>
            </w:rPr>
          </w:pPr>
          <w:r>
            <w:rPr>
              <w:b/>
              <w:bCs/>
              <w:szCs w:val="24"/>
              <w:lang w:eastAsia="lt-LT"/>
            </w:rPr>
            <w:t>Projekto</w:t>
          </w:r>
        </w:p>
        <w:p w14:paraId="0EFFAD0D" w14:textId="54800124">
          <w:pPr>
            <w:tabs>
              <w:tab w:val="center" w:pos="4819"/>
              <w:tab w:val="right" w:pos="9638"/>
            </w:tabs>
            <w:ind w:firstLine="6362"/>
            <w:jc w:val="right"/>
            <w:rPr>
              <w:b/>
              <w:bCs/>
              <w:szCs w:val="24"/>
              <w:lang w:eastAsia="lt-LT"/>
            </w:rPr>
          </w:pPr>
          <w:r>
            <w:rPr>
              <w:b/>
              <w:bCs/>
              <w:szCs w:val="24"/>
              <w:lang w:eastAsia="lt-LT"/>
            </w:rPr>
            <w:t>lyginamasis variantas</w:t>
          </w:r>
        </w:p>
        <w:p w14:paraId="019E8619" w14:textId="77777777">
          <w:pPr>
            <w:tabs>
              <w:tab w:val="center" w:pos="4819"/>
              <w:tab w:val="right" w:pos="9638"/>
            </w:tabs>
            <w:ind w:firstLine="720"/>
            <w:jc w:val="center"/>
            <w:rPr>
              <w:b/>
              <w:bCs/>
              <w:szCs w:val="24"/>
              <w:lang w:eastAsia="lt-LT"/>
            </w:rPr>
          </w:pPr>
        </w:p>
        <w:p w14:paraId="17FF4FD7" w14:textId="0E2CF3B3">
          <w:pPr>
            <w:jc w:val="center"/>
            <w:rPr>
              <w:szCs w:val="24"/>
              <w:lang w:eastAsia="lt-LT"/>
            </w:rPr>
          </w:pPr>
        </w:p>
        <w:p w14:paraId="6D8DD119" w14:textId="77777777">
          <w:pPr>
            <w:jc w:val="center"/>
            <w:rPr>
              <w:szCs w:val="24"/>
              <w:lang w:eastAsia="lt-LT"/>
            </w:rPr>
          </w:pPr>
        </w:p>
        <w:p w14:paraId="2D84634D" w14:textId="77777777">
          <w:pPr>
            <w:rPr>
              <w:b/>
              <w:bCs/>
              <w:szCs w:val="24"/>
              <w:lang w:eastAsia="lt-LT"/>
            </w:rPr>
          </w:pPr>
        </w:p>
        <w:p w14:paraId="38A69EA8" w14:textId="39D14D04">
          <w:pPr>
            <w:jc w:val="center"/>
            <w:rPr>
              <w:b/>
              <w:bCs/>
              <w:szCs w:val="24"/>
              <w:lang w:eastAsia="lt-LT"/>
            </w:rPr>
          </w:pPr>
          <w:r>
            <w:rPr>
              <w:b/>
              <w:bCs/>
              <w:szCs w:val="24"/>
              <w:lang w:eastAsia="lt-LT"/>
            </w:rPr>
            <w:t>LIETUVOS RESPUBLIKOS VYRIAUSYBĖ</w:t>
          </w:r>
        </w:p>
        <w:p w14:paraId="50280E7C" w14:textId="77777777">
          <w:pPr>
            <w:jc w:val="center"/>
            <w:rPr>
              <w:b/>
              <w:bCs/>
              <w:szCs w:val="24"/>
              <w:lang w:eastAsia="lt-LT"/>
            </w:rPr>
          </w:pPr>
        </w:p>
        <w:p w14:paraId="6B216BAB" w14:textId="1A5F2C02">
          <w:pPr>
            <w:jc w:val="center"/>
            <w:rPr>
              <w:b/>
              <w:bCs/>
              <w:szCs w:val="24"/>
              <w:lang w:eastAsia="lt-LT"/>
            </w:rPr>
          </w:pPr>
          <w:r>
            <w:rPr>
              <w:b/>
              <w:bCs/>
              <w:szCs w:val="24"/>
              <w:lang w:eastAsia="lt-LT"/>
            </w:rPr>
            <w:t>NUTARIMAS</w:t>
          </w:r>
        </w:p>
        <w:p w14:paraId="516E0CDD" w14:textId="77777777">
          <w:pPr>
            <w:jc w:val="center"/>
            <w:rPr>
              <w:b/>
              <w:szCs w:val="24"/>
              <w:lang w:eastAsia="lt-LT"/>
            </w:rPr>
          </w:pPr>
          <w:r>
            <w:rPr>
              <w:b/>
              <w:szCs w:val="24"/>
              <w:lang w:eastAsia="lt-LT"/>
            </w:rPr>
            <w:t>DĖL LIETUVOS RESPUBLIKOS VYRIAUSYBĖS 2017 M. KOVO 1 D. NUTARIMO NR. 149 „DĖL LIETUVOS RESPUBLIKOS MOKSLO IR STUDIJŲ ĮSTATYMO ĮGYVENDINIMO“ PAKEITIMO</w:t>
          </w:r>
        </w:p>
        <w:p w14:paraId="05F05088" w14:textId="77777777">
          <w:pPr>
            <w:jc w:val="center"/>
            <w:rPr>
              <w:szCs w:val="24"/>
              <w:lang w:eastAsia="lt-LT"/>
            </w:rPr>
          </w:pPr>
        </w:p>
        <w:p w14:paraId="6F4E2780" w14:textId="0F435717">
          <w:pPr>
            <w:jc w:val="center"/>
            <w:rPr>
              <w:szCs w:val="24"/>
              <w:lang w:eastAsia="lt-LT"/>
            </w:rPr>
          </w:pPr>
          <w:r>
            <w:rPr>
              <w:szCs w:val="24"/>
              <w:lang w:eastAsia="lt-LT"/>
            </w:rPr>
            <w:t xml:space="preserve">Nr. </w:t>
          </w:r>
        </w:p>
        <w:p w14:paraId="244E5F40" w14:textId="77777777">
          <w:pPr>
            <w:jc w:val="center"/>
            <w:rPr>
              <w:szCs w:val="24"/>
              <w:lang w:eastAsia="lt-LT"/>
            </w:rPr>
          </w:pPr>
          <w:r>
            <w:rPr>
              <w:szCs w:val="24"/>
              <w:lang w:eastAsia="lt-LT"/>
            </w:rPr>
            <w:t>Vilnius</w:t>
          </w:r>
        </w:p>
        <w:p w14:paraId="6DA8D691" w14:textId="77777777">
          <w:pPr>
            <w:jc w:val="center"/>
            <w:rPr>
              <w:szCs w:val="24"/>
              <w:lang w:eastAsia="lt-LT"/>
            </w:rPr>
          </w:pPr>
        </w:p>
        <w:sdt>
          <w:sdtPr>
            <w:alias w:val="preambule"/>
            <w:tag w:val="part_70e26eb95b294bd8ab9f7a8cefbc670a"/>
            <w:lock w:val="sdtLocked"/>
            <w:richText/>
          </w:sdtPr>
          <w:sdtContent>
            <w:p w14:paraId="013C5AFC" w14:textId="2D70B614">
              <w:pPr>
                <w:spacing w:line="276" w:lineRule="auto"/>
                <w:ind w:firstLine="720"/>
                <w:jc w:val="both"/>
                <w:rPr>
                  <w:szCs w:val="24"/>
                  <w:lang w:eastAsia="lt-LT"/>
                </w:rPr>
              </w:pPr>
              <w:r>
                <w:rPr>
                  <w:szCs w:val="24"/>
                  <w:lang w:eastAsia="lt-LT"/>
                </w:rPr>
                <w:t xml:space="preserve">Lietuvos Respublikos Vyriausybė  </w:t>
              </w:r>
              <w:r>
                <w:rPr>
                  <w:spacing w:val="60"/>
                  <w:szCs w:val="24"/>
                  <w:lang w:eastAsia="lt-LT"/>
                </w:rPr>
                <w:t>nutari</w:t>
              </w:r>
              <w:r>
                <w:rPr>
                  <w:spacing w:val="20"/>
                  <w:szCs w:val="24"/>
                  <w:lang w:eastAsia="lt-LT"/>
                </w:rPr>
                <w:t>a:</w:t>
              </w:r>
            </w:p>
          </w:sdtContent>
        </w:sdt>
        <w:sdt>
          <w:sdtPr>
            <w:alias w:val="pastraipa"/>
            <w:tag w:val="part_0f3670b2239146ba85c7607346595e7c"/>
            <w:lock w:val="sdtLocked"/>
            <w:richText/>
          </w:sdtPr>
          <w:sdtContent>
            <w:p w14:paraId="037B3504" w14:textId="3D3F22FC">
              <w:pPr>
                <w:spacing w:line="276" w:lineRule="auto"/>
                <w:ind w:firstLine="720"/>
                <w:jc w:val="both"/>
                <w:rPr>
                  <w:szCs w:val="24"/>
                  <w:lang w:eastAsia="lt-LT"/>
                </w:rPr>
              </w:pPr>
              <w:r>
                <w:rPr>
                  <w:szCs w:val="24"/>
                  <w:lang w:eastAsia="lt-LT"/>
                </w:rPr>
                <w:t>Pakeisti Paramos aukštųjų mokyklų studentams teikimo tvarkos aprašą, patvirtintą Lietuvos Respublikos Vyriausybės 2017 m. kovo 1 d. nutarimu Nr. 149 „Dėl Lietuvos Respublikos mokslo ir studijų įstatymo įgyvendinimo“:</w:t>
              </w:r>
            </w:p>
          </w:sdtContent>
        </w:sdt>
        <w:sdt>
          <w:sdtPr>
            <w:alias w:val="1 p."/>
            <w:tag w:val="part_2f68a5c6fafb488585ba3f985252f944"/>
            <w:lock w:val="sdtLocked"/>
            <w:richText/>
          </w:sdtPr>
          <w:sdtContent>
            <w:p w14:paraId="5A6F15ED" w14:textId="77777777">
              <w:pPr>
                <w:spacing w:line="276" w:lineRule="auto"/>
                <w:ind w:firstLine="851"/>
                <w:jc w:val="both"/>
                <w:rPr>
                  <w:szCs w:val="24"/>
                  <w:lang w:eastAsia="lt-LT"/>
                </w:rPr>
              </w:pPr>
              <w:sdt>
                <w:sdtPr>
                  <w:alias w:val="Numeris"/>
                  <w:tag w:val="nr_2f68a5c6fafb488585ba3f985252f944"/>
                  <w:lock w:val="sdtLocked"/>
                  <w:richText/>
                </w:sdtPr>
                <w:sdtContent>
                  <w:r>
                    <w:rPr>
                      <w:szCs w:val="24"/>
                      <w:lang w:eastAsia="lt-LT"/>
                    </w:rPr>
                    <w:t>1</w:t>
                  </w:r>
                </w:sdtContent>
              </w:sdt>
              <w:r>
                <w:rPr>
                  <w:szCs w:val="24"/>
                  <w:lang w:eastAsia="lt-LT"/>
                </w:rPr>
                <w:t>. Pakeisti 3.2 papunktį ir jį išdėstyti taip:</w:t>
              </w:r>
            </w:p>
            <w:sdt>
              <w:sdtPr>
                <w:alias w:val="citata"/>
                <w:tag w:val="part_3aed199414b44e28912b3af89c133c7a"/>
                <w:lock w:val="sdtLocked"/>
                <w:richText/>
              </w:sdtPr>
              <w:sdtContent>
                <w:sdt>
                  <w:sdtPr>
                    <w:alias w:val="3.2 pp."/>
                    <w:tag w:val="part_34659f6b26c24ccaa692cbc21ab6d1d5"/>
                    <w:lock w:val="sdtLocked"/>
                    <w:richText/>
                  </w:sdtPr>
                  <w:sdtContent>
                    <w:p w14:paraId="72A91C3B" w14:textId="1BA4FFD7">
                      <w:pPr>
                        <w:ind w:firstLine="851"/>
                        <w:jc w:val="both"/>
                      </w:pPr>
                      <w:r>
                        <w:t>„</w:t>
                      </w:r>
                      <w:sdt>
                        <w:sdtPr>
                          <w:alias w:val="Numeris"/>
                          <w:tag w:val="nr_34659f6b26c24ccaa692cbc21ab6d1d5"/>
                          <w:lock w:val="sdtLocked"/>
                          <w:richText/>
                        </w:sdtPr>
                        <w:sdtContent>
                          <w:r>
                            <w:t>3.2</w:t>
                          </w:r>
                        </w:sdtContent>
                      </w:sdt>
                      <w:r>
                        <w:t xml:space="preserve">. pagal pirmosios pakopos </w:t>
                      </w:r>
                      <w:r>
                        <w:rPr>
                          <w:b/>
                          <w:bCs/>
                          <w:szCs w:val="24"/>
                        </w:rPr>
                        <w:t xml:space="preserve">ir (ar) vientisųjų studijų </w:t>
                      </w:r>
                      <w:r>
                        <w:t>ir (ar) antrosios pakopos studijų programas, susijusias su veikla žemės ūkio</w:t>
                      </w:r>
                      <w:r>
                        <w:rPr>
                          <w:b/>
                          <w:bCs/>
                        </w:rPr>
                        <w:t>,</w:t>
                      </w:r>
                      <w:r>
                        <w:t xml:space="preserve"> </w:t>
                      </w:r>
                      <w:r>
                        <w:rPr>
                          <w:b/>
                          <w:bCs/>
                        </w:rPr>
                        <w:t>maisto</w:t>
                      </w:r>
                      <w:r>
                        <w:t xml:space="preserve"> </w:t>
                      </w:r>
                      <w:r>
                        <w:rPr>
                          <w:b/>
                          <w:bCs/>
                        </w:rPr>
                        <w:t>ūkio,</w:t>
                      </w:r>
                      <w:r>
                        <w:t xml:space="preserve"> </w:t>
                      </w:r>
                      <w:r>
                        <w:rPr>
                          <w:b/>
                          <w:bCs/>
                        </w:rPr>
                        <w:t>veterinarijos</w:t>
                      </w:r>
                      <w:r>
                        <w:t xml:space="preserve"> ir miškininkystės sektoriuose, pirmame kurse;“.</w:t>
                      </w:r>
                    </w:p>
                  </w:sdtContent>
                </w:sdt>
              </w:sdtContent>
            </w:sdt>
          </w:sdtContent>
        </w:sdt>
        <w:sdt>
          <w:sdtPr>
            <w:alias w:val="2 p."/>
            <w:tag w:val="part_e137c39c2d544bc7a1cfc0de7a29ce13"/>
            <w:lock w:val="sdtLocked"/>
            <w:richText/>
          </w:sdtPr>
          <w:sdtContent>
            <w:p w14:paraId="45A4BB87" w14:textId="3787D2AD">
              <w:pPr>
                <w:spacing w:line="276" w:lineRule="auto"/>
                <w:ind w:firstLine="720"/>
                <w:jc w:val="both"/>
                <w:rPr>
                  <w:szCs w:val="24"/>
                  <w:lang w:eastAsia="lt-LT"/>
                </w:rPr>
              </w:pPr>
              <w:sdt>
                <w:sdtPr>
                  <w:alias w:val="Numeris"/>
                  <w:tag w:val="nr_e137c39c2d544bc7a1cfc0de7a29ce13"/>
                  <w:lock w:val="sdtLocked"/>
                  <w:richText/>
                </w:sdtPr>
                <w:sdtContent>
                  <w:r>
                    <w:rPr>
                      <w:szCs w:val="24"/>
                      <w:lang w:eastAsia="lt-LT"/>
                    </w:rPr>
                    <w:t>2</w:t>
                  </w:r>
                </w:sdtContent>
              </w:sdt>
              <w:r>
                <w:rPr>
                  <w:szCs w:val="24"/>
                  <w:lang w:eastAsia="lt-LT"/>
                </w:rPr>
                <w:t>. Papildyti 3.4 papunkčiu:</w:t>
              </w:r>
            </w:p>
            <w:sdt>
              <w:sdtPr>
                <w:alias w:val="citata"/>
                <w:tag w:val="part_0f67695c322d4b56a38f4867d3c36f5f"/>
                <w:lock w:val="sdtLocked"/>
                <w:richText/>
              </w:sdtPr>
              <w:sdtContent>
                <w:sdt>
                  <w:sdtPr>
                    <w:alias w:val="3.4 pp."/>
                    <w:tag w:val="part_389385f48a4444c2a5e9655ef75228b3"/>
                    <w:lock w:val="sdtLocked"/>
                    <w:richText/>
                  </w:sdtPr>
                  <w:sdtContent>
                    <w:p w14:paraId="07C316ED" w14:textId="01C9FA39">
                      <w:pPr>
                        <w:spacing w:line="276" w:lineRule="auto"/>
                        <w:ind w:firstLine="720"/>
                        <w:jc w:val="both"/>
                        <w:rPr>
                          <w:szCs w:val="24"/>
                          <w:lang w:eastAsia="lt-LT"/>
                        </w:rPr>
                      </w:pPr>
                      <w:r>
                        <w:rPr>
                          <w:szCs w:val="24"/>
                          <w:lang w:eastAsia="lt-LT"/>
                        </w:rPr>
                        <w:t>„</w:t>
                      </w:r>
                      <w:sdt>
                        <w:sdtPr>
                          <w:alias w:val="Numeris"/>
                          <w:tag w:val="nr_389385f48a4444c2a5e9655ef75228b3"/>
                          <w:lock w:val="sdtLocked"/>
                          <w:richText/>
                        </w:sdtPr>
                        <w:sdtContent>
                          <w:r>
                            <w:rPr>
                              <w:b/>
                              <w:bCs/>
                              <w:szCs w:val="24"/>
                              <w:lang w:eastAsia="lt-LT"/>
                            </w:rPr>
                            <w:t>3.4</w:t>
                          </w:r>
                        </w:sdtContent>
                      </w:sdt>
                      <w:r>
                        <w:rPr>
                          <w:b/>
                          <w:bCs/>
                          <w:szCs w:val="24"/>
                          <w:lang w:eastAsia="lt-LT"/>
                        </w:rPr>
                        <w:t xml:space="preserve">. pagal pirmosios  ir (ar) antrosios pakopos studijų programas, susijusias su veikla energetikos sektoriuje.</w:t>
                      </w:r>
                      <w:r>
                        <w:rPr>
                          <w:szCs w:val="24"/>
                          <w:lang w:eastAsia="lt-LT"/>
                        </w:rPr>
                        <w:t>“</w:t>
                      </w:r>
                    </w:p>
                  </w:sdtContent>
                </w:sdt>
              </w:sdtContent>
            </w:sdt>
          </w:sdtContent>
        </w:sdt>
        <w:sdt>
          <w:sdtPr>
            <w:alias w:val="3 p."/>
            <w:tag w:val="part_9eb5c0b7755842d2a96f457dba27cbe3"/>
            <w:lock w:val="sdtLocked"/>
            <w:richText/>
          </w:sdtPr>
          <w:sdtContent>
            <w:p w14:paraId="62533798" w14:textId="47A53DBB">
              <w:pPr>
                <w:tabs>
                  <w:tab w:val="center" w:pos="-7800"/>
                  <w:tab w:val="left" w:pos="6237"/>
                  <w:tab w:val="right" w:pos="8306"/>
                </w:tabs>
                <w:spacing w:line="276" w:lineRule="auto"/>
                <w:ind w:firstLine="720"/>
                <w:jc w:val="both"/>
                <w:rPr>
                  <w:szCs w:val="24"/>
                  <w:lang w:eastAsia="lt-LT"/>
                </w:rPr>
              </w:pPr>
              <w:sdt>
                <w:sdtPr>
                  <w:alias w:val="Numeris"/>
                  <w:tag w:val="nr_9eb5c0b7755842d2a96f457dba27cbe3"/>
                  <w:lock w:val="sdtLocked"/>
                  <w:richText/>
                </w:sdtPr>
                <w:sdtContent>
                  <w:r>
                    <w:rPr>
                      <w:szCs w:val="24"/>
                      <w:lang w:eastAsia="lt-LT"/>
                    </w:rPr>
                    <w:t>3</w:t>
                  </w:r>
                </w:sdtContent>
              </w:sdt>
              <w:r>
                <w:rPr>
                  <w:szCs w:val="24"/>
                  <w:lang w:eastAsia="lt-LT"/>
                </w:rPr>
                <w:t>. Pakeisti 6 punktą ir jį išdėstyti taip:</w:t>
              </w:r>
            </w:p>
            <w:sdt>
              <w:sdtPr>
                <w:alias w:val="citata"/>
                <w:tag w:val="part_563c86f545cb4ac19d131cf3a3bbb777"/>
                <w:lock w:val="sdtLocked"/>
                <w:richText/>
              </w:sdtPr>
              <w:sdtContent>
                <w:sdt>
                  <w:sdtPr>
                    <w:alias w:val="6 p."/>
                    <w:tag w:val="part_85e436102729473ca206e853e1744dd5"/>
                    <w:lock w:val="sdtLocked"/>
                    <w:richText/>
                  </w:sdtPr>
                  <w:sdtContent>
                    <w:p w14:paraId="13243E1C" w14:textId="49E1689F">
                      <w:pPr>
                        <w:spacing w:line="276" w:lineRule="auto"/>
                        <w:ind w:firstLine="720"/>
                        <w:jc w:val="both"/>
                        <w:rPr>
                          <w:szCs w:val="24"/>
                          <w:lang w:eastAsia="lt-LT"/>
                        </w:rPr>
                      </w:pPr>
                      <w:r>
                        <w:rPr>
                          <w:szCs w:val="24"/>
                          <w:lang w:eastAsia="lt-LT"/>
                        </w:rPr>
                        <w:t>„</w:t>
                      </w:r>
                      <w:sdt>
                        <w:sdtPr>
                          <w:alias w:val="Numeris"/>
                          <w:tag w:val="nr_85e436102729473ca206e853e1744dd5"/>
                          <w:lock w:val="sdtLocked"/>
                          <w:richText/>
                        </w:sdtPr>
                        <w:sdtContent>
                          <w:r>
                            <w:rPr>
                              <w:szCs w:val="24"/>
                              <w:lang w:eastAsia="lt-LT"/>
                            </w:rPr>
                            <w:t>6</w:t>
                          </w:r>
                        </w:sdtContent>
                      </w:sdt>
                      <w:r>
                        <w:rPr>
                          <w:szCs w:val="24"/>
                          <w:lang w:eastAsia="lt-LT"/>
                        </w:rPr>
                        <w:t>. Tikslinės skatinamosios stipendijos gali būti skiriamos Aprašo 3.1 papunktyje</w:t>
                      </w:r>
                      <w:r>
                        <w:rPr>
                          <w:strike/>
                          <w:szCs w:val="24"/>
                          <w:lang w:eastAsia="lt-LT"/>
                        </w:rPr>
                        <w:t xml:space="preserve"> </w:t>
                      </w:r>
                      <w:r>
                        <w:rPr>
                          <w:szCs w:val="24"/>
                          <w:lang w:eastAsia="lt-LT"/>
                        </w:rPr>
                        <w:t xml:space="preserve">nurodytiems studentams visam studijų laikotarpiui aukštosios mokyklos nustatyta tvarka, atsižvelgiant į jų studijų rezultatus. Tikslinės skatinamosios stipendijos gali būti skiriamos Aprašo 3.2 papunktyje nurodytiems studentams aukštosios mokyklos nustatyta tvarka, atsižvelgiant į jų priėmimo į aukštąją mokyklą ir (ar) studijų rezultatus. Tikslinės skatinamosios stipendijos Aprašo 3.3 </w:t>
                      </w:r>
                      <w:r>
                        <w:rPr>
                          <w:strike/>
                          <w:szCs w:val="24"/>
                          <w:lang w:eastAsia="lt-LT"/>
                        </w:rPr>
                        <w:t>papunktyje</w:t>
                      </w:r>
                      <w:r>
                        <w:rPr>
                          <w:szCs w:val="24"/>
                          <w:lang w:eastAsia="lt-LT"/>
                        </w:rPr>
                        <w:t xml:space="preserve"> </w:t>
                      </w:r>
                      <w:r>
                        <w:rPr>
                          <w:b/>
                          <w:bCs/>
                          <w:szCs w:val="24"/>
                          <w:lang w:eastAsia="lt-LT"/>
                        </w:rPr>
                        <w:t>ir 3.4 papunkčiuose</w:t>
                      </w:r>
                      <w:r>
                        <w:rPr>
                          <w:szCs w:val="24"/>
                          <w:lang w:eastAsia="lt-LT"/>
                        </w:rPr>
                        <w:t xml:space="preserve"> nurodytiems studentams gali būti skiriamos visam studijų laikotarpiui aukštosios mokyklos nustatyta tvarka. Tikslinė skatinamoji stipendija gali būti skiriama studentams kartu su skatinamąja stipendija arba skatinamosios stipendijos studentui neskyrus. Studentui skiriama tikslinė skatinamoji stipendija per mėnesį negali būti mažesnė kaip 1 bazinės socialinės išmokos </w:t>
                      </w:r>
                      <w:r>
                        <w:rPr>
                          <w:b/>
                          <w:bCs/>
                          <w:szCs w:val="24"/>
                          <w:lang w:eastAsia="lt-LT"/>
                        </w:rPr>
                        <w:t>(toliau – BSI)</w:t>
                      </w:r>
                      <w:r>
                        <w:rPr>
                          <w:szCs w:val="24"/>
                          <w:lang w:eastAsia="lt-LT"/>
                        </w:rPr>
                        <w:t xml:space="preserve"> dydis.“</w:t>
                      </w:r>
                    </w:p>
                  </w:sdtContent>
                </w:sdt>
              </w:sdtContent>
            </w:sdt>
          </w:sdtContent>
        </w:sdt>
        <w:sdt>
          <w:sdtPr>
            <w:alias w:val="4 p."/>
            <w:tag w:val="part_8424ee8c06474a689354845f4a848947"/>
            <w:lock w:val="sdtLocked"/>
            <w:richText/>
          </w:sdtPr>
          <w:sdtContent>
            <w:p w14:paraId="5E0108AB" w14:textId="6B11F370">
              <w:pPr>
                <w:tabs>
                  <w:tab w:val="center" w:pos="-7800"/>
                  <w:tab w:val="left" w:pos="6237"/>
                  <w:tab w:val="right" w:pos="8306"/>
                </w:tabs>
                <w:spacing w:line="276" w:lineRule="auto"/>
                <w:ind w:firstLine="720"/>
                <w:jc w:val="both"/>
                <w:rPr>
                  <w:szCs w:val="24"/>
                  <w:lang w:eastAsia="lt-LT"/>
                </w:rPr>
              </w:pPr>
              <w:sdt>
                <w:sdtPr>
                  <w:alias w:val="Numeris"/>
                  <w:tag w:val="nr_8424ee8c06474a689354845f4a848947"/>
                  <w:lock w:val="sdtLocked"/>
                  <w:richText/>
                </w:sdtPr>
                <w:sdtContent>
                  <w:r>
                    <w:rPr>
                      <w:szCs w:val="24"/>
                      <w:lang w:eastAsia="lt-LT"/>
                    </w:rPr>
                    <w:t>4</w:t>
                  </w:r>
                </w:sdtContent>
              </w:sdt>
              <w:r>
                <w:rPr>
                  <w:szCs w:val="24"/>
                  <w:lang w:eastAsia="lt-LT"/>
                </w:rPr>
                <w:t>. Pakeisti 7 punktą ir jį išdėstyti taip:</w:t>
              </w:r>
            </w:p>
            <w:sdt>
              <w:sdtPr>
                <w:alias w:val="citata"/>
                <w:tag w:val="part_7128a23bada6434cbb6f86e3cb9dd013"/>
                <w:lock w:val="sdtLocked"/>
                <w:richText/>
              </w:sdtPr>
              <w:sdtContent>
                <w:sdt>
                  <w:sdtPr>
                    <w:alias w:val="7 p."/>
                    <w:tag w:val="part_7ea492781984497186baa31f60b1fc63"/>
                    <w:lock w:val="sdtLocked"/>
                    <w:richText/>
                  </w:sdtPr>
                  <w:sdtContent>
                    <w:p w14:paraId="68B66F98" w14:textId="0DFED6C6">
                      <w:pPr>
                        <w:spacing w:line="276" w:lineRule="auto"/>
                        <w:ind w:firstLine="720"/>
                        <w:jc w:val="both"/>
                        <w:rPr>
                          <w:szCs w:val="24"/>
                          <w:lang w:eastAsia="lt-LT"/>
                        </w:rPr>
                      </w:pPr>
                      <w:r>
                        <w:rPr>
                          <w:szCs w:val="24"/>
                          <w:lang w:eastAsia="lt-LT"/>
                        </w:rPr>
                        <w:t>„</w:t>
                      </w:r>
                      <w:sdt>
                        <w:sdtPr>
                          <w:alias w:val="Numeris"/>
                          <w:tag w:val="nr_7ea492781984497186baa31f60b1fc63"/>
                          <w:lock w:val="sdtLocked"/>
                          <w:richText/>
                        </w:sdtPr>
                        <w:sdtContent>
                          <w:r>
                            <w:rPr>
                              <w:szCs w:val="24"/>
                              <w:lang w:eastAsia="lt-LT"/>
                            </w:rPr>
                            <w:t>7</w:t>
                          </w:r>
                        </w:sdtContent>
                      </w:sdt>
                      <w:r>
                        <w:rPr>
                          <w:szCs w:val="24"/>
                          <w:lang w:eastAsia="lt-LT"/>
                        </w:rPr>
                        <w:t xml:space="preserve">. Valstybės biudžeto lėšų suma, skiriama metams tikslinėms skatinamosioms stipendijoms, apskaičiuojama Aprašo 3.1.1 papunktyje nurodytų studentų skaičių padauginus iš 3,73 BSI dydžio, o Aprašo 3.1.2 papunktyje nurodytų studentų skaičių padauginus iš 2,88 BSI dydžio. Tikslinės skatinamosios stipendijos Aprašo 3.2 papunktyje nurodytų studijų programų pirmosios </w:t>
                      </w:r>
                      <w:r>
                        <w:rPr>
                          <w:b/>
                          <w:bCs/>
                          <w:szCs w:val="24"/>
                        </w:rPr>
                        <w:t>ir (ar) vientisųjų studijų</w:t>
                      </w:r>
                      <w:r>
                        <w:rPr>
                          <w:szCs w:val="24"/>
                          <w:lang w:eastAsia="lt-LT"/>
                        </w:rPr>
                        <w:t xml:space="preserve"> ir (ar) antrosios pakopos pirmo kurso studentams mokamos iš Lietuvos Respublikos žemės ūkio ministerijai (pagal studijų programas, susijusias su veikla žemės ūkio</w:t>
                      </w:r>
                      <w:r>
                        <w:rPr>
                          <w:b/>
                          <w:bCs/>
                          <w:szCs w:val="24"/>
                          <w:lang w:eastAsia="lt-LT"/>
                        </w:rPr>
                        <w:t xml:space="preserve">, maisto ūkio, veterinarijos </w:t>
                      </w:r>
                      <w:r>
                        <w:rPr>
                          <w:strike/>
                          <w:szCs w:val="24"/>
                          <w:lang w:eastAsia="lt-LT"/>
                        </w:rPr>
                        <w:t>sektoriuje</w:t>
                      </w:r>
                      <w:r>
                        <w:rPr>
                          <w:szCs w:val="24"/>
                          <w:lang w:eastAsia="lt-LT"/>
                        </w:rPr>
                        <w:t xml:space="preserve"> </w:t>
                      </w:r>
                      <w:r>
                        <w:rPr>
                          <w:b/>
                          <w:bCs/>
                          <w:szCs w:val="24"/>
                          <w:lang w:eastAsia="lt-LT"/>
                        </w:rPr>
                        <w:t>sektoriuose</w:t>
                      </w:r>
                      <w:r>
                        <w:rPr>
                          <w:szCs w:val="24"/>
                          <w:lang w:eastAsia="lt-LT"/>
                        </w:rPr>
                        <w:t xml:space="preserve">) ir Lietuvos Respublikos aplinkos ministerijai (pagal studijų programas, susijusias su veikla miškininkystės sektoriuje) skirtų valstybės biudžeto asignavimų, </w:t>
                      </w:r>
                      <w:r>
                        <w:rPr>
                          <w:strike/>
                          <w:szCs w:val="24"/>
                          <w:lang w:eastAsia="lt-LT"/>
                        </w:rPr>
                        <w:t>o</w:t>
                      </w:r>
                      <w:r>
                        <w:rPr>
                          <w:szCs w:val="24"/>
                          <w:lang w:eastAsia="lt-LT"/>
                        </w:rPr>
                        <w:t xml:space="preserve"> Aprašo 3.3 papunktyje nurodytų studijų programų pirmosios ir (ar) antrosios pakopos studentams – iš Lietuvos Respublikos ekonomikos ir inovacijų ministerijai skirtų valstybės biudžeto asignavimų, </w:t>
                      </w:r>
                      <w:r>
                        <w:rPr>
                          <w:b/>
                          <w:bCs/>
                          <w:szCs w:val="24"/>
                          <w:lang w:eastAsia="lt-LT"/>
                        </w:rPr>
                        <w:t>o Aprašo 3.4 papunktyje nurodytų studijų programų pirmosios ir (ar) antrosios pakopos studentams</w:t>
                      </w:r>
                      <w:r>
                        <w:rPr>
                          <w:szCs w:val="24"/>
                          <w:lang w:eastAsia="lt-LT"/>
                        </w:rPr>
                        <w:t xml:space="preserve"> </w:t>
                      </w:r>
                      <w:r>
                        <w:rPr>
                          <w:b/>
                          <w:bCs/>
                          <w:szCs w:val="24"/>
                          <w:lang w:eastAsia="lt-LT"/>
                        </w:rPr>
                        <w:t xml:space="preserve">– iš Lietuvos Respublikos energetikos ministerijai </w:t>
                      </w:r>
                      <w:r>
                        <w:rPr>
                          <w:rFonts w:eastAsia="Calibri"/>
                          <w:b/>
                          <w:bCs/>
                          <w:szCs w:val="24"/>
                          <w:lang w:eastAsia="lt-LT"/>
                        </w:rPr>
                        <w:t>(pagal studijų programas, susijusias su veikla energetikos sektoriuje)</w:t>
                      </w:r>
                      <w:r>
                        <w:rPr>
                          <w:b/>
                          <w:bCs/>
                          <w:szCs w:val="24"/>
                          <w:lang w:eastAsia="lt-LT"/>
                        </w:rPr>
                        <w:t xml:space="preserve"> skirtų valstybės biudžeto asignavimų</w:t>
                      </w:r>
                      <w:r>
                        <w:rPr>
                          <w:szCs w:val="24"/>
                          <w:lang w:eastAsia="lt-LT"/>
                        </w:rPr>
                        <w:t>. Žemės ūkio, aplinkos</w:t>
                      </w:r>
                      <w:r>
                        <w:rPr>
                          <w:b/>
                          <w:bCs/>
                          <w:szCs w:val="24"/>
                          <w:lang w:eastAsia="lt-LT"/>
                        </w:rPr>
                        <w:t>, energetikos</w:t>
                      </w:r>
                      <w:r>
                        <w:rPr>
                          <w:szCs w:val="24"/>
                          <w:lang w:eastAsia="lt-LT"/>
                        </w:rPr>
                        <w:t xml:space="preserve"> ir ekonomikos ir inovacijų ministrai kasmet iki gegužės 31 d. </w:t>
                      </w:r>
                      <w:r>
                        <w:rPr>
                          <w:strike/>
                          <w:szCs w:val="24"/>
                          <w:lang w:eastAsia="lt-LT"/>
                        </w:rPr>
                        <w:t>(2020 m. – iki liepos 31 d.)</w:t>
                      </w:r>
                      <w:r>
                        <w:rPr>
                          <w:szCs w:val="24"/>
                          <w:lang w:eastAsia="lt-LT"/>
                        </w:rPr>
                        <w:t xml:space="preserve"> nustato žemės ūkio, </w:t>
                      </w:r>
                      <w:r>
                        <w:rPr>
                          <w:b/>
                          <w:bCs/>
                          <w:szCs w:val="24"/>
                          <w:lang w:eastAsia="lt-LT"/>
                        </w:rPr>
                        <w:t>maisto ūkio, veterinarijos,</w:t>
                      </w:r>
                      <w:r>
                        <w:rPr>
                          <w:szCs w:val="24"/>
                          <w:lang w:eastAsia="lt-LT"/>
                        </w:rPr>
                        <w:t xml:space="preserve"> miškininkystės</w:t>
                      </w:r>
                      <w:r>
                        <w:rPr>
                          <w:b/>
                          <w:bCs/>
                          <w:szCs w:val="24"/>
                          <w:lang w:eastAsia="lt-LT"/>
                        </w:rPr>
                        <w:t>, energetikos</w:t>
                      </w:r>
                      <w:r>
                        <w:rPr>
                          <w:szCs w:val="24"/>
                          <w:lang w:eastAsia="lt-LT"/>
                        </w:rPr>
                        <w:t xml:space="preserve"> sektoriams ir regionų investicinio patrauklumo didinimui aktualiausių studijų programų, nurodytų Aprašo 3.2–</w:t>
                      </w:r>
                      <w:r>
                        <w:rPr>
                          <w:strike/>
                          <w:szCs w:val="24"/>
                          <w:lang w:eastAsia="lt-LT"/>
                        </w:rPr>
                        <w:t>3.3</w:t>
                      </w:r>
                      <w:r>
                        <w:rPr>
                          <w:b/>
                          <w:bCs/>
                          <w:szCs w:val="24"/>
                          <w:lang w:eastAsia="lt-LT"/>
                        </w:rPr>
                        <w:t>3.4</w:t>
                      </w:r>
                      <w:r>
                        <w:rPr>
                          <w:szCs w:val="24"/>
                          <w:lang w:eastAsia="lt-LT"/>
                        </w:rPr>
                        <w:t xml:space="preserve"> papunkčiuose, sąrašus, tikslinių skatinamųjų stipendijų dydžius ir jų skaičius, tikslinių skatinamųjų stipendijų paskirstymą pagal nustatytas studijų programas ir aukštąsias mokyklas. Šiame punkte nurodytos lėšos skiriamos aukštosioms mokykloms.“</w:t>
                      </w:r>
                    </w:p>
                    <w:p w14:paraId="13AF1823" w14:textId="2184B5E0">
                      <w:pPr>
                        <w:spacing w:line="276" w:lineRule="auto"/>
                        <w:ind w:firstLine="720"/>
                        <w:jc w:val="both"/>
                        <w:rPr>
                          <w:szCs w:val="24"/>
                          <w:lang w:eastAsia="lt-LT"/>
                        </w:rPr>
                      </w:pPr>
                    </w:p>
                    <w:p w14:paraId="0E63572E" w14:textId="381374C7">
                      <w:pPr>
                        <w:spacing w:line="276" w:lineRule="auto"/>
                        <w:ind w:firstLine="720"/>
                        <w:jc w:val="both"/>
                        <w:rPr>
                          <w:szCs w:val="24"/>
                          <w:lang w:eastAsia="lt-LT"/>
                        </w:rPr>
                      </w:pPr>
                    </w:p>
                    <w:p w14:paraId="5D73C50B" w14:textId="77777777">
                      <w:pPr>
                        <w:spacing w:line="276" w:lineRule="auto"/>
                        <w:ind w:firstLine="720"/>
                        <w:jc w:val="both"/>
                        <w:rPr>
                          <w:sz w:val="20"/>
                          <w:lang w:eastAsia="lt-LT"/>
                        </w:rPr>
                      </w:pPr>
                    </w:p>
                  </w:sdtContent>
                </w:sdt>
              </w:sdtContent>
            </w:sdt>
          </w:sdtContent>
        </w:sdt>
        <w:sdt>
          <w:sdtPr>
            <w:alias w:val="signatura"/>
            <w:tag w:val="part_459468c0f7e94122970c43cfb9a4a91d"/>
            <w:lock w:val="sdtLocked"/>
            <w:richText/>
          </w:sdtPr>
          <w:sdtContent>
            <w:p w14:paraId="141437D6" w14:textId="77777777">
              <w:pPr>
                <w:spacing w:line="276" w:lineRule="auto"/>
                <w:jc w:val="both"/>
                <w:rPr>
                  <w:szCs w:val="24"/>
                  <w:lang w:eastAsia="lt-LT"/>
                </w:rPr>
              </w:pPr>
              <w:r>
                <w:rPr>
                  <w:szCs w:val="24"/>
                  <w:lang w:eastAsia="lt-LT"/>
                </w:rPr>
                <w:t>Ministras Pirmininkas</w:t>
              </w:r>
            </w:p>
            <w:p w14:paraId="66AEC217" w14:textId="50F64A31">
              <w:pPr>
                <w:spacing w:line="276" w:lineRule="auto"/>
                <w:jc w:val="both"/>
                <w:rPr>
                  <w:szCs w:val="24"/>
                  <w:lang w:eastAsia="lt-LT"/>
                </w:rPr>
              </w:pPr>
            </w:p>
            <w:p w14:paraId="13890F4C" w14:textId="71A2FEC8">
              <w:pPr>
                <w:spacing w:line="276" w:lineRule="auto"/>
                <w:jc w:val="both"/>
                <w:rPr>
                  <w:szCs w:val="24"/>
                  <w:lang w:eastAsia="lt-LT"/>
                </w:rPr>
              </w:pPr>
            </w:p>
            <w:p w14:paraId="151534BF" w14:textId="77777777">
              <w:pPr>
                <w:spacing w:line="276" w:lineRule="auto"/>
                <w:jc w:val="both"/>
                <w:rPr>
                  <w:szCs w:val="24"/>
                  <w:lang w:eastAsia="lt-LT"/>
                </w:rPr>
              </w:pPr>
            </w:p>
            <w:p w14:paraId="2BB7CA7A" w14:textId="36FE948F">
              <w:pPr>
                <w:spacing w:line="276" w:lineRule="auto"/>
                <w:jc w:val="both"/>
                <w:rPr>
                  <w:szCs w:val="24"/>
                  <w:lang w:eastAsia="lt-LT"/>
                </w:rPr>
              </w:pPr>
              <w:r>
                <w:rPr>
                  <w:szCs w:val="24"/>
                  <w:lang w:eastAsia="lt-LT"/>
                </w:rPr>
                <w:t>Švietimo, mokslo ir sporto ministras</w:t>
              </w:r>
            </w:p>
          </w:sdtContent>
        </w:sdt>
      </w:sdtContent>
    </w:sdt>
    <w:sectPr>
      <w:headerReference w:type="even" r:id="rId10"/>
      <w:headerReference w:type="default" r:id="rId11"/>
      <w:footerReference w:type="even" r:id="rId12"/>
      <w:footerReference w:type="default" r:id="rId13"/>
      <w:headerReference w:type="first" r:id="rId14"/>
      <w:footerReference w:type="first" r:id="rId15"/>
      <w:pgSz w:w="11907" w:h="16839"/>
      <w:pgMar w:top="1134" w:right="1134" w:bottom="1134" w:left="1701" w:header="709" w:footer="709" w:gutter="0"/>
      <w:cols w:space="708"/>
      <w:titlePg/>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D7314" w14:textId="77777777">
      <w:pPr>
        <w:ind w:firstLine="720"/>
        <w:rPr>
          <w:rFonts w:ascii="Arial" w:hAnsi="Arial" w:cs="Arial"/>
          <w:sz w:val="20"/>
          <w:szCs w:val="24"/>
          <w:lang w:eastAsia="lt-LT"/>
        </w:rPr>
      </w:pPr>
      <w:r>
        <w:rPr>
          <w:rFonts w:ascii="Arial" w:hAnsi="Arial" w:cs="Arial"/>
          <w:sz w:val="20"/>
          <w:szCs w:val="24"/>
          <w:lang w:eastAsia="lt-LT"/>
        </w:rPr>
        <w:separator/>
      </w:r>
    </w:p>
  </w:endnote>
  <w:endnote w:type="continuationSeparator" w:id="0">
    <w:p w14:paraId="3D7E1361" w14:textId="77777777">
      <w:pPr>
        <w:ind w:firstLine="720"/>
        <w:rPr>
          <w:rFonts w:ascii="Arial" w:hAnsi="Arial" w:cs="Arial"/>
          <w:sz w:val="20"/>
          <w:szCs w:val="24"/>
          <w:lang w:eastAsia="lt-LT"/>
        </w:rPr>
      </w:pPr>
      <w:r>
        <w:rPr>
          <w:rFonts w:ascii="Arial" w:hAnsi="Arial" w:cs="Arial"/>
          <w:sz w:val="20"/>
          <w:szCs w:val="24"/>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F9AF5" w14:textId="77777777">
    <w:pPr>
      <w:tabs>
        <w:tab w:val="center" w:pos="4819"/>
        <w:tab w:val="right" w:pos="9638"/>
      </w:tabs>
      <w:ind w:firstLine="720"/>
      <w:rPr>
        <w:rFonts w:ascii="Arial" w:hAnsi="Arial" w:cs="Arial"/>
        <w:sz w:val="20"/>
        <w:lang w:eastAsia="lt-LT"/>
      </w:rPr>
    </w:pPr>
  </w:p>
</w:ftr>
</file>

<file path=word/footer2.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82BF4" w14:textId="77777777">
    <w:pPr>
      <w:tabs>
        <w:tab w:val="center" w:pos="4819"/>
        <w:tab w:val="right" w:pos="9638"/>
      </w:tabs>
      <w:ind w:firstLine="720"/>
      <w:rPr>
        <w:rFonts w:ascii="Arial" w:hAnsi="Arial" w:cs="Arial"/>
        <w:sz w:val="20"/>
        <w:lang w:eastAsia="lt-LT"/>
      </w:rPr>
    </w:pPr>
  </w:p>
</w:ftr>
</file>

<file path=word/footer3.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C26FA" w14:textId="77777777">
    <w:pPr>
      <w:tabs>
        <w:tab w:val="center" w:pos="4819"/>
        <w:tab w:val="right" w:pos="9638"/>
      </w:tabs>
      <w:ind w:firstLine="720"/>
      <w:rPr>
        <w:rFonts w:ascii="Arial" w:hAnsi="Arial" w:cs="Arial"/>
        <w:sz w:val="20"/>
        <w:lang w:eastAsia="lt-LT"/>
      </w:rPr>
    </w:pPr>
  </w:p>
</w:ftr>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B9FD5" w14:textId="77777777">
      <w:pPr>
        <w:ind w:firstLine="720"/>
        <w:rPr>
          <w:rFonts w:ascii="Arial" w:hAnsi="Arial" w:cs="Arial"/>
          <w:sz w:val="20"/>
          <w:szCs w:val="24"/>
          <w:lang w:eastAsia="lt-LT"/>
        </w:rPr>
      </w:pPr>
      <w:r>
        <w:rPr>
          <w:rFonts w:ascii="Arial" w:hAnsi="Arial" w:cs="Arial"/>
          <w:sz w:val="20"/>
          <w:szCs w:val="24"/>
          <w:lang w:eastAsia="lt-LT"/>
        </w:rPr>
        <w:separator/>
      </w:r>
    </w:p>
  </w:footnote>
  <w:footnote w:type="continuationSeparator" w:id="0">
    <w:p w14:paraId="340F06D0" w14:textId="77777777">
      <w:pPr>
        <w:ind w:firstLine="720"/>
        <w:rPr>
          <w:rFonts w:ascii="Arial" w:hAnsi="Arial" w:cs="Arial"/>
          <w:sz w:val="20"/>
          <w:szCs w:val="24"/>
          <w:lang w:eastAsia="lt-LT"/>
        </w:rPr>
      </w:pPr>
      <w:r>
        <w:rPr>
          <w:rFonts w:ascii="Arial" w:hAnsi="Arial" w:cs="Arial"/>
          <w:sz w:val="20"/>
          <w:szCs w:val="24"/>
          <w:lang w:eastAsia="lt-LT"/>
        </w:rPr>
        <w:continuationSeparator/>
      </w:r>
    </w:p>
  </w:footnote>
</w:footnotes>
</file>

<file path=word/header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D7167" w14:textId="77777777">
    <w:pPr>
      <w:framePr w:wrap="auto" w:vAnchor="text" w:hAnchor="margin" w:xAlign="center" w:y="1"/>
      <w:tabs>
        <w:tab w:val="center" w:pos="4819"/>
        <w:tab w:val="right" w:pos="9638"/>
      </w:tabs>
      <w:ind w:firstLine="720"/>
      <w:rPr>
        <w:rFonts w:ascii="Arial" w:hAnsi="Arial" w:cs="Arial"/>
        <w:sz w:val="20"/>
        <w:lang w:eastAsia="lt-LT"/>
      </w:rPr>
    </w:pPr>
    <w:r>
      <w:rPr>
        <w:rFonts w:ascii="Arial" w:hAnsi="Arial" w:cs="Arial"/>
        <w:sz w:val="20"/>
        <w:lang w:eastAsia="lt-LT"/>
      </w:rPr>
      <w:fldChar w:fldCharType="begin"/>
    </w:r>
    <w:r>
      <w:rPr>
        <w:rFonts w:ascii="Arial" w:hAnsi="Arial" w:cs="Arial"/>
        <w:sz w:val="20"/>
        <w:lang w:eastAsia="lt-LT"/>
      </w:rPr>
      <w:instrText xml:space="preserve">PAGE  </w:instrText>
    </w:r>
    <w:r>
      <w:rPr>
        <w:rFonts w:ascii="Arial" w:hAnsi="Arial" w:cs="Arial"/>
        <w:sz w:val="20"/>
        <w:lang w:eastAsia="lt-LT"/>
      </w:rPr>
      <w:fldChar w:fldCharType="end"/>
    </w:r>
  </w:p>
  <w:p w14:paraId="17644746" w14:textId="77777777">
    <w:pPr>
      <w:tabs>
        <w:tab w:val="center" w:pos="4819"/>
        <w:tab w:val="right" w:pos="9638"/>
      </w:tabs>
      <w:ind w:firstLine="720"/>
      <w:rPr>
        <w:rFonts w:ascii="Arial" w:hAnsi="Arial" w:cs="Arial"/>
        <w:sz w:val="20"/>
        <w:lang w:eastAsia="lt-LT"/>
      </w:rPr>
    </w:pPr>
  </w:p>
</w:hdr>
</file>

<file path=word/header2.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64690" w14:textId="53D793C4">
    <w:pPr>
      <w:framePr w:wrap="auto" w:vAnchor="text" w:hAnchor="margin" w:xAlign="center" w:y="1"/>
      <w:tabs>
        <w:tab w:val="center" w:pos="4819"/>
        <w:tab w:val="right" w:pos="9638"/>
      </w:tabs>
      <w:rPr>
        <w:rFonts w:ascii="Arial" w:hAnsi="Arial" w:cs="Arial"/>
        <w:sz w:val="20"/>
        <w:lang w:eastAsia="lt-LT"/>
      </w:rPr>
    </w:pPr>
    <w:r>
      <w:rPr>
        <w:rFonts w:ascii="Arial" w:hAnsi="Arial" w:cs="Arial"/>
        <w:sz w:val="20"/>
        <w:lang w:eastAsia="lt-LT"/>
      </w:rPr>
      <w:fldChar w:fldCharType="begin"/>
    </w:r>
    <w:r>
      <w:rPr>
        <w:rFonts w:ascii="Arial" w:hAnsi="Arial" w:cs="Arial"/>
        <w:sz w:val="20"/>
        <w:lang w:eastAsia="lt-LT"/>
      </w:rPr>
      <w:instrText xml:space="preserve">PAGE  </w:instrText>
    </w:r>
    <w:r>
      <w:rPr>
        <w:rFonts w:ascii="Arial" w:hAnsi="Arial" w:cs="Arial"/>
        <w:sz w:val="20"/>
        <w:lang w:eastAsia="lt-LT"/>
      </w:rPr>
      <w:fldChar w:fldCharType="separate"/>
    </w:r>
    <w:r>
      <w:rPr>
        <w:rFonts w:ascii="Arial" w:hAnsi="Arial" w:cs="Arial"/>
        <w:sz w:val="20"/>
        <w:lang w:eastAsia="lt-LT"/>
      </w:rPr>
      <w:t>3</w:t>
    </w:r>
    <w:r>
      <w:rPr>
        <w:rFonts w:ascii="Arial" w:hAnsi="Arial" w:cs="Arial"/>
        <w:sz w:val="20"/>
        <w:lang w:eastAsia="lt-LT"/>
      </w:rPr>
      <w:fldChar w:fldCharType="end"/>
    </w:r>
  </w:p>
  <w:p w14:paraId="4B4DD269" w14:textId="77777777">
    <w:pPr>
      <w:tabs>
        <w:tab w:val="center" w:pos="4819"/>
        <w:tab w:val="right" w:pos="9638"/>
      </w:tabs>
      <w:rPr>
        <w:rFonts w:ascii="Arial" w:hAnsi="Arial" w:cs="Arial"/>
        <w:sz w:val="20"/>
        <w:lang w:eastAsia="lt-LT"/>
      </w:rPr>
    </w:pPr>
  </w:p>
</w:hdr>
</file>

<file path=word/header3.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54601" w14:textId="1F78C9A6">
    <w:pPr>
      <w:tabs>
        <w:tab w:val="center" w:pos="4986"/>
        <w:tab w:val="right" w:pos="9972"/>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F7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C9E97E"/>
  <w15:docId w15:val="{3E694AA0-E6A6-488C-9F1B-5513AE2693E3}"/>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1088119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18" Target="../customXml/item5.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arts xmlns="http://lrs.lt/TAIS/DocParts">
  <Part Type="pagrindine" DocPartId="bafba62c877c4352a958b0315cfe3087" PartId="b26d7f0941fd48b5a914da14ff6a74d0">
    <Part Type="preambule" DocPartId="67edddaa1d014b2aaafc2107129293d2" PartId="70e26eb95b294bd8ab9f7a8cefbc670a"/>
    <Part Type="pastraipa" DocPartId="945911a46bbb428587cc2f60ff7e8ba8" PartId="0f3670b2239146ba85c7607346595e7c"/>
    <Part Type="punktas" Nr="1" Abbr="1 p." DocPartId="62671ad877e14a32968794500fbc2c18" PartId="2f68a5c6fafb488585ba3f985252f944">
      <Part Type="citata" DocPartId="168f16a1395a48db885ec4d995f14ae3" PartId="3aed199414b44e28912b3af89c133c7a">
        <Part Type="papunktis" Nr="3.2" Abbr="3.2 pp." DocPartId="01d178140b044b52837c1008656c2b75" PartId="34659f6b26c24ccaa692cbc21ab6d1d5"/>
      </Part>
    </Part>
    <Part Type="punktas" Nr="2" Abbr="2 p." DocPartId="ed4cba821f474882bbb717edc68b7f99" PartId="e137c39c2d544bc7a1cfc0de7a29ce13">
      <Part Type="citata" DocPartId="85e2c8f22514490fb1409336dafe7122" PartId="0f67695c322d4b56a38f4867d3c36f5f">
        <Part Type="papunktis" Nr="3.4" Abbr="3.4 pp." DocPartId="a702b59e961c4031a8bbdbd474aaca45" PartId="389385f48a4444c2a5e9655ef75228b3"/>
      </Part>
    </Part>
    <Part Type="punktas" Nr="3" Abbr="3 p." DocPartId="c59a87da52794623aa83a051fc3cdfea" PartId="9eb5c0b7755842d2a96f457dba27cbe3">
      <Part Type="citata" DocPartId="1d6cc808f5c3445d9e6f2062ecd3857b" PartId="563c86f545cb4ac19d131cf3a3bbb777">
        <Part Type="punktas" Nr="6" Abbr="6 p." DocPartId="dd35bfa8a3404303a5aad5c738ed80d1" PartId="85e436102729473ca206e853e1744dd5"/>
      </Part>
    </Part>
    <Part Type="punktas" Nr="4" Abbr="4 p." DocPartId="efb4336959844f62ad12b17ebccd4dac" PartId="8424ee8c06474a689354845f4a848947">
      <Part Type="citata" DocPartId="0c831fcf07f148bda684b4e2001f561c" PartId="7128a23bada6434cbb6f86e3cb9dd013">
        <Part Type="punktas" Nr="7" Abbr="7 p." DocPartId="834c6ae3a69b44d9b94a2d872d071826" PartId="7ea492781984497186baa31f60b1fc63"/>
      </Part>
    </Part>
    <Part Type="signatura" DocPartId="0b75116d129a42c190604574c24c14ca" PartId="459468c0f7e94122970c43cfb9a4a91d"/>
  </Part>
</Parts>
</file>

<file path=customXml/itemProps1.xml><?xml version="1.0" encoding="utf-8"?>
<ds:datastoreItem xmlns:ds="http://schemas.openxmlformats.org/officeDocument/2006/customXml" ds:itemID="{4747AF10-4312-4ADF-AA47-2B94CBDBF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ABE55CF-8E87-433B-AA26-9E8199AF66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BD5666-7F76-4D32-86D4-44C4F7309E8D}">
  <ds:schemaRefs>
    <ds:schemaRef ds:uri="http://schemas.microsoft.com/sharepoint/v3/contenttype/forms"/>
  </ds:schemaRefs>
</ds:datastoreItem>
</file>

<file path=customXml/itemProps4.xml><?xml version="1.0" encoding="utf-8"?>
<ds:datastoreItem xmlns:ds="http://schemas.openxmlformats.org/officeDocument/2006/customXml" ds:itemID="{D88232F0-5EA1-4299-907E-4B51FFFC8489}">
  <ds:schemaRefs>
    <ds:schemaRef ds:uri="http://schemas.openxmlformats.org/officeDocument/2006/bibliography"/>
  </ds:schemaRefs>
</ds:datastoreItem>
</file>

<file path=customXml/itemProps5.xml><?xml version="1.0" encoding="utf-8"?>
<ds:datastoreItem xmlns:ds="http://schemas.openxmlformats.org/officeDocument/2006/customXml" ds:itemID="{8CE8033B-6FB6-4F87-8807-4E99C218B285}">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460</Words>
  <Characters>3266</Characters>
  <Application>Microsoft Office Word</Application>
  <DocSecurity>4</DocSecurity>
  <Lines>68</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6f9c50ff-e259-4fb5-9ec7-29a2f18187f3</vt:lpstr>
      <vt:lpstr>Dėl Lietuvos Respublikos Vyriausybės 2017 m. kovo 1 d. nutarimo Nr. 149 „Dėl Lietuvos Respublikos mokslo ir studijų įstatymo įgyvendinimo“ pakeitimo</vt:lpstr>
    </vt:vector>
  </TitlesOfParts>
  <Company>Infolex</Company>
  <LinksUpToDate>false</LinksUpToDate>
  <CharactersWithSpaces>3705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2022-06-21T05:26:00Z</dcterms:created>
  <dc:creator>Infolex</dc:creator>
  <cp:lastModifiedBy>adlibuser</cp:lastModifiedBy>
  <cp:lastPrinted>2014-10-29T13:42:00Z</cp:lastPrinted>
  <dcterms:modified xsi:type="dcterms:W3CDTF">2022-06-21T05:26:00Z</dcterms:modified>
  <cp:revision>2</cp:revision>
  <dc:title>6f9c50ff-e259-4fb5-9ec7-29a2f18187f3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 </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 </vt:lpwstr>
  </property>
  <property fmtid="{D5CDD505-2E9C-101B-9397-08002B2CF9AE}" pid="6" name="DISdDocName">
    <vt:lpwstr>1581118</vt:lpwstr>
  </property>
  <property fmtid="{D5CDD505-2E9C-101B-9397-08002B2CF9AE}" pid="7" name="DISTaskPaneUrl">
    <vt:lpwstr>http://edvs.epaslaugos.lt/cs/idcplg?ClientControlled=DocMan&amp;coreContentOnly=1&amp;WebdavRequest=1&amp;IdcService=DOC_INFO&amp;dID=634894</vt:lpwstr>
  </property>
  <property fmtid="{D5CDD505-2E9C-101B-9397-08002B2CF9AE}" pid="8" name="DISC_AdditionalMakers">
    <vt:lpwstr> </vt:lpwstr>
  </property>
  <property fmtid="{D5CDD505-2E9C-101B-9397-08002B2CF9AE}" pid="9" name="DISC_AdditionalTutors">
    <vt:lpwstr> </vt:lpwstr>
  </property>
  <property fmtid="{D5CDD505-2E9C-101B-9397-08002B2CF9AE}" pid="10" name="DISC_SignersGroup">
    <vt:lpwstr> </vt:lpwstr>
  </property>
  <property fmtid="{D5CDD505-2E9C-101B-9397-08002B2CF9AE}" pid="11" name="DISC_OrgApprovers">
    <vt:lpwstr> </vt:lpwstr>
  </property>
  <property fmtid="{D5CDD505-2E9C-101B-9397-08002B2CF9AE}" pid="12" name="DISC_Signer">
    <vt:lpwstr> </vt:lpwstr>
  </property>
  <property fmtid="{D5CDD505-2E9C-101B-9397-08002B2CF9AE}" pid="13" name="DISC_MainMakerPhone">
    <vt:lpwstr> </vt:lpwstr>
  </property>
  <property fmtid="{D5CDD505-2E9C-101B-9397-08002B2CF9AE}" pid="14" name="DISC_AdditionalApproversMail">
    <vt:lpwstr> </vt:lpwstr>
  </property>
  <property fmtid="{D5CDD505-2E9C-101B-9397-08002B2CF9AE}" pid="15" name="DISidcName">
    <vt:lpwstr>edvsast1viisplocal16200</vt:lpwstr>
  </property>
  <property fmtid="{D5CDD505-2E9C-101B-9397-08002B2CF9AE}" pid="16" name="DISProperties">
    <vt:lpwstr>DISC_AdditionalMakersMail,DISC_Consignor,DIScgiUrl,DISC_MainMakerMail,DISdDocName,DISTaskPaneUrl,DISC_AdditionalMakers,DISC_AdditionalTutors,DISC_SignersGroup,DISC_OrgApprovers,DISC_Signer,DISC_MainMakerPhone,DISC_AdditionalApproversMail,DISidcName,DISC_A</vt:lpwstr>
  </property>
  <property fmtid="{D5CDD505-2E9C-101B-9397-08002B2CF9AE}" pid="17" name="DISC_AdditionalMakersPhone">
    <vt:lpwstr> </vt:lpwstr>
  </property>
  <property fmtid="{D5CDD505-2E9C-101B-9397-08002B2CF9AE}" pid="18" name="DISdUser">
    <vt:lpwstr>vsf_vaida</vt:lpwstr>
  </property>
  <property fmtid="{D5CDD505-2E9C-101B-9397-08002B2CF9AE}" pid="19" name="DISC_AdditionalApprovers">
    <vt:lpwstr> </vt:lpwstr>
  </property>
  <property fmtid="{D5CDD505-2E9C-101B-9397-08002B2CF9AE}" pid="20" name="DISdID">
    <vt:lpwstr>634894</vt:lpwstr>
  </property>
  <property fmtid="{D5CDD505-2E9C-101B-9397-08002B2CF9AE}" pid="21" name="DISC_MainMaker">
    <vt:lpwstr> </vt:lpwstr>
  </property>
  <property fmtid="{D5CDD505-2E9C-101B-9397-08002B2CF9AE}" pid="22" name="DISC_TutorPhone">
    <vt:lpwstr> </vt:lpwstr>
  </property>
  <property fmtid="{D5CDD505-2E9C-101B-9397-08002B2CF9AE}" pid="23" name="DISC_AdditionalTutorsMail">
    <vt:lpwstr> </vt:lpwstr>
  </property>
  <property fmtid="{D5CDD505-2E9C-101B-9397-08002B2CF9AE}" pid="24" name="DISC_AdditionalTutorsPhone">
    <vt:lpwstr> </vt:lpwstr>
  </property>
  <property fmtid="{D5CDD505-2E9C-101B-9397-08002B2CF9AE}" pid="25" name="DISC_Tutor">
    <vt:lpwstr> </vt:lpwstr>
  </property>
  <property fmtid="{D5CDD505-2E9C-101B-9397-08002B2CF9AE}" pid="26" name="DISC_TutorMail">
    <vt:lpwstr> </vt:lpwstr>
  </property>
  <property fmtid="{D5CDD505-2E9C-101B-9397-08002B2CF9AE}" pid="27" name="DISC_Consignee">
    <vt:lpwstr> </vt:lpwstr>
  </property>
  <property fmtid="{D5CDD505-2E9C-101B-9397-08002B2CF9AE}" pid="28" name="DISC_AdditionalApproversPhone">
    <vt:lpwstr> </vt:lpwstr>
  </property>
  <property fmtid="{D5CDD505-2E9C-101B-9397-08002B2CF9AE}" pid="29" name="ContentTypeId">
    <vt:lpwstr>0x010100D8ECFFBDDA118244861569856C5AC6C3</vt:lpwstr>
  </property>
</Properties>
</file>