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316494" w14:textId="77777777" w:rsidR="00DE798D" w:rsidRPr="00AF4021" w:rsidRDefault="008E215C" w:rsidP="00DE798D">
      <w:pPr>
        <w:jc w:val="center"/>
        <w:rPr>
          <w:lang w:val="lt-LT"/>
        </w:rPr>
      </w:pPr>
      <w:r w:rsidRPr="00AF4021">
        <w:rPr>
          <w:noProof/>
          <w:lang w:val="en-US"/>
        </w:rPr>
        <w:drawing>
          <wp:inline distT="0" distB="0" distL="0" distR="0" wp14:anchorId="3E3164C7" wp14:editId="3E3164C8">
            <wp:extent cx="552450" cy="561975"/>
            <wp:effectExtent l="0" t="0" r="0"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3E316495" w14:textId="77777777" w:rsidR="00DE798D" w:rsidRPr="00AF4021" w:rsidRDefault="00F36A25" w:rsidP="00DE798D">
      <w:pPr>
        <w:jc w:val="center"/>
        <w:rPr>
          <w:vanish/>
          <w:color w:val="FFFFFF"/>
          <w:sz w:val="2"/>
          <w:szCs w:val="2"/>
          <w:lang w:val="lt-LT"/>
        </w:rPr>
      </w:pPr>
      <w:r w:rsidRPr="00AF4021">
        <w:rPr>
          <w:vanish/>
          <w:color w:val="FFFFFF"/>
          <w:sz w:val="2"/>
          <w:szCs w:val="2"/>
          <w:lang w:val="lt-LT"/>
        </w:rPr>
        <w:fldChar w:fldCharType="begin">
          <w:ffData>
            <w:name w:val="DokRusis"/>
            <w:enabled w:val="0"/>
            <w:calcOnExit w:val="0"/>
            <w:textInput>
              <w:default w:val="RAŠTAS"/>
            </w:textInput>
          </w:ffData>
        </w:fldChar>
      </w:r>
      <w:r w:rsidR="00DE798D" w:rsidRPr="00AF4021">
        <w:rPr>
          <w:vanish/>
          <w:color w:val="FFFFFF"/>
          <w:sz w:val="2"/>
          <w:szCs w:val="2"/>
          <w:lang w:val="lt-LT"/>
        </w:rPr>
        <w:instrText xml:space="preserve"> FORMTEXT </w:instrText>
      </w:r>
      <w:r w:rsidRPr="00AF4021">
        <w:rPr>
          <w:vanish/>
          <w:color w:val="FFFFFF"/>
          <w:sz w:val="2"/>
          <w:szCs w:val="2"/>
          <w:lang w:val="lt-LT"/>
        </w:rPr>
      </w:r>
      <w:r w:rsidRPr="00AF4021">
        <w:rPr>
          <w:vanish/>
          <w:color w:val="FFFFFF"/>
          <w:sz w:val="2"/>
          <w:szCs w:val="2"/>
          <w:lang w:val="lt-LT"/>
        </w:rPr>
        <w:fldChar w:fldCharType="separate"/>
      </w:r>
      <w:r w:rsidR="00DE798D" w:rsidRPr="00AF4021">
        <w:rPr>
          <w:noProof/>
          <w:vanish/>
          <w:color w:val="FFFFFF"/>
          <w:sz w:val="2"/>
          <w:szCs w:val="2"/>
          <w:lang w:val="lt-LT"/>
        </w:rPr>
        <w:t>RAŠTAS</w:t>
      </w:r>
      <w:r w:rsidRPr="00AF4021">
        <w:rPr>
          <w:vanish/>
          <w:color w:val="FFFFFF"/>
          <w:sz w:val="2"/>
          <w:szCs w:val="2"/>
          <w:lang w:val="lt-LT"/>
        </w:rPr>
        <w:fldChar w:fldCharType="end"/>
      </w:r>
    </w:p>
    <w:p w14:paraId="3E316496" w14:textId="77777777" w:rsidR="00DE798D" w:rsidRPr="00AF4021" w:rsidRDefault="00DE798D" w:rsidP="00DE798D">
      <w:pPr>
        <w:jc w:val="center"/>
        <w:rPr>
          <w:b/>
          <w:caps/>
          <w:lang w:val="lt-LT"/>
        </w:rPr>
      </w:pPr>
    </w:p>
    <w:p w14:paraId="3E316497" w14:textId="77777777" w:rsidR="00DE798D" w:rsidRPr="00AF4021" w:rsidRDefault="00DE798D" w:rsidP="00DE798D">
      <w:pPr>
        <w:jc w:val="center"/>
        <w:rPr>
          <w:b/>
          <w:caps/>
          <w:lang w:val="lt-LT"/>
        </w:rPr>
      </w:pPr>
      <w:r w:rsidRPr="00AF4021">
        <w:rPr>
          <w:b/>
          <w:caps/>
          <w:lang w:val="lt-LT"/>
        </w:rPr>
        <w:t xml:space="preserve"> </w:t>
      </w:r>
      <w:r w:rsidR="00D5289A" w:rsidRPr="00AF4021">
        <w:rPr>
          <w:b/>
          <w:caps/>
          <w:lang w:val="lt-LT"/>
        </w:rPr>
        <w:fldChar w:fldCharType="begin">
          <w:ffData>
            <w:name w:val=""/>
            <w:enabled w:val="0"/>
            <w:calcOnExit w:val="0"/>
            <w:helpText w:type="text" w:val="Sudarytojo pavadinimas"/>
            <w:statusText w:type="text" w:val="Sudarytojo pavadinimas"/>
            <w:textInput>
              <w:default w:val="LIETUVOS RESPUBLIKOS SOCIALINĖS APSAUGOS IR DARBO MINISTERIJA"/>
              <w:format w:val="UPPERCASE"/>
            </w:textInput>
          </w:ffData>
        </w:fldChar>
      </w:r>
      <w:r w:rsidR="00D5289A" w:rsidRPr="00AF4021">
        <w:rPr>
          <w:b/>
          <w:caps/>
          <w:lang w:val="lt-LT"/>
        </w:rPr>
        <w:instrText xml:space="preserve"> FORMTEXT </w:instrText>
      </w:r>
      <w:r w:rsidR="00D5289A" w:rsidRPr="00AF4021">
        <w:rPr>
          <w:b/>
          <w:caps/>
          <w:lang w:val="lt-LT"/>
        </w:rPr>
      </w:r>
      <w:r w:rsidR="00D5289A" w:rsidRPr="00AF4021">
        <w:rPr>
          <w:b/>
          <w:caps/>
          <w:lang w:val="lt-LT"/>
        </w:rPr>
        <w:fldChar w:fldCharType="separate"/>
      </w:r>
      <w:r w:rsidR="00D5289A" w:rsidRPr="00AF4021">
        <w:rPr>
          <w:b/>
          <w:caps/>
          <w:noProof/>
          <w:lang w:val="lt-LT"/>
        </w:rPr>
        <w:t>LIETUVOS RESPUBLIKOS SOCIALINĖS APSAUGOS IR DARBO MINISTERIJA</w:t>
      </w:r>
      <w:r w:rsidR="00D5289A" w:rsidRPr="00AF4021">
        <w:rPr>
          <w:b/>
          <w:caps/>
          <w:lang w:val="lt-LT"/>
        </w:rPr>
        <w:fldChar w:fldCharType="end"/>
      </w:r>
    </w:p>
    <w:p w14:paraId="3E316498" w14:textId="77777777" w:rsidR="00DE798D" w:rsidRPr="00AF4021" w:rsidRDefault="00DE798D" w:rsidP="00DE798D">
      <w:pPr>
        <w:jc w:val="center"/>
        <w:rPr>
          <w:b/>
          <w:caps/>
          <w:lang w:val="lt-LT"/>
        </w:rPr>
      </w:pPr>
    </w:p>
    <w:p w14:paraId="3E316499" w14:textId="77777777" w:rsidR="00DE798D" w:rsidRPr="00AF4021" w:rsidRDefault="00910852" w:rsidP="00DE798D">
      <w:pPr>
        <w:jc w:val="center"/>
        <w:rPr>
          <w:sz w:val="18"/>
          <w:szCs w:val="18"/>
          <w:lang w:val="lt-LT"/>
        </w:rPr>
      </w:pPr>
      <w:r w:rsidRPr="00AF4021">
        <w:rPr>
          <w:sz w:val="18"/>
          <w:szCs w:val="18"/>
          <w:lang w:val="lt-LT"/>
        </w:rPr>
        <w:t>B</w:t>
      </w:r>
      <w:r w:rsidR="00DE798D" w:rsidRPr="00AF4021">
        <w:rPr>
          <w:sz w:val="18"/>
          <w:szCs w:val="18"/>
          <w:lang w:val="lt-LT"/>
        </w:rPr>
        <w:t>iudžetinė įstaiga, A.Vivulskio g. 11, LT-03</w:t>
      </w:r>
      <w:r w:rsidR="00AF1C70" w:rsidRPr="00AF4021">
        <w:rPr>
          <w:sz w:val="18"/>
          <w:szCs w:val="18"/>
          <w:lang w:val="lt-LT"/>
        </w:rPr>
        <w:t>610</w:t>
      </w:r>
      <w:r w:rsidR="00DE798D" w:rsidRPr="00AF4021">
        <w:rPr>
          <w:sz w:val="18"/>
          <w:szCs w:val="18"/>
          <w:lang w:val="lt-LT"/>
        </w:rPr>
        <w:t xml:space="preserve"> Vilnius, tel. (8 5) 266 </w:t>
      </w:r>
      <w:r w:rsidR="0081169D">
        <w:rPr>
          <w:sz w:val="18"/>
          <w:szCs w:val="18"/>
          <w:lang w:val="lt-LT"/>
        </w:rPr>
        <w:t>4201</w:t>
      </w:r>
      <w:r w:rsidR="00DE798D" w:rsidRPr="00AF4021">
        <w:rPr>
          <w:sz w:val="18"/>
          <w:szCs w:val="18"/>
          <w:lang w:val="lt-LT"/>
        </w:rPr>
        <w:t>, faks. (8 5) 266 4209,</w:t>
      </w:r>
    </w:p>
    <w:p w14:paraId="3E31649A" w14:textId="77777777" w:rsidR="00DE798D" w:rsidRPr="00157545" w:rsidRDefault="00DE798D" w:rsidP="00DE798D">
      <w:pPr>
        <w:jc w:val="center"/>
        <w:rPr>
          <w:sz w:val="18"/>
          <w:szCs w:val="18"/>
          <w:lang w:val="lt-LT"/>
        </w:rPr>
      </w:pPr>
      <w:r w:rsidRPr="00AF4021">
        <w:rPr>
          <w:sz w:val="18"/>
          <w:szCs w:val="18"/>
          <w:lang w:val="lt-LT"/>
        </w:rPr>
        <w:t xml:space="preserve">el. p. </w:t>
      </w:r>
      <w:hyperlink r:id="rId9" w:history="1">
        <w:r w:rsidRPr="00AF4021">
          <w:rPr>
            <w:rStyle w:val="Hipersaitas"/>
            <w:sz w:val="18"/>
            <w:szCs w:val="18"/>
            <w:lang w:val="lt-LT"/>
          </w:rPr>
          <w:t>post@socmin.lt</w:t>
        </w:r>
      </w:hyperlink>
      <w:r w:rsidRPr="00157545">
        <w:rPr>
          <w:color w:val="000000"/>
          <w:sz w:val="18"/>
          <w:szCs w:val="18"/>
          <w:lang w:val="lt-LT"/>
        </w:rPr>
        <w:t>,</w:t>
      </w:r>
      <w:r w:rsidR="0025399C" w:rsidRPr="00157545">
        <w:rPr>
          <w:sz w:val="18"/>
          <w:szCs w:val="18"/>
          <w:lang w:val="lt-LT"/>
        </w:rPr>
        <w:t xml:space="preserve"> </w:t>
      </w:r>
      <w:hyperlink r:id="rId10" w:history="1">
        <w:r w:rsidR="0025399C" w:rsidRPr="00AF4021">
          <w:rPr>
            <w:rStyle w:val="Hipersaitas"/>
            <w:sz w:val="18"/>
            <w:szCs w:val="18"/>
            <w:lang w:val="lt-LT"/>
          </w:rPr>
          <w:t>https://socmin.lrv.lt</w:t>
        </w:r>
      </w:hyperlink>
      <w:r w:rsidRPr="00157545">
        <w:rPr>
          <w:sz w:val="18"/>
          <w:szCs w:val="18"/>
          <w:lang w:val="lt-LT"/>
        </w:rPr>
        <w:t>. Duomenys kaupiami ir saugomi Juridinių asmenų registre, kodas 1886 03515</w:t>
      </w:r>
    </w:p>
    <w:p w14:paraId="3E31649B" w14:textId="77777777" w:rsidR="00DE798D" w:rsidRPr="00AF4021" w:rsidRDefault="00DE798D" w:rsidP="00691B6C">
      <w:pPr>
        <w:pStyle w:val="Porat"/>
        <w:jc w:val="center"/>
        <w:rPr>
          <w:sz w:val="16"/>
          <w:szCs w:val="16"/>
          <w:lang w:val="lt-LT"/>
        </w:rPr>
      </w:pPr>
      <w:r w:rsidRPr="00AF4021">
        <w:rPr>
          <w:sz w:val="16"/>
          <w:szCs w:val="16"/>
          <w:lang w:val="lt-LT"/>
        </w:rPr>
        <w:t>________________________________________________________________________________________________</w:t>
      </w:r>
      <w:r w:rsidR="00691B6C" w:rsidRPr="00AF4021">
        <w:rPr>
          <w:sz w:val="16"/>
          <w:szCs w:val="16"/>
          <w:lang w:val="lt-LT"/>
        </w:rPr>
        <w:t>____</w:t>
      </w:r>
    </w:p>
    <w:tbl>
      <w:tblPr>
        <w:tblW w:w="10322" w:type="dxa"/>
        <w:tblLook w:val="01E0" w:firstRow="1" w:lastRow="1" w:firstColumn="1" w:lastColumn="1" w:noHBand="0" w:noVBand="0"/>
      </w:tblPr>
      <w:tblGrid>
        <w:gridCol w:w="4928"/>
        <w:gridCol w:w="2126"/>
        <w:gridCol w:w="3268"/>
      </w:tblGrid>
      <w:tr w:rsidR="009F242E" w:rsidRPr="0081169D" w14:paraId="3E3164A3" w14:textId="77777777" w:rsidTr="00F858C9">
        <w:trPr>
          <w:trHeight w:val="135"/>
        </w:trPr>
        <w:tc>
          <w:tcPr>
            <w:tcW w:w="4928" w:type="dxa"/>
          </w:tcPr>
          <w:p w14:paraId="3E31649C" w14:textId="77777777" w:rsidR="0016601C" w:rsidRPr="00013089" w:rsidRDefault="0016601C" w:rsidP="00072AC0">
            <w:pPr>
              <w:rPr>
                <w:szCs w:val="24"/>
                <w:lang w:val="lt-LT"/>
              </w:rPr>
            </w:pPr>
          </w:p>
          <w:p w14:paraId="3E31649D" w14:textId="77777777" w:rsidR="00A33E37" w:rsidRDefault="00A33E37" w:rsidP="00A33E37">
            <w:pPr>
              <w:rPr>
                <w:szCs w:val="24"/>
                <w:lang w:val="lt-LT"/>
              </w:rPr>
            </w:pPr>
            <w:r>
              <w:rPr>
                <w:szCs w:val="24"/>
                <w:lang w:val="lt-LT"/>
              </w:rPr>
              <w:t>Lietuvos Respublikos</w:t>
            </w:r>
          </w:p>
          <w:p w14:paraId="3E31649E" w14:textId="77777777" w:rsidR="00A75ACA" w:rsidRPr="0081169D" w:rsidRDefault="00A33E37" w:rsidP="00A33E37">
            <w:pPr>
              <w:rPr>
                <w:szCs w:val="24"/>
                <w:lang w:val="lt-LT"/>
              </w:rPr>
            </w:pPr>
            <w:r>
              <w:rPr>
                <w:szCs w:val="24"/>
                <w:lang w:val="lt-LT"/>
              </w:rPr>
              <w:t>v</w:t>
            </w:r>
            <w:r w:rsidR="0004408E">
              <w:rPr>
                <w:szCs w:val="24"/>
                <w:lang w:val="lt-LT"/>
              </w:rPr>
              <w:t>idaus reikalų ministerija</w:t>
            </w:r>
            <w:r>
              <w:rPr>
                <w:szCs w:val="24"/>
                <w:lang w:val="lt-LT"/>
              </w:rPr>
              <w:t>i</w:t>
            </w:r>
          </w:p>
        </w:tc>
        <w:tc>
          <w:tcPr>
            <w:tcW w:w="2126" w:type="dxa"/>
          </w:tcPr>
          <w:p w14:paraId="3E31649F" w14:textId="77777777" w:rsidR="0016601C" w:rsidRPr="0081169D" w:rsidRDefault="0016601C" w:rsidP="00625762">
            <w:pPr>
              <w:rPr>
                <w:szCs w:val="24"/>
                <w:lang w:val="lt-LT"/>
              </w:rPr>
            </w:pPr>
          </w:p>
          <w:p w14:paraId="3E3164A0" w14:textId="707E4C4C" w:rsidR="009F242E" w:rsidRPr="0081169D" w:rsidRDefault="00E40AA1" w:rsidP="00625762">
            <w:pPr>
              <w:rPr>
                <w:szCs w:val="24"/>
                <w:lang w:val="lt-LT"/>
              </w:rPr>
            </w:pPr>
            <w:r w:rsidRPr="0081169D">
              <w:rPr>
                <w:szCs w:val="24"/>
                <w:lang w:val="lt-LT"/>
              </w:rPr>
              <w:t>2021-</w:t>
            </w:r>
            <w:r w:rsidR="00AD70A3">
              <w:rPr>
                <w:szCs w:val="24"/>
                <w:lang w:val="lt-LT"/>
              </w:rPr>
              <w:t>04-30</w:t>
            </w:r>
          </w:p>
        </w:tc>
        <w:tc>
          <w:tcPr>
            <w:tcW w:w="3268" w:type="dxa"/>
          </w:tcPr>
          <w:p w14:paraId="3E3164A1" w14:textId="77777777" w:rsidR="0016601C" w:rsidRPr="006D14DB" w:rsidRDefault="0016601C" w:rsidP="009F242E">
            <w:pPr>
              <w:rPr>
                <w:szCs w:val="24"/>
                <w:lang w:val="lt-LT"/>
              </w:rPr>
            </w:pPr>
          </w:p>
          <w:p w14:paraId="3E3164A2" w14:textId="2F32C821" w:rsidR="009F242E" w:rsidRPr="00013089" w:rsidRDefault="009F242E" w:rsidP="009F242E">
            <w:pPr>
              <w:rPr>
                <w:szCs w:val="24"/>
                <w:lang w:val="lt-LT"/>
              </w:rPr>
            </w:pPr>
            <w:r w:rsidRPr="006D14DB">
              <w:rPr>
                <w:szCs w:val="24"/>
                <w:lang w:val="lt-LT"/>
              </w:rPr>
              <w:t xml:space="preserve">Nr. </w:t>
            </w:r>
            <w:r w:rsidRPr="006D14DB">
              <w:rPr>
                <w:szCs w:val="24"/>
                <w:lang w:val="lt-LT"/>
              </w:rPr>
              <w:fldChar w:fldCharType="begin">
                <w:ffData>
                  <w:name w:val="registravimoData"/>
                  <w:enabled/>
                  <w:calcOnExit w:val="0"/>
                  <w:textInput>
                    <w:maxLength w:val="1"/>
                  </w:textInput>
                </w:ffData>
              </w:fldChar>
            </w:r>
            <w:r w:rsidRPr="006D14DB">
              <w:rPr>
                <w:szCs w:val="24"/>
                <w:lang w:val="lt-LT"/>
              </w:rPr>
              <w:instrText xml:space="preserve"> FORMTEXT </w:instrText>
            </w:r>
            <w:r w:rsidRPr="006D14DB">
              <w:rPr>
                <w:szCs w:val="24"/>
                <w:lang w:val="lt-LT"/>
              </w:rPr>
            </w:r>
            <w:r w:rsidRPr="006D14DB">
              <w:rPr>
                <w:szCs w:val="24"/>
                <w:lang w:val="lt-LT"/>
              </w:rPr>
              <w:fldChar w:fldCharType="separate"/>
            </w:r>
            <w:r w:rsidRPr="006D14DB">
              <w:rPr>
                <w:noProof/>
                <w:szCs w:val="24"/>
                <w:lang w:val="lt-LT"/>
              </w:rPr>
              <w:t> </w:t>
            </w:r>
            <w:r w:rsidRPr="006D14DB">
              <w:rPr>
                <w:szCs w:val="24"/>
                <w:lang w:val="lt-LT"/>
              </w:rPr>
              <w:fldChar w:fldCharType="end"/>
            </w:r>
            <w:r w:rsidR="00AD70A3" w:rsidRPr="00AD70A3">
              <w:rPr>
                <w:szCs w:val="24"/>
                <w:lang w:val="lt-LT"/>
              </w:rPr>
              <w:t>(17.2E-23)SD-2191</w:t>
            </w:r>
          </w:p>
        </w:tc>
      </w:tr>
    </w:tbl>
    <w:p w14:paraId="3E3164A4" w14:textId="77777777" w:rsidR="00FA20FB" w:rsidRDefault="00FA20FB" w:rsidP="0004408E">
      <w:pPr>
        <w:jc w:val="both"/>
        <w:rPr>
          <w:b/>
          <w:szCs w:val="24"/>
        </w:rPr>
      </w:pPr>
    </w:p>
    <w:p w14:paraId="3E3164A5" w14:textId="77777777" w:rsidR="00456592" w:rsidRPr="0014562C" w:rsidRDefault="00456592" w:rsidP="00456592">
      <w:pPr>
        <w:jc w:val="both"/>
        <w:rPr>
          <w:b/>
          <w:caps/>
          <w:szCs w:val="24"/>
          <w:lang w:val="lt-LT"/>
        </w:rPr>
      </w:pPr>
      <w:r w:rsidRPr="0014562C">
        <w:rPr>
          <w:b/>
          <w:szCs w:val="24"/>
          <w:lang w:val="lt-LT"/>
        </w:rPr>
        <w:t xml:space="preserve">DĖL VYRIAUSYBĖS NUTARIMO, SUSIJUSIO SU </w:t>
      </w:r>
      <w:r w:rsidRPr="0014562C">
        <w:rPr>
          <w:b/>
          <w:caps/>
          <w:szCs w:val="24"/>
          <w:lang w:val="lt-LT"/>
        </w:rPr>
        <w:t>Didžiausio leistino valstybės tarnautojų ir darbuotojų, dirbančių pagal darbo sutartis ir gaunančių darbo užmokestį iš valstybės biudžeto ir valstybės pinigų fondų, pareigybių skaičiaus sąrašo pakeitimo</w:t>
      </w:r>
    </w:p>
    <w:p w14:paraId="3E3164A6" w14:textId="77777777" w:rsidR="00B77ED6" w:rsidRPr="00A40F58" w:rsidRDefault="00B77ED6" w:rsidP="0004408E">
      <w:pPr>
        <w:jc w:val="both"/>
        <w:rPr>
          <w:b/>
          <w:szCs w:val="24"/>
        </w:rPr>
      </w:pPr>
    </w:p>
    <w:p w14:paraId="3E3164A7" w14:textId="77777777" w:rsidR="009C3101" w:rsidRPr="00317289" w:rsidRDefault="00E40AA1" w:rsidP="00B85571">
      <w:pPr>
        <w:spacing w:line="276" w:lineRule="auto"/>
        <w:ind w:firstLine="851"/>
        <w:jc w:val="both"/>
        <w:rPr>
          <w:rFonts w:eastAsiaTheme="minorHAnsi"/>
          <w:color w:val="000000"/>
          <w:szCs w:val="24"/>
          <w:lang w:val="lt-LT"/>
        </w:rPr>
      </w:pPr>
      <w:r w:rsidRPr="00FA20FB">
        <w:rPr>
          <w:szCs w:val="24"/>
          <w:lang w:val="lt-LT" w:eastAsia="pl-PL"/>
        </w:rPr>
        <w:t>Lietuvos Respublikos socialinės apsaugos ir darbo ministerija</w:t>
      </w:r>
      <w:r w:rsidR="00B36617" w:rsidRPr="00FA20FB">
        <w:rPr>
          <w:szCs w:val="24"/>
          <w:lang w:val="lt-LT" w:eastAsia="pl-PL"/>
        </w:rPr>
        <w:t xml:space="preserve"> (toliau – SADM)</w:t>
      </w:r>
      <w:r w:rsidR="000F755D" w:rsidRPr="00FA20FB">
        <w:rPr>
          <w:szCs w:val="24"/>
          <w:lang w:val="lt-LT" w:eastAsia="pl-PL"/>
        </w:rPr>
        <w:t>, vadovaudamasi 2018 m. g</w:t>
      </w:r>
      <w:r w:rsidR="00B77ED6" w:rsidRPr="00FA20FB">
        <w:rPr>
          <w:szCs w:val="24"/>
          <w:lang w:val="lt-LT" w:eastAsia="pl-PL"/>
        </w:rPr>
        <w:t xml:space="preserve">ruodžio 12 d. </w:t>
      </w:r>
      <w:r w:rsidR="00B77ED6" w:rsidRPr="00317289">
        <w:rPr>
          <w:szCs w:val="24"/>
          <w:lang w:val="lt-LT" w:eastAsia="pl-PL"/>
        </w:rPr>
        <w:t>Lietuvos Respubli</w:t>
      </w:r>
      <w:r w:rsidR="000F755D" w:rsidRPr="00317289">
        <w:rPr>
          <w:szCs w:val="24"/>
          <w:lang w:val="lt-LT" w:eastAsia="pl-PL"/>
        </w:rPr>
        <w:t>ko</w:t>
      </w:r>
      <w:r w:rsidR="00B77ED6" w:rsidRPr="00317289">
        <w:rPr>
          <w:szCs w:val="24"/>
          <w:lang w:val="lt-LT" w:eastAsia="pl-PL"/>
        </w:rPr>
        <w:t>s</w:t>
      </w:r>
      <w:r w:rsidR="000F755D" w:rsidRPr="00317289">
        <w:rPr>
          <w:szCs w:val="24"/>
          <w:lang w:val="lt-LT" w:eastAsia="pl-PL"/>
        </w:rPr>
        <w:t xml:space="preserve"> Vyriausybės </w:t>
      </w:r>
      <w:r w:rsidR="00183C7F" w:rsidRPr="00317289">
        <w:rPr>
          <w:szCs w:val="24"/>
          <w:lang w:val="lt-LT" w:eastAsia="pl-PL"/>
        </w:rPr>
        <w:t xml:space="preserve">nutarimo </w:t>
      </w:r>
      <w:r w:rsidR="000F755D" w:rsidRPr="00317289">
        <w:rPr>
          <w:szCs w:val="24"/>
          <w:lang w:val="lt-LT" w:eastAsia="pl-PL"/>
        </w:rPr>
        <w:t>Nr.</w:t>
      </w:r>
      <w:r w:rsidR="00A33E37">
        <w:rPr>
          <w:szCs w:val="24"/>
          <w:lang w:val="lt-LT" w:eastAsia="pl-PL"/>
        </w:rPr>
        <w:t> </w:t>
      </w:r>
      <w:r w:rsidR="000F755D" w:rsidRPr="00317289">
        <w:rPr>
          <w:szCs w:val="24"/>
          <w:lang w:val="lt-LT" w:eastAsia="pl-PL"/>
        </w:rPr>
        <w:t>1298 „</w:t>
      </w:r>
      <w:r w:rsidR="00B77ED6" w:rsidRPr="00317289">
        <w:rPr>
          <w:bCs/>
          <w:color w:val="000000"/>
          <w:lang w:val="lt-LT"/>
        </w:rPr>
        <w:t>Dėl</w:t>
      </w:r>
      <w:r w:rsidR="00B77ED6" w:rsidRPr="00317289">
        <w:rPr>
          <w:bCs/>
          <w:caps/>
          <w:color w:val="000000"/>
          <w:lang w:val="lt-LT"/>
        </w:rPr>
        <w:t> </w:t>
      </w:r>
      <w:r w:rsidR="00B77ED6" w:rsidRPr="00317289">
        <w:rPr>
          <w:bCs/>
          <w:color w:val="000000"/>
          <w:shd w:val="clear" w:color="auto" w:fill="FFFFFF"/>
          <w:lang w:val="lt-LT"/>
        </w:rPr>
        <w:t>valstybės tarnautojų ir darbuotojų, dirbančių pagal darbo sutartis, pareigybių poreikio nustatymo kriterijų aprašo ir</w:t>
      </w:r>
      <w:r w:rsidR="00B77ED6" w:rsidRPr="00317289">
        <w:rPr>
          <w:bCs/>
          <w:caps/>
          <w:color w:val="000000"/>
          <w:shd w:val="clear" w:color="auto" w:fill="FFFFFF"/>
          <w:lang w:val="lt-LT"/>
        </w:rPr>
        <w:t> </w:t>
      </w:r>
      <w:r w:rsidR="00B77ED6" w:rsidRPr="00317289">
        <w:rPr>
          <w:bCs/>
          <w:color w:val="000000"/>
          <w:lang w:val="lt-LT"/>
        </w:rPr>
        <w:t>didžiausio leistino valstybės tarnautojų ir darbuotojų, dirbančių pagal darbo sutartis ir gaunančių darbo užmokestį iš valstybės biudžeto ir valstybės pinigų fondų, pareigybių skaičiaus sąrašo patvirtinimo</w:t>
      </w:r>
      <w:r w:rsidR="009C3101" w:rsidRPr="00317289">
        <w:rPr>
          <w:bCs/>
          <w:color w:val="000000"/>
          <w:lang w:val="lt-LT"/>
        </w:rPr>
        <w:t>”</w:t>
      </w:r>
      <w:r w:rsidR="00183C7F" w:rsidRPr="00317289">
        <w:rPr>
          <w:bCs/>
          <w:color w:val="000000"/>
          <w:lang w:val="lt-LT"/>
        </w:rPr>
        <w:t xml:space="preserve"> </w:t>
      </w:r>
      <w:r w:rsidR="00077B0C" w:rsidRPr="00317289">
        <w:rPr>
          <w:bCs/>
          <w:color w:val="000000"/>
          <w:lang w:val="lt-LT"/>
        </w:rPr>
        <w:t xml:space="preserve">(toliau – </w:t>
      </w:r>
      <w:r w:rsidR="007E70DB" w:rsidRPr="00317289">
        <w:rPr>
          <w:bCs/>
          <w:color w:val="000000"/>
          <w:lang w:val="lt-LT"/>
        </w:rPr>
        <w:t>Sąrašas)</w:t>
      </w:r>
      <w:r w:rsidR="00077B0C" w:rsidRPr="00317289">
        <w:rPr>
          <w:bCs/>
          <w:color w:val="000000"/>
          <w:lang w:val="lt-LT"/>
        </w:rPr>
        <w:t xml:space="preserve"> </w:t>
      </w:r>
      <w:r w:rsidR="00183C7F" w:rsidRPr="00317289">
        <w:rPr>
          <w:bCs/>
          <w:color w:val="000000"/>
          <w:lang w:val="lt-LT"/>
        </w:rPr>
        <w:t>2.2. papunkčiu</w:t>
      </w:r>
      <w:r w:rsidR="009C3101" w:rsidRPr="00317289">
        <w:rPr>
          <w:bCs/>
          <w:color w:val="000000"/>
          <w:lang w:val="lt-LT"/>
        </w:rPr>
        <w:t xml:space="preserve">, </w:t>
      </w:r>
      <w:r w:rsidR="00077B0C" w:rsidRPr="00317289">
        <w:rPr>
          <w:szCs w:val="24"/>
          <w:lang w:val="lt-LT"/>
        </w:rPr>
        <w:t xml:space="preserve">prašo pakeisti </w:t>
      </w:r>
      <w:r w:rsidR="007E70DB" w:rsidRPr="00317289">
        <w:rPr>
          <w:szCs w:val="24"/>
          <w:lang w:val="lt-LT"/>
        </w:rPr>
        <w:t>Sąrašo</w:t>
      </w:r>
      <w:r w:rsidR="00077B0C" w:rsidRPr="00317289">
        <w:rPr>
          <w:szCs w:val="24"/>
          <w:lang w:val="lt-LT"/>
        </w:rPr>
        <w:t xml:space="preserve"> 6.6 papunktį. SADM </w:t>
      </w:r>
      <w:r w:rsidR="009C3101" w:rsidRPr="00317289">
        <w:rPr>
          <w:bCs/>
          <w:color w:val="000000"/>
          <w:lang w:val="lt-LT"/>
        </w:rPr>
        <w:t xml:space="preserve">teikia informaciją, apie planuojamą papildomą </w:t>
      </w:r>
      <w:r w:rsidR="009C3101" w:rsidRPr="00317289">
        <w:rPr>
          <w:rFonts w:eastAsiaTheme="minorHAnsi"/>
          <w:color w:val="000000"/>
          <w:szCs w:val="24"/>
          <w:lang w:val="lt-LT"/>
        </w:rPr>
        <w:t xml:space="preserve">didžiausią leistiną pareigybių skaičiaus </w:t>
      </w:r>
      <w:r w:rsidR="009C3101" w:rsidRPr="00317289">
        <w:rPr>
          <w:bCs/>
          <w:color w:val="000000"/>
          <w:lang w:val="lt-LT"/>
        </w:rPr>
        <w:t>poreikį S</w:t>
      </w:r>
      <w:r w:rsidR="009C3101" w:rsidRPr="00317289">
        <w:rPr>
          <w:rFonts w:eastAsiaTheme="minorHAnsi"/>
          <w:color w:val="000000"/>
          <w:szCs w:val="24"/>
          <w:lang w:val="lt-LT"/>
        </w:rPr>
        <w:t xml:space="preserve">ocialinės apsaugos ir darbo ministro valdymo sritims priskirtose valstybės institucijose ir įstaigose. </w:t>
      </w:r>
    </w:p>
    <w:p w14:paraId="3E3164A8" w14:textId="77777777" w:rsidR="00077B0C" w:rsidRPr="00317289" w:rsidRDefault="00A33E37" w:rsidP="00B85571">
      <w:pPr>
        <w:spacing w:line="276" w:lineRule="auto"/>
        <w:ind w:firstLine="851"/>
        <w:jc w:val="both"/>
        <w:rPr>
          <w:rFonts w:eastAsiaTheme="minorHAnsi"/>
          <w:color w:val="000000"/>
          <w:szCs w:val="24"/>
          <w:lang w:val="lt-LT"/>
        </w:rPr>
      </w:pPr>
      <w:r>
        <w:rPr>
          <w:szCs w:val="24"/>
          <w:lang w:val="lt-LT"/>
        </w:rPr>
        <w:t xml:space="preserve">Šiuo metu </w:t>
      </w:r>
      <w:r w:rsidR="00033453">
        <w:rPr>
          <w:szCs w:val="24"/>
          <w:lang w:val="lt-LT"/>
        </w:rPr>
        <w:t>S</w:t>
      </w:r>
      <w:r w:rsidR="00077B0C" w:rsidRPr="00317289">
        <w:rPr>
          <w:szCs w:val="24"/>
          <w:lang w:val="lt-LT"/>
        </w:rPr>
        <w:t xml:space="preserve">ąrašo 6.6 papunktyje nustatytas didžiausias leistinas pareigybių skaičius socialinės apsaugos ir darbo ministro valdymo sritims priskirtose valstybės institucijose ir įstaigose </w:t>
      </w:r>
      <w:r w:rsidR="00077B0C" w:rsidRPr="00D84FC8">
        <w:rPr>
          <w:szCs w:val="24"/>
          <w:lang w:val="lt-LT"/>
        </w:rPr>
        <w:t xml:space="preserve">– </w:t>
      </w:r>
      <w:r w:rsidR="0012629C" w:rsidRPr="00D84FC8">
        <w:rPr>
          <w:szCs w:val="24"/>
          <w:lang w:val="lt-LT"/>
        </w:rPr>
        <w:t>5983</w:t>
      </w:r>
      <w:r w:rsidR="00077B0C" w:rsidRPr="00D84FC8">
        <w:rPr>
          <w:szCs w:val="24"/>
          <w:lang w:val="lt-LT"/>
        </w:rPr>
        <w:t>.</w:t>
      </w:r>
      <w:r w:rsidR="00077B0C" w:rsidRPr="00317289">
        <w:rPr>
          <w:szCs w:val="24"/>
          <w:lang w:val="lt-LT"/>
        </w:rPr>
        <w:t xml:space="preserve"> </w:t>
      </w:r>
    </w:p>
    <w:p w14:paraId="3E3164A9" w14:textId="77777777" w:rsidR="009C3101" w:rsidRPr="00317289" w:rsidRDefault="00B85571" w:rsidP="00B85571">
      <w:pPr>
        <w:spacing w:line="276" w:lineRule="auto"/>
        <w:ind w:firstLine="851"/>
        <w:jc w:val="both"/>
        <w:rPr>
          <w:color w:val="000000"/>
          <w:szCs w:val="24"/>
          <w:lang w:val="lt-LT" w:eastAsia="lt-LT"/>
        </w:rPr>
      </w:pPr>
      <w:r>
        <w:rPr>
          <w:rFonts w:eastAsiaTheme="minorHAnsi"/>
          <w:color w:val="000000"/>
          <w:szCs w:val="24"/>
          <w:lang w:val="lt-LT"/>
        </w:rPr>
        <w:t>Pažymime</w:t>
      </w:r>
      <w:r w:rsidR="009C3101" w:rsidRPr="00317289">
        <w:rPr>
          <w:rFonts w:eastAsiaTheme="minorHAnsi"/>
          <w:color w:val="000000"/>
          <w:szCs w:val="24"/>
          <w:lang w:val="lt-LT"/>
        </w:rPr>
        <w:t xml:space="preserve">, kad </w:t>
      </w:r>
      <w:r w:rsidR="009C3101" w:rsidRPr="00317289">
        <w:rPr>
          <w:color w:val="000000"/>
          <w:szCs w:val="24"/>
          <w:lang w:val="lt-LT" w:eastAsia="lt-LT"/>
        </w:rPr>
        <w:t xml:space="preserve">įgyvendinant Lietuvos Respublikos jaunimo politikos pagrindų įstatymo Nr. IX-1871 2, 3, 4 ir 7 straipsnių pakeitimo įstatymą Nr. XIII-3204 (toliau – Įstatymas),  </w:t>
      </w:r>
      <w:r w:rsidR="00EB709F" w:rsidRPr="00317289">
        <w:rPr>
          <w:color w:val="000000"/>
          <w:szCs w:val="24"/>
          <w:lang w:val="lt-LT" w:eastAsia="lt-LT"/>
        </w:rPr>
        <w:t xml:space="preserve">Socialinės apsaugos ir darbo ministerijoje yra vykdoma </w:t>
      </w:r>
      <w:r w:rsidR="009C3101" w:rsidRPr="00317289">
        <w:rPr>
          <w:color w:val="000000"/>
          <w:szCs w:val="24"/>
          <w:lang w:val="lt-LT" w:eastAsia="lt-LT"/>
        </w:rPr>
        <w:t>„Jaunimo tarptautinio bendradarbiavimo agentūr</w:t>
      </w:r>
      <w:r w:rsidR="00A33E37">
        <w:rPr>
          <w:color w:val="000000"/>
          <w:szCs w:val="24"/>
          <w:lang w:val="lt-LT" w:eastAsia="lt-LT"/>
        </w:rPr>
        <w:t>os</w:t>
      </w:r>
      <w:r w:rsidR="009C3101" w:rsidRPr="00317289">
        <w:rPr>
          <w:color w:val="000000"/>
          <w:szCs w:val="24"/>
          <w:lang w:val="lt-LT" w:eastAsia="lt-LT"/>
        </w:rPr>
        <w:t xml:space="preserve">“ (toliau – JTBA) </w:t>
      </w:r>
      <w:r w:rsidR="00EB709F" w:rsidRPr="00317289">
        <w:rPr>
          <w:color w:val="000000"/>
          <w:szCs w:val="24"/>
          <w:lang w:val="lt-LT" w:eastAsia="lt-LT"/>
        </w:rPr>
        <w:t>pertvarkos procedūra (toliau – Pertvarka). Pertvarka įgyvendinama dviem etapais:</w:t>
      </w:r>
    </w:p>
    <w:p w14:paraId="3E3164AA" w14:textId="77777777" w:rsidR="00EB709F" w:rsidRPr="00317289" w:rsidRDefault="00EB709F" w:rsidP="00867F15">
      <w:pPr>
        <w:pStyle w:val="Sraopastraipa"/>
        <w:numPr>
          <w:ilvl w:val="0"/>
          <w:numId w:val="7"/>
        </w:numPr>
        <w:tabs>
          <w:tab w:val="left" w:pos="1134"/>
        </w:tabs>
        <w:autoSpaceDE w:val="0"/>
        <w:autoSpaceDN w:val="0"/>
        <w:adjustRightInd w:val="0"/>
        <w:spacing w:line="276" w:lineRule="auto"/>
        <w:ind w:left="0" w:firstLine="851"/>
        <w:jc w:val="both"/>
        <w:rPr>
          <w:rStyle w:val="typewriter"/>
          <w:color w:val="000000"/>
          <w:szCs w:val="24"/>
          <w:lang w:val="lt-LT" w:eastAsia="lt-LT"/>
        </w:rPr>
      </w:pPr>
      <w:r w:rsidRPr="00317289">
        <w:rPr>
          <w:rStyle w:val="typewriter"/>
          <w:szCs w:val="24"/>
          <w:lang w:val="lt-LT"/>
        </w:rPr>
        <w:t xml:space="preserve">JTBA iš viešosios įstaigos pertvarkoma į biudžetinę įstaigą (etapas jau yra pasibaigęs, biudžetinė įstaiga </w:t>
      </w:r>
      <w:r w:rsidRPr="00354CB7">
        <w:rPr>
          <w:rStyle w:val="typewriter"/>
          <w:szCs w:val="24"/>
          <w:lang w:val="lt-LT"/>
        </w:rPr>
        <w:t>JTBA pradėjo veiklą nuo 2021 m. balandžio 1 d.);</w:t>
      </w:r>
    </w:p>
    <w:p w14:paraId="3E3164AB" w14:textId="77777777" w:rsidR="00EB709F" w:rsidRPr="00317289" w:rsidRDefault="00EB709F" w:rsidP="00867F15">
      <w:pPr>
        <w:pStyle w:val="Sraopastraipa"/>
        <w:numPr>
          <w:ilvl w:val="0"/>
          <w:numId w:val="7"/>
        </w:numPr>
        <w:tabs>
          <w:tab w:val="left" w:pos="1134"/>
        </w:tabs>
        <w:autoSpaceDE w:val="0"/>
        <w:autoSpaceDN w:val="0"/>
        <w:adjustRightInd w:val="0"/>
        <w:spacing w:line="276" w:lineRule="auto"/>
        <w:ind w:left="0" w:firstLine="851"/>
        <w:jc w:val="both"/>
        <w:rPr>
          <w:szCs w:val="24"/>
          <w:lang w:val="lt-LT"/>
        </w:rPr>
      </w:pPr>
      <w:r w:rsidRPr="00317289">
        <w:rPr>
          <w:rStyle w:val="typewriter"/>
          <w:szCs w:val="24"/>
          <w:lang w:val="lt-LT"/>
        </w:rPr>
        <w:t>į biudžetinę įstaigą pertvarkyta</w:t>
      </w:r>
      <w:bookmarkStart w:id="0" w:name="_GoBack"/>
      <w:bookmarkEnd w:id="0"/>
      <w:r w:rsidRPr="00317289">
        <w:rPr>
          <w:rStyle w:val="typewriter"/>
          <w:szCs w:val="24"/>
          <w:lang w:val="lt-LT"/>
        </w:rPr>
        <w:t xml:space="preserve"> JTBA </w:t>
      </w:r>
      <w:r w:rsidR="00F6792C" w:rsidRPr="00317289">
        <w:rPr>
          <w:rStyle w:val="typewriter"/>
          <w:szCs w:val="24"/>
          <w:lang w:val="lt-LT"/>
        </w:rPr>
        <w:t>prijung</w:t>
      </w:r>
      <w:r w:rsidR="00F6792C">
        <w:rPr>
          <w:rStyle w:val="typewriter"/>
          <w:szCs w:val="24"/>
          <w:lang w:val="lt-LT"/>
        </w:rPr>
        <w:t>us</w:t>
      </w:r>
      <w:r w:rsidR="00F6792C" w:rsidRPr="00317289">
        <w:rPr>
          <w:rStyle w:val="typewriter"/>
          <w:szCs w:val="24"/>
          <w:lang w:val="lt-LT"/>
        </w:rPr>
        <w:t xml:space="preserve"> </w:t>
      </w:r>
      <w:r w:rsidRPr="00317289">
        <w:rPr>
          <w:rStyle w:val="typewriter"/>
          <w:szCs w:val="24"/>
          <w:lang w:val="lt-LT"/>
        </w:rPr>
        <w:t xml:space="preserve">prie Jaunimo reikalų departamento </w:t>
      </w:r>
      <w:r w:rsidRPr="00317289">
        <w:rPr>
          <w:color w:val="000000"/>
          <w:szCs w:val="24"/>
          <w:lang w:val="lt-LT" w:eastAsia="lt-LT"/>
        </w:rPr>
        <w:t>prie Socialinės apsaugos ir darbo ministerijos.</w:t>
      </w:r>
    </w:p>
    <w:p w14:paraId="3E3164AC" w14:textId="77777777" w:rsidR="00361FD1" w:rsidRPr="00317289" w:rsidRDefault="00361FD1" w:rsidP="00867F15">
      <w:pPr>
        <w:tabs>
          <w:tab w:val="left" w:pos="4360"/>
        </w:tabs>
        <w:autoSpaceDE w:val="0"/>
        <w:autoSpaceDN w:val="0"/>
        <w:adjustRightInd w:val="0"/>
        <w:spacing w:line="276" w:lineRule="auto"/>
        <w:ind w:firstLine="851"/>
        <w:jc w:val="both"/>
        <w:rPr>
          <w:szCs w:val="24"/>
          <w:lang w:val="lt-LT"/>
        </w:rPr>
      </w:pPr>
      <w:r w:rsidRPr="00317289">
        <w:rPr>
          <w:szCs w:val="24"/>
          <w:lang w:val="lt-LT"/>
        </w:rPr>
        <w:t>Pertvarka buvo pradėta siekiant:</w:t>
      </w:r>
      <w:r w:rsidR="0012629C">
        <w:rPr>
          <w:szCs w:val="24"/>
          <w:lang w:val="lt-LT"/>
        </w:rPr>
        <w:tab/>
      </w:r>
    </w:p>
    <w:p w14:paraId="3E3164AD" w14:textId="77777777" w:rsidR="00361FD1" w:rsidRPr="00317289" w:rsidRDefault="00361FD1" w:rsidP="00867F15">
      <w:pPr>
        <w:pStyle w:val="Sraopastraipa"/>
        <w:numPr>
          <w:ilvl w:val="0"/>
          <w:numId w:val="9"/>
        </w:numPr>
        <w:tabs>
          <w:tab w:val="left" w:pos="1134"/>
        </w:tabs>
        <w:autoSpaceDE w:val="0"/>
        <w:autoSpaceDN w:val="0"/>
        <w:adjustRightInd w:val="0"/>
        <w:spacing w:line="276" w:lineRule="auto"/>
        <w:ind w:left="0" w:firstLine="851"/>
        <w:jc w:val="both"/>
        <w:rPr>
          <w:szCs w:val="24"/>
          <w:lang w:val="lt-LT"/>
        </w:rPr>
      </w:pPr>
      <w:r w:rsidRPr="00317289">
        <w:rPr>
          <w:color w:val="000000"/>
          <w:lang w:val="lt-LT"/>
        </w:rPr>
        <w:t>Viešojo sektoriaus įstaigų sistemos tobulinimo gairių įgyvendinimo veiksmų plano, patvirtinto Lietuvos Respublikos Vyriausybės 2018 m. gegužės 16 d. nutarimu Nr. 495 „Dėl Viešojo sektoriaus įstaigų sistemos tobulinimo gairių ir Viešojo sektoriaus įstaigų sistemos tobulinimo gairių įgyvendinimo veiksmų plano patvirtinimo“, vykdymo;</w:t>
      </w:r>
    </w:p>
    <w:p w14:paraId="3E3164AE" w14:textId="77777777" w:rsidR="00361FD1" w:rsidRPr="00317289" w:rsidRDefault="00361FD1" w:rsidP="00867F15">
      <w:pPr>
        <w:pStyle w:val="Sraopastraipa"/>
        <w:numPr>
          <w:ilvl w:val="0"/>
          <w:numId w:val="9"/>
        </w:numPr>
        <w:tabs>
          <w:tab w:val="left" w:pos="1134"/>
        </w:tabs>
        <w:autoSpaceDE w:val="0"/>
        <w:autoSpaceDN w:val="0"/>
        <w:adjustRightInd w:val="0"/>
        <w:spacing w:line="276" w:lineRule="auto"/>
        <w:ind w:left="0" w:firstLine="851"/>
        <w:jc w:val="both"/>
        <w:rPr>
          <w:szCs w:val="24"/>
          <w:lang w:val="lt-LT"/>
        </w:rPr>
      </w:pPr>
      <w:r w:rsidRPr="00317289">
        <w:rPr>
          <w:color w:val="000000"/>
          <w:lang w:val="lt-LT"/>
        </w:rPr>
        <w:t>2016 m. rugsėjo 12 d. Valstybinio audito pateiktoje ataskaitoje ,,Jaunimo politikos strateginis planavimas ir priemonių įgyvendinimas socialinės apsaugos ir darbo srityje“ Nr. VA P</w:t>
      </w:r>
      <w:r w:rsidRPr="00317289">
        <w:rPr>
          <w:color w:val="000000"/>
          <w:lang w:val="lt-LT"/>
        </w:rPr>
        <w:noBreakHyphen/>
        <w:t xml:space="preserve">10-4-11 </w:t>
      </w:r>
      <w:r w:rsidR="00F621A1" w:rsidRPr="00317289">
        <w:rPr>
          <w:color w:val="000000"/>
          <w:lang w:val="lt-LT"/>
        </w:rPr>
        <w:t>rekomendacijų įgyvendinimo, siekiant</w:t>
      </w:r>
      <w:r w:rsidRPr="00317289">
        <w:rPr>
          <w:color w:val="000000"/>
          <w:lang w:val="lt-LT"/>
        </w:rPr>
        <w:t xml:space="preserve"> užtikrinti tinkamą jaunimo politikos įgyvendinimo kontrolę, atlikti Jaunimo reikalų departamento prie Socialinės apsaugos ir darbo ministerijos (toliau – JRD) pavestų ir faktiškai vykdomų funkcijų peržiūrą ir prireikus jas patikslinti, </w:t>
      </w:r>
      <w:r w:rsidRPr="00317289">
        <w:rPr>
          <w:color w:val="000000"/>
          <w:lang w:val="lt-LT"/>
        </w:rPr>
        <w:lastRenderedPageBreak/>
        <w:t>įvertinti žmogiškųjų išteklių joms atlikti poreikį, įvardyti ir spęsti visų jaunimo grupių problemas ir kt.</w:t>
      </w:r>
    </w:p>
    <w:p w14:paraId="3E3164AF" w14:textId="77777777" w:rsidR="00361FD1" w:rsidRPr="00317289" w:rsidRDefault="00361FD1" w:rsidP="00867F15">
      <w:pPr>
        <w:pStyle w:val="Sraopastraipa"/>
        <w:numPr>
          <w:ilvl w:val="0"/>
          <w:numId w:val="9"/>
        </w:numPr>
        <w:tabs>
          <w:tab w:val="left" w:pos="1134"/>
        </w:tabs>
        <w:autoSpaceDE w:val="0"/>
        <w:autoSpaceDN w:val="0"/>
        <w:adjustRightInd w:val="0"/>
        <w:spacing w:line="276" w:lineRule="auto"/>
        <w:ind w:left="0" w:firstLine="851"/>
        <w:jc w:val="both"/>
        <w:rPr>
          <w:szCs w:val="24"/>
          <w:lang w:val="lt-LT"/>
        </w:rPr>
      </w:pPr>
      <w:r w:rsidRPr="00317289">
        <w:rPr>
          <w:color w:val="000000"/>
          <w:lang w:val="lt-LT"/>
        </w:rPr>
        <w:t>Netolygus jaunimo politikos priemonių įgyvendinimas, neužtikrintas darbas su skirtingomis jaunimo grupėmis ir skirtingomis temomis, dvi mažos, iš esmės panašias funkcijas jaunimo politikos srityje pagal SADM kompetenciją įgyvendinančios įstaigos – JRD ir JTBA –</w:t>
      </w:r>
      <w:r w:rsidR="00F621A1" w:rsidRPr="00317289">
        <w:rPr>
          <w:color w:val="000000"/>
          <w:lang w:val="lt-LT"/>
        </w:rPr>
        <w:t xml:space="preserve"> </w:t>
      </w:r>
      <w:r w:rsidRPr="00317289">
        <w:rPr>
          <w:color w:val="000000"/>
          <w:lang w:val="lt-LT"/>
        </w:rPr>
        <w:t>yra tie kausimai, kuriuos būtina spręsti siekiant efektyviai įgyvendinti kaštais ir turiniu grįstą jaunimo politiką.</w:t>
      </w:r>
    </w:p>
    <w:p w14:paraId="3E3164B0" w14:textId="77777777" w:rsidR="00183C7F" w:rsidRPr="00317289" w:rsidRDefault="00F80EF8" w:rsidP="00867F15">
      <w:pPr>
        <w:autoSpaceDE w:val="0"/>
        <w:autoSpaceDN w:val="0"/>
        <w:adjustRightInd w:val="0"/>
        <w:spacing w:line="276" w:lineRule="auto"/>
        <w:ind w:firstLine="851"/>
        <w:jc w:val="both"/>
        <w:rPr>
          <w:szCs w:val="24"/>
          <w:lang w:val="lt-LT"/>
        </w:rPr>
      </w:pPr>
      <w:r w:rsidRPr="00317289">
        <w:rPr>
          <w:szCs w:val="24"/>
          <w:lang w:val="lt-LT"/>
        </w:rPr>
        <w:t>Šiuo metu pirmasis pertvarkos etapas jau yra pasibaigęs,</w:t>
      </w:r>
      <w:r w:rsidR="00F621A1" w:rsidRPr="00317289">
        <w:rPr>
          <w:szCs w:val="24"/>
          <w:lang w:val="lt-LT"/>
        </w:rPr>
        <w:t xml:space="preserve"> </w:t>
      </w:r>
      <w:r w:rsidR="00376DC6" w:rsidRPr="00317289">
        <w:rPr>
          <w:szCs w:val="24"/>
          <w:lang w:val="lt-LT"/>
        </w:rPr>
        <w:t>JTBA nuo 2021 m. balandžio</w:t>
      </w:r>
      <w:r w:rsidR="00B85571">
        <w:rPr>
          <w:szCs w:val="24"/>
          <w:lang w:val="lt-LT"/>
        </w:rPr>
        <w:t> </w:t>
      </w:r>
      <w:r w:rsidR="00376DC6" w:rsidRPr="00317289">
        <w:rPr>
          <w:szCs w:val="24"/>
          <w:lang w:val="lt-LT"/>
        </w:rPr>
        <w:t>1</w:t>
      </w:r>
      <w:r w:rsidR="00B85571">
        <w:rPr>
          <w:szCs w:val="24"/>
          <w:lang w:val="lt-LT"/>
        </w:rPr>
        <w:t> </w:t>
      </w:r>
      <w:r w:rsidR="00376DC6" w:rsidRPr="00317289">
        <w:rPr>
          <w:szCs w:val="24"/>
          <w:lang w:val="lt-LT"/>
        </w:rPr>
        <w:t>d. veikia jau ne be kaip viešoji, o kaip biudžetinė įstaiga.</w:t>
      </w:r>
      <w:r w:rsidR="009833E4" w:rsidRPr="00317289">
        <w:rPr>
          <w:szCs w:val="24"/>
          <w:lang w:val="lt-LT"/>
        </w:rPr>
        <w:t xml:space="preserve"> </w:t>
      </w:r>
      <w:r w:rsidR="009833E4" w:rsidRPr="00354CB7">
        <w:rPr>
          <w:szCs w:val="24"/>
          <w:lang w:val="lt-LT"/>
        </w:rPr>
        <w:t>Yra</w:t>
      </w:r>
      <w:r w:rsidRPr="00354CB7">
        <w:rPr>
          <w:szCs w:val="24"/>
          <w:lang w:val="lt-LT"/>
        </w:rPr>
        <w:t xml:space="preserve"> pradėtos antro pertvarkos etapo procedūros (Lietuvos Respublikos Vyriausybės nutarimo projektas dėl sutikimo reorganizuoti biudžetinę įstaigą JTBA (toliau – Nutarimas) yra derinamas su Lietuvos Respublikos Vyriausybės kanceliarija).</w:t>
      </w:r>
      <w:r w:rsidR="00DC53D2" w:rsidRPr="00354CB7">
        <w:rPr>
          <w:szCs w:val="24"/>
          <w:lang w:val="lt-LT"/>
        </w:rPr>
        <w:t xml:space="preserve"> Antras pertvarkos etapas pasibaigs birželio 30 d., nes liepos 1 d.</w:t>
      </w:r>
      <w:r w:rsidR="00DC53D2">
        <w:rPr>
          <w:szCs w:val="24"/>
          <w:lang w:val="lt-LT"/>
        </w:rPr>
        <w:t xml:space="preserve"> įsigalios Įstatymo nauja redakcija.  </w:t>
      </w:r>
    </w:p>
    <w:p w14:paraId="3E3164B1" w14:textId="77777777" w:rsidR="003C6E10" w:rsidRPr="00317289" w:rsidRDefault="00317289" w:rsidP="00867F15">
      <w:pPr>
        <w:autoSpaceDE w:val="0"/>
        <w:autoSpaceDN w:val="0"/>
        <w:adjustRightInd w:val="0"/>
        <w:spacing w:line="276" w:lineRule="auto"/>
        <w:ind w:firstLine="851"/>
        <w:jc w:val="both"/>
        <w:rPr>
          <w:szCs w:val="24"/>
          <w:lang w:val="lt-LT"/>
        </w:rPr>
      </w:pPr>
      <w:r w:rsidRPr="00317289">
        <w:rPr>
          <w:color w:val="000000"/>
          <w:szCs w:val="24"/>
          <w:lang w:val="lt-LT" w:eastAsia="lt-LT"/>
        </w:rPr>
        <w:t xml:space="preserve">JTBA įgyvendina ir administruoja </w:t>
      </w:r>
      <w:r w:rsidRPr="00317289">
        <w:rPr>
          <w:szCs w:val="24"/>
          <w:lang w:val="lt-LT"/>
        </w:rPr>
        <w:t xml:space="preserve">tarptautines ir Europos Sąjungos programas jaunimo politikos srityje. </w:t>
      </w:r>
      <w:r w:rsidRPr="00354CB7">
        <w:rPr>
          <w:szCs w:val="24"/>
          <w:lang w:val="lt-LT"/>
        </w:rPr>
        <w:t>JTBA</w:t>
      </w:r>
      <w:r w:rsidR="005C2CB0" w:rsidRPr="00354CB7">
        <w:rPr>
          <w:szCs w:val="24"/>
          <w:lang w:val="lt-LT"/>
        </w:rPr>
        <w:t xml:space="preserve"> šiuo metu yra</w:t>
      </w:r>
      <w:r w:rsidR="00B85571" w:rsidRPr="00354CB7">
        <w:rPr>
          <w:szCs w:val="24"/>
          <w:lang w:val="lt-LT"/>
        </w:rPr>
        <w:t xml:space="preserve"> nustatytos</w:t>
      </w:r>
      <w:r w:rsidR="005C2CB0" w:rsidRPr="00354CB7">
        <w:rPr>
          <w:szCs w:val="24"/>
          <w:lang w:val="lt-LT"/>
        </w:rPr>
        <w:t xml:space="preserve"> 19,9 pareigybės, kurios nėra priskirtos prie SADM valdymo srityje esančių pareigybių. </w:t>
      </w:r>
      <w:r w:rsidR="00B85571" w:rsidRPr="00354CB7">
        <w:rPr>
          <w:szCs w:val="24"/>
          <w:lang w:val="lt-LT"/>
        </w:rPr>
        <w:t>JTBA</w:t>
      </w:r>
      <w:r w:rsidR="00B85571">
        <w:rPr>
          <w:szCs w:val="24"/>
          <w:lang w:val="lt-LT"/>
        </w:rPr>
        <w:t xml:space="preserve"> vykdomoms</w:t>
      </w:r>
      <w:r w:rsidR="00B85571" w:rsidRPr="00317289">
        <w:rPr>
          <w:szCs w:val="24"/>
          <w:lang w:val="lt-LT"/>
        </w:rPr>
        <w:t xml:space="preserve"> </w:t>
      </w:r>
      <w:r w:rsidRPr="00317289">
        <w:rPr>
          <w:szCs w:val="24"/>
          <w:lang w:val="lt-LT"/>
        </w:rPr>
        <w:t xml:space="preserve">funkcijoms </w:t>
      </w:r>
      <w:r w:rsidR="00B85571">
        <w:rPr>
          <w:szCs w:val="24"/>
          <w:lang w:val="lt-LT"/>
        </w:rPr>
        <w:t>įgyvendinti</w:t>
      </w:r>
      <w:r w:rsidR="00B85571" w:rsidRPr="00317289">
        <w:rPr>
          <w:szCs w:val="24"/>
          <w:lang w:val="lt-LT"/>
        </w:rPr>
        <w:t xml:space="preserve"> </w:t>
      </w:r>
      <w:r w:rsidRPr="00317289">
        <w:rPr>
          <w:szCs w:val="24"/>
          <w:lang w:val="lt-LT"/>
        </w:rPr>
        <w:t>Ministerija kasmet skiria 165 tūkst. eurų, taip pat lėšų skiria (programoms įgyvendinti ir administruoti) Europos Komisija (suma, gaunama iš Europos Komisijos, kasmet kinta, pvz., 2020 metams programoms administruoti</w:t>
      </w:r>
      <w:r w:rsidR="000025F3">
        <w:rPr>
          <w:szCs w:val="24"/>
          <w:lang w:val="lt-LT"/>
        </w:rPr>
        <w:t xml:space="preserve"> buvo</w:t>
      </w:r>
      <w:r w:rsidRPr="00317289">
        <w:rPr>
          <w:szCs w:val="24"/>
          <w:lang w:val="lt-LT"/>
        </w:rPr>
        <w:t xml:space="preserve"> gauta 507,7 tūkst. eurų). Tarptautinės ir Europos Sąjungos programos jaunimo politikos srityje yra tęstinės ir įgyvendinamos Lietuvoje jau nuo 1998 metų. Finansavimas programoms administruoti (įskaitant pareigybių išlaikymą) iš Europos Komisijos gaunamas kasmet. Jeigu Europos Komisija nuspręstų nebetęsti tarptautinių ir Europos Sąjungos programų jaunimo politikos srityje (tokių kaip „</w:t>
      </w:r>
      <w:proofErr w:type="spellStart"/>
      <w:r w:rsidRPr="00317289">
        <w:rPr>
          <w:szCs w:val="24"/>
          <w:lang w:val="lt-LT"/>
        </w:rPr>
        <w:t>Erasmus</w:t>
      </w:r>
      <w:proofErr w:type="spellEnd"/>
      <w:r w:rsidRPr="00317289">
        <w:rPr>
          <w:szCs w:val="24"/>
          <w:lang w:val="lt-LT"/>
        </w:rPr>
        <w:t>+“ arba „Europos solidarumo korpusas“) finansavimo, darbuotojų, administruojančių tarptautines programas, nereikėtų. Programa „</w:t>
      </w:r>
      <w:proofErr w:type="spellStart"/>
      <w:r w:rsidRPr="00317289">
        <w:rPr>
          <w:szCs w:val="24"/>
          <w:lang w:val="lt-LT"/>
        </w:rPr>
        <w:t>Erasmus</w:t>
      </w:r>
      <w:proofErr w:type="spellEnd"/>
      <w:r w:rsidRPr="00317289">
        <w:rPr>
          <w:szCs w:val="24"/>
          <w:lang w:val="lt-LT"/>
        </w:rPr>
        <w:t xml:space="preserve">+“ laikoma viena sėkmingiausių programų Europos Sąjungoje, todėl toks scenarijus mažai tikėtinas. </w:t>
      </w:r>
      <w:r w:rsidR="005C2CB0" w:rsidRPr="00317289">
        <w:rPr>
          <w:szCs w:val="24"/>
          <w:lang w:val="lt-LT"/>
        </w:rPr>
        <w:t>Todėl</w:t>
      </w:r>
      <w:r w:rsidR="00183C7F" w:rsidRPr="00317289">
        <w:rPr>
          <w:szCs w:val="24"/>
          <w:lang w:val="lt-LT"/>
        </w:rPr>
        <w:t xml:space="preserve"> </w:t>
      </w:r>
      <w:r w:rsidR="00B85571">
        <w:rPr>
          <w:szCs w:val="24"/>
          <w:lang w:val="lt-LT"/>
        </w:rPr>
        <w:t xml:space="preserve">Lietuvos Respublikos </w:t>
      </w:r>
      <w:r w:rsidR="003C6E10" w:rsidRPr="00317289">
        <w:rPr>
          <w:color w:val="000000"/>
          <w:szCs w:val="24"/>
          <w:lang w:val="lt-LT" w:eastAsia="lt-LT"/>
        </w:rPr>
        <w:t>Vyriausybei</w:t>
      </w:r>
      <w:r w:rsidR="003C6E10" w:rsidRPr="00317289">
        <w:rPr>
          <w:rFonts w:eastAsiaTheme="minorHAnsi"/>
          <w:color w:val="000000"/>
          <w:szCs w:val="24"/>
          <w:lang w:val="lt-LT"/>
        </w:rPr>
        <w:t xml:space="preserve"> priėmus sprendimą dėl </w:t>
      </w:r>
      <w:r w:rsidR="00183C7F" w:rsidRPr="00317289">
        <w:rPr>
          <w:rFonts w:eastAsiaTheme="minorHAnsi"/>
          <w:color w:val="000000"/>
          <w:szCs w:val="24"/>
          <w:lang w:val="lt-LT"/>
        </w:rPr>
        <w:t xml:space="preserve">biudžetinės įstaigos </w:t>
      </w:r>
      <w:r w:rsidR="003C6E10" w:rsidRPr="00317289">
        <w:rPr>
          <w:rFonts w:eastAsiaTheme="minorHAnsi"/>
          <w:color w:val="000000"/>
          <w:szCs w:val="24"/>
          <w:lang w:val="lt-LT"/>
        </w:rPr>
        <w:t xml:space="preserve">JTBA prijungimo prie biudžetinės įstaigos </w:t>
      </w:r>
      <w:r w:rsidR="003C6E10" w:rsidRPr="00317289">
        <w:rPr>
          <w:rStyle w:val="typewriter"/>
          <w:szCs w:val="24"/>
          <w:lang w:val="lt-LT"/>
        </w:rPr>
        <w:t xml:space="preserve">Jaunimo reikalų departamento </w:t>
      </w:r>
      <w:r w:rsidR="003C6E10" w:rsidRPr="00317289">
        <w:rPr>
          <w:color w:val="000000"/>
          <w:szCs w:val="24"/>
          <w:lang w:val="lt-LT" w:eastAsia="lt-LT"/>
        </w:rPr>
        <w:t>prie Socialinės apsaugos ir darbo ministerijos</w:t>
      </w:r>
      <w:r w:rsidR="003C6E10" w:rsidRPr="00317289">
        <w:rPr>
          <w:rFonts w:eastAsiaTheme="minorHAnsi"/>
          <w:color w:val="000000"/>
          <w:szCs w:val="24"/>
          <w:lang w:val="lt-LT"/>
        </w:rPr>
        <w:t xml:space="preserve">, turės būti keičiamas </w:t>
      </w:r>
      <w:r w:rsidR="00392825" w:rsidRPr="00317289">
        <w:rPr>
          <w:rFonts w:eastAsiaTheme="minorHAnsi"/>
          <w:color w:val="000000"/>
          <w:szCs w:val="24"/>
          <w:lang w:val="lt-LT"/>
        </w:rPr>
        <w:t>Sąrašas</w:t>
      </w:r>
      <w:r w:rsidR="003C6E10" w:rsidRPr="00317289">
        <w:rPr>
          <w:rFonts w:eastAsiaTheme="minorHAnsi"/>
          <w:color w:val="000000"/>
          <w:szCs w:val="24"/>
          <w:lang w:val="lt-LT"/>
        </w:rPr>
        <w:t xml:space="preserve">, padidinant didžiausią </w:t>
      </w:r>
      <w:r w:rsidR="003C6E10" w:rsidRPr="00317289">
        <w:rPr>
          <w:szCs w:val="24"/>
          <w:lang w:val="lt-LT"/>
        </w:rPr>
        <w:t xml:space="preserve">leistiną pareigybių skaičių socialinės apsaugos ir darbo ministro valdymo sritims priskirtose valstybės institucijose ir įstaigose 20 pareigybių. </w:t>
      </w:r>
    </w:p>
    <w:p w14:paraId="3E3164B2" w14:textId="77777777" w:rsidR="00005B8D" w:rsidRPr="00317289" w:rsidRDefault="00005B8D" w:rsidP="00867F15">
      <w:pPr>
        <w:spacing w:line="276" w:lineRule="auto"/>
        <w:ind w:firstLine="851"/>
        <w:jc w:val="both"/>
        <w:rPr>
          <w:szCs w:val="24"/>
          <w:lang w:val="lt-LT"/>
        </w:rPr>
      </w:pPr>
      <w:r w:rsidRPr="00317289">
        <w:rPr>
          <w:szCs w:val="24"/>
          <w:lang w:val="lt-LT"/>
        </w:rPr>
        <w:t>Atsižvelgdama į tai, kas išdėstyta, SADM prašo</w:t>
      </w:r>
      <w:r w:rsidR="005A5314">
        <w:rPr>
          <w:szCs w:val="24"/>
          <w:lang w:val="lt-LT"/>
        </w:rPr>
        <w:t xml:space="preserve"> nuo </w:t>
      </w:r>
      <w:r w:rsidR="005A5314" w:rsidRPr="00354CB7">
        <w:rPr>
          <w:szCs w:val="24"/>
          <w:lang w:val="lt-LT"/>
        </w:rPr>
        <w:t>2021 metų liepos 1 d.</w:t>
      </w:r>
      <w:r w:rsidRPr="00354CB7">
        <w:rPr>
          <w:szCs w:val="24"/>
          <w:lang w:val="lt-LT"/>
        </w:rPr>
        <w:t xml:space="preserve"> pakeisti</w:t>
      </w:r>
      <w:r w:rsidRPr="00317289">
        <w:rPr>
          <w:szCs w:val="24"/>
          <w:lang w:val="lt-LT"/>
        </w:rPr>
        <w:t xml:space="preserve"> Sąrašą ir jį išdėstyti taip:</w:t>
      </w:r>
    </w:p>
    <w:p w14:paraId="3E3164B3" w14:textId="77777777" w:rsidR="00005B8D" w:rsidRPr="00317289" w:rsidRDefault="00005B8D" w:rsidP="00867F15">
      <w:pPr>
        <w:pStyle w:val="Sraopastraipa"/>
        <w:numPr>
          <w:ilvl w:val="0"/>
          <w:numId w:val="10"/>
        </w:numPr>
        <w:spacing w:line="276" w:lineRule="auto"/>
        <w:ind w:left="0" w:firstLine="851"/>
        <w:jc w:val="both"/>
        <w:rPr>
          <w:szCs w:val="24"/>
          <w:lang w:val="lt-LT"/>
        </w:rPr>
      </w:pPr>
      <w:r w:rsidRPr="00317289">
        <w:rPr>
          <w:szCs w:val="24"/>
          <w:lang w:val="lt-LT"/>
        </w:rPr>
        <w:t>Pakeisti 6.6 papunktį ir jį išdėstyti taip:</w:t>
      </w:r>
    </w:p>
    <w:tbl>
      <w:tblPr>
        <w:tblW w:w="9360"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2"/>
        <w:gridCol w:w="4147"/>
        <w:gridCol w:w="1139"/>
        <w:gridCol w:w="1427"/>
        <w:gridCol w:w="1215"/>
      </w:tblGrid>
      <w:tr w:rsidR="00005B8D" w:rsidRPr="00317289" w14:paraId="3E3164BB" w14:textId="77777777" w:rsidTr="00A45E38">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3E3164B4" w14:textId="77777777" w:rsidR="00005B8D" w:rsidRPr="00317289" w:rsidRDefault="00005B8D" w:rsidP="00867F15">
            <w:pPr>
              <w:spacing w:line="276" w:lineRule="auto"/>
              <w:ind w:firstLine="851"/>
              <w:jc w:val="center"/>
              <w:rPr>
                <w:szCs w:val="24"/>
                <w:lang w:val="lt-LT"/>
              </w:rPr>
            </w:pPr>
            <w:r w:rsidRPr="00317289">
              <w:rPr>
                <w:szCs w:val="24"/>
                <w:lang w:val="lt-LT"/>
              </w:rPr>
              <w:t>„6.6.</w:t>
            </w:r>
          </w:p>
        </w:tc>
        <w:tc>
          <w:tcPr>
            <w:tcW w:w="4538"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3E3164B5" w14:textId="77777777" w:rsidR="00005B8D" w:rsidRPr="00317289" w:rsidRDefault="00005B8D" w:rsidP="00867F15">
            <w:pPr>
              <w:spacing w:line="276" w:lineRule="auto"/>
              <w:jc w:val="both"/>
              <w:rPr>
                <w:szCs w:val="24"/>
                <w:lang w:val="lt-LT"/>
              </w:rPr>
            </w:pPr>
            <w:r w:rsidRPr="00317289">
              <w:rPr>
                <w:szCs w:val="24"/>
                <w:lang w:val="lt-LT"/>
              </w:rPr>
              <w:t>Socialinės apsaugos ir darbo ministro valdymo sritims priskirtose valstybės institucijose ir įstaigose</w:t>
            </w:r>
          </w:p>
        </w:tc>
        <w:tc>
          <w:tcPr>
            <w:tcW w:w="1213"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3E3164B6" w14:textId="77777777" w:rsidR="00005B8D" w:rsidRPr="00317289" w:rsidRDefault="00005B8D" w:rsidP="00867F15">
            <w:pPr>
              <w:spacing w:line="276" w:lineRule="auto"/>
              <w:jc w:val="both"/>
              <w:rPr>
                <w:strike/>
                <w:szCs w:val="24"/>
                <w:lang w:val="lt-LT"/>
              </w:rPr>
            </w:pPr>
            <w:r w:rsidRPr="00317289">
              <w:rPr>
                <w:strike/>
                <w:szCs w:val="24"/>
                <w:lang w:val="lt-LT"/>
              </w:rPr>
              <w:t>5 983</w:t>
            </w:r>
          </w:p>
          <w:p w14:paraId="3E3164B7" w14:textId="77777777" w:rsidR="00005B8D" w:rsidRPr="00317289" w:rsidRDefault="00005B8D" w:rsidP="00867F15">
            <w:pPr>
              <w:spacing w:line="276" w:lineRule="auto"/>
              <w:jc w:val="both"/>
              <w:rPr>
                <w:b/>
                <w:szCs w:val="24"/>
                <w:lang w:val="lt-LT"/>
              </w:rPr>
            </w:pPr>
            <w:r w:rsidRPr="00317289">
              <w:rPr>
                <w:b/>
                <w:szCs w:val="24"/>
                <w:lang w:val="lt-LT"/>
              </w:rPr>
              <w:t>6003</w:t>
            </w:r>
          </w:p>
        </w:tc>
        <w:tc>
          <w:tcPr>
            <w:tcW w:w="1482"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3E3164B8" w14:textId="77777777" w:rsidR="00005B8D" w:rsidRPr="00317289" w:rsidRDefault="00005B8D" w:rsidP="00867F15">
            <w:pPr>
              <w:spacing w:line="276" w:lineRule="auto"/>
              <w:ind w:firstLine="851"/>
              <w:jc w:val="both"/>
              <w:rPr>
                <w:szCs w:val="24"/>
                <w:lang w:val="lt-LT"/>
              </w:rPr>
            </w:pPr>
            <w:r w:rsidRPr="00317289">
              <w:rPr>
                <w:szCs w:val="24"/>
                <w:lang w:val="lt-LT"/>
              </w:rPr>
              <w:t> </w:t>
            </w:r>
          </w:p>
        </w:tc>
        <w:tc>
          <w:tcPr>
            <w:tcW w:w="1277"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3E3164B9" w14:textId="77777777" w:rsidR="00005B8D" w:rsidRPr="00317289" w:rsidRDefault="00005B8D" w:rsidP="00867F15">
            <w:pPr>
              <w:spacing w:line="276" w:lineRule="auto"/>
              <w:jc w:val="both"/>
              <w:rPr>
                <w:strike/>
                <w:szCs w:val="24"/>
                <w:lang w:val="lt-LT"/>
              </w:rPr>
            </w:pPr>
            <w:r w:rsidRPr="00317289">
              <w:rPr>
                <w:strike/>
                <w:szCs w:val="24"/>
                <w:lang w:val="lt-LT"/>
              </w:rPr>
              <w:t>5 983</w:t>
            </w:r>
          </w:p>
          <w:p w14:paraId="3E3164BA" w14:textId="77777777" w:rsidR="00005B8D" w:rsidRPr="00317289" w:rsidRDefault="00005B8D" w:rsidP="00867F15">
            <w:pPr>
              <w:spacing w:line="276" w:lineRule="auto"/>
              <w:jc w:val="both"/>
              <w:rPr>
                <w:szCs w:val="24"/>
                <w:lang w:val="lt-LT"/>
              </w:rPr>
            </w:pPr>
            <w:r w:rsidRPr="00317289">
              <w:rPr>
                <w:b/>
                <w:szCs w:val="24"/>
                <w:lang w:val="lt-LT"/>
              </w:rPr>
              <w:t>6003</w:t>
            </w:r>
            <w:r w:rsidRPr="00317289">
              <w:rPr>
                <w:szCs w:val="24"/>
                <w:lang w:val="lt-LT"/>
              </w:rPr>
              <w:t>“.</w:t>
            </w:r>
          </w:p>
        </w:tc>
      </w:tr>
    </w:tbl>
    <w:p w14:paraId="3E3164BC" w14:textId="77777777" w:rsidR="00005B8D" w:rsidRPr="00354CB7" w:rsidRDefault="000025F3" w:rsidP="000025F3">
      <w:pPr>
        <w:tabs>
          <w:tab w:val="left" w:pos="567"/>
        </w:tabs>
        <w:spacing w:line="276" w:lineRule="auto"/>
        <w:jc w:val="both"/>
        <w:rPr>
          <w:szCs w:val="24"/>
          <w:lang w:val="lt-LT"/>
        </w:rPr>
      </w:pPr>
      <w:r>
        <w:rPr>
          <w:szCs w:val="24"/>
          <w:lang w:val="lt-LT"/>
        </w:rPr>
        <w:t xml:space="preserve">    </w:t>
      </w:r>
      <w:r w:rsidR="00005B8D" w:rsidRPr="00354CB7">
        <w:rPr>
          <w:szCs w:val="24"/>
          <w:lang w:val="lt-LT"/>
        </w:rPr>
        <w:t>Pažymėtina,</w:t>
      </w:r>
      <w:r w:rsidR="00E64510" w:rsidRPr="00354CB7">
        <w:rPr>
          <w:szCs w:val="24"/>
          <w:lang w:val="lt-LT"/>
        </w:rPr>
        <w:t xml:space="preserve"> kad</w:t>
      </w:r>
      <w:r w:rsidR="00005B8D" w:rsidRPr="00354CB7">
        <w:rPr>
          <w:szCs w:val="24"/>
          <w:lang w:val="lt-LT"/>
        </w:rPr>
        <w:t xml:space="preserve"> </w:t>
      </w:r>
      <w:r w:rsidR="00CB61FC" w:rsidRPr="00354CB7">
        <w:rPr>
          <w:szCs w:val="24"/>
          <w:lang w:val="lt-LT"/>
        </w:rPr>
        <w:t>pritarus siūlomiems pakeitimams,</w:t>
      </w:r>
      <w:r w:rsidR="00005B8D" w:rsidRPr="00354CB7">
        <w:rPr>
          <w:szCs w:val="24"/>
          <w:lang w:val="lt-LT"/>
        </w:rPr>
        <w:t xml:space="preserve"> papildomo finansavimo Socialinės apsaugos ir darbo ministerijai dėl </w:t>
      </w:r>
      <w:r w:rsidR="00A17D2C" w:rsidRPr="00354CB7">
        <w:rPr>
          <w:szCs w:val="24"/>
          <w:lang w:val="lt-LT"/>
        </w:rPr>
        <w:t xml:space="preserve">20 </w:t>
      </w:r>
      <w:r w:rsidR="00005B8D" w:rsidRPr="00354CB7">
        <w:rPr>
          <w:szCs w:val="24"/>
          <w:lang w:val="lt-LT"/>
        </w:rPr>
        <w:t>papildomų pareigybių nereikės.</w:t>
      </w:r>
    </w:p>
    <w:p w14:paraId="3E3164BE" w14:textId="77777777" w:rsidR="0012629C" w:rsidRPr="0014562C" w:rsidRDefault="0012629C" w:rsidP="00005B8D">
      <w:pPr>
        <w:spacing w:line="276" w:lineRule="auto"/>
        <w:rPr>
          <w:szCs w:val="24"/>
          <w:lang w:val="lt-LT"/>
        </w:rPr>
      </w:pPr>
    </w:p>
    <w:p w14:paraId="3E3164BF" w14:textId="77777777" w:rsidR="00FA20FB" w:rsidRPr="00730A13" w:rsidRDefault="00FA20FB" w:rsidP="00183C7F">
      <w:pPr>
        <w:autoSpaceDE w:val="0"/>
        <w:autoSpaceDN w:val="0"/>
        <w:adjustRightInd w:val="0"/>
        <w:ind w:firstLine="992"/>
        <w:jc w:val="both"/>
        <w:rPr>
          <w:rFonts w:eastAsiaTheme="minorHAnsi"/>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0"/>
        <w:gridCol w:w="4760"/>
      </w:tblGrid>
      <w:tr w:rsidR="00013089" w14:paraId="3E3164C2" w14:textId="77777777" w:rsidTr="006D14DB">
        <w:tc>
          <w:tcPr>
            <w:tcW w:w="4927" w:type="dxa"/>
          </w:tcPr>
          <w:p w14:paraId="3E3164C0" w14:textId="77777777" w:rsidR="00013089" w:rsidRDefault="00013089" w:rsidP="00E03444">
            <w:pPr>
              <w:tabs>
                <w:tab w:val="left" w:pos="0"/>
              </w:tabs>
              <w:rPr>
                <w:rFonts w:eastAsia="Calibri"/>
                <w:b/>
                <w:color w:val="000000" w:themeColor="text1"/>
                <w:szCs w:val="24"/>
                <w:lang w:val="lt-LT" w:eastAsia="lt-LT"/>
              </w:rPr>
            </w:pPr>
            <w:r w:rsidRPr="00791C54">
              <w:rPr>
                <w:szCs w:val="24"/>
                <w:lang w:val="lt-LT"/>
              </w:rPr>
              <w:t>Viceministras</w:t>
            </w:r>
          </w:p>
        </w:tc>
        <w:tc>
          <w:tcPr>
            <w:tcW w:w="4928" w:type="dxa"/>
          </w:tcPr>
          <w:p w14:paraId="3E3164C1" w14:textId="77777777" w:rsidR="00013089" w:rsidRDefault="00013089" w:rsidP="006D14DB">
            <w:pPr>
              <w:tabs>
                <w:tab w:val="left" w:pos="0"/>
              </w:tabs>
              <w:jc w:val="right"/>
              <w:rPr>
                <w:rFonts w:eastAsia="Calibri"/>
                <w:b/>
                <w:color w:val="000000" w:themeColor="text1"/>
                <w:szCs w:val="24"/>
                <w:lang w:val="lt-LT" w:eastAsia="lt-LT"/>
              </w:rPr>
            </w:pPr>
            <w:r w:rsidRPr="0043259B">
              <w:rPr>
                <w:szCs w:val="24"/>
                <w:lang w:val="lt-LT"/>
              </w:rPr>
              <w:t>Vytautas Šilinskas</w:t>
            </w:r>
          </w:p>
        </w:tc>
      </w:tr>
    </w:tbl>
    <w:p w14:paraId="3E3164C3" w14:textId="77777777" w:rsidR="002C00E6" w:rsidRDefault="002C00E6" w:rsidP="008A107E">
      <w:pPr>
        <w:rPr>
          <w:szCs w:val="24"/>
          <w:lang w:val="lt-LT"/>
        </w:rPr>
      </w:pPr>
    </w:p>
    <w:p w14:paraId="3E3164C4" w14:textId="77777777" w:rsidR="002C00E6" w:rsidRPr="006D14DB" w:rsidRDefault="002C00E6" w:rsidP="008A107E">
      <w:pPr>
        <w:rPr>
          <w:szCs w:val="24"/>
          <w:lang w:val="lt-LT"/>
        </w:rPr>
      </w:pPr>
    </w:p>
    <w:p w14:paraId="3E3164C5" w14:textId="77777777" w:rsidR="0081169D" w:rsidRPr="006D14DB" w:rsidRDefault="0081169D" w:rsidP="0081169D">
      <w:pPr>
        <w:rPr>
          <w:szCs w:val="24"/>
          <w:lang w:val="lt-LT"/>
        </w:rPr>
      </w:pPr>
      <w:r w:rsidRPr="006D14DB">
        <w:rPr>
          <w:szCs w:val="24"/>
          <w:lang w:val="lt-LT"/>
        </w:rPr>
        <w:t xml:space="preserve">Rita Andrejeva, tel. 8 658 59 463, el. p. </w:t>
      </w:r>
      <w:hyperlink r:id="rId11" w:history="1">
        <w:r w:rsidR="009C3101" w:rsidRPr="007B1220">
          <w:rPr>
            <w:rStyle w:val="Hipersaitas"/>
            <w:szCs w:val="24"/>
            <w:lang w:val="lt-LT"/>
          </w:rPr>
          <w:t>rita.andrejeva@socmin.lt</w:t>
        </w:r>
      </w:hyperlink>
      <w:r w:rsidR="009C3101">
        <w:rPr>
          <w:szCs w:val="24"/>
          <w:lang w:val="lt-LT"/>
        </w:rPr>
        <w:t xml:space="preserve"> </w:t>
      </w:r>
      <w:r w:rsidRPr="006D14DB">
        <w:rPr>
          <w:szCs w:val="24"/>
          <w:lang w:val="lt-LT"/>
        </w:rPr>
        <w:tab/>
      </w:r>
    </w:p>
    <w:p w14:paraId="3E3164C6" w14:textId="77777777" w:rsidR="0081169D" w:rsidRPr="006D14DB" w:rsidRDefault="00B77ED6" w:rsidP="0081169D">
      <w:pPr>
        <w:rPr>
          <w:szCs w:val="24"/>
          <w:lang w:val="lt-LT"/>
        </w:rPr>
      </w:pPr>
      <w:r>
        <w:rPr>
          <w:szCs w:val="24"/>
          <w:lang w:val="lt-LT"/>
        </w:rPr>
        <w:t>Mindaugas Buckiūnas</w:t>
      </w:r>
      <w:r w:rsidR="0081169D" w:rsidRPr="006D14DB">
        <w:rPr>
          <w:szCs w:val="24"/>
          <w:lang w:val="lt-LT"/>
        </w:rPr>
        <w:t xml:space="preserve">, tel. 8 696 </w:t>
      </w:r>
      <w:r w:rsidR="009C3101">
        <w:rPr>
          <w:szCs w:val="24"/>
          <w:lang w:val="lt-LT"/>
        </w:rPr>
        <w:t>4</w:t>
      </w:r>
      <w:r w:rsidR="009C3101" w:rsidRPr="006D14DB">
        <w:rPr>
          <w:szCs w:val="24"/>
          <w:lang w:val="lt-LT"/>
        </w:rPr>
        <w:t>2</w:t>
      </w:r>
      <w:r w:rsidR="009C3101">
        <w:rPr>
          <w:szCs w:val="24"/>
          <w:lang w:val="lt-LT"/>
        </w:rPr>
        <w:t>502</w:t>
      </w:r>
      <w:r w:rsidR="0081169D" w:rsidRPr="006D14DB">
        <w:rPr>
          <w:szCs w:val="24"/>
          <w:lang w:val="lt-LT"/>
        </w:rPr>
        <w:t xml:space="preserve">, el. p. </w:t>
      </w:r>
      <w:hyperlink r:id="rId12" w:history="1">
        <w:r w:rsidR="009C3101" w:rsidRPr="007B1220">
          <w:rPr>
            <w:rStyle w:val="Hipersaitas"/>
            <w:szCs w:val="24"/>
            <w:lang w:val="lt-LT"/>
          </w:rPr>
          <w:t>mindaugas.buckiunas@socmin.lt</w:t>
        </w:r>
      </w:hyperlink>
      <w:r w:rsidR="009C3101">
        <w:rPr>
          <w:szCs w:val="24"/>
          <w:lang w:val="lt-LT"/>
        </w:rPr>
        <w:t xml:space="preserve"> </w:t>
      </w:r>
    </w:p>
    <w:sectPr w:rsidR="0081169D" w:rsidRPr="006D14DB" w:rsidSect="000700EC">
      <w:headerReference w:type="default" r:id="rId13"/>
      <w:type w:val="continuous"/>
      <w:pgSz w:w="11906" w:h="16838"/>
      <w:pgMar w:top="851" w:right="566" w:bottom="709" w:left="1800" w:header="720" w:footer="21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164CC" w14:textId="77777777" w:rsidR="000930DF" w:rsidRDefault="000930DF">
      <w:r>
        <w:separator/>
      </w:r>
    </w:p>
  </w:endnote>
  <w:endnote w:type="continuationSeparator" w:id="0">
    <w:p w14:paraId="3E3164CD" w14:textId="77777777" w:rsidR="000930DF" w:rsidRDefault="000930DF">
      <w:r>
        <w:continuationSeparator/>
      </w:r>
    </w:p>
  </w:endnote>
  <w:endnote w:type="continuationNotice" w:id="1">
    <w:p w14:paraId="3E3164CE" w14:textId="77777777" w:rsidR="000930DF" w:rsidRDefault="000930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164C9" w14:textId="77777777" w:rsidR="000930DF" w:rsidRDefault="000930DF">
      <w:r>
        <w:separator/>
      </w:r>
    </w:p>
  </w:footnote>
  <w:footnote w:type="continuationSeparator" w:id="0">
    <w:p w14:paraId="3E3164CA" w14:textId="77777777" w:rsidR="000930DF" w:rsidRDefault="000930DF">
      <w:r>
        <w:continuationSeparator/>
      </w:r>
    </w:p>
  </w:footnote>
  <w:footnote w:type="continuationNotice" w:id="1">
    <w:p w14:paraId="3E3164CB" w14:textId="77777777" w:rsidR="000930DF" w:rsidRDefault="000930D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164CF" w14:textId="77777777" w:rsidR="00DF2FB8" w:rsidRDefault="00DF2FB8">
    <w:pPr>
      <w:pStyle w:val="Antrats"/>
    </w:pPr>
  </w:p>
  <w:p w14:paraId="3E3164D0" w14:textId="77777777" w:rsidR="00DF2FB8" w:rsidRDefault="00DF2FB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31886"/>
    <w:multiLevelType w:val="hybridMultilevel"/>
    <w:tmpl w:val="B40CA54E"/>
    <w:lvl w:ilvl="0" w:tplc="D3749B6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nsid w:val="08221FD1"/>
    <w:multiLevelType w:val="hybridMultilevel"/>
    <w:tmpl w:val="0E064E32"/>
    <w:lvl w:ilvl="0" w:tplc="49721DAE">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
    <w:nsid w:val="16FF75E1"/>
    <w:multiLevelType w:val="hybridMultilevel"/>
    <w:tmpl w:val="724063AC"/>
    <w:lvl w:ilvl="0" w:tplc="B28C55A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nsid w:val="28807278"/>
    <w:multiLevelType w:val="multilevel"/>
    <w:tmpl w:val="0C1CD60A"/>
    <w:lvl w:ilvl="0">
      <w:start w:val="1"/>
      <w:numFmt w:val="decimal"/>
      <w:lvlText w:val="%1."/>
      <w:lvlJc w:val="left"/>
      <w:pPr>
        <w:ind w:left="1211"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nsid w:val="45D83919"/>
    <w:multiLevelType w:val="hybridMultilevel"/>
    <w:tmpl w:val="2AD219B6"/>
    <w:lvl w:ilvl="0" w:tplc="6EBA5FE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nsid w:val="46A024C4"/>
    <w:multiLevelType w:val="multilevel"/>
    <w:tmpl w:val="180A83C0"/>
    <w:lvl w:ilvl="0">
      <w:start w:val="1"/>
      <w:numFmt w:val="decimal"/>
      <w:lvlText w:val="%1."/>
      <w:lvlJc w:val="left"/>
      <w:pPr>
        <w:ind w:left="2488" w:hanging="360"/>
      </w:pPr>
    </w:lvl>
    <w:lvl w:ilvl="1">
      <w:start w:val="1"/>
      <w:numFmt w:val="decimal"/>
      <w:isLgl/>
      <w:lvlText w:val="%1.%2."/>
      <w:lvlJc w:val="left"/>
      <w:pPr>
        <w:ind w:left="2488" w:hanging="360"/>
      </w:pPr>
    </w:lvl>
    <w:lvl w:ilvl="2">
      <w:start w:val="1"/>
      <w:numFmt w:val="decimal"/>
      <w:isLgl/>
      <w:lvlText w:val="%1.%2.%3."/>
      <w:lvlJc w:val="left"/>
      <w:pPr>
        <w:ind w:left="2848" w:hanging="720"/>
      </w:pPr>
    </w:lvl>
    <w:lvl w:ilvl="3">
      <w:start w:val="1"/>
      <w:numFmt w:val="decimal"/>
      <w:isLgl/>
      <w:lvlText w:val="%1.%2.%3.%4."/>
      <w:lvlJc w:val="left"/>
      <w:pPr>
        <w:ind w:left="2848" w:hanging="720"/>
      </w:pPr>
    </w:lvl>
    <w:lvl w:ilvl="4">
      <w:start w:val="1"/>
      <w:numFmt w:val="decimal"/>
      <w:isLgl/>
      <w:lvlText w:val="%1.%2.%3.%4.%5."/>
      <w:lvlJc w:val="left"/>
      <w:pPr>
        <w:ind w:left="3208" w:hanging="1080"/>
      </w:pPr>
    </w:lvl>
    <w:lvl w:ilvl="5">
      <w:start w:val="1"/>
      <w:numFmt w:val="decimal"/>
      <w:isLgl/>
      <w:lvlText w:val="%1.%2.%3.%4.%5.%6."/>
      <w:lvlJc w:val="left"/>
      <w:pPr>
        <w:ind w:left="3208" w:hanging="1080"/>
      </w:pPr>
    </w:lvl>
    <w:lvl w:ilvl="6">
      <w:start w:val="1"/>
      <w:numFmt w:val="decimal"/>
      <w:isLgl/>
      <w:lvlText w:val="%1.%2.%3.%4.%5.%6.%7."/>
      <w:lvlJc w:val="left"/>
      <w:pPr>
        <w:ind w:left="3568" w:hanging="1440"/>
      </w:pPr>
    </w:lvl>
    <w:lvl w:ilvl="7">
      <w:start w:val="1"/>
      <w:numFmt w:val="decimal"/>
      <w:isLgl/>
      <w:lvlText w:val="%1.%2.%3.%4.%5.%6.%7.%8."/>
      <w:lvlJc w:val="left"/>
      <w:pPr>
        <w:ind w:left="3568" w:hanging="1440"/>
      </w:pPr>
    </w:lvl>
    <w:lvl w:ilvl="8">
      <w:start w:val="1"/>
      <w:numFmt w:val="decimal"/>
      <w:isLgl/>
      <w:lvlText w:val="%1.%2.%3.%4.%5.%6.%7.%8.%9."/>
      <w:lvlJc w:val="left"/>
      <w:pPr>
        <w:ind w:left="3928" w:hanging="1800"/>
      </w:pPr>
    </w:lvl>
  </w:abstractNum>
  <w:abstractNum w:abstractNumId="6">
    <w:nsid w:val="51A45708"/>
    <w:multiLevelType w:val="hybridMultilevel"/>
    <w:tmpl w:val="C0ECC4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9A43295"/>
    <w:multiLevelType w:val="hybridMultilevel"/>
    <w:tmpl w:val="91E69FA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nsid w:val="6ACD77CB"/>
    <w:multiLevelType w:val="hybridMultilevel"/>
    <w:tmpl w:val="14CAE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6FE86BD3"/>
    <w:multiLevelType w:val="hybridMultilevel"/>
    <w:tmpl w:val="C17079A2"/>
    <w:lvl w:ilvl="0" w:tplc="D9066DFC">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num w:numId="1">
    <w:abstractNumId w:val="3"/>
  </w:num>
  <w:num w:numId="2">
    <w:abstractNumId w:val="6"/>
  </w:num>
  <w:num w:numId="3">
    <w:abstractNumId w:val="9"/>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ocumentProtection w:edit="forms" w:enforcement="0"/>
  <w:defaultTabStop w:val="1296"/>
  <w:hyphenationZone w:val="396"/>
  <w:drawingGridHorizontalSpacing w:val="10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B3C"/>
    <w:rsid w:val="000025F3"/>
    <w:rsid w:val="00005B8D"/>
    <w:rsid w:val="00013089"/>
    <w:rsid w:val="000220E1"/>
    <w:rsid w:val="00030FD3"/>
    <w:rsid w:val="00033453"/>
    <w:rsid w:val="0003609C"/>
    <w:rsid w:val="00041878"/>
    <w:rsid w:val="000434E3"/>
    <w:rsid w:val="00043835"/>
    <w:rsid w:val="00043D79"/>
    <w:rsid w:val="0004408E"/>
    <w:rsid w:val="0004780D"/>
    <w:rsid w:val="0005585F"/>
    <w:rsid w:val="00065EA0"/>
    <w:rsid w:val="00066E5B"/>
    <w:rsid w:val="000700EC"/>
    <w:rsid w:val="00072AC0"/>
    <w:rsid w:val="00074326"/>
    <w:rsid w:val="00077B0C"/>
    <w:rsid w:val="000930DF"/>
    <w:rsid w:val="00096307"/>
    <w:rsid w:val="000A6F39"/>
    <w:rsid w:val="000B709C"/>
    <w:rsid w:val="000C15B4"/>
    <w:rsid w:val="000C4A80"/>
    <w:rsid w:val="000D0630"/>
    <w:rsid w:val="000D6049"/>
    <w:rsid w:val="000E0371"/>
    <w:rsid w:val="000F755D"/>
    <w:rsid w:val="00103968"/>
    <w:rsid w:val="00104DAC"/>
    <w:rsid w:val="001200A3"/>
    <w:rsid w:val="0012629C"/>
    <w:rsid w:val="00126F15"/>
    <w:rsid w:val="001343F1"/>
    <w:rsid w:val="00142DBF"/>
    <w:rsid w:val="001524A9"/>
    <w:rsid w:val="0015253D"/>
    <w:rsid w:val="00157545"/>
    <w:rsid w:val="0016106B"/>
    <w:rsid w:val="001635E7"/>
    <w:rsid w:val="00165ED0"/>
    <w:rsid w:val="0016601C"/>
    <w:rsid w:val="001724E2"/>
    <w:rsid w:val="00175A93"/>
    <w:rsid w:val="00183C7F"/>
    <w:rsid w:val="0018726F"/>
    <w:rsid w:val="001922DB"/>
    <w:rsid w:val="00193F8C"/>
    <w:rsid w:val="001B270B"/>
    <w:rsid w:val="001D6FA5"/>
    <w:rsid w:val="00201A7C"/>
    <w:rsid w:val="00205A7E"/>
    <w:rsid w:val="00206199"/>
    <w:rsid w:val="00217AB5"/>
    <w:rsid w:val="00225F9A"/>
    <w:rsid w:val="00232D8E"/>
    <w:rsid w:val="00240B98"/>
    <w:rsid w:val="0024271A"/>
    <w:rsid w:val="00246426"/>
    <w:rsid w:val="0025399C"/>
    <w:rsid w:val="00263223"/>
    <w:rsid w:val="002777B2"/>
    <w:rsid w:val="00277C91"/>
    <w:rsid w:val="002840AE"/>
    <w:rsid w:val="00284EAB"/>
    <w:rsid w:val="0028563B"/>
    <w:rsid w:val="002B4FFD"/>
    <w:rsid w:val="002B6091"/>
    <w:rsid w:val="002B73D4"/>
    <w:rsid w:val="002C00E6"/>
    <w:rsid w:val="002C73A8"/>
    <w:rsid w:val="002D6D0A"/>
    <w:rsid w:val="002D7F43"/>
    <w:rsid w:val="002F20BD"/>
    <w:rsid w:val="00303434"/>
    <w:rsid w:val="00310D74"/>
    <w:rsid w:val="00317289"/>
    <w:rsid w:val="00326D97"/>
    <w:rsid w:val="00327309"/>
    <w:rsid w:val="00337F3C"/>
    <w:rsid w:val="00341E4A"/>
    <w:rsid w:val="00346F71"/>
    <w:rsid w:val="00354CB7"/>
    <w:rsid w:val="003559B3"/>
    <w:rsid w:val="00361FD1"/>
    <w:rsid w:val="00366A9E"/>
    <w:rsid w:val="00374FB8"/>
    <w:rsid w:val="00376AD1"/>
    <w:rsid w:val="00376DC6"/>
    <w:rsid w:val="003773EE"/>
    <w:rsid w:val="00383D30"/>
    <w:rsid w:val="00392825"/>
    <w:rsid w:val="003968A3"/>
    <w:rsid w:val="003A202E"/>
    <w:rsid w:val="003A44BB"/>
    <w:rsid w:val="003A6618"/>
    <w:rsid w:val="003A77FB"/>
    <w:rsid w:val="003C6E10"/>
    <w:rsid w:val="003D3ED7"/>
    <w:rsid w:val="003E1B83"/>
    <w:rsid w:val="004053C7"/>
    <w:rsid w:val="00406A2C"/>
    <w:rsid w:val="00422CAE"/>
    <w:rsid w:val="00427D00"/>
    <w:rsid w:val="00433E94"/>
    <w:rsid w:val="00456592"/>
    <w:rsid w:val="00473B71"/>
    <w:rsid w:val="00474C3A"/>
    <w:rsid w:val="0048018E"/>
    <w:rsid w:val="0048398B"/>
    <w:rsid w:val="00483D4E"/>
    <w:rsid w:val="00491B6F"/>
    <w:rsid w:val="004A640D"/>
    <w:rsid w:val="004C12C5"/>
    <w:rsid w:val="004D431D"/>
    <w:rsid w:val="004D565E"/>
    <w:rsid w:val="004F34D3"/>
    <w:rsid w:val="004F7EF5"/>
    <w:rsid w:val="00503DFC"/>
    <w:rsid w:val="0051544E"/>
    <w:rsid w:val="00532988"/>
    <w:rsid w:val="00534254"/>
    <w:rsid w:val="00535F2E"/>
    <w:rsid w:val="005472F0"/>
    <w:rsid w:val="00554302"/>
    <w:rsid w:val="005575C7"/>
    <w:rsid w:val="00560223"/>
    <w:rsid w:val="00576C15"/>
    <w:rsid w:val="00581577"/>
    <w:rsid w:val="005869D2"/>
    <w:rsid w:val="00595806"/>
    <w:rsid w:val="005A22F9"/>
    <w:rsid w:val="005A5314"/>
    <w:rsid w:val="005B5D99"/>
    <w:rsid w:val="005C2CB0"/>
    <w:rsid w:val="005D772C"/>
    <w:rsid w:val="00604499"/>
    <w:rsid w:val="00615823"/>
    <w:rsid w:val="00625762"/>
    <w:rsid w:val="00627E82"/>
    <w:rsid w:val="006462AE"/>
    <w:rsid w:val="00651D2D"/>
    <w:rsid w:val="006576E5"/>
    <w:rsid w:val="0067754F"/>
    <w:rsid w:val="006811D2"/>
    <w:rsid w:val="00691B6C"/>
    <w:rsid w:val="00696072"/>
    <w:rsid w:val="006A0B18"/>
    <w:rsid w:val="006B2820"/>
    <w:rsid w:val="006D14DB"/>
    <w:rsid w:val="006E041D"/>
    <w:rsid w:val="006E1790"/>
    <w:rsid w:val="006F05CD"/>
    <w:rsid w:val="006F4660"/>
    <w:rsid w:val="00700C0A"/>
    <w:rsid w:val="00703914"/>
    <w:rsid w:val="007117FA"/>
    <w:rsid w:val="00727C6B"/>
    <w:rsid w:val="007329CF"/>
    <w:rsid w:val="0074576F"/>
    <w:rsid w:val="00751A09"/>
    <w:rsid w:val="007676A8"/>
    <w:rsid w:val="00781B3C"/>
    <w:rsid w:val="00790989"/>
    <w:rsid w:val="00794194"/>
    <w:rsid w:val="007952D0"/>
    <w:rsid w:val="007B616C"/>
    <w:rsid w:val="007C511F"/>
    <w:rsid w:val="007D3B08"/>
    <w:rsid w:val="007E70DB"/>
    <w:rsid w:val="007F22A2"/>
    <w:rsid w:val="007F2F0E"/>
    <w:rsid w:val="00801710"/>
    <w:rsid w:val="0080615C"/>
    <w:rsid w:val="0081169D"/>
    <w:rsid w:val="00830F7F"/>
    <w:rsid w:val="008473E7"/>
    <w:rsid w:val="00847852"/>
    <w:rsid w:val="00865E08"/>
    <w:rsid w:val="00867F15"/>
    <w:rsid w:val="008867A2"/>
    <w:rsid w:val="00887008"/>
    <w:rsid w:val="00895B20"/>
    <w:rsid w:val="008A107E"/>
    <w:rsid w:val="008A2F12"/>
    <w:rsid w:val="008D1C70"/>
    <w:rsid w:val="008D302E"/>
    <w:rsid w:val="008E215C"/>
    <w:rsid w:val="008E3FD0"/>
    <w:rsid w:val="008E462D"/>
    <w:rsid w:val="008F0668"/>
    <w:rsid w:val="008F0AA2"/>
    <w:rsid w:val="008F60FB"/>
    <w:rsid w:val="00905144"/>
    <w:rsid w:val="00910852"/>
    <w:rsid w:val="00912EAE"/>
    <w:rsid w:val="00914DA8"/>
    <w:rsid w:val="0092669E"/>
    <w:rsid w:val="00934AD6"/>
    <w:rsid w:val="009458DC"/>
    <w:rsid w:val="00955934"/>
    <w:rsid w:val="009833E4"/>
    <w:rsid w:val="009950C4"/>
    <w:rsid w:val="00997EEF"/>
    <w:rsid w:val="009C3101"/>
    <w:rsid w:val="009C51C8"/>
    <w:rsid w:val="009C6018"/>
    <w:rsid w:val="009C72A0"/>
    <w:rsid w:val="009D5B5C"/>
    <w:rsid w:val="009F091F"/>
    <w:rsid w:val="009F242E"/>
    <w:rsid w:val="00A01EAF"/>
    <w:rsid w:val="00A10960"/>
    <w:rsid w:val="00A17D2C"/>
    <w:rsid w:val="00A33E37"/>
    <w:rsid w:val="00A35DD5"/>
    <w:rsid w:val="00A503F3"/>
    <w:rsid w:val="00A5060A"/>
    <w:rsid w:val="00A539E6"/>
    <w:rsid w:val="00A555D2"/>
    <w:rsid w:val="00A70868"/>
    <w:rsid w:val="00A73EA8"/>
    <w:rsid w:val="00A74DD0"/>
    <w:rsid w:val="00A75ACA"/>
    <w:rsid w:val="00A75B72"/>
    <w:rsid w:val="00A821B8"/>
    <w:rsid w:val="00A8373B"/>
    <w:rsid w:val="00A87A36"/>
    <w:rsid w:val="00AD6021"/>
    <w:rsid w:val="00AD70A3"/>
    <w:rsid w:val="00AF1C70"/>
    <w:rsid w:val="00AF3F28"/>
    <w:rsid w:val="00AF4021"/>
    <w:rsid w:val="00B00675"/>
    <w:rsid w:val="00B15B54"/>
    <w:rsid w:val="00B36617"/>
    <w:rsid w:val="00B51489"/>
    <w:rsid w:val="00B63691"/>
    <w:rsid w:val="00B63F4D"/>
    <w:rsid w:val="00B66B8C"/>
    <w:rsid w:val="00B77ED6"/>
    <w:rsid w:val="00B82166"/>
    <w:rsid w:val="00B85571"/>
    <w:rsid w:val="00B94917"/>
    <w:rsid w:val="00BB747F"/>
    <w:rsid w:val="00BC328C"/>
    <w:rsid w:val="00BC419F"/>
    <w:rsid w:val="00BD2F2B"/>
    <w:rsid w:val="00BF26BC"/>
    <w:rsid w:val="00BF27AB"/>
    <w:rsid w:val="00C02C01"/>
    <w:rsid w:val="00C02ECB"/>
    <w:rsid w:val="00C1254C"/>
    <w:rsid w:val="00C35CEF"/>
    <w:rsid w:val="00C37614"/>
    <w:rsid w:val="00C42813"/>
    <w:rsid w:val="00C445DE"/>
    <w:rsid w:val="00C45AA1"/>
    <w:rsid w:val="00C5552A"/>
    <w:rsid w:val="00C724C7"/>
    <w:rsid w:val="00C76A80"/>
    <w:rsid w:val="00C81E67"/>
    <w:rsid w:val="00CB61FC"/>
    <w:rsid w:val="00CC5675"/>
    <w:rsid w:val="00CF2B69"/>
    <w:rsid w:val="00D04B09"/>
    <w:rsid w:val="00D0622C"/>
    <w:rsid w:val="00D0651D"/>
    <w:rsid w:val="00D13A56"/>
    <w:rsid w:val="00D33C69"/>
    <w:rsid w:val="00D43B4F"/>
    <w:rsid w:val="00D44237"/>
    <w:rsid w:val="00D5289A"/>
    <w:rsid w:val="00D52B0B"/>
    <w:rsid w:val="00D67987"/>
    <w:rsid w:val="00D7547A"/>
    <w:rsid w:val="00D8383A"/>
    <w:rsid w:val="00D84FC8"/>
    <w:rsid w:val="00D91150"/>
    <w:rsid w:val="00DA77F4"/>
    <w:rsid w:val="00DC53D2"/>
    <w:rsid w:val="00DD6C2A"/>
    <w:rsid w:val="00DE4FAF"/>
    <w:rsid w:val="00DE798D"/>
    <w:rsid w:val="00DF2FB8"/>
    <w:rsid w:val="00DF4A7A"/>
    <w:rsid w:val="00E03444"/>
    <w:rsid w:val="00E22558"/>
    <w:rsid w:val="00E37E57"/>
    <w:rsid w:val="00E40AA1"/>
    <w:rsid w:val="00E41B70"/>
    <w:rsid w:val="00E46683"/>
    <w:rsid w:val="00E52B12"/>
    <w:rsid w:val="00E57162"/>
    <w:rsid w:val="00E64510"/>
    <w:rsid w:val="00E87069"/>
    <w:rsid w:val="00E96D4C"/>
    <w:rsid w:val="00EA66CF"/>
    <w:rsid w:val="00EB15DC"/>
    <w:rsid w:val="00EB709F"/>
    <w:rsid w:val="00EC39D6"/>
    <w:rsid w:val="00EC7E55"/>
    <w:rsid w:val="00ED14F5"/>
    <w:rsid w:val="00ED3E01"/>
    <w:rsid w:val="00ED47D2"/>
    <w:rsid w:val="00EE3CDF"/>
    <w:rsid w:val="00EE6610"/>
    <w:rsid w:val="00EF10B5"/>
    <w:rsid w:val="00EF1A8E"/>
    <w:rsid w:val="00EF778A"/>
    <w:rsid w:val="00F0716A"/>
    <w:rsid w:val="00F263AC"/>
    <w:rsid w:val="00F31689"/>
    <w:rsid w:val="00F36A25"/>
    <w:rsid w:val="00F36C6E"/>
    <w:rsid w:val="00F516C5"/>
    <w:rsid w:val="00F54BC4"/>
    <w:rsid w:val="00F621A1"/>
    <w:rsid w:val="00F6291D"/>
    <w:rsid w:val="00F6792C"/>
    <w:rsid w:val="00F73AA2"/>
    <w:rsid w:val="00F80EF8"/>
    <w:rsid w:val="00F858C9"/>
    <w:rsid w:val="00F97AD7"/>
    <w:rsid w:val="00FA20FB"/>
    <w:rsid w:val="00FA66FC"/>
    <w:rsid w:val="00FB1263"/>
    <w:rsid w:val="00FB3B88"/>
    <w:rsid w:val="00FB588E"/>
    <w:rsid w:val="00FC4814"/>
    <w:rsid w:val="00FE66E0"/>
    <w:rsid w:val="00FF3579"/>
    <w:rsid w:val="00FF73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316494"/>
  <w15:docId w15:val="{EFB418A5-B1C2-41F3-B707-D5C2D0ED2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242E"/>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E798D"/>
    <w:pPr>
      <w:tabs>
        <w:tab w:val="center" w:pos="4819"/>
        <w:tab w:val="right" w:pos="9638"/>
      </w:tabs>
    </w:pPr>
  </w:style>
  <w:style w:type="character" w:customStyle="1" w:styleId="PoratDiagrama">
    <w:name w:val="Poraštė Diagrama"/>
    <w:basedOn w:val="Numatytasispastraiposriftas"/>
    <w:link w:val="Porat"/>
    <w:uiPriority w:val="99"/>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prastasis"/>
    <w:qFormat/>
    <w:rsid w:val="00C02ECB"/>
    <w:pPr>
      <w:ind w:firstLine="709"/>
      <w:jc w:val="both"/>
    </w:pPr>
    <w:rPr>
      <w:rFonts w:ascii="Calibri" w:hAnsi="Calibri"/>
      <w:sz w:val="22"/>
      <w:lang w:val="lt-LT" w:eastAsia="pl-PL"/>
    </w:rPr>
  </w:style>
  <w:style w:type="paragraph" w:styleId="Sraopastraipa">
    <w:name w:val="List Paragraph"/>
    <w:basedOn w:val="prastasis"/>
    <w:uiPriority w:val="34"/>
    <w:qFormat/>
    <w:rsid w:val="00E03444"/>
    <w:pPr>
      <w:ind w:left="720"/>
      <w:contextualSpacing/>
    </w:pPr>
  </w:style>
  <w:style w:type="character" w:styleId="Grietas">
    <w:name w:val="Strong"/>
    <w:basedOn w:val="Numatytasispastraiposriftas"/>
    <w:uiPriority w:val="22"/>
    <w:qFormat/>
    <w:rsid w:val="00E03444"/>
    <w:rPr>
      <w:b/>
      <w:bCs/>
    </w:rPr>
  </w:style>
  <w:style w:type="character" w:styleId="Komentaronuoroda">
    <w:name w:val="annotation reference"/>
    <w:basedOn w:val="Numatytasispastraiposriftas"/>
    <w:uiPriority w:val="99"/>
    <w:semiHidden/>
    <w:unhideWhenUsed/>
    <w:rsid w:val="003D3ED7"/>
    <w:rPr>
      <w:sz w:val="16"/>
      <w:szCs w:val="16"/>
    </w:rPr>
  </w:style>
  <w:style w:type="paragraph" w:styleId="Komentarotekstas">
    <w:name w:val="annotation text"/>
    <w:basedOn w:val="prastasis"/>
    <w:link w:val="KomentarotekstasDiagrama"/>
    <w:uiPriority w:val="99"/>
    <w:semiHidden/>
    <w:unhideWhenUsed/>
    <w:rsid w:val="003D3ED7"/>
    <w:rPr>
      <w:sz w:val="20"/>
    </w:rPr>
  </w:style>
  <w:style w:type="character" w:customStyle="1" w:styleId="KomentarotekstasDiagrama">
    <w:name w:val="Komentaro tekstas Diagrama"/>
    <w:basedOn w:val="Numatytasispastraiposriftas"/>
    <w:link w:val="Komentarotekstas"/>
    <w:uiPriority w:val="99"/>
    <w:semiHidden/>
    <w:rsid w:val="003D3ED7"/>
    <w:rPr>
      <w:rFonts w:ascii="Times New Roman" w:eastAsia="Times New Roman" w:hAnsi="Times New Roman"/>
      <w:lang w:val="en-GB" w:eastAsia="en-US"/>
    </w:rPr>
  </w:style>
  <w:style w:type="paragraph" w:styleId="Komentarotema">
    <w:name w:val="annotation subject"/>
    <w:basedOn w:val="Komentarotekstas"/>
    <w:next w:val="Komentarotekstas"/>
    <w:link w:val="KomentarotemaDiagrama"/>
    <w:uiPriority w:val="99"/>
    <w:semiHidden/>
    <w:unhideWhenUsed/>
    <w:rsid w:val="003D3ED7"/>
    <w:rPr>
      <w:b/>
      <w:bCs/>
    </w:rPr>
  </w:style>
  <w:style w:type="character" w:customStyle="1" w:styleId="KomentarotemaDiagrama">
    <w:name w:val="Komentaro tema Diagrama"/>
    <w:basedOn w:val="KomentarotekstasDiagrama"/>
    <w:link w:val="Komentarotema"/>
    <w:uiPriority w:val="99"/>
    <w:semiHidden/>
    <w:rsid w:val="003D3ED7"/>
    <w:rPr>
      <w:rFonts w:ascii="Times New Roman" w:eastAsia="Times New Roman" w:hAnsi="Times New Roman"/>
      <w:b/>
      <w:bCs/>
      <w:lang w:val="en-GB" w:eastAsia="en-US"/>
    </w:rPr>
  </w:style>
  <w:style w:type="table" w:styleId="Lentelstinklelis">
    <w:name w:val="Table Grid"/>
    <w:basedOn w:val="prastojilentel"/>
    <w:uiPriority w:val="59"/>
    <w:rsid w:val="000130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ypewriter">
    <w:name w:val="typewriter"/>
    <w:basedOn w:val="Numatytasispastraiposriftas"/>
    <w:rsid w:val="00EB709F"/>
  </w:style>
  <w:style w:type="paragraph" w:styleId="Pataisymai">
    <w:name w:val="Revision"/>
    <w:hidden/>
    <w:uiPriority w:val="99"/>
    <w:semiHidden/>
    <w:rsid w:val="00A33E37"/>
    <w:rPr>
      <w:rFonts w:ascii="Times New Roman" w:eastAsia="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09742">
      <w:bodyDiv w:val="1"/>
      <w:marLeft w:val="0"/>
      <w:marRight w:val="0"/>
      <w:marTop w:val="0"/>
      <w:marBottom w:val="0"/>
      <w:divBdr>
        <w:top w:val="none" w:sz="0" w:space="0" w:color="auto"/>
        <w:left w:val="none" w:sz="0" w:space="0" w:color="auto"/>
        <w:bottom w:val="none" w:sz="0" w:space="0" w:color="auto"/>
        <w:right w:val="none" w:sz="0" w:space="0" w:color="auto"/>
      </w:divBdr>
    </w:div>
    <w:div w:id="711268185">
      <w:bodyDiv w:val="1"/>
      <w:marLeft w:val="0"/>
      <w:marRight w:val="0"/>
      <w:marTop w:val="0"/>
      <w:marBottom w:val="0"/>
      <w:divBdr>
        <w:top w:val="none" w:sz="0" w:space="0" w:color="auto"/>
        <w:left w:val="none" w:sz="0" w:space="0" w:color="auto"/>
        <w:bottom w:val="none" w:sz="0" w:space="0" w:color="auto"/>
        <w:right w:val="none" w:sz="0" w:space="0" w:color="auto"/>
      </w:divBdr>
    </w:div>
    <w:div w:id="143277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ndaugas.buckiunas@socmin.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ta.andrejeva@socmin.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ocmin.lrv.lt" TargetMode="External"/><Relationship Id="rId4" Type="http://schemas.openxmlformats.org/officeDocument/2006/relationships/settings" Target="settings.xml"/><Relationship Id="rId9" Type="http://schemas.openxmlformats.org/officeDocument/2006/relationships/hyperlink" Target="mailto:post@socmin.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gimantass\Documents\_Txt\RASTAS_Padalinio_2011_liepsn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48660-D888-40DE-96D5-74D858FA6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RASTAS_Padalinio_2011_liepsna</Template>
  <TotalTime>59</TotalTime>
  <Pages>2</Pages>
  <Words>972</Words>
  <Characters>5546</Characters>
  <Application>Microsoft Office Word</Application>
  <DocSecurity>0</DocSecurity>
  <Lines>46</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6505</CharactersWithSpaces>
  <SharedDoc>false</SharedDoc>
  <HLinks>
    <vt:vector size="12" baseType="variant">
      <vt:variant>
        <vt:i4>524368</vt:i4>
      </vt:variant>
      <vt:variant>
        <vt:i4>27</vt:i4>
      </vt:variant>
      <vt:variant>
        <vt:i4>0</vt:i4>
      </vt:variant>
      <vt:variant>
        <vt:i4>5</vt:i4>
      </vt:variant>
      <vt:variant>
        <vt:lpwstr>http://www.socmin.lt/</vt:lpwstr>
      </vt:variant>
      <vt:variant>
        <vt:lpwstr/>
      </vt:variant>
      <vt:variant>
        <vt:i4>2162694</vt:i4>
      </vt:variant>
      <vt:variant>
        <vt:i4>24</vt:i4>
      </vt:variant>
      <vt:variant>
        <vt:i4>0</vt:i4>
      </vt:variant>
      <vt:variant>
        <vt:i4>5</vt:i4>
      </vt:variant>
      <vt:variant>
        <vt:lpwstr>mailto:post@socmin.lt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Algimantas Simanavicius</dc:creator>
  <cp:lastModifiedBy>Janina Guščiūtė</cp:lastModifiedBy>
  <cp:revision>8</cp:revision>
  <dcterms:created xsi:type="dcterms:W3CDTF">2021-05-10T05:33:00Z</dcterms:created>
  <dcterms:modified xsi:type="dcterms:W3CDTF">2021-06-09T10:28:00Z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1715576626</vt:i4>
  </property>
  <property fmtid="{D5CDD505-2E9C-101B-9397-08002B2CF9AE}" pid="3" name="_NewReviewCycle">
    <vt:lpwstr/>
  </property>
  <property fmtid="{D5CDD505-2E9C-101B-9397-08002B2CF9AE}" pid="4" name="_EmailSubject">
    <vt:lpwstr>raštas VRM</vt:lpwstr>
  </property>
  <property fmtid="{D5CDD505-2E9C-101B-9397-08002B2CF9AE}" pid="5" name="_AuthorEmail">
    <vt:lpwstr>Mindaugas.Buckiunas@socmin.lt</vt:lpwstr>
  </property>
  <property fmtid="{D5CDD505-2E9C-101B-9397-08002B2CF9AE}" pid="6" name="_AuthorEmailDisplayName">
    <vt:lpwstr>Mindaugas Buckiūnas</vt:lpwstr>
  </property>
  <property fmtid="{D5CDD505-2E9C-101B-9397-08002B2CF9AE}" pid="7" name="_PreviousAdHocReviewCycleID">
    <vt:i4>-922411229</vt:i4>
  </property>
  <property fmtid="{D5CDD505-2E9C-101B-9397-08002B2CF9AE}" pid="8" name="_ReviewingToolsShownOnce">
    <vt:lpwstr/>
  </property>
</Properties>
</file>