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8"/>
      </w:tblGrid>
      <w:tr w:rsidR="005701E8" w:rsidRPr="00D87582" w14:paraId="7FBEFBA4" w14:textId="77777777" w:rsidTr="00351F14">
        <w:trPr>
          <w:trHeight w:val="540"/>
        </w:trPr>
        <w:tc>
          <w:tcPr>
            <w:tcW w:w="5000" w:type="pct"/>
            <w:tcBorders>
              <w:top w:val="nil"/>
              <w:left w:val="nil"/>
              <w:bottom w:val="nil"/>
              <w:right w:val="nil"/>
            </w:tcBorders>
          </w:tcPr>
          <w:p w14:paraId="2D52AF93" w14:textId="77777777" w:rsidR="005701E8" w:rsidRPr="00D87582" w:rsidRDefault="007D5FE5" w:rsidP="00034775">
            <w:bookmarkStart w:id="0" w:name="_GoBack"/>
            <w:bookmarkEnd w:id="0"/>
            <w:r w:rsidRPr="00D87582">
              <w:t xml:space="preserve">                                                                     </w:t>
            </w:r>
            <w:r w:rsidRPr="00D87582">
              <w:rPr>
                <w:noProof/>
                <w:lang w:val="lt-LT" w:eastAsia="lt-LT"/>
              </w:rPr>
              <w:drawing>
                <wp:inline distT="0" distB="0" distL="0" distR="0" wp14:anchorId="79DAB9CA" wp14:editId="5716654E">
                  <wp:extent cx="465983" cy="532437"/>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65983" cy="532437"/>
                          </a:xfrm>
                          <a:prstGeom prst="rect">
                            <a:avLst/>
                          </a:prstGeom>
                          <a:noFill/>
                          <a:ln>
                            <a:noFill/>
                          </a:ln>
                        </pic:spPr>
                      </pic:pic>
                    </a:graphicData>
                  </a:graphic>
                </wp:inline>
              </w:drawing>
            </w:r>
          </w:p>
          <w:p w14:paraId="58266EB2" w14:textId="77777777" w:rsidR="005701E8" w:rsidRPr="00D87582" w:rsidRDefault="005701E8" w:rsidP="00351F14">
            <w:pPr>
              <w:jc w:val="center"/>
              <w:rPr>
                <w:lang w:val="lt-LT"/>
              </w:rPr>
            </w:pPr>
          </w:p>
          <w:p w14:paraId="557189C4" w14:textId="77777777" w:rsidR="005701E8" w:rsidRPr="00D87582" w:rsidRDefault="005701E8" w:rsidP="00967624">
            <w:pPr>
              <w:pStyle w:val="Antrat1"/>
            </w:pPr>
            <w:r w:rsidRPr="00D87582">
              <w:t>LIETUVOS VYRIAUSIASIS ADMINISTRACINIS TEISMAS</w:t>
            </w:r>
          </w:p>
        </w:tc>
      </w:tr>
    </w:tbl>
    <w:p w14:paraId="5CC8C1CE" w14:textId="5F08B26F" w:rsidR="005701E8" w:rsidRPr="00D87582" w:rsidRDefault="005701E8">
      <w:pPr>
        <w:rPr>
          <w:lang w:val="lt-LT"/>
        </w:rPr>
      </w:pPr>
    </w:p>
    <w:p w14:paraId="6BB22D5B" w14:textId="2D82DE84" w:rsidR="00FC1F4D" w:rsidRPr="00D87582" w:rsidRDefault="00FC1F4D">
      <w:pPr>
        <w:rPr>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79"/>
      </w:tblGrid>
      <w:tr w:rsidR="00FC1F4D" w:rsidRPr="009D40CD" w14:paraId="4C925C0E" w14:textId="77777777" w:rsidTr="00FC1F4D">
        <w:tc>
          <w:tcPr>
            <w:tcW w:w="5949" w:type="dxa"/>
          </w:tcPr>
          <w:p w14:paraId="20608772" w14:textId="0E2692E9" w:rsidR="00FC1F4D" w:rsidRPr="009D40CD" w:rsidRDefault="00FC1F4D">
            <w:pPr>
              <w:rPr>
                <w:lang w:val="lt-LT"/>
              </w:rPr>
            </w:pPr>
            <w:r w:rsidRPr="009D40CD">
              <w:rPr>
                <w:lang w:val="lt-LT"/>
              </w:rPr>
              <w:t xml:space="preserve">Lietuvos Respublikos </w:t>
            </w:r>
            <w:r w:rsidR="006B0D7A" w:rsidRPr="009D40CD">
              <w:rPr>
                <w:lang w:val="lt-LT"/>
              </w:rPr>
              <w:t>vidaus reikalų ministerijai</w:t>
            </w:r>
            <w:r w:rsidRPr="009D40CD">
              <w:rPr>
                <w:lang w:val="lt-LT"/>
              </w:rPr>
              <w:t xml:space="preserve"> </w:t>
            </w:r>
          </w:p>
        </w:tc>
        <w:tc>
          <w:tcPr>
            <w:tcW w:w="3679" w:type="dxa"/>
          </w:tcPr>
          <w:p w14:paraId="3238EABE" w14:textId="6ADD2D51" w:rsidR="00FC1F4D" w:rsidRPr="009D40CD" w:rsidRDefault="00FC1F4D">
            <w:pPr>
              <w:rPr>
                <w:lang w:val="lt-LT"/>
              </w:rPr>
            </w:pPr>
            <w:r w:rsidRPr="009D40CD">
              <w:rPr>
                <w:lang w:val="lt-LT"/>
              </w:rPr>
              <w:t>2021-0</w:t>
            </w:r>
            <w:r w:rsidR="006B0D7A" w:rsidRPr="009D40CD">
              <w:rPr>
                <w:lang w:val="lt-LT"/>
              </w:rPr>
              <w:t>9</w:t>
            </w:r>
            <w:r w:rsidRPr="009D40CD">
              <w:rPr>
                <w:lang w:val="lt-LT"/>
              </w:rPr>
              <w:t>-</w:t>
            </w:r>
            <w:r w:rsidR="006B0D7A" w:rsidRPr="009D40CD">
              <w:rPr>
                <w:lang w:val="lt-LT"/>
              </w:rPr>
              <w:t>0</w:t>
            </w:r>
            <w:r w:rsidR="00C07C9B" w:rsidRPr="009D40CD">
              <w:rPr>
                <w:lang w:val="lt-LT"/>
              </w:rPr>
              <w:t>8</w:t>
            </w:r>
            <w:r w:rsidRPr="009D40CD">
              <w:rPr>
                <w:lang w:val="lt-LT"/>
              </w:rPr>
              <w:t xml:space="preserve"> Nr. </w:t>
            </w:r>
            <w:r w:rsidRPr="009D40CD">
              <w:rPr>
                <w:lang w:val="lt-LT"/>
              </w:rPr>
              <w:fldChar w:fldCharType="begin">
                <w:ffData>
                  <w:name w:val="Text2"/>
                  <w:enabled/>
                  <w:calcOnExit w:val="0"/>
                  <w:textInput/>
                </w:ffData>
              </w:fldChar>
            </w:r>
            <w:bookmarkStart w:id="1" w:name="Text2"/>
            <w:r w:rsidRPr="009D40CD">
              <w:rPr>
                <w:lang w:val="lt-LT"/>
              </w:rPr>
              <w:instrText xml:space="preserve"> FORMTEXT </w:instrText>
            </w:r>
            <w:r w:rsidRPr="009D40CD">
              <w:rPr>
                <w:lang w:val="lt-LT"/>
              </w:rPr>
            </w:r>
            <w:r w:rsidRPr="009D40CD">
              <w:rPr>
                <w:lang w:val="lt-LT"/>
              </w:rPr>
              <w:fldChar w:fldCharType="separate"/>
            </w:r>
            <w:r w:rsidRPr="009D40CD">
              <w:rPr>
                <w:noProof/>
                <w:lang w:val="lt-LT"/>
              </w:rPr>
              <w:t> </w:t>
            </w:r>
            <w:r w:rsidRPr="009D40CD">
              <w:rPr>
                <w:noProof/>
                <w:lang w:val="lt-LT"/>
              </w:rPr>
              <w:t> </w:t>
            </w:r>
            <w:r w:rsidRPr="009D40CD">
              <w:rPr>
                <w:noProof/>
                <w:lang w:val="lt-LT"/>
              </w:rPr>
              <w:t> </w:t>
            </w:r>
            <w:r w:rsidRPr="009D40CD">
              <w:rPr>
                <w:noProof/>
                <w:lang w:val="lt-LT"/>
              </w:rPr>
              <w:t> </w:t>
            </w:r>
            <w:r w:rsidRPr="009D40CD">
              <w:rPr>
                <w:lang w:val="lt-LT"/>
              </w:rPr>
              <w:fldChar w:fldCharType="end"/>
            </w:r>
            <w:bookmarkEnd w:id="1"/>
          </w:p>
        </w:tc>
      </w:tr>
      <w:tr w:rsidR="00193F71" w:rsidRPr="009D40CD" w14:paraId="1EDB2F57" w14:textId="77777777" w:rsidTr="00FC1F4D">
        <w:tc>
          <w:tcPr>
            <w:tcW w:w="5949" w:type="dxa"/>
          </w:tcPr>
          <w:p w14:paraId="00B8CE05" w14:textId="77777777" w:rsidR="00193F71" w:rsidRPr="009D40CD" w:rsidRDefault="00193F71">
            <w:pPr>
              <w:rPr>
                <w:lang w:val="lt-LT"/>
              </w:rPr>
            </w:pPr>
          </w:p>
        </w:tc>
        <w:tc>
          <w:tcPr>
            <w:tcW w:w="3679" w:type="dxa"/>
          </w:tcPr>
          <w:p w14:paraId="4CC43968" w14:textId="77777777" w:rsidR="00193F71" w:rsidRPr="009D40CD" w:rsidRDefault="00193F71">
            <w:pPr>
              <w:rPr>
                <w:lang w:val="lt-LT"/>
              </w:rPr>
            </w:pPr>
          </w:p>
        </w:tc>
      </w:tr>
      <w:tr w:rsidR="00193F71" w:rsidRPr="009D40CD" w14:paraId="0773B749" w14:textId="77777777" w:rsidTr="00FC1F4D">
        <w:tc>
          <w:tcPr>
            <w:tcW w:w="5949" w:type="dxa"/>
          </w:tcPr>
          <w:p w14:paraId="07D440FA" w14:textId="53B3C991" w:rsidR="00193F71" w:rsidRPr="009D40CD" w:rsidRDefault="00193F71">
            <w:pPr>
              <w:rPr>
                <w:lang w:val="lt-LT"/>
              </w:rPr>
            </w:pPr>
            <w:r w:rsidRPr="009D40CD">
              <w:rPr>
                <w:lang w:val="lt-LT"/>
              </w:rPr>
              <w:t>Teisėjų tarybai</w:t>
            </w:r>
          </w:p>
        </w:tc>
        <w:tc>
          <w:tcPr>
            <w:tcW w:w="3679" w:type="dxa"/>
          </w:tcPr>
          <w:p w14:paraId="74CD6A4B" w14:textId="77777777" w:rsidR="00193F71" w:rsidRPr="009D40CD" w:rsidRDefault="00193F71">
            <w:pPr>
              <w:rPr>
                <w:lang w:val="lt-LT"/>
              </w:rPr>
            </w:pPr>
          </w:p>
        </w:tc>
      </w:tr>
    </w:tbl>
    <w:p w14:paraId="109F3B82" w14:textId="0DF814E0" w:rsidR="00FC1F4D" w:rsidRPr="009D40CD" w:rsidRDefault="00FC1F4D">
      <w:pPr>
        <w:rPr>
          <w:lang w:val="lt-LT"/>
        </w:rPr>
      </w:pPr>
    </w:p>
    <w:p w14:paraId="01459F1C" w14:textId="66F59E75" w:rsidR="00D54BA0" w:rsidRPr="009D40CD" w:rsidRDefault="00D54BA0">
      <w:pPr>
        <w:rPr>
          <w:lang w:val="lt-LT"/>
        </w:rPr>
      </w:pPr>
    </w:p>
    <w:p w14:paraId="77CCCB90" w14:textId="77777777" w:rsidR="00D54BA0" w:rsidRPr="009D40CD" w:rsidRDefault="00D54BA0">
      <w:pPr>
        <w:rPr>
          <w:lang w:val="lt-LT"/>
        </w:rPr>
      </w:pPr>
    </w:p>
    <w:p w14:paraId="23AF080C" w14:textId="002B9E8A" w:rsidR="00E301CA" w:rsidRPr="00D87582" w:rsidRDefault="00E301CA" w:rsidP="00E301CA">
      <w:pPr>
        <w:rPr>
          <w:b/>
          <w:lang w:val="lt-LT"/>
        </w:rPr>
      </w:pPr>
      <w:r w:rsidRPr="009D40CD">
        <w:rPr>
          <w:b/>
          <w:lang w:val="lt-LT"/>
        </w:rPr>
        <w:t xml:space="preserve">DĖL </w:t>
      </w:r>
      <w:r w:rsidR="00BB006B" w:rsidRPr="009D40CD">
        <w:rPr>
          <w:b/>
          <w:lang w:val="lt-LT"/>
        </w:rPr>
        <w:t>ĮSTATYMO</w:t>
      </w:r>
      <w:r w:rsidR="00BB006B" w:rsidRPr="00D87582">
        <w:rPr>
          <w:b/>
          <w:lang w:val="lt-LT"/>
        </w:rPr>
        <w:t xml:space="preserve"> „DĖL UŽSIENIEČIŲ TEISINĖS PADĖTIES“ PAKEITIMO ĮSTATYMO PROJEKTO </w:t>
      </w:r>
    </w:p>
    <w:p w14:paraId="0CD474E0" w14:textId="77777777" w:rsidR="00E301CA" w:rsidRPr="00D87582" w:rsidRDefault="00E301CA" w:rsidP="00E301CA">
      <w:pPr>
        <w:rPr>
          <w:lang w:val="lt-LT"/>
        </w:rPr>
      </w:pPr>
    </w:p>
    <w:p w14:paraId="2F521B3D" w14:textId="7BEBBE2A" w:rsidR="00BB006B" w:rsidRPr="00D87582" w:rsidRDefault="00BB006B" w:rsidP="00A16C40">
      <w:pPr>
        <w:ind w:firstLine="567"/>
        <w:jc w:val="both"/>
        <w:rPr>
          <w:lang w:val="lt-LT"/>
        </w:rPr>
      </w:pPr>
    </w:p>
    <w:p w14:paraId="3A7C9301" w14:textId="147F7364" w:rsidR="005E2453" w:rsidRPr="009D40CD" w:rsidRDefault="003470AA" w:rsidP="00EB32C6">
      <w:pPr>
        <w:ind w:firstLine="567"/>
        <w:jc w:val="both"/>
        <w:rPr>
          <w:lang w:val="lt-LT"/>
        </w:rPr>
      </w:pPr>
      <w:r w:rsidRPr="00D87582">
        <w:rPr>
          <w:lang w:val="lt-LT"/>
        </w:rPr>
        <w:t>2021 m. rugpjūčio 26 d. Lietuvos Respublikos vidaus reikalų mi</w:t>
      </w:r>
      <w:r w:rsidR="00EF29C8" w:rsidRPr="00D87582">
        <w:rPr>
          <w:lang w:val="lt-LT"/>
        </w:rPr>
        <w:t>n</w:t>
      </w:r>
      <w:r w:rsidRPr="00D87582">
        <w:rPr>
          <w:lang w:val="lt-LT"/>
        </w:rPr>
        <w:t xml:space="preserve">isterija pateikė suinteresuotoms institucijoms derinti Lietuvos Respublikos įstatymo „Dėl užsieniečių teisinės padėties“ pakeitimo įstatymo projektą </w:t>
      </w:r>
      <w:r w:rsidR="00EF29C8" w:rsidRPr="00D87582">
        <w:rPr>
          <w:lang w:val="lt-LT"/>
        </w:rPr>
        <w:t xml:space="preserve">Nr. 21-29207 </w:t>
      </w:r>
      <w:r w:rsidRPr="00D87582">
        <w:rPr>
          <w:lang w:val="lt-LT"/>
        </w:rPr>
        <w:t>(toliau –</w:t>
      </w:r>
      <w:r w:rsidR="00A16066" w:rsidRPr="00D87582">
        <w:rPr>
          <w:lang w:val="lt-LT"/>
        </w:rPr>
        <w:t xml:space="preserve"> </w:t>
      </w:r>
      <w:r w:rsidRPr="00D87582">
        <w:rPr>
          <w:lang w:val="lt-LT"/>
        </w:rPr>
        <w:t>Įstatymo projektas)</w:t>
      </w:r>
      <w:r w:rsidR="00EF29C8" w:rsidRPr="00D87582">
        <w:rPr>
          <w:lang w:val="lt-LT"/>
        </w:rPr>
        <w:t xml:space="preserve">, </w:t>
      </w:r>
      <w:r w:rsidR="00A16066" w:rsidRPr="00D87582">
        <w:rPr>
          <w:lang w:val="lt-LT"/>
        </w:rPr>
        <w:t>kuriuo, atsižvelgiant į</w:t>
      </w:r>
      <w:r w:rsidR="00534906">
        <w:rPr>
          <w:lang w:val="lt-LT"/>
        </w:rPr>
        <w:t xml:space="preserve"> pastaruoju metu </w:t>
      </w:r>
      <w:r w:rsidR="00086FC5">
        <w:rPr>
          <w:lang w:val="lt-LT"/>
        </w:rPr>
        <w:t xml:space="preserve">itin </w:t>
      </w:r>
      <w:r w:rsidR="00534906">
        <w:rPr>
          <w:lang w:val="lt-LT"/>
        </w:rPr>
        <w:t>išaugusį prieglobsčio prašytojų, į Lietuvos Respubliką patenkančių iš Baltarusijos Respublikos teritorijos, skaičių</w:t>
      </w:r>
      <w:r w:rsidR="00D3792A" w:rsidRPr="00D87582">
        <w:rPr>
          <w:lang w:val="lt-LT"/>
        </w:rPr>
        <w:t xml:space="preserve">, siekiama </w:t>
      </w:r>
      <w:r w:rsidR="0013513C" w:rsidRPr="00D87582">
        <w:rPr>
          <w:lang w:val="lt-LT"/>
        </w:rPr>
        <w:t>įtvirtinti nuostatas</w:t>
      </w:r>
      <w:r w:rsidR="00EB32C6" w:rsidRPr="00D87582">
        <w:rPr>
          <w:lang w:val="lt-LT"/>
        </w:rPr>
        <w:t>,</w:t>
      </w:r>
      <w:r w:rsidR="0013513C" w:rsidRPr="00D87582">
        <w:rPr>
          <w:lang w:val="lt-LT"/>
        </w:rPr>
        <w:t xml:space="preserve"> </w:t>
      </w:r>
      <w:r w:rsidR="00534906">
        <w:rPr>
          <w:lang w:val="lt-LT"/>
        </w:rPr>
        <w:t xml:space="preserve">reglamentuojančias </w:t>
      </w:r>
      <w:r w:rsidR="0013513C" w:rsidRPr="00D87582">
        <w:rPr>
          <w:lang w:val="lt-LT"/>
        </w:rPr>
        <w:t xml:space="preserve">sprendimų dėl užsieniečių teisinės padėties </w:t>
      </w:r>
      <w:r w:rsidR="0013513C" w:rsidRPr="009D40CD">
        <w:rPr>
          <w:lang w:val="lt-LT"/>
        </w:rPr>
        <w:t>priėmim</w:t>
      </w:r>
      <w:r w:rsidR="00534906" w:rsidRPr="009D40CD">
        <w:rPr>
          <w:lang w:val="lt-LT"/>
        </w:rPr>
        <w:t>o</w:t>
      </w:r>
      <w:r w:rsidR="0013513C" w:rsidRPr="009D40CD">
        <w:rPr>
          <w:lang w:val="lt-LT"/>
        </w:rPr>
        <w:t xml:space="preserve"> ir šių sprendimų apskund</w:t>
      </w:r>
      <w:r w:rsidR="00EB32C6" w:rsidRPr="009D40CD">
        <w:rPr>
          <w:lang w:val="lt-LT"/>
        </w:rPr>
        <w:t>imo tvark</w:t>
      </w:r>
      <w:r w:rsidR="00534906" w:rsidRPr="009D40CD">
        <w:rPr>
          <w:lang w:val="lt-LT"/>
        </w:rPr>
        <w:t>ą</w:t>
      </w:r>
      <w:r w:rsidR="00EB32C6" w:rsidRPr="009D40CD">
        <w:rPr>
          <w:lang w:val="lt-LT"/>
        </w:rPr>
        <w:t xml:space="preserve">, </w:t>
      </w:r>
      <w:r w:rsidR="00DA6505" w:rsidRPr="009D40CD">
        <w:rPr>
          <w:lang w:val="lt-LT"/>
        </w:rPr>
        <w:t xml:space="preserve"> </w:t>
      </w:r>
      <w:r w:rsidR="007869E5" w:rsidRPr="009D40CD">
        <w:rPr>
          <w:lang w:val="lt-LT"/>
        </w:rPr>
        <w:t xml:space="preserve">taip pat </w:t>
      </w:r>
      <w:r w:rsidR="00C52F0D" w:rsidRPr="009D40CD">
        <w:rPr>
          <w:lang w:val="lt-LT"/>
        </w:rPr>
        <w:t xml:space="preserve">kitus su užsieniečių teisine padėtimi Lietuvos Respublikoje susijusius klausimus, </w:t>
      </w:r>
      <w:r w:rsidR="00EB32C6" w:rsidRPr="009D40CD">
        <w:rPr>
          <w:lang w:val="lt-LT"/>
        </w:rPr>
        <w:t xml:space="preserve">dėl </w:t>
      </w:r>
      <w:r w:rsidR="00980D7A" w:rsidRPr="009D40CD">
        <w:rPr>
          <w:lang w:val="lt-LT"/>
        </w:rPr>
        <w:t>masinio užsieniečių antplūdžio paskelb</w:t>
      </w:r>
      <w:r w:rsidR="008A0A5C" w:rsidRPr="009D40CD">
        <w:rPr>
          <w:lang w:val="lt-LT"/>
        </w:rPr>
        <w:t>us</w:t>
      </w:r>
      <w:r w:rsidR="00980D7A" w:rsidRPr="009D40CD">
        <w:rPr>
          <w:lang w:val="lt-LT"/>
        </w:rPr>
        <w:t xml:space="preserve"> karo padė</w:t>
      </w:r>
      <w:r w:rsidR="008A0A5C" w:rsidRPr="009D40CD">
        <w:rPr>
          <w:lang w:val="lt-LT"/>
        </w:rPr>
        <w:t>tį</w:t>
      </w:r>
      <w:r w:rsidR="00980D7A" w:rsidRPr="009D40CD">
        <w:rPr>
          <w:lang w:val="lt-LT"/>
        </w:rPr>
        <w:t>, nepaprast</w:t>
      </w:r>
      <w:r w:rsidR="008A0A5C" w:rsidRPr="009D40CD">
        <w:rPr>
          <w:lang w:val="lt-LT"/>
        </w:rPr>
        <w:t>ąją</w:t>
      </w:r>
      <w:r w:rsidR="00980D7A" w:rsidRPr="009D40CD">
        <w:rPr>
          <w:lang w:val="lt-LT"/>
        </w:rPr>
        <w:t xml:space="preserve"> padė</w:t>
      </w:r>
      <w:r w:rsidR="008A0A5C" w:rsidRPr="009D40CD">
        <w:rPr>
          <w:lang w:val="lt-LT"/>
        </w:rPr>
        <w:t xml:space="preserve">tį, </w:t>
      </w:r>
      <w:r w:rsidR="00A26840" w:rsidRPr="009D40CD">
        <w:rPr>
          <w:lang w:val="lt-LT"/>
        </w:rPr>
        <w:t>ar ekstremali</w:t>
      </w:r>
      <w:r w:rsidR="008A0A5C" w:rsidRPr="009D40CD">
        <w:rPr>
          <w:lang w:val="lt-LT"/>
        </w:rPr>
        <w:t>ąją</w:t>
      </w:r>
      <w:r w:rsidR="00A26840" w:rsidRPr="009D40CD">
        <w:rPr>
          <w:lang w:val="lt-LT"/>
        </w:rPr>
        <w:t xml:space="preserve"> situacij</w:t>
      </w:r>
      <w:r w:rsidR="008A0A5C" w:rsidRPr="009D40CD">
        <w:rPr>
          <w:lang w:val="lt-LT"/>
        </w:rPr>
        <w:t>ą</w:t>
      </w:r>
      <w:r w:rsidR="00A26840" w:rsidRPr="009D40CD">
        <w:rPr>
          <w:lang w:val="lt-LT"/>
        </w:rPr>
        <w:t xml:space="preserve">. </w:t>
      </w:r>
    </w:p>
    <w:p w14:paraId="6D9E75A6" w14:textId="58328EFA" w:rsidR="00A46197" w:rsidRPr="009D40CD" w:rsidRDefault="00A26840" w:rsidP="002E4FF4">
      <w:pPr>
        <w:ind w:firstLine="567"/>
        <w:jc w:val="both"/>
        <w:rPr>
          <w:strike/>
          <w:lang w:val="lt-LT"/>
        </w:rPr>
      </w:pPr>
      <w:r w:rsidRPr="009D40CD">
        <w:rPr>
          <w:lang w:val="lt-LT"/>
        </w:rPr>
        <w:t xml:space="preserve">Įvertinę Įstatymo projektu siūlomas teisinio reguliavimo nuostatas pažymime, kad </w:t>
      </w:r>
      <w:r w:rsidR="00A764AE" w:rsidRPr="009D40CD">
        <w:rPr>
          <w:lang w:val="lt-LT"/>
        </w:rPr>
        <w:t>siūlomas teisinis reguliavimas</w:t>
      </w:r>
      <w:r w:rsidR="002E4FF4" w:rsidRPr="009D40CD">
        <w:rPr>
          <w:lang w:val="lt-LT"/>
        </w:rPr>
        <w:t xml:space="preserve"> </w:t>
      </w:r>
      <w:r w:rsidR="00AD43D4" w:rsidRPr="009D40CD">
        <w:rPr>
          <w:lang w:val="lt-LT"/>
        </w:rPr>
        <w:t xml:space="preserve">yra </w:t>
      </w:r>
      <w:r w:rsidR="00441EE6" w:rsidRPr="009D40CD">
        <w:rPr>
          <w:lang w:val="lt-LT"/>
        </w:rPr>
        <w:t xml:space="preserve">iš esmės </w:t>
      </w:r>
      <w:r w:rsidR="00AD43D4" w:rsidRPr="009D40CD">
        <w:rPr>
          <w:lang w:val="lt-LT"/>
        </w:rPr>
        <w:t>tapa</w:t>
      </w:r>
      <w:r w:rsidR="00A764AE" w:rsidRPr="009D40CD">
        <w:rPr>
          <w:lang w:val="lt-LT"/>
        </w:rPr>
        <w:t>tus</w:t>
      </w:r>
      <w:r w:rsidR="00AD43D4" w:rsidRPr="009D40CD">
        <w:rPr>
          <w:lang w:val="lt-LT"/>
        </w:rPr>
        <w:t xml:space="preserve"> ar itin panaš</w:t>
      </w:r>
      <w:r w:rsidR="00A764AE" w:rsidRPr="009D40CD">
        <w:rPr>
          <w:lang w:val="lt-LT"/>
        </w:rPr>
        <w:t>us</w:t>
      </w:r>
      <w:r w:rsidR="00DA6505" w:rsidRPr="009D40CD">
        <w:rPr>
          <w:lang w:val="lt-LT"/>
        </w:rPr>
        <w:t xml:space="preserve"> į</w:t>
      </w:r>
      <w:r w:rsidR="00273B1B" w:rsidRPr="009D40CD">
        <w:rPr>
          <w:lang w:val="lt-LT"/>
        </w:rPr>
        <w:t xml:space="preserve"> </w:t>
      </w:r>
      <w:r w:rsidR="00672E8F" w:rsidRPr="009D40CD">
        <w:rPr>
          <w:lang w:val="lt-LT"/>
        </w:rPr>
        <w:t>ypatingos skubos tvarka priimt</w:t>
      </w:r>
      <w:r w:rsidR="00DA6505" w:rsidRPr="009D40CD">
        <w:rPr>
          <w:lang w:val="lt-LT"/>
        </w:rPr>
        <w:t>us</w:t>
      </w:r>
      <w:r w:rsidR="003B10D5" w:rsidRPr="009D40CD">
        <w:rPr>
          <w:lang w:val="lt-LT"/>
        </w:rPr>
        <w:t xml:space="preserve"> ir 2021 m. liepos 23 d. įsigaliojus</w:t>
      </w:r>
      <w:r w:rsidR="00DA6505" w:rsidRPr="009D40CD">
        <w:rPr>
          <w:lang w:val="lt-LT"/>
        </w:rPr>
        <w:t xml:space="preserve">ius </w:t>
      </w:r>
      <w:r w:rsidR="00AD43D4" w:rsidRPr="009D40CD">
        <w:rPr>
          <w:lang w:val="lt-LT"/>
        </w:rPr>
        <w:t xml:space="preserve">Lietuvos Respublikos įstatymo „Dėl užsieniečių </w:t>
      </w:r>
      <w:r w:rsidR="00FA2918" w:rsidRPr="009D40CD">
        <w:rPr>
          <w:lang w:val="lt-LT"/>
        </w:rPr>
        <w:t>teisinės padėties“</w:t>
      </w:r>
      <w:r w:rsidR="00502CE8" w:rsidRPr="009D40CD">
        <w:rPr>
          <w:lang w:val="lt-LT"/>
        </w:rPr>
        <w:t xml:space="preserve"> (toliau – Įstatymas)</w:t>
      </w:r>
      <w:r w:rsidR="00FA2918" w:rsidRPr="009D40CD">
        <w:rPr>
          <w:lang w:val="lt-LT"/>
        </w:rPr>
        <w:t xml:space="preserve"> </w:t>
      </w:r>
      <w:r w:rsidR="003B10D5" w:rsidRPr="009D40CD">
        <w:rPr>
          <w:lang w:val="lt-LT"/>
        </w:rPr>
        <w:t>pakeiti</w:t>
      </w:r>
      <w:r w:rsidR="00DA6505" w:rsidRPr="009D40CD">
        <w:rPr>
          <w:lang w:val="lt-LT"/>
        </w:rPr>
        <w:t>mus</w:t>
      </w:r>
      <w:r w:rsidR="003B10D5" w:rsidRPr="009D40CD">
        <w:rPr>
          <w:lang w:val="lt-LT"/>
        </w:rPr>
        <w:t>. Atsižvelg</w:t>
      </w:r>
      <w:r w:rsidR="006620DB" w:rsidRPr="009D40CD">
        <w:rPr>
          <w:lang w:val="lt-LT"/>
        </w:rPr>
        <w:t>dami</w:t>
      </w:r>
      <w:r w:rsidR="003B10D5" w:rsidRPr="009D40CD">
        <w:rPr>
          <w:lang w:val="lt-LT"/>
        </w:rPr>
        <w:t xml:space="preserve"> į tai, </w:t>
      </w:r>
      <w:r w:rsidR="00C92758" w:rsidRPr="009D40CD">
        <w:rPr>
          <w:lang w:val="lt-LT"/>
        </w:rPr>
        <w:t xml:space="preserve">palaikome savo </w:t>
      </w:r>
      <w:r w:rsidR="00313135" w:rsidRPr="009D40CD">
        <w:rPr>
          <w:lang w:val="lt-LT"/>
        </w:rPr>
        <w:t>2021 m. liepos 12 d. rašte Nr.</w:t>
      </w:r>
      <w:r w:rsidR="00086FC5" w:rsidRPr="009D40CD">
        <w:rPr>
          <w:lang w:val="lt-LT"/>
        </w:rPr>
        <w:t> </w:t>
      </w:r>
      <w:r w:rsidR="00313135" w:rsidRPr="009D40CD">
        <w:rPr>
          <w:lang w:val="lt-LT"/>
        </w:rPr>
        <w:t>0</w:t>
      </w:r>
      <w:r w:rsidR="005A1923" w:rsidRPr="009D40CD">
        <w:rPr>
          <w:lang w:val="lt-LT"/>
        </w:rPr>
        <w:t>1-02-136, skirtame Lietuvos Respublikos Seim</w:t>
      </w:r>
      <w:r w:rsidR="00502CE8" w:rsidRPr="009D40CD">
        <w:rPr>
          <w:lang w:val="lt-LT"/>
        </w:rPr>
        <w:t xml:space="preserve">o nariams išreikštą ir 2021 m. liepos 13 d. Seimo Teisės ir teisėtvarkos komitete atstovautą poziciją. </w:t>
      </w:r>
      <w:bookmarkStart w:id="2" w:name="_Hlk81905857"/>
      <w:r w:rsidR="00B15005" w:rsidRPr="009D40CD">
        <w:rPr>
          <w:lang w:val="lt-LT"/>
        </w:rPr>
        <w:t xml:space="preserve">Neginčytina, kad ženkliai padidėjęs migracijos </w:t>
      </w:r>
      <w:r w:rsidR="00502CE8" w:rsidRPr="009D40CD">
        <w:rPr>
          <w:lang w:val="lt-LT"/>
        </w:rPr>
        <w:t xml:space="preserve">srautas ir su tuo susijęs </w:t>
      </w:r>
      <w:r w:rsidR="00DA6505" w:rsidRPr="009D40CD">
        <w:rPr>
          <w:lang w:val="lt-LT"/>
        </w:rPr>
        <w:t>staigus</w:t>
      </w:r>
      <w:r w:rsidR="00502CE8" w:rsidRPr="009D40CD">
        <w:rPr>
          <w:lang w:val="lt-LT"/>
        </w:rPr>
        <w:t xml:space="preserve"> </w:t>
      </w:r>
      <w:r w:rsidR="00B15005" w:rsidRPr="009D40CD">
        <w:rPr>
          <w:lang w:val="lt-LT"/>
        </w:rPr>
        <w:t xml:space="preserve">teikiamų </w:t>
      </w:r>
      <w:r w:rsidR="00502CE8" w:rsidRPr="009D40CD">
        <w:rPr>
          <w:lang w:val="lt-LT"/>
        </w:rPr>
        <w:t xml:space="preserve">tarptautinės apsaugos prašymų skaičiaus augimas </w:t>
      </w:r>
      <w:r w:rsidR="00B15005" w:rsidRPr="009D40CD">
        <w:rPr>
          <w:lang w:val="lt-LT"/>
        </w:rPr>
        <w:t xml:space="preserve">lemia poreikį keisti tam tikras nacionalinių teisės aktų nuostatas, todėl </w:t>
      </w:r>
      <w:r w:rsidR="00086FC5" w:rsidRPr="009D40CD">
        <w:rPr>
          <w:lang w:val="lt-LT"/>
        </w:rPr>
        <w:t>teisi</w:t>
      </w:r>
      <w:r w:rsidR="008B51CB" w:rsidRPr="009D40CD">
        <w:rPr>
          <w:lang w:val="lt-LT"/>
        </w:rPr>
        <w:t xml:space="preserve">nių santykių reguliavimo mechanizmai pagrįstai </w:t>
      </w:r>
      <w:r w:rsidR="00086FC5" w:rsidRPr="009D40CD">
        <w:rPr>
          <w:lang w:val="lt-LT"/>
        </w:rPr>
        <w:t>keičiam</w:t>
      </w:r>
      <w:r w:rsidR="008B51CB" w:rsidRPr="009D40CD">
        <w:rPr>
          <w:lang w:val="lt-LT"/>
        </w:rPr>
        <w:t>i</w:t>
      </w:r>
      <w:r w:rsidR="008560F7" w:rsidRPr="009D40CD">
        <w:rPr>
          <w:lang w:val="lt-LT"/>
        </w:rPr>
        <w:t xml:space="preserve"> siekiant </w:t>
      </w:r>
      <w:bookmarkEnd w:id="2"/>
      <w:r w:rsidR="00502CE8" w:rsidRPr="009D40CD">
        <w:rPr>
          <w:lang w:val="lt-LT"/>
        </w:rPr>
        <w:t xml:space="preserve">išspręsti </w:t>
      </w:r>
      <w:r w:rsidR="008E41BE" w:rsidRPr="009D40CD">
        <w:rPr>
          <w:lang w:val="lt-LT"/>
        </w:rPr>
        <w:t xml:space="preserve">praktinius sunkumus, susijusius su </w:t>
      </w:r>
      <w:r w:rsidR="00014239" w:rsidRPr="009D40CD">
        <w:rPr>
          <w:lang w:val="lt-LT"/>
        </w:rPr>
        <w:t>užsieniečių</w:t>
      </w:r>
      <w:r w:rsidR="008E41BE" w:rsidRPr="009D40CD">
        <w:rPr>
          <w:lang w:val="lt-LT"/>
        </w:rPr>
        <w:t xml:space="preserve"> priėmimu </w:t>
      </w:r>
      <w:bookmarkStart w:id="3" w:name="_Hlk81803705"/>
      <w:r w:rsidR="008E41BE" w:rsidRPr="009D40CD">
        <w:rPr>
          <w:lang w:val="lt-LT"/>
        </w:rPr>
        <w:t>karo padėties, nepaprastosios padėties</w:t>
      </w:r>
      <w:r w:rsidR="00C40A07" w:rsidRPr="009D40CD">
        <w:rPr>
          <w:lang w:val="lt-LT"/>
        </w:rPr>
        <w:t xml:space="preserve"> ar </w:t>
      </w:r>
      <w:r w:rsidR="008E41BE" w:rsidRPr="009D40CD">
        <w:rPr>
          <w:lang w:val="lt-LT"/>
        </w:rPr>
        <w:t xml:space="preserve">ekstremaliosios situacijos </w:t>
      </w:r>
      <w:bookmarkEnd w:id="3"/>
      <w:r w:rsidR="00086FC5" w:rsidRPr="009D40CD">
        <w:rPr>
          <w:lang w:val="lt-LT"/>
        </w:rPr>
        <w:t>metu</w:t>
      </w:r>
      <w:r w:rsidR="00B15005" w:rsidRPr="009D40CD">
        <w:rPr>
          <w:lang w:val="lt-LT"/>
        </w:rPr>
        <w:t>.</w:t>
      </w:r>
      <w:r w:rsidR="008E41BE" w:rsidRPr="009D40CD">
        <w:rPr>
          <w:lang w:val="lt-LT"/>
        </w:rPr>
        <w:t xml:space="preserve"> </w:t>
      </w:r>
      <w:r w:rsidR="00B15005" w:rsidRPr="009D40CD">
        <w:rPr>
          <w:lang w:val="lt-LT"/>
        </w:rPr>
        <w:t>V</w:t>
      </w:r>
      <w:r w:rsidR="00A46197" w:rsidRPr="009D40CD">
        <w:rPr>
          <w:lang w:val="lt-LT"/>
        </w:rPr>
        <w:t>is dėlto</w:t>
      </w:r>
      <w:r w:rsidR="00D954BF" w:rsidRPr="009D40CD">
        <w:rPr>
          <w:lang w:val="lt-LT"/>
        </w:rPr>
        <w:t xml:space="preserve"> atkreiptinas dėmesys, </w:t>
      </w:r>
      <w:r w:rsidR="00502CE8" w:rsidRPr="009D40CD">
        <w:rPr>
          <w:lang w:val="lt-LT"/>
        </w:rPr>
        <w:t xml:space="preserve">kad šiuo metu galiojančiame Įstatyme, o taip pat ir </w:t>
      </w:r>
      <w:r w:rsidR="00C02CD4" w:rsidRPr="009D40CD">
        <w:rPr>
          <w:lang w:val="lt-LT"/>
        </w:rPr>
        <w:t xml:space="preserve">Įstatymo projekte </w:t>
      </w:r>
      <w:r w:rsidR="00502CE8" w:rsidRPr="009D40CD">
        <w:rPr>
          <w:lang w:val="lt-LT"/>
        </w:rPr>
        <w:t>nustatytas teisinis reguliavimas</w:t>
      </w:r>
      <w:r w:rsidR="008560F7" w:rsidRPr="009D40CD">
        <w:rPr>
          <w:lang w:val="lt-LT"/>
        </w:rPr>
        <w:t xml:space="preserve"> kelia abejonių dėl atitikties Lietuvos Respublikos prisiimtiems tarptautiniams įsipareigojimams ir Europos Sąjungos </w:t>
      </w:r>
      <w:r w:rsidR="009B06AF" w:rsidRPr="009D40CD">
        <w:rPr>
          <w:lang w:val="lt-LT"/>
        </w:rPr>
        <w:t>t</w:t>
      </w:r>
      <w:r w:rsidR="008560F7" w:rsidRPr="009D40CD">
        <w:rPr>
          <w:lang w:val="lt-LT"/>
        </w:rPr>
        <w:t>eisės aktuose nustatytiems reikalavimams.</w:t>
      </w:r>
      <w:r w:rsidR="0075551E" w:rsidRPr="009D40CD">
        <w:rPr>
          <w:lang w:val="lt-LT"/>
        </w:rPr>
        <w:t xml:space="preserve"> Visų pirma pabrėžtini Lietuvos </w:t>
      </w:r>
      <w:r w:rsidR="00086FC5" w:rsidRPr="009D40CD">
        <w:rPr>
          <w:lang w:val="lt-LT"/>
        </w:rPr>
        <w:t xml:space="preserve">Respublikos </w:t>
      </w:r>
      <w:r w:rsidR="0075551E" w:rsidRPr="009D40CD">
        <w:rPr>
          <w:lang w:val="lt-LT"/>
        </w:rPr>
        <w:t xml:space="preserve">įsipareigojimai, kildinami iš </w:t>
      </w:r>
      <w:r w:rsidR="002E4FF4" w:rsidRPr="009D40CD">
        <w:rPr>
          <w:lang w:val="lt-LT"/>
        </w:rPr>
        <w:t>Europos žmogaus teisių ir pagrindinių laisvių konvencijos</w:t>
      </w:r>
      <w:r w:rsidR="00877572" w:rsidRPr="009D40CD">
        <w:rPr>
          <w:lang w:val="lt-LT"/>
        </w:rPr>
        <w:t xml:space="preserve"> bei</w:t>
      </w:r>
      <w:r w:rsidR="002E4FF4" w:rsidRPr="009D40CD">
        <w:rPr>
          <w:lang w:val="lt-LT"/>
        </w:rPr>
        <w:t xml:space="preserve"> 1951 m. Jungtinių Tautų Konvencijos dėl pabėgėlių statuso,</w:t>
      </w:r>
      <w:r w:rsidR="005E2453" w:rsidRPr="009D40CD">
        <w:rPr>
          <w:lang w:val="lt-LT"/>
        </w:rPr>
        <w:t xml:space="preserve"> </w:t>
      </w:r>
      <w:r w:rsidR="002E4FF4" w:rsidRPr="009D40CD">
        <w:rPr>
          <w:lang w:val="lt-LT"/>
        </w:rPr>
        <w:t>taip pat Europos Sąjungos direktyvų 2013/32 ir 2013/33</w:t>
      </w:r>
      <w:r w:rsidR="00C02CD4" w:rsidRPr="009D40CD">
        <w:rPr>
          <w:lang w:val="lt-LT"/>
        </w:rPr>
        <w:t xml:space="preserve">. </w:t>
      </w:r>
      <w:r w:rsidR="000715F3" w:rsidRPr="009D40CD">
        <w:rPr>
          <w:lang w:val="lt-LT"/>
        </w:rPr>
        <w:t>Tokias abejones indikuoja ir</w:t>
      </w:r>
      <w:r w:rsidR="00014239" w:rsidRPr="009D40CD">
        <w:rPr>
          <w:lang w:val="lt-LT"/>
        </w:rPr>
        <w:t xml:space="preserve"> </w:t>
      </w:r>
      <w:r w:rsidR="00EA4440" w:rsidRPr="009D40CD">
        <w:rPr>
          <w:lang w:val="lt-LT"/>
        </w:rPr>
        <w:t xml:space="preserve">Jungtinių Tautų vyriausiojo pabėgėlių komisaro ir Europos Tarybos </w:t>
      </w:r>
      <w:r w:rsidR="00086FC5" w:rsidRPr="009D40CD">
        <w:rPr>
          <w:lang w:val="lt-LT"/>
        </w:rPr>
        <w:t xml:space="preserve">žmogaus teisių </w:t>
      </w:r>
      <w:r w:rsidR="00EA4440" w:rsidRPr="009D40CD">
        <w:rPr>
          <w:lang w:val="lt-LT"/>
        </w:rPr>
        <w:t>komisarės pateikt</w:t>
      </w:r>
      <w:r w:rsidR="00086FC5" w:rsidRPr="009D40CD">
        <w:rPr>
          <w:lang w:val="lt-LT"/>
        </w:rPr>
        <w:t>os</w:t>
      </w:r>
      <w:r w:rsidR="00EA4440" w:rsidRPr="009D40CD">
        <w:rPr>
          <w:lang w:val="lt-LT"/>
        </w:rPr>
        <w:t xml:space="preserve"> nuomon</w:t>
      </w:r>
      <w:r w:rsidR="00086FC5" w:rsidRPr="009D40CD">
        <w:rPr>
          <w:lang w:val="lt-LT"/>
        </w:rPr>
        <w:t>ės</w:t>
      </w:r>
      <w:r w:rsidR="00EA4440" w:rsidRPr="009D40CD">
        <w:rPr>
          <w:lang w:val="lt-LT"/>
        </w:rPr>
        <w:t xml:space="preserve"> dėl 2021 m. liepos 23 d. įsigaliojusio teisinio reguliavimo</w:t>
      </w:r>
      <w:r w:rsidR="00086FC5" w:rsidRPr="009D40CD">
        <w:rPr>
          <w:lang w:val="lt-LT"/>
        </w:rPr>
        <w:t>.</w:t>
      </w:r>
      <w:r w:rsidR="001F2B64" w:rsidRPr="009D40CD">
        <w:rPr>
          <w:lang w:val="lt-LT"/>
        </w:rPr>
        <w:t xml:space="preserve"> </w:t>
      </w:r>
    </w:p>
    <w:p w14:paraId="5363EAF1" w14:textId="140F0089" w:rsidR="00FC3AD4" w:rsidRPr="00D87582" w:rsidRDefault="00A8015D" w:rsidP="00061633">
      <w:pPr>
        <w:ind w:firstLine="567"/>
        <w:jc w:val="both"/>
        <w:rPr>
          <w:lang w:val="lt-LT"/>
        </w:rPr>
      </w:pPr>
      <w:r w:rsidRPr="009D40CD">
        <w:rPr>
          <w:lang w:val="lt-LT"/>
        </w:rPr>
        <w:t>Atsižvelgiant į tai,</w:t>
      </w:r>
      <w:r w:rsidR="00FC3AD4" w:rsidRPr="009D40CD">
        <w:rPr>
          <w:lang w:val="lt-LT"/>
        </w:rPr>
        <w:t xml:space="preserve"> atkreipiame Jūsų dėmesį į šiuos esminius Įstatymo projekte</w:t>
      </w:r>
      <w:r w:rsidR="00FC3AD4" w:rsidRPr="00D87582">
        <w:rPr>
          <w:lang w:val="lt-LT"/>
        </w:rPr>
        <w:t xml:space="preserve"> pateikiamo teisinio reguliavimo aspektus</w:t>
      </w:r>
      <w:r w:rsidR="00C32ABC" w:rsidRPr="00D87582">
        <w:rPr>
          <w:lang w:val="lt-LT"/>
        </w:rPr>
        <w:t>, kiek jie susiję su sprendimų dėl užsieniečių teisinės padėties priėmimu karo padėties, nepaprastosios padėties ar ekstremaliosios situacijos metu</w:t>
      </w:r>
      <w:r w:rsidR="00FC3AD4" w:rsidRPr="00D87582">
        <w:rPr>
          <w:lang w:val="lt-LT"/>
        </w:rPr>
        <w:t>.</w:t>
      </w:r>
    </w:p>
    <w:p w14:paraId="04CC6020" w14:textId="56FC8E9E" w:rsidR="00342799" w:rsidRPr="00D87582" w:rsidRDefault="00061633" w:rsidP="001069E8">
      <w:pPr>
        <w:ind w:firstLine="567"/>
        <w:jc w:val="both"/>
        <w:rPr>
          <w:lang w:val="lt-LT"/>
        </w:rPr>
      </w:pPr>
      <w:r w:rsidRPr="00D87582">
        <w:rPr>
          <w:i/>
          <w:iCs/>
          <w:lang w:val="lt-LT"/>
        </w:rPr>
        <w:t>D</w:t>
      </w:r>
      <w:r w:rsidR="00E424DC" w:rsidRPr="00D87582">
        <w:rPr>
          <w:i/>
          <w:iCs/>
          <w:lang w:val="lt-LT"/>
        </w:rPr>
        <w:t xml:space="preserve">ėl </w:t>
      </w:r>
      <w:r w:rsidR="00342799" w:rsidRPr="00D87582">
        <w:rPr>
          <w:i/>
          <w:iCs/>
          <w:lang w:val="lt-LT"/>
        </w:rPr>
        <w:t>galimybės pateikti tarptautinės apsaugos prašymą</w:t>
      </w:r>
      <w:r w:rsidR="00E424DC" w:rsidRPr="00D87582">
        <w:rPr>
          <w:lang w:val="lt-LT"/>
        </w:rPr>
        <w:t>. Įstatymo projekte (140</w:t>
      </w:r>
      <w:r w:rsidR="00E424DC" w:rsidRPr="00D87582">
        <w:rPr>
          <w:vertAlign w:val="superscript"/>
          <w:lang w:val="lt-LT"/>
        </w:rPr>
        <w:t>8</w:t>
      </w:r>
      <w:r w:rsidR="00E424DC" w:rsidRPr="00D87582">
        <w:rPr>
          <w:lang w:val="lt-LT"/>
        </w:rPr>
        <w:t xml:space="preserve"> ir 140</w:t>
      </w:r>
      <w:r w:rsidR="00E424DC" w:rsidRPr="00D87582">
        <w:rPr>
          <w:vertAlign w:val="superscript"/>
          <w:lang w:val="lt-LT"/>
        </w:rPr>
        <w:t>9</w:t>
      </w:r>
      <w:r w:rsidR="00E424DC" w:rsidRPr="00D87582">
        <w:rPr>
          <w:lang w:val="lt-LT"/>
        </w:rPr>
        <w:t xml:space="preserve"> straipsnių nuostatos, </w:t>
      </w:r>
      <w:r w:rsidRPr="00D87582">
        <w:rPr>
          <w:lang w:val="lt-LT"/>
        </w:rPr>
        <w:t>140</w:t>
      </w:r>
      <w:r w:rsidRPr="00D87582">
        <w:rPr>
          <w:vertAlign w:val="superscript"/>
          <w:lang w:val="lt-LT"/>
        </w:rPr>
        <w:t>10</w:t>
      </w:r>
      <w:r w:rsidRPr="00D87582">
        <w:rPr>
          <w:lang w:val="lt-LT"/>
        </w:rPr>
        <w:t xml:space="preserve"> straipsnio 2 dalis) </w:t>
      </w:r>
      <w:r w:rsidR="00C619DD">
        <w:rPr>
          <w:lang w:val="lt-LT"/>
        </w:rPr>
        <w:t xml:space="preserve">siūloma </w:t>
      </w:r>
      <w:r w:rsidRPr="00D87582">
        <w:rPr>
          <w:lang w:val="lt-LT"/>
        </w:rPr>
        <w:t>nustatyt</w:t>
      </w:r>
      <w:r w:rsidR="00C619DD">
        <w:rPr>
          <w:lang w:val="lt-LT"/>
        </w:rPr>
        <w:t>i</w:t>
      </w:r>
      <w:r w:rsidRPr="00D87582">
        <w:rPr>
          <w:lang w:val="lt-LT"/>
        </w:rPr>
        <w:t>, kad prašymas suteikti prieglobstį pateikiamas pasienio kontrolės punkte ar tranzito zonoje</w:t>
      </w:r>
      <w:r w:rsidR="00C32ABC" w:rsidRPr="00D87582">
        <w:rPr>
          <w:lang w:val="lt-LT"/>
        </w:rPr>
        <w:t xml:space="preserve">. Šios nuostatos </w:t>
      </w:r>
      <w:r w:rsidR="00C619DD">
        <w:rPr>
          <w:lang w:val="lt-LT"/>
        </w:rPr>
        <w:t xml:space="preserve">būtų </w:t>
      </w:r>
      <w:r w:rsidRPr="00D87582">
        <w:rPr>
          <w:lang w:val="lt-LT"/>
        </w:rPr>
        <w:t>taik</w:t>
      </w:r>
      <w:r w:rsidR="00C619DD">
        <w:rPr>
          <w:lang w:val="lt-LT"/>
        </w:rPr>
        <w:t>omos</w:t>
      </w:r>
      <w:r w:rsidRPr="00D87582">
        <w:rPr>
          <w:lang w:val="lt-LT"/>
        </w:rPr>
        <w:t xml:space="preserve"> asmenims, atvykstantiems į Lietuvos </w:t>
      </w:r>
      <w:r w:rsidRPr="00D87582">
        <w:rPr>
          <w:lang w:val="lt-LT"/>
        </w:rPr>
        <w:lastRenderedPageBreak/>
        <w:t>Respubliką per teisėt</w:t>
      </w:r>
      <w:r w:rsidR="008B51CB">
        <w:rPr>
          <w:lang w:val="lt-LT"/>
        </w:rPr>
        <w:t>a</w:t>
      </w:r>
      <w:r w:rsidRPr="00D87582">
        <w:rPr>
          <w:lang w:val="lt-LT"/>
        </w:rPr>
        <w:t xml:space="preserve">s valstybės sienos kirtimo </w:t>
      </w:r>
      <w:r w:rsidR="008B51CB">
        <w:rPr>
          <w:lang w:val="lt-LT"/>
        </w:rPr>
        <w:t>vietas</w:t>
      </w:r>
      <w:r w:rsidRPr="00D87582">
        <w:rPr>
          <w:lang w:val="lt-LT"/>
        </w:rPr>
        <w:t xml:space="preserve">. </w:t>
      </w:r>
      <w:r w:rsidR="00C619DD">
        <w:rPr>
          <w:lang w:val="lt-LT"/>
        </w:rPr>
        <w:t>Kitaip tariant, Įstatymo projekte nėra nustatytos g</w:t>
      </w:r>
      <w:r w:rsidRPr="00D87582">
        <w:rPr>
          <w:lang w:val="lt-LT"/>
        </w:rPr>
        <w:t>alimybė</w:t>
      </w:r>
      <w:r w:rsidR="00C619DD">
        <w:rPr>
          <w:lang w:val="lt-LT"/>
        </w:rPr>
        <w:t>s</w:t>
      </w:r>
      <w:r w:rsidRPr="00D87582">
        <w:rPr>
          <w:lang w:val="lt-LT"/>
        </w:rPr>
        <w:t xml:space="preserve"> pateikti prieglobsčio prašymus asmeni</w:t>
      </w:r>
      <w:r w:rsidR="003C51CE" w:rsidRPr="00D87582">
        <w:rPr>
          <w:lang w:val="lt-LT"/>
        </w:rPr>
        <w:t>m</w:t>
      </w:r>
      <w:r w:rsidRPr="00D87582">
        <w:rPr>
          <w:lang w:val="lt-LT"/>
        </w:rPr>
        <w:t>s, neteisėtai kertantiems Lietuvos Respublikos sieną</w:t>
      </w:r>
      <w:r w:rsidR="00342799" w:rsidRPr="00D87582">
        <w:rPr>
          <w:lang w:val="lt-LT"/>
        </w:rPr>
        <w:t>, priešingai</w:t>
      </w:r>
      <w:r w:rsidR="00C619DD">
        <w:rPr>
          <w:lang w:val="lt-LT"/>
        </w:rPr>
        <w:t>,</w:t>
      </w:r>
      <w:r w:rsidR="00342799" w:rsidRPr="00D87582">
        <w:rPr>
          <w:lang w:val="lt-LT"/>
        </w:rPr>
        <w:t xml:space="preserve"> įtvirtinama, kad tok</w:t>
      </w:r>
      <w:r w:rsidR="00C619DD">
        <w:rPr>
          <w:lang w:val="lt-LT"/>
        </w:rPr>
        <w:t>ie</w:t>
      </w:r>
      <w:r w:rsidR="00342799" w:rsidRPr="00D87582">
        <w:rPr>
          <w:lang w:val="lt-LT"/>
        </w:rPr>
        <w:t xml:space="preserve"> prašyma</w:t>
      </w:r>
      <w:r w:rsidR="00C619DD">
        <w:rPr>
          <w:lang w:val="lt-LT"/>
        </w:rPr>
        <w:t>i</w:t>
      </w:r>
      <w:r w:rsidR="00342799" w:rsidRPr="00D87582">
        <w:rPr>
          <w:lang w:val="lt-LT"/>
        </w:rPr>
        <w:t xml:space="preserve"> nėra priimam</w:t>
      </w:r>
      <w:r w:rsidR="00C619DD">
        <w:rPr>
          <w:lang w:val="lt-LT"/>
        </w:rPr>
        <w:t>i</w:t>
      </w:r>
      <w:r w:rsidR="00342799" w:rsidRPr="00D87582">
        <w:rPr>
          <w:lang w:val="lt-LT"/>
        </w:rPr>
        <w:t>,</w:t>
      </w:r>
      <w:r w:rsidR="00C32ABC" w:rsidRPr="00D87582">
        <w:rPr>
          <w:lang w:val="lt-LT"/>
        </w:rPr>
        <w:t xml:space="preserve"> </w:t>
      </w:r>
      <w:r w:rsidR="00C619DD">
        <w:rPr>
          <w:lang w:val="lt-LT"/>
        </w:rPr>
        <w:t xml:space="preserve">o </w:t>
      </w:r>
      <w:r w:rsidR="00C32ABC" w:rsidRPr="00D87582">
        <w:rPr>
          <w:lang w:val="lt-LT"/>
        </w:rPr>
        <w:t>asmeni</w:t>
      </w:r>
      <w:r w:rsidR="00C619DD">
        <w:rPr>
          <w:lang w:val="lt-LT"/>
        </w:rPr>
        <w:t>ms</w:t>
      </w:r>
      <w:r w:rsidR="00C32ABC" w:rsidRPr="00D87582">
        <w:rPr>
          <w:lang w:val="lt-LT"/>
        </w:rPr>
        <w:t xml:space="preserve"> paaiškinama tarptautinės apsaugos prašymo pateikimo tvarka.</w:t>
      </w:r>
      <w:r w:rsidR="00014239">
        <w:rPr>
          <w:lang w:val="lt-LT"/>
        </w:rPr>
        <w:t xml:space="preserve"> </w:t>
      </w:r>
      <w:r w:rsidR="00C619DD">
        <w:rPr>
          <w:lang w:val="lt-LT"/>
        </w:rPr>
        <w:t xml:space="preserve">Kita vertus, </w:t>
      </w:r>
      <w:r w:rsidR="00C32ABC" w:rsidRPr="00D87582">
        <w:rPr>
          <w:lang w:val="lt-LT"/>
        </w:rPr>
        <w:t xml:space="preserve">Įstatymo projekte </w:t>
      </w:r>
      <w:r w:rsidR="00C619DD">
        <w:rPr>
          <w:lang w:val="lt-LT"/>
        </w:rPr>
        <w:t xml:space="preserve">siūloma </w:t>
      </w:r>
      <w:r w:rsidR="00C32ABC" w:rsidRPr="00D87582">
        <w:rPr>
          <w:lang w:val="lt-LT"/>
        </w:rPr>
        <w:t>nustatyt</w:t>
      </w:r>
      <w:r w:rsidR="00C619DD">
        <w:rPr>
          <w:lang w:val="lt-LT"/>
        </w:rPr>
        <w:t>i</w:t>
      </w:r>
      <w:r w:rsidR="00C32ABC" w:rsidRPr="00D87582">
        <w:rPr>
          <w:lang w:val="lt-LT"/>
        </w:rPr>
        <w:t xml:space="preserve"> Valstybės sienos apsaugos tarnybos prie Lietuvos Respublikos vidaus reikalų ministerijos (toliau – </w:t>
      </w:r>
      <w:r w:rsidRPr="00D87582">
        <w:rPr>
          <w:lang w:val="lt-LT"/>
        </w:rPr>
        <w:t>VSAT</w:t>
      </w:r>
      <w:r w:rsidR="00C32ABC" w:rsidRPr="00D87582">
        <w:rPr>
          <w:lang w:val="lt-LT"/>
        </w:rPr>
        <w:t>)</w:t>
      </w:r>
      <w:r w:rsidRPr="00D87582">
        <w:rPr>
          <w:lang w:val="lt-LT"/>
        </w:rPr>
        <w:t xml:space="preserve"> diskrecij</w:t>
      </w:r>
      <w:r w:rsidR="00C619DD">
        <w:rPr>
          <w:lang w:val="lt-LT"/>
        </w:rPr>
        <w:t>ą</w:t>
      </w:r>
      <w:r w:rsidR="00C32ABC" w:rsidRPr="00D87582">
        <w:rPr>
          <w:lang w:val="lt-LT"/>
        </w:rPr>
        <w:t xml:space="preserve"> priimti neteisėtai kirtusio sieną asmens tarptautinės apsaugos prašymą,</w:t>
      </w:r>
      <w:r w:rsidRPr="00D87582">
        <w:rPr>
          <w:lang w:val="lt-LT"/>
        </w:rPr>
        <w:t xml:space="preserve"> atsižvelgus </w:t>
      </w:r>
      <w:r w:rsidR="00C32ABC" w:rsidRPr="00D87582">
        <w:rPr>
          <w:lang w:val="lt-LT"/>
        </w:rPr>
        <w:t xml:space="preserve">į tokio </w:t>
      </w:r>
      <w:r w:rsidRPr="00D87582">
        <w:rPr>
          <w:lang w:val="lt-LT"/>
        </w:rPr>
        <w:t>asmens pažeidžiamumą</w:t>
      </w:r>
      <w:r w:rsidR="00C32ABC" w:rsidRPr="00D87582">
        <w:rPr>
          <w:lang w:val="lt-LT"/>
        </w:rPr>
        <w:t>, tačiau nėra įtvirtinti</w:t>
      </w:r>
      <w:r w:rsidR="003C51CE" w:rsidRPr="00D87582">
        <w:rPr>
          <w:lang w:val="lt-LT"/>
        </w:rPr>
        <w:t xml:space="preserve"> aiškūs</w:t>
      </w:r>
      <w:r w:rsidRPr="00D87582">
        <w:rPr>
          <w:lang w:val="lt-LT"/>
        </w:rPr>
        <w:t xml:space="preserve"> sprendimo </w:t>
      </w:r>
      <w:r w:rsidR="00342799" w:rsidRPr="00D87582">
        <w:rPr>
          <w:lang w:val="lt-LT"/>
        </w:rPr>
        <w:t>(priimti ar atsisakyti priimti tokio asmens tarptautinės apsaugos prašymą) priėmimo</w:t>
      </w:r>
      <w:r w:rsidRPr="00D87582">
        <w:rPr>
          <w:lang w:val="lt-LT"/>
        </w:rPr>
        <w:t xml:space="preserve"> kriterijai. Atsižvelgiant į nurodytą </w:t>
      </w:r>
      <w:r w:rsidR="00C619DD">
        <w:rPr>
          <w:lang w:val="lt-LT"/>
        </w:rPr>
        <w:t xml:space="preserve">siūlomą </w:t>
      </w:r>
      <w:r w:rsidRPr="00D87582">
        <w:rPr>
          <w:lang w:val="lt-LT"/>
        </w:rPr>
        <w:t xml:space="preserve">teisinį reguliavimą, </w:t>
      </w:r>
      <w:r w:rsidR="007F451F" w:rsidRPr="00D87582">
        <w:rPr>
          <w:lang w:val="lt-LT"/>
        </w:rPr>
        <w:t xml:space="preserve">nėra aišku, ar </w:t>
      </w:r>
      <w:r w:rsidR="00C32ABC" w:rsidRPr="00D87582">
        <w:rPr>
          <w:lang w:val="lt-LT"/>
        </w:rPr>
        <w:t xml:space="preserve">neteisėtai sieną kirtusiam asmeniui apskritai bus suteikta galimybė pateikti </w:t>
      </w:r>
      <w:r w:rsidR="00C32ABC" w:rsidRPr="009D40CD">
        <w:rPr>
          <w:lang w:val="lt-LT"/>
        </w:rPr>
        <w:t xml:space="preserve">tarptautinės apsaugos prašymą, o jei taip, </w:t>
      </w:r>
      <w:r w:rsidR="007728AB" w:rsidRPr="009D40CD">
        <w:rPr>
          <w:lang w:val="lt-LT"/>
        </w:rPr>
        <w:t xml:space="preserve">tuomet, </w:t>
      </w:r>
      <w:r w:rsidR="00C32ABC" w:rsidRPr="009D40CD">
        <w:rPr>
          <w:lang w:val="lt-LT"/>
        </w:rPr>
        <w:t xml:space="preserve">kokia tvarka </w:t>
      </w:r>
      <w:r w:rsidR="007728AB" w:rsidRPr="009D40CD">
        <w:rPr>
          <w:lang w:val="lt-LT"/>
        </w:rPr>
        <w:t>atitinkamu atveju b</w:t>
      </w:r>
      <w:r w:rsidR="0032149B" w:rsidRPr="009D40CD">
        <w:rPr>
          <w:lang w:val="lt-LT"/>
        </w:rPr>
        <w:t>ūtų</w:t>
      </w:r>
      <w:r w:rsidR="007728AB" w:rsidRPr="009D40CD">
        <w:rPr>
          <w:lang w:val="lt-LT"/>
        </w:rPr>
        <w:t xml:space="preserve"> taikoma. </w:t>
      </w:r>
      <w:r w:rsidR="00086FC5" w:rsidRPr="009D40CD">
        <w:rPr>
          <w:lang w:val="lt-LT"/>
        </w:rPr>
        <w:t>Taip pat</w:t>
      </w:r>
      <w:r w:rsidR="00C32ABC" w:rsidRPr="009D40CD">
        <w:rPr>
          <w:lang w:val="lt-LT"/>
        </w:rPr>
        <w:t xml:space="preserve"> nėra aišku, kokiais atvejais </w:t>
      </w:r>
      <w:r w:rsidR="00C619DD" w:rsidRPr="009D40CD">
        <w:rPr>
          <w:lang w:val="lt-LT"/>
        </w:rPr>
        <w:t xml:space="preserve">ir kokiais kriterijais remiantis </w:t>
      </w:r>
      <w:r w:rsidR="00C32ABC" w:rsidRPr="009D40CD">
        <w:rPr>
          <w:lang w:val="lt-LT"/>
        </w:rPr>
        <w:t xml:space="preserve">VSAT priims sprendimą dėl neteisėtai kirtusių sieną pažeidžiamų asmenų pateiktų tarptautinės apsaugos prašymų priėmimo. </w:t>
      </w:r>
      <w:r w:rsidR="0032149B" w:rsidRPr="009D40CD">
        <w:rPr>
          <w:lang w:val="lt-LT"/>
        </w:rPr>
        <w:t>Apibendrinant pažymėtina, kad aptartos</w:t>
      </w:r>
      <w:r w:rsidR="00C32ABC" w:rsidRPr="009D40CD">
        <w:rPr>
          <w:lang w:val="lt-LT"/>
        </w:rPr>
        <w:t xml:space="preserve"> </w:t>
      </w:r>
      <w:r w:rsidR="0032149B" w:rsidRPr="009D40CD">
        <w:rPr>
          <w:lang w:val="lt-LT"/>
        </w:rPr>
        <w:t xml:space="preserve">siūlomo </w:t>
      </w:r>
      <w:r w:rsidR="00C32ABC" w:rsidRPr="009D40CD">
        <w:rPr>
          <w:lang w:val="lt-LT"/>
        </w:rPr>
        <w:t>teisini</w:t>
      </w:r>
      <w:r w:rsidR="0032149B" w:rsidRPr="009D40CD">
        <w:rPr>
          <w:lang w:val="lt-LT"/>
        </w:rPr>
        <w:t>o</w:t>
      </w:r>
      <w:r w:rsidR="00C32ABC" w:rsidRPr="009D40CD">
        <w:rPr>
          <w:lang w:val="lt-LT"/>
        </w:rPr>
        <w:t xml:space="preserve"> reguliavim</w:t>
      </w:r>
      <w:r w:rsidR="0032149B" w:rsidRPr="009D40CD">
        <w:rPr>
          <w:lang w:val="lt-LT"/>
        </w:rPr>
        <w:t>o nuostatos kelia grėsmę tinkamam principo</w:t>
      </w:r>
      <w:r w:rsidR="00C32ABC" w:rsidRPr="009D40CD">
        <w:rPr>
          <w:lang w:val="lt-LT"/>
        </w:rPr>
        <w:t xml:space="preserve">, </w:t>
      </w:r>
      <w:r w:rsidR="0032149B" w:rsidRPr="009D40CD">
        <w:rPr>
          <w:lang w:val="lt-LT"/>
        </w:rPr>
        <w:t>pagal kurį</w:t>
      </w:r>
      <w:r w:rsidR="00C32ABC" w:rsidRPr="009D40CD">
        <w:rPr>
          <w:lang w:val="lt-LT"/>
        </w:rPr>
        <w:t xml:space="preserve"> </w:t>
      </w:r>
      <w:r w:rsidR="00086FC5" w:rsidRPr="009D40CD">
        <w:rPr>
          <w:lang w:val="lt-LT"/>
        </w:rPr>
        <w:t xml:space="preserve">vien </w:t>
      </w:r>
      <w:r w:rsidR="00C32ABC" w:rsidRPr="009D40CD">
        <w:rPr>
          <w:lang w:val="lt-LT"/>
        </w:rPr>
        <w:t>neteisėtas sienos kirtimas neturėtų būti vertinamas kaip</w:t>
      </w:r>
      <w:r w:rsidR="00342799" w:rsidRPr="009D40CD">
        <w:rPr>
          <w:lang w:val="lt-LT"/>
        </w:rPr>
        <w:t xml:space="preserve"> </w:t>
      </w:r>
      <w:r w:rsidR="00086FC5" w:rsidRPr="009D40CD">
        <w:rPr>
          <w:lang w:val="lt-LT"/>
        </w:rPr>
        <w:t xml:space="preserve">teisę asmeniui pateikti prieglobsčio prašymą ribojantis pagrindas, </w:t>
      </w:r>
      <w:r w:rsidR="0032149B" w:rsidRPr="009D40CD">
        <w:rPr>
          <w:lang w:val="lt-LT"/>
        </w:rPr>
        <w:t xml:space="preserve">užtikrinimui. Kartu atkreiptinas dėmesys, kad </w:t>
      </w:r>
      <w:r w:rsidR="001069E8" w:rsidRPr="009D40CD">
        <w:rPr>
          <w:lang w:val="lt-LT"/>
        </w:rPr>
        <w:t>neteisėtai sieną kirtusių asmenų atžvilgiu</w:t>
      </w:r>
      <w:r w:rsidR="00014239" w:rsidRPr="009D40CD">
        <w:rPr>
          <w:lang w:val="lt-LT"/>
        </w:rPr>
        <w:t>,</w:t>
      </w:r>
      <w:r w:rsidR="001069E8" w:rsidRPr="009D40CD">
        <w:rPr>
          <w:lang w:val="lt-LT"/>
        </w:rPr>
        <w:t xml:space="preserve"> </w:t>
      </w:r>
      <w:r w:rsidR="00014239" w:rsidRPr="009D40CD">
        <w:rPr>
          <w:lang w:val="lt-LT"/>
        </w:rPr>
        <w:t xml:space="preserve">kiek tai susiję su tokių asmenų galimybe pateikti tarptautinės apsaugos prašymą, </w:t>
      </w:r>
      <w:r w:rsidR="0032149B" w:rsidRPr="009D40CD">
        <w:rPr>
          <w:lang w:val="lt-LT"/>
        </w:rPr>
        <w:t xml:space="preserve">Įstatymo projekto nuostatomis </w:t>
      </w:r>
      <w:r w:rsidR="001069E8" w:rsidRPr="009D40CD">
        <w:rPr>
          <w:lang w:val="lt-LT"/>
        </w:rPr>
        <w:t>sukuria</w:t>
      </w:r>
      <w:r w:rsidR="0032149B" w:rsidRPr="009D40CD">
        <w:rPr>
          <w:lang w:val="lt-LT"/>
        </w:rPr>
        <w:t>ma</w:t>
      </w:r>
      <w:r w:rsidR="001069E8" w:rsidRPr="009D40CD">
        <w:rPr>
          <w:lang w:val="lt-LT"/>
        </w:rPr>
        <w:t xml:space="preserve"> teisinio netikrumo situacij</w:t>
      </w:r>
      <w:r w:rsidR="00DC79F8" w:rsidRPr="009D40CD">
        <w:rPr>
          <w:lang w:val="lt-LT"/>
        </w:rPr>
        <w:t>a</w:t>
      </w:r>
      <w:r w:rsidR="001069E8" w:rsidRPr="009D40CD">
        <w:rPr>
          <w:lang w:val="lt-LT"/>
        </w:rPr>
        <w:t>.</w:t>
      </w:r>
      <w:r w:rsidR="001069E8" w:rsidRPr="00D87582">
        <w:rPr>
          <w:lang w:val="lt-LT"/>
        </w:rPr>
        <w:t xml:space="preserve"> </w:t>
      </w:r>
      <w:r w:rsidR="004A1B79" w:rsidRPr="00D87582">
        <w:rPr>
          <w:lang w:val="lt-LT"/>
        </w:rPr>
        <w:t xml:space="preserve"> </w:t>
      </w:r>
    </w:p>
    <w:p w14:paraId="5AC45B77" w14:textId="69432472" w:rsidR="00F857E2" w:rsidRPr="009D40CD" w:rsidRDefault="00997F1A" w:rsidP="00086FC5">
      <w:pPr>
        <w:ind w:firstLine="567"/>
        <w:jc w:val="both"/>
        <w:rPr>
          <w:strike/>
          <w:lang w:val="lt-LT"/>
        </w:rPr>
      </w:pPr>
      <w:r w:rsidRPr="00D87582">
        <w:rPr>
          <w:i/>
          <w:iCs/>
          <w:lang w:val="lt-LT"/>
        </w:rPr>
        <w:t xml:space="preserve">Dėl aiškaus termino, per kurį turi būti priimamas sprendimas dėl užsieniečio teisinės padėties, </w:t>
      </w:r>
      <w:r w:rsidR="00F857E2">
        <w:rPr>
          <w:i/>
          <w:iCs/>
          <w:lang w:val="lt-LT"/>
        </w:rPr>
        <w:t>nenustatymo</w:t>
      </w:r>
      <w:r w:rsidRPr="00D87582">
        <w:rPr>
          <w:i/>
          <w:iCs/>
          <w:lang w:val="lt-LT"/>
        </w:rPr>
        <w:t xml:space="preserve">. </w:t>
      </w:r>
      <w:r w:rsidR="00F857E2" w:rsidRPr="00D87582">
        <w:rPr>
          <w:lang w:val="lt-LT"/>
        </w:rPr>
        <w:t xml:space="preserve">Atsižvelgiant į praktinius ribojimus, susijusius su sprendimų dėl užsieniečių teisinės padėties priėmimu karo padėties, nepaprastosios padėties ar ekstremaliosios situacijos laikotarpiu, </w:t>
      </w:r>
      <w:r w:rsidR="00F857E2">
        <w:rPr>
          <w:lang w:val="lt-LT"/>
        </w:rPr>
        <w:t xml:space="preserve">Įstatymo projekte nėra nustatytas terminas per kurį turi būti priimtas sprendimas dėl užsieniečio teisinės padėties. </w:t>
      </w:r>
      <w:r w:rsidR="00F857E2" w:rsidRPr="00D87582">
        <w:rPr>
          <w:lang w:val="lt-LT"/>
        </w:rPr>
        <w:t>Įstatymo projektu atsisak</w:t>
      </w:r>
      <w:r w:rsidR="00F857E2">
        <w:rPr>
          <w:lang w:val="lt-LT"/>
        </w:rPr>
        <w:t>ius</w:t>
      </w:r>
      <w:r w:rsidR="00F857E2" w:rsidRPr="00D87582">
        <w:rPr>
          <w:lang w:val="lt-LT"/>
        </w:rPr>
        <w:t xml:space="preserve"> šiuo metu įtvirtinto 6 mėnesių termino, </w:t>
      </w:r>
      <w:r w:rsidR="00F857E2">
        <w:rPr>
          <w:lang w:val="lt-LT"/>
        </w:rPr>
        <w:t xml:space="preserve">kuriam pasibaigus, jeigu nėra priimtas sprendimas </w:t>
      </w:r>
      <w:r w:rsidR="00086FC5">
        <w:rPr>
          <w:lang w:val="lt-LT"/>
        </w:rPr>
        <w:t xml:space="preserve">dėl </w:t>
      </w:r>
      <w:r w:rsidR="00F857E2">
        <w:rPr>
          <w:lang w:val="lt-LT"/>
        </w:rPr>
        <w:t xml:space="preserve">užsieniečio teisinės padėties, Migracijos departamentas priima sprendimą įleisti prieglobsčio prašytoją į Lietuvos Respubliką, </w:t>
      </w:r>
      <w:r w:rsidR="00F857E2" w:rsidRPr="00D87582">
        <w:rPr>
          <w:lang w:val="lt-LT"/>
        </w:rPr>
        <w:t>nėra nustatomas kitas aiškiai apibrėžtas laikotarpis</w:t>
      </w:r>
      <w:r w:rsidR="00F857E2">
        <w:rPr>
          <w:lang w:val="lt-LT"/>
        </w:rPr>
        <w:t xml:space="preserve"> per kurį turėtų būti priimtas koks nors sprendimas dėl užsieniečio teisinės padėties</w:t>
      </w:r>
      <w:r w:rsidR="00F857E2" w:rsidRPr="00D87582">
        <w:rPr>
          <w:lang w:val="lt-LT"/>
        </w:rPr>
        <w:t xml:space="preserve">. </w:t>
      </w:r>
      <w:r w:rsidR="00F857E2">
        <w:rPr>
          <w:lang w:val="lt-LT"/>
        </w:rPr>
        <w:t>Aiškiai apibrėžtu negali būti laikomas ir Įstatymo projekto 140</w:t>
      </w:r>
      <w:r w:rsidR="00F857E2" w:rsidRPr="009439E7">
        <w:rPr>
          <w:vertAlign w:val="superscript"/>
          <w:lang w:val="lt-LT"/>
        </w:rPr>
        <w:t>8</w:t>
      </w:r>
      <w:r w:rsidR="00F857E2">
        <w:rPr>
          <w:lang w:val="lt-LT"/>
        </w:rPr>
        <w:t xml:space="preserve"> straipsnio 6 dalyje nustatytas laikotarpis dėl prieglobsčio prašytojų, laikinai apgyvendintų šio straipsnio 4 dalyje nurodytose laikino apgyvendinimo vietose, po kurio jie gali būti įleisti į Lietuvos Respublikos teritoriją. </w:t>
      </w:r>
      <w:r w:rsidR="008E05EA">
        <w:rPr>
          <w:lang w:val="lt-LT"/>
        </w:rPr>
        <w:t xml:space="preserve">Siekiant </w:t>
      </w:r>
      <w:r w:rsidR="008E05EA" w:rsidRPr="009D40CD">
        <w:rPr>
          <w:lang w:val="lt-LT"/>
        </w:rPr>
        <w:t>t</w:t>
      </w:r>
      <w:r w:rsidR="00F857E2" w:rsidRPr="009D40CD">
        <w:rPr>
          <w:lang w:val="lt-LT"/>
        </w:rPr>
        <w:t>eisinio tikrumo siūlytume Įstatymo projekte nustatyti konkretų terminą, per kurį turi būti priimtas sprendimas dėl užsieniečio</w:t>
      </w:r>
      <w:r w:rsidR="008E05EA" w:rsidRPr="009D40CD">
        <w:rPr>
          <w:lang w:val="lt-LT"/>
        </w:rPr>
        <w:t xml:space="preserve"> teisinės padėties.</w:t>
      </w:r>
    </w:p>
    <w:p w14:paraId="5DEE7C0F" w14:textId="64FD1469" w:rsidR="001069E8" w:rsidRPr="00D76C34" w:rsidRDefault="007F451F" w:rsidP="007E255B">
      <w:pPr>
        <w:ind w:firstLine="567"/>
        <w:jc w:val="both"/>
        <w:rPr>
          <w:lang w:val="lt-LT"/>
        </w:rPr>
      </w:pPr>
      <w:r w:rsidRPr="009D40CD">
        <w:rPr>
          <w:i/>
          <w:iCs/>
          <w:lang w:val="lt-LT"/>
        </w:rPr>
        <w:t>Dėl valstybės sieną kirtusių asmenų judėjimo teisės ribojimų</w:t>
      </w:r>
      <w:r w:rsidRPr="009D40CD">
        <w:rPr>
          <w:lang w:val="lt-LT"/>
        </w:rPr>
        <w:t xml:space="preserve">. Tarptautiniuose ir Europos Sąjungos </w:t>
      </w:r>
      <w:r w:rsidR="00086FC5" w:rsidRPr="009D40CD">
        <w:rPr>
          <w:lang w:val="lt-LT"/>
        </w:rPr>
        <w:t>dokumentuose</w:t>
      </w:r>
      <w:r w:rsidR="008E05EA" w:rsidRPr="009D40CD">
        <w:rPr>
          <w:lang w:val="lt-LT"/>
        </w:rPr>
        <w:t xml:space="preserve"> </w:t>
      </w:r>
      <w:r w:rsidRPr="009D40CD">
        <w:rPr>
          <w:lang w:val="lt-LT"/>
        </w:rPr>
        <w:t>ypatinga</w:t>
      </w:r>
      <w:r w:rsidR="00DC79F8" w:rsidRPr="009D40CD">
        <w:rPr>
          <w:lang w:val="lt-LT"/>
        </w:rPr>
        <w:t>i pabrėžiama</w:t>
      </w:r>
      <w:r w:rsidRPr="009D40CD">
        <w:rPr>
          <w:lang w:val="lt-LT"/>
        </w:rPr>
        <w:t xml:space="preserve"> princip</w:t>
      </w:r>
      <w:r w:rsidR="00DC79F8" w:rsidRPr="009D40CD">
        <w:rPr>
          <w:lang w:val="lt-LT"/>
        </w:rPr>
        <w:t>o</w:t>
      </w:r>
      <w:r w:rsidRPr="009D40CD">
        <w:rPr>
          <w:lang w:val="lt-LT"/>
        </w:rPr>
        <w:t xml:space="preserve">, kad asmuo neturėtų būti sulaikomas vien </w:t>
      </w:r>
      <w:r w:rsidR="00DC79F8" w:rsidRPr="009D40CD">
        <w:rPr>
          <w:lang w:val="lt-LT"/>
        </w:rPr>
        <w:t>todėl</w:t>
      </w:r>
      <w:r w:rsidRPr="009D40CD">
        <w:rPr>
          <w:lang w:val="lt-LT"/>
        </w:rPr>
        <w:t>, kad jis prašo tarptautinės apsaugos</w:t>
      </w:r>
      <w:r w:rsidR="0020683F" w:rsidRPr="009D40CD">
        <w:rPr>
          <w:lang w:val="lt-LT"/>
        </w:rPr>
        <w:t xml:space="preserve">, </w:t>
      </w:r>
      <w:r w:rsidR="00DC79F8" w:rsidRPr="009D40CD">
        <w:rPr>
          <w:lang w:val="lt-LT"/>
        </w:rPr>
        <w:t xml:space="preserve">svarba. </w:t>
      </w:r>
      <w:r w:rsidR="008E05EA" w:rsidRPr="009D40CD">
        <w:rPr>
          <w:lang w:val="lt-LT"/>
        </w:rPr>
        <w:t>Ma</w:t>
      </w:r>
      <w:r w:rsidR="0020683F" w:rsidRPr="009D40CD">
        <w:rPr>
          <w:lang w:val="lt-LT"/>
        </w:rPr>
        <w:t>sini</w:t>
      </w:r>
      <w:r w:rsidR="00DC79F8" w:rsidRPr="009D40CD">
        <w:rPr>
          <w:lang w:val="lt-LT"/>
        </w:rPr>
        <w:t>o</w:t>
      </w:r>
      <w:r w:rsidR="0020683F" w:rsidRPr="009D40CD">
        <w:rPr>
          <w:lang w:val="lt-LT"/>
        </w:rPr>
        <w:t xml:space="preserve"> (kolektyvini</w:t>
      </w:r>
      <w:r w:rsidR="00DC79F8" w:rsidRPr="009D40CD">
        <w:rPr>
          <w:lang w:val="lt-LT"/>
        </w:rPr>
        <w:t>o</w:t>
      </w:r>
      <w:r w:rsidR="0020683F" w:rsidRPr="009D40CD">
        <w:rPr>
          <w:lang w:val="lt-LT"/>
        </w:rPr>
        <w:t>) sulaikym</w:t>
      </w:r>
      <w:r w:rsidR="00DC79F8" w:rsidRPr="009D40CD">
        <w:rPr>
          <w:lang w:val="lt-LT"/>
        </w:rPr>
        <w:t>o priemonės yra nepriimtinos, nes</w:t>
      </w:r>
      <w:r w:rsidR="0020683F" w:rsidRPr="009D40CD">
        <w:rPr>
          <w:lang w:val="lt-LT"/>
        </w:rPr>
        <w:t xml:space="preserve"> visais atvejais dėl sulaikymo </w:t>
      </w:r>
      <w:r w:rsidR="004A1B79" w:rsidRPr="009D40CD">
        <w:rPr>
          <w:lang w:val="lt-LT"/>
        </w:rPr>
        <w:t>tur</w:t>
      </w:r>
      <w:r w:rsidR="00235935" w:rsidRPr="009D40CD">
        <w:rPr>
          <w:lang w:val="lt-LT"/>
        </w:rPr>
        <w:t>i</w:t>
      </w:r>
      <w:r w:rsidR="004A1B79" w:rsidRPr="009D40CD">
        <w:rPr>
          <w:lang w:val="lt-LT"/>
        </w:rPr>
        <w:t xml:space="preserve"> būti </w:t>
      </w:r>
      <w:r w:rsidR="0020683F" w:rsidRPr="009D40CD">
        <w:rPr>
          <w:lang w:val="lt-LT"/>
        </w:rPr>
        <w:t xml:space="preserve">sprendžiama individualiai ir sprendimas sulaikyti asmenį </w:t>
      </w:r>
      <w:r w:rsidR="00235935" w:rsidRPr="009D40CD">
        <w:rPr>
          <w:lang w:val="lt-LT"/>
        </w:rPr>
        <w:t>turi būti</w:t>
      </w:r>
      <w:r w:rsidR="00235935" w:rsidRPr="00D76C34">
        <w:rPr>
          <w:lang w:val="lt-LT"/>
        </w:rPr>
        <w:t xml:space="preserve"> </w:t>
      </w:r>
      <w:r w:rsidR="0020683F" w:rsidRPr="00D76C34">
        <w:rPr>
          <w:lang w:val="lt-LT"/>
        </w:rPr>
        <w:t xml:space="preserve">priimamas tik esant aiškiai nustatytiems pagrindams. </w:t>
      </w:r>
      <w:r w:rsidR="008E05EA" w:rsidRPr="00D76C34">
        <w:rPr>
          <w:lang w:val="lt-LT"/>
        </w:rPr>
        <w:t>P</w:t>
      </w:r>
      <w:r w:rsidR="00235935" w:rsidRPr="00D76C34">
        <w:rPr>
          <w:lang w:val="lt-LT"/>
        </w:rPr>
        <w:t>agal</w:t>
      </w:r>
      <w:r w:rsidR="0020683F" w:rsidRPr="00D76C34">
        <w:rPr>
          <w:lang w:val="lt-LT"/>
        </w:rPr>
        <w:t xml:space="preserve"> Įstatymo projekto nuostat</w:t>
      </w:r>
      <w:r w:rsidR="00235935" w:rsidRPr="00D76C34">
        <w:rPr>
          <w:lang w:val="lt-LT"/>
        </w:rPr>
        <w:t>a</w:t>
      </w:r>
      <w:r w:rsidR="0020683F" w:rsidRPr="00D76C34">
        <w:rPr>
          <w:lang w:val="lt-LT"/>
        </w:rPr>
        <w:t xml:space="preserve">s  užsieniečių apgyvendinimas </w:t>
      </w:r>
      <w:r w:rsidR="00235935" w:rsidRPr="00D76C34">
        <w:rPr>
          <w:lang w:val="lt-LT"/>
        </w:rPr>
        <w:t xml:space="preserve">būtų vykdomas </w:t>
      </w:r>
      <w:r w:rsidR="0020683F" w:rsidRPr="00D76C34">
        <w:rPr>
          <w:lang w:val="lt-LT"/>
        </w:rPr>
        <w:t>administracinių institucijų sprendimu (VSAT ir (ar) Migracijos departamento</w:t>
      </w:r>
      <w:r w:rsidR="001069E8" w:rsidRPr="00D76C34">
        <w:rPr>
          <w:lang w:val="lt-LT"/>
        </w:rPr>
        <w:t xml:space="preserve"> prie Lietuvos Respublikos vidaus reikalų ministerijos (toliau – Migracijos departamentas)</w:t>
      </w:r>
      <w:r w:rsidR="0020683F" w:rsidRPr="00D76C34">
        <w:rPr>
          <w:lang w:val="lt-LT"/>
        </w:rPr>
        <w:t>) nesuteikiant judėjimo laisvės</w:t>
      </w:r>
      <w:r w:rsidR="00235935" w:rsidRPr="00D76C34">
        <w:rPr>
          <w:lang w:val="lt-LT"/>
        </w:rPr>
        <w:t xml:space="preserve">. </w:t>
      </w:r>
      <w:r w:rsidR="003A133F" w:rsidRPr="00D76C34">
        <w:rPr>
          <w:lang w:val="lt-LT"/>
        </w:rPr>
        <w:t>T</w:t>
      </w:r>
      <w:r w:rsidR="00235935" w:rsidRPr="00D76C34">
        <w:rPr>
          <w:lang w:val="lt-LT"/>
        </w:rPr>
        <w:t>oks siūlomas teisinis reguliavimas</w:t>
      </w:r>
      <w:r w:rsidR="0020683F" w:rsidRPr="00D76C34">
        <w:rPr>
          <w:lang w:val="lt-LT"/>
        </w:rPr>
        <w:t xml:space="preserve"> </w:t>
      </w:r>
      <w:r w:rsidR="003A133F" w:rsidRPr="00D76C34">
        <w:rPr>
          <w:lang w:val="lt-LT"/>
        </w:rPr>
        <w:t xml:space="preserve">kelia pagrįstų teisinių abejonių, ar </w:t>
      </w:r>
      <w:r w:rsidR="00353008" w:rsidRPr="00D76C34">
        <w:rPr>
          <w:lang w:val="lt-LT"/>
        </w:rPr>
        <w:t>tarptautinių</w:t>
      </w:r>
      <w:r w:rsidR="00353008" w:rsidRPr="00D87582">
        <w:rPr>
          <w:lang w:val="lt-LT"/>
        </w:rPr>
        <w:t xml:space="preserve"> ir Europos Sąjungos </w:t>
      </w:r>
      <w:r w:rsidR="00235935">
        <w:rPr>
          <w:lang w:val="lt-LT"/>
        </w:rPr>
        <w:t>teisės normų</w:t>
      </w:r>
      <w:r w:rsidR="00353008" w:rsidRPr="00D87582">
        <w:rPr>
          <w:lang w:val="lt-LT"/>
        </w:rPr>
        <w:t xml:space="preserve"> kontekste</w:t>
      </w:r>
      <w:r w:rsidR="00014239">
        <w:rPr>
          <w:lang w:val="lt-LT"/>
        </w:rPr>
        <w:t xml:space="preserve"> tokia</w:t>
      </w:r>
      <w:r w:rsidR="00353008" w:rsidRPr="00D87582">
        <w:rPr>
          <w:lang w:val="lt-LT"/>
        </w:rPr>
        <w:t xml:space="preserve"> </w:t>
      </w:r>
      <w:r w:rsidR="003A133F">
        <w:rPr>
          <w:lang w:val="lt-LT"/>
        </w:rPr>
        <w:t>užsieniečių padėtis</w:t>
      </w:r>
      <w:r w:rsidR="003A133F" w:rsidRPr="00D87582">
        <w:rPr>
          <w:i/>
          <w:iCs/>
          <w:lang w:val="lt-LT"/>
        </w:rPr>
        <w:t xml:space="preserve"> de facto</w:t>
      </w:r>
      <w:r w:rsidR="003A133F" w:rsidRPr="00D87582">
        <w:rPr>
          <w:lang w:val="lt-LT"/>
        </w:rPr>
        <w:t xml:space="preserve"> </w:t>
      </w:r>
      <w:r w:rsidR="003A133F">
        <w:rPr>
          <w:lang w:val="lt-LT"/>
        </w:rPr>
        <w:t>nėra jų sulaikymas. P</w:t>
      </w:r>
      <w:r w:rsidR="00235935">
        <w:rPr>
          <w:lang w:val="lt-LT"/>
        </w:rPr>
        <w:t>astebėtina, kad</w:t>
      </w:r>
      <w:r w:rsidR="00353008" w:rsidRPr="00D87582">
        <w:rPr>
          <w:lang w:val="lt-LT"/>
        </w:rPr>
        <w:t xml:space="preserve"> </w:t>
      </w:r>
      <w:r w:rsidR="00235935" w:rsidRPr="00D76C34">
        <w:rPr>
          <w:lang w:val="lt-LT"/>
        </w:rPr>
        <w:t>terminas</w:t>
      </w:r>
      <w:r w:rsidR="00235935">
        <w:rPr>
          <w:i/>
          <w:iCs/>
          <w:lang w:val="lt-LT"/>
        </w:rPr>
        <w:t xml:space="preserve"> s</w:t>
      </w:r>
      <w:r w:rsidR="00353008" w:rsidRPr="00D87582">
        <w:rPr>
          <w:i/>
          <w:iCs/>
          <w:lang w:val="lt-LT"/>
        </w:rPr>
        <w:t>ulaikymas</w:t>
      </w:r>
      <w:r w:rsidR="00353008" w:rsidRPr="00D87582">
        <w:rPr>
          <w:lang w:val="lt-LT"/>
        </w:rPr>
        <w:t xml:space="preserve"> </w:t>
      </w:r>
      <w:r w:rsidR="00014239">
        <w:rPr>
          <w:lang w:val="lt-LT"/>
        </w:rPr>
        <w:t>yra</w:t>
      </w:r>
      <w:r w:rsidR="00014239" w:rsidRPr="00D87582">
        <w:rPr>
          <w:lang w:val="lt-LT"/>
        </w:rPr>
        <w:t xml:space="preserve"> savarankiška </w:t>
      </w:r>
      <w:r w:rsidR="00353008" w:rsidRPr="00D87582">
        <w:rPr>
          <w:lang w:val="lt-LT"/>
        </w:rPr>
        <w:t xml:space="preserve">Europos Sąjungos </w:t>
      </w:r>
      <w:r w:rsidR="00235935">
        <w:rPr>
          <w:lang w:val="lt-LT"/>
        </w:rPr>
        <w:t xml:space="preserve">teisės </w:t>
      </w:r>
      <w:r w:rsidR="00353008" w:rsidRPr="00D87582">
        <w:rPr>
          <w:lang w:val="lt-LT"/>
        </w:rPr>
        <w:t>sąvoka, todėl jos kvalifikavimas pagal nacionalinę teisę netur</w:t>
      </w:r>
      <w:r w:rsidR="00F64DFC">
        <w:rPr>
          <w:lang w:val="lt-LT"/>
        </w:rPr>
        <w:t>i</w:t>
      </w:r>
      <w:r w:rsidR="00353008" w:rsidRPr="00D87582">
        <w:rPr>
          <w:lang w:val="lt-LT"/>
        </w:rPr>
        <w:t xml:space="preserve"> įtakos </w:t>
      </w:r>
      <w:r w:rsidR="00F64DFC">
        <w:rPr>
          <w:lang w:val="lt-LT"/>
        </w:rPr>
        <w:t xml:space="preserve">situacijos </w:t>
      </w:r>
      <w:r w:rsidR="00353008" w:rsidRPr="00D87582">
        <w:rPr>
          <w:lang w:val="lt-LT"/>
        </w:rPr>
        <w:t>verti</w:t>
      </w:r>
      <w:r w:rsidR="00F64DFC">
        <w:rPr>
          <w:lang w:val="lt-LT"/>
        </w:rPr>
        <w:t>nimui</w:t>
      </w:r>
      <w:r w:rsidR="00353008" w:rsidRPr="00D87582">
        <w:rPr>
          <w:lang w:val="lt-LT"/>
        </w:rPr>
        <w:t xml:space="preserve"> </w:t>
      </w:r>
      <w:r w:rsidR="00E26E38" w:rsidRPr="00D87582">
        <w:rPr>
          <w:lang w:val="lt-LT"/>
        </w:rPr>
        <w:t xml:space="preserve">Europos Sąjungos </w:t>
      </w:r>
      <w:r w:rsidR="00E26E38" w:rsidRPr="00D76C34">
        <w:rPr>
          <w:lang w:val="lt-LT"/>
        </w:rPr>
        <w:t xml:space="preserve">Teisingumo Teisme, kuris yra </w:t>
      </w:r>
      <w:r w:rsidR="00F64DFC" w:rsidRPr="00D76C34">
        <w:rPr>
          <w:lang w:val="lt-LT"/>
        </w:rPr>
        <w:t>nurodęs</w:t>
      </w:r>
      <w:r w:rsidR="00E26E38" w:rsidRPr="00D76C34">
        <w:rPr>
          <w:lang w:val="lt-LT"/>
        </w:rPr>
        <w:t>, kad sulaikymo sąvoka apima bet kokią priemonę, kai prašymo prašytojas izoliuotai laikomas tam tikroje vietoje</w:t>
      </w:r>
      <w:r w:rsidR="00E26E38" w:rsidRPr="00D76C34">
        <w:rPr>
          <w:rStyle w:val="Puslapioinaosnuoroda"/>
          <w:lang w:val="lt-LT"/>
        </w:rPr>
        <w:footnoteReference w:id="1"/>
      </w:r>
      <w:r w:rsidR="00E26E38" w:rsidRPr="00D76C34">
        <w:rPr>
          <w:lang w:val="lt-LT"/>
        </w:rPr>
        <w:t xml:space="preserve">. </w:t>
      </w:r>
    </w:p>
    <w:p w14:paraId="5F69C44F" w14:textId="55680C6F" w:rsidR="0020683F" w:rsidRPr="00D76C34" w:rsidRDefault="007E255B" w:rsidP="00D76C34">
      <w:pPr>
        <w:ind w:firstLine="567"/>
        <w:jc w:val="both"/>
        <w:rPr>
          <w:strike/>
          <w:lang w:val="lt-LT"/>
        </w:rPr>
      </w:pPr>
      <w:r w:rsidRPr="00D76C34">
        <w:rPr>
          <w:lang w:val="lt-LT"/>
        </w:rPr>
        <w:t xml:space="preserve">Papildomai pastebėtina, kad </w:t>
      </w:r>
      <w:r w:rsidR="001E5D69" w:rsidRPr="00D76C34">
        <w:rPr>
          <w:lang w:val="lt-LT"/>
        </w:rPr>
        <w:t xml:space="preserve">atsižvelgiant prisiimtus Lietuvos Respublikos įsipareigojimus, </w:t>
      </w:r>
      <w:r w:rsidR="00AD158D">
        <w:rPr>
          <w:lang w:val="lt-LT"/>
        </w:rPr>
        <w:t>kylančius iš t</w:t>
      </w:r>
      <w:r w:rsidR="00AD158D" w:rsidRPr="00D76C34">
        <w:rPr>
          <w:lang w:val="lt-LT"/>
        </w:rPr>
        <w:t>arptautini</w:t>
      </w:r>
      <w:r w:rsidR="00AD158D">
        <w:rPr>
          <w:lang w:val="lt-LT"/>
        </w:rPr>
        <w:t>ų</w:t>
      </w:r>
      <w:r w:rsidR="00AD158D" w:rsidRPr="00D76C34">
        <w:rPr>
          <w:lang w:val="lt-LT"/>
        </w:rPr>
        <w:t xml:space="preserve"> </w:t>
      </w:r>
      <w:r w:rsidR="00AD158D">
        <w:rPr>
          <w:lang w:val="lt-LT"/>
        </w:rPr>
        <w:t xml:space="preserve">teisinių </w:t>
      </w:r>
      <w:r w:rsidR="00AD158D" w:rsidRPr="00D76C34">
        <w:rPr>
          <w:lang w:val="lt-LT"/>
        </w:rPr>
        <w:t>instrument</w:t>
      </w:r>
      <w:r w:rsidR="00AD158D">
        <w:rPr>
          <w:lang w:val="lt-LT"/>
        </w:rPr>
        <w:t>ų,</w:t>
      </w:r>
      <w:r w:rsidR="00AD158D" w:rsidRPr="00D76C34">
        <w:rPr>
          <w:lang w:val="lt-LT"/>
        </w:rPr>
        <w:t xml:space="preserve"> </w:t>
      </w:r>
      <w:r w:rsidR="001E5D69" w:rsidRPr="00D76C34">
        <w:rPr>
          <w:lang w:val="lt-LT"/>
        </w:rPr>
        <w:t xml:space="preserve">priėmus sprendimą, </w:t>
      </w:r>
      <w:r w:rsidR="00AA1182" w:rsidRPr="00D76C34">
        <w:rPr>
          <w:lang w:val="lt-LT"/>
        </w:rPr>
        <w:t>kuris</w:t>
      </w:r>
      <w:r w:rsidRPr="00D76C34">
        <w:rPr>
          <w:lang w:val="lt-LT"/>
        </w:rPr>
        <w:t xml:space="preserve"> savo poveikiu galėtų būti prilyginamas </w:t>
      </w:r>
      <w:r w:rsidR="00C66395" w:rsidRPr="00D76C34">
        <w:rPr>
          <w:lang w:val="lt-LT"/>
        </w:rPr>
        <w:t xml:space="preserve">sprendimui dėl </w:t>
      </w:r>
      <w:r w:rsidRPr="00D76C34">
        <w:rPr>
          <w:lang w:val="lt-LT"/>
        </w:rPr>
        <w:t>sulaikym</w:t>
      </w:r>
      <w:r w:rsidR="00C66395" w:rsidRPr="00D76C34">
        <w:rPr>
          <w:lang w:val="lt-LT"/>
        </w:rPr>
        <w:t>o</w:t>
      </w:r>
      <w:r w:rsidRPr="00D76C34">
        <w:rPr>
          <w:lang w:val="lt-LT"/>
        </w:rPr>
        <w:t>,</w:t>
      </w:r>
      <w:r w:rsidR="00E14099" w:rsidRPr="00D76C34">
        <w:rPr>
          <w:lang w:val="lt-LT"/>
        </w:rPr>
        <w:t xml:space="preserve"> </w:t>
      </w:r>
      <w:r w:rsidR="001E5D69" w:rsidRPr="00D76C34">
        <w:rPr>
          <w:lang w:val="lt-LT"/>
        </w:rPr>
        <w:t>tur</w:t>
      </w:r>
      <w:r w:rsidR="009473D3" w:rsidRPr="00D76C34">
        <w:rPr>
          <w:lang w:val="lt-LT"/>
        </w:rPr>
        <w:t xml:space="preserve">ėtų būti nustatyta skubi ir veiksminga tokio sprendimo teisminė kontrolė – </w:t>
      </w:r>
      <w:r w:rsidR="009473D3" w:rsidRPr="00D76C34">
        <w:rPr>
          <w:i/>
          <w:iCs/>
          <w:lang w:val="lt-LT"/>
        </w:rPr>
        <w:t>ex officio</w:t>
      </w:r>
      <w:r w:rsidR="009473D3" w:rsidRPr="00D76C34">
        <w:rPr>
          <w:lang w:val="lt-LT"/>
        </w:rPr>
        <w:t xml:space="preserve"> arba pagal asmens prašymą. </w:t>
      </w:r>
      <w:r w:rsidR="00342799" w:rsidRPr="00D76C34">
        <w:rPr>
          <w:lang w:val="lt-LT"/>
        </w:rPr>
        <w:t xml:space="preserve">Šiuo aspektu jau yra pasisakęs tiek Europos Žmogaus Teisių Teismas, tiek, </w:t>
      </w:r>
      <w:r w:rsidR="00C66395" w:rsidRPr="00D76C34">
        <w:rPr>
          <w:lang w:val="lt-LT"/>
        </w:rPr>
        <w:lastRenderedPageBreak/>
        <w:t xml:space="preserve">Europos Sąjungos Teisingumo Teismas, </w:t>
      </w:r>
      <w:r w:rsidR="00342799" w:rsidRPr="00D76C34">
        <w:rPr>
          <w:lang w:val="lt-LT"/>
        </w:rPr>
        <w:t>vertindamas Europos Sąjungos dokumentuose įtvirtintus reikalavimus</w:t>
      </w:r>
      <w:r w:rsidR="00342799" w:rsidRPr="00D76C34">
        <w:rPr>
          <w:rStyle w:val="Puslapioinaosnuoroda"/>
          <w:lang w:val="lt-LT"/>
        </w:rPr>
        <w:footnoteReference w:id="2"/>
      </w:r>
      <w:r w:rsidR="00342799" w:rsidRPr="00D76C34">
        <w:rPr>
          <w:lang w:val="lt-LT"/>
        </w:rPr>
        <w:t>.</w:t>
      </w:r>
      <w:r w:rsidR="00EA1CF3" w:rsidRPr="00D76C34">
        <w:rPr>
          <w:lang w:val="lt-LT"/>
        </w:rPr>
        <w:t xml:space="preserve"> </w:t>
      </w:r>
    </w:p>
    <w:p w14:paraId="21C0D1E4" w14:textId="0F610832" w:rsidR="00DF1FEC" w:rsidRPr="009D40CD" w:rsidRDefault="00342799" w:rsidP="007F451F">
      <w:pPr>
        <w:ind w:firstLine="567"/>
        <w:jc w:val="both"/>
        <w:rPr>
          <w:lang w:val="lt-LT"/>
        </w:rPr>
      </w:pPr>
      <w:r w:rsidRPr="00D76C34">
        <w:rPr>
          <w:i/>
          <w:iCs/>
          <w:lang w:val="lt-LT"/>
        </w:rPr>
        <w:t>Dėl asmens teisės į veiksmingą teisminę gynybą</w:t>
      </w:r>
      <w:r w:rsidRPr="00D76C34">
        <w:rPr>
          <w:lang w:val="lt-LT"/>
        </w:rPr>
        <w:t xml:space="preserve">. </w:t>
      </w:r>
      <w:r w:rsidR="004A1B79" w:rsidRPr="00D76C34">
        <w:rPr>
          <w:lang w:val="lt-LT"/>
        </w:rPr>
        <w:t xml:space="preserve">Įstatymo projekte išlieka galiojančiame </w:t>
      </w:r>
      <w:r w:rsidR="00D76C34">
        <w:rPr>
          <w:lang w:val="lt-LT"/>
        </w:rPr>
        <w:t>Įstatyme</w:t>
      </w:r>
      <w:r w:rsidR="004A1B79" w:rsidRPr="00D76C34">
        <w:rPr>
          <w:lang w:val="lt-LT"/>
        </w:rPr>
        <w:t xml:space="preserve"> įtvirtinti reikšmingi asmens teisės į veiksmingą teisminę gynybą ribojimai. Šiuo aspektu pirmiausiai pastebėtina,</w:t>
      </w:r>
      <w:r w:rsidR="004A1B79" w:rsidRPr="00D87582">
        <w:rPr>
          <w:lang w:val="lt-LT"/>
        </w:rPr>
        <w:t xml:space="preserve"> kad išskiriama kategorija asmenų, dėl kurių</w:t>
      </w:r>
      <w:r w:rsidR="00BE7D33">
        <w:rPr>
          <w:lang w:val="lt-LT"/>
        </w:rPr>
        <w:t xml:space="preserve"> teisinės padėties</w:t>
      </w:r>
      <w:r w:rsidR="004A1B79" w:rsidRPr="00D87582">
        <w:rPr>
          <w:lang w:val="lt-LT"/>
        </w:rPr>
        <w:t xml:space="preserve"> neapibrėžtą laikotarpį nėra priimamas joks administracinis sprendimas</w:t>
      </w:r>
      <w:r w:rsidR="00022EAA" w:rsidRPr="00D87582">
        <w:rPr>
          <w:lang w:val="lt-LT"/>
        </w:rPr>
        <w:t>.</w:t>
      </w:r>
      <w:r w:rsidR="004A1B79" w:rsidRPr="00D87582">
        <w:rPr>
          <w:lang w:val="lt-LT"/>
        </w:rPr>
        <w:t xml:space="preserve"> </w:t>
      </w:r>
      <w:r w:rsidR="00022EAA" w:rsidRPr="00D87582">
        <w:rPr>
          <w:lang w:val="lt-LT"/>
        </w:rPr>
        <w:t xml:space="preserve">Valstybės sieną </w:t>
      </w:r>
      <w:r w:rsidR="00055F01">
        <w:rPr>
          <w:lang w:val="lt-LT"/>
        </w:rPr>
        <w:t>neleistinoje vietoje</w:t>
      </w:r>
      <w:r w:rsidR="00022EAA" w:rsidRPr="00D87582">
        <w:rPr>
          <w:lang w:val="lt-LT"/>
        </w:rPr>
        <w:t xml:space="preserve"> kirtę asmenys</w:t>
      </w:r>
      <w:r w:rsidR="00EA5FAE" w:rsidRPr="00D87582">
        <w:rPr>
          <w:lang w:val="lt-LT"/>
        </w:rPr>
        <w:t>, nepateik</w:t>
      </w:r>
      <w:r w:rsidR="003B04B8">
        <w:rPr>
          <w:lang w:val="lt-LT"/>
        </w:rPr>
        <w:t>ę</w:t>
      </w:r>
      <w:r w:rsidR="00EA5FAE" w:rsidRPr="00D87582">
        <w:rPr>
          <w:lang w:val="lt-LT"/>
        </w:rPr>
        <w:t xml:space="preserve"> </w:t>
      </w:r>
      <w:r w:rsidR="004A1B79" w:rsidRPr="00D87582">
        <w:rPr>
          <w:lang w:val="lt-LT"/>
        </w:rPr>
        <w:t>tarptautinės apsaugos prašym</w:t>
      </w:r>
      <w:r w:rsidR="00EA5FAE" w:rsidRPr="00D87582">
        <w:rPr>
          <w:lang w:val="lt-LT"/>
        </w:rPr>
        <w:t>ų</w:t>
      </w:r>
      <w:r w:rsidR="004A1B79" w:rsidRPr="00D87582">
        <w:rPr>
          <w:lang w:val="lt-LT"/>
        </w:rPr>
        <w:t xml:space="preserve"> ar jų prašym</w:t>
      </w:r>
      <w:r w:rsidR="003B04B8">
        <w:rPr>
          <w:lang w:val="lt-LT"/>
        </w:rPr>
        <w:t>ų</w:t>
      </w:r>
      <w:r w:rsidR="004A1B79" w:rsidRPr="00D87582">
        <w:rPr>
          <w:lang w:val="lt-LT"/>
        </w:rPr>
        <w:t xml:space="preserve"> </w:t>
      </w:r>
      <w:r w:rsidR="00EA5FAE" w:rsidRPr="00D87582">
        <w:rPr>
          <w:lang w:val="lt-LT"/>
        </w:rPr>
        <w:t xml:space="preserve">nepriėmus, </w:t>
      </w:r>
      <w:r w:rsidR="004A1B79" w:rsidRPr="00D87582">
        <w:rPr>
          <w:lang w:val="lt-LT"/>
        </w:rPr>
        <w:t xml:space="preserve">apgyvendinami VSAT iki </w:t>
      </w:r>
      <w:r w:rsidR="003B04B8">
        <w:rPr>
          <w:lang w:val="lt-LT"/>
        </w:rPr>
        <w:t xml:space="preserve">tol, kol bus </w:t>
      </w:r>
      <w:r w:rsidR="004A1B79" w:rsidRPr="00D87582">
        <w:rPr>
          <w:lang w:val="lt-LT"/>
        </w:rPr>
        <w:t>priim</w:t>
      </w:r>
      <w:r w:rsidR="003B04B8">
        <w:rPr>
          <w:lang w:val="lt-LT"/>
        </w:rPr>
        <w:t>tas</w:t>
      </w:r>
      <w:r w:rsidR="004A1B79" w:rsidRPr="00D87582">
        <w:rPr>
          <w:lang w:val="lt-LT"/>
        </w:rPr>
        <w:t xml:space="preserve"> sprendimas dėl jų grąžinimo į kilmės valstybę ar išsiuntimo iš Lietuvos Respublikos. </w:t>
      </w:r>
      <w:r w:rsidR="003B04B8">
        <w:rPr>
          <w:lang w:val="lt-LT"/>
        </w:rPr>
        <w:t xml:space="preserve">Atsižvelgiant į tai, </w:t>
      </w:r>
      <w:r w:rsidR="007C0F00" w:rsidRPr="00D87582">
        <w:rPr>
          <w:lang w:val="lt-LT"/>
        </w:rPr>
        <w:t xml:space="preserve">jog </w:t>
      </w:r>
      <w:r w:rsidR="003B04B8">
        <w:rPr>
          <w:lang w:val="lt-LT"/>
        </w:rPr>
        <w:t>iš Įstatymo projekt</w:t>
      </w:r>
      <w:r w:rsidR="00D76C34">
        <w:rPr>
          <w:lang w:val="lt-LT"/>
        </w:rPr>
        <w:t>e</w:t>
      </w:r>
      <w:r w:rsidR="003B04B8">
        <w:rPr>
          <w:lang w:val="lt-LT"/>
        </w:rPr>
        <w:t xml:space="preserve"> siūlomo reguliavimo nuostatų </w:t>
      </w:r>
      <w:r w:rsidR="00DF1FEC" w:rsidRPr="00D87582">
        <w:rPr>
          <w:lang w:val="lt-LT"/>
        </w:rPr>
        <w:t>nėra aišku, ar (o jei taip</w:t>
      </w:r>
      <w:r w:rsidR="003B04B8">
        <w:rPr>
          <w:lang w:val="lt-LT"/>
        </w:rPr>
        <w:t>,</w:t>
      </w:r>
      <w:r w:rsidR="00DF1FEC" w:rsidRPr="00D87582">
        <w:rPr>
          <w:lang w:val="lt-LT"/>
        </w:rPr>
        <w:t xml:space="preserve"> tai kokiu būdu) tokie asmenys </w:t>
      </w:r>
      <w:r w:rsidR="003B04B8">
        <w:rPr>
          <w:lang w:val="lt-LT"/>
        </w:rPr>
        <w:t xml:space="preserve">apskritai </w:t>
      </w:r>
      <w:r w:rsidR="00DF1FEC" w:rsidRPr="00D87582">
        <w:rPr>
          <w:lang w:val="lt-LT"/>
        </w:rPr>
        <w:t xml:space="preserve">galėtų pateikti tarptautinės apsaugos prašymą, </w:t>
      </w:r>
      <w:r w:rsidR="00232492" w:rsidRPr="00D87582">
        <w:rPr>
          <w:lang w:val="lt-LT"/>
        </w:rPr>
        <w:t>taip pat</w:t>
      </w:r>
      <w:r w:rsidR="003B04B8">
        <w:rPr>
          <w:lang w:val="lt-LT"/>
        </w:rPr>
        <w:t>,</w:t>
      </w:r>
      <w:r w:rsidR="00232492" w:rsidRPr="00D87582">
        <w:rPr>
          <w:lang w:val="lt-LT"/>
        </w:rPr>
        <w:t xml:space="preserve"> ar </w:t>
      </w:r>
      <w:r w:rsidR="003174A3">
        <w:rPr>
          <w:lang w:val="lt-LT"/>
        </w:rPr>
        <w:t>būtų</w:t>
      </w:r>
      <w:r w:rsidR="00232492" w:rsidRPr="00D87582">
        <w:rPr>
          <w:lang w:val="lt-LT"/>
        </w:rPr>
        <w:t xml:space="preserve"> priimamas </w:t>
      </w:r>
      <w:r w:rsidR="00232492" w:rsidRPr="009D40CD">
        <w:rPr>
          <w:lang w:val="lt-LT"/>
        </w:rPr>
        <w:t>sprendimas dėl tokių asmenų apgyvendinimo</w:t>
      </w:r>
      <w:r w:rsidR="003174A3" w:rsidRPr="009D40CD">
        <w:rPr>
          <w:lang w:val="lt-LT"/>
        </w:rPr>
        <w:t>, neaiški tokio sprendimo</w:t>
      </w:r>
      <w:r w:rsidR="00232492" w:rsidRPr="009D40CD">
        <w:rPr>
          <w:lang w:val="lt-LT"/>
        </w:rPr>
        <w:t xml:space="preserve"> teisminė</w:t>
      </w:r>
      <w:r w:rsidR="003174A3" w:rsidRPr="009D40CD">
        <w:rPr>
          <w:lang w:val="lt-LT"/>
        </w:rPr>
        <w:t>s</w:t>
      </w:r>
      <w:r w:rsidR="00232492" w:rsidRPr="009D40CD">
        <w:rPr>
          <w:lang w:val="lt-LT"/>
        </w:rPr>
        <w:t xml:space="preserve"> patikr</w:t>
      </w:r>
      <w:r w:rsidR="003174A3" w:rsidRPr="009D40CD">
        <w:rPr>
          <w:lang w:val="lt-LT"/>
        </w:rPr>
        <w:t>os galimybė</w:t>
      </w:r>
      <w:r w:rsidR="00232492" w:rsidRPr="009D40CD">
        <w:rPr>
          <w:lang w:val="lt-LT"/>
        </w:rPr>
        <w:t xml:space="preserve">, šių asmenų teisė į veiksmingą teisminę gynybą </w:t>
      </w:r>
      <w:r w:rsidR="003174A3" w:rsidRPr="009D40CD">
        <w:rPr>
          <w:lang w:val="lt-LT"/>
        </w:rPr>
        <w:t>vertintina kaip</w:t>
      </w:r>
      <w:r w:rsidR="00232492" w:rsidRPr="009D40CD">
        <w:rPr>
          <w:lang w:val="lt-LT"/>
        </w:rPr>
        <w:t xml:space="preserve"> </w:t>
      </w:r>
      <w:r w:rsidR="003174A3" w:rsidRPr="009D40CD">
        <w:rPr>
          <w:lang w:val="lt-LT"/>
        </w:rPr>
        <w:t xml:space="preserve">nepagrįstai </w:t>
      </w:r>
      <w:r w:rsidR="00232492" w:rsidRPr="009D40CD">
        <w:rPr>
          <w:lang w:val="lt-LT"/>
        </w:rPr>
        <w:t xml:space="preserve">apribota, nes jiems suteikiama tik teisė skųsti </w:t>
      </w:r>
      <w:r w:rsidR="00CA68FB" w:rsidRPr="009D40CD">
        <w:rPr>
          <w:i/>
          <w:iCs/>
          <w:lang w:val="lt-LT"/>
        </w:rPr>
        <w:t>galutinį</w:t>
      </w:r>
      <w:r w:rsidR="00CA68FB" w:rsidRPr="009D40CD">
        <w:rPr>
          <w:lang w:val="lt-LT"/>
        </w:rPr>
        <w:t xml:space="preserve"> sprendimą dėl jų grąžinimo ar išsiuntimo</w:t>
      </w:r>
      <w:r w:rsidR="00CA68FB" w:rsidRPr="009D40CD">
        <w:rPr>
          <w:rStyle w:val="Puslapioinaosnuoroda"/>
          <w:lang w:val="lt-LT"/>
        </w:rPr>
        <w:footnoteReference w:id="3"/>
      </w:r>
      <w:r w:rsidR="00055F01" w:rsidRPr="009D40CD">
        <w:rPr>
          <w:lang w:val="lt-LT"/>
        </w:rPr>
        <w:t>.</w:t>
      </w:r>
    </w:p>
    <w:p w14:paraId="3526120E" w14:textId="5C04DF3A" w:rsidR="001925A3" w:rsidRDefault="001925A3" w:rsidP="00552212">
      <w:pPr>
        <w:ind w:firstLine="567"/>
        <w:jc w:val="both"/>
        <w:rPr>
          <w:lang w:val="lt-LT"/>
        </w:rPr>
      </w:pPr>
      <w:r w:rsidRPr="009D40CD">
        <w:rPr>
          <w:lang w:val="lt-LT"/>
        </w:rPr>
        <w:t xml:space="preserve">Antra, </w:t>
      </w:r>
      <w:r w:rsidR="00552212" w:rsidRPr="009D40CD">
        <w:rPr>
          <w:lang w:val="lt-LT"/>
        </w:rPr>
        <w:t xml:space="preserve">Įstatymo projekte </w:t>
      </w:r>
      <w:r w:rsidR="003174A3" w:rsidRPr="009D40CD">
        <w:rPr>
          <w:lang w:val="lt-LT"/>
        </w:rPr>
        <w:t>siūlom</w:t>
      </w:r>
      <w:r w:rsidR="00D76C34" w:rsidRPr="009D40CD">
        <w:rPr>
          <w:lang w:val="lt-LT"/>
        </w:rPr>
        <w:t>i</w:t>
      </w:r>
      <w:r w:rsidR="003174A3" w:rsidRPr="009D40CD">
        <w:rPr>
          <w:lang w:val="lt-LT"/>
        </w:rPr>
        <w:t xml:space="preserve"> </w:t>
      </w:r>
      <w:r w:rsidR="00552212" w:rsidRPr="009D40CD">
        <w:rPr>
          <w:lang w:val="lt-LT"/>
        </w:rPr>
        <w:t>nustatyti itin trump</w:t>
      </w:r>
      <w:r w:rsidR="00D76C34" w:rsidRPr="009D40CD">
        <w:rPr>
          <w:lang w:val="lt-LT"/>
        </w:rPr>
        <w:t xml:space="preserve">i </w:t>
      </w:r>
      <w:r w:rsidR="00552212" w:rsidRPr="009D40CD">
        <w:rPr>
          <w:lang w:val="lt-LT"/>
        </w:rPr>
        <w:t>termin</w:t>
      </w:r>
      <w:r w:rsidR="00D76C34" w:rsidRPr="009D40CD">
        <w:rPr>
          <w:lang w:val="lt-LT"/>
        </w:rPr>
        <w:t>ai</w:t>
      </w:r>
      <w:r w:rsidR="00552212" w:rsidRPr="009D40CD">
        <w:rPr>
          <w:lang w:val="lt-LT"/>
        </w:rPr>
        <w:t xml:space="preserve"> asmenims apskųsti priimtus sprendimus dėl atsisakymo suteikti</w:t>
      </w:r>
      <w:r w:rsidR="00552212" w:rsidRPr="00D87582">
        <w:rPr>
          <w:lang w:val="lt-LT"/>
        </w:rPr>
        <w:t xml:space="preserve"> </w:t>
      </w:r>
      <w:r w:rsidR="003174A3">
        <w:rPr>
          <w:lang w:val="lt-LT"/>
        </w:rPr>
        <w:t xml:space="preserve">jiems </w:t>
      </w:r>
      <w:r w:rsidR="00552212" w:rsidRPr="00D87582">
        <w:rPr>
          <w:lang w:val="lt-LT"/>
        </w:rPr>
        <w:t xml:space="preserve">prieglobstį, </w:t>
      </w:r>
      <w:r w:rsidR="003174A3">
        <w:rPr>
          <w:lang w:val="lt-LT"/>
        </w:rPr>
        <w:t xml:space="preserve">tokių asmenų </w:t>
      </w:r>
      <w:r w:rsidR="00552212" w:rsidRPr="00D87582">
        <w:rPr>
          <w:lang w:val="lt-LT"/>
        </w:rPr>
        <w:t>grąžinimo ar išsiuntimo</w:t>
      </w:r>
      <w:r w:rsidR="00AA2808" w:rsidRPr="00D87582">
        <w:rPr>
          <w:lang w:val="lt-LT"/>
        </w:rPr>
        <w:t xml:space="preserve"> kelia abejonių </w:t>
      </w:r>
      <w:r w:rsidR="008900EB" w:rsidRPr="00D87582">
        <w:rPr>
          <w:lang w:val="lt-LT"/>
        </w:rPr>
        <w:t xml:space="preserve">teisminės gynybos veiksmingumo </w:t>
      </w:r>
      <w:r w:rsidR="003174A3">
        <w:rPr>
          <w:lang w:val="lt-LT"/>
        </w:rPr>
        <w:t xml:space="preserve">užtikrinimo aspektu. Tokia išvada darytina atsižvelgus į tai, kad </w:t>
      </w:r>
      <w:r w:rsidR="00D56977">
        <w:rPr>
          <w:lang w:val="lt-LT"/>
        </w:rPr>
        <w:t xml:space="preserve">aptariami </w:t>
      </w:r>
      <w:r w:rsidR="00552212" w:rsidRPr="00D87582">
        <w:rPr>
          <w:lang w:val="lt-LT"/>
        </w:rPr>
        <w:t xml:space="preserve">sprendimai per 7 dienas nuo užsieniečių supažindinimo su jais </w:t>
      </w:r>
      <w:r w:rsidR="00EB765E" w:rsidRPr="00D87582">
        <w:rPr>
          <w:lang w:val="lt-LT"/>
        </w:rPr>
        <w:t>gali</w:t>
      </w:r>
      <w:r w:rsidR="00552212" w:rsidRPr="00D87582">
        <w:rPr>
          <w:lang w:val="lt-LT"/>
        </w:rPr>
        <w:t xml:space="preserve"> būti skundžiami privaloma ikiteismine tvarka kolegialiam organui, kuris tokį skundą išnagrinės per 7 dienas nuo skundo gavimo. Žinybine tvarka išnagrinėtą skundą bus galima per 7 dienas apskųsti apygardos administraciniam (pirmosios instancijos) teismui, kuris priims galutinį ir neskundžiamą sprendimą. Be to, žinybine tvarka išnagrinėto sprendimo apskundimas nesustabdys jo vykdymo, t. y. užsieniečiui nepalankaus sprendimo atveju jis vis vien galės būti išsiunčiamas iš šalies, net jei administracinių institucijų priimtas sprendimas nebūtų patikrintas teisme nė vieną kartą, nebent asmuo teismo prašytų taikyti </w:t>
      </w:r>
      <w:r w:rsidR="00552212" w:rsidRPr="001925A3">
        <w:rPr>
          <w:lang w:val="lt-LT"/>
        </w:rPr>
        <w:t>reikalavimo užtikrinimo priemones ir stabdyti administracinės institucijos sprendimo vykdymą.</w:t>
      </w:r>
      <w:r w:rsidR="00B55A36" w:rsidRPr="001925A3">
        <w:rPr>
          <w:lang w:val="lt-LT"/>
        </w:rPr>
        <w:t xml:space="preserve"> </w:t>
      </w:r>
    </w:p>
    <w:p w14:paraId="6A0145A0" w14:textId="623C2CF3" w:rsidR="00552212" w:rsidRPr="00462121" w:rsidRDefault="00B55A36" w:rsidP="00552212">
      <w:pPr>
        <w:ind w:firstLine="567"/>
        <w:jc w:val="both"/>
        <w:rPr>
          <w:lang w:val="lt-LT"/>
        </w:rPr>
      </w:pPr>
      <w:r w:rsidRPr="001925A3">
        <w:rPr>
          <w:lang w:val="lt-LT"/>
        </w:rPr>
        <w:t xml:space="preserve">Vertinant šį teisinį reguliavimą tarptautinių </w:t>
      </w:r>
      <w:r w:rsidR="00DA1C1C" w:rsidRPr="001925A3">
        <w:rPr>
          <w:lang w:val="lt-LT"/>
        </w:rPr>
        <w:t xml:space="preserve">ir </w:t>
      </w:r>
      <w:r w:rsidR="00071C46" w:rsidRPr="001925A3">
        <w:rPr>
          <w:lang w:val="lt-LT"/>
        </w:rPr>
        <w:t xml:space="preserve">Europos </w:t>
      </w:r>
      <w:r w:rsidR="00462121" w:rsidRPr="001925A3">
        <w:rPr>
          <w:lang w:val="lt-LT"/>
        </w:rPr>
        <w:t xml:space="preserve">Sąjungos teisės aktų kontekste, </w:t>
      </w:r>
      <w:r w:rsidR="001925A3" w:rsidRPr="001925A3">
        <w:rPr>
          <w:lang w:val="lt-LT"/>
        </w:rPr>
        <w:t xml:space="preserve">pažymėtina, kad administracinės institucijos sprendimo „automatinis“ sustabdymas iki jis bus patikrintas teismine tvarka yra itin svarbi </w:t>
      </w:r>
      <w:r w:rsidR="00D56977">
        <w:rPr>
          <w:lang w:val="lt-LT"/>
        </w:rPr>
        <w:t xml:space="preserve">tarptautinių teisminių institucijų praktikoje išplėtota </w:t>
      </w:r>
      <w:r w:rsidR="001925A3" w:rsidRPr="001925A3">
        <w:rPr>
          <w:lang w:val="lt-LT"/>
        </w:rPr>
        <w:t xml:space="preserve">procesinė garantija, nuo kurios </w:t>
      </w:r>
      <w:r w:rsidR="00055F01">
        <w:rPr>
          <w:lang w:val="lt-LT"/>
        </w:rPr>
        <w:t>Įstatymo projektu</w:t>
      </w:r>
      <w:r w:rsidR="00D56977">
        <w:rPr>
          <w:lang w:val="lt-LT"/>
        </w:rPr>
        <w:t xml:space="preserve"> </w:t>
      </w:r>
      <w:r w:rsidR="001925A3" w:rsidRPr="001925A3">
        <w:rPr>
          <w:lang w:val="lt-LT"/>
        </w:rPr>
        <w:t xml:space="preserve">nukrypstama. Taip pat, svarstytina, ar </w:t>
      </w:r>
      <w:r w:rsidR="00D56977">
        <w:rPr>
          <w:lang w:val="lt-LT"/>
        </w:rPr>
        <w:t>aptartomis Įstatymo projekto nuostatomis siūlomi įtvirtinti</w:t>
      </w:r>
      <w:r w:rsidR="001925A3" w:rsidRPr="001925A3">
        <w:rPr>
          <w:lang w:val="lt-LT"/>
        </w:rPr>
        <w:t xml:space="preserve"> terminai galėtų būti laikomi užtikrinančiais asmens teisę į veiksmingą teisminę gynybą, atsižvelgiant į tai, kad </w:t>
      </w:r>
      <w:r w:rsidR="00D56977">
        <w:rPr>
          <w:lang w:val="lt-LT"/>
        </w:rPr>
        <w:t xml:space="preserve">tam, jog galėtų pateikti </w:t>
      </w:r>
      <w:r w:rsidR="001925A3" w:rsidRPr="001925A3">
        <w:rPr>
          <w:lang w:val="lt-LT"/>
        </w:rPr>
        <w:t>skund</w:t>
      </w:r>
      <w:r w:rsidR="00D56977">
        <w:rPr>
          <w:lang w:val="lt-LT"/>
        </w:rPr>
        <w:t>ą,</w:t>
      </w:r>
      <w:r w:rsidR="001925A3" w:rsidRPr="001925A3">
        <w:rPr>
          <w:lang w:val="lt-LT"/>
        </w:rPr>
        <w:t xml:space="preserve"> asmuo ne tik turėtų susipažinti su </w:t>
      </w:r>
      <w:r w:rsidR="00D56977">
        <w:rPr>
          <w:lang w:val="lt-LT"/>
        </w:rPr>
        <w:t xml:space="preserve">norimu apskųsti </w:t>
      </w:r>
      <w:r w:rsidR="001925A3" w:rsidRPr="001925A3">
        <w:rPr>
          <w:lang w:val="lt-LT"/>
        </w:rPr>
        <w:t>sprendimu, teisinės pagalbos galimybėmis, parengti skundą ir jį pateikti, tačiau būtų reikalingas ir vertėjas.</w:t>
      </w:r>
      <w:r w:rsidR="001925A3">
        <w:rPr>
          <w:lang w:val="lt-LT"/>
        </w:rPr>
        <w:t xml:space="preserve"> </w:t>
      </w:r>
    </w:p>
    <w:p w14:paraId="1687941B" w14:textId="7AED3C75" w:rsidR="00074DF9" w:rsidRPr="00D87582" w:rsidRDefault="001925A3" w:rsidP="007830A5">
      <w:pPr>
        <w:ind w:firstLine="567"/>
        <w:jc w:val="both"/>
        <w:rPr>
          <w:lang w:val="lt-LT"/>
        </w:rPr>
      </w:pPr>
      <w:r>
        <w:rPr>
          <w:lang w:val="lt-LT"/>
        </w:rPr>
        <w:t xml:space="preserve">Trečia, </w:t>
      </w:r>
      <w:r w:rsidR="00074DF9" w:rsidRPr="00462121">
        <w:rPr>
          <w:lang w:val="lt-LT"/>
        </w:rPr>
        <w:t xml:space="preserve">Įstatymo projekte keliose vietose yra vartojamas terminas </w:t>
      </w:r>
      <w:r w:rsidR="00074DF9" w:rsidRPr="00462121">
        <w:rPr>
          <w:i/>
          <w:iCs/>
          <w:lang w:val="lt-LT"/>
        </w:rPr>
        <w:t>galutinis sprendimas</w:t>
      </w:r>
      <w:r w:rsidR="00074DF9" w:rsidRPr="00462121">
        <w:rPr>
          <w:lang w:val="lt-LT"/>
        </w:rPr>
        <w:t xml:space="preserve"> (140</w:t>
      </w:r>
      <w:r w:rsidR="00074DF9" w:rsidRPr="00462121">
        <w:rPr>
          <w:vertAlign w:val="superscript"/>
          <w:lang w:val="lt-LT"/>
        </w:rPr>
        <w:t>8</w:t>
      </w:r>
      <w:r w:rsidR="00074DF9" w:rsidRPr="00462121">
        <w:rPr>
          <w:lang w:val="lt-LT"/>
        </w:rPr>
        <w:t xml:space="preserve"> straipsnio 4 ir 6 dalys), tačiau</w:t>
      </w:r>
      <w:r w:rsidR="00074DF9" w:rsidRPr="00D87582">
        <w:rPr>
          <w:lang w:val="lt-LT"/>
        </w:rPr>
        <w:t xml:space="preserve"> nėra aišku, apie kurios institucijos ir kokį konkretų sprendimą yra kalbama. Iš Įstatymo projekt</w:t>
      </w:r>
      <w:r w:rsidR="00645327" w:rsidRPr="00D87582">
        <w:rPr>
          <w:lang w:val="lt-LT"/>
        </w:rPr>
        <w:t>o</w:t>
      </w:r>
      <w:r w:rsidR="00074DF9" w:rsidRPr="00D87582">
        <w:rPr>
          <w:lang w:val="lt-LT"/>
        </w:rPr>
        <w:t xml:space="preserve"> aiškinamojo rašto matyti, kad tok</w:t>
      </w:r>
      <w:r w:rsidR="00931815" w:rsidRPr="00D87582">
        <w:rPr>
          <w:lang w:val="lt-LT"/>
        </w:rPr>
        <w:t>i</w:t>
      </w:r>
      <w:r w:rsidR="00244B76" w:rsidRPr="00D87582">
        <w:rPr>
          <w:lang w:val="lt-LT"/>
        </w:rPr>
        <w:t>ais</w:t>
      </w:r>
      <w:r w:rsidR="00931815" w:rsidRPr="00D87582">
        <w:rPr>
          <w:lang w:val="lt-LT"/>
        </w:rPr>
        <w:t xml:space="preserve"> sprendim</w:t>
      </w:r>
      <w:r w:rsidR="00244B76" w:rsidRPr="00D87582">
        <w:rPr>
          <w:lang w:val="lt-LT"/>
        </w:rPr>
        <w:t>ais</w:t>
      </w:r>
      <w:r w:rsidR="00931815" w:rsidRPr="00D87582">
        <w:rPr>
          <w:lang w:val="lt-LT"/>
        </w:rPr>
        <w:t xml:space="preserve"> siekia</w:t>
      </w:r>
      <w:r w:rsidR="00244B76" w:rsidRPr="00D87582">
        <w:rPr>
          <w:lang w:val="lt-LT"/>
        </w:rPr>
        <w:t>ma</w:t>
      </w:r>
      <w:r w:rsidR="00931815" w:rsidRPr="00D87582">
        <w:rPr>
          <w:lang w:val="lt-LT"/>
        </w:rPr>
        <w:t xml:space="preserve"> laikyti M</w:t>
      </w:r>
      <w:r w:rsidR="00074DF9" w:rsidRPr="00D87582">
        <w:rPr>
          <w:lang w:val="lt-LT"/>
        </w:rPr>
        <w:t>igracijos departament</w:t>
      </w:r>
      <w:r w:rsidR="00931815" w:rsidRPr="00D87582">
        <w:rPr>
          <w:lang w:val="lt-LT"/>
        </w:rPr>
        <w:t>o</w:t>
      </w:r>
      <w:r w:rsidR="00074DF9" w:rsidRPr="00D87582">
        <w:rPr>
          <w:lang w:val="lt-LT"/>
        </w:rPr>
        <w:t xml:space="preserve"> </w:t>
      </w:r>
      <w:r w:rsidR="00931815" w:rsidRPr="00D87582">
        <w:rPr>
          <w:lang w:val="lt-LT"/>
        </w:rPr>
        <w:t>ir</w:t>
      </w:r>
      <w:r w:rsidR="00074DF9" w:rsidRPr="00D87582">
        <w:rPr>
          <w:lang w:val="lt-LT"/>
        </w:rPr>
        <w:t xml:space="preserve"> </w:t>
      </w:r>
      <w:r w:rsidR="0033547F" w:rsidRPr="00D87582">
        <w:rPr>
          <w:lang w:val="lt-LT"/>
        </w:rPr>
        <w:t>VSAT</w:t>
      </w:r>
      <w:r w:rsidR="00074DF9" w:rsidRPr="00D87582">
        <w:rPr>
          <w:lang w:val="lt-LT"/>
        </w:rPr>
        <w:t xml:space="preserve"> </w:t>
      </w:r>
      <w:r w:rsidR="00931815" w:rsidRPr="00D87582">
        <w:rPr>
          <w:lang w:val="lt-LT"/>
        </w:rPr>
        <w:t>s</w:t>
      </w:r>
      <w:r w:rsidR="00EB765E" w:rsidRPr="00D87582">
        <w:rPr>
          <w:lang w:val="lt-LT"/>
        </w:rPr>
        <w:t>pr</w:t>
      </w:r>
      <w:r w:rsidR="00931815" w:rsidRPr="00D87582">
        <w:rPr>
          <w:lang w:val="lt-LT"/>
        </w:rPr>
        <w:t>endimus</w:t>
      </w:r>
      <w:r w:rsidR="00074DF9" w:rsidRPr="00D87582">
        <w:rPr>
          <w:lang w:val="lt-LT"/>
        </w:rPr>
        <w:t>,</w:t>
      </w:r>
      <w:r w:rsidR="00CD3781" w:rsidRPr="00D87582">
        <w:rPr>
          <w:lang w:val="lt-LT"/>
        </w:rPr>
        <w:t xml:space="preserve"> kuriais išsprendžiam</w:t>
      </w:r>
      <w:r w:rsidR="00B8373C" w:rsidRPr="00D87582">
        <w:rPr>
          <w:lang w:val="lt-LT"/>
        </w:rPr>
        <w:t xml:space="preserve">i klausimai dėl asmens tarptautinės apsaugos prašymo, </w:t>
      </w:r>
      <w:r w:rsidR="00101996">
        <w:rPr>
          <w:lang w:val="lt-LT"/>
        </w:rPr>
        <w:t>asmens</w:t>
      </w:r>
      <w:r w:rsidR="00B8373C" w:rsidRPr="00D87582">
        <w:rPr>
          <w:lang w:val="lt-LT"/>
        </w:rPr>
        <w:t xml:space="preserve"> grąžinimo</w:t>
      </w:r>
      <w:r w:rsidR="00244B76" w:rsidRPr="00D87582">
        <w:rPr>
          <w:lang w:val="lt-LT"/>
        </w:rPr>
        <w:t xml:space="preserve"> </w:t>
      </w:r>
      <w:r w:rsidR="00101996">
        <w:rPr>
          <w:lang w:val="lt-LT"/>
        </w:rPr>
        <w:t xml:space="preserve">į kilmės valstybę </w:t>
      </w:r>
      <w:r w:rsidR="00244B76" w:rsidRPr="00D87582">
        <w:rPr>
          <w:lang w:val="lt-LT"/>
        </w:rPr>
        <w:t>ar</w:t>
      </w:r>
      <w:r w:rsidR="00B8373C" w:rsidRPr="00D87582">
        <w:rPr>
          <w:lang w:val="lt-LT"/>
        </w:rPr>
        <w:t xml:space="preserve"> išsiuntimo</w:t>
      </w:r>
      <w:r w:rsidR="00244B76" w:rsidRPr="00D87582">
        <w:rPr>
          <w:lang w:val="lt-LT"/>
        </w:rPr>
        <w:t xml:space="preserve"> iš Lietuvos Respublikos</w:t>
      </w:r>
      <w:r w:rsidR="00B8373C" w:rsidRPr="00D87582">
        <w:rPr>
          <w:lang w:val="lt-LT"/>
        </w:rPr>
        <w:t xml:space="preserve">. </w:t>
      </w:r>
      <w:r w:rsidR="004F2E75" w:rsidRPr="00D87582">
        <w:rPr>
          <w:lang w:val="lt-LT"/>
        </w:rPr>
        <w:t xml:space="preserve">Vis dėlto, iš </w:t>
      </w:r>
      <w:r w:rsidR="00074DF9" w:rsidRPr="00D87582">
        <w:rPr>
          <w:lang w:val="lt-LT"/>
        </w:rPr>
        <w:t>Įstatymo projekt</w:t>
      </w:r>
      <w:r w:rsidR="00256753" w:rsidRPr="00D87582">
        <w:rPr>
          <w:lang w:val="lt-LT"/>
        </w:rPr>
        <w:t>e išdėstyto reguliavimo</w:t>
      </w:r>
      <w:r w:rsidR="00074DF9" w:rsidRPr="00D87582">
        <w:rPr>
          <w:lang w:val="lt-LT"/>
        </w:rPr>
        <w:t xml:space="preserve"> </w:t>
      </w:r>
      <w:r w:rsidR="00E626F8" w:rsidRPr="00D87582">
        <w:rPr>
          <w:lang w:val="lt-LT"/>
        </w:rPr>
        <w:t>nėra</w:t>
      </w:r>
      <w:r w:rsidR="009E0908" w:rsidRPr="00D87582">
        <w:rPr>
          <w:lang w:val="lt-LT"/>
        </w:rPr>
        <w:t xml:space="preserve"> vienareikšmiškai</w:t>
      </w:r>
      <w:r w:rsidR="00E626F8" w:rsidRPr="00D87582">
        <w:rPr>
          <w:lang w:val="lt-LT"/>
        </w:rPr>
        <w:t xml:space="preserve"> aišku, </w:t>
      </w:r>
      <w:r w:rsidR="009E0908" w:rsidRPr="00D87582">
        <w:rPr>
          <w:lang w:val="lt-LT"/>
        </w:rPr>
        <w:t xml:space="preserve">kad </w:t>
      </w:r>
      <w:r w:rsidR="009E0908" w:rsidRPr="00D87582">
        <w:rPr>
          <w:i/>
          <w:iCs/>
          <w:lang w:val="lt-LT"/>
        </w:rPr>
        <w:t>galutiniu</w:t>
      </w:r>
      <w:r w:rsidR="009E0908" w:rsidRPr="00D87582">
        <w:rPr>
          <w:lang w:val="lt-LT"/>
        </w:rPr>
        <w:t xml:space="preserve"> laikytinas administracinės institucijos sprendimas ir </w:t>
      </w:r>
      <w:r w:rsidR="00256753" w:rsidRPr="00D87582">
        <w:rPr>
          <w:lang w:val="lt-LT"/>
        </w:rPr>
        <w:t>išlieka abejonė</w:t>
      </w:r>
      <w:r w:rsidR="00AF1C4F" w:rsidRPr="00D87582">
        <w:rPr>
          <w:lang w:val="lt-LT"/>
        </w:rPr>
        <w:t>, ar galutiniu sprendimu neturėtų būti laikomas jau teismo patikrintas administracinės institucijos sprendimas (Įstatymo projekto 140</w:t>
      </w:r>
      <w:r w:rsidR="00E3333A" w:rsidRPr="00D87582">
        <w:rPr>
          <w:vertAlign w:val="superscript"/>
          <w:lang w:val="lt-LT"/>
        </w:rPr>
        <w:t>21</w:t>
      </w:r>
      <w:r w:rsidR="00E3333A" w:rsidRPr="00D87582">
        <w:rPr>
          <w:lang w:val="lt-LT"/>
        </w:rPr>
        <w:t xml:space="preserve"> straipsnis).</w:t>
      </w:r>
      <w:r w:rsidR="007830A5" w:rsidRPr="00D87582">
        <w:rPr>
          <w:lang w:val="lt-LT"/>
        </w:rPr>
        <w:t xml:space="preserve"> </w:t>
      </w:r>
      <w:r w:rsidR="003C51CE" w:rsidRPr="00D87582">
        <w:rPr>
          <w:lang w:val="lt-LT"/>
        </w:rPr>
        <w:t xml:space="preserve">Atsižvelgiant į tai, siūlytina </w:t>
      </w:r>
      <w:r w:rsidR="007830A5" w:rsidRPr="00D87582">
        <w:rPr>
          <w:lang w:val="lt-LT"/>
        </w:rPr>
        <w:t xml:space="preserve">tikslinti </w:t>
      </w:r>
      <w:r w:rsidR="003C51CE" w:rsidRPr="00D87582">
        <w:rPr>
          <w:lang w:val="lt-LT"/>
        </w:rPr>
        <w:t>Įstatymo projekt</w:t>
      </w:r>
      <w:r w:rsidR="007830A5" w:rsidRPr="00D87582">
        <w:rPr>
          <w:lang w:val="lt-LT"/>
        </w:rPr>
        <w:t>o nuostatas</w:t>
      </w:r>
      <w:r w:rsidR="003C51CE" w:rsidRPr="00D87582">
        <w:rPr>
          <w:lang w:val="lt-LT"/>
        </w:rPr>
        <w:t xml:space="preserve"> teisinio aiškumo aspektu. </w:t>
      </w:r>
    </w:p>
    <w:p w14:paraId="2AD696E5" w14:textId="390DF0AB" w:rsidR="00552212" w:rsidRPr="00101996" w:rsidRDefault="00552212" w:rsidP="00F774CA">
      <w:pPr>
        <w:ind w:firstLine="567"/>
        <w:jc w:val="both"/>
        <w:rPr>
          <w:lang w:val="lt-LT"/>
        </w:rPr>
      </w:pPr>
      <w:r w:rsidRPr="00101996">
        <w:rPr>
          <w:lang w:val="lt-LT"/>
        </w:rPr>
        <w:lastRenderedPageBreak/>
        <w:t>Dėl užsieniečio skundo</w:t>
      </w:r>
      <w:r w:rsidR="00055F01" w:rsidRPr="00101996">
        <w:rPr>
          <w:lang w:val="lt-LT"/>
        </w:rPr>
        <w:t xml:space="preserve"> žinybinės (institucinės) peržiūros privaloma ikiteismine tvarka, </w:t>
      </w:r>
      <w:r w:rsidRPr="00101996">
        <w:rPr>
          <w:lang w:val="lt-LT"/>
        </w:rPr>
        <w:t>pastebėtina, kad nors Įstatymo projekte (140</w:t>
      </w:r>
      <w:r w:rsidRPr="00101996">
        <w:rPr>
          <w:vertAlign w:val="superscript"/>
          <w:lang w:val="lt-LT"/>
        </w:rPr>
        <w:t>17</w:t>
      </w:r>
      <w:r w:rsidR="00014239">
        <w:rPr>
          <w:lang w:val="lt-LT"/>
        </w:rPr>
        <w:t xml:space="preserve"> </w:t>
      </w:r>
      <w:r w:rsidRPr="00101996">
        <w:rPr>
          <w:lang w:val="lt-LT"/>
        </w:rPr>
        <w:t xml:space="preserve">straipsnio 4 dalyje) </w:t>
      </w:r>
      <w:r w:rsidR="00A465FE" w:rsidRPr="00101996">
        <w:rPr>
          <w:lang w:val="lt-LT"/>
        </w:rPr>
        <w:t>įtvirtintas</w:t>
      </w:r>
      <w:r w:rsidRPr="00101996">
        <w:rPr>
          <w:lang w:val="lt-LT"/>
        </w:rPr>
        <w:t xml:space="preserve"> principas, </w:t>
      </w:r>
      <w:r w:rsidR="00055F01" w:rsidRPr="00101996">
        <w:rPr>
          <w:lang w:val="lt-LT"/>
        </w:rPr>
        <w:t>jog</w:t>
      </w:r>
      <w:r w:rsidRPr="00101996">
        <w:rPr>
          <w:lang w:val="lt-LT"/>
        </w:rPr>
        <w:t xml:space="preserve"> nagrinėdamas skundus kolegialus organas veikia nepriklausomai, išvengiama situacijų, kai skundą nagrinėja sprendimą priėmęs asmuo, </w:t>
      </w:r>
      <w:r w:rsidR="00055F01" w:rsidRPr="00101996">
        <w:rPr>
          <w:lang w:val="lt-LT"/>
        </w:rPr>
        <w:t xml:space="preserve">Įstatymo projekte nėra aptariami kiti su šios institucijos veikla susiję aspektai, tai paliekant sureguliuoti poįstatyminiais teisės aktais. </w:t>
      </w:r>
      <w:r w:rsidR="00A8015D" w:rsidRPr="00101996">
        <w:rPr>
          <w:lang w:val="lt-LT"/>
        </w:rPr>
        <w:t xml:space="preserve">Ikiteisminės privalomos </w:t>
      </w:r>
      <w:r w:rsidR="00101996" w:rsidRPr="00101996">
        <w:rPr>
          <w:lang w:val="lt-LT"/>
        </w:rPr>
        <w:t>nagrinėjimo</w:t>
      </w:r>
      <w:r w:rsidR="00A8015D" w:rsidRPr="00101996">
        <w:rPr>
          <w:lang w:val="lt-LT"/>
        </w:rPr>
        <w:t xml:space="preserve"> tvarkos atveju įstatymo lygmeniu taip pat </w:t>
      </w:r>
      <w:r w:rsidR="00101996">
        <w:rPr>
          <w:lang w:val="lt-LT"/>
        </w:rPr>
        <w:t>turėtų</w:t>
      </w:r>
      <w:r w:rsidR="00A8015D" w:rsidRPr="00101996">
        <w:rPr>
          <w:lang w:val="lt-LT"/>
        </w:rPr>
        <w:t xml:space="preserve"> būti reguliuojamas ir ginčo nagrinėjimo procesas, nustatomos asmenų procesinės teisės. </w:t>
      </w:r>
    </w:p>
    <w:p w14:paraId="0B5316F0" w14:textId="07C8AFD3" w:rsidR="00836AAA" w:rsidRPr="009D40CD" w:rsidRDefault="003C51CE" w:rsidP="003C51CE">
      <w:pPr>
        <w:ind w:firstLine="567"/>
        <w:jc w:val="both"/>
        <w:rPr>
          <w:lang w:val="lt-LT"/>
        </w:rPr>
      </w:pPr>
      <w:r w:rsidRPr="00D87582">
        <w:rPr>
          <w:lang w:val="lt-LT"/>
        </w:rPr>
        <w:t xml:space="preserve">Atsižvelgiant į tai, kas nurodyta, siūlytume įvertinti nurodytas aplinkybes ir apsvarstyti galimybę taikyti procedūras, kurios </w:t>
      </w:r>
      <w:r w:rsidR="00EF29C8" w:rsidRPr="00D87582">
        <w:rPr>
          <w:lang w:val="lt-LT"/>
        </w:rPr>
        <w:t xml:space="preserve">ne tik </w:t>
      </w:r>
      <w:r w:rsidRPr="00D87582">
        <w:rPr>
          <w:lang w:val="lt-LT"/>
        </w:rPr>
        <w:t>padėtų užtikrinti sklandų sprendimų dėl užsieniečių teisinės padėties priėmimą</w:t>
      </w:r>
      <w:r w:rsidR="00836AAA">
        <w:rPr>
          <w:lang w:val="lt-LT"/>
        </w:rPr>
        <w:t>, bet</w:t>
      </w:r>
      <w:r w:rsidR="00EB765E" w:rsidRPr="00D87582">
        <w:rPr>
          <w:lang w:val="lt-LT"/>
        </w:rPr>
        <w:t xml:space="preserve"> ir</w:t>
      </w:r>
      <w:r w:rsidRPr="00D87582">
        <w:rPr>
          <w:lang w:val="lt-LT"/>
        </w:rPr>
        <w:t xml:space="preserve"> </w:t>
      </w:r>
      <w:r w:rsidR="007F451F" w:rsidRPr="00D87582">
        <w:rPr>
          <w:lang w:val="lt-LT"/>
        </w:rPr>
        <w:t>sumažint</w:t>
      </w:r>
      <w:r w:rsidR="00EB765E" w:rsidRPr="00D87582">
        <w:rPr>
          <w:lang w:val="lt-LT"/>
        </w:rPr>
        <w:t>ų</w:t>
      </w:r>
      <w:r w:rsidR="007F451F" w:rsidRPr="00D87582">
        <w:rPr>
          <w:lang w:val="lt-LT"/>
        </w:rPr>
        <w:t xml:space="preserve"> rizikas</w:t>
      </w:r>
      <w:r w:rsidR="00AD158D">
        <w:rPr>
          <w:lang w:val="lt-LT"/>
        </w:rPr>
        <w:t xml:space="preserve">, kad </w:t>
      </w:r>
      <w:r w:rsidR="00AD158D" w:rsidRPr="00D87582">
        <w:rPr>
          <w:lang w:val="lt-LT"/>
        </w:rPr>
        <w:t>supranacionalini</w:t>
      </w:r>
      <w:r w:rsidR="00AD158D">
        <w:rPr>
          <w:lang w:val="lt-LT"/>
        </w:rPr>
        <w:t>ai</w:t>
      </w:r>
      <w:r w:rsidR="00AD158D" w:rsidRPr="00D87582">
        <w:rPr>
          <w:lang w:val="lt-LT"/>
        </w:rPr>
        <w:t xml:space="preserve"> teism</w:t>
      </w:r>
      <w:r w:rsidR="00AD158D">
        <w:rPr>
          <w:lang w:val="lt-LT"/>
        </w:rPr>
        <w:t>ai</w:t>
      </w:r>
      <w:r w:rsidR="00AD158D" w:rsidRPr="00D87582">
        <w:rPr>
          <w:lang w:val="lt-LT"/>
        </w:rPr>
        <w:t xml:space="preserve"> konstatuo</w:t>
      </w:r>
      <w:r w:rsidR="00836AAA">
        <w:rPr>
          <w:lang w:val="lt-LT"/>
        </w:rPr>
        <w:t>tų</w:t>
      </w:r>
      <w:r w:rsidR="00AD158D" w:rsidRPr="00D87582">
        <w:rPr>
          <w:lang w:val="lt-LT"/>
        </w:rPr>
        <w:t xml:space="preserve"> </w:t>
      </w:r>
      <w:r w:rsidR="007F451F" w:rsidRPr="00D87582">
        <w:rPr>
          <w:lang w:val="lt-LT"/>
        </w:rPr>
        <w:t xml:space="preserve">Lietuvos Respublikos </w:t>
      </w:r>
      <w:r w:rsidR="00AD158D" w:rsidRPr="009D40CD">
        <w:rPr>
          <w:lang w:val="lt-LT"/>
        </w:rPr>
        <w:t>daromus ar padarytus pažeidimus</w:t>
      </w:r>
      <w:r w:rsidR="00EB765E" w:rsidRPr="009D40CD">
        <w:rPr>
          <w:lang w:val="lt-LT"/>
        </w:rPr>
        <w:t>, o taip pat tikslinti projektą teisinio aiškumo aspektu</w:t>
      </w:r>
      <w:r w:rsidR="007F451F" w:rsidRPr="009D40CD">
        <w:rPr>
          <w:lang w:val="lt-LT"/>
        </w:rPr>
        <w:t>.</w:t>
      </w:r>
      <w:r w:rsidR="008935A4" w:rsidRPr="009D40CD">
        <w:rPr>
          <w:lang w:val="lt-LT"/>
        </w:rPr>
        <w:t xml:space="preserve"> </w:t>
      </w:r>
    </w:p>
    <w:p w14:paraId="7790719F" w14:textId="03666C3D" w:rsidR="007F451F" w:rsidRPr="00D87582" w:rsidRDefault="008452F5" w:rsidP="003C51CE">
      <w:pPr>
        <w:ind w:firstLine="567"/>
        <w:jc w:val="both"/>
        <w:rPr>
          <w:lang w:val="lt-LT"/>
        </w:rPr>
      </w:pPr>
      <w:r w:rsidRPr="009D40CD">
        <w:rPr>
          <w:lang w:val="lt-LT"/>
        </w:rPr>
        <w:t>Siekdami dalinti</w:t>
      </w:r>
      <w:r w:rsidR="00101996" w:rsidRPr="009D40CD">
        <w:rPr>
          <w:lang w:val="lt-LT"/>
        </w:rPr>
        <w:t>s</w:t>
      </w:r>
      <w:r w:rsidRPr="009D40CD">
        <w:rPr>
          <w:lang w:val="lt-LT"/>
        </w:rPr>
        <w:t xml:space="preserve"> aktualia informacija, </w:t>
      </w:r>
      <w:r w:rsidR="008935A4" w:rsidRPr="009D40CD">
        <w:rPr>
          <w:lang w:val="lt-LT"/>
        </w:rPr>
        <w:t xml:space="preserve">pridedame Lietuvos vyriausiojo administracinio teismo </w:t>
      </w:r>
      <w:r w:rsidR="003A12E3" w:rsidRPr="009D40CD">
        <w:rPr>
          <w:lang w:val="lt-LT"/>
        </w:rPr>
        <w:t>Teismų praktikos departamento</w:t>
      </w:r>
      <w:r w:rsidR="00D87582" w:rsidRPr="009D40CD">
        <w:rPr>
          <w:lang w:val="lt-LT"/>
        </w:rPr>
        <w:t xml:space="preserve"> parengt</w:t>
      </w:r>
      <w:r w:rsidR="00101996" w:rsidRPr="009D40CD">
        <w:rPr>
          <w:lang w:val="lt-LT"/>
        </w:rPr>
        <w:t>ą</w:t>
      </w:r>
      <w:r w:rsidR="00D87582" w:rsidRPr="009D40CD">
        <w:rPr>
          <w:lang w:val="lt-LT"/>
        </w:rPr>
        <w:t xml:space="preserve"> preliminarią informaciją</w:t>
      </w:r>
      <w:r w:rsidR="00034775" w:rsidRPr="009D40CD">
        <w:rPr>
          <w:lang w:val="lt-LT"/>
        </w:rPr>
        <w:t xml:space="preserve"> dėl teisinio reguliavimo atitikties aktualiems tarptautiniams ir Europos Sąjungos teisės aktams</w:t>
      </w:r>
      <w:r w:rsidR="00D87582" w:rsidRPr="009D40CD">
        <w:rPr>
          <w:lang w:val="lt-LT"/>
        </w:rPr>
        <w:t>, skirtą 2021 m. liepos 23 d. įsigaliojusiems Įstatymo pakeitimams, tačiau aktualią ir siūlomo Įstatymo projekto kontekste.</w:t>
      </w:r>
    </w:p>
    <w:p w14:paraId="7099EBC0" w14:textId="78C9F5A0" w:rsidR="00D87582" w:rsidRPr="00D87582" w:rsidRDefault="00D87582" w:rsidP="003C51CE">
      <w:pPr>
        <w:ind w:firstLine="567"/>
        <w:jc w:val="both"/>
        <w:rPr>
          <w:lang w:val="lt-LT"/>
        </w:rPr>
      </w:pPr>
      <w:r w:rsidRPr="00D87582">
        <w:rPr>
          <w:lang w:val="lt-LT"/>
        </w:rPr>
        <w:t xml:space="preserve">PRIDEDAMA. Lietuvos vyriausiojo administracinio teismo Teismų praktikos departamento parengta preliminari informacija, 7 lapai. </w:t>
      </w:r>
    </w:p>
    <w:p w14:paraId="3FB1ECF6" w14:textId="77777777" w:rsidR="007F451F" w:rsidRPr="00D87582" w:rsidRDefault="007F451F" w:rsidP="007F451F">
      <w:pPr>
        <w:ind w:firstLine="567"/>
        <w:jc w:val="both"/>
        <w:rPr>
          <w:lang w:val="lt-LT"/>
        </w:rPr>
      </w:pPr>
    </w:p>
    <w:p w14:paraId="29D00494" w14:textId="2C4C5B9D" w:rsidR="00705CD7" w:rsidRPr="00D87582" w:rsidRDefault="00705CD7" w:rsidP="00705CD7">
      <w:pPr>
        <w:ind w:firstLine="567"/>
        <w:jc w:val="both"/>
        <w:rPr>
          <w:lang w:val="lt-LT"/>
        </w:rPr>
      </w:pPr>
    </w:p>
    <w:p w14:paraId="471F92F9" w14:textId="215636C5" w:rsidR="00CA0269" w:rsidRPr="00D87582" w:rsidRDefault="00CA0269" w:rsidP="00E301CA">
      <w:pPr>
        <w:rPr>
          <w:lang w:val="lt-LT"/>
        </w:rPr>
      </w:pPr>
    </w:p>
    <w:p w14:paraId="037FF504" w14:textId="77777777" w:rsidR="00CA0269" w:rsidRPr="00D87582" w:rsidRDefault="00CA0269" w:rsidP="00E301CA">
      <w:pPr>
        <w:rPr>
          <w:lang w:val="lt-LT"/>
        </w:rPr>
      </w:pPr>
    </w:p>
    <w:tbl>
      <w:tblPr>
        <w:tblW w:w="5000" w:type="pct"/>
        <w:tblLook w:val="04A0" w:firstRow="1" w:lastRow="0" w:firstColumn="1" w:lastColumn="0" w:noHBand="0" w:noVBand="1"/>
      </w:tblPr>
      <w:tblGrid>
        <w:gridCol w:w="6097"/>
        <w:gridCol w:w="330"/>
        <w:gridCol w:w="3211"/>
      </w:tblGrid>
      <w:tr w:rsidR="00E301CA" w:rsidRPr="00D87582" w14:paraId="1D6A6AEC" w14:textId="77777777" w:rsidTr="00F772F2">
        <w:tc>
          <w:tcPr>
            <w:tcW w:w="3163" w:type="pct"/>
          </w:tcPr>
          <w:p w14:paraId="38E0B6C3" w14:textId="77777777" w:rsidR="00F772F2" w:rsidRPr="00D87582" w:rsidRDefault="00F772F2" w:rsidP="000627E9">
            <w:pPr>
              <w:tabs>
                <w:tab w:val="right" w:pos="9360"/>
              </w:tabs>
              <w:rPr>
                <w:lang w:val="lt-LT"/>
              </w:rPr>
            </w:pPr>
          </w:p>
          <w:p w14:paraId="20B68181" w14:textId="31195972" w:rsidR="00E301CA" w:rsidRPr="00D87582" w:rsidRDefault="003C51CE" w:rsidP="000627E9">
            <w:pPr>
              <w:tabs>
                <w:tab w:val="right" w:pos="9360"/>
              </w:tabs>
              <w:rPr>
                <w:lang w:val="lt-LT"/>
              </w:rPr>
            </w:pPr>
            <w:r w:rsidRPr="00D87582">
              <w:rPr>
                <w:lang w:val="lt-LT"/>
              </w:rPr>
              <w:t>T</w:t>
            </w:r>
            <w:r w:rsidR="00F772F2" w:rsidRPr="00D87582">
              <w:rPr>
                <w:lang w:val="lt-LT"/>
              </w:rPr>
              <w:t>eismo p</w:t>
            </w:r>
            <w:r w:rsidR="003252EB" w:rsidRPr="00D87582">
              <w:rPr>
                <w:lang w:val="lt-LT"/>
              </w:rPr>
              <w:t>ir</w:t>
            </w:r>
            <w:r w:rsidR="00AB5133" w:rsidRPr="00D87582">
              <w:rPr>
                <w:lang w:val="lt-LT"/>
              </w:rPr>
              <w:t>mininkas</w:t>
            </w:r>
          </w:p>
          <w:p w14:paraId="1492E68A" w14:textId="77777777" w:rsidR="00E301CA" w:rsidRPr="00D87582" w:rsidRDefault="00E301CA" w:rsidP="000627E9">
            <w:pPr>
              <w:tabs>
                <w:tab w:val="right" w:pos="9360"/>
              </w:tabs>
              <w:rPr>
                <w:lang w:val="lt-LT"/>
              </w:rPr>
            </w:pPr>
          </w:p>
          <w:p w14:paraId="768898AF" w14:textId="77777777" w:rsidR="00E301CA" w:rsidRPr="00D87582" w:rsidRDefault="00E301CA" w:rsidP="000627E9">
            <w:pPr>
              <w:tabs>
                <w:tab w:val="right" w:pos="9360"/>
              </w:tabs>
              <w:rPr>
                <w:lang w:val="lt-LT"/>
              </w:rPr>
            </w:pPr>
          </w:p>
          <w:p w14:paraId="7156602A" w14:textId="77777777" w:rsidR="00E301CA" w:rsidRPr="00D87582" w:rsidRDefault="00E301CA" w:rsidP="000627E9">
            <w:pPr>
              <w:tabs>
                <w:tab w:val="right" w:pos="9360"/>
              </w:tabs>
              <w:rPr>
                <w:lang w:val="lt-LT"/>
              </w:rPr>
            </w:pPr>
          </w:p>
          <w:p w14:paraId="19B42F5C" w14:textId="77777777" w:rsidR="00E301CA" w:rsidRPr="00D87582" w:rsidRDefault="00E301CA" w:rsidP="000627E9">
            <w:pPr>
              <w:tabs>
                <w:tab w:val="right" w:pos="9360"/>
              </w:tabs>
              <w:rPr>
                <w:lang w:val="lt-LT"/>
              </w:rPr>
            </w:pPr>
          </w:p>
          <w:p w14:paraId="308998E4" w14:textId="77777777" w:rsidR="00E301CA" w:rsidRPr="00D87582" w:rsidRDefault="00E301CA" w:rsidP="000627E9">
            <w:pPr>
              <w:tabs>
                <w:tab w:val="right" w:pos="9360"/>
              </w:tabs>
              <w:rPr>
                <w:lang w:val="lt-LT"/>
              </w:rPr>
            </w:pPr>
          </w:p>
          <w:p w14:paraId="29BB2CB6" w14:textId="77777777" w:rsidR="00E301CA" w:rsidRPr="00D87582" w:rsidRDefault="00E301CA" w:rsidP="000627E9">
            <w:pPr>
              <w:tabs>
                <w:tab w:val="right" w:pos="9360"/>
              </w:tabs>
              <w:rPr>
                <w:lang w:val="lt-LT"/>
              </w:rPr>
            </w:pPr>
          </w:p>
          <w:p w14:paraId="76A671B4" w14:textId="62CD194E" w:rsidR="00E301CA" w:rsidRPr="00D87582" w:rsidRDefault="00E301CA" w:rsidP="000627E9">
            <w:pPr>
              <w:tabs>
                <w:tab w:val="right" w:pos="9360"/>
              </w:tabs>
              <w:rPr>
                <w:lang w:val="lt-LT"/>
              </w:rPr>
            </w:pPr>
          </w:p>
          <w:p w14:paraId="7150B859" w14:textId="40BD2791" w:rsidR="00BA17CF" w:rsidRPr="00D87582" w:rsidRDefault="00BA17CF" w:rsidP="000627E9">
            <w:pPr>
              <w:tabs>
                <w:tab w:val="right" w:pos="9360"/>
              </w:tabs>
              <w:rPr>
                <w:lang w:val="lt-LT"/>
              </w:rPr>
            </w:pPr>
          </w:p>
          <w:p w14:paraId="6A65083D" w14:textId="77777777" w:rsidR="00E301CA" w:rsidRPr="00D87582" w:rsidRDefault="00E301CA" w:rsidP="000627E9">
            <w:pPr>
              <w:tabs>
                <w:tab w:val="right" w:pos="9360"/>
              </w:tabs>
              <w:rPr>
                <w:lang w:val="lt-LT"/>
              </w:rPr>
            </w:pPr>
          </w:p>
        </w:tc>
        <w:tc>
          <w:tcPr>
            <w:tcW w:w="171" w:type="pct"/>
          </w:tcPr>
          <w:p w14:paraId="40FA041F" w14:textId="78A39F8A" w:rsidR="00E301CA" w:rsidRPr="00D87582" w:rsidRDefault="00E301CA" w:rsidP="000627E9">
            <w:pPr>
              <w:tabs>
                <w:tab w:val="right" w:pos="9360"/>
              </w:tabs>
              <w:rPr>
                <w:lang w:val="lt-LT"/>
              </w:rPr>
            </w:pPr>
          </w:p>
        </w:tc>
        <w:tc>
          <w:tcPr>
            <w:tcW w:w="1666" w:type="pct"/>
          </w:tcPr>
          <w:p w14:paraId="12300625" w14:textId="77777777" w:rsidR="00F772F2" w:rsidRPr="00D87582" w:rsidRDefault="00F772F2" w:rsidP="003C51CE">
            <w:pPr>
              <w:tabs>
                <w:tab w:val="right" w:pos="9360"/>
              </w:tabs>
              <w:rPr>
                <w:lang w:val="lt-LT"/>
              </w:rPr>
            </w:pPr>
          </w:p>
          <w:p w14:paraId="527CEBAF" w14:textId="1FD03939" w:rsidR="00E301CA" w:rsidRPr="00D87582" w:rsidRDefault="00AB5133" w:rsidP="003C51CE">
            <w:pPr>
              <w:tabs>
                <w:tab w:val="right" w:pos="9360"/>
              </w:tabs>
              <w:rPr>
                <w:lang w:val="lt-LT"/>
              </w:rPr>
            </w:pPr>
            <w:r w:rsidRPr="00D87582">
              <w:rPr>
                <w:lang w:val="lt-LT"/>
              </w:rPr>
              <w:t>Gintaras Kryževičius</w:t>
            </w:r>
          </w:p>
        </w:tc>
      </w:tr>
    </w:tbl>
    <w:p w14:paraId="5D254526" w14:textId="77777777" w:rsidR="005A6F54" w:rsidRPr="00D87582" w:rsidRDefault="005A6F54" w:rsidP="00BD013B">
      <w:pPr>
        <w:rPr>
          <w:sz w:val="20"/>
          <w:szCs w:val="20"/>
          <w:lang w:val="lt-LT"/>
        </w:rPr>
      </w:pPr>
    </w:p>
    <w:sectPr w:rsidR="005A6F54" w:rsidRPr="00D87582" w:rsidSect="008853CF">
      <w:headerReference w:type="default" r:id="rId8"/>
      <w:footerReference w:type="firs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6B9E1" w14:textId="77777777" w:rsidR="00E94CCF" w:rsidRDefault="00E94CCF">
      <w:r>
        <w:separator/>
      </w:r>
    </w:p>
  </w:endnote>
  <w:endnote w:type="continuationSeparator" w:id="0">
    <w:p w14:paraId="3D0C9664" w14:textId="77777777" w:rsidR="00E94CCF" w:rsidRDefault="00E94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13" w:type="dxa"/>
      <w:tblInd w:w="-142" w:type="dxa"/>
      <w:tblLook w:val="01E0" w:firstRow="1" w:lastRow="1" w:firstColumn="1" w:lastColumn="1" w:noHBand="0" w:noVBand="0"/>
    </w:tblPr>
    <w:tblGrid>
      <w:gridCol w:w="2728"/>
      <w:gridCol w:w="2693"/>
      <w:gridCol w:w="2835"/>
      <w:gridCol w:w="250"/>
      <w:gridCol w:w="2607"/>
    </w:tblGrid>
    <w:tr w:rsidR="008853CF" w:rsidRPr="00A940A3" w14:paraId="19EFB6B9" w14:textId="77777777" w:rsidTr="008853CF">
      <w:tc>
        <w:tcPr>
          <w:tcW w:w="2728" w:type="dxa"/>
          <w:tcBorders>
            <w:top w:val="single" w:sz="4" w:space="0" w:color="auto"/>
          </w:tcBorders>
        </w:tcPr>
        <w:p w14:paraId="75C1A4D9" w14:textId="77777777" w:rsidR="008853CF" w:rsidRDefault="008853CF" w:rsidP="008853CF">
          <w:pPr>
            <w:pStyle w:val="Porat"/>
            <w:rPr>
              <w:sz w:val="22"/>
              <w:szCs w:val="22"/>
              <w:lang w:val="lt-LT"/>
            </w:rPr>
          </w:pPr>
        </w:p>
      </w:tc>
      <w:tc>
        <w:tcPr>
          <w:tcW w:w="2693" w:type="dxa"/>
          <w:tcBorders>
            <w:top w:val="single" w:sz="4" w:space="0" w:color="auto"/>
          </w:tcBorders>
        </w:tcPr>
        <w:p w14:paraId="20DE1FA1" w14:textId="77777777" w:rsidR="008853CF" w:rsidRPr="00A940A3" w:rsidRDefault="008853CF" w:rsidP="008853CF">
          <w:pPr>
            <w:pStyle w:val="Porat"/>
            <w:rPr>
              <w:sz w:val="22"/>
              <w:lang w:val="lt-LT"/>
            </w:rPr>
          </w:pPr>
        </w:p>
      </w:tc>
      <w:tc>
        <w:tcPr>
          <w:tcW w:w="2835" w:type="dxa"/>
          <w:tcBorders>
            <w:top w:val="single" w:sz="4" w:space="0" w:color="auto"/>
          </w:tcBorders>
        </w:tcPr>
        <w:p w14:paraId="047034A4" w14:textId="77777777" w:rsidR="008853CF" w:rsidRDefault="008853CF" w:rsidP="008853CF">
          <w:pPr>
            <w:pStyle w:val="Porat"/>
            <w:rPr>
              <w:sz w:val="22"/>
              <w:lang w:val="lt-LT"/>
            </w:rPr>
          </w:pPr>
        </w:p>
      </w:tc>
      <w:tc>
        <w:tcPr>
          <w:tcW w:w="250" w:type="dxa"/>
          <w:tcBorders>
            <w:top w:val="single" w:sz="4" w:space="0" w:color="auto"/>
          </w:tcBorders>
        </w:tcPr>
        <w:p w14:paraId="5FA02030" w14:textId="77777777" w:rsidR="008853CF" w:rsidRDefault="008853CF" w:rsidP="008853CF">
          <w:pPr>
            <w:pStyle w:val="Porat"/>
            <w:rPr>
              <w:sz w:val="22"/>
              <w:szCs w:val="22"/>
              <w:lang w:val="lt-LT"/>
            </w:rPr>
          </w:pPr>
        </w:p>
      </w:tc>
      <w:tc>
        <w:tcPr>
          <w:tcW w:w="2607" w:type="dxa"/>
          <w:tcBorders>
            <w:top w:val="single" w:sz="4" w:space="0" w:color="auto"/>
          </w:tcBorders>
        </w:tcPr>
        <w:p w14:paraId="1CFFBC83" w14:textId="77777777" w:rsidR="008853CF" w:rsidRDefault="008853CF" w:rsidP="008853CF">
          <w:pPr>
            <w:pStyle w:val="Porat"/>
            <w:rPr>
              <w:sz w:val="22"/>
              <w:szCs w:val="22"/>
              <w:lang w:val="lt-LT"/>
            </w:rPr>
          </w:pPr>
        </w:p>
      </w:tc>
    </w:tr>
    <w:tr w:rsidR="008853CF" w:rsidRPr="00A940A3" w14:paraId="512E45E7" w14:textId="77777777" w:rsidTr="008853CF">
      <w:tc>
        <w:tcPr>
          <w:tcW w:w="2728" w:type="dxa"/>
        </w:tcPr>
        <w:p w14:paraId="1C41957A" w14:textId="77777777" w:rsidR="008853CF" w:rsidRPr="00665319" w:rsidRDefault="008853CF" w:rsidP="008853CF">
          <w:pPr>
            <w:pStyle w:val="Porat"/>
            <w:ind w:left="69"/>
            <w:rPr>
              <w:sz w:val="10"/>
              <w:szCs w:val="10"/>
              <w:lang w:val="lt-LT"/>
            </w:rPr>
          </w:pPr>
        </w:p>
        <w:p w14:paraId="1B101AA0" w14:textId="77777777" w:rsidR="008853CF" w:rsidRPr="00F13FD7" w:rsidRDefault="008853CF" w:rsidP="008853CF">
          <w:pPr>
            <w:pStyle w:val="Porat"/>
            <w:ind w:left="69"/>
            <w:rPr>
              <w:sz w:val="20"/>
              <w:szCs w:val="20"/>
              <w:lang w:val="lt-LT"/>
            </w:rPr>
          </w:pPr>
          <w:r w:rsidRPr="00F13FD7">
            <w:rPr>
              <w:sz w:val="20"/>
              <w:szCs w:val="20"/>
              <w:lang w:val="lt-LT"/>
            </w:rPr>
            <w:t>Biudžetinė įstaiga</w:t>
          </w:r>
        </w:p>
        <w:p w14:paraId="53DA3388" w14:textId="77777777" w:rsidR="008853CF" w:rsidRPr="00F13FD7" w:rsidRDefault="008853CF" w:rsidP="008853CF">
          <w:pPr>
            <w:pStyle w:val="Porat"/>
            <w:ind w:left="69"/>
            <w:rPr>
              <w:sz w:val="20"/>
              <w:szCs w:val="20"/>
              <w:lang w:val="lt-LT"/>
            </w:rPr>
          </w:pPr>
          <w:r w:rsidRPr="00F13FD7">
            <w:rPr>
              <w:sz w:val="20"/>
              <w:szCs w:val="20"/>
              <w:lang w:val="lt-LT"/>
            </w:rPr>
            <w:t>Žygimantų g. 2,</w:t>
          </w:r>
        </w:p>
        <w:p w14:paraId="74F7C637" w14:textId="77777777" w:rsidR="008853CF" w:rsidRPr="00A940A3" w:rsidRDefault="008853CF" w:rsidP="008853CF">
          <w:pPr>
            <w:pStyle w:val="Porat"/>
            <w:ind w:left="69"/>
            <w:rPr>
              <w:sz w:val="22"/>
              <w:lang w:val="lt-LT"/>
            </w:rPr>
          </w:pPr>
          <w:r w:rsidRPr="00F13FD7">
            <w:rPr>
              <w:sz w:val="20"/>
              <w:szCs w:val="20"/>
              <w:lang w:val="lt-LT"/>
            </w:rPr>
            <w:t>LT-01102 Vilnius</w:t>
          </w:r>
        </w:p>
      </w:tc>
      <w:tc>
        <w:tcPr>
          <w:tcW w:w="2693" w:type="dxa"/>
        </w:tcPr>
        <w:p w14:paraId="607C15B4" w14:textId="77777777" w:rsidR="008853CF" w:rsidRPr="00665319" w:rsidRDefault="008853CF" w:rsidP="008853CF">
          <w:pPr>
            <w:pStyle w:val="Porat"/>
            <w:rPr>
              <w:sz w:val="10"/>
              <w:szCs w:val="10"/>
              <w:lang w:val="lt-LT"/>
            </w:rPr>
          </w:pPr>
        </w:p>
        <w:p w14:paraId="13597F9F" w14:textId="77777777" w:rsidR="008853CF" w:rsidRPr="00F13FD7" w:rsidRDefault="008853CF" w:rsidP="008853CF">
          <w:pPr>
            <w:pStyle w:val="Porat"/>
            <w:rPr>
              <w:sz w:val="20"/>
              <w:szCs w:val="20"/>
              <w:lang w:val="lt-LT"/>
            </w:rPr>
          </w:pPr>
          <w:r w:rsidRPr="00F13FD7">
            <w:rPr>
              <w:sz w:val="20"/>
              <w:szCs w:val="20"/>
              <w:lang w:val="lt-LT"/>
            </w:rPr>
            <w:t>Tel. (8 5)</w:t>
          </w:r>
          <w:r>
            <w:rPr>
              <w:sz w:val="20"/>
              <w:szCs w:val="20"/>
              <w:lang w:val="lt-LT"/>
            </w:rPr>
            <w:t xml:space="preserve"> </w:t>
          </w:r>
          <w:r w:rsidRPr="00F13FD7">
            <w:rPr>
              <w:sz w:val="20"/>
              <w:szCs w:val="20"/>
              <w:lang w:val="lt-LT"/>
            </w:rPr>
            <w:t xml:space="preserve"> 279 1005</w:t>
          </w:r>
        </w:p>
        <w:p w14:paraId="6B81B972" w14:textId="77777777" w:rsidR="008853CF" w:rsidRPr="00F13FD7" w:rsidRDefault="008853CF" w:rsidP="008853CF">
          <w:pPr>
            <w:pStyle w:val="Porat"/>
            <w:rPr>
              <w:sz w:val="20"/>
              <w:szCs w:val="20"/>
              <w:lang w:val="lt-LT"/>
            </w:rPr>
          </w:pPr>
          <w:r w:rsidRPr="00F13FD7">
            <w:rPr>
              <w:sz w:val="20"/>
              <w:szCs w:val="20"/>
              <w:lang w:val="lt-LT"/>
            </w:rPr>
            <w:t xml:space="preserve">Faks. (8 5) </w:t>
          </w:r>
          <w:r>
            <w:rPr>
              <w:sz w:val="20"/>
              <w:szCs w:val="20"/>
              <w:lang w:val="lt-LT"/>
            </w:rPr>
            <w:t xml:space="preserve"> </w:t>
          </w:r>
          <w:r w:rsidRPr="00F13FD7">
            <w:rPr>
              <w:sz w:val="20"/>
              <w:szCs w:val="20"/>
              <w:lang w:val="lt-LT"/>
            </w:rPr>
            <w:t>268 5875</w:t>
          </w:r>
        </w:p>
        <w:p w14:paraId="6AB43D94" w14:textId="77777777" w:rsidR="008853CF" w:rsidRPr="00A940A3" w:rsidRDefault="008853CF" w:rsidP="008853CF">
          <w:pPr>
            <w:pStyle w:val="Porat"/>
            <w:rPr>
              <w:sz w:val="22"/>
              <w:lang w:val="lt-LT"/>
            </w:rPr>
          </w:pPr>
          <w:r w:rsidRPr="00F13FD7">
            <w:rPr>
              <w:sz w:val="20"/>
              <w:szCs w:val="20"/>
              <w:lang w:val="lt-LT"/>
            </w:rPr>
            <w:t>El. p. info@lvat.lt</w:t>
          </w:r>
        </w:p>
      </w:tc>
      <w:tc>
        <w:tcPr>
          <w:tcW w:w="2835" w:type="dxa"/>
        </w:tcPr>
        <w:p w14:paraId="1FAB37A6" w14:textId="77777777" w:rsidR="008853CF" w:rsidRPr="00665319" w:rsidRDefault="008853CF" w:rsidP="008853CF">
          <w:pPr>
            <w:pStyle w:val="Porat"/>
            <w:rPr>
              <w:sz w:val="10"/>
              <w:szCs w:val="10"/>
              <w:lang w:val="lt-LT"/>
            </w:rPr>
          </w:pPr>
        </w:p>
        <w:p w14:paraId="0682AFD4" w14:textId="77777777" w:rsidR="008853CF" w:rsidRPr="00F13FD7" w:rsidRDefault="008853CF" w:rsidP="008853CF">
          <w:pPr>
            <w:pStyle w:val="Porat"/>
            <w:rPr>
              <w:sz w:val="20"/>
              <w:szCs w:val="20"/>
              <w:lang w:val="lt-LT"/>
            </w:rPr>
          </w:pPr>
          <w:r w:rsidRPr="00F13FD7">
            <w:rPr>
              <w:sz w:val="20"/>
              <w:szCs w:val="20"/>
              <w:lang w:val="lt-LT"/>
            </w:rPr>
            <w:t>Duomenys kaupiami ir saugomi</w:t>
          </w:r>
        </w:p>
        <w:p w14:paraId="5EA0074B" w14:textId="77777777" w:rsidR="008853CF" w:rsidRPr="00F13FD7" w:rsidRDefault="008853CF" w:rsidP="008853CF">
          <w:pPr>
            <w:pStyle w:val="Porat"/>
            <w:rPr>
              <w:sz w:val="20"/>
              <w:szCs w:val="20"/>
              <w:lang w:val="lt-LT"/>
            </w:rPr>
          </w:pPr>
          <w:r w:rsidRPr="00F13FD7">
            <w:rPr>
              <w:sz w:val="20"/>
              <w:szCs w:val="20"/>
              <w:lang w:val="lt-LT"/>
            </w:rPr>
            <w:t>Juridinių asmenų registre</w:t>
          </w:r>
        </w:p>
        <w:p w14:paraId="3C44B9B0" w14:textId="77777777" w:rsidR="008853CF" w:rsidRPr="00A940A3" w:rsidRDefault="008853CF" w:rsidP="008853CF">
          <w:pPr>
            <w:pStyle w:val="Porat"/>
            <w:rPr>
              <w:sz w:val="22"/>
              <w:lang w:val="lt-LT"/>
            </w:rPr>
          </w:pPr>
          <w:r w:rsidRPr="00F13FD7">
            <w:rPr>
              <w:sz w:val="20"/>
              <w:szCs w:val="20"/>
              <w:lang w:val="lt-LT"/>
            </w:rPr>
            <w:t>Kodas 188734870</w:t>
          </w:r>
        </w:p>
      </w:tc>
      <w:tc>
        <w:tcPr>
          <w:tcW w:w="250" w:type="dxa"/>
        </w:tcPr>
        <w:p w14:paraId="33946EED" w14:textId="77777777" w:rsidR="008853CF" w:rsidRDefault="008853CF" w:rsidP="008853CF">
          <w:pPr>
            <w:pStyle w:val="Porat"/>
            <w:rPr>
              <w:noProof/>
              <w:sz w:val="22"/>
              <w:szCs w:val="22"/>
              <w:lang w:val="lt-LT" w:eastAsia="lt-LT"/>
            </w:rPr>
          </w:pPr>
        </w:p>
      </w:tc>
      <w:tc>
        <w:tcPr>
          <w:tcW w:w="2607" w:type="dxa"/>
        </w:tcPr>
        <w:p w14:paraId="607059B4" w14:textId="77777777" w:rsidR="008853CF" w:rsidRDefault="008853CF" w:rsidP="008853CF">
          <w:pPr>
            <w:pStyle w:val="Porat"/>
            <w:ind w:left="176" w:hanging="176"/>
            <w:rPr>
              <w:sz w:val="22"/>
              <w:szCs w:val="22"/>
              <w:lang w:val="lt-LT"/>
            </w:rPr>
          </w:pPr>
          <w:r>
            <w:rPr>
              <w:noProof/>
              <w:sz w:val="22"/>
              <w:szCs w:val="22"/>
              <w:lang w:val="lt-LT" w:eastAsia="lt-LT"/>
            </w:rPr>
            <w:drawing>
              <wp:inline distT="0" distB="0" distL="0" distR="0" wp14:anchorId="773C7DE4" wp14:editId="66B67EE6">
                <wp:extent cx="927100" cy="655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alis 20 Metų LVAT Final.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6907" cy="655414"/>
                        </a:xfrm>
                        <a:prstGeom prst="rect">
                          <a:avLst/>
                        </a:prstGeom>
                      </pic:spPr>
                    </pic:pic>
                  </a:graphicData>
                </a:graphic>
              </wp:inline>
            </w:drawing>
          </w:r>
        </w:p>
      </w:tc>
    </w:tr>
  </w:tbl>
  <w:p w14:paraId="0C190EC4" w14:textId="77777777" w:rsidR="008853CF" w:rsidRDefault="008853CF" w:rsidP="008853CF">
    <w:pPr>
      <w:pStyle w:val="Porat"/>
      <w:ind w:left="14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5B27F" w14:textId="77777777" w:rsidR="00E94CCF" w:rsidRDefault="00E94CCF">
      <w:r>
        <w:separator/>
      </w:r>
    </w:p>
  </w:footnote>
  <w:footnote w:type="continuationSeparator" w:id="0">
    <w:p w14:paraId="0CD35395" w14:textId="77777777" w:rsidR="00E94CCF" w:rsidRDefault="00E94CCF">
      <w:r>
        <w:continuationSeparator/>
      </w:r>
    </w:p>
  </w:footnote>
  <w:footnote w:id="1">
    <w:p w14:paraId="0BF1EFB6" w14:textId="250ABE3A" w:rsidR="00E26E38" w:rsidRPr="00E26E38" w:rsidRDefault="00E26E38">
      <w:pPr>
        <w:pStyle w:val="Puslapioinaostekstas"/>
        <w:rPr>
          <w:lang w:val="en-US"/>
        </w:rPr>
      </w:pPr>
      <w:r>
        <w:rPr>
          <w:rStyle w:val="Puslapioinaosnuoroda"/>
        </w:rPr>
        <w:footnoteRef/>
      </w:r>
      <w:r>
        <w:t xml:space="preserve"> </w:t>
      </w:r>
      <w:r>
        <w:rPr>
          <w:lang w:val="lt-LT"/>
        </w:rPr>
        <w:t xml:space="preserve">Žr. pvz., </w:t>
      </w:r>
      <w:r w:rsidRPr="00342799">
        <w:rPr>
          <w:lang w:val="lt-LT"/>
        </w:rPr>
        <w:t>Europos Sąjungos Teisingumo Teismo didžiosios kolegijos 2020 m. gegužės 14 d. sprendimo FMS ir kt., C‑924/19 PPU ir C‑925/19 PPU, EU:C:2020:367</w:t>
      </w:r>
      <w:r>
        <w:rPr>
          <w:lang w:val="lt-LT"/>
        </w:rPr>
        <w:t xml:space="preserve">, </w:t>
      </w:r>
      <w:r>
        <w:rPr>
          <w:lang w:val="en-US"/>
        </w:rPr>
        <w:t>216 p.</w:t>
      </w:r>
    </w:p>
  </w:footnote>
  <w:footnote w:id="2">
    <w:p w14:paraId="32B084A5" w14:textId="4BDBD7BB" w:rsidR="00342799" w:rsidRPr="00342799" w:rsidRDefault="00342799" w:rsidP="00034775">
      <w:pPr>
        <w:pStyle w:val="Puslapioinaostekstas"/>
        <w:jc w:val="both"/>
        <w:rPr>
          <w:lang w:val="lt-LT"/>
        </w:rPr>
      </w:pPr>
      <w:r>
        <w:rPr>
          <w:rStyle w:val="Puslapioinaosnuoroda"/>
        </w:rPr>
        <w:footnoteRef/>
      </w:r>
      <w:r>
        <w:t xml:space="preserve"> </w:t>
      </w:r>
      <w:r>
        <w:rPr>
          <w:lang w:val="lt-LT"/>
        </w:rPr>
        <w:t xml:space="preserve">Žr. pvz., </w:t>
      </w:r>
      <w:r w:rsidRPr="00342799">
        <w:rPr>
          <w:lang w:val="lt-LT"/>
        </w:rPr>
        <w:t>Europos Sąjungos Teisingumo Teismo didžiosios kolegijos 2020 m. gegužės 14 d. sprendimo FMS ir kt., C‑924/19 PPU ir C‑925/19 PPU, EU:C:2020:367, 291 p., taip pat žr. Europos Žmogaus Teisių Teismo 2021 m. kovo 2 d. sprendimą byloje R. R. ir kiti prieš Vengriją, pareiškimo Nr. 36037/17</w:t>
      </w:r>
      <w:r>
        <w:rPr>
          <w:lang w:val="lt-LT"/>
        </w:rPr>
        <w:t xml:space="preserve">. </w:t>
      </w:r>
    </w:p>
  </w:footnote>
  <w:footnote w:id="3">
    <w:p w14:paraId="002E9716" w14:textId="21CCDBB2" w:rsidR="00CA68FB" w:rsidRPr="00CA68FB" w:rsidRDefault="00CA68FB" w:rsidP="00034775">
      <w:pPr>
        <w:pStyle w:val="Puslapioinaostekstas"/>
        <w:jc w:val="both"/>
        <w:rPr>
          <w:lang w:val="lt-LT"/>
        </w:rPr>
      </w:pPr>
      <w:r>
        <w:rPr>
          <w:rStyle w:val="Puslapioinaosnuoroda"/>
        </w:rPr>
        <w:footnoteRef/>
      </w:r>
      <w:r>
        <w:t xml:space="preserve"> </w:t>
      </w:r>
      <w:r>
        <w:rPr>
          <w:lang w:val="lt-LT"/>
        </w:rPr>
        <w:t xml:space="preserve">Šiame kontekste taip pat pažymėtina, kad </w:t>
      </w:r>
      <w:r w:rsidR="00BF53E7" w:rsidRPr="00BF53E7">
        <w:rPr>
          <w:lang w:val="lt-LT"/>
        </w:rPr>
        <w:t xml:space="preserve">pagal </w:t>
      </w:r>
      <w:r w:rsidR="00BF53E7">
        <w:rPr>
          <w:lang w:val="lt-LT"/>
        </w:rPr>
        <w:t xml:space="preserve">galiojančią </w:t>
      </w:r>
      <w:r w:rsidR="00BF53E7" w:rsidRPr="00BF53E7">
        <w:rPr>
          <w:lang w:val="lt-LT"/>
        </w:rPr>
        <w:t>nacionalinę teisę net ir kompetentingoms administracinėms institucijoms nepriėmus formal</w:t>
      </w:r>
      <w:r w:rsidR="00BF53E7">
        <w:rPr>
          <w:lang w:val="lt-LT"/>
        </w:rPr>
        <w:t xml:space="preserve">ių </w:t>
      </w:r>
      <w:r w:rsidR="00BF53E7" w:rsidRPr="00BF53E7">
        <w:rPr>
          <w:lang w:val="lt-LT"/>
        </w:rPr>
        <w:t>sprendim</w:t>
      </w:r>
      <w:r w:rsidR="00BF53E7">
        <w:rPr>
          <w:lang w:val="lt-LT"/>
        </w:rPr>
        <w:t>ų</w:t>
      </w:r>
      <w:r w:rsidR="00BF53E7" w:rsidRPr="00BF53E7">
        <w:rPr>
          <w:lang w:val="lt-LT"/>
        </w:rPr>
        <w:t xml:space="preserve"> dėl užsieniečio priėmimo</w:t>
      </w:r>
      <w:r w:rsidR="00222B22">
        <w:rPr>
          <w:lang w:val="lt-LT"/>
        </w:rPr>
        <w:t xml:space="preserve"> (apgyvendinimo)</w:t>
      </w:r>
      <w:r w:rsidR="00BF53E7" w:rsidRPr="00BF53E7">
        <w:rPr>
          <w:lang w:val="lt-LT"/>
        </w:rPr>
        <w:t>, įstatymų leidėjo nustatytos ir galiojančios bendrosios procesinės taisyklės leidžia administraciniuose teismuose ginčyti vadinamąją administracinę tylą, taip pat – reikšti reikalavimus dėl žalos atlyginimo.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9875"/>
      <w:docPartObj>
        <w:docPartGallery w:val="Page Numbers (Top of Page)"/>
        <w:docPartUnique/>
      </w:docPartObj>
    </w:sdtPr>
    <w:sdtEndPr/>
    <w:sdtContent>
      <w:p w14:paraId="634B1466" w14:textId="7606D8DD" w:rsidR="00762410" w:rsidRDefault="00762410">
        <w:pPr>
          <w:pStyle w:val="Antrats"/>
          <w:jc w:val="center"/>
        </w:pPr>
        <w:r>
          <w:fldChar w:fldCharType="begin"/>
        </w:r>
        <w:r>
          <w:instrText>PAGE   \* MERGEFORMAT</w:instrText>
        </w:r>
        <w:r>
          <w:fldChar w:fldCharType="separate"/>
        </w:r>
        <w:r w:rsidR="00742370" w:rsidRPr="00742370">
          <w:rPr>
            <w:noProof/>
            <w:lang w:val="lt-LT"/>
          </w:rPr>
          <w:t>2</w:t>
        </w:r>
        <w:r>
          <w:fldChar w:fldCharType="end"/>
        </w:r>
      </w:p>
    </w:sdtContent>
  </w:sdt>
  <w:p w14:paraId="7ADC7014" w14:textId="77777777" w:rsidR="003276C4" w:rsidRDefault="003276C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593"/>
    <w:rsid w:val="00014239"/>
    <w:rsid w:val="00020EEE"/>
    <w:rsid w:val="000226B3"/>
    <w:rsid w:val="00022EAA"/>
    <w:rsid w:val="00034775"/>
    <w:rsid w:val="00050F61"/>
    <w:rsid w:val="000521B2"/>
    <w:rsid w:val="00055F01"/>
    <w:rsid w:val="00061633"/>
    <w:rsid w:val="000715F3"/>
    <w:rsid w:val="00071C46"/>
    <w:rsid w:val="00074DF9"/>
    <w:rsid w:val="00076B75"/>
    <w:rsid w:val="00086FC5"/>
    <w:rsid w:val="00097F95"/>
    <w:rsid w:val="000A5F03"/>
    <w:rsid w:val="000A7328"/>
    <w:rsid w:val="000B29AF"/>
    <w:rsid w:val="000B54B9"/>
    <w:rsid w:val="000C06D9"/>
    <w:rsid w:val="000C24E4"/>
    <w:rsid w:val="000C38DF"/>
    <w:rsid w:val="000C7B7A"/>
    <w:rsid w:val="000E1BC0"/>
    <w:rsid w:val="000E2F8D"/>
    <w:rsid w:val="000E5EAE"/>
    <w:rsid w:val="000F3DB8"/>
    <w:rsid w:val="00101996"/>
    <w:rsid w:val="001069E8"/>
    <w:rsid w:val="00116061"/>
    <w:rsid w:val="001219D5"/>
    <w:rsid w:val="001308FA"/>
    <w:rsid w:val="0013513C"/>
    <w:rsid w:val="00137EB5"/>
    <w:rsid w:val="00140B57"/>
    <w:rsid w:val="0014342A"/>
    <w:rsid w:val="001453F0"/>
    <w:rsid w:val="001653DD"/>
    <w:rsid w:val="00167BEC"/>
    <w:rsid w:val="00171DBC"/>
    <w:rsid w:val="00187692"/>
    <w:rsid w:val="0019185F"/>
    <w:rsid w:val="001925A3"/>
    <w:rsid w:val="00193F71"/>
    <w:rsid w:val="0019513E"/>
    <w:rsid w:val="001B138A"/>
    <w:rsid w:val="001C300C"/>
    <w:rsid w:val="001D4D42"/>
    <w:rsid w:val="001E1AEC"/>
    <w:rsid w:val="001E5D69"/>
    <w:rsid w:val="001E769A"/>
    <w:rsid w:val="001F2B64"/>
    <w:rsid w:val="00205129"/>
    <w:rsid w:val="0020683F"/>
    <w:rsid w:val="00207437"/>
    <w:rsid w:val="00212869"/>
    <w:rsid w:val="002169E5"/>
    <w:rsid w:val="0022248D"/>
    <w:rsid w:val="00222B22"/>
    <w:rsid w:val="00232492"/>
    <w:rsid w:val="00235935"/>
    <w:rsid w:val="00237C7E"/>
    <w:rsid w:val="00244B76"/>
    <w:rsid w:val="00256753"/>
    <w:rsid w:val="00265C0B"/>
    <w:rsid w:val="00273B1B"/>
    <w:rsid w:val="002756F6"/>
    <w:rsid w:val="0027795B"/>
    <w:rsid w:val="0029676A"/>
    <w:rsid w:val="002A70A1"/>
    <w:rsid w:val="002B21ED"/>
    <w:rsid w:val="002C0A0B"/>
    <w:rsid w:val="002D2F7E"/>
    <w:rsid w:val="002D6CF8"/>
    <w:rsid w:val="002E03C7"/>
    <w:rsid w:val="002E4FF4"/>
    <w:rsid w:val="003016CD"/>
    <w:rsid w:val="00303A1F"/>
    <w:rsid w:val="00304DE4"/>
    <w:rsid w:val="003053FF"/>
    <w:rsid w:val="00310FBF"/>
    <w:rsid w:val="00313135"/>
    <w:rsid w:val="00314B42"/>
    <w:rsid w:val="003174A3"/>
    <w:rsid w:val="0032149B"/>
    <w:rsid w:val="0032385A"/>
    <w:rsid w:val="003252EB"/>
    <w:rsid w:val="0032748F"/>
    <w:rsid w:val="003276C4"/>
    <w:rsid w:val="0033547F"/>
    <w:rsid w:val="00342799"/>
    <w:rsid w:val="00344462"/>
    <w:rsid w:val="003470AA"/>
    <w:rsid w:val="003510B3"/>
    <w:rsid w:val="00351F14"/>
    <w:rsid w:val="00353008"/>
    <w:rsid w:val="00361E96"/>
    <w:rsid w:val="00363BEE"/>
    <w:rsid w:val="0036408F"/>
    <w:rsid w:val="00366536"/>
    <w:rsid w:val="00373B9A"/>
    <w:rsid w:val="003772AD"/>
    <w:rsid w:val="003951CC"/>
    <w:rsid w:val="003966EC"/>
    <w:rsid w:val="003A12E3"/>
    <w:rsid w:val="003A133F"/>
    <w:rsid w:val="003A233F"/>
    <w:rsid w:val="003A663D"/>
    <w:rsid w:val="003B04B8"/>
    <w:rsid w:val="003B10D5"/>
    <w:rsid w:val="003C1C92"/>
    <w:rsid w:val="003C51CE"/>
    <w:rsid w:val="003E0F68"/>
    <w:rsid w:val="003F1409"/>
    <w:rsid w:val="003F201B"/>
    <w:rsid w:val="004018FC"/>
    <w:rsid w:val="00405136"/>
    <w:rsid w:val="00405A70"/>
    <w:rsid w:val="00405FAE"/>
    <w:rsid w:val="00415030"/>
    <w:rsid w:val="00441EE6"/>
    <w:rsid w:val="00445024"/>
    <w:rsid w:val="00445994"/>
    <w:rsid w:val="00445B1D"/>
    <w:rsid w:val="00452593"/>
    <w:rsid w:val="00462121"/>
    <w:rsid w:val="00473A99"/>
    <w:rsid w:val="00486091"/>
    <w:rsid w:val="004864CD"/>
    <w:rsid w:val="00493335"/>
    <w:rsid w:val="004A1B79"/>
    <w:rsid w:val="004A4A4F"/>
    <w:rsid w:val="004B31EF"/>
    <w:rsid w:val="004B4BD4"/>
    <w:rsid w:val="004C2A60"/>
    <w:rsid w:val="004D0B78"/>
    <w:rsid w:val="004F2E75"/>
    <w:rsid w:val="00502CE8"/>
    <w:rsid w:val="00510251"/>
    <w:rsid w:val="00514A59"/>
    <w:rsid w:val="00520972"/>
    <w:rsid w:val="00534906"/>
    <w:rsid w:val="005459AA"/>
    <w:rsid w:val="00552212"/>
    <w:rsid w:val="005609EF"/>
    <w:rsid w:val="005616E3"/>
    <w:rsid w:val="005701E8"/>
    <w:rsid w:val="005A1923"/>
    <w:rsid w:val="005A6F54"/>
    <w:rsid w:val="005B198D"/>
    <w:rsid w:val="005C0217"/>
    <w:rsid w:val="005C0640"/>
    <w:rsid w:val="005E0AA7"/>
    <w:rsid w:val="005E2453"/>
    <w:rsid w:val="005E2E34"/>
    <w:rsid w:val="00606957"/>
    <w:rsid w:val="00623368"/>
    <w:rsid w:val="00637D50"/>
    <w:rsid w:val="00645327"/>
    <w:rsid w:val="00653E48"/>
    <w:rsid w:val="00654D8D"/>
    <w:rsid w:val="006620DB"/>
    <w:rsid w:val="00665319"/>
    <w:rsid w:val="00672E8F"/>
    <w:rsid w:val="00690C85"/>
    <w:rsid w:val="006A1284"/>
    <w:rsid w:val="006B0D7A"/>
    <w:rsid w:val="006D5FB8"/>
    <w:rsid w:val="006D615C"/>
    <w:rsid w:val="006E6C70"/>
    <w:rsid w:val="006F1091"/>
    <w:rsid w:val="00705CD7"/>
    <w:rsid w:val="00720272"/>
    <w:rsid w:val="00720DCF"/>
    <w:rsid w:val="007260BE"/>
    <w:rsid w:val="00742370"/>
    <w:rsid w:val="0075551E"/>
    <w:rsid w:val="00762410"/>
    <w:rsid w:val="00762CF6"/>
    <w:rsid w:val="00766667"/>
    <w:rsid w:val="00771147"/>
    <w:rsid w:val="007728AB"/>
    <w:rsid w:val="00772F71"/>
    <w:rsid w:val="007830A5"/>
    <w:rsid w:val="00784BEF"/>
    <w:rsid w:val="007869E5"/>
    <w:rsid w:val="007A7C75"/>
    <w:rsid w:val="007B36FC"/>
    <w:rsid w:val="007C0F00"/>
    <w:rsid w:val="007C7A4E"/>
    <w:rsid w:val="007D53C1"/>
    <w:rsid w:val="007D5951"/>
    <w:rsid w:val="007D5FE5"/>
    <w:rsid w:val="007E255B"/>
    <w:rsid w:val="007E2B9C"/>
    <w:rsid w:val="007F451F"/>
    <w:rsid w:val="007F4C9F"/>
    <w:rsid w:val="00802466"/>
    <w:rsid w:val="00834A06"/>
    <w:rsid w:val="00836AAA"/>
    <w:rsid w:val="008417D8"/>
    <w:rsid w:val="008452F5"/>
    <w:rsid w:val="0084795A"/>
    <w:rsid w:val="008543B1"/>
    <w:rsid w:val="008560F7"/>
    <w:rsid w:val="00856446"/>
    <w:rsid w:val="00862F10"/>
    <w:rsid w:val="00863CCB"/>
    <w:rsid w:val="00876977"/>
    <w:rsid w:val="00877572"/>
    <w:rsid w:val="00880020"/>
    <w:rsid w:val="008853CF"/>
    <w:rsid w:val="00886B1C"/>
    <w:rsid w:val="008900EB"/>
    <w:rsid w:val="008935A4"/>
    <w:rsid w:val="00894D56"/>
    <w:rsid w:val="008972F6"/>
    <w:rsid w:val="008A0A5C"/>
    <w:rsid w:val="008A21B3"/>
    <w:rsid w:val="008A6611"/>
    <w:rsid w:val="008B51CB"/>
    <w:rsid w:val="008C4718"/>
    <w:rsid w:val="008E05EA"/>
    <w:rsid w:val="008E41BE"/>
    <w:rsid w:val="0090423E"/>
    <w:rsid w:val="00923D49"/>
    <w:rsid w:val="00927C44"/>
    <w:rsid w:val="00931815"/>
    <w:rsid w:val="00935E6D"/>
    <w:rsid w:val="009473D3"/>
    <w:rsid w:val="00963A90"/>
    <w:rsid w:val="00967624"/>
    <w:rsid w:val="00971A71"/>
    <w:rsid w:val="00980D7A"/>
    <w:rsid w:val="00990CF0"/>
    <w:rsid w:val="00997F1A"/>
    <w:rsid w:val="009A0398"/>
    <w:rsid w:val="009A6041"/>
    <w:rsid w:val="009B06AF"/>
    <w:rsid w:val="009B61F2"/>
    <w:rsid w:val="009C2180"/>
    <w:rsid w:val="009C3560"/>
    <w:rsid w:val="009C35BB"/>
    <w:rsid w:val="009D0699"/>
    <w:rsid w:val="009D0C90"/>
    <w:rsid w:val="009D26FE"/>
    <w:rsid w:val="009D40CD"/>
    <w:rsid w:val="009E0908"/>
    <w:rsid w:val="009E4332"/>
    <w:rsid w:val="009F34D3"/>
    <w:rsid w:val="009F6145"/>
    <w:rsid w:val="00A07EA2"/>
    <w:rsid w:val="00A16066"/>
    <w:rsid w:val="00A16C40"/>
    <w:rsid w:val="00A26840"/>
    <w:rsid w:val="00A4125C"/>
    <w:rsid w:val="00A44679"/>
    <w:rsid w:val="00A46197"/>
    <w:rsid w:val="00A465FE"/>
    <w:rsid w:val="00A52AC1"/>
    <w:rsid w:val="00A7581E"/>
    <w:rsid w:val="00A764AE"/>
    <w:rsid w:val="00A8015D"/>
    <w:rsid w:val="00A81212"/>
    <w:rsid w:val="00A851E9"/>
    <w:rsid w:val="00A906C8"/>
    <w:rsid w:val="00A9177A"/>
    <w:rsid w:val="00A940A3"/>
    <w:rsid w:val="00AA1182"/>
    <w:rsid w:val="00AA2808"/>
    <w:rsid w:val="00AA3D28"/>
    <w:rsid w:val="00AA72F2"/>
    <w:rsid w:val="00AB1CE3"/>
    <w:rsid w:val="00AB5133"/>
    <w:rsid w:val="00AB6AD0"/>
    <w:rsid w:val="00AD158D"/>
    <w:rsid w:val="00AD42D4"/>
    <w:rsid w:val="00AD43D4"/>
    <w:rsid w:val="00AF1C4F"/>
    <w:rsid w:val="00B00D01"/>
    <w:rsid w:val="00B15005"/>
    <w:rsid w:val="00B202F1"/>
    <w:rsid w:val="00B55A36"/>
    <w:rsid w:val="00B8373C"/>
    <w:rsid w:val="00B84D82"/>
    <w:rsid w:val="00B85B1E"/>
    <w:rsid w:val="00BA17CF"/>
    <w:rsid w:val="00BA2719"/>
    <w:rsid w:val="00BA5186"/>
    <w:rsid w:val="00BA5F9F"/>
    <w:rsid w:val="00BB006B"/>
    <w:rsid w:val="00BB3108"/>
    <w:rsid w:val="00BB4F75"/>
    <w:rsid w:val="00BB58C5"/>
    <w:rsid w:val="00BC5034"/>
    <w:rsid w:val="00BD013B"/>
    <w:rsid w:val="00BE46B9"/>
    <w:rsid w:val="00BE68DA"/>
    <w:rsid w:val="00BE7D33"/>
    <w:rsid w:val="00BF53E7"/>
    <w:rsid w:val="00BF77CD"/>
    <w:rsid w:val="00C00C24"/>
    <w:rsid w:val="00C02CD4"/>
    <w:rsid w:val="00C03782"/>
    <w:rsid w:val="00C04B51"/>
    <w:rsid w:val="00C04FB2"/>
    <w:rsid w:val="00C07C9B"/>
    <w:rsid w:val="00C1523E"/>
    <w:rsid w:val="00C31D27"/>
    <w:rsid w:val="00C32ABC"/>
    <w:rsid w:val="00C40A07"/>
    <w:rsid w:val="00C43D8A"/>
    <w:rsid w:val="00C52F0D"/>
    <w:rsid w:val="00C549F8"/>
    <w:rsid w:val="00C57E4A"/>
    <w:rsid w:val="00C619DD"/>
    <w:rsid w:val="00C6292D"/>
    <w:rsid w:val="00C66395"/>
    <w:rsid w:val="00C7295F"/>
    <w:rsid w:val="00C7750B"/>
    <w:rsid w:val="00C92758"/>
    <w:rsid w:val="00CA0269"/>
    <w:rsid w:val="00CA47E8"/>
    <w:rsid w:val="00CA68FB"/>
    <w:rsid w:val="00CB1119"/>
    <w:rsid w:val="00CC2389"/>
    <w:rsid w:val="00CD1E00"/>
    <w:rsid w:val="00CD358B"/>
    <w:rsid w:val="00CD35F7"/>
    <w:rsid w:val="00CD3777"/>
    <w:rsid w:val="00CD3781"/>
    <w:rsid w:val="00D2627B"/>
    <w:rsid w:val="00D31108"/>
    <w:rsid w:val="00D32878"/>
    <w:rsid w:val="00D32AA6"/>
    <w:rsid w:val="00D3792A"/>
    <w:rsid w:val="00D54BA0"/>
    <w:rsid w:val="00D568E4"/>
    <w:rsid w:val="00D56977"/>
    <w:rsid w:val="00D66A65"/>
    <w:rsid w:val="00D76C34"/>
    <w:rsid w:val="00D87582"/>
    <w:rsid w:val="00D954BF"/>
    <w:rsid w:val="00D9604E"/>
    <w:rsid w:val="00DA1C1C"/>
    <w:rsid w:val="00DA4343"/>
    <w:rsid w:val="00DA6505"/>
    <w:rsid w:val="00DB07D8"/>
    <w:rsid w:val="00DB2831"/>
    <w:rsid w:val="00DC79F8"/>
    <w:rsid w:val="00DD2746"/>
    <w:rsid w:val="00DE3F0B"/>
    <w:rsid w:val="00DE78AB"/>
    <w:rsid w:val="00DF1FEC"/>
    <w:rsid w:val="00DF70DA"/>
    <w:rsid w:val="00E12192"/>
    <w:rsid w:val="00E1280D"/>
    <w:rsid w:val="00E14099"/>
    <w:rsid w:val="00E26E38"/>
    <w:rsid w:val="00E301CA"/>
    <w:rsid w:val="00E324FE"/>
    <w:rsid w:val="00E3333A"/>
    <w:rsid w:val="00E424DC"/>
    <w:rsid w:val="00E434F6"/>
    <w:rsid w:val="00E47634"/>
    <w:rsid w:val="00E505FD"/>
    <w:rsid w:val="00E54147"/>
    <w:rsid w:val="00E626F8"/>
    <w:rsid w:val="00E76E5D"/>
    <w:rsid w:val="00E8037F"/>
    <w:rsid w:val="00E87A0D"/>
    <w:rsid w:val="00E92940"/>
    <w:rsid w:val="00E94CCF"/>
    <w:rsid w:val="00EA1CF3"/>
    <w:rsid w:val="00EA4440"/>
    <w:rsid w:val="00EA5FAE"/>
    <w:rsid w:val="00EB32C6"/>
    <w:rsid w:val="00EB4A77"/>
    <w:rsid w:val="00EB765E"/>
    <w:rsid w:val="00EC116C"/>
    <w:rsid w:val="00ED07D0"/>
    <w:rsid w:val="00EF26E4"/>
    <w:rsid w:val="00EF29C8"/>
    <w:rsid w:val="00F065D3"/>
    <w:rsid w:val="00F1193B"/>
    <w:rsid w:val="00F12EA0"/>
    <w:rsid w:val="00F13FD7"/>
    <w:rsid w:val="00F13FD8"/>
    <w:rsid w:val="00F23D75"/>
    <w:rsid w:val="00F31038"/>
    <w:rsid w:val="00F64DFC"/>
    <w:rsid w:val="00F73B53"/>
    <w:rsid w:val="00F73D9A"/>
    <w:rsid w:val="00F772F2"/>
    <w:rsid w:val="00F774CA"/>
    <w:rsid w:val="00F82215"/>
    <w:rsid w:val="00F857E2"/>
    <w:rsid w:val="00F96B10"/>
    <w:rsid w:val="00FA2918"/>
    <w:rsid w:val="00FC1F4D"/>
    <w:rsid w:val="00FC3AD4"/>
    <w:rsid w:val="00FC5D87"/>
    <w:rsid w:val="00FE22A6"/>
    <w:rsid w:val="00FF19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2A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4DE4"/>
    <w:rPr>
      <w:sz w:val="24"/>
      <w:szCs w:val="24"/>
      <w:lang w:val="en-GB" w:eastAsia="en-US"/>
    </w:rPr>
  </w:style>
  <w:style w:type="paragraph" w:styleId="Antrat1">
    <w:name w:val="heading 1"/>
    <w:basedOn w:val="prastasis"/>
    <w:next w:val="prastasis"/>
    <w:link w:val="Antrat1Diagrama"/>
    <w:qFormat/>
    <w:rsid w:val="00304DE4"/>
    <w:pPr>
      <w:keepNext/>
      <w:jc w:val="center"/>
      <w:outlineLvl w:val="0"/>
    </w:pPr>
    <w:rPr>
      <w:b/>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04DE4"/>
    <w:rPr>
      <w:color w:val="0000FF"/>
      <w:u w:val="single"/>
    </w:rPr>
  </w:style>
  <w:style w:type="character" w:styleId="Perirtashipersaitas">
    <w:name w:val="FollowedHyperlink"/>
    <w:rsid w:val="00304DE4"/>
    <w:rPr>
      <w:color w:val="800080"/>
      <w:u w:val="single"/>
    </w:rPr>
  </w:style>
  <w:style w:type="paragraph" w:styleId="Antrats">
    <w:name w:val="header"/>
    <w:basedOn w:val="prastasis"/>
    <w:link w:val="AntratsDiagrama"/>
    <w:uiPriority w:val="99"/>
    <w:rsid w:val="00304DE4"/>
    <w:pPr>
      <w:tabs>
        <w:tab w:val="center" w:pos="4153"/>
        <w:tab w:val="right" w:pos="8306"/>
      </w:tabs>
    </w:pPr>
  </w:style>
  <w:style w:type="paragraph" w:styleId="Porat">
    <w:name w:val="footer"/>
    <w:basedOn w:val="prastasis"/>
    <w:link w:val="PoratDiagrama"/>
    <w:rsid w:val="00304DE4"/>
    <w:pPr>
      <w:tabs>
        <w:tab w:val="center" w:pos="4153"/>
        <w:tab w:val="right" w:pos="8306"/>
      </w:tabs>
    </w:pPr>
  </w:style>
  <w:style w:type="table" w:styleId="Lentelstinklelis">
    <w:name w:val="Table Grid"/>
    <w:basedOn w:val="prastojilentel"/>
    <w:rsid w:val="000E5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BE46B9"/>
    <w:rPr>
      <w:rFonts w:ascii="Tahoma" w:hAnsi="Tahoma" w:cs="Tahoma"/>
      <w:sz w:val="16"/>
      <w:szCs w:val="16"/>
    </w:rPr>
  </w:style>
  <w:style w:type="character" w:customStyle="1" w:styleId="DebesliotekstasDiagrama">
    <w:name w:val="Debesėlio tekstas Diagrama"/>
    <w:link w:val="Debesliotekstas"/>
    <w:rsid w:val="00BE46B9"/>
    <w:rPr>
      <w:rFonts w:ascii="Tahoma" w:hAnsi="Tahoma" w:cs="Tahoma"/>
      <w:sz w:val="16"/>
      <w:szCs w:val="16"/>
      <w:lang w:val="en-GB" w:eastAsia="en-US"/>
    </w:rPr>
  </w:style>
  <w:style w:type="character" w:customStyle="1" w:styleId="Antrat1Diagrama">
    <w:name w:val="Antraštė 1 Diagrama"/>
    <w:link w:val="Antrat1"/>
    <w:rsid w:val="005701E8"/>
    <w:rPr>
      <w:b/>
      <w:bCs/>
      <w:sz w:val="28"/>
      <w:szCs w:val="24"/>
      <w:lang w:eastAsia="en-US"/>
    </w:rPr>
  </w:style>
  <w:style w:type="character" w:customStyle="1" w:styleId="Neapdorotaspaminjimas1">
    <w:name w:val="Neapdorotas paminėjimas1"/>
    <w:basedOn w:val="Numatytasispastraiposriftas"/>
    <w:uiPriority w:val="99"/>
    <w:semiHidden/>
    <w:unhideWhenUsed/>
    <w:rsid w:val="00AB5133"/>
    <w:rPr>
      <w:color w:val="605E5C"/>
      <w:shd w:val="clear" w:color="auto" w:fill="E1DFDD"/>
    </w:rPr>
  </w:style>
  <w:style w:type="character" w:styleId="Komentaronuoroda">
    <w:name w:val="annotation reference"/>
    <w:basedOn w:val="Numatytasispastraiposriftas"/>
    <w:semiHidden/>
    <w:unhideWhenUsed/>
    <w:rsid w:val="000F3DB8"/>
    <w:rPr>
      <w:sz w:val="16"/>
      <w:szCs w:val="16"/>
    </w:rPr>
  </w:style>
  <w:style w:type="paragraph" w:styleId="Komentarotekstas">
    <w:name w:val="annotation text"/>
    <w:basedOn w:val="prastasis"/>
    <w:link w:val="KomentarotekstasDiagrama"/>
    <w:semiHidden/>
    <w:unhideWhenUsed/>
    <w:rsid w:val="000F3DB8"/>
    <w:rPr>
      <w:sz w:val="20"/>
      <w:szCs w:val="20"/>
    </w:rPr>
  </w:style>
  <w:style w:type="character" w:customStyle="1" w:styleId="KomentarotekstasDiagrama">
    <w:name w:val="Komentaro tekstas Diagrama"/>
    <w:basedOn w:val="Numatytasispastraiposriftas"/>
    <w:link w:val="Komentarotekstas"/>
    <w:semiHidden/>
    <w:rsid w:val="000F3DB8"/>
    <w:rPr>
      <w:lang w:val="en-GB" w:eastAsia="en-US"/>
    </w:rPr>
  </w:style>
  <w:style w:type="paragraph" w:styleId="Komentarotema">
    <w:name w:val="annotation subject"/>
    <w:basedOn w:val="Komentarotekstas"/>
    <w:next w:val="Komentarotekstas"/>
    <w:link w:val="KomentarotemaDiagrama"/>
    <w:semiHidden/>
    <w:unhideWhenUsed/>
    <w:rsid w:val="000F3DB8"/>
    <w:rPr>
      <w:b/>
      <w:bCs/>
    </w:rPr>
  </w:style>
  <w:style w:type="character" w:customStyle="1" w:styleId="KomentarotemaDiagrama">
    <w:name w:val="Komentaro tema Diagrama"/>
    <w:basedOn w:val="KomentarotekstasDiagrama"/>
    <w:link w:val="Komentarotema"/>
    <w:semiHidden/>
    <w:rsid w:val="000F3DB8"/>
    <w:rPr>
      <w:b/>
      <w:bCs/>
      <w:lang w:val="en-GB" w:eastAsia="en-US"/>
    </w:rPr>
  </w:style>
  <w:style w:type="character" w:customStyle="1" w:styleId="AntratsDiagrama">
    <w:name w:val="Antraštės Diagrama"/>
    <w:basedOn w:val="Numatytasispastraiposriftas"/>
    <w:link w:val="Antrats"/>
    <w:uiPriority w:val="99"/>
    <w:rsid w:val="00BA17CF"/>
    <w:rPr>
      <w:sz w:val="24"/>
      <w:szCs w:val="24"/>
      <w:lang w:val="en-GB" w:eastAsia="en-US"/>
    </w:rPr>
  </w:style>
  <w:style w:type="character" w:customStyle="1" w:styleId="PoratDiagrama">
    <w:name w:val="Poraštė Diagrama"/>
    <w:basedOn w:val="Numatytasispastraiposriftas"/>
    <w:link w:val="Porat"/>
    <w:rsid w:val="008853CF"/>
    <w:rPr>
      <w:sz w:val="24"/>
      <w:szCs w:val="24"/>
      <w:lang w:val="en-GB" w:eastAsia="en-US"/>
    </w:rPr>
  </w:style>
  <w:style w:type="paragraph" w:styleId="Puslapioinaostekstas">
    <w:name w:val="footnote text"/>
    <w:basedOn w:val="prastasis"/>
    <w:link w:val="PuslapioinaostekstasDiagrama"/>
    <w:semiHidden/>
    <w:unhideWhenUsed/>
    <w:rsid w:val="00342799"/>
    <w:rPr>
      <w:sz w:val="20"/>
      <w:szCs w:val="20"/>
    </w:rPr>
  </w:style>
  <w:style w:type="character" w:customStyle="1" w:styleId="PuslapioinaostekstasDiagrama">
    <w:name w:val="Puslapio išnašos tekstas Diagrama"/>
    <w:basedOn w:val="Numatytasispastraiposriftas"/>
    <w:link w:val="Puslapioinaostekstas"/>
    <w:semiHidden/>
    <w:rsid w:val="00342799"/>
    <w:rPr>
      <w:lang w:val="en-GB" w:eastAsia="en-US"/>
    </w:rPr>
  </w:style>
  <w:style w:type="character" w:styleId="Puslapioinaosnuoroda">
    <w:name w:val="footnote reference"/>
    <w:basedOn w:val="Numatytasispastraiposriftas"/>
    <w:semiHidden/>
    <w:unhideWhenUsed/>
    <w:rsid w:val="003427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38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AFEC5-F07A-4305-AEA3-69040521E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1610</Words>
  <Characters>11831</Characters>
  <Application>Microsoft Office Word</Application>
  <DocSecurity>4</DocSecurity>
  <Lines>98</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2021-09-30T12:09:00Z</dcterms:created>
  <dcterms:modified xsi:type="dcterms:W3CDTF">2021-09-30T12:09:00Z</dcterms:modified>
</cp:coreProperties>
</file>