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2D5" w:rsidRPr="003156A9" w:rsidRDefault="00193FE7" w:rsidP="006A550F">
      <w:pPr>
        <w:spacing w:after="0" w:line="240" w:lineRule="auto"/>
        <w:jc w:val="center"/>
        <w:rPr>
          <w:rFonts w:cs="Times New Roman"/>
          <w:b/>
          <w:szCs w:val="24"/>
        </w:rPr>
      </w:pPr>
      <w:bookmarkStart w:id="0" w:name="_GoBack"/>
      <w:bookmarkEnd w:id="0"/>
      <w:r w:rsidRPr="003156A9">
        <w:rPr>
          <w:rFonts w:cs="Times New Roman"/>
          <w:b/>
          <w:szCs w:val="24"/>
        </w:rPr>
        <w:t>DERINIMO PAŽYMA DĖL</w:t>
      </w:r>
    </w:p>
    <w:p w:rsidR="006A550F" w:rsidRDefault="00507B74" w:rsidP="00507B74">
      <w:pPr>
        <w:spacing w:after="0" w:line="240" w:lineRule="auto"/>
        <w:jc w:val="center"/>
        <w:rPr>
          <w:rFonts w:cs="Times New Roman"/>
          <w:szCs w:val="24"/>
        </w:rPr>
      </w:pPr>
      <w:r w:rsidRPr="00507B74">
        <w:rPr>
          <w:rFonts w:cs="Times New Roman"/>
          <w:b/>
          <w:bCs/>
          <w:szCs w:val="24"/>
        </w:rPr>
        <w:t>Lietuvos Respublikos Vyriausybės 2006-05-12 nutarimo Nr. 452 „Dėl Transporto priemones vairuojančių ir kitų asmenų neblaivumo ar apsvaigimo nustatymo taisyklių patvirtinimo ir leidžiamos etilo alkoholio koncentracijos darbo metu nustatymo“ ir šiuo nutarimu patvirtintų Transporto priemones vairuojančių ir kitų asmenų neblaivumo ar apsvaigimo nustat</w:t>
      </w:r>
      <w:r>
        <w:rPr>
          <w:rFonts w:cs="Times New Roman"/>
          <w:b/>
          <w:bCs/>
          <w:szCs w:val="24"/>
        </w:rPr>
        <w:t>ymo taisyklių pakeitimo projekto</w:t>
      </w:r>
      <w:r w:rsidR="00373B0A">
        <w:rPr>
          <w:rFonts w:cs="Times New Roman"/>
          <w:b/>
          <w:bCs/>
          <w:szCs w:val="24"/>
        </w:rPr>
        <w:t xml:space="preserve"> (toliau – projektas) </w:t>
      </w:r>
    </w:p>
    <w:p w:rsidR="006A550F" w:rsidRDefault="006A550F" w:rsidP="006A550F">
      <w:pPr>
        <w:spacing w:after="0" w:line="240" w:lineRule="auto"/>
        <w:rPr>
          <w:rFonts w:cs="Times New Roman"/>
          <w:szCs w:val="24"/>
        </w:rPr>
      </w:pPr>
    </w:p>
    <w:tbl>
      <w:tblPr>
        <w:tblStyle w:val="TableGrid"/>
        <w:tblW w:w="14502" w:type="dxa"/>
        <w:tblLook w:val="04A0" w:firstRow="1" w:lastRow="0" w:firstColumn="1" w:lastColumn="0" w:noHBand="0" w:noVBand="1"/>
      </w:tblPr>
      <w:tblGrid>
        <w:gridCol w:w="817"/>
        <w:gridCol w:w="2126"/>
        <w:gridCol w:w="4962"/>
        <w:gridCol w:w="6597"/>
      </w:tblGrid>
      <w:tr w:rsidR="00373B0A" w:rsidTr="00372B85">
        <w:tc>
          <w:tcPr>
            <w:tcW w:w="817" w:type="dxa"/>
          </w:tcPr>
          <w:p w:rsidR="00373B0A" w:rsidRPr="00F039A0" w:rsidRDefault="00373B0A" w:rsidP="00373B0A"/>
        </w:tc>
        <w:tc>
          <w:tcPr>
            <w:tcW w:w="2126" w:type="dxa"/>
          </w:tcPr>
          <w:p w:rsidR="00373B0A" w:rsidRPr="00F039A0" w:rsidRDefault="00373B0A" w:rsidP="00F039A0">
            <w:pPr>
              <w:rPr>
                <w:rFonts w:cs="Times New Roman"/>
                <w:szCs w:val="24"/>
              </w:rPr>
            </w:pPr>
            <w:r w:rsidRPr="00F039A0">
              <w:t>Suinteresuotos institucijos pavadinimas, rašto data ir numeris</w:t>
            </w:r>
          </w:p>
        </w:tc>
        <w:tc>
          <w:tcPr>
            <w:tcW w:w="4962" w:type="dxa"/>
          </w:tcPr>
          <w:p w:rsidR="00373B0A" w:rsidRDefault="00373B0A" w:rsidP="003156A9">
            <w:pPr>
              <w:jc w:val="center"/>
              <w:rPr>
                <w:rFonts w:cs="Times New Roman"/>
                <w:szCs w:val="24"/>
              </w:rPr>
            </w:pPr>
            <w:r>
              <w:rPr>
                <w:rFonts w:cs="Times New Roman"/>
                <w:szCs w:val="24"/>
              </w:rPr>
              <w:t>Pastaba ir pasiūlymas</w:t>
            </w:r>
          </w:p>
        </w:tc>
        <w:tc>
          <w:tcPr>
            <w:tcW w:w="6597" w:type="dxa"/>
          </w:tcPr>
          <w:p w:rsidR="00373B0A" w:rsidRDefault="00373B0A" w:rsidP="003156A9">
            <w:pPr>
              <w:jc w:val="center"/>
              <w:rPr>
                <w:rFonts w:cs="Times New Roman"/>
                <w:szCs w:val="24"/>
              </w:rPr>
            </w:pPr>
            <w:r>
              <w:rPr>
                <w:rFonts w:cs="Times New Roman"/>
                <w:szCs w:val="24"/>
              </w:rPr>
              <w:t>Argumentai</w:t>
            </w:r>
          </w:p>
        </w:tc>
      </w:tr>
      <w:tr w:rsidR="00D727AF" w:rsidTr="00D727AF">
        <w:trPr>
          <w:trHeight w:val="713"/>
        </w:trPr>
        <w:tc>
          <w:tcPr>
            <w:tcW w:w="817" w:type="dxa"/>
            <w:vMerge w:val="restart"/>
          </w:tcPr>
          <w:p w:rsidR="00D727AF" w:rsidRPr="00373B0A" w:rsidRDefault="00D727AF" w:rsidP="00373B0A">
            <w:pPr>
              <w:pStyle w:val="ListParagraph"/>
              <w:numPr>
                <w:ilvl w:val="0"/>
                <w:numId w:val="2"/>
              </w:numPr>
              <w:jc w:val="both"/>
              <w:rPr>
                <w:rFonts w:cs="Times New Roman"/>
                <w:szCs w:val="24"/>
              </w:rPr>
            </w:pPr>
          </w:p>
        </w:tc>
        <w:tc>
          <w:tcPr>
            <w:tcW w:w="2126" w:type="dxa"/>
            <w:vMerge w:val="restart"/>
          </w:tcPr>
          <w:p w:rsidR="00D727AF" w:rsidRPr="00507B74" w:rsidRDefault="00D727AF" w:rsidP="00507B74">
            <w:pPr>
              <w:rPr>
                <w:rFonts w:cs="Times New Roman"/>
                <w:szCs w:val="24"/>
              </w:rPr>
            </w:pPr>
            <w:r w:rsidRPr="00507B74">
              <w:rPr>
                <w:rFonts w:cs="Times New Roman"/>
                <w:szCs w:val="24"/>
              </w:rPr>
              <w:t>Policijos departamentas</w:t>
            </w:r>
          </w:p>
          <w:p w:rsidR="00D727AF" w:rsidRDefault="00D727AF" w:rsidP="00507B74">
            <w:pPr>
              <w:rPr>
                <w:rFonts w:cs="Times New Roman"/>
                <w:szCs w:val="24"/>
              </w:rPr>
            </w:pPr>
            <w:r>
              <w:rPr>
                <w:rFonts w:cs="Times New Roman"/>
                <w:szCs w:val="24"/>
              </w:rPr>
              <w:t>prie Lietuvos R</w:t>
            </w:r>
            <w:r w:rsidRPr="00507B74">
              <w:rPr>
                <w:rFonts w:cs="Times New Roman"/>
                <w:szCs w:val="24"/>
              </w:rPr>
              <w:t>espublikos vidaus reikalų ministerijos</w:t>
            </w:r>
            <w:r w:rsidR="009A7E5F">
              <w:rPr>
                <w:rFonts w:cs="Times New Roman"/>
                <w:szCs w:val="24"/>
              </w:rPr>
              <w:t xml:space="preserve"> (toliau – PD)</w:t>
            </w:r>
          </w:p>
          <w:p w:rsidR="00D727AF" w:rsidRDefault="00D727AF" w:rsidP="00507B74">
            <w:pPr>
              <w:rPr>
                <w:rFonts w:cs="Times New Roman"/>
                <w:szCs w:val="24"/>
              </w:rPr>
            </w:pPr>
            <w:r>
              <w:rPr>
                <w:rFonts w:cs="Times New Roman"/>
                <w:szCs w:val="24"/>
              </w:rPr>
              <w:t xml:space="preserve">2020-10-23 Nr. </w:t>
            </w:r>
          </w:p>
        </w:tc>
        <w:tc>
          <w:tcPr>
            <w:tcW w:w="4962" w:type="dxa"/>
          </w:tcPr>
          <w:p w:rsidR="00D727AF" w:rsidRDefault="00D727AF" w:rsidP="00507B74">
            <w:pPr>
              <w:pStyle w:val="Standard"/>
              <w:jc w:val="both"/>
              <w:rPr>
                <w:rFonts w:ascii="Times New Roman" w:hAnsi="Times New Roman"/>
              </w:rPr>
            </w:pPr>
            <w:r>
              <w:rPr>
                <w:rFonts w:ascii="Times New Roman" w:hAnsi="Times New Roman"/>
              </w:rPr>
              <w:t>&lt;...&gt; Atkreipiame dėmesį, kad nurodoma funkcija (įtariamai neblaivių medžiotojų pristatymas į medicinos įstaigą) policijai yra priskiriama naujai, tačiau papildomų išteklių jai vykdyti nėra skiriama.</w:t>
            </w: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pStyle w:val="Standard"/>
              <w:jc w:val="both"/>
              <w:rPr>
                <w:rFonts w:ascii="Times New Roman" w:hAnsi="Times New Roman"/>
              </w:rPr>
            </w:pPr>
          </w:p>
          <w:p w:rsidR="00D727AF" w:rsidRDefault="00D727AF" w:rsidP="00507B74">
            <w:pPr>
              <w:ind w:left="360"/>
              <w:jc w:val="both"/>
              <w:rPr>
                <w:rFonts w:cs="Times New Roman"/>
                <w:szCs w:val="24"/>
              </w:rPr>
            </w:pPr>
          </w:p>
        </w:tc>
        <w:tc>
          <w:tcPr>
            <w:tcW w:w="6597" w:type="dxa"/>
          </w:tcPr>
          <w:p w:rsidR="00D727AF" w:rsidRPr="008155F7" w:rsidRDefault="00D727AF" w:rsidP="00373B0A">
            <w:pPr>
              <w:jc w:val="both"/>
              <w:rPr>
                <w:rFonts w:cs="Times New Roman"/>
                <w:b/>
                <w:bCs/>
                <w:szCs w:val="24"/>
              </w:rPr>
            </w:pPr>
            <w:r w:rsidRPr="008155F7">
              <w:rPr>
                <w:rFonts w:cs="Times New Roman"/>
                <w:b/>
                <w:bCs/>
                <w:szCs w:val="24"/>
              </w:rPr>
              <w:lastRenderedPageBreak/>
              <w:t>Neatsižvelgta</w:t>
            </w:r>
          </w:p>
          <w:p w:rsidR="00D727AF" w:rsidRDefault="00D727AF" w:rsidP="00373B0A">
            <w:pPr>
              <w:jc w:val="both"/>
              <w:rPr>
                <w:rFonts w:cs="Times New Roman"/>
                <w:bCs/>
                <w:szCs w:val="24"/>
              </w:rPr>
            </w:pPr>
          </w:p>
          <w:p w:rsidR="00D727AF" w:rsidRDefault="00D727AF" w:rsidP="008155F7">
            <w:pPr>
              <w:jc w:val="both"/>
              <w:rPr>
                <w:rFonts w:cs="Times New Roman"/>
                <w:bCs/>
                <w:szCs w:val="24"/>
              </w:rPr>
            </w:pPr>
            <w:r>
              <w:rPr>
                <w:rFonts w:cs="Times New Roman"/>
                <w:bCs/>
                <w:szCs w:val="24"/>
              </w:rPr>
              <w:t>T</w:t>
            </w:r>
            <w:r w:rsidRPr="00DE74D9">
              <w:rPr>
                <w:rFonts w:cs="Times New Roman"/>
                <w:bCs/>
                <w:szCs w:val="24"/>
              </w:rPr>
              <w:t>ransporto priemones vairuojančių ir kitų asmenų neblaivumo a</w:t>
            </w:r>
            <w:r>
              <w:rPr>
                <w:rFonts w:cs="Times New Roman"/>
                <w:bCs/>
                <w:szCs w:val="24"/>
              </w:rPr>
              <w:t xml:space="preserve">r apsvaigimo nustatymo taisyklių, patvirtintų </w:t>
            </w:r>
            <w:r w:rsidRPr="00910CC2">
              <w:rPr>
                <w:rFonts w:cs="Times New Roman"/>
                <w:bCs/>
                <w:szCs w:val="24"/>
              </w:rPr>
              <w:t>Vyriausybės 2006-05-12 nutarimo Nr. 452</w:t>
            </w:r>
            <w:r>
              <w:rPr>
                <w:rFonts w:cs="Times New Roman"/>
                <w:bCs/>
                <w:szCs w:val="24"/>
              </w:rPr>
              <w:t xml:space="preserve"> (toliau – taisyklės), 3 punkte nustatyta, kad  „</w:t>
            </w:r>
            <w:r w:rsidRPr="00422AD3">
              <w:rPr>
                <w:rFonts w:cs="Times New Roman"/>
                <w:bCs/>
                <w:szCs w:val="24"/>
              </w:rPr>
              <w:t xml:space="preserve">transporto priemonės vairuotojo, nusikalstamos veikos padarymu įtariamo asmens, </w:t>
            </w:r>
            <w:r w:rsidRPr="00422AD3">
              <w:rPr>
                <w:rFonts w:cs="Times New Roman"/>
                <w:bCs/>
                <w:szCs w:val="24"/>
                <w:u w:val="single"/>
              </w:rPr>
              <w:t>administracinėn atsakomybėn traukiamo asmens tikrinimo objektyviai neįmanoma atlikti, pristato šiuos asmenis į asmens sveikatos priežiūros įstaigą atlikti medicininės apžiūros</w:t>
            </w:r>
            <w:r>
              <w:rPr>
                <w:rFonts w:cs="Times New Roman"/>
                <w:bCs/>
                <w:szCs w:val="24"/>
                <w:u w:val="single"/>
              </w:rPr>
              <w:t>*</w:t>
            </w:r>
            <w:r w:rsidRPr="00422AD3">
              <w:rPr>
                <w:rFonts w:cs="Times New Roman"/>
                <w:bCs/>
                <w:szCs w:val="24"/>
                <w:u w:val="single"/>
              </w:rPr>
              <w:t>.</w:t>
            </w:r>
            <w:r>
              <w:rPr>
                <w:rFonts w:cs="Times New Roman"/>
                <w:bCs/>
                <w:szCs w:val="24"/>
                <w:u w:val="single"/>
              </w:rPr>
              <w:t xml:space="preserve"> </w:t>
            </w:r>
            <w:r w:rsidRPr="008155F7">
              <w:rPr>
                <w:rFonts w:cs="Times New Roman"/>
                <w:bCs/>
                <w:szCs w:val="24"/>
              </w:rPr>
              <w:t>Taip pat</w:t>
            </w:r>
            <w:r w:rsidRPr="00074259">
              <w:rPr>
                <w:rFonts w:cs="Times New Roman"/>
                <w:bCs/>
                <w:szCs w:val="24"/>
              </w:rPr>
              <w:t xml:space="preserve"> taisyklių</w:t>
            </w:r>
            <w:r>
              <w:rPr>
                <w:rFonts w:cs="Times New Roman"/>
                <w:bCs/>
                <w:szCs w:val="24"/>
              </w:rPr>
              <w:t xml:space="preserve"> 5 punkte įtvirtintas turinio prasme analogiškas reglamentavimas, siūlomam nustatyti projekte, kai Lietuvos transporto saugos administracija kreipiasi į policijos įstaigą dėl </w:t>
            </w:r>
            <w:r w:rsidRPr="00853E1F">
              <w:rPr>
                <w:rFonts w:cs="Times New Roman"/>
                <w:bCs/>
                <w:szCs w:val="24"/>
              </w:rPr>
              <w:t>vidaus vandenų</w:t>
            </w:r>
            <w:r>
              <w:rPr>
                <w:rFonts w:cs="Times New Roman"/>
                <w:bCs/>
                <w:szCs w:val="24"/>
              </w:rPr>
              <w:t xml:space="preserve"> transporto priemonės vairuotojo, </w:t>
            </w:r>
            <w:r w:rsidRPr="00853E1F">
              <w:rPr>
                <w:rFonts w:cs="Times New Roman"/>
                <w:bCs/>
                <w:szCs w:val="24"/>
              </w:rPr>
              <w:t xml:space="preserve">jeigu jo </w:t>
            </w:r>
            <w:r>
              <w:rPr>
                <w:rFonts w:cs="Times New Roman"/>
                <w:bCs/>
                <w:szCs w:val="24"/>
              </w:rPr>
              <w:t xml:space="preserve">blaivumo </w:t>
            </w:r>
            <w:r w:rsidRPr="00853E1F">
              <w:rPr>
                <w:rFonts w:cs="Times New Roman"/>
                <w:bCs/>
                <w:szCs w:val="24"/>
              </w:rPr>
              <w:t>tikrinimo objektyviai neįmanoma atlikti,</w:t>
            </w:r>
            <w:r>
              <w:rPr>
                <w:rFonts w:cs="Times New Roman"/>
                <w:bCs/>
                <w:szCs w:val="24"/>
              </w:rPr>
              <w:t xml:space="preserve"> pristatymo į </w:t>
            </w:r>
            <w:r w:rsidRPr="00853E1F">
              <w:rPr>
                <w:rFonts w:cs="Times New Roman"/>
                <w:bCs/>
                <w:szCs w:val="24"/>
              </w:rPr>
              <w:t>asmens sveikatos priežiūros įstaigą atlikti medicininės apžiūros.</w:t>
            </w:r>
            <w:r>
              <w:rPr>
                <w:rFonts w:cs="Times New Roman"/>
                <w:bCs/>
                <w:szCs w:val="24"/>
              </w:rPr>
              <w:t xml:space="preserve"> </w:t>
            </w:r>
          </w:p>
          <w:p w:rsidR="00D727AF" w:rsidRDefault="00D727AF" w:rsidP="008155F7">
            <w:pPr>
              <w:jc w:val="both"/>
              <w:rPr>
                <w:rFonts w:cs="Times New Roman"/>
                <w:bCs/>
                <w:szCs w:val="24"/>
              </w:rPr>
            </w:pPr>
            <w:r>
              <w:rPr>
                <w:rFonts w:cs="Times New Roman"/>
                <w:bCs/>
                <w:szCs w:val="24"/>
              </w:rPr>
              <w:t>Todėl teiginys, kad „</w:t>
            </w:r>
            <w:r w:rsidRPr="008155F7">
              <w:rPr>
                <w:rFonts w:cs="Times New Roman"/>
                <w:bCs/>
                <w:szCs w:val="24"/>
              </w:rPr>
              <w:t>funkcija (įtariamai neblaivių medžiotojų pristatymas į medicinos įstaigą) policijai yra priskiriama naujai</w:t>
            </w:r>
            <w:r>
              <w:rPr>
                <w:rFonts w:cs="Times New Roman"/>
                <w:bCs/>
                <w:szCs w:val="24"/>
              </w:rPr>
              <w:t>“ yra netikslus, nutarimas Nr. 452 nustato policijai funkciją, esant tam tikrom aplinkybėms, pristatyti asmenį į asmens sveikatos priežiūros įstaigą.</w:t>
            </w:r>
          </w:p>
          <w:p w:rsidR="00D727AF" w:rsidRDefault="00D727AF" w:rsidP="008155F7">
            <w:pPr>
              <w:jc w:val="both"/>
              <w:rPr>
                <w:rFonts w:cs="Times New Roman"/>
                <w:bCs/>
                <w:szCs w:val="24"/>
              </w:rPr>
            </w:pPr>
            <w:r>
              <w:rPr>
                <w:rFonts w:cs="Times New Roman"/>
                <w:bCs/>
                <w:szCs w:val="24"/>
              </w:rPr>
              <w:t xml:space="preserve">Pažymėtina, kad dabar visais atvejai, kai kyla įtarimų dėl medžiotojų blaivumo tikrinimo, Aplinkos apsaugos departamento pareigūnai kreipiasi į policiją. Priėmus projektą į policiją kreiptųsi tik išimtiniais atvejais dėl asmens pristatymo asmens sveikatos priežiūros įstaigą. Todėl policijos vykdomos funkcijos apimtis sumažėtų. </w:t>
            </w:r>
          </w:p>
          <w:p w:rsidR="00D727AF" w:rsidRPr="00910CC2" w:rsidRDefault="00D727AF" w:rsidP="00373B0A">
            <w:pPr>
              <w:rPr>
                <w:rFonts w:cs="Times New Roman"/>
                <w:szCs w:val="24"/>
              </w:rPr>
            </w:pPr>
          </w:p>
        </w:tc>
      </w:tr>
      <w:tr w:rsidR="00D727AF" w:rsidTr="0051376C">
        <w:trPr>
          <w:trHeight w:val="2972"/>
        </w:trPr>
        <w:tc>
          <w:tcPr>
            <w:tcW w:w="817" w:type="dxa"/>
            <w:vMerge/>
          </w:tcPr>
          <w:p w:rsidR="00D727AF" w:rsidRPr="00373B0A" w:rsidRDefault="00D727AF" w:rsidP="00373B0A">
            <w:pPr>
              <w:pStyle w:val="ListParagraph"/>
              <w:numPr>
                <w:ilvl w:val="0"/>
                <w:numId w:val="2"/>
              </w:numPr>
              <w:jc w:val="both"/>
              <w:rPr>
                <w:rFonts w:cs="Times New Roman"/>
                <w:szCs w:val="24"/>
              </w:rPr>
            </w:pPr>
          </w:p>
        </w:tc>
        <w:tc>
          <w:tcPr>
            <w:tcW w:w="2126" w:type="dxa"/>
            <w:vMerge/>
          </w:tcPr>
          <w:p w:rsidR="00D727AF" w:rsidRPr="00507B74" w:rsidRDefault="00D727AF" w:rsidP="00507B74">
            <w:pPr>
              <w:rPr>
                <w:rFonts w:cs="Times New Roman"/>
                <w:szCs w:val="24"/>
              </w:rPr>
            </w:pPr>
          </w:p>
        </w:tc>
        <w:tc>
          <w:tcPr>
            <w:tcW w:w="4962" w:type="dxa"/>
          </w:tcPr>
          <w:p w:rsidR="00D727AF" w:rsidRDefault="00D727AF" w:rsidP="00D864EB">
            <w:pPr>
              <w:pStyle w:val="Standard"/>
              <w:jc w:val="both"/>
              <w:rPr>
                <w:rFonts w:ascii="Times New Roman" w:hAnsi="Times New Roman"/>
              </w:rPr>
            </w:pPr>
            <w:r>
              <w:rPr>
                <w:rFonts w:ascii="Times New Roman" w:hAnsi="Times New Roman"/>
              </w:rPr>
              <w:t xml:space="preserve">Pažymėtina, kad 2020 m. spalio 12 d. vykusio darbinio pasitarimo metu tarp Aplinkos ministerijos, Vidaus reikalų ministerijos ir Policijos departamento prie Vidaus reikalų ministerijos atstovų buvo sutarta, kad ši Taisyklių nuostata galima kaip laikina priemonė, iki įsigalios atitinkami Aplinkos ministerijos parengti Administracinių nusižengimų kodekso 597 straipsnio pakeitimai, kuriais aplinkos apsaugos valstybinės kontrolės pareigūnams bus suteikta teisė taikyti administracinį sulaikymą, analogiškai kaip ir policijos, Finansinių nusikaltimų tyrimo tarnybos prie Vidaus reikalų ministerijos, Valstybės sienos apsaugos tarnybos prie Vidaus reikalų ministerijos, Lietuvos Respublikos muitinės, Karo policijos, Vadovybės apsaugos tarnybos pareigūnams. Atkreipiame dėmesį, kad Aplinkos apsaugos valstybinės kontrolės įstatyme aplinkos apsaugos valstybinės kontrolės pareigūnams suteikti platūs įgaliojimai, o Administracinių nusižengimų kodekso 596 straipsnis </w:t>
            </w:r>
            <w:r>
              <w:rPr>
                <w:rFonts w:ascii="Times New Roman" w:hAnsi="Times New Roman"/>
                <w:color w:val="000000"/>
              </w:rPr>
              <w:t>šiems pareigūnams</w:t>
            </w:r>
            <w:r>
              <w:rPr>
                <w:rFonts w:ascii="Times New Roman" w:hAnsi="Times New Roman"/>
              </w:rPr>
              <w:t xml:space="preserve">, kaip ir kitiems </w:t>
            </w:r>
            <w:r>
              <w:rPr>
                <w:rFonts w:ascii="Times New Roman" w:hAnsi="Times New Roman"/>
                <w:color w:val="000000"/>
              </w:rPr>
              <w:t xml:space="preserve">administracinį nusižengimą tiriantiems pareigūnams, leidžia taikyti administracinėn atsakomybėn traukiamo asmens pristatymą. Todėl manome, kad Aplinkos apsaugos departamento pareigūnams turi būti suteikti įgaliojimai patiems pristatyti asmenį į asmens sveikatos priežiūros įstaigą atlikti medicininę apžiūrą. </w:t>
            </w:r>
            <w:r>
              <w:rPr>
                <w:rFonts w:ascii="Times New Roman" w:hAnsi="Times New Roman"/>
              </w:rPr>
              <w:t xml:space="preserve">Atsižvelgdami į tai, </w:t>
            </w:r>
            <w:r w:rsidRPr="001B5CD1">
              <w:rPr>
                <w:rFonts w:ascii="Times New Roman" w:hAnsi="Times New Roman"/>
                <w:i/>
              </w:rPr>
              <w:t>Taisyklių 5¹, 6.2, 8.2, 9 punktų ir papunkčių pakeitimams, kiek tai susiję su policijos pareigūnų pareiga pristatyti medžiotoją į asmens sveikatos priežiūros įstaigą atlikti medicininės apžiūros,</w:t>
            </w:r>
            <w:r>
              <w:rPr>
                <w:rFonts w:ascii="Times New Roman" w:hAnsi="Times New Roman"/>
              </w:rPr>
              <w:t xml:space="preserve"> </w:t>
            </w:r>
            <w:r w:rsidRPr="001B5CD1">
              <w:rPr>
                <w:rFonts w:ascii="Times New Roman" w:hAnsi="Times New Roman"/>
                <w:i/>
              </w:rPr>
              <w:t xml:space="preserve">pritariame su </w:t>
            </w:r>
            <w:r w:rsidRPr="001B5CD1">
              <w:rPr>
                <w:rFonts w:ascii="Times New Roman" w:hAnsi="Times New Roman"/>
                <w:i/>
              </w:rPr>
              <w:lastRenderedPageBreak/>
              <w:t>sąlyga</w:t>
            </w:r>
            <w:r>
              <w:rPr>
                <w:rFonts w:ascii="Times New Roman" w:hAnsi="Times New Roman"/>
                <w:i/>
              </w:rPr>
              <w:t>*</w:t>
            </w:r>
            <w:r>
              <w:rPr>
                <w:rFonts w:ascii="Times New Roman" w:hAnsi="Times New Roman"/>
              </w:rPr>
              <w:t>, kad artimiausiu metu Aplinkos ministerija inicijuos minėtus Administracinių nusižengimų kodekso pakeitimus. Šiuo klausimu siūlome Aplinkos ministerijai parengti protokolinio sprendimo projektą ir jį teikti Lietuvos Respublikos Vyriausybei svarstyti su Projektu.</w:t>
            </w:r>
          </w:p>
        </w:tc>
        <w:tc>
          <w:tcPr>
            <w:tcW w:w="6597" w:type="dxa"/>
          </w:tcPr>
          <w:p w:rsidR="00D727AF" w:rsidRDefault="0018595A" w:rsidP="00373B0A">
            <w:pPr>
              <w:rPr>
                <w:rFonts w:cs="Times New Roman"/>
                <w:b/>
                <w:bCs/>
                <w:szCs w:val="24"/>
              </w:rPr>
            </w:pPr>
            <w:r>
              <w:rPr>
                <w:rFonts w:cs="Times New Roman"/>
                <w:b/>
                <w:bCs/>
                <w:szCs w:val="24"/>
              </w:rPr>
              <w:lastRenderedPageBreak/>
              <w:t>Neatsižvelgta</w:t>
            </w:r>
          </w:p>
          <w:p w:rsidR="0018595A" w:rsidRDefault="0018595A" w:rsidP="00373B0A">
            <w:pPr>
              <w:rPr>
                <w:rFonts w:cs="Times New Roman"/>
                <w:b/>
                <w:bCs/>
                <w:szCs w:val="24"/>
              </w:rPr>
            </w:pPr>
          </w:p>
          <w:p w:rsidR="0018595A" w:rsidRDefault="00117D07" w:rsidP="0082560E">
            <w:pPr>
              <w:jc w:val="both"/>
              <w:rPr>
                <w:rFonts w:cs="Times New Roman"/>
                <w:bCs/>
                <w:szCs w:val="24"/>
              </w:rPr>
            </w:pPr>
            <w:r>
              <w:rPr>
                <w:rFonts w:cs="Times New Roman"/>
                <w:bCs/>
                <w:szCs w:val="24"/>
              </w:rPr>
              <w:t>2020-10-13 Vyriausybės</w:t>
            </w:r>
            <w:r w:rsidR="0082560E">
              <w:rPr>
                <w:rFonts w:cs="Times New Roman"/>
                <w:bCs/>
                <w:szCs w:val="24"/>
              </w:rPr>
              <w:t xml:space="preserve"> kanceliarijos</w:t>
            </w:r>
            <w:r>
              <w:rPr>
                <w:rFonts w:cs="Times New Roman"/>
                <w:bCs/>
                <w:szCs w:val="24"/>
              </w:rPr>
              <w:t xml:space="preserve"> </w:t>
            </w:r>
            <w:proofErr w:type="spellStart"/>
            <w:r>
              <w:rPr>
                <w:rFonts w:cs="Times New Roman"/>
                <w:bCs/>
                <w:szCs w:val="24"/>
              </w:rPr>
              <w:t>tarpinstituciniame</w:t>
            </w:r>
            <w:proofErr w:type="spellEnd"/>
            <w:r>
              <w:rPr>
                <w:rFonts w:cs="Times New Roman"/>
                <w:bCs/>
                <w:szCs w:val="24"/>
              </w:rPr>
              <w:t xml:space="preserve"> pasitarime Vidaus reikalų ministerijos </w:t>
            </w:r>
            <w:r w:rsidR="0082560E">
              <w:rPr>
                <w:rFonts w:cs="Times New Roman"/>
                <w:bCs/>
                <w:szCs w:val="24"/>
              </w:rPr>
              <w:t>kancleris</w:t>
            </w:r>
            <w:r>
              <w:rPr>
                <w:rFonts w:cs="Times New Roman"/>
                <w:bCs/>
                <w:szCs w:val="24"/>
              </w:rPr>
              <w:t xml:space="preserve"> </w:t>
            </w:r>
            <w:r w:rsidR="0082560E">
              <w:rPr>
                <w:rFonts w:cs="Times New Roman"/>
                <w:bCs/>
                <w:szCs w:val="24"/>
              </w:rPr>
              <w:t>informavo</w:t>
            </w:r>
            <w:r>
              <w:rPr>
                <w:rFonts w:cs="Times New Roman"/>
                <w:bCs/>
                <w:szCs w:val="24"/>
              </w:rPr>
              <w:t xml:space="preserve">, kad sutinka su projekto nuostatomis, </w:t>
            </w:r>
            <w:r w:rsidR="0082560E">
              <w:rPr>
                <w:rFonts w:cs="Times New Roman"/>
                <w:bCs/>
                <w:szCs w:val="24"/>
              </w:rPr>
              <w:t>jog</w:t>
            </w:r>
            <w:r>
              <w:rPr>
                <w:rFonts w:cs="Times New Roman"/>
                <w:bCs/>
                <w:szCs w:val="24"/>
              </w:rPr>
              <w:t xml:space="preserve"> išimtiniais atvejai policija pristatytų į asmens sveikatos priežiūros įs</w:t>
            </w:r>
            <w:r w:rsidR="0082560E">
              <w:rPr>
                <w:rFonts w:cs="Times New Roman"/>
                <w:bCs/>
                <w:szCs w:val="24"/>
              </w:rPr>
              <w:t>taigą įtariamą neblaivų medžiotoją, kai jo blaivumo nebus galimybių patikrinti. Siūlymų dėl kitų teisės aktų keitimo neteikta.</w:t>
            </w:r>
          </w:p>
          <w:p w:rsidR="0082560E" w:rsidRDefault="0082560E" w:rsidP="0082560E">
            <w:pPr>
              <w:rPr>
                <w:rFonts w:cs="Times New Roman"/>
                <w:bCs/>
                <w:szCs w:val="24"/>
              </w:rPr>
            </w:pPr>
          </w:p>
          <w:p w:rsidR="00B80699" w:rsidRDefault="0051376C" w:rsidP="00494706">
            <w:pPr>
              <w:jc w:val="both"/>
              <w:rPr>
                <w:rFonts w:cs="Times New Roman"/>
                <w:bCs/>
                <w:szCs w:val="24"/>
              </w:rPr>
            </w:pPr>
            <w:r>
              <w:rPr>
                <w:rFonts w:cs="Times New Roman"/>
                <w:bCs/>
                <w:szCs w:val="24"/>
              </w:rPr>
              <w:t xml:space="preserve">Dėl </w:t>
            </w:r>
            <w:r w:rsidR="00F7370E" w:rsidRPr="00F7370E">
              <w:rPr>
                <w:rFonts w:cs="Times New Roman"/>
                <w:bCs/>
                <w:szCs w:val="24"/>
              </w:rPr>
              <w:t>Administracinių nusižengimų k</w:t>
            </w:r>
            <w:r w:rsidR="00F7370E">
              <w:rPr>
                <w:rFonts w:cs="Times New Roman"/>
                <w:bCs/>
                <w:szCs w:val="24"/>
              </w:rPr>
              <w:t xml:space="preserve">odekso </w:t>
            </w:r>
            <w:r w:rsidR="00BC2E3C">
              <w:rPr>
                <w:rFonts w:cs="Times New Roman"/>
                <w:bCs/>
                <w:szCs w:val="24"/>
              </w:rPr>
              <w:t xml:space="preserve">(toliau – ANK) </w:t>
            </w:r>
            <w:r w:rsidR="00FF709C">
              <w:rPr>
                <w:rFonts w:cs="Times New Roman"/>
                <w:bCs/>
                <w:szCs w:val="24"/>
              </w:rPr>
              <w:t xml:space="preserve">597 straipsnio </w:t>
            </w:r>
            <w:r w:rsidR="00BC2E3C">
              <w:rPr>
                <w:rFonts w:cs="Times New Roman"/>
                <w:bCs/>
                <w:szCs w:val="24"/>
              </w:rPr>
              <w:t xml:space="preserve">keitimo inicijavimo. </w:t>
            </w:r>
            <w:r w:rsidR="001D1A73">
              <w:rPr>
                <w:rFonts w:cs="Times New Roman"/>
                <w:bCs/>
                <w:szCs w:val="24"/>
              </w:rPr>
              <w:t xml:space="preserve">VRM ir PD siūlo plėsti institucijų, galinčių taikyti priemones, susijusiais su asmens teisių ribojimu, sąrašą, įtraukiant </w:t>
            </w:r>
            <w:r w:rsidR="001D1A73" w:rsidRPr="001D1A73">
              <w:rPr>
                <w:rFonts w:cs="Times New Roman"/>
                <w:bCs/>
                <w:szCs w:val="24"/>
              </w:rPr>
              <w:t>Aplinkos apsaugos departamento  prie Aplinkos ministe</w:t>
            </w:r>
            <w:r w:rsidR="001D1A73">
              <w:rPr>
                <w:rFonts w:cs="Times New Roman"/>
                <w:bCs/>
                <w:szCs w:val="24"/>
              </w:rPr>
              <w:t xml:space="preserve">rijos (toliau – AAD) pareigūnus. </w:t>
            </w:r>
            <w:r w:rsidR="001E0511">
              <w:rPr>
                <w:rFonts w:cs="Times New Roman"/>
                <w:bCs/>
                <w:szCs w:val="24"/>
              </w:rPr>
              <w:t xml:space="preserve">ANK 596 str. 1 d. suteikia įgaliojimus </w:t>
            </w:r>
            <w:r w:rsidR="00D662B9" w:rsidRPr="00D662B9">
              <w:rPr>
                <w:rFonts w:cs="Times New Roman"/>
                <w:bCs/>
                <w:szCs w:val="24"/>
              </w:rPr>
              <w:t>admi</w:t>
            </w:r>
            <w:r w:rsidR="00D662B9">
              <w:rPr>
                <w:rFonts w:cs="Times New Roman"/>
                <w:bCs/>
                <w:szCs w:val="24"/>
              </w:rPr>
              <w:t>nistracinį nusižengimą tiriančiam</w:t>
            </w:r>
            <w:r w:rsidR="00D662B9" w:rsidRPr="00D662B9">
              <w:rPr>
                <w:rFonts w:cs="Times New Roman"/>
                <w:bCs/>
                <w:szCs w:val="24"/>
              </w:rPr>
              <w:t xml:space="preserve"> pareigūn</w:t>
            </w:r>
            <w:r w:rsidR="00D662B9">
              <w:rPr>
                <w:rFonts w:cs="Times New Roman"/>
                <w:bCs/>
                <w:szCs w:val="24"/>
              </w:rPr>
              <w:t>ui</w:t>
            </w:r>
            <w:r w:rsidR="001D1A73">
              <w:rPr>
                <w:rFonts w:cs="Times New Roman"/>
                <w:bCs/>
                <w:szCs w:val="24"/>
              </w:rPr>
              <w:t>, įskaitant ir AAD pareigūnui,</w:t>
            </w:r>
            <w:r w:rsidR="00D662B9" w:rsidRPr="00D662B9">
              <w:rPr>
                <w:rFonts w:cs="Times New Roman"/>
                <w:bCs/>
                <w:szCs w:val="24"/>
              </w:rPr>
              <w:t xml:space="preserve"> administracinėn atsakomybėn traukiamą asmenį</w:t>
            </w:r>
            <w:r w:rsidR="001D1A73">
              <w:rPr>
                <w:rFonts w:cs="Times New Roman"/>
                <w:bCs/>
                <w:szCs w:val="24"/>
              </w:rPr>
              <w:t xml:space="preserve"> (galimai neblaivų medžiotoją)</w:t>
            </w:r>
            <w:r w:rsidR="00D662B9" w:rsidRPr="00D662B9">
              <w:rPr>
                <w:rFonts w:cs="Times New Roman"/>
                <w:bCs/>
                <w:szCs w:val="24"/>
              </w:rPr>
              <w:t xml:space="preserve"> pristatyti į at</w:t>
            </w:r>
            <w:r w:rsidR="00D662B9">
              <w:rPr>
                <w:rFonts w:cs="Times New Roman"/>
                <w:bCs/>
                <w:szCs w:val="24"/>
              </w:rPr>
              <w:t xml:space="preserve">itinkamos institucijos patalpas, bet tik </w:t>
            </w:r>
            <w:r w:rsidR="00D662B9" w:rsidRPr="00D662B9">
              <w:rPr>
                <w:rFonts w:cs="Times New Roman"/>
                <w:b/>
                <w:bCs/>
                <w:szCs w:val="24"/>
              </w:rPr>
              <w:t>išimtinai su asmens sutikimu</w:t>
            </w:r>
            <w:r w:rsidR="00A00AD1">
              <w:rPr>
                <w:rFonts w:cs="Times New Roman"/>
                <w:bCs/>
                <w:szCs w:val="24"/>
              </w:rPr>
              <w:t xml:space="preserve"> ir </w:t>
            </w:r>
            <w:r w:rsidR="00A00AD1" w:rsidRPr="00B80699">
              <w:rPr>
                <w:rFonts w:cs="Times New Roman"/>
                <w:bCs/>
                <w:szCs w:val="24"/>
                <w:u w:val="single"/>
              </w:rPr>
              <w:t>tik administracinio nusižengimo protokolui surašyti, kai negalima jo surašyti nusižengimo padarymo vietoje</w:t>
            </w:r>
            <w:r w:rsidR="00A00AD1">
              <w:rPr>
                <w:rFonts w:cs="Times New Roman"/>
                <w:bCs/>
                <w:szCs w:val="24"/>
              </w:rPr>
              <w:t xml:space="preserve">. </w:t>
            </w:r>
            <w:r w:rsidR="00494706" w:rsidRPr="00494706">
              <w:rPr>
                <w:rFonts w:cs="Times New Roman"/>
                <w:bCs/>
                <w:szCs w:val="24"/>
              </w:rPr>
              <w:t>Šis straipsnis nesuteikia teisės pristatinėti asmens į</w:t>
            </w:r>
            <w:r w:rsidR="00494706">
              <w:rPr>
                <w:rFonts w:cs="Times New Roman"/>
                <w:bCs/>
                <w:szCs w:val="24"/>
              </w:rPr>
              <w:t xml:space="preserve"> </w:t>
            </w:r>
            <w:r w:rsidR="00494706" w:rsidRPr="00494706">
              <w:rPr>
                <w:rFonts w:cs="Times New Roman"/>
                <w:bCs/>
                <w:szCs w:val="24"/>
              </w:rPr>
              <w:t>gydymo įstaigą blaivumui nustatyti.</w:t>
            </w:r>
          </w:p>
          <w:p w:rsidR="00E812E8" w:rsidRDefault="00E812E8" w:rsidP="00494706">
            <w:pPr>
              <w:jc w:val="both"/>
              <w:rPr>
                <w:rFonts w:cs="Times New Roman"/>
                <w:bCs/>
                <w:szCs w:val="24"/>
              </w:rPr>
            </w:pPr>
          </w:p>
          <w:p w:rsidR="00074259" w:rsidRDefault="00B80699" w:rsidP="00A049F4">
            <w:pPr>
              <w:jc w:val="both"/>
              <w:rPr>
                <w:rFonts w:cs="Times New Roman"/>
                <w:bCs/>
                <w:szCs w:val="24"/>
              </w:rPr>
            </w:pPr>
            <w:r w:rsidRPr="00B80699">
              <w:rPr>
                <w:rFonts w:cs="Times New Roman"/>
                <w:bCs/>
                <w:szCs w:val="24"/>
              </w:rPr>
              <w:t>ANK 597 str. reglamentuoja administracinės prievartos priemonės – administracinio sulaikymo – taikymą. ANK 597 str. 9 d. įtvirtintas baigtinis institucijų, galinčių taikyti, administracinį sulaikymą sąrašas. AAD pareigūnams tokios teisės įstatymas nesuteikia</w:t>
            </w:r>
            <w:r>
              <w:rPr>
                <w:rFonts w:cs="Times New Roman"/>
                <w:bCs/>
                <w:szCs w:val="24"/>
              </w:rPr>
              <w:t xml:space="preserve">. </w:t>
            </w:r>
            <w:r w:rsidR="00A00AD1">
              <w:rPr>
                <w:rFonts w:cs="Times New Roman"/>
                <w:bCs/>
                <w:szCs w:val="24"/>
              </w:rPr>
              <w:t xml:space="preserve">ANK </w:t>
            </w:r>
            <w:r w:rsidR="0049062E" w:rsidRPr="0049062E">
              <w:rPr>
                <w:rFonts w:cs="Times New Roman"/>
                <w:bCs/>
                <w:szCs w:val="24"/>
              </w:rPr>
              <w:t>597 str.</w:t>
            </w:r>
            <w:r w:rsidR="0049062E">
              <w:rPr>
                <w:rFonts w:cs="Times New Roman"/>
                <w:bCs/>
                <w:szCs w:val="24"/>
              </w:rPr>
              <w:t xml:space="preserve"> 10 d. </w:t>
            </w:r>
            <w:r w:rsidR="00D3661A">
              <w:rPr>
                <w:rFonts w:cs="Times New Roman"/>
                <w:bCs/>
                <w:szCs w:val="24"/>
              </w:rPr>
              <w:t>įtvirtinta, kad 597 str. 9 d.</w:t>
            </w:r>
            <w:r w:rsidR="00D3661A" w:rsidRPr="00D3661A">
              <w:rPr>
                <w:rFonts w:cs="Times New Roman"/>
                <w:bCs/>
                <w:szCs w:val="24"/>
              </w:rPr>
              <w:t xml:space="preserve"> nenurodytų institucijų pareigūnai</w:t>
            </w:r>
            <w:r>
              <w:rPr>
                <w:rFonts w:cs="Times New Roman"/>
                <w:bCs/>
                <w:szCs w:val="24"/>
              </w:rPr>
              <w:t>, t.</w:t>
            </w:r>
            <w:r w:rsidR="00E043DC">
              <w:rPr>
                <w:rFonts w:cs="Times New Roman"/>
                <w:bCs/>
                <w:szCs w:val="24"/>
              </w:rPr>
              <w:t xml:space="preserve"> </w:t>
            </w:r>
            <w:r>
              <w:rPr>
                <w:rFonts w:cs="Times New Roman"/>
                <w:bCs/>
                <w:szCs w:val="24"/>
              </w:rPr>
              <w:t>y. ir AAD,</w:t>
            </w:r>
            <w:r w:rsidR="00D3661A" w:rsidRPr="00D3661A">
              <w:rPr>
                <w:rFonts w:cs="Times New Roman"/>
                <w:bCs/>
                <w:szCs w:val="24"/>
              </w:rPr>
              <w:t xml:space="preserve"> gali kreiptis į policiją dėl administracinėn atsakomybėn traukiamo asmens sulaikymo.</w:t>
            </w:r>
            <w:r w:rsidR="00D3661A">
              <w:rPr>
                <w:rFonts w:cs="Times New Roman"/>
                <w:bCs/>
                <w:szCs w:val="24"/>
              </w:rPr>
              <w:t xml:space="preserve"> </w:t>
            </w:r>
            <w:r w:rsidR="00D3661A" w:rsidRPr="00D3661A">
              <w:rPr>
                <w:rFonts w:cs="Times New Roman"/>
                <w:bCs/>
                <w:szCs w:val="24"/>
              </w:rPr>
              <w:t>Šios teisės įgyvendinimas, susijęs su asmenų teisių suvaržymų ir turi būti ypač pasvertas, išanalizuotos galim</w:t>
            </w:r>
            <w:r w:rsidR="00D3661A">
              <w:rPr>
                <w:rFonts w:cs="Times New Roman"/>
                <w:bCs/>
                <w:szCs w:val="24"/>
              </w:rPr>
              <w:t>os grėsmės</w:t>
            </w:r>
            <w:r w:rsidR="00E043DC">
              <w:rPr>
                <w:rFonts w:cs="Times New Roman"/>
                <w:bCs/>
                <w:szCs w:val="24"/>
              </w:rPr>
              <w:t>, tinkamas įgyvendinimas</w:t>
            </w:r>
            <w:r w:rsidR="00D3661A">
              <w:rPr>
                <w:rFonts w:cs="Times New Roman"/>
                <w:bCs/>
                <w:szCs w:val="24"/>
              </w:rPr>
              <w:t>. Atsižvelgiant į pateiktus argumentus, s</w:t>
            </w:r>
            <w:r w:rsidR="00D3661A" w:rsidRPr="00D3661A">
              <w:rPr>
                <w:rFonts w:cs="Times New Roman"/>
                <w:bCs/>
                <w:szCs w:val="24"/>
              </w:rPr>
              <w:t>iūloma nepritarti skubotam ANK 597 str. keitimui.</w:t>
            </w:r>
            <w:r w:rsidR="00F52444">
              <w:rPr>
                <w:rFonts w:cs="Times New Roman"/>
                <w:bCs/>
                <w:szCs w:val="24"/>
              </w:rPr>
              <w:t xml:space="preserve"> </w:t>
            </w:r>
            <w:r w:rsidR="00F52444">
              <w:rPr>
                <w:rFonts w:cs="Times New Roman"/>
                <w:bCs/>
                <w:szCs w:val="24"/>
              </w:rPr>
              <w:lastRenderedPageBreak/>
              <w:t xml:space="preserve">Projekte siūlomas įtvirtinti reglamentavimas visiškai atitinka ANK nuostatas, todėl siūloma joms pritarti. </w:t>
            </w:r>
          </w:p>
          <w:p w:rsidR="0082560E" w:rsidRPr="0018595A" w:rsidRDefault="0082560E" w:rsidP="00B80699">
            <w:pPr>
              <w:jc w:val="both"/>
              <w:rPr>
                <w:rFonts w:cs="Times New Roman"/>
                <w:bCs/>
                <w:szCs w:val="24"/>
              </w:rPr>
            </w:pPr>
          </w:p>
        </w:tc>
      </w:tr>
      <w:tr w:rsidR="00373B0A" w:rsidTr="00372B85">
        <w:tc>
          <w:tcPr>
            <w:tcW w:w="817" w:type="dxa"/>
          </w:tcPr>
          <w:p w:rsidR="00373B0A" w:rsidRPr="00373B0A" w:rsidRDefault="00373B0A" w:rsidP="00373B0A">
            <w:pPr>
              <w:pStyle w:val="ListParagraph"/>
              <w:numPr>
                <w:ilvl w:val="0"/>
                <w:numId w:val="2"/>
              </w:numPr>
              <w:rPr>
                <w:rFonts w:cs="Times New Roman"/>
                <w:szCs w:val="24"/>
              </w:rPr>
            </w:pPr>
          </w:p>
        </w:tc>
        <w:tc>
          <w:tcPr>
            <w:tcW w:w="2126" w:type="dxa"/>
          </w:tcPr>
          <w:p w:rsidR="00373B0A" w:rsidRDefault="00373B0A" w:rsidP="00507B74">
            <w:pPr>
              <w:rPr>
                <w:rFonts w:cs="Times New Roman"/>
                <w:szCs w:val="24"/>
              </w:rPr>
            </w:pPr>
            <w:r>
              <w:rPr>
                <w:rFonts w:cs="Times New Roman"/>
                <w:szCs w:val="24"/>
              </w:rPr>
              <w:t>Vidaus reikalų ministerija</w:t>
            </w:r>
            <w:r w:rsidR="00BC2E3C">
              <w:rPr>
                <w:rFonts w:cs="Times New Roman"/>
                <w:szCs w:val="24"/>
              </w:rPr>
              <w:t xml:space="preserve"> (toliau – VRM)</w:t>
            </w:r>
          </w:p>
          <w:p w:rsidR="00373B0A" w:rsidRPr="00507B74" w:rsidRDefault="00373B0A" w:rsidP="00507B74">
            <w:pPr>
              <w:rPr>
                <w:rFonts w:cs="Times New Roman"/>
                <w:szCs w:val="24"/>
              </w:rPr>
            </w:pPr>
            <w:r w:rsidRPr="00A2444E">
              <w:rPr>
                <w:rFonts w:cs="Times New Roman"/>
                <w:szCs w:val="24"/>
              </w:rPr>
              <w:t>2020-10-23</w:t>
            </w:r>
            <w:r>
              <w:rPr>
                <w:rFonts w:cs="Times New Roman"/>
                <w:szCs w:val="24"/>
              </w:rPr>
              <w:t xml:space="preserve"> Nr.</w:t>
            </w:r>
            <w:r>
              <w:t xml:space="preserve"> </w:t>
            </w:r>
            <w:r w:rsidRPr="00A2444E">
              <w:rPr>
                <w:rFonts w:cs="Times New Roman"/>
                <w:szCs w:val="24"/>
              </w:rPr>
              <w:t>1D-5621</w:t>
            </w:r>
            <w:r>
              <w:rPr>
                <w:rFonts w:cs="Times New Roman"/>
                <w:szCs w:val="24"/>
              </w:rPr>
              <w:t xml:space="preserve"> </w:t>
            </w:r>
          </w:p>
        </w:tc>
        <w:tc>
          <w:tcPr>
            <w:tcW w:w="4962" w:type="dxa"/>
          </w:tcPr>
          <w:p w:rsidR="00373B0A" w:rsidRPr="00A2444E" w:rsidRDefault="00373B0A" w:rsidP="00A2444E">
            <w:pPr>
              <w:pStyle w:val="Standard"/>
              <w:jc w:val="both"/>
              <w:rPr>
                <w:rFonts w:ascii="Times New Roman" w:hAnsi="Times New Roman"/>
              </w:rPr>
            </w:pPr>
            <w:r>
              <w:rPr>
                <w:rFonts w:ascii="Times New Roman" w:hAnsi="Times New Roman"/>
              </w:rPr>
              <w:t xml:space="preserve">&lt;...&gt; </w:t>
            </w:r>
            <w:r w:rsidRPr="00A2444E">
              <w:rPr>
                <w:rFonts w:ascii="Times New Roman" w:hAnsi="Times New Roman"/>
              </w:rPr>
              <w:t>Atkreipiame dėmesį, kad nurodoma funkcija (įtariamai neblaivių medžiotojų pristatymas į medicinos įstaigą) policijai yra priskiriama naujai, tačiau papildomų išteklių jai vykdyti nėra skiriama. Pažymėtina, kad 2020 m. spalio 12 d. vykusio darbinio pasitarimo metu Lietuvos Respublikos aplinkos ministerijos (toliau – Aplinkos ministerija), Lietuvos Respublikos vidaus reikalų ministerijos (toliau – Vidaus reikalų ministerija) ir Policijos departamento prie Vidaus reikalų ministerijos atstovai sutarė, kad ši Taisyklių nuostata galima kaip laikina priemonė, iki įsigalios atitinkami Aplinkos ministerijos parengti Lietuvos Respublikos administracinių nusižengimų kodekso (toliau – ANK) 597 straipsnio pakeitimai, kuriais aplinkos apsaugos valstybinės kontrolės pareigūnams bus suteikta teisė taikyti administracinį sulaikymą taip pat, kaip ir policijos, Finansinių nusikaltimų tyrimo tarnybos prie Vidaus reikalų ministerijos, Valstybės sienos apsaugos tarnybos prie Vidaus reikalų ministerijos, Lietuvos Respublikos muitinės, Lietuvos kariuomenės Karo policijos, Lietuvos Respublikos vadovybės apsaugos tarnybos pareigūnams.</w:t>
            </w:r>
          </w:p>
          <w:p w:rsidR="00373B0A" w:rsidRPr="00A2444E" w:rsidRDefault="00373B0A" w:rsidP="00A2444E">
            <w:pPr>
              <w:pStyle w:val="Standard"/>
              <w:jc w:val="both"/>
              <w:rPr>
                <w:rFonts w:ascii="Times New Roman" w:hAnsi="Times New Roman"/>
              </w:rPr>
            </w:pPr>
          </w:p>
          <w:p w:rsidR="00373B0A" w:rsidRPr="00A2444E" w:rsidRDefault="00373B0A" w:rsidP="00A2444E">
            <w:pPr>
              <w:pStyle w:val="Standard"/>
              <w:jc w:val="both"/>
              <w:rPr>
                <w:rFonts w:ascii="Times New Roman" w:hAnsi="Times New Roman"/>
              </w:rPr>
            </w:pPr>
            <w:r w:rsidRPr="00A2444E">
              <w:rPr>
                <w:rFonts w:ascii="Times New Roman" w:hAnsi="Times New Roman"/>
              </w:rPr>
              <w:t>Atkreiptinas dėmesys, kad Lietuvos Respublikos aplinkos apsaugos valstybinės kontrolės įstatymo 41 straipsnio 6 dalies 2 punkto nuostatos aplinkos apsaugos valstybinės kontrolės pareigūnams suteikia teisę panaudoti prievartą konvojuojant arba pristatant į policijos įstaigą, kitą instituciją ar įstaigą administracinius nusižengimus ar nusikalstamas veikas padariusius (galimai padariusius) asmenis.</w:t>
            </w:r>
          </w:p>
          <w:p w:rsidR="00373B0A" w:rsidRPr="00A2444E" w:rsidRDefault="00373B0A" w:rsidP="00A2444E">
            <w:pPr>
              <w:pStyle w:val="Standard"/>
              <w:jc w:val="both"/>
              <w:rPr>
                <w:rFonts w:ascii="Times New Roman" w:hAnsi="Times New Roman"/>
              </w:rPr>
            </w:pPr>
          </w:p>
          <w:p w:rsidR="00373B0A" w:rsidRDefault="00373B0A" w:rsidP="008155F7">
            <w:pPr>
              <w:pStyle w:val="Standard"/>
              <w:jc w:val="both"/>
              <w:rPr>
                <w:rFonts w:ascii="Times New Roman" w:hAnsi="Times New Roman"/>
              </w:rPr>
            </w:pPr>
            <w:r w:rsidRPr="00A2444E">
              <w:rPr>
                <w:rFonts w:ascii="Times New Roman" w:hAnsi="Times New Roman"/>
              </w:rPr>
              <w:t xml:space="preserve">Dėl minėtų priežasčių manome, kad ANK 597 straipsnyje Aplinkos apsaugos departamento pareigūnams turi būti suteikti įgaliojimai patiems pristatyti asmenį į asmens sveikatos priežiūros įstaigą atlikti medicininę apžiūrą. Atsižvelgdami į tai, </w:t>
            </w:r>
            <w:r w:rsidRPr="001B5CD1">
              <w:rPr>
                <w:rFonts w:ascii="Times New Roman" w:hAnsi="Times New Roman"/>
                <w:i/>
              </w:rPr>
              <w:t>Taisyklių projektu keičiamų 5¹, 6.2, 8.2, 9 punktų ir papunkčių pakeitimams, kiek tai susiję su policijos pareigūnų pareiga pristatyti medžiotoją į asmens sveikatos priežiūros įstaigą atlikti medicininę apžiūrą,</w:t>
            </w:r>
            <w:r w:rsidRPr="00A2444E">
              <w:rPr>
                <w:rFonts w:ascii="Times New Roman" w:hAnsi="Times New Roman"/>
              </w:rPr>
              <w:t xml:space="preserve"> </w:t>
            </w:r>
            <w:r w:rsidR="008155F7">
              <w:rPr>
                <w:rFonts w:ascii="Times New Roman" w:hAnsi="Times New Roman"/>
                <w:i/>
              </w:rPr>
              <w:t>pritariame su sąlyga*</w:t>
            </w:r>
            <w:r w:rsidRPr="00A2444E">
              <w:rPr>
                <w:rFonts w:ascii="Times New Roman" w:hAnsi="Times New Roman"/>
              </w:rPr>
              <w:t>, kad artimiausiu metu Aplinkos ministerija inicijuos minėtus ANK pakeitimus. Šiuo klausimu siūlome Aplinkos ministerijai parengti protokolinio sprendimo projektą ir jį teikti Lietuvos Respublikos Vyriausybei svarstyti kartu su Projektu.</w:t>
            </w:r>
          </w:p>
        </w:tc>
        <w:tc>
          <w:tcPr>
            <w:tcW w:w="6597" w:type="dxa"/>
          </w:tcPr>
          <w:p w:rsidR="00373B0A" w:rsidRDefault="00BD4A45" w:rsidP="00E10815">
            <w:pPr>
              <w:rPr>
                <w:rFonts w:cs="Times New Roman"/>
                <w:b/>
                <w:szCs w:val="24"/>
              </w:rPr>
            </w:pPr>
            <w:r>
              <w:rPr>
                <w:rFonts w:cs="Times New Roman"/>
                <w:b/>
                <w:szCs w:val="24"/>
              </w:rPr>
              <w:lastRenderedPageBreak/>
              <w:t>Nepritarti</w:t>
            </w:r>
          </w:p>
          <w:p w:rsidR="00BD4A45" w:rsidRPr="00BD4A45" w:rsidRDefault="00BD4A45" w:rsidP="00E10815">
            <w:pPr>
              <w:rPr>
                <w:rFonts w:cs="Times New Roman"/>
                <w:szCs w:val="24"/>
              </w:rPr>
            </w:pPr>
          </w:p>
          <w:p w:rsidR="00BD4A45" w:rsidRPr="00070EDA" w:rsidRDefault="00BD4A45" w:rsidP="00BD4A45">
            <w:pPr>
              <w:rPr>
                <w:rFonts w:cs="Times New Roman"/>
                <w:b/>
                <w:szCs w:val="24"/>
              </w:rPr>
            </w:pPr>
            <w:r w:rsidRPr="00BD4A45">
              <w:rPr>
                <w:rFonts w:cs="Times New Roman"/>
                <w:szCs w:val="24"/>
              </w:rPr>
              <w:t>Žiūrėti atsiliepimą į pastabas Nr. 1</w:t>
            </w:r>
          </w:p>
        </w:tc>
      </w:tr>
      <w:tr w:rsidR="002001EF" w:rsidTr="00372B85">
        <w:tc>
          <w:tcPr>
            <w:tcW w:w="817" w:type="dxa"/>
          </w:tcPr>
          <w:p w:rsidR="002001EF" w:rsidRPr="00373B0A" w:rsidRDefault="002001EF" w:rsidP="00373B0A">
            <w:pPr>
              <w:pStyle w:val="ListParagraph"/>
              <w:numPr>
                <w:ilvl w:val="0"/>
                <w:numId w:val="2"/>
              </w:numPr>
              <w:rPr>
                <w:rFonts w:cs="Times New Roman"/>
                <w:szCs w:val="24"/>
              </w:rPr>
            </w:pPr>
          </w:p>
        </w:tc>
        <w:tc>
          <w:tcPr>
            <w:tcW w:w="2126" w:type="dxa"/>
          </w:tcPr>
          <w:p w:rsidR="002001EF" w:rsidRDefault="002001EF" w:rsidP="00507B74">
            <w:pPr>
              <w:rPr>
                <w:rFonts w:cs="Times New Roman"/>
                <w:szCs w:val="24"/>
              </w:rPr>
            </w:pPr>
            <w:r>
              <w:rPr>
                <w:rFonts w:cs="Times New Roman"/>
                <w:szCs w:val="24"/>
              </w:rPr>
              <w:t>Sveikatos apsaugos ministerija</w:t>
            </w:r>
          </w:p>
          <w:p w:rsidR="002001EF" w:rsidRDefault="002001EF" w:rsidP="00507B74">
            <w:pPr>
              <w:rPr>
                <w:rFonts w:cs="Times New Roman"/>
                <w:szCs w:val="24"/>
              </w:rPr>
            </w:pPr>
            <w:r>
              <w:rPr>
                <w:rFonts w:cs="Times New Roman"/>
                <w:szCs w:val="24"/>
              </w:rPr>
              <w:t xml:space="preserve">2020-10-28 raštas </w:t>
            </w:r>
            <w:r w:rsidR="009A0B2E">
              <w:rPr>
                <w:rFonts w:cs="Times New Roman"/>
                <w:szCs w:val="24"/>
              </w:rPr>
              <w:t>Nr. 10-7642</w:t>
            </w:r>
          </w:p>
        </w:tc>
        <w:tc>
          <w:tcPr>
            <w:tcW w:w="4962" w:type="dxa"/>
          </w:tcPr>
          <w:p w:rsidR="002001EF" w:rsidRDefault="002001EF" w:rsidP="00A2444E">
            <w:pPr>
              <w:pStyle w:val="Standard"/>
              <w:jc w:val="both"/>
              <w:rPr>
                <w:rFonts w:ascii="Times New Roman" w:hAnsi="Times New Roman"/>
              </w:rPr>
            </w:pPr>
            <w:r>
              <w:t xml:space="preserve">1. Dėl Nutarimo projektu siūlomos tikslinti vertinamojo pobūdžio sąlygos „kai įtariamas esant neblaiviu asmuo dėl savo būklės nesugeba atlikti būtinų tikrinimui veiksmų“, pareigūnų turi būti pristatomas į asmens sveikatos priežiūros įstaigą atlikti medicininės apžiūros: atsižvelgiant į tai, kad praktikoje gali susidaryti kitų nenumatytų objektyvių aplinkybių (pvz., dėl aplinkos veiksnių, techninių kliūčių, ar kt., </w:t>
            </w:r>
            <w:r>
              <w:lastRenderedPageBreak/>
              <w:t>kurios nebūtų susijusios vien su įtariamo esant neblaiviu asmens būkle (somatinės ar psichikos sveikatos būklės paūmėjimu, alkoholio ir/ar kitų psichoaktyvių medžiagų vartojimu, ar jų kombinacijos), bei siekiant išvengti galimo piktnaudžiavimo įvardyta sąlyga, siūloma pasilikti prie galiojančios Nutarimo formuluotės, arba tikslinti sąlygą „</w:t>
            </w:r>
            <w:r w:rsidRPr="004277F9">
              <w:t>kai įtariamo neblaivumu asmens tikrinimo neįmanoma atlikti dėl pareigūno įvardintų objektyvių priežasčių</w:t>
            </w:r>
            <w:r>
              <w:t>“. Siūloma formuluotė leistų lanksčiai taikyti sąlygą praktikoje ir dėl prievolės protokole įvardinti objektyvią priežastį būtų užtikrintas didesnis skaidrumas (tiek iš įtariamų neblaivių asmenų, tiek iš pareigūnų pusės). Be to, manytina, toks sąlygos užfiksavimas gali būti svarbus tolesnėje administracinės procedūros eigoje. Atkreiptinas dėmesys, kad šios sąlygos vieningas įvardijimas Nutarime turėtų būti ir Transporto priemones vairuojančių ir kitų asmenų neblaivumo ar apsvaigimo nustatymo taisyklių (toliau – Taisyklės) 14, 23 punktuose, bei suderintas su atitinkamomis suinteresuotomis institucijomis</w:t>
            </w:r>
            <w:r w:rsidR="004277F9">
              <w:t>.</w:t>
            </w:r>
          </w:p>
        </w:tc>
        <w:tc>
          <w:tcPr>
            <w:tcW w:w="6597" w:type="dxa"/>
          </w:tcPr>
          <w:p w:rsidR="002001EF" w:rsidRDefault="00AB27B4" w:rsidP="00E10815">
            <w:pPr>
              <w:rPr>
                <w:rFonts w:cs="Times New Roman"/>
                <w:b/>
                <w:szCs w:val="24"/>
              </w:rPr>
            </w:pPr>
            <w:r>
              <w:rPr>
                <w:rFonts w:cs="Times New Roman"/>
                <w:b/>
                <w:szCs w:val="24"/>
              </w:rPr>
              <w:lastRenderedPageBreak/>
              <w:t>Atsižvelgta iš dalies</w:t>
            </w:r>
          </w:p>
          <w:p w:rsidR="00AB27B4" w:rsidRDefault="00AB27B4" w:rsidP="00E10815">
            <w:pPr>
              <w:rPr>
                <w:rFonts w:cs="Times New Roman"/>
                <w:b/>
                <w:szCs w:val="24"/>
              </w:rPr>
            </w:pPr>
          </w:p>
          <w:p w:rsidR="00F96D2F" w:rsidRPr="00AB27B4" w:rsidRDefault="007549C3" w:rsidP="007628C4">
            <w:pPr>
              <w:jc w:val="both"/>
              <w:rPr>
                <w:rFonts w:cs="Times New Roman"/>
                <w:szCs w:val="24"/>
              </w:rPr>
            </w:pPr>
            <w:proofErr w:type="spellStart"/>
            <w:r>
              <w:rPr>
                <w:rFonts w:cs="Times New Roman"/>
                <w:szCs w:val="24"/>
              </w:rPr>
              <w:t>Sistemiškai</w:t>
            </w:r>
            <w:proofErr w:type="spellEnd"/>
            <w:r>
              <w:rPr>
                <w:rFonts w:cs="Times New Roman"/>
                <w:szCs w:val="24"/>
              </w:rPr>
              <w:t xml:space="preserve"> suvienodinamas formuluočių vartojimas </w:t>
            </w:r>
            <w:r w:rsidRPr="007549C3">
              <w:rPr>
                <w:rFonts w:cs="Times New Roman"/>
                <w:szCs w:val="24"/>
              </w:rPr>
              <w:t>Transporto priemones vairuojančių ir kitų asmenų neblaivumo ar apsvaigimo nustatymo taisyklių</w:t>
            </w:r>
            <w:r w:rsidR="00B106B1">
              <w:rPr>
                <w:rFonts w:cs="Times New Roman"/>
                <w:szCs w:val="24"/>
              </w:rPr>
              <w:t xml:space="preserve"> (toliau – taisyklių)</w:t>
            </w:r>
            <w:r w:rsidRPr="007549C3">
              <w:rPr>
                <w:rFonts w:cs="Times New Roman"/>
                <w:szCs w:val="24"/>
              </w:rPr>
              <w:t xml:space="preserve"> </w:t>
            </w:r>
            <w:r>
              <w:rPr>
                <w:rFonts w:cs="Times New Roman"/>
                <w:szCs w:val="24"/>
              </w:rPr>
              <w:t>14, 23 punkt</w:t>
            </w:r>
            <w:r w:rsidR="00F96D2F">
              <w:rPr>
                <w:rFonts w:cs="Times New Roman"/>
                <w:szCs w:val="24"/>
              </w:rPr>
              <w:t>uose.</w:t>
            </w:r>
            <w:r w:rsidR="00B106B1">
              <w:rPr>
                <w:rFonts w:cs="Times New Roman"/>
                <w:szCs w:val="24"/>
              </w:rPr>
              <w:t xml:space="preserve"> </w:t>
            </w:r>
            <w:r w:rsidR="007628C4">
              <w:rPr>
                <w:rFonts w:cs="Times New Roman"/>
                <w:szCs w:val="24"/>
              </w:rPr>
              <w:t>Patikslinta</w:t>
            </w:r>
            <w:r w:rsidR="00B106B1">
              <w:rPr>
                <w:rFonts w:cs="Times New Roman"/>
                <w:szCs w:val="24"/>
              </w:rPr>
              <w:t xml:space="preserve"> projekte siūloma </w:t>
            </w:r>
            <w:r w:rsidR="007628C4">
              <w:rPr>
                <w:rFonts w:cs="Times New Roman"/>
                <w:szCs w:val="24"/>
              </w:rPr>
              <w:t xml:space="preserve">vartoti </w:t>
            </w:r>
            <w:r w:rsidR="00B106B1">
              <w:rPr>
                <w:rFonts w:cs="Times New Roman"/>
                <w:szCs w:val="24"/>
              </w:rPr>
              <w:t>formuluotė „</w:t>
            </w:r>
            <w:r w:rsidR="00B106B1" w:rsidRPr="00B106B1">
              <w:rPr>
                <w:rFonts w:cs="Times New Roman"/>
                <w:szCs w:val="24"/>
              </w:rPr>
              <w:t>asmuo dėl savo būklės nesugeba atlikti būtinų tikrinimui veiksmų</w:t>
            </w:r>
            <w:r w:rsidR="00B106B1">
              <w:rPr>
                <w:rFonts w:cs="Times New Roman"/>
                <w:szCs w:val="24"/>
              </w:rPr>
              <w:t xml:space="preserve">“ </w:t>
            </w:r>
            <w:r w:rsidR="007628C4">
              <w:rPr>
                <w:rFonts w:cs="Times New Roman"/>
                <w:szCs w:val="24"/>
              </w:rPr>
              <w:t>į „</w:t>
            </w:r>
            <w:r w:rsidR="007628C4" w:rsidRPr="007628C4">
              <w:rPr>
                <w:rFonts w:cs="Times New Roman"/>
                <w:szCs w:val="24"/>
              </w:rPr>
              <w:t xml:space="preserve">traukiamas asmuo dėl tikrinimo metu esamos savo būklės negali atlikti veiksmų dėl jo </w:t>
            </w:r>
            <w:r w:rsidR="007628C4">
              <w:rPr>
                <w:rFonts w:cs="Times New Roman"/>
                <w:szCs w:val="24"/>
              </w:rPr>
              <w:t>asmens</w:t>
            </w:r>
            <w:r w:rsidR="007628C4" w:rsidRPr="007628C4">
              <w:rPr>
                <w:rFonts w:cs="Times New Roman"/>
                <w:szCs w:val="24"/>
              </w:rPr>
              <w:t xml:space="preserve"> patikrinimo</w:t>
            </w:r>
            <w:r w:rsidR="007628C4">
              <w:rPr>
                <w:rFonts w:cs="Times New Roman"/>
                <w:szCs w:val="24"/>
              </w:rPr>
              <w:t>“. Ši formuluotė</w:t>
            </w:r>
            <w:r w:rsidR="007628C4" w:rsidRPr="007628C4">
              <w:rPr>
                <w:rFonts w:cs="Times New Roman"/>
                <w:szCs w:val="24"/>
              </w:rPr>
              <w:t xml:space="preserve"> </w:t>
            </w:r>
            <w:r w:rsidR="00B106B1">
              <w:rPr>
                <w:rFonts w:cs="Times New Roman"/>
                <w:szCs w:val="24"/>
              </w:rPr>
              <w:t xml:space="preserve">apima fizinio </w:t>
            </w:r>
            <w:r w:rsidR="00B106B1">
              <w:rPr>
                <w:rFonts w:cs="Times New Roman"/>
                <w:szCs w:val="24"/>
              </w:rPr>
              <w:lastRenderedPageBreak/>
              <w:t xml:space="preserve">asmens somatinės būklės ir (arba) psichinės būklės aspektus. </w:t>
            </w:r>
            <w:r w:rsidR="00570B9A">
              <w:rPr>
                <w:rFonts w:cs="Times New Roman"/>
                <w:szCs w:val="24"/>
              </w:rPr>
              <w:t>Galiojančių</w:t>
            </w:r>
            <w:r w:rsidR="00B106B1">
              <w:rPr>
                <w:rFonts w:cs="Times New Roman"/>
                <w:szCs w:val="24"/>
              </w:rPr>
              <w:t xml:space="preserve"> </w:t>
            </w:r>
            <w:r w:rsidR="00570B9A">
              <w:rPr>
                <w:rFonts w:cs="Times New Roman"/>
                <w:szCs w:val="24"/>
              </w:rPr>
              <w:t>t</w:t>
            </w:r>
            <w:r w:rsidR="00B106B1">
              <w:rPr>
                <w:rFonts w:cs="Times New Roman"/>
                <w:szCs w:val="24"/>
              </w:rPr>
              <w:t xml:space="preserve">aisyklių 14 ir 23 punktuose, kurie reglamentuoja </w:t>
            </w:r>
            <w:r w:rsidR="005E37F4">
              <w:rPr>
                <w:rFonts w:cs="Times New Roman"/>
                <w:szCs w:val="24"/>
              </w:rPr>
              <w:t>darbdavio veiksmus, įtvirtinti du alternatyvūs pagrindai, kai darbuotojas siunčiamas į gydymo įstaigą: 1) „k</w:t>
            </w:r>
            <w:r w:rsidR="005E37F4" w:rsidRPr="005E37F4">
              <w:rPr>
                <w:rFonts w:cs="Times New Roman"/>
                <w:szCs w:val="24"/>
              </w:rPr>
              <w:t xml:space="preserve">ai </w:t>
            </w:r>
            <w:r w:rsidR="005E37F4" w:rsidRPr="005E37F4">
              <w:rPr>
                <w:rFonts w:cs="Times New Roman"/>
                <w:szCs w:val="24"/>
                <w:u w:val="single"/>
              </w:rPr>
              <w:t>darbdavys</w:t>
            </w:r>
            <w:r w:rsidR="005E37F4" w:rsidRPr="005E37F4">
              <w:rPr>
                <w:rFonts w:cs="Times New Roman"/>
                <w:szCs w:val="24"/>
              </w:rPr>
              <w:t xml:space="preserve"> ar jo įgaliotas asmuo atlikti darbuotojo tikrinimo </w:t>
            </w:r>
            <w:r w:rsidR="005E37F4" w:rsidRPr="005E37F4">
              <w:rPr>
                <w:rFonts w:cs="Times New Roman"/>
                <w:szCs w:val="24"/>
                <w:u w:val="single"/>
              </w:rPr>
              <w:t>neturi galimybės</w:t>
            </w:r>
            <w:r w:rsidR="005E37F4">
              <w:rPr>
                <w:rFonts w:cs="Times New Roman"/>
                <w:szCs w:val="24"/>
              </w:rPr>
              <w:t xml:space="preserve">“ </w:t>
            </w:r>
            <w:r w:rsidR="00570B9A">
              <w:rPr>
                <w:rFonts w:cs="Times New Roman"/>
                <w:szCs w:val="24"/>
              </w:rPr>
              <w:t>(t. .y nukreiptas į darbdavio galimybes ar aplinkybes susijusias su darbdaviu)</w:t>
            </w:r>
            <w:r w:rsidR="005E37F4">
              <w:rPr>
                <w:rFonts w:cs="Times New Roman"/>
                <w:szCs w:val="24"/>
              </w:rPr>
              <w:t xml:space="preserve"> ir 2) „</w:t>
            </w:r>
            <w:r w:rsidR="005E37F4" w:rsidRPr="005E37F4">
              <w:rPr>
                <w:rFonts w:cs="Times New Roman"/>
                <w:szCs w:val="24"/>
              </w:rPr>
              <w:t>to padaryti objektyviai neįmanoma</w:t>
            </w:r>
            <w:r w:rsidR="005E37F4">
              <w:rPr>
                <w:rFonts w:cs="Times New Roman"/>
                <w:szCs w:val="24"/>
              </w:rPr>
              <w:t xml:space="preserve">“. </w:t>
            </w:r>
            <w:r w:rsidR="00570B9A">
              <w:rPr>
                <w:rFonts w:cs="Times New Roman"/>
                <w:szCs w:val="24"/>
              </w:rPr>
              <w:t>Patikslinus formuluotę  „objektyviai  neįmanoma“ ir susiejus su tikrinamo asmens būkle, kai asmuo galėtų būti siunčiamas į asmens sveikatos priežiūros įstaigą nesiaur</w:t>
            </w:r>
            <w:r w:rsidR="002D4760">
              <w:rPr>
                <w:rFonts w:cs="Times New Roman"/>
                <w:szCs w:val="24"/>
              </w:rPr>
              <w:t xml:space="preserve">inami. Kiti keičiami taisyklių punktai suderinti su atsakingomis institucijomis. </w:t>
            </w:r>
            <w:r w:rsidR="00570B9A">
              <w:rPr>
                <w:rFonts w:cs="Times New Roman"/>
                <w:szCs w:val="24"/>
              </w:rPr>
              <w:t xml:space="preserve"> </w:t>
            </w:r>
          </w:p>
        </w:tc>
      </w:tr>
      <w:tr w:rsidR="004277F9" w:rsidTr="00372B85">
        <w:tc>
          <w:tcPr>
            <w:tcW w:w="817" w:type="dxa"/>
          </w:tcPr>
          <w:p w:rsidR="004277F9" w:rsidRPr="00373B0A" w:rsidRDefault="004277F9" w:rsidP="00373B0A">
            <w:pPr>
              <w:pStyle w:val="ListParagraph"/>
              <w:numPr>
                <w:ilvl w:val="0"/>
                <w:numId w:val="2"/>
              </w:numPr>
              <w:rPr>
                <w:rFonts w:cs="Times New Roman"/>
                <w:szCs w:val="24"/>
              </w:rPr>
            </w:pPr>
          </w:p>
        </w:tc>
        <w:tc>
          <w:tcPr>
            <w:tcW w:w="2126" w:type="dxa"/>
          </w:tcPr>
          <w:p w:rsidR="004277F9" w:rsidRDefault="004277F9" w:rsidP="00507B74">
            <w:r w:rsidRPr="00515BEC">
              <w:t xml:space="preserve">Lietuvos </w:t>
            </w:r>
            <w:r>
              <w:t>transporto saugos administracija</w:t>
            </w:r>
          </w:p>
          <w:p w:rsidR="004277F9" w:rsidRDefault="004277F9" w:rsidP="00507B74">
            <w:pPr>
              <w:rPr>
                <w:rFonts w:cs="Times New Roman"/>
                <w:szCs w:val="24"/>
              </w:rPr>
            </w:pPr>
            <w:r>
              <w:rPr>
                <w:rFonts w:cs="Times New Roman"/>
                <w:szCs w:val="24"/>
              </w:rPr>
              <w:t>2020-10-29 ra</w:t>
            </w:r>
            <w:r w:rsidR="00525378">
              <w:rPr>
                <w:rFonts w:cs="Times New Roman"/>
                <w:szCs w:val="24"/>
              </w:rPr>
              <w:t xml:space="preserve">tas Nr. </w:t>
            </w:r>
            <w:r w:rsidR="00525378" w:rsidRPr="00525378">
              <w:rPr>
                <w:rFonts w:cs="Times New Roman"/>
                <w:szCs w:val="24"/>
              </w:rPr>
              <w:t>15B-9259</w:t>
            </w:r>
          </w:p>
        </w:tc>
        <w:tc>
          <w:tcPr>
            <w:tcW w:w="4962" w:type="dxa"/>
          </w:tcPr>
          <w:p w:rsidR="00525378" w:rsidRPr="00525378" w:rsidRDefault="00525378" w:rsidP="00525378">
            <w:pPr>
              <w:ind w:firstLine="851"/>
              <w:jc w:val="both"/>
              <w:rPr>
                <w:rFonts w:eastAsia="Times New Roman" w:cs="Times New Roman"/>
                <w:color w:val="201F1E"/>
                <w:szCs w:val="20"/>
              </w:rPr>
            </w:pPr>
            <w:r w:rsidRPr="00525378">
              <w:rPr>
                <w:rFonts w:eastAsia="Times New Roman" w:cs="Times New Roman"/>
                <w:szCs w:val="20"/>
              </w:rPr>
              <w:t xml:space="preserve">2. Atsižvelgiant į tai, kad </w:t>
            </w:r>
            <w:r w:rsidRPr="00525378">
              <w:rPr>
                <w:rFonts w:eastAsia="Times New Roman" w:cs="Times New Roman"/>
                <w:color w:val="201F1E"/>
                <w:szCs w:val="20"/>
              </w:rPr>
              <w:t>vidaus vandenų transporto priemonės vairuotojai dėl savo būklės dažniau vengia nei nesugeba atlikti būtinus veiksmus neblaivumui patikrinti, siūlome tikslinti Nutarimo projektą (atitinkamai tikslinti ir kitus Taisyklių punktus):</w:t>
            </w:r>
          </w:p>
          <w:p w:rsidR="00525378" w:rsidRPr="00525378" w:rsidRDefault="00525378" w:rsidP="00525378">
            <w:pPr>
              <w:ind w:firstLine="851"/>
              <w:jc w:val="both"/>
              <w:rPr>
                <w:rFonts w:eastAsia="Times New Roman" w:cs="Times New Roman"/>
                <w:color w:val="201F1E"/>
                <w:szCs w:val="20"/>
              </w:rPr>
            </w:pPr>
            <w:r w:rsidRPr="00525378">
              <w:rPr>
                <w:rFonts w:eastAsia="Times New Roman" w:cs="Times New Roman"/>
                <w:color w:val="201F1E"/>
                <w:szCs w:val="20"/>
              </w:rPr>
              <w:t>2.1. patikslinti 2.4 papunktį ir Taisyklių 3 punktą išdėstyti taip:</w:t>
            </w:r>
          </w:p>
          <w:p w:rsidR="00525378" w:rsidRPr="00525378" w:rsidRDefault="00525378" w:rsidP="00525378">
            <w:pPr>
              <w:ind w:firstLine="851"/>
              <w:jc w:val="both"/>
              <w:rPr>
                <w:rFonts w:eastAsia="Times New Roman" w:cs="Times New Roman"/>
                <w:bCs/>
                <w:color w:val="00000A"/>
                <w:szCs w:val="24"/>
                <w:lang w:eastAsia="en-GB"/>
              </w:rPr>
            </w:pPr>
            <w:r w:rsidRPr="00525378">
              <w:rPr>
                <w:rFonts w:eastAsia="Times New Roman" w:cs="Times New Roman"/>
                <w:color w:val="201F1E"/>
                <w:szCs w:val="20"/>
              </w:rPr>
              <w:t xml:space="preserve">„3. </w:t>
            </w:r>
            <w:r w:rsidRPr="00525378">
              <w:rPr>
                <w:rFonts w:eastAsia="Times New Roman" w:cs="Times New Roman"/>
                <w:bCs/>
                <w:color w:val="00000A"/>
                <w:szCs w:val="24"/>
                <w:lang w:eastAsia="en-GB"/>
              </w:rPr>
              <w:t xml:space="preserve">Policijos, Valstybės sienos apsaugos tarnybos pareigūnai tikrina transporto priemonės vairuotoją, nusikalstamos veikos padarymu įtariamą asmenį ar administracinėn atsakomybėn </w:t>
            </w:r>
            <w:r w:rsidRPr="00525378">
              <w:rPr>
                <w:rFonts w:eastAsia="Times New Roman" w:cs="Times New Roman"/>
                <w:bCs/>
                <w:color w:val="00000A"/>
                <w:szCs w:val="24"/>
                <w:lang w:eastAsia="en-GB"/>
              </w:rPr>
              <w:lastRenderedPageBreak/>
              <w:t xml:space="preserve">traukiamą asmenį, kurie įtariami esantys neblaivūs, o jeigu įtariamas neblaivumu transporto priemonės vairuotojas, nusikalstamos veikos padarymu </w:t>
            </w:r>
            <w:proofErr w:type="spellStart"/>
            <w:r w:rsidRPr="00525378">
              <w:rPr>
                <w:rFonts w:eastAsia="Times New Roman" w:cs="Times New Roman"/>
                <w:bCs/>
                <w:color w:val="00000A"/>
                <w:szCs w:val="24"/>
                <w:lang w:eastAsia="en-GB"/>
              </w:rPr>
              <w:t>įtariam</w:t>
            </w:r>
            <w:r w:rsidRPr="00525378">
              <w:rPr>
                <w:rFonts w:eastAsia="Times New Roman" w:cs="Times New Roman"/>
                <w:bCs/>
                <w:strike/>
                <w:color w:val="00000A"/>
                <w:szCs w:val="24"/>
                <w:lang w:eastAsia="en-GB"/>
              </w:rPr>
              <w:t>o</w:t>
            </w:r>
            <w:r w:rsidRPr="00525378">
              <w:rPr>
                <w:rFonts w:eastAsia="Times New Roman" w:cs="Times New Roman"/>
                <w:b/>
                <w:color w:val="00000A"/>
                <w:szCs w:val="24"/>
                <w:lang w:eastAsia="en-GB"/>
              </w:rPr>
              <w:t>as</w:t>
            </w:r>
            <w:proofErr w:type="spellEnd"/>
            <w:r w:rsidRPr="00525378">
              <w:rPr>
                <w:rFonts w:eastAsia="Times New Roman" w:cs="Times New Roman"/>
                <w:bCs/>
                <w:color w:val="00000A"/>
                <w:szCs w:val="24"/>
                <w:lang w:eastAsia="en-GB"/>
              </w:rPr>
              <w:t xml:space="preserve"> asmuo</w:t>
            </w:r>
            <w:r w:rsidRPr="00525378">
              <w:rPr>
                <w:rFonts w:eastAsia="Times New Roman" w:cs="Times New Roman"/>
                <w:bCs/>
                <w:strike/>
                <w:color w:val="00000A"/>
                <w:szCs w:val="24"/>
                <w:lang w:eastAsia="en-GB"/>
              </w:rPr>
              <w:t>,</w:t>
            </w:r>
            <w:r w:rsidRPr="00525378">
              <w:rPr>
                <w:rFonts w:eastAsia="Times New Roman" w:cs="Times New Roman"/>
                <w:bCs/>
                <w:color w:val="00000A"/>
                <w:szCs w:val="24"/>
                <w:lang w:eastAsia="en-GB"/>
              </w:rPr>
              <w:t xml:space="preserve"> </w:t>
            </w:r>
            <w:r w:rsidRPr="00525378">
              <w:rPr>
                <w:rFonts w:eastAsia="Times New Roman" w:cs="Times New Roman"/>
                <w:b/>
                <w:color w:val="00000A"/>
                <w:szCs w:val="24"/>
                <w:lang w:eastAsia="en-GB"/>
              </w:rPr>
              <w:t>ar</w:t>
            </w:r>
            <w:r w:rsidRPr="00525378">
              <w:rPr>
                <w:rFonts w:eastAsia="Times New Roman" w:cs="Times New Roman"/>
                <w:bCs/>
                <w:color w:val="00000A"/>
                <w:szCs w:val="24"/>
                <w:lang w:eastAsia="en-GB"/>
              </w:rPr>
              <w:t xml:space="preserve"> administracinėn atsakomybėn traukiamas asmuo dėl savo būklės nesugeba </w:t>
            </w:r>
            <w:r w:rsidRPr="00525378">
              <w:rPr>
                <w:rFonts w:eastAsia="Times New Roman" w:cs="Times New Roman"/>
                <w:b/>
                <w:color w:val="00000A"/>
                <w:szCs w:val="24"/>
                <w:lang w:eastAsia="en-GB"/>
              </w:rPr>
              <w:t>ar vengia</w:t>
            </w:r>
            <w:r w:rsidRPr="00525378">
              <w:rPr>
                <w:rFonts w:eastAsia="Times New Roman" w:cs="Times New Roman"/>
                <w:bCs/>
                <w:color w:val="00000A"/>
                <w:szCs w:val="24"/>
                <w:lang w:eastAsia="en-GB"/>
              </w:rPr>
              <w:t xml:space="preserve"> atlikti </w:t>
            </w:r>
            <w:proofErr w:type="spellStart"/>
            <w:r w:rsidRPr="00525378">
              <w:rPr>
                <w:rFonts w:eastAsia="Times New Roman" w:cs="Times New Roman"/>
                <w:bCs/>
                <w:color w:val="00000A"/>
                <w:szCs w:val="24"/>
                <w:lang w:eastAsia="en-GB"/>
              </w:rPr>
              <w:t>būtin</w:t>
            </w:r>
            <w:r w:rsidRPr="00525378">
              <w:rPr>
                <w:rFonts w:eastAsia="Times New Roman" w:cs="Times New Roman"/>
                <w:bCs/>
                <w:strike/>
                <w:color w:val="00000A"/>
                <w:szCs w:val="24"/>
                <w:lang w:eastAsia="en-GB"/>
              </w:rPr>
              <w:t>ų</w:t>
            </w:r>
            <w:r w:rsidRPr="00525378">
              <w:rPr>
                <w:rFonts w:eastAsia="Times New Roman" w:cs="Times New Roman"/>
                <w:b/>
                <w:color w:val="00000A"/>
                <w:szCs w:val="24"/>
                <w:lang w:eastAsia="en-GB"/>
              </w:rPr>
              <w:t>us</w:t>
            </w:r>
            <w:proofErr w:type="spellEnd"/>
            <w:r w:rsidRPr="00525378">
              <w:rPr>
                <w:rFonts w:eastAsia="Times New Roman" w:cs="Times New Roman"/>
                <w:bCs/>
                <w:color w:val="00000A"/>
                <w:szCs w:val="24"/>
                <w:lang w:eastAsia="en-GB"/>
              </w:rPr>
              <w:t xml:space="preserve"> tikrinimui </w:t>
            </w:r>
            <w:proofErr w:type="spellStart"/>
            <w:r w:rsidRPr="00525378">
              <w:rPr>
                <w:rFonts w:eastAsia="Times New Roman" w:cs="Times New Roman"/>
                <w:bCs/>
                <w:color w:val="00000A"/>
                <w:szCs w:val="24"/>
                <w:lang w:eastAsia="en-GB"/>
              </w:rPr>
              <w:t>veiksm</w:t>
            </w:r>
            <w:r w:rsidRPr="00525378">
              <w:rPr>
                <w:rFonts w:eastAsia="Times New Roman" w:cs="Times New Roman"/>
                <w:bCs/>
                <w:strike/>
                <w:color w:val="00000A"/>
                <w:szCs w:val="24"/>
                <w:lang w:eastAsia="en-GB"/>
              </w:rPr>
              <w:t>ų</w:t>
            </w:r>
            <w:r w:rsidRPr="00525378">
              <w:rPr>
                <w:rFonts w:eastAsia="Times New Roman" w:cs="Times New Roman"/>
                <w:b/>
                <w:color w:val="00000A"/>
                <w:szCs w:val="24"/>
                <w:lang w:eastAsia="en-GB"/>
              </w:rPr>
              <w:t>us</w:t>
            </w:r>
            <w:proofErr w:type="spellEnd"/>
            <w:r w:rsidRPr="00525378">
              <w:rPr>
                <w:rFonts w:eastAsia="Times New Roman" w:cs="Times New Roman"/>
                <w:bCs/>
                <w:color w:val="00000A"/>
                <w:szCs w:val="24"/>
                <w:lang w:eastAsia="en-GB"/>
              </w:rPr>
              <w:t>, pristato šiuos asmenis į asmens sveikatos priežiūros įstaigą atlikti medicininės apžiūros.“;</w:t>
            </w:r>
          </w:p>
          <w:p w:rsidR="00525378" w:rsidRPr="00525378" w:rsidRDefault="00525378" w:rsidP="00525378">
            <w:pPr>
              <w:ind w:firstLine="851"/>
              <w:jc w:val="both"/>
              <w:rPr>
                <w:rFonts w:eastAsia="Times New Roman" w:cs="Times New Roman"/>
                <w:bCs/>
                <w:color w:val="00000A"/>
                <w:szCs w:val="24"/>
                <w:lang w:eastAsia="en-GB"/>
              </w:rPr>
            </w:pPr>
            <w:r w:rsidRPr="00525378">
              <w:rPr>
                <w:rFonts w:eastAsia="Times New Roman" w:cs="Times New Roman"/>
                <w:bCs/>
                <w:color w:val="00000A"/>
                <w:szCs w:val="24"/>
                <w:lang w:eastAsia="en-GB"/>
              </w:rPr>
              <w:t xml:space="preserve">2.2. patikslinti 2.6 papunktį ir Taisyklių 5 punktą </w:t>
            </w:r>
            <w:r w:rsidRPr="00525378">
              <w:rPr>
                <w:rFonts w:eastAsia="Times New Roman" w:cs="Times New Roman"/>
                <w:color w:val="201F1E"/>
                <w:szCs w:val="20"/>
              </w:rPr>
              <w:t>(atitinkamai tikslinant ir 5</w:t>
            </w:r>
            <w:r w:rsidRPr="00525378">
              <w:rPr>
                <w:rFonts w:eastAsia="Times New Roman" w:cs="Times New Roman"/>
                <w:color w:val="201F1E"/>
                <w:szCs w:val="20"/>
                <w:vertAlign w:val="superscript"/>
              </w:rPr>
              <w:t>1</w:t>
            </w:r>
            <w:r w:rsidRPr="00525378">
              <w:rPr>
                <w:rFonts w:eastAsia="Times New Roman" w:cs="Times New Roman"/>
                <w:color w:val="201F1E"/>
                <w:szCs w:val="20"/>
              </w:rPr>
              <w:t xml:space="preserve"> punktą) </w:t>
            </w:r>
            <w:r w:rsidRPr="00525378">
              <w:rPr>
                <w:rFonts w:eastAsia="Times New Roman" w:cs="Times New Roman"/>
                <w:bCs/>
                <w:color w:val="00000A"/>
                <w:szCs w:val="24"/>
                <w:lang w:eastAsia="en-GB"/>
              </w:rPr>
              <w:t>išdėstyti taip:</w:t>
            </w:r>
          </w:p>
          <w:p w:rsidR="004277F9" w:rsidRDefault="00525378" w:rsidP="00525378">
            <w:pPr>
              <w:pStyle w:val="Standard"/>
              <w:jc w:val="both"/>
              <w:rPr>
                <w:rFonts w:hint="eastAsia"/>
              </w:rPr>
            </w:pPr>
            <w:r w:rsidRPr="00525378">
              <w:rPr>
                <w:rFonts w:ascii="Times New Roman" w:eastAsia="Times New Roman" w:hAnsi="Times New Roman" w:cs="Times New Roman"/>
                <w:bCs/>
                <w:color w:val="00000A"/>
                <w:kern w:val="0"/>
                <w:lang w:eastAsia="en-GB" w:bidi="ar-SA"/>
              </w:rPr>
              <w:t>„</w:t>
            </w:r>
            <w:r w:rsidRPr="00525378">
              <w:rPr>
                <w:rFonts w:ascii="Times New Roman" w:eastAsia="Times New Roman" w:hAnsi="Times New Roman" w:cs="Times New Roman"/>
                <w:color w:val="201F1E"/>
                <w:kern w:val="0"/>
                <w:lang w:eastAsia="lt-LT" w:bidi="ar-SA"/>
              </w:rPr>
              <w:t>5. Administracijos pareigūnai tikrina vidaus vandenų transporto priemonės vairuotoją, kuris įtariamas esantis neblaivus, o</w:t>
            </w:r>
            <w:r w:rsidRPr="00525378">
              <w:rPr>
                <w:rFonts w:ascii="Times New Roman" w:eastAsia="Times New Roman" w:hAnsi="Times New Roman" w:cs="Times New Roman"/>
                <w:kern w:val="0"/>
                <w:lang w:eastAsia="lt-LT" w:bidi="ar-SA"/>
              </w:rPr>
              <w:t xml:space="preserve"> jeigu vidaus vandenų transporto priemonės vairuotojas dėl</w:t>
            </w:r>
            <w:r w:rsidRPr="00525378">
              <w:rPr>
                <w:rFonts w:ascii="Times New Roman" w:eastAsia="Times New Roman" w:hAnsi="Times New Roman" w:cs="Times New Roman"/>
                <w:color w:val="201F1E"/>
                <w:kern w:val="0"/>
                <w:lang w:eastAsia="lt-LT" w:bidi="ar-SA"/>
              </w:rPr>
              <w:t xml:space="preserve"> būklės nesugeba </w:t>
            </w:r>
            <w:r w:rsidRPr="00525378">
              <w:rPr>
                <w:rFonts w:ascii="Times New Roman" w:eastAsia="Times New Roman" w:hAnsi="Times New Roman" w:cs="Times New Roman"/>
                <w:b/>
                <w:color w:val="00000A"/>
                <w:kern w:val="0"/>
                <w:lang w:eastAsia="en-GB" w:bidi="ar-SA"/>
              </w:rPr>
              <w:t>ar vengia</w:t>
            </w:r>
            <w:r w:rsidRPr="00525378">
              <w:rPr>
                <w:rFonts w:ascii="Times New Roman" w:eastAsia="Times New Roman" w:hAnsi="Times New Roman" w:cs="Times New Roman"/>
                <w:bCs/>
                <w:color w:val="00000A"/>
                <w:kern w:val="0"/>
                <w:lang w:eastAsia="en-GB" w:bidi="ar-SA"/>
              </w:rPr>
              <w:t xml:space="preserve"> </w:t>
            </w:r>
            <w:r w:rsidRPr="00525378">
              <w:rPr>
                <w:rFonts w:ascii="Times New Roman" w:eastAsia="Times New Roman" w:hAnsi="Times New Roman" w:cs="Times New Roman"/>
                <w:color w:val="201F1E"/>
                <w:kern w:val="0"/>
                <w:lang w:eastAsia="lt-LT" w:bidi="ar-SA"/>
              </w:rPr>
              <w:t xml:space="preserve">atlikti </w:t>
            </w:r>
            <w:proofErr w:type="spellStart"/>
            <w:r w:rsidRPr="00525378">
              <w:rPr>
                <w:rFonts w:ascii="Times New Roman" w:eastAsia="Times New Roman" w:hAnsi="Times New Roman" w:cs="Times New Roman"/>
                <w:color w:val="201F1E"/>
                <w:kern w:val="0"/>
                <w:lang w:eastAsia="lt-LT" w:bidi="ar-SA"/>
              </w:rPr>
              <w:t>būtin</w:t>
            </w:r>
            <w:r w:rsidRPr="00525378">
              <w:rPr>
                <w:rFonts w:ascii="Times New Roman" w:eastAsia="Times New Roman" w:hAnsi="Times New Roman" w:cs="Times New Roman"/>
                <w:strike/>
                <w:color w:val="201F1E"/>
                <w:kern w:val="0"/>
                <w:lang w:eastAsia="lt-LT" w:bidi="ar-SA"/>
              </w:rPr>
              <w:t>ų</w:t>
            </w:r>
            <w:r w:rsidRPr="00525378">
              <w:rPr>
                <w:rFonts w:ascii="Times New Roman" w:eastAsia="Times New Roman" w:hAnsi="Times New Roman" w:cs="Times New Roman"/>
                <w:b/>
                <w:bCs/>
                <w:color w:val="201F1E"/>
                <w:kern w:val="0"/>
                <w:lang w:eastAsia="lt-LT" w:bidi="ar-SA"/>
              </w:rPr>
              <w:t>us</w:t>
            </w:r>
            <w:proofErr w:type="spellEnd"/>
            <w:r w:rsidRPr="00525378">
              <w:rPr>
                <w:rFonts w:ascii="Times New Roman" w:eastAsia="Times New Roman" w:hAnsi="Times New Roman" w:cs="Times New Roman"/>
                <w:color w:val="201F1E"/>
                <w:kern w:val="0"/>
                <w:lang w:eastAsia="lt-LT" w:bidi="ar-SA"/>
              </w:rPr>
              <w:t xml:space="preserve"> tikrinimui </w:t>
            </w:r>
            <w:proofErr w:type="spellStart"/>
            <w:r w:rsidRPr="00525378">
              <w:rPr>
                <w:rFonts w:ascii="Times New Roman" w:eastAsia="Times New Roman" w:hAnsi="Times New Roman" w:cs="Times New Roman"/>
                <w:color w:val="201F1E"/>
                <w:kern w:val="0"/>
                <w:lang w:eastAsia="lt-LT" w:bidi="ar-SA"/>
              </w:rPr>
              <w:t>veiksm</w:t>
            </w:r>
            <w:r w:rsidRPr="00525378">
              <w:rPr>
                <w:rFonts w:ascii="Times New Roman" w:eastAsia="Times New Roman" w:hAnsi="Times New Roman" w:cs="Times New Roman"/>
                <w:strike/>
                <w:color w:val="201F1E"/>
                <w:kern w:val="0"/>
                <w:lang w:eastAsia="lt-LT" w:bidi="ar-SA"/>
              </w:rPr>
              <w:t>ų</w:t>
            </w:r>
            <w:r w:rsidRPr="00525378">
              <w:rPr>
                <w:rFonts w:ascii="Times New Roman" w:eastAsia="Times New Roman" w:hAnsi="Times New Roman" w:cs="Times New Roman"/>
                <w:b/>
                <w:bCs/>
                <w:color w:val="201F1E"/>
                <w:kern w:val="0"/>
                <w:lang w:eastAsia="lt-LT" w:bidi="ar-SA"/>
              </w:rPr>
              <w:t>us</w:t>
            </w:r>
            <w:proofErr w:type="spellEnd"/>
            <w:r w:rsidRPr="00525378">
              <w:rPr>
                <w:rFonts w:ascii="Times New Roman" w:eastAsia="Times New Roman" w:hAnsi="Times New Roman" w:cs="Times New Roman"/>
                <w:b/>
                <w:bCs/>
                <w:color w:val="201F1E"/>
                <w:kern w:val="0"/>
                <w:lang w:eastAsia="lt-LT" w:bidi="ar-SA"/>
              </w:rPr>
              <w:t>,</w:t>
            </w:r>
            <w:r w:rsidRPr="00525378">
              <w:rPr>
                <w:rFonts w:ascii="Times New Roman" w:eastAsia="Times New Roman" w:hAnsi="Times New Roman" w:cs="Times New Roman"/>
                <w:color w:val="201F1E"/>
                <w:kern w:val="0"/>
                <w:lang w:eastAsia="lt-LT" w:bidi="ar-SA"/>
              </w:rPr>
              <w:t xml:space="preserve"> Taisyklių 9 punkto antrojoje pastraipoje nustatyta tvarka kreipiasi į policijos įstaigą su prašymu pristatyti vidaus vandenų transporto priemonės vairuotoją į asmens sveikatos priežiūros įstaigą atlikti medicininės apžiūros.“</w:t>
            </w:r>
          </w:p>
        </w:tc>
        <w:tc>
          <w:tcPr>
            <w:tcW w:w="6597" w:type="dxa"/>
          </w:tcPr>
          <w:p w:rsidR="004277F9" w:rsidRDefault="00525378" w:rsidP="00E10815">
            <w:pPr>
              <w:rPr>
                <w:rFonts w:cs="Times New Roman"/>
                <w:b/>
                <w:szCs w:val="24"/>
              </w:rPr>
            </w:pPr>
            <w:r>
              <w:rPr>
                <w:rFonts w:cs="Times New Roman"/>
                <w:b/>
                <w:szCs w:val="24"/>
              </w:rPr>
              <w:lastRenderedPageBreak/>
              <w:t>Neatsižvelgta</w:t>
            </w:r>
          </w:p>
          <w:p w:rsidR="00525378" w:rsidRPr="00525378" w:rsidRDefault="00525378" w:rsidP="0083432B">
            <w:pPr>
              <w:jc w:val="both"/>
              <w:rPr>
                <w:rFonts w:cs="Times New Roman"/>
                <w:szCs w:val="24"/>
              </w:rPr>
            </w:pPr>
            <w:r>
              <w:rPr>
                <w:rFonts w:cs="Times New Roman"/>
                <w:szCs w:val="24"/>
              </w:rPr>
              <w:t xml:space="preserve">Pateiktas siūlymas dėl pagrindų, kai kreipiamasi į policiją dėl asmens nugabenimo į asmens sveikatos priežiūros įtaigą, papildymo iš esmės plečia reglamentavimą ir </w:t>
            </w:r>
            <w:r w:rsidR="001A4938">
              <w:rPr>
                <w:rFonts w:cs="Times New Roman"/>
                <w:szCs w:val="24"/>
              </w:rPr>
              <w:t>neatitinka projekto rengimo tikslo ir yra nesuderintas su teisės aktais, įtvirtinančiais atsakomybę už atsisakymą pasitikrinti blaivumą ar apsvaigimą.</w:t>
            </w:r>
          </w:p>
        </w:tc>
      </w:tr>
    </w:tbl>
    <w:p w:rsidR="006A550F" w:rsidRPr="008155F7" w:rsidRDefault="008155F7" w:rsidP="008155F7">
      <w:pPr>
        <w:spacing w:after="0" w:line="240" w:lineRule="auto"/>
        <w:rPr>
          <w:rFonts w:cs="Times New Roman"/>
          <w:sz w:val="20"/>
          <w:szCs w:val="20"/>
        </w:rPr>
      </w:pPr>
      <w:r w:rsidRPr="008155F7">
        <w:rPr>
          <w:rFonts w:cs="Times New Roman"/>
          <w:sz w:val="20"/>
          <w:szCs w:val="20"/>
        </w:rPr>
        <w:lastRenderedPageBreak/>
        <w:t>*   teksto išskyrimai padaryti derinimo pažymos rengėjų.</w:t>
      </w:r>
    </w:p>
    <w:sectPr w:rsidR="006A550F" w:rsidRPr="008155F7" w:rsidSect="00BC2E3C">
      <w:headerReference w:type="default" r:id="rId9"/>
      <w:pgSz w:w="16838" w:h="11906" w:orient="landscape"/>
      <w:pgMar w:top="1134" w:right="962"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44E" w:rsidRDefault="00A2444E" w:rsidP="00A2444E">
      <w:pPr>
        <w:spacing w:after="0" w:line="240" w:lineRule="auto"/>
      </w:pPr>
      <w:r>
        <w:separator/>
      </w:r>
    </w:p>
  </w:endnote>
  <w:endnote w:type="continuationSeparator" w:id="0">
    <w:p w:rsidR="00A2444E" w:rsidRDefault="00A2444E" w:rsidP="00A2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44E" w:rsidRDefault="00A2444E" w:rsidP="00A2444E">
      <w:pPr>
        <w:spacing w:after="0" w:line="240" w:lineRule="auto"/>
      </w:pPr>
      <w:r>
        <w:separator/>
      </w:r>
    </w:p>
  </w:footnote>
  <w:footnote w:type="continuationSeparator" w:id="0">
    <w:p w:rsidR="00A2444E" w:rsidRDefault="00A2444E" w:rsidP="00A24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418393"/>
      <w:docPartObj>
        <w:docPartGallery w:val="Page Numbers (Top of Page)"/>
        <w:docPartUnique/>
      </w:docPartObj>
    </w:sdtPr>
    <w:sdtEndPr/>
    <w:sdtContent>
      <w:p w:rsidR="00BC2E3C" w:rsidRDefault="00BC2E3C">
        <w:pPr>
          <w:pStyle w:val="Header"/>
          <w:jc w:val="center"/>
        </w:pPr>
        <w:r>
          <w:fldChar w:fldCharType="begin"/>
        </w:r>
        <w:r>
          <w:instrText>PAGE   \* MERGEFORMAT</w:instrText>
        </w:r>
        <w:r>
          <w:fldChar w:fldCharType="separate"/>
        </w:r>
        <w:r w:rsidR="000A0FD7">
          <w:rPr>
            <w:noProof/>
          </w:rPr>
          <w:t>6</w:t>
        </w:r>
        <w:r>
          <w:fldChar w:fldCharType="end"/>
        </w:r>
      </w:p>
    </w:sdtContent>
  </w:sdt>
  <w:p w:rsidR="00BC2E3C" w:rsidRDefault="00BC2E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52388"/>
    <w:multiLevelType w:val="hybridMultilevel"/>
    <w:tmpl w:val="C3205DAC"/>
    <w:lvl w:ilvl="0" w:tplc="FF1A269E">
      <w:start w:val="1"/>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nsid w:val="3BF97113"/>
    <w:multiLevelType w:val="hybridMultilevel"/>
    <w:tmpl w:val="2932BBDE"/>
    <w:lvl w:ilvl="0" w:tplc="23D0313C">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75C1AC9"/>
    <w:multiLevelType w:val="hybridMultilevel"/>
    <w:tmpl w:val="939C436E"/>
    <w:lvl w:ilvl="0" w:tplc="0464B12C">
      <w:start w:val="1"/>
      <w:numFmt w:val="decimal"/>
      <w:suff w:val="space"/>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A1771D6"/>
    <w:multiLevelType w:val="hybridMultilevel"/>
    <w:tmpl w:val="D8B410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50F"/>
    <w:rsid w:val="0002359B"/>
    <w:rsid w:val="00070EDA"/>
    <w:rsid w:val="00074259"/>
    <w:rsid w:val="000A0FD7"/>
    <w:rsid w:val="000C1603"/>
    <w:rsid w:val="00117D07"/>
    <w:rsid w:val="0018595A"/>
    <w:rsid w:val="00185CB4"/>
    <w:rsid w:val="00193FE7"/>
    <w:rsid w:val="001A4938"/>
    <w:rsid w:val="001B5CD1"/>
    <w:rsid w:val="001D1A73"/>
    <w:rsid w:val="001E0511"/>
    <w:rsid w:val="002001EF"/>
    <w:rsid w:val="002D4760"/>
    <w:rsid w:val="003156A9"/>
    <w:rsid w:val="0036781A"/>
    <w:rsid w:val="00372B85"/>
    <w:rsid w:val="00373B0A"/>
    <w:rsid w:val="003D1F54"/>
    <w:rsid w:val="00422AD3"/>
    <w:rsid w:val="004277F9"/>
    <w:rsid w:val="004644EC"/>
    <w:rsid w:val="0049062E"/>
    <w:rsid w:val="00494706"/>
    <w:rsid w:val="004A44AC"/>
    <w:rsid w:val="004D535C"/>
    <w:rsid w:val="00507B74"/>
    <w:rsid w:val="0051376C"/>
    <w:rsid w:val="00525378"/>
    <w:rsid w:val="00570B9A"/>
    <w:rsid w:val="005B206B"/>
    <w:rsid w:val="005E37F4"/>
    <w:rsid w:val="005F4B85"/>
    <w:rsid w:val="00605831"/>
    <w:rsid w:val="00656D79"/>
    <w:rsid w:val="00674D12"/>
    <w:rsid w:val="006A550F"/>
    <w:rsid w:val="00747F29"/>
    <w:rsid w:val="007549C3"/>
    <w:rsid w:val="007628C4"/>
    <w:rsid w:val="007B0A84"/>
    <w:rsid w:val="007B7EB2"/>
    <w:rsid w:val="008155F7"/>
    <w:rsid w:val="008167DB"/>
    <w:rsid w:val="0082560E"/>
    <w:rsid w:val="0083432B"/>
    <w:rsid w:val="00853E1F"/>
    <w:rsid w:val="008B24FC"/>
    <w:rsid w:val="00910CC2"/>
    <w:rsid w:val="00976F6B"/>
    <w:rsid w:val="00985C61"/>
    <w:rsid w:val="00995882"/>
    <w:rsid w:val="009A0B2E"/>
    <w:rsid w:val="009A7E5F"/>
    <w:rsid w:val="009B79C5"/>
    <w:rsid w:val="009C2A52"/>
    <w:rsid w:val="00A00AD1"/>
    <w:rsid w:val="00A049F4"/>
    <w:rsid w:val="00A2444E"/>
    <w:rsid w:val="00AB27B4"/>
    <w:rsid w:val="00AB634D"/>
    <w:rsid w:val="00B106B1"/>
    <w:rsid w:val="00B260C9"/>
    <w:rsid w:val="00B80699"/>
    <w:rsid w:val="00BC2E3C"/>
    <w:rsid w:val="00BD2C06"/>
    <w:rsid w:val="00BD4A45"/>
    <w:rsid w:val="00C850D9"/>
    <w:rsid w:val="00D11939"/>
    <w:rsid w:val="00D3661A"/>
    <w:rsid w:val="00D662B9"/>
    <w:rsid w:val="00D727AF"/>
    <w:rsid w:val="00D864EB"/>
    <w:rsid w:val="00D912D5"/>
    <w:rsid w:val="00DE74D9"/>
    <w:rsid w:val="00DF3CD8"/>
    <w:rsid w:val="00E043DC"/>
    <w:rsid w:val="00E0508A"/>
    <w:rsid w:val="00E10815"/>
    <w:rsid w:val="00E65687"/>
    <w:rsid w:val="00E812E8"/>
    <w:rsid w:val="00E975CE"/>
    <w:rsid w:val="00EE2C8C"/>
    <w:rsid w:val="00F039A0"/>
    <w:rsid w:val="00F3676F"/>
    <w:rsid w:val="00F52444"/>
    <w:rsid w:val="00F7370E"/>
    <w:rsid w:val="00F96D2F"/>
    <w:rsid w:val="00FA0FBC"/>
    <w:rsid w:val="00FF70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07B74"/>
    <w:pPr>
      <w:suppressAutoHyphens/>
      <w:autoSpaceDN w:val="0"/>
      <w:spacing w:after="0" w:line="240" w:lineRule="auto"/>
      <w:textAlignment w:val="baseline"/>
    </w:pPr>
    <w:rPr>
      <w:rFonts w:ascii="Liberation Serif" w:eastAsia="NSimSun" w:hAnsi="Liberation Serif" w:cs="Arial"/>
      <w:kern w:val="3"/>
      <w:szCs w:val="24"/>
      <w:lang w:eastAsia="zh-CN" w:bidi="hi-IN"/>
    </w:rPr>
  </w:style>
  <w:style w:type="paragraph" w:styleId="FootnoteText">
    <w:name w:val="footnote text"/>
    <w:basedOn w:val="Normal"/>
    <w:link w:val="FootnoteTextChar"/>
    <w:uiPriority w:val="99"/>
    <w:semiHidden/>
    <w:unhideWhenUsed/>
    <w:rsid w:val="00A244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44E"/>
    <w:rPr>
      <w:sz w:val="20"/>
      <w:szCs w:val="20"/>
    </w:rPr>
  </w:style>
  <w:style w:type="character" w:styleId="FootnoteReference">
    <w:name w:val="footnote reference"/>
    <w:basedOn w:val="DefaultParagraphFont"/>
    <w:uiPriority w:val="99"/>
    <w:semiHidden/>
    <w:unhideWhenUsed/>
    <w:rsid w:val="00A2444E"/>
    <w:rPr>
      <w:vertAlign w:val="superscript"/>
    </w:rPr>
  </w:style>
  <w:style w:type="paragraph" w:styleId="ListParagraph">
    <w:name w:val="List Paragraph"/>
    <w:basedOn w:val="Normal"/>
    <w:uiPriority w:val="34"/>
    <w:qFormat/>
    <w:rsid w:val="00373B0A"/>
    <w:pPr>
      <w:ind w:left="720"/>
      <w:contextualSpacing/>
    </w:pPr>
  </w:style>
  <w:style w:type="paragraph" w:styleId="Header">
    <w:name w:val="header"/>
    <w:basedOn w:val="Normal"/>
    <w:link w:val="HeaderChar"/>
    <w:uiPriority w:val="99"/>
    <w:unhideWhenUsed/>
    <w:rsid w:val="00BC2E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2E3C"/>
  </w:style>
  <w:style w:type="paragraph" w:styleId="Footer">
    <w:name w:val="footer"/>
    <w:basedOn w:val="Normal"/>
    <w:link w:val="FooterChar"/>
    <w:uiPriority w:val="99"/>
    <w:unhideWhenUsed/>
    <w:rsid w:val="00BC2E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2E3C"/>
  </w:style>
  <w:style w:type="character" w:styleId="CommentReference">
    <w:name w:val="annotation reference"/>
    <w:basedOn w:val="DefaultParagraphFont"/>
    <w:semiHidden/>
    <w:unhideWhenUsed/>
    <w:rsid w:val="00525378"/>
    <w:rPr>
      <w:sz w:val="16"/>
      <w:szCs w:val="16"/>
    </w:rPr>
  </w:style>
  <w:style w:type="paragraph" w:styleId="CommentText">
    <w:name w:val="annotation text"/>
    <w:basedOn w:val="Normal"/>
    <w:link w:val="CommentTextChar"/>
    <w:semiHidden/>
    <w:unhideWhenUsed/>
    <w:rsid w:val="00525378"/>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525378"/>
    <w:rPr>
      <w:rFonts w:eastAsia="Times New Roman" w:cs="Times New Roman"/>
      <w:sz w:val="20"/>
      <w:szCs w:val="20"/>
    </w:rPr>
  </w:style>
  <w:style w:type="paragraph" w:styleId="BalloonText">
    <w:name w:val="Balloon Text"/>
    <w:basedOn w:val="Normal"/>
    <w:link w:val="BalloonTextChar"/>
    <w:uiPriority w:val="99"/>
    <w:semiHidden/>
    <w:unhideWhenUsed/>
    <w:rsid w:val="00525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3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07B74"/>
    <w:pPr>
      <w:suppressAutoHyphens/>
      <w:autoSpaceDN w:val="0"/>
      <w:spacing w:after="0" w:line="240" w:lineRule="auto"/>
      <w:textAlignment w:val="baseline"/>
    </w:pPr>
    <w:rPr>
      <w:rFonts w:ascii="Liberation Serif" w:eastAsia="NSimSun" w:hAnsi="Liberation Serif" w:cs="Arial"/>
      <w:kern w:val="3"/>
      <w:szCs w:val="24"/>
      <w:lang w:eastAsia="zh-CN" w:bidi="hi-IN"/>
    </w:rPr>
  </w:style>
  <w:style w:type="paragraph" w:styleId="FootnoteText">
    <w:name w:val="footnote text"/>
    <w:basedOn w:val="Normal"/>
    <w:link w:val="FootnoteTextChar"/>
    <w:uiPriority w:val="99"/>
    <w:semiHidden/>
    <w:unhideWhenUsed/>
    <w:rsid w:val="00A244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44E"/>
    <w:rPr>
      <w:sz w:val="20"/>
      <w:szCs w:val="20"/>
    </w:rPr>
  </w:style>
  <w:style w:type="character" w:styleId="FootnoteReference">
    <w:name w:val="footnote reference"/>
    <w:basedOn w:val="DefaultParagraphFont"/>
    <w:uiPriority w:val="99"/>
    <w:semiHidden/>
    <w:unhideWhenUsed/>
    <w:rsid w:val="00A2444E"/>
    <w:rPr>
      <w:vertAlign w:val="superscript"/>
    </w:rPr>
  </w:style>
  <w:style w:type="paragraph" w:styleId="ListParagraph">
    <w:name w:val="List Paragraph"/>
    <w:basedOn w:val="Normal"/>
    <w:uiPriority w:val="34"/>
    <w:qFormat/>
    <w:rsid w:val="00373B0A"/>
    <w:pPr>
      <w:ind w:left="720"/>
      <w:contextualSpacing/>
    </w:pPr>
  </w:style>
  <w:style w:type="paragraph" w:styleId="Header">
    <w:name w:val="header"/>
    <w:basedOn w:val="Normal"/>
    <w:link w:val="HeaderChar"/>
    <w:uiPriority w:val="99"/>
    <w:unhideWhenUsed/>
    <w:rsid w:val="00BC2E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2E3C"/>
  </w:style>
  <w:style w:type="paragraph" w:styleId="Footer">
    <w:name w:val="footer"/>
    <w:basedOn w:val="Normal"/>
    <w:link w:val="FooterChar"/>
    <w:uiPriority w:val="99"/>
    <w:unhideWhenUsed/>
    <w:rsid w:val="00BC2E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2E3C"/>
  </w:style>
  <w:style w:type="character" w:styleId="CommentReference">
    <w:name w:val="annotation reference"/>
    <w:basedOn w:val="DefaultParagraphFont"/>
    <w:semiHidden/>
    <w:unhideWhenUsed/>
    <w:rsid w:val="00525378"/>
    <w:rPr>
      <w:sz w:val="16"/>
      <w:szCs w:val="16"/>
    </w:rPr>
  </w:style>
  <w:style w:type="paragraph" w:styleId="CommentText">
    <w:name w:val="annotation text"/>
    <w:basedOn w:val="Normal"/>
    <w:link w:val="CommentTextChar"/>
    <w:semiHidden/>
    <w:unhideWhenUsed/>
    <w:rsid w:val="00525378"/>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525378"/>
    <w:rPr>
      <w:rFonts w:eastAsia="Times New Roman" w:cs="Times New Roman"/>
      <w:sz w:val="20"/>
      <w:szCs w:val="20"/>
    </w:rPr>
  </w:style>
  <w:style w:type="paragraph" w:styleId="BalloonText">
    <w:name w:val="Balloon Text"/>
    <w:basedOn w:val="Normal"/>
    <w:link w:val="BalloonTextChar"/>
    <w:uiPriority w:val="99"/>
    <w:semiHidden/>
    <w:unhideWhenUsed/>
    <w:rsid w:val="00525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3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A2D72-4DB6-4F1B-B8D5-4BB0528A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8297</Words>
  <Characters>4730</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Leonova</dc:creator>
  <cp:lastModifiedBy>Toma Leonova</cp:lastModifiedBy>
  <cp:revision>2</cp:revision>
  <dcterms:created xsi:type="dcterms:W3CDTF">2020-11-13T08:45:00Z</dcterms:created>
  <dcterms:modified xsi:type="dcterms:W3CDTF">2020-11-13T08:45:00Z</dcterms:modified>
</cp:coreProperties>
</file>