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7F" w:rsidRPr="00A33567" w:rsidRDefault="004B217F" w:rsidP="002F39D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eastAsia="Times New Roman Bold" w:hAnsi="Times New Roman Bold" w:cs="Times New Roman Bold"/>
          <w:lang w:val="lt-LT"/>
        </w:rPr>
      </w:pPr>
    </w:p>
    <w:p w:rsidR="0032625D" w:rsidRPr="002307EF" w:rsidRDefault="002677AA" w:rsidP="0032625D">
      <w:pPr>
        <w:jc w:val="center"/>
        <w:rPr>
          <w:rFonts w:eastAsia="Calibri"/>
          <w:b/>
        </w:rPr>
      </w:pPr>
      <w:r>
        <w:rPr>
          <w:rFonts w:eastAsia="Calibri"/>
          <w:b/>
        </w:rPr>
        <w:t>2021</w:t>
      </w:r>
      <w:r w:rsidR="0032625D">
        <w:rPr>
          <w:rFonts w:eastAsia="Calibri"/>
          <w:b/>
        </w:rPr>
        <w:t xml:space="preserve"> M. </w:t>
      </w:r>
      <w:r w:rsidR="00155D7C">
        <w:rPr>
          <w:rFonts w:eastAsia="Calibri"/>
          <w:b/>
        </w:rPr>
        <w:t>SAUSIO</w:t>
      </w:r>
      <w:r>
        <w:rPr>
          <w:rFonts w:eastAsia="Calibri"/>
          <w:b/>
        </w:rPr>
        <w:t xml:space="preserve"> 19 D. </w:t>
      </w:r>
      <w:r w:rsidR="0032625D">
        <w:rPr>
          <w:rFonts w:eastAsia="Calibri"/>
          <w:b/>
        </w:rPr>
        <w:t>EUROPOS SĄJUNGOS</w:t>
      </w:r>
      <w:r w:rsidR="0032625D" w:rsidRPr="002307EF">
        <w:rPr>
          <w:rFonts w:eastAsia="Calibri"/>
          <w:b/>
        </w:rPr>
        <w:t xml:space="preserve"> </w:t>
      </w:r>
      <w:r w:rsidR="0032625D">
        <w:rPr>
          <w:rFonts w:eastAsia="Calibri"/>
          <w:b/>
        </w:rPr>
        <w:t>EKONOMIKOS IR FINANSŲ REIKAL</w:t>
      </w:r>
      <w:r w:rsidR="0032625D">
        <w:rPr>
          <w:rFonts w:eastAsia="Calibri"/>
          <w:b/>
          <w:lang w:val="lt-LT"/>
        </w:rPr>
        <w:t xml:space="preserve">Ų TARYBOS (ECOFIN) </w:t>
      </w:r>
      <w:r w:rsidR="0032625D">
        <w:rPr>
          <w:rFonts w:eastAsia="Calibri"/>
          <w:b/>
        </w:rPr>
        <w:t>VAIZDO KONFER</w:t>
      </w:r>
      <w:r w:rsidR="00790FF5">
        <w:rPr>
          <w:rFonts w:eastAsia="Calibri"/>
          <w:b/>
        </w:rPr>
        <w:t>ENCIJA</w:t>
      </w:r>
    </w:p>
    <w:p w:rsidR="004B217F" w:rsidRPr="00A33567" w:rsidRDefault="004B217F">
      <w:pPr>
        <w:pStyle w:val="BodyA"/>
        <w:rPr>
          <w:rFonts w:ascii="Times New Roman Bold" w:eastAsia="Times New Roman Bold" w:hAnsi="Times New Roman Bold" w:cs="Times New Roman Bold"/>
          <w:lang w:val="lt-LT"/>
        </w:rPr>
      </w:pPr>
    </w:p>
    <w:p w:rsidR="004B217F" w:rsidRPr="00A33567" w:rsidRDefault="004B217F" w:rsidP="00BA186A">
      <w:pPr>
        <w:pStyle w:val="BodyA"/>
        <w:jc w:val="center"/>
        <w:rPr>
          <w:rFonts w:ascii="Times New Roman Bold"/>
          <w:caps/>
          <w:lang w:val="lt-LT"/>
        </w:rPr>
      </w:pPr>
    </w:p>
    <w:tbl>
      <w:tblPr>
        <w:tblW w:w="94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70"/>
      </w:tblGrid>
      <w:tr w:rsidR="004B217F" w:rsidRPr="006A44FA" w:rsidTr="003A3602">
        <w:trPr>
          <w:trHeight w:val="1475"/>
        </w:trPr>
        <w:tc>
          <w:tcPr>
            <w:tcW w:w="94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B217F" w:rsidRPr="006A44FA" w:rsidRDefault="0032625D">
            <w:pPr>
              <w:pStyle w:val="BodyA"/>
              <w:jc w:val="both"/>
              <w:rPr>
                <w:rFonts w:hAnsi="Times New Roman" w:cs="Times New Roman"/>
                <w:lang w:val="lt-LT"/>
              </w:rPr>
            </w:pPr>
            <w:r w:rsidRPr="006A44FA">
              <w:rPr>
                <w:rFonts w:hAnsi="Times New Roman" w:cs="Times New Roman"/>
                <w:b/>
                <w:lang w:val="lt-LT"/>
              </w:rPr>
              <w:t>1.</w:t>
            </w:r>
            <w:r w:rsidRPr="006A44FA">
              <w:rPr>
                <w:rFonts w:hAnsi="Times New Roman" w:cs="Times New Roman"/>
                <w:lang w:val="lt-LT"/>
              </w:rPr>
              <w:t xml:space="preserve"> </w:t>
            </w:r>
            <w:r w:rsidR="004226F1" w:rsidRPr="006A44FA">
              <w:rPr>
                <w:rFonts w:hAnsi="Times New Roman" w:cs="Times New Roman"/>
                <w:b/>
                <w:lang w:val="lt-LT"/>
              </w:rPr>
              <w:t>Pirmininkaujančios šalies programos pristatymas</w:t>
            </w:r>
            <w:r w:rsidRPr="006A44FA">
              <w:rPr>
                <w:rFonts w:hAnsi="Times New Roman" w:cs="Times New Roman"/>
                <w:lang w:val="lt-LT"/>
              </w:rPr>
              <w:t xml:space="preserve"> </w:t>
            </w:r>
            <w:r w:rsidR="004226F1" w:rsidRPr="006A44FA">
              <w:rPr>
                <w:rFonts w:hAnsi="Times New Roman" w:cs="Times New Roman"/>
                <w:lang w:val="lt-LT"/>
              </w:rPr>
              <w:t xml:space="preserve"> (</w:t>
            </w:r>
            <w:r w:rsidR="004226F1" w:rsidRPr="006A44FA">
              <w:rPr>
                <w:rFonts w:hAnsi="Times New Roman" w:cs="Times New Roman"/>
                <w:i/>
                <w:lang w:val="lt-LT"/>
              </w:rPr>
              <w:t>apsikeitimas nuomonėmis</w:t>
            </w:r>
            <w:r w:rsidR="00EE1216" w:rsidRPr="006A44FA">
              <w:rPr>
                <w:rFonts w:hAnsi="Times New Roman" w:cs="Times New Roman"/>
                <w:lang w:val="lt-LT"/>
              </w:rPr>
              <w:t>)</w:t>
            </w:r>
          </w:p>
          <w:p w:rsidR="004B217F" w:rsidRPr="006A44FA" w:rsidRDefault="004B217F">
            <w:pPr>
              <w:pStyle w:val="BodyA"/>
              <w:jc w:val="both"/>
              <w:rPr>
                <w:rFonts w:hAnsi="Times New Roman" w:cs="Times New Roman"/>
                <w:lang w:val="lt-LT"/>
              </w:rPr>
            </w:pPr>
          </w:p>
          <w:p w:rsidR="00790FF5" w:rsidRPr="006A44FA" w:rsidRDefault="00EE1216" w:rsidP="00790FF5">
            <w:pPr>
              <w:pStyle w:val="BodyA"/>
              <w:jc w:val="both"/>
              <w:rPr>
                <w:rFonts w:hAnsi="Times New Roman" w:cs="Times New Roman"/>
                <w:lang w:val="lt-LT"/>
              </w:rPr>
            </w:pPr>
            <w:r w:rsidRPr="006A44FA">
              <w:rPr>
                <w:rFonts w:hAnsi="Times New Roman" w:cs="Times New Roman"/>
                <w:b/>
                <w:u w:val="single"/>
                <w:lang w:val="lt-LT"/>
              </w:rPr>
              <w:t>Klausimo esmė.</w:t>
            </w:r>
            <w:r w:rsidRPr="006A44FA">
              <w:rPr>
                <w:rFonts w:hAnsi="Times New Roman" w:cs="Times New Roman"/>
                <w:lang w:val="lt-LT"/>
              </w:rPr>
              <w:t xml:space="preserve"> </w:t>
            </w:r>
            <w:r w:rsidR="00790FF5" w:rsidRPr="006A44FA">
              <w:rPr>
                <w:rFonts w:hAnsi="Times New Roman" w:cs="Times New Roman"/>
                <w:lang w:val="lt-LT"/>
              </w:rPr>
              <w:t>ECOFIN srityje Portugalija didžiausią dėmesį skirs Daugiametės finansinės programos (MFF) įgyvendinimui, „Kitos kartos ES“ instrumentui bei Gaivinimo ir atsparumo planų rengimui.</w:t>
            </w:r>
            <w:r w:rsidR="00790FF5" w:rsidRPr="006A44FA">
              <w:rPr>
                <w:lang w:val="lt-LT"/>
              </w:rPr>
              <w:t xml:space="preserve"> </w:t>
            </w:r>
            <w:r w:rsidR="00790FF5" w:rsidRPr="006A44FA">
              <w:rPr>
                <w:rFonts w:hAnsi="Times New Roman" w:cs="Times New Roman"/>
                <w:lang w:val="lt-LT"/>
              </w:rPr>
              <w:t>Vienas iš svarbiausių prioritetų bus Ekonominės ir pinigų sąjungos gilinimas, siekiant didesnio finansinio sektoriaus atsparumo ir integracijos bei kuriant finansav</w:t>
            </w:r>
            <w:r w:rsidR="00790FF5" w:rsidRPr="006A44FA">
              <w:rPr>
                <w:rFonts w:hAnsi="Times New Roman" w:cs="Times New Roman"/>
                <w:lang w:val="lt-LT"/>
              </w:rPr>
              <w:t>i</w:t>
            </w:r>
            <w:r w:rsidR="00790FF5" w:rsidRPr="006A44FA">
              <w:rPr>
                <w:rFonts w:hAnsi="Times New Roman" w:cs="Times New Roman"/>
                <w:lang w:val="lt-LT"/>
              </w:rPr>
              <w:t>mo šaltinių alternatyvas verslui. Šioje srit</w:t>
            </w:r>
            <w:r w:rsidR="009A7FD0" w:rsidRPr="006A44FA">
              <w:rPr>
                <w:rFonts w:hAnsi="Times New Roman" w:cs="Times New Roman"/>
                <w:lang w:val="lt-LT"/>
              </w:rPr>
              <w:t>y</w:t>
            </w:r>
            <w:r w:rsidR="00790FF5" w:rsidRPr="006A44FA">
              <w:rPr>
                <w:rFonts w:hAnsi="Times New Roman" w:cs="Times New Roman"/>
                <w:lang w:val="lt-LT"/>
              </w:rPr>
              <w:t>je Portugalija planuoja skirti didelį dėmesį iniciatyvoms dėl E</w:t>
            </w:r>
            <w:r w:rsidR="00790FF5" w:rsidRPr="006A44FA">
              <w:rPr>
                <w:rFonts w:hAnsi="Times New Roman" w:cs="Times New Roman"/>
                <w:lang w:val="lt-LT"/>
              </w:rPr>
              <w:t>u</w:t>
            </w:r>
            <w:r w:rsidR="00790FF5" w:rsidRPr="006A44FA">
              <w:rPr>
                <w:rFonts w:hAnsi="Times New Roman" w:cs="Times New Roman"/>
                <w:lang w:val="lt-LT"/>
              </w:rPr>
              <w:t xml:space="preserve">ropos indėlių garantijų sistemos (EDIS) ir Kapitalo rinkų sąjungos (CMU). </w:t>
            </w:r>
          </w:p>
          <w:p w:rsidR="00790FF5" w:rsidRPr="006A44FA" w:rsidRDefault="00790FF5" w:rsidP="00790FF5">
            <w:pPr>
              <w:pStyle w:val="BodyA"/>
              <w:jc w:val="both"/>
              <w:rPr>
                <w:rFonts w:hAnsi="Times New Roman" w:cs="Times New Roman"/>
                <w:lang w:val="lt-LT"/>
              </w:rPr>
            </w:pPr>
          </w:p>
          <w:p w:rsidR="0032625D" w:rsidRPr="006A44FA" w:rsidRDefault="00790FF5" w:rsidP="00790FF5">
            <w:pPr>
              <w:pStyle w:val="BodyA"/>
              <w:jc w:val="both"/>
              <w:rPr>
                <w:rFonts w:hAnsi="Times New Roman" w:cs="Times New Roman"/>
                <w:u w:val="single"/>
                <w:lang w:val="lt-LT"/>
              </w:rPr>
            </w:pPr>
            <w:r w:rsidRPr="006A44FA">
              <w:rPr>
                <w:rFonts w:hAnsi="Times New Roman" w:cs="Times New Roman"/>
                <w:lang w:val="lt-LT"/>
              </w:rPr>
              <w:t>Finansinių paslaugų srityje pirmininkaujanti šalis sieks naujų Bazelio standartų įgyvendinimo, technologinės pažangos, užtikrinančios finansinį stabilumą bei duomenų apsaugą, prioritetas bu</w:t>
            </w:r>
            <w:r w:rsidR="009A7FD0" w:rsidRPr="006A44FA">
              <w:rPr>
                <w:rFonts w:hAnsi="Times New Roman" w:cs="Times New Roman"/>
                <w:lang w:val="lt-LT"/>
              </w:rPr>
              <w:t>s</w:t>
            </w:r>
            <w:r w:rsidRPr="006A44FA">
              <w:rPr>
                <w:rFonts w:hAnsi="Times New Roman" w:cs="Times New Roman"/>
                <w:lang w:val="lt-LT"/>
              </w:rPr>
              <w:t xml:space="preserve"> teikiamas iniciatyvoms dėl </w:t>
            </w:r>
            <w:proofErr w:type="spellStart"/>
            <w:r w:rsidRPr="006A44FA">
              <w:rPr>
                <w:rFonts w:hAnsi="Times New Roman" w:cs="Times New Roman"/>
                <w:lang w:val="lt-LT"/>
              </w:rPr>
              <w:t>kripto</w:t>
            </w:r>
            <w:proofErr w:type="spellEnd"/>
            <w:r w:rsidRPr="006A44FA">
              <w:rPr>
                <w:rFonts w:hAnsi="Times New Roman" w:cs="Times New Roman"/>
                <w:lang w:val="lt-LT"/>
              </w:rPr>
              <w:t xml:space="preserve"> turto. Mokesčių srityje svarbiausi klausimai bus susiję su te</w:t>
            </w:r>
            <w:r w:rsidRPr="006A44FA">
              <w:rPr>
                <w:rFonts w:hAnsi="Times New Roman" w:cs="Times New Roman"/>
                <w:lang w:val="lt-LT"/>
              </w:rPr>
              <w:t>i</w:t>
            </w:r>
            <w:r w:rsidRPr="006A44FA">
              <w:rPr>
                <w:rFonts w:hAnsi="Times New Roman" w:cs="Times New Roman"/>
                <w:lang w:val="lt-LT"/>
              </w:rPr>
              <w:t>singu ir efektyviu skaitmeninės ekonomikos apmokestinimu, kova su mokesčių vengimu ir m</w:t>
            </w:r>
            <w:r w:rsidRPr="006A44FA">
              <w:rPr>
                <w:rFonts w:hAnsi="Times New Roman" w:cs="Times New Roman"/>
                <w:lang w:val="lt-LT"/>
              </w:rPr>
              <w:t>o</w:t>
            </w:r>
            <w:r w:rsidRPr="006A44FA">
              <w:rPr>
                <w:rFonts w:hAnsi="Times New Roman" w:cs="Times New Roman"/>
                <w:lang w:val="lt-LT"/>
              </w:rPr>
              <w:t>kestiniu sukčiavimu.</w:t>
            </w:r>
          </w:p>
          <w:p w:rsidR="004B217F" w:rsidRPr="006A44FA" w:rsidRDefault="004B217F">
            <w:pPr>
              <w:pStyle w:val="BodyA"/>
              <w:jc w:val="both"/>
              <w:rPr>
                <w:rFonts w:ascii="Times New Roman Bold" w:eastAsia="Times New Roman Bold" w:hAnsi="Times New Roman Bold" w:cs="Times New Roman Bold"/>
                <w:u w:val="single"/>
                <w:lang w:val="lt-LT"/>
              </w:rPr>
            </w:pPr>
          </w:p>
          <w:p w:rsidR="00790FF5" w:rsidRPr="006A44FA" w:rsidRDefault="00EE1216" w:rsidP="00C31389">
            <w:pPr>
              <w:pStyle w:val="BodyA"/>
              <w:jc w:val="both"/>
              <w:rPr>
                <w:rFonts w:hAnsi="Times New Roman" w:cs="Times New Roman"/>
                <w:lang w:val="lt-LT"/>
              </w:rPr>
            </w:pPr>
            <w:r w:rsidRPr="006A44FA">
              <w:rPr>
                <w:rFonts w:hAnsi="Times New Roman" w:cs="Times New Roman"/>
                <w:b/>
                <w:u w:val="single"/>
                <w:lang w:val="lt-LT"/>
              </w:rPr>
              <w:t>Lietuvos pozicija.</w:t>
            </w:r>
            <w:r w:rsidRPr="006A44FA">
              <w:rPr>
                <w:rFonts w:hAnsi="Times New Roman" w:cs="Times New Roman"/>
                <w:lang w:val="lt-LT"/>
              </w:rPr>
              <w:t xml:space="preserve"> </w:t>
            </w:r>
            <w:r w:rsidR="00790FF5" w:rsidRPr="006A44FA">
              <w:rPr>
                <w:rFonts w:hAnsi="Times New Roman" w:cs="Times New Roman"/>
                <w:lang w:val="lt-LT"/>
              </w:rPr>
              <w:t>Ekonominės ir pinigų sąjungos kontekste remiame tolesnį Bankų sąjungos įgyvendinimą, įskaitant Europos indėlių garantijų sistemos sukūrimą, ir tolesnį Kapitalo rinkų sąjungos gilinimą. Pritariame, kad finansų srityje būtina didinti vartotojų ir investuotojų apsa</w:t>
            </w:r>
            <w:r w:rsidR="00790FF5" w:rsidRPr="006A44FA">
              <w:rPr>
                <w:rFonts w:hAnsi="Times New Roman" w:cs="Times New Roman"/>
                <w:lang w:val="lt-LT"/>
              </w:rPr>
              <w:t>u</w:t>
            </w:r>
            <w:r w:rsidR="00790FF5" w:rsidRPr="006A44FA">
              <w:rPr>
                <w:rFonts w:hAnsi="Times New Roman" w:cs="Times New Roman"/>
                <w:lang w:val="lt-LT"/>
              </w:rPr>
              <w:t xml:space="preserve">gą, mažinti kibernetinio saugumo spragų, pinigų plovimo ir teroristų finansavimo </w:t>
            </w:r>
            <w:proofErr w:type="spellStart"/>
            <w:r w:rsidR="00790FF5" w:rsidRPr="006A44FA">
              <w:rPr>
                <w:rFonts w:hAnsi="Times New Roman" w:cs="Times New Roman"/>
                <w:lang w:val="lt-LT"/>
              </w:rPr>
              <w:t>rizikas</w:t>
            </w:r>
            <w:proofErr w:type="spellEnd"/>
            <w:r w:rsidR="00790FF5" w:rsidRPr="006A44FA">
              <w:rPr>
                <w:rFonts w:hAnsi="Times New Roman" w:cs="Times New Roman"/>
                <w:lang w:val="lt-LT"/>
              </w:rPr>
              <w:t xml:space="preserve"> bei užtikrinti finansinį stabilumą ES lygiu. </w:t>
            </w:r>
          </w:p>
          <w:p w:rsidR="00790FF5" w:rsidRPr="006A44FA" w:rsidRDefault="00790FF5" w:rsidP="00C31389">
            <w:pPr>
              <w:pStyle w:val="BodyA"/>
              <w:jc w:val="both"/>
              <w:rPr>
                <w:rFonts w:hAnsi="Times New Roman" w:cs="Times New Roman"/>
                <w:lang w:val="lt-LT"/>
              </w:rPr>
            </w:pPr>
          </w:p>
          <w:p w:rsidR="004B217F" w:rsidRPr="006A44FA" w:rsidRDefault="00790FF5" w:rsidP="00C31389">
            <w:pPr>
              <w:pStyle w:val="BodyA"/>
              <w:jc w:val="both"/>
              <w:rPr>
                <w:rFonts w:hAnsi="Times New Roman" w:cs="Times New Roman"/>
                <w:lang w:val="lt-LT"/>
              </w:rPr>
            </w:pPr>
            <w:r w:rsidRPr="006A44FA">
              <w:rPr>
                <w:rFonts w:hAnsi="Times New Roman" w:cs="Times New Roman"/>
                <w:lang w:val="lt-LT"/>
              </w:rPr>
              <w:t xml:space="preserve">Lietuva palaiko siekį užtikrinti sąžiningesnį ir veiksmingą apmokestinimą, taip pat ir globalių skaitmeninio verslo apmokestinimo principų sukūrimą, kuriais būtų sprendžiami ekonomikos </w:t>
            </w:r>
            <w:proofErr w:type="spellStart"/>
            <w:r w:rsidRPr="006A44FA">
              <w:rPr>
                <w:rFonts w:hAnsi="Times New Roman" w:cs="Times New Roman"/>
                <w:lang w:val="lt-LT"/>
              </w:rPr>
              <w:t>skaitmenizacijos</w:t>
            </w:r>
            <w:proofErr w:type="spellEnd"/>
            <w:r w:rsidRPr="006A44FA">
              <w:rPr>
                <w:rFonts w:hAnsi="Times New Roman" w:cs="Times New Roman"/>
                <w:lang w:val="lt-LT"/>
              </w:rPr>
              <w:t xml:space="preserve"> keliami iššūkiai apmokestinimo srityje. Siekiant stiprinti finansų sektoriaus atsparumą, remiame dabartinių teisinių iniciatyvų užbaigimą, įskaitant Bazelio komiteto standa</w:t>
            </w:r>
            <w:r w:rsidRPr="006A44FA">
              <w:rPr>
                <w:rFonts w:hAnsi="Times New Roman" w:cs="Times New Roman"/>
                <w:lang w:val="lt-LT"/>
              </w:rPr>
              <w:t>r</w:t>
            </w:r>
            <w:r w:rsidRPr="006A44FA">
              <w:rPr>
                <w:rFonts w:hAnsi="Times New Roman" w:cs="Times New Roman"/>
                <w:lang w:val="lt-LT"/>
              </w:rPr>
              <w:t xml:space="preserve">tų įgyvendinimą. Palaikome skaitmeninės finansų sektoriaus transformacijos tikslus ir teigiamai vertiname </w:t>
            </w:r>
            <w:r w:rsidR="00B869E8" w:rsidRPr="006A44FA">
              <w:rPr>
                <w:rFonts w:hAnsi="Times New Roman" w:cs="Times New Roman"/>
                <w:lang w:val="lt-LT"/>
              </w:rPr>
              <w:t>teisines iniciatyvas</w:t>
            </w:r>
            <w:r w:rsidR="00B869E8">
              <w:rPr>
                <w:rFonts w:hAnsi="Times New Roman" w:cs="Times New Roman"/>
                <w:lang w:val="lt-LT"/>
              </w:rPr>
              <w:t>, pvz., dėl</w:t>
            </w:r>
            <w:r w:rsidR="00B869E8" w:rsidRPr="006A44FA">
              <w:rPr>
                <w:rFonts w:hAnsi="Times New Roman" w:cs="Times New Roman"/>
                <w:lang w:val="lt-LT"/>
              </w:rPr>
              <w:t xml:space="preserve"> </w:t>
            </w:r>
            <w:proofErr w:type="spellStart"/>
            <w:r w:rsidRPr="006A44FA">
              <w:rPr>
                <w:rFonts w:hAnsi="Times New Roman" w:cs="Times New Roman"/>
                <w:lang w:val="lt-LT"/>
              </w:rPr>
              <w:t>kripto</w:t>
            </w:r>
            <w:proofErr w:type="spellEnd"/>
            <w:r w:rsidRPr="006A44FA">
              <w:rPr>
                <w:rFonts w:hAnsi="Times New Roman" w:cs="Times New Roman"/>
                <w:lang w:val="lt-LT"/>
              </w:rPr>
              <w:t xml:space="preserve"> turto,</w:t>
            </w:r>
            <w:r w:rsidR="00B869E8">
              <w:rPr>
                <w:rFonts w:hAnsi="Times New Roman" w:cs="Times New Roman"/>
                <w:lang w:val="lt-LT"/>
              </w:rPr>
              <w:t xml:space="preserve"> </w:t>
            </w:r>
            <w:r w:rsidRPr="006A44FA">
              <w:rPr>
                <w:rFonts w:hAnsi="Times New Roman" w:cs="Times New Roman"/>
                <w:lang w:val="lt-LT"/>
              </w:rPr>
              <w:t>bei bendros ES skaitmeninių finansų strat</w:t>
            </w:r>
            <w:r w:rsidRPr="006A44FA">
              <w:rPr>
                <w:rFonts w:hAnsi="Times New Roman" w:cs="Times New Roman"/>
                <w:lang w:val="lt-LT"/>
              </w:rPr>
              <w:t>e</w:t>
            </w:r>
            <w:r w:rsidRPr="006A44FA">
              <w:rPr>
                <w:rFonts w:hAnsi="Times New Roman" w:cs="Times New Roman"/>
                <w:lang w:val="lt-LT"/>
              </w:rPr>
              <w:t>gijos įgyvendinimą.</w:t>
            </w:r>
          </w:p>
          <w:p w:rsidR="0032625D" w:rsidRPr="006A44FA" w:rsidRDefault="0032625D" w:rsidP="0032625D">
            <w:pPr>
              <w:pStyle w:val="BodyA"/>
              <w:jc w:val="both"/>
              <w:rPr>
                <w:rFonts w:hAnsi="Times New Roman" w:cs="Times New Roman"/>
                <w:lang w:val="lt-LT"/>
              </w:rPr>
            </w:pPr>
          </w:p>
          <w:p w:rsidR="0032625D" w:rsidRPr="006A44FA" w:rsidRDefault="0032625D" w:rsidP="0032625D">
            <w:pPr>
              <w:pStyle w:val="BodyA"/>
              <w:jc w:val="both"/>
              <w:rPr>
                <w:rFonts w:hAnsi="Times New Roman" w:cs="Times New Roman"/>
                <w:lang w:val="lt-LT"/>
              </w:rPr>
            </w:pPr>
            <w:r w:rsidRPr="006A44FA">
              <w:rPr>
                <w:rFonts w:hAnsi="Times New Roman" w:cs="Times New Roman"/>
                <w:b/>
                <w:lang w:val="lt-LT"/>
              </w:rPr>
              <w:t>2.</w:t>
            </w:r>
            <w:r w:rsidRPr="006A44FA">
              <w:rPr>
                <w:rFonts w:hAnsi="Times New Roman" w:cs="Times New Roman"/>
                <w:lang w:val="lt-LT"/>
              </w:rPr>
              <w:t xml:space="preserve"> </w:t>
            </w:r>
            <w:r w:rsidR="004226F1" w:rsidRPr="006A44FA">
              <w:rPr>
                <w:rFonts w:hAnsi="Times New Roman" w:cs="Times New Roman"/>
                <w:b/>
                <w:lang w:val="lt-LT"/>
              </w:rPr>
              <w:t>Veiksmų planas dėl neveiksnių paskolų</w:t>
            </w:r>
            <w:r w:rsidR="00E1240D" w:rsidRPr="006A44FA">
              <w:rPr>
                <w:rFonts w:hAnsi="Times New Roman" w:cs="Times New Roman"/>
                <w:b/>
                <w:lang w:val="lt-LT"/>
              </w:rPr>
              <w:t xml:space="preserve"> </w:t>
            </w:r>
            <w:r w:rsidRPr="006A44FA">
              <w:rPr>
                <w:rFonts w:hAnsi="Times New Roman" w:cs="Times New Roman"/>
                <w:lang w:val="lt-LT"/>
              </w:rPr>
              <w:t>(</w:t>
            </w:r>
            <w:r w:rsidR="004226F1" w:rsidRPr="006A44FA">
              <w:rPr>
                <w:rFonts w:hAnsi="Times New Roman" w:cs="Times New Roman"/>
                <w:i/>
                <w:iCs/>
                <w:lang w:val="lt-LT"/>
              </w:rPr>
              <w:t>Komisijos pristatymas ir diskusija</w:t>
            </w:r>
            <w:r w:rsidRPr="006A44FA">
              <w:rPr>
                <w:rFonts w:hAnsi="Times New Roman" w:cs="Times New Roman"/>
                <w:lang w:val="lt-LT"/>
              </w:rPr>
              <w:t>)</w:t>
            </w:r>
          </w:p>
          <w:p w:rsidR="0032625D" w:rsidRPr="006A44FA" w:rsidRDefault="0032625D" w:rsidP="002C15B7">
            <w:pPr>
              <w:pStyle w:val="BodyA"/>
              <w:jc w:val="both"/>
              <w:rPr>
                <w:rFonts w:hAnsi="Times New Roman" w:cs="Times New Roman"/>
                <w:highlight w:val="yellow"/>
                <w:lang w:val="lt-LT"/>
              </w:rPr>
            </w:pPr>
          </w:p>
          <w:p w:rsidR="00790FF5" w:rsidRPr="006A44FA" w:rsidRDefault="0032625D" w:rsidP="00790FF5">
            <w:pPr>
              <w:pStyle w:val="BodyA"/>
              <w:jc w:val="both"/>
              <w:rPr>
                <w:rFonts w:hAnsi="Times New Roman" w:cs="Times New Roman"/>
                <w:lang w:val="lt-LT"/>
              </w:rPr>
            </w:pPr>
            <w:r w:rsidRPr="006A44FA">
              <w:rPr>
                <w:rFonts w:hAnsi="Times New Roman" w:cs="Times New Roman"/>
                <w:b/>
                <w:u w:val="single"/>
                <w:lang w:val="lt-LT"/>
              </w:rPr>
              <w:t>Klausimo esmė.</w:t>
            </w:r>
            <w:r w:rsidRPr="006A44FA">
              <w:rPr>
                <w:rFonts w:hAnsi="Times New Roman" w:cs="Times New Roman"/>
                <w:lang w:val="lt-LT"/>
              </w:rPr>
              <w:t xml:space="preserve"> </w:t>
            </w:r>
            <w:r w:rsidR="00790FF5" w:rsidRPr="006A44FA">
              <w:rPr>
                <w:rFonts w:hAnsi="Times New Roman" w:cs="Times New Roman"/>
                <w:lang w:val="lt-LT"/>
              </w:rPr>
              <w:t>2020 m. gruodžio 16 d. EK pristatė komunikatą, kuriuo siekiama  visoje ES užkirsti kelią galimam neveiksnių paskolų (NPL) augimui,  sukeltam  COVID-19 pandemijos  krizės. Komunikate pasiūlytas  priemonių rinkinys galėtų užtikrinti skolininkų apsaugą bei pad</w:t>
            </w:r>
            <w:r w:rsidR="00790FF5" w:rsidRPr="006A44FA">
              <w:rPr>
                <w:rFonts w:hAnsi="Times New Roman" w:cs="Times New Roman"/>
                <w:lang w:val="lt-LT"/>
              </w:rPr>
              <w:t>ė</w:t>
            </w:r>
            <w:r w:rsidR="00790FF5" w:rsidRPr="006A44FA">
              <w:rPr>
                <w:rFonts w:hAnsi="Times New Roman" w:cs="Times New Roman"/>
                <w:lang w:val="lt-LT"/>
              </w:rPr>
              <w:t>tų užkirsti kelią neveiksnių paskolų augimui, panašiam į tą, kuris įvyko po paskutinės finansų krizės. Išskiriami keturi pagrindiniai pasiūlyto veiksmų plano tikslai:</w:t>
            </w:r>
          </w:p>
          <w:p w:rsidR="006A44FA" w:rsidRPr="006A44FA" w:rsidRDefault="006A44FA" w:rsidP="006A44FA">
            <w:pPr>
              <w:pStyle w:val="BodyA"/>
              <w:tabs>
                <w:tab w:val="left" w:pos="743"/>
              </w:tabs>
              <w:ind w:firstLine="318"/>
              <w:jc w:val="both"/>
              <w:rPr>
                <w:rFonts w:hAnsi="Times New Roman" w:cs="Times New Roman"/>
                <w:lang w:val="lt-LT"/>
              </w:rPr>
            </w:pPr>
            <w:r w:rsidRPr="006A44FA">
              <w:rPr>
                <w:rFonts w:hAnsi="Times New Roman" w:cs="Times New Roman"/>
                <w:lang w:val="lt-LT"/>
              </w:rPr>
              <w:t>1.</w:t>
            </w:r>
            <w:r w:rsidRPr="006A44FA">
              <w:rPr>
                <w:rFonts w:hAnsi="Times New Roman" w:cs="Times New Roman"/>
                <w:lang w:val="lt-LT"/>
              </w:rPr>
              <w:tab/>
            </w:r>
            <w:r w:rsidRPr="006A44FA">
              <w:rPr>
                <w:rFonts w:hAnsi="Times New Roman" w:cs="Times New Roman"/>
                <w:b/>
                <w:lang w:val="lt-LT"/>
              </w:rPr>
              <w:t>Antrinių rinkų ir duomenų skaidrumo plėtojimas</w:t>
            </w:r>
            <w:r w:rsidRPr="006A44FA">
              <w:rPr>
                <w:rFonts w:hAnsi="Times New Roman" w:cs="Times New Roman"/>
                <w:lang w:val="lt-LT"/>
              </w:rPr>
              <w:t>. Pagrindinis šio proceso žingsnis būtų Komisijos pasiūlytos direktyvos dėl kredito administratorių ir kredito pirkėjų (NPL antrinių rinkų direktyva), kurią šiuo metu svarsto Europos Parlamentas ir Taryba, priėmimas. Siekiant didinti rinkos skaidrumą taip pat siūloma plėtoti centrinio elektroninių duomenų centro (</w:t>
            </w:r>
            <w:proofErr w:type="spellStart"/>
            <w:r w:rsidRPr="006A44FA">
              <w:rPr>
                <w:rFonts w:hAnsi="Times New Roman" w:cs="Times New Roman"/>
                <w:i/>
                <w:lang w:val="lt-LT"/>
              </w:rPr>
              <w:t>hub</w:t>
            </w:r>
            <w:proofErr w:type="spellEnd"/>
            <w:r w:rsidRPr="006A44FA">
              <w:rPr>
                <w:rFonts w:hAnsi="Times New Roman" w:cs="Times New Roman"/>
                <w:lang w:val="lt-LT"/>
              </w:rPr>
              <w:t>) sukūrimą ES lygiu. Centras veiktų kaip duomenų saugykla, skatinanti antrinę NPL rinką, -  s</w:t>
            </w:r>
            <w:r w:rsidRPr="006A44FA">
              <w:rPr>
                <w:rFonts w:hAnsi="Times New Roman" w:cs="Times New Roman"/>
                <w:lang w:val="lt-LT"/>
              </w:rPr>
              <w:t>u</w:t>
            </w:r>
            <w:r w:rsidRPr="006A44FA">
              <w:rPr>
                <w:rFonts w:hAnsi="Times New Roman" w:cs="Times New Roman"/>
                <w:lang w:val="lt-LT"/>
              </w:rPr>
              <w:t>darys galimybę keistis informacija po pardavimo ir kainų informacija tarp visų susijusių dalyvių (kredito pardavėjų, kredito pirkėjų), tačiau galimai būtų renkama ir papildoma informacija, pvz., apie teisminius procesus.</w:t>
            </w:r>
          </w:p>
          <w:p w:rsidR="006A44FA" w:rsidRPr="006A44FA" w:rsidRDefault="006A44FA" w:rsidP="006A44FA">
            <w:pPr>
              <w:pStyle w:val="BodyA"/>
              <w:tabs>
                <w:tab w:val="left" w:pos="743"/>
              </w:tabs>
              <w:ind w:firstLine="318"/>
              <w:jc w:val="both"/>
              <w:rPr>
                <w:rFonts w:hAnsi="Times New Roman" w:cs="Times New Roman"/>
                <w:lang w:val="lt-LT"/>
              </w:rPr>
            </w:pPr>
            <w:r w:rsidRPr="006A44FA">
              <w:rPr>
                <w:rFonts w:hAnsi="Times New Roman" w:cs="Times New Roman"/>
                <w:lang w:val="lt-LT"/>
              </w:rPr>
              <w:t>2.</w:t>
            </w:r>
            <w:r w:rsidRPr="006A44FA">
              <w:rPr>
                <w:rFonts w:hAnsi="Times New Roman" w:cs="Times New Roman"/>
                <w:lang w:val="lt-LT"/>
              </w:rPr>
              <w:tab/>
            </w:r>
            <w:r w:rsidRPr="006A44FA">
              <w:rPr>
                <w:rFonts w:hAnsi="Times New Roman" w:cs="Times New Roman"/>
                <w:b/>
                <w:lang w:val="lt-LT"/>
              </w:rPr>
              <w:t>ES įmonių nemokumo ir skolų išieškojimo režimų reforma</w:t>
            </w:r>
            <w:r w:rsidRPr="006A44FA">
              <w:rPr>
                <w:rFonts w:hAnsi="Times New Roman" w:cs="Times New Roman"/>
                <w:lang w:val="lt-LT"/>
              </w:rPr>
              <w:t>. Tai prisidėtų prie įvairių ES nemokumo sistemų suvienodinimo, išlaikant aukštus vartotojų apsaugos standartus. Sieki</w:t>
            </w:r>
            <w:r w:rsidRPr="006A44FA">
              <w:rPr>
                <w:rFonts w:hAnsi="Times New Roman" w:cs="Times New Roman"/>
                <w:lang w:val="lt-LT"/>
              </w:rPr>
              <w:t>a</w:t>
            </w:r>
            <w:r w:rsidRPr="006A44FA">
              <w:rPr>
                <w:rFonts w:hAnsi="Times New Roman" w:cs="Times New Roman"/>
                <w:lang w:val="lt-LT"/>
              </w:rPr>
              <w:t>ma kuo greičiau pasiekti sutarimą dėl EK pasiūlytos direktyvos dėl greitesnio užstato realizav</w:t>
            </w:r>
            <w:r w:rsidRPr="006A44FA">
              <w:rPr>
                <w:rFonts w:hAnsi="Times New Roman" w:cs="Times New Roman"/>
                <w:lang w:val="lt-LT"/>
              </w:rPr>
              <w:t>i</w:t>
            </w:r>
            <w:r w:rsidRPr="006A44FA">
              <w:rPr>
                <w:rFonts w:hAnsi="Times New Roman" w:cs="Times New Roman"/>
                <w:lang w:val="lt-LT"/>
              </w:rPr>
              <w:t>mo ne teismo tvarka. Taip pat siūlomi teisiniai ir neteisiniai veiksmai, kuriais siekiama harmon</w:t>
            </w:r>
            <w:r w:rsidRPr="006A44FA">
              <w:rPr>
                <w:rFonts w:hAnsi="Times New Roman" w:cs="Times New Roman"/>
                <w:lang w:val="lt-LT"/>
              </w:rPr>
              <w:t>i</w:t>
            </w:r>
            <w:r w:rsidRPr="006A44FA">
              <w:rPr>
                <w:rFonts w:hAnsi="Times New Roman" w:cs="Times New Roman"/>
                <w:lang w:val="lt-LT"/>
              </w:rPr>
              <w:lastRenderedPageBreak/>
              <w:t>zuoti ne bankų nemokumo nuostatas, kurie kliudo tarpvalstybinėms investicijoms.</w:t>
            </w:r>
          </w:p>
          <w:p w:rsidR="006A44FA" w:rsidRPr="006A44FA" w:rsidRDefault="006A44FA" w:rsidP="006A44FA">
            <w:pPr>
              <w:pStyle w:val="BodyA"/>
              <w:tabs>
                <w:tab w:val="left" w:pos="743"/>
              </w:tabs>
              <w:ind w:firstLine="318"/>
              <w:jc w:val="both"/>
              <w:rPr>
                <w:rFonts w:hAnsi="Times New Roman" w:cs="Times New Roman"/>
                <w:lang w:val="lt-LT"/>
              </w:rPr>
            </w:pPr>
            <w:r w:rsidRPr="006A44FA">
              <w:rPr>
                <w:rFonts w:hAnsi="Times New Roman" w:cs="Times New Roman"/>
                <w:lang w:val="lt-LT"/>
              </w:rPr>
              <w:t>3.</w:t>
            </w:r>
            <w:r w:rsidRPr="006A44FA">
              <w:rPr>
                <w:rFonts w:hAnsi="Times New Roman" w:cs="Times New Roman"/>
                <w:lang w:val="lt-LT"/>
              </w:rPr>
              <w:tab/>
            </w:r>
            <w:r w:rsidRPr="006A44FA">
              <w:rPr>
                <w:rFonts w:hAnsi="Times New Roman" w:cs="Times New Roman"/>
                <w:b/>
                <w:lang w:val="lt-LT"/>
              </w:rPr>
              <w:t>Remti nacionalinių turto valdymo įmonių (</w:t>
            </w:r>
            <w:proofErr w:type="spellStart"/>
            <w:r w:rsidRPr="006A44FA">
              <w:rPr>
                <w:rFonts w:hAnsi="Times New Roman" w:cs="Times New Roman"/>
                <w:b/>
                <w:lang w:val="lt-LT"/>
              </w:rPr>
              <w:t>Asset</w:t>
            </w:r>
            <w:proofErr w:type="spellEnd"/>
            <w:r w:rsidRPr="006A44FA">
              <w:rPr>
                <w:rFonts w:hAnsi="Times New Roman" w:cs="Times New Roman"/>
                <w:b/>
                <w:lang w:val="lt-LT"/>
              </w:rPr>
              <w:t xml:space="preserve"> </w:t>
            </w:r>
            <w:proofErr w:type="spellStart"/>
            <w:r w:rsidRPr="006A44FA">
              <w:rPr>
                <w:rFonts w:hAnsi="Times New Roman" w:cs="Times New Roman"/>
                <w:b/>
                <w:lang w:val="lt-LT"/>
              </w:rPr>
              <w:t>management</w:t>
            </w:r>
            <w:proofErr w:type="spellEnd"/>
            <w:r w:rsidRPr="006A44FA">
              <w:rPr>
                <w:rFonts w:hAnsi="Times New Roman" w:cs="Times New Roman"/>
                <w:b/>
                <w:lang w:val="lt-LT"/>
              </w:rPr>
              <w:t xml:space="preserve"> </w:t>
            </w:r>
            <w:proofErr w:type="spellStart"/>
            <w:r w:rsidRPr="006A44FA">
              <w:rPr>
                <w:rFonts w:hAnsi="Times New Roman" w:cs="Times New Roman"/>
                <w:b/>
                <w:lang w:val="lt-LT"/>
              </w:rPr>
              <w:t>companies</w:t>
            </w:r>
            <w:proofErr w:type="spellEnd"/>
            <w:r w:rsidRPr="006A44FA">
              <w:rPr>
                <w:rFonts w:hAnsi="Times New Roman" w:cs="Times New Roman"/>
                <w:b/>
                <w:lang w:val="lt-LT"/>
              </w:rPr>
              <w:t xml:space="preserve"> - AMC) steigimą ir bendradarbiavimą ES lygiu.</w:t>
            </w:r>
            <w:r w:rsidRPr="006A44FA">
              <w:rPr>
                <w:rFonts w:hAnsi="Times New Roman" w:cs="Times New Roman"/>
                <w:lang w:val="lt-LT"/>
              </w:rPr>
              <w:t xml:space="preserve"> Turto valdymo įmonės perima iš bankų balansų n</w:t>
            </w:r>
            <w:r w:rsidRPr="006A44FA">
              <w:rPr>
                <w:rFonts w:hAnsi="Times New Roman" w:cs="Times New Roman"/>
                <w:lang w:val="lt-LT"/>
              </w:rPr>
              <w:t>e</w:t>
            </w:r>
            <w:r w:rsidRPr="006A44FA">
              <w:rPr>
                <w:rFonts w:hAnsi="Times New Roman" w:cs="Times New Roman"/>
                <w:lang w:val="lt-LT"/>
              </w:rPr>
              <w:t xml:space="preserve">veiksnias paskolas. Komisija yra pasirengusi, esant poreikiui, padėti valstybėms narėms steigti nacionalines AMC ir skatinti galimą bendradarbiavimą, kuriant ES nacionalinių AMC tinklą. </w:t>
            </w:r>
          </w:p>
          <w:p w:rsidR="006A44FA" w:rsidRPr="006A44FA" w:rsidRDefault="006A44FA" w:rsidP="006A44FA">
            <w:pPr>
              <w:pStyle w:val="Sraopastraipa"/>
              <w:tabs>
                <w:tab w:val="left" w:pos="743"/>
              </w:tabs>
              <w:spacing w:after="0" w:line="240" w:lineRule="auto"/>
              <w:ind w:left="0" w:firstLine="318"/>
              <w:jc w:val="both"/>
              <w:rPr>
                <w:rFonts w:hAnsi="Times New Roman" w:cs="Times New Roman"/>
                <w:lang w:val="lt-LT"/>
              </w:rPr>
            </w:pPr>
            <w:r w:rsidRPr="006A44FA">
              <w:rPr>
                <w:rFonts w:hAnsi="Times New Roman" w:cs="Times New Roman"/>
                <w:lang w:val="lt-LT"/>
              </w:rPr>
              <w:t>4.</w:t>
            </w:r>
            <w:r w:rsidRPr="006A44FA">
              <w:rPr>
                <w:rFonts w:hAnsi="Times New Roman" w:cs="Times New Roman"/>
                <w:lang w:val="lt-LT"/>
              </w:rPr>
              <w:tab/>
            </w:r>
            <w:r w:rsidRPr="006A44FA">
              <w:rPr>
                <w:rFonts w:hAnsi="Times New Roman" w:cs="Times New Roman"/>
                <w:b/>
                <w:lang w:val="lt-LT"/>
              </w:rPr>
              <w:t>Valstybės pagalbos nuostatų taikymas.</w:t>
            </w:r>
            <w:r w:rsidRPr="006A44FA">
              <w:rPr>
                <w:rFonts w:hAnsi="Times New Roman" w:cs="Times New Roman"/>
                <w:lang w:val="lt-LT"/>
              </w:rPr>
              <w:t xml:space="preserve"> Valstybės narės ir toliau taiko skirtingas ek</w:t>
            </w:r>
            <w:r w:rsidRPr="006A44FA">
              <w:rPr>
                <w:rFonts w:hAnsi="Times New Roman" w:cs="Times New Roman"/>
                <w:lang w:val="lt-LT"/>
              </w:rPr>
              <w:t>o</w:t>
            </w:r>
            <w:r w:rsidRPr="006A44FA">
              <w:rPr>
                <w:rFonts w:hAnsi="Times New Roman" w:cs="Times New Roman"/>
                <w:lang w:val="lt-LT"/>
              </w:rPr>
              <w:t>nominės politikos priemones. Atsižvelgiant į ypatingas dabartinės sveikatos krizės aplinkybes, valdžios institucijos turi galimybę prireikus įgyvendinti prevencines viešosios paramos priem</w:t>
            </w:r>
            <w:r w:rsidRPr="006A44FA">
              <w:rPr>
                <w:rFonts w:hAnsi="Times New Roman" w:cs="Times New Roman"/>
                <w:lang w:val="lt-LT"/>
              </w:rPr>
              <w:t>o</w:t>
            </w:r>
            <w:r w:rsidRPr="006A44FA">
              <w:rPr>
                <w:rFonts w:hAnsi="Times New Roman" w:cs="Times New Roman"/>
                <w:lang w:val="lt-LT"/>
              </w:rPr>
              <w:t>nes tam, kad būtų užtikrintas nuolatinis realiosios ekonomikos finansavimas pagal ES bankų gaivinimo ir pertvarkymo direktyvą (BRRD) bei valstybės pagalbos taisykles.</w:t>
            </w:r>
          </w:p>
          <w:p w:rsidR="006A44FA" w:rsidRPr="006A44FA" w:rsidRDefault="006A44FA" w:rsidP="006A44FA">
            <w:pPr>
              <w:pStyle w:val="Sraopastraipa"/>
              <w:spacing w:after="0" w:line="240" w:lineRule="auto"/>
              <w:ind w:left="0"/>
              <w:jc w:val="both"/>
              <w:rPr>
                <w:rFonts w:hAnsi="Times New Roman" w:cs="Times New Roman"/>
                <w:lang w:val="lt-LT"/>
              </w:rPr>
            </w:pPr>
          </w:p>
          <w:p w:rsidR="002C15B7" w:rsidRPr="006A44FA" w:rsidRDefault="0032625D" w:rsidP="006A44FA">
            <w:pPr>
              <w:pStyle w:val="Sraopastraipa"/>
              <w:spacing w:after="0" w:line="240" w:lineRule="auto"/>
              <w:ind w:left="0"/>
              <w:jc w:val="both"/>
              <w:rPr>
                <w:rFonts w:eastAsia="Calibri" w:hAnsi="Times New Roman" w:cs="Times New Roman"/>
                <w:bdr w:val="none" w:sz="0" w:space="0" w:color="auto"/>
                <w:lang w:val="lt-LT"/>
              </w:rPr>
            </w:pPr>
            <w:r w:rsidRPr="006A44FA">
              <w:rPr>
                <w:rFonts w:hAnsi="Times New Roman" w:cs="Times New Roman"/>
                <w:b/>
                <w:u w:val="single"/>
                <w:lang w:val="lt-LT"/>
              </w:rPr>
              <w:t>Lietuvos pozicija.</w:t>
            </w:r>
            <w:r w:rsidR="00D80DED" w:rsidRPr="006A44FA">
              <w:rPr>
                <w:rFonts w:hAnsi="Times New Roman" w:cs="Times New Roman"/>
                <w:lang w:val="lt-LT"/>
              </w:rPr>
              <w:t xml:space="preserve"> </w:t>
            </w:r>
            <w:r w:rsidR="006A44FA" w:rsidRPr="006A44FA">
              <w:rPr>
                <w:rFonts w:hAnsi="Times New Roman" w:cs="Times New Roman"/>
                <w:lang w:val="lt-LT"/>
              </w:rPr>
              <w:t>Palaikome Komisijos veiksmus neveiksnių paskolų mažinimo srityje. M</w:t>
            </w:r>
            <w:r w:rsidR="006A44FA" w:rsidRPr="006A44FA">
              <w:rPr>
                <w:rFonts w:hAnsi="Times New Roman" w:cs="Times New Roman"/>
                <w:lang w:val="lt-LT"/>
              </w:rPr>
              <w:t>a</w:t>
            </w:r>
            <w:r w:rsidR="006A44FA" w:rsidRPr="006A44FA">
              <w:rPr>
                <w:rFonts w:hAnsi="Times New Roman" w:cs="Times New Roman"/>
                <w:lang w:val="lt-LT"/>
              </w:rPr>
              <w:t>nome, kad Komisijos 2017 m. veiksmų planas NPL lygiui mažinti  iki šiol prisidėjo prie rizikos mažinimo bankų sektoriuje  ir finansinio  stabilumo stiprinimo. Tikimės, jog ir tolesnės nauj</w:t>
            </w:r>
            <w:r w:rsidR="006A44FA" w:rsidRPr="006A44FA">
              <w:rPr>
                <w:rFonts w:hAnsi="Times New Roman" w:cs="Times New Roman"/>
                <w:lang w:val="lt-LT"/>
              </w:rPr>
              <w:t>a</w:t>
            </w:r>
            <w:r w:rsidR="006A44FA" w:rsidRPr="006A44FA">
              <w:rPr>
                <w:rFonts w:hAnsi="Times New Roman" w:cs="Times New Roman"/>
                <w:lang w:val="lt-LT"/>
              </w:rPr>
              <w:t>jame Komunikate pasiūlytos priemonės bus veiksmingos, siekiant kovoti su vienu didžiausių COVID-19 pandemijos sukeltų iššūkių finansų sektoriuje ir užtikrinti, jog bankai prisidėtų prie ekonomikos atsigavimo. Iš esmės pritariame Komunikate išdėstytoms priemonėms, ypač susij</w:t>
            </w:r>
            <w:r w:rsidR="006A44FA" w:rsidRPr="006A44FA">
              <w:rPr>
                <w:rFonts w:hAnsi="Times New Roman" w:cs="Times New Roman"/>
                <w:lang w:val="lt-LT"/>
              </w:rPr>
              <w:t>u</w:t>
            </w:r>
            <w:r w:rsidR="006A44FA" w:rsidRPr="006A44FA">
              <w:rPr>
                <w:rFonts w:hAnsi="Times New Roman" w:cs="Times New Roman"/>
                <w:lang w:val="lt-LT"/>
              </w:rPr>
              <w:t>sioms su nemokumo režimų tobulinimu, siekiant pašalinti su nacionaliniais nemokumo režimais susijusias kliūtis tarpvalstybinėms investicijoms, taip pat palaikome tolesnį darbą plėtojant NPL duomenų infrastruktūrą, rengiant gaires dėl efektyviausio NPL pardavimo proceso organizav</w:t>
            </w:r>
            <w:r w:rsidR="006A44FA" w:rsidRPr="006A44FA">
              <w:rPr>
                <w:rFonts w:hAnsi="Times New Roman" w:cs="Times New Roman"/>
                <w:lang w:val="lt-LT"/>
              </w:rPr>
              <w:t>i</w:t>
            </w:r>
            <w:r w:rsidR="006A44FA" w:rsidRPr="006A44FA">
              <w:rPr>
                <w:rFonts w:hAnsi="Times New Roman" w:cs="Times New Roman"/>
                <w:lang w:val="lt-LT"/>
              </w:rPr>
              <w:t>mo, taip pat teisinius pasiūlymus, siekiant NPL antrinių rinkų vystymo. Kartu pabrėžiame, jog svarbu, kad įgyvendinant NPL mažinimo priemones, būtų užtikrintas pakankamas vartotojų te</w:t>
            </w:r>
            <w:r w:rsidR="006A44FA" w:rsidRPr="006A44FA">
              <w:rPr>
                <w:rFonts w:hAnsi="Times New Roman" w:cs="Times New Roman"/>
                <w:lang w:val="lt-LT"/>
              </w:rPr>
              <w:t>i</w:t>
            </w:r>
            <w:r w:rsidR="006A44FA" w:rsidRPr="006A44FA">
              <w:rPr>
                <w:rFonts w:hAnsi="Times New Roman" w:cs="Times New Roman"/>
                <w:lang w:val="lt-LT"/>
              </w:rPr>
              <w:t>sių apsaugos lygis.</w:t>
            </w:r>
          </w:p>
          <w:p w:rsidR="00E1240D" w:rsidRPr="006A44FA" w:rsidRDefault="00E1240D" w:rsidP="0032625D">
            <w:pPr>
              <w:pStyle w:val="BodyA"/>
              <w:jc w:val="both"/>
              <w:rPr>
                <w:lang w:val="lt-LT"/>
              </w:rPr>
            </w:pPr>
          </w:p>
          <w:p w:rsidR="004226F1" w:rsidRPr="006A44FA" w:rsidRDefault="00E1240D" w:rsidP="00E1240D">
            <w:pPr>
              <w:pStyle w:val="BodyA"/>
              <w:jc w:val="both"/>
              <w:rPr>
                <w:rFonts w:hAnsi="Times New Roman" w:cs="Times New Roman"/>
                <w:b/>
                <w:lang w:val="lt-LT"/>
              </w:rPr>
            </w:pPr>
            <w:r w:rsidRPr="006A44FA">
              <w:rPr>
                <w:rFonts w:hAnsi="Times New Roman" w:cs="Times New Roman"/>
                <w:b/>
                <w:lang w:val="lt-LT"/>
              </w:rPr>
              <w:t>3.</w:t>
            </w:r>
            <w:r w:rsidRPr="006A44FA">
              <w:rPr>
                <w:rFonts w:hAnsi="Times New Roman" w:cs="Times New Roman"/>
                <w:lang w:val="lt-LT"/>
              </w:rPr>
              <w:t xml:space="preserve"> </w:t>
            </w:r>
            <w:r w:rsidR="004226F1" w:rsidRPr="006A44FA">
              <w:rPr>
                <w:rFonts w:hAnsi="Times New Roman" w:cs="Times New Roman"/>
                <w:b/>
                <w:lang w:val="lt-LT"/>
              </w:rPr>
              <w:t>Europos semestras:</w:t>
            </w:r>
          </w:p>
          <w:p w:rsidR="00E1240D" w:rsidRPr="006A44FA" w:rsidRDefault="004226F1" w:rsidP="00E1240D">
            <w:pPr>
              <w:pStyle w:val="BodyA"/>
              <w:jc w:val="both"/>
              <w:rPr>
                <w:rFonts w:hAnsi="Times New Roman" w:cs="Times New Roman"/>
                <w:lang w:val="lt-LT"/>
              </w:rPr>
            </w:pPr>
            <w:r w:rsidRPr="006A44FA">
              <w:rPr>
                <w:rFonts w:hAnsi="Times New Roman" w:cs="Times New Roman"/>
                <w:b/>
                <w:lang w:val="lt-LT"/>
              </w:rPr>
              <w:t xml:space="preserve">a) Išvados dėl 2021 m. Įspėjimo mechanizmo ataskaitos </w:t>
            </w:r>
          </w:p>
          <w:p w:rsidR="004226F1" w:rsidRPr="006A44FA" w:rsidRDefault="004226F1" w:rsidP="00E1240D">
            <w:pPr>
              <w:pStyle w:val="BodyA"/>
              <w:jc w:val="both"/>
              <w:rPr>
                <w:rFonts w:hAnsi="Times New Roman" w:cs="Times New Roman"/>
                <w:b/>
                <w:lang w:val="lt-LT"/>
              </w:rPr>
            </w:pPr>
            <w:r w:rsidRPr="006A44FA">
              <w:rPr>
                <w:rFonts w:hAnsi="Times New Roman" w:cs="Times New Roman"/>
                <w:b/>
                <w:lang w:val="lt-LT"/>
              </w:rPr>
              <w:t xml:space="preserve">b) Rekomendacijos dėl euro zonos ekonominės politikos </w:t>
            </w:r>
          </w:p>
          <w:p w:rsidR="004226F1" w:rsidRPr="006A44FA" w:rsidRDefault="004226F1" w:rsidP="00E1240D">
            <w:pPr>
              <w:pStyle w:val="BodyA"/>
              <w:jc w:val="both"/>
              <w:rPr>
                <w:rFonts w:hAnsi="Times New Roman" w:cs="Times New Roman"/>
                <w:i/>
                <w:lang w:val="lt-LT"/>
              </w:rPr>
            </w:pPr>
            <w:r w:rsidRPr="006A44FA">
              <w:rPr>
                <w:rFonts w:hAnsi="Times New Roman" w:cs="Times New Roman"/>
                <w:i/>
                <w:lang w:val="lt-LT"/>
              </w:rPr>
              <w:t>(Komisijos pristatymas ir apsikeitimas nuomonėmis)</w:t>
            </w:r>
          </w:p>
          <w:p w:rsidR="00E1240D" w:rsidRPr="006A44FA" w:rsidRDefault="00E1240D" w:rsidP="00E1240D">
            <w:pPr>
              <w:pStyle w:val="BodyA"/>
              <w:jc w:val="both"/>
              <w:rPr>
                <w:lang w:val="lt-LT"/>
              </w:rPr>
            </w:pPr>
          </w:p>
          <w:p w:rsidR="006A44FA" w:rsidRPr="006A44FA" w:rsidRDefault="00E1240D" w:rsidP="00E1240D">
            <w:pPr>
              <w:pStyle w:val="BodyA"/>
              <w:jc w:val="both"/>
              <w:rPr>
                <w:lang w:val="lt-LT"/>
              </w:rPr>
            </w:pPr>
            <w:r w:rsidRPr="006A44FA">
              <w:rPr>
                <w:rFonts w:ascii="Times New Roman Bold"/>
                <w:u w:val="single"/>
                <w:lang w:val="lt-LT"/>
              </w:rPr>
              <w:t>Klausimo esm</w:t>
            </w:r>
            <w:r w:rsidRPr="006A44FA">
              <w:rPr>
                <w:rFonts w:hAnsi="Times New Roman Bold"/>
                <w:u w:val="single"/>
                <w:lang w:val="lt-LT"/>
              </w:rPr>
              <w:t>ė</w:t>
            </w:r>
            <w:r w:rsidRPr="006A44FA">
              <w:rPr>
                <w:rFonts w:hAnsi="Times New Roman" w:cs="Times New Roman"/>
                <w:u w:val="single"/>
                <w:lang w:val="lt-LT"/>
              </w:rPr>
              <w:t>.</w:t>
            </w:r>
            <w:r w:rsidRPr="006A44FA">
              <w:rPr>
                <w:rFonts w:hAnsi="Times New Roman" w:cs="Times New Roman"/>
                <w:lang w:val="lt-LT"/>
              </w:rPr>
              <w:t xml:space="preserve"> </w:t>
            </w:r>
            <w:r w:rsidR="009B0378" w:rsidRPr="006A44FA">
              <w:rPr>
                <w:rFonts w:hAnsi="Times New Roman" w:cs="Times New Roman"/>
                <w:lang w:val="lt-LT"/>
              </w:rPr>
              <w:t>Dėl abiejų tekstų yra sutarta</w:t>
            </w:r>
            <w:r w:rsidR="00FB5FC9">
              <w:rPr>
                <w:rFonts w:hAnsi="Times New Roman" w:cs="Times New Roman"/>
                <w:lang w:val="lt-LT"/>
              </w:rPr>
              <w:t xml:space="preserve"> </w:t>
            </w:r>
            <w:r w:rsidR="009B0378" w:rsidRPr="006A44FA">
              <w:rPr>
                <w:rFonts w:hAnsi="Times New Roman" w:cs="Times New Roman"/>
                <w:lang w:val="lt-LT"/>
              </w:rPr>
              <w:t>- atvirų klausimų nėra likę.</w:t>
            </w:r>
            <w:r w:rsidR="009B0378" w:rsidRPr="006A44FA">
              <w:rPr>
                <w:lang w:val="lt-LT"/>
              </w:rPr>
              <w:t xml:space="preserve"> </w:t>
            </w:r>
          </w:p>
          <w:p w:rsidR="00E1240D" w:rsidRPr="006A44FA" w:rsidRDefault="00D80DED" w:rsidP="00E1240D">
            <w:pPr>
              <w:pStyle w:val="BodyA"/>
              <w:jc w:val="both"/>
              <w:rPr>
                <w:rFonts w:hAnsi="Times New Roman" w:cs="Times New Roman"/>
                <w:lang w:val="lt-LT"/>
              </w:rPr>
            </w:pPr>
            <w:r w:rsidRPr="006A44FA">
              <w:rPr>
                <w:rFonts w:hAnsi="Times New Roman" w:cs="Times New Roman"/>
                <w:b/>
                <w:lang w:val="lt-LT"/>
              </w:rPr>
              <w:t>Įspėjimo mechanizmo ataskaita 2021</w:t>
            </w:r>
            <w:r w:rsidRPr="006A44FA">
              <w:rPr>
                <w:rFonts w:hAnsi="Times New Roman" w:cs="Times New Roman"/>
                <w:lang w:val="lt-LT"/>
              </w:rPr>
              <w:t>. Lietuva į COVID-19 krizę pateko neturėdama makro</w:t>
            </w:r>
            <w:r w:rsidRPr="006A44FA">
              <w:rPr>
                <w:rFonts w:hAnsi="Times New Roman" w:cs="Times New Roman"/>
                <w:lang w:val="lt-LT"/>
              </w:rPr>
              <w:t>e</w:t>
            </w:r>
            <w:r w:rsidRPr="006A44FA">
              <w:rPr>
                <w:rFonts w:hAnsi="Times New Roman" w:cs="Times New Roman"/>
                <w:lang w:val="lt-LT"/>
              </w:rPr>
              <w:t xml:space="preserve">konominių </w:t>
            </w:r>
            <w:proofErr w:type="spellStart"/>
            <w:r w:rsidRPr="006A44FA">
              <w:rPr>
                <w:rFonts w:hAnsi="Times New Roman" w:cs="Times New Roman"/>
                <w:lang w:val="lt-LT"/>
              </w:rPr>
              <w:t>disbalansų</w:t>
            </w:r>
            <w:proofErr w:type="spellEnd"/>
            <w:r w:rsidRPr="006A44FA">
              <w:rPr>
                <w:rFonts w:hAnsi="Times New Roman" w:cs="Times New Roman"/>
                <w:lang w:val="lt-LT"/>
              </w:rPr>
              <w:t xml:space="preserve">, nepaisant ribotos rizikos dėl konkurencingumo dinamikos. COVID-19 krizės metu Lietuvos išorinė pozicija išliko stabili, o spaudimas atlyginimų augimui sumažėjo. Makroekonominių </w:t>
            </w:r>
            <w:proofErr w:type="spellStart"/>
            <w:r w:rsidRPr="006A44FA">
              <w:rPr>
                <w:rFonts w:hAnsi="Times New Roman" w:cs="Times New Roman"/>
                <w:lang w:val="lt-LT"/>
              </w:rPr>
              <w:t>disbalansų</w:t>
            </w:r>
            <w:proofErr w:type="spellEnd"/>
            <w:r w:rsidRPr="006A44FA">
              <w:rPr>
                <w:rFonts w:hAnsi="Times New Roman" w:cs="Times New Roman"/>
                <w:lang w:val="lt-LT"/>
              </w:rPr>
              <w:t xml:space="preserve"> Lietuvai nenustatyta, todėl EK nemato poreikio Lietuvai atlikti nuodugnios apžvalgos. Šios apžvalgos bus atliktos 9 VN, kuriose identifikuoti makroekonom</w:t>
            </w:r>
            <w:r w:rsidRPr="006A44FA">
              <w:rPr>
                <w:rFonts w:hAnsi="Times New Roman" w:cs="Times New Roman"/>
                <w:lang w:val="lt-LT"/>
              </w:rPr>
              <w:t>i</w:t>
            </w:r>
            <w:r w:rsidRPr="006A44FA">
              <w:rPr>
                <w:rFonts w:hAnsi="Times New Roman" w:cs="Times New Roman"/>
                <w:lang w:val="lt-LT"/>
              </w:rPr>
              <w:t xml:space="preserve">niai </w:t>
            </w:r>
            <w:proofErr w:type="spellStart"/>
            <w:r w:rsidRPr="006A44FA">
              <w:rPr>
                <w:rFonts w:hAnsi="Times New Roman" w:cs="Times New Roman"/>
                <w:lang w:val="lt-LT"/>
              </w:rPr>
              <w:t>disbalansai</w:t>
            </w:r>
            <w:proofErr w:type="spellEnd"/>
            <w:r w:rsidRPr="006A44FA">
              <w:rPr>
                <w:rFonts w:hAnsi="Times New Roman" w:cs="Times New Roman"/>
                <w:lang w:val="lt-LT"/>
              </w:rPr>
              <w:t>: Kroatijai, Prancūzijai, Vokietijai, Airijai, Nyderlandams, Portugalijai, Rumun</w:t>
            </w:r>
            <w:r w:rsidRPr="006A44FA">
              <w:rPr>
                <w:rFonts w:hAnsi="Times New Roman" w:cs="Times New Roman"/>
                <w:lang w:val="lt-LT"/>
              </w:rPr>
              <w:t>i</w:t>
            </w:r>
            <w:r w:rsidRPr="006A44FA">
              <w:rPr>
                <w:rFonts w:hAnsi="Times New Roman" w:cs="Times New Roman"/>
                <w:lang w:val="lt-LT"/>
              </w:rPr>
              <w:t xml:space="preserve">jai, Ispanijai, Švedijai ir 3 VN, kuriose nustatyti </w:t>
            </w:r>
            <w:proofErr w:type="spellStart"/>
            <w:r w:rsidRPr="006A44FA">
              <w:rPr>
                <w:rFonts w:hAnsi="Times New Roman" w:cs="Times New Roman"/>
                <w:lang w:val="lt-LT"/>
              </w:rPr>
              <w:t>perviršiniai</w:t>
            </w:r>
            <w:proofErr w:type="spellEnd"/>
            <w:r w:rsidRPr="006A44FA">
              <w:rPr>
                <w:rFonts w:hAnsi="Times New Roman" w:cs="Times New Roman"/>
                <w:lang w:val="lt-LT"/>
              </w:rPr>
              <w:t xml:space="preserve"> </w:t>
            </w:r>
            <w:proofErr w:type="spellStart"/>
            <w:r w:rsidRPr="006A44FA">
              <w:rPr>
                <w:rFonts w:hAnsi="Times New Roman" w:cs="Times New Roman"/>
                <w:lang w:val="lt-LT"/>
              </w:rPr>
              <w:t>disbalansai</w:t>
            </w:r>
            <w:proofErr w:type="spellEnd"/>
            <w:r w:rsidRPr="006A44FA">
              <w:rPr>
                <w:rFonts w:hAnsi="Times New Roman" w:cs="Times New Roman"/>
                <w:lang w:val="lt-LT"/>
              </w:rPr>
              <w:t>: Kiprui, Graikijai, Ital</w:t>
            </w:r>
            <w:r w:rsidRPr="006A44FA">
              <w:rPr>
                <w:rFonts w:hAnsi="Times New Roman" w:cs="Times New Roman"/>
                <w:lang w:val="lt-LT"/>
              </w:rPr>
              <w:t>i</w:t>
            </w:r>
            <w:r w:rsidRPr="006A44FA">
              <w:rPr>
                <w:rFonts w:hAnsi="Times New Roman" w:cs="Times New Roman"/>
                <w:lang w:val="lt-LT"/>
              </w:rPr>
              <w:t>jai. Iš viso nuodugnios apžvalgos bus atliktos 12 VN.</w:t>
            </w:r>
          </w:p>
          <w:p w:rsidR="009B0378" w:rsidRPr="006A44FA" w:rsidRDefault="009B0378" w:rsidP="00E1240D">
            <w:pPr>
              <w:pStyle w:val="BodyA"/>
              <w:jc w:val="both"/>
              <w:rPr>
                <w:rFonts w:hAnsi="Times New Roman" w:cs="Times New Roman"/>
                <w:lang w:val="lt-LT"/>
              </w:rPr>
            </w:pPr>
          </w:p>
          <w:p w:rsidR="009B0378" w:rsidRPr="006A44FA" w:rsidRDefault="009B0378" w:rsidP="009B0378">
            <w:pPr>
              <w:pStyle w:val="BodyA"/>
              <w:jc w:val="both"/>
              <w:rPr>
                <w:rFonts w:hAnsi="Times New Roman" w:cs="Times New Roman"/>
                <w:lang w:val="lt-LT"/>
              </w:rPr>
            </w:pPr>
            <w:r w:rsidRPr="006A44FA">
              <w:rPr>
                <w:rFonts w:hAnsi="Times New Roman" w:cs="Times New Roman"/>
                <w:b/>
                <w:lang w:val="lt-LT"/>
              </w:rPr>
              <w:t xml:space="preserve">Tarybos išvadų </w:t>
            </w:r>
            <w:r w:rsidR="00F6555B">
              <w:rPr>
                <w:rFonts w:hAnsi="Times New Roman" w:cs="Times New Roman"/>
                <w:b/>
                <w:lang w:val="lt-LT"/>
              </w:rPr>
              <w:t>santrauka</w:t>
            </w:r>
            <w:r w:rsidRPr="006A44FA">
              <w:rPr>
                <w:rFonts w:hAnsi="Times New Roman" w:cs="Times New Roman"/>
                <w:b/>
                <w:lang w:val="lt-LT"/>
              </w:rPr>
              <w:t>.</w:t>
            </w:r>
            <w:r w:rsidRPr="006A44FA">
              <w:rPr>
                <w:rFonts w:hAnsi="Times New Roman" w:cs="Times New Roman"/>
                <w:lang w:val="lt-LT"/>
              </w:rPr>
              <w:t xml:space="preserve"> Taryba konstatuoja, kad priemonės, reikalingos pandemijai suva</w:t>
            </w:r>
            <w:r w:rsidRPr="006A44FA">
              <w:rPr>
                <w:rFonts w:hAnsi="Times New Roman" w:cs="Times New Roman"/>
                <w:lang w:val="lt-LT"/>
              </w:rPr>
              <w:t>l</w:t>
            </w:r>
            <w:r w:rsidRPr="006A44FA">
              <w:rPr>
                <w:rFonts w:hAnsi="Times New Roman" w:cs="Times New Roman"/>
                <w:lang w:val="lt-LT"/>
              </w:rPr>
              <w:t>dyti, sukėlė precedento neturintį ir asimetrinį ekonominio aktyvumo kr</w:t>
            </w:r>
            <w:r w:rsidRPr="006A44FA">
              <w:rPr>
                <w:rFonts w:hAnsi="Times New Roman" w:cs="Times New Roman"/>
                <w:lang w:val="lt-LT"/>
              </w:rPr>
              <w:t>i</w:t>
            </w:r>
            <w:r w:rsidRPr="006A44FA">
              <w:rPr>
                <w:rFonts w:hAnsi="Times New Roman" w:cs="Times New Roman"/>
                <w:lang w:val="lt-LT"/>
              </w:rPr>
              <w:t xml:space="preserve">timą. </w:t>
            </w:r>
          </w:p>
          <w:p w:rsidR="009B0378" w:rsidRPr="006A44FA" w:rsidRDefault="009B0378" w:rsidP="009B0378">
            <w:pPr>
              <w:pStyle w:val="BodyA"/>
              <w:jc w:val="both"/>
              <w:rPr>
                <w:rFonts w:hAnsi="Times New Roman" w:cs="Times New Roman"/>
                <w:lang w:val="lt-LT"/>
              </w:rPr>
            </w:pPr>
            <w:r w:rsidRPr="006A44FA">
              <w:rPr>
                <w:rFonts w:hAnsi="Times New Roman" w:cs="Times New Roman"/>
                <w:lang w:val="lt-LT"/>
              </w:rPr>
              <w:t xml:space="preserve">Pažymi, kad viešosios paramos priemonės yra labai svarbios siekiant sušvelninti </w:t>
            </w:r>
            <w:proofErr w:type="spellStart"/>
            <w:r w:rsidRPr="006A44FA">
              <w:rPr>
                <w:rFonts w:hAnsi="Times New Roman" w:cs="Times New Roman"/>
                <w:lang w:val="lt-LT"/>
              </w:rPr>
              <w:t>socio-ekonominę</w:t>
            </w:r>
            <w:proofErr w:type="spellEnd"/>
            <w:r w:rsidRPr="006A44FA">
              <w:rPr>
                <w:rFonts w:hAnsi="Times New Roman" w:cs="Times New Roman"/>
                <w:lang w:val="lt-LT"/>
              </w:rPr>
              <w:t xml:space="preserve"> žalą. Pripažįsta, kad vyrauja ypač didelis neužtikrintumas dėl ateinančių mėnesių ekonominės raidos. Kviečia toliau tęsti tikslingą ir laikiną paramą siekiant remti atsigavimą. </w:t>
            </w:r>
          </w:p>
          <w:p w:rsidR="009B0378" w:rsidRPr="006A44FA" w:rsidRDefault="009B0378" w:rsidP="009B0378">
            <w:pPr>
              <w:pStyle w:val="BodyA"/>
              <w:jc w:val="both"/>
              <w:rPr>
                <w:rFonts w:hAnsi="Times New Roman" w:cs="Times New Roman"/>
                <w:lang w:val="lt-LT"/>
              </w:rPr>
            </w:pPr>
            <w:r w:rsidRPr="006A44FA">
              <w:rPr>
                <w:rFonts w:hAnsi="Times New Roman" w:cs="Times New Roman"/>
                <w:lang w:val="lt-LT"/>
              </w:rPr>
              <w:t xml:space="preserve">Sveikina tolesnį Makroekonominių </w:t>
            </w:r>
            <w:proofErr w:type="spellStart"/>
            <w:r w:rsidRPr="006A44FA">
              <w:rPr>
                <w:rFonts w:hAnsi="Times New Roman" w:cs="Times New Roman"/>
                <w:lang w:val="lt-LT"/>
              </w:rPr>
              <w:t>disbalansų</w:t>
            </w:r>
            <w:proofErr w:type="spellEnd"/>
            <w:r w:rsidRPr="006A44FA">
              <w:rPr>
                <w:rFonts w:hAnsi="Times New Roman" w:cs="Times New Roman"/>
                <w:lang w:val="lt-LT"/>
              </w:rPr>
              <w:t xml:space="preserve"> procedūros ir Įspėjimo mechanizmo ataskaitos taikymą nepaisant pandemijos. Pabrėžia </w:t>
            </w:r>
            <w:proofErr w:type="spellStart"/>
            <w:r w:rsidRPr="006A44FA">
              <w:rPr>
                <w:rFonts w:hAnsi="Times New Roman" w:cs="Times New Roman"/>
                <w:lang w:val="lt-LT"/>
              </w:rPr>
              <w:t>disbalansų</w:t>
            </w:r>
            <w:proofErr w:type="spellEnd"/>
            <w:r w:rsidRPr="006A44FA">
              <w:rPr>
                <w:rFonts w:hAnsi="Times New Roman" w:cs="Times New Roman"/>
                <w:lang w:val="lt-LT"/>
              </w:rPr>
              <w:t xml:space="preserve"> nustatymo, prevencijos ir ištaisymo svarbą.</w:t>
            </w:r>
          </w:p>
          <w:p w:rsidR="009B0378" w:rsidRPr="006A44FA" w:rsidRDefault="009B0378" w:rsidP="009B0378">
            <w:pPr>
              <w:pStyle w:val="BodyA"/>
              <w:jc w:val="both"/>
              <w:rPr>
                <w:rFonts w:hAnsi="Times New Roman" w:cs="Times New Roman"/>
                <w:lang w:val="lt-LT"/>
              </w:rPr>
            </w:pPr>
            <w:r w:rsidRPr="006A44FA">
              <w:rPr>
                <w:rFonts w:hAnsi="Times New Roman" w:cs="Times New Roman"/>
                <w:lang w:val="lt-LT"/>
              </w:rPr>
              <w:t>Iš esmės pritaria Įspėjimo mechanizmo ataskaito</w:t>
            </w:r>
            <w:bookmarkStart w:id="0" w:name="_GoBack"/>
            <w:r w:rsidRPr="006A44FA">
              <w:rPr>
                <w:rFonts w:hAnsi="Times New Roman" w:cs="Times New Roman"/>
                <w:lang w:val="lt-LT"/>
              </w:rPr>
              <w:t>s</w:t>
            </w:r>
            <w:bookmarkEnd w:id="0"/>
            <w:r w:rsidRPr="006A44FA">
              <w:rPr>
                <w:rFonts w:hAnsi="Times New Roman" w:cs="Times New Roman"/>
                <w:lang w:val="lt-LT"/>
              </w:rPr>
              <w:t xml:space="preserve"> išvadoms. Konstatuoja, kad makroekonom</w:t>
            </w:r>
            <w:r w:rsidRPr="006A44FA">
              <w:rPr>
                <w:rFonts w:hAnsi="Times New Roman" w:cs="Times New Roman"/>
                <w:lang w:val="lt-LT"/>
              </w:rPr>
              <w:t>i</w:t>
            </w:r>
            <w:r w:rsidRPr="006A44FA">
              <w:rPr>
                <w:rFonts w:hAnsi="Times New Roman" w:cs="Times New Roman"/>
                <w:lang w:val="lt-LT"/>
              </w:rPr>
              <w:t xml:space="preserve">niai </w:t>
            </w:r>
            <w:proofErr w:type="spellStart"/>
            <w:r w:rsidRPr="006A44FA">
              <w:rPr>
                <w:rFonts w:hAnsi="Times New Roman" w:cs="Times New Roman"/>
                <w:lang w:val="lt-LT"/>
              </w:rPr>
              <w:t>disbalansai</w:t>
            </w:r>
            <w:proofErr w:type="spellEnd"/>
            <w:r w:rsidRPr="006A44FA">
              <w:rPr>
                <w:rFonts w:hAnsi="Times New Roman" w:cs="Times New Roman"/>
                <w:lang w:val="lt-LT"/>
              </w:rPr>
              <w:t xml:space="preserve"> mažėjo iki COVID-19 protrūkio.</w:t>
            </w:r>
          </w:p>
          <w:p w:rsidR="009B0378" w:rsidRPr="006A44FA" w:rsidRDefault="009B0378" w:rsidP="009B0378">
            <w:pPr>
              <w:pStyle w:val="BodyA"/>
              <w:jc w:val="both"/>
              <w:rPr>
                <w:rFonts w:hAnsi="Times New Roman" w:cs="Times New Roman"/>
                <w:lang w:val="lt-LT"/>
              </w:rPr>
            </w:pPr>
            <w:r w:rsidRPr="006A44FA">
              <w:rPr>
                <w:rFonts w:hAnsi="Times New Roman" w:cs="Times New Roman"/>
                <w:lang w:val="lt-LT"/>
              </w:rPr>
              <w:t xml:space="preserve">Pripažįsta, kad tam tikri makroekonominiai </w:t>
            </w:r>
            <w:proofErr w:type="spellStart"/>
            <w:r w:rsidRPr="006A44FA">
              <w:rPr>
                <w:rFonts w:hAnsi="Times New Roman" w:cs="Times New Roman"/>
                <w:lang w:val="lt-LT"/>
              </w:rPr>
              <w:t>disbalansai</w:t>
            </w:r>
            <w:proofErr w:type="spellEnd"/>
            <w:r w:rsidRPr="006A44FA">
              <w:rPr>
                <w:rFonts w:hAnsi="Times New Roman" w:cs="Times New Roman"/>
                <w:lang w:val="lt-LT"/>
              </w:rPr>
              <w:t xml:space="preserve"> auga dėl pandemijos ir gali kilti nauji pavojai dėl pandemijos poveikio, ypač dėl augančių privačių ir viešųjų skolų. Atkreipia dėmesį, kad skolos auga visur ir ypač ten kur ir taip buvo didelės.</w:t>
            </w:r>
          </w:p>
          <w:p w:rsidR="009B0378" w:rsidRPr="006A44FA" w:rsidRDefault="009B0378" w:rsidP="009B0378">
            <w:pPr>
              <w:pStyle w:val="BodyA"/>
              <w:jc w:val="both"/>
              <w:rPr>
                <w:rFonts w:hAnsi="Times New Roman" w:cs="Times New Roman"/>
                <w:lang w:val="lt-LT"/>
              </w:rPr>
            </w:pPr>
            <w:r w:rsidRPr="006A44FA">
              <w:rPr>
                <w:rFonts w:hAnsi="Times New Roman" w:cs="Times New Roman"/>
                <w:lang w:val="lt-LT"/>
              </w:rPr>
              <w:t xml:space="preserve">Atkreipia dėmesį, kad einamosios sąskaitos balansai nebuvo ženkliai paveikti pandemijos. </w:t>
            </w:r>
            <w:proofErr w:type="spellStart"/>
            <w:r w:rsidRPr="006A44FA">
              <w:rPr>
                <w:rFonts w:hAnsi="Times New Roman" w:cs="Times New Roman"/>
                <w:lang w:val="lt-LT"/>
              </w:rPr>
              <w:t>Pri-</w:t>
            </w:r>
            <w:r w:rsidRPr="006A44FA">
              <w:rPr>
                <w:rFonts w:hAnsi="Times New Roman" w:cs="Times New Roman"/>
                <w:lang w:val="lt-LT"/>
              </w:rPr>
              <w:lastRenderedPageBreak/>
              <w:t>pažįsta,</w:t>
            </w:r>
            <w:proofErr w:type="spellEnd"/>
            <w:r w:rsidRPr="006A44FA">
              <w:rPr>
                <w:rFonts w:hAnsi="Times New Roman" w:cs="Times New Roman"/>
                <w:lang w:val="lt-LT"/>
              </w:rPr>
              <w:t xml:space="preserve"> kad yra rizika bankų balansams, susijusi su neveiksniomis paskolomis, žemu </w:t>
            </w:r>
            <w:proofErr w:type="spellStart"/>
            <w:r w:rsidRPr="006A44FA">
              <w:rPr>
                <w:rFonts w:hAnsi="Times New Roman" w:cs="Times New Roman"/>
                <w:lang w:val="lt-LT"/>
              </w:rPr>
              <w:t>pajamin-gumu</w:t>
            </w:r>
            <w:proofErr w:type="spellEnd"/>
            <w:r w:rsidRPr="006A44FA">
              <w:rPr>
                <w:rFonts w:hAnsi="Times New Roman" w:cs="Times New Roman"/>
                <w:lang w:val="lt-LT"/>
              </w:rPr>
              <w:t xml:space="preserve"> ir būsto kainų korekcija žemyn. Atkreipia dėmesį, kad nedarbas augs, nepaisant paramos priemonių, o produktyvumo mažėjimas kelia vieneto darbo kaštus, nepaisant sulėtėjusio atlygi-</w:t>
            </w:r>
            <w:proofErr w:type="spellStart"/>
            <w:r w:rsidRPr="006A44FA">
              <w:rPr>
                <w:rFonts w:hAnsi="Times New Roman" w:cs="Times New Roman"/>
                <w:lang w:val="lt-LT"/>
              </w:rPr>
              <w:t>nimų</w:t>
            </w:r>
            <w:proofErr w:type="spellEnd"/>
            <w:r w:rsidRPr="006A44FA">
              <w:rPr>
                <w:rFonts w:hAnsi="Times New Roman" w:cs="Times New Roman"/>
                <w:lang w:val="lt-LT"/>
              </w:rPr>
              <w:t xml:space="preserve"> augimo. Pabrėžia spartaus Ekonomikos gaivinimo ir atsparumo didinimo priemonės (RRF)  ir Ekonomikos gaivinimo ir atsparumo didinimo planų (RRP) įgyvendinimo būtinybę.</w:t>
            </w:r>
          </w:p>
          <w:p w:rsidR="00D80DED" w:rsidRPr="006A44FA" w:rsidRDefault="00D80DED" w:rsidP="00E1240D">
            <w:pPr>
              <w:pStyle w:val="BodyA"/>
              <w:jc w:val="both"/>
              <w:rPr>
                <w:rFonts w:hAnsi="Times New Roman" w:cs="Times New Roman"/>
                <w:lang w:val="lt-LT"/>
              </w:rPr>
            </w:pPr>
          </w:p>
          <w:p w:rsidR="00D80DED" w:rsidRPr="006A44FA" w:rsidRDefault="00F6555B" w:rsidP="00D80DED">
            <w:pPr>
              <w:pStyle w:val="BodyA"/>
              <w:jc w:val="both"/>
              <w:rPr>
                <w:rFonts w:eastAsia="Times New Roman Bold" w:hAnsi="Times New Roman" w:cs="Times New Roman"/>
                <w:b/>
                <w:lang w:val="lt-LT"/>
              </w:rPr>
            </w:pPr>
            <w:r>
              <w:rPr>
                <w:rFonts w:eastAsia="Times New Roman Bold" w:hAnsi="Times New Roman" w:cs="Times New Roman"/>
                <w:b/>
                <w:lang w:val="lt-LT"/>
              </w:rPr>
              <w:t>R</w:t>
            </w:r>
            <w:r w:rsidR="00D80DED" w:rsidRPr="006A44FA">
              <w:rPr>
                <w:rFonts w:eastAsia="Times New Roman Bold" w:hAnsi="Times New Roman" w:cs="Times New Roman"/>
                <w:b/>
                <w:lang w:val="lt-LT"/>
              </w:rPr>
              <w:t>ekomendacijos euro zonai</w:t>
            </w:r>
            <w:r w:rsidR="009B0378" w:rsidRPr="006A44FA">
              <w:rPr>
                <w:rFonts w:eastAsia="Times New Roman Bold" w:hAnsi="Times New Roman" w:cs="Times New Roman"/>
                <w:b/>
                <w:lang w:val="lt-LT"/>
              </w:rPr>
              <w:t xml:space="preserve"> (EZ)</w:t>
            </w:r>
            <w:r w:rsidR="00D80DED" w:rsidRPr="006A44FA">
              <w:rPr>
                <w:rFonts w:eastAsia="Times New Roman Bold" w:hAnsi="Times New Roman" w:cs="Times New Roman"/>
                <w:b/>
                <w:lang w:val="lt-LT"/>
              </w:rPr>
              <w:t>:</w:t>
            </w:r>
          </w:p>
          <w:p w:rsidR="00D80DED" w:rsidRPr="006A44FA" w:rsidRDefault="00D80DED" w:rsidP="00D80DED">
            <w:pPr>
              <w:pStyle w:val="Sraopastraipa"/>
              <w:numPr>
                <w:ilvl w:val="0"/>
                <w:numId w:val="42"/>
              </w:numPr>
              <w:spacing w:after="0" w:line="240" w:lineRule="auto"/>
              <w:jc w:val="both"/>
              <w:rPr>
                <w:rFonts w:eastAsia="Times New Roman Bold" w:hAnsi="Times New Roman" w:cs="Times New Roman"/>
                <w:b/>
                <w:lang w:val="lt-LT"/>
              </w:rPr>
            </w:pPr>
            <w:r w:rsidRPr="006A44FA">
              <w:rPr>
                <w:rFonts w:eastAsia="Times New Roman Bold" w:hAnsi="Times New Roman" w:cs="Times New Roman"/>
                <w:b/>
                <w:lang w:val="lt-LT"/>
              </w:rPr>
              <w:t>Užtikrinti politiką, kuri rems atsigavimą.</w:t>
            </w:r>
            <w:r w:rsidRPr="006A44FA">
              <w:rPr>
                <w:lang w:val="lt-LT"/>
              </w:rPr>
              <w:t xml:space="preserve"> </w:t>
            </w:r>
            <w:r w:rsidRPr="006A44FA">
              <w:rPr>
                <w:rFonts w:eastAsia="Times New Roman Bold" w:hAnsi="Times New Roman" w:cs="Times New Roman"/>
                <w:lang w:val="lt-LT"/>
              </w:rPr>
              <w:t>Fiskalinė politika turėtų ir toliau remti ek</w:t>
            </w:r>
            <w:r w:rsidRPr="006A44FA">
              <w:rPr>
                <w:rFonts w:eastAsia="Times New Roman Bold" w:hAnsi="Times New Roman" w:cs="Times New Roman"/>
                <w:lang w:val="lt-LT"/>
              </w:rPr>
              <w:t>o</w:t>
            </w:r>
            <w:r w:rsidRPr="006A44FA">
              <w:rPr>
                <w:rFonts w:eastAsia="Times New Roman Bold" w:hAnsi="Times New Roman" w:cs="Times New Roman"/>
                <w:lang w:val="lt-LT"/>
              </w:rPr>
              <w:t>nomiką visose EZ VN.</w:t>
            </w:r>
            <w:r w:rsidRPr="006A44FA">
              <w:rPr>
                <w:rFonts w:eastAsia="Times New Roman Bold" w:hAnsi="Times New Roman" w:cs="Times New Roman"/>
                <w:b/>
                <w:lang w:val="lt-LT"/>
              </w:rPr>
              <w:t xml:space="preserve"> </w:t>
            </w:r>
          </w:p>
          <w:p w:rsidR="00D80DED" w:rsidRPr="006A44FA" w:rsidRDefault="00D80DED" w:rsidP="00D80DED">
            <w:pPr>
              <w:pStyle w:val="BodyA"/>
              <w:numPr>
                <w:ilvl w:val="0"/>
                <w:numId w:val="42"/>
              </w:numPr>
              <w:jc w:val="both"/>
              <w:rPr>
                <w:rFonts w:eastAsia="Times New Roman Bold" w:hAnsi="Times New Roman" w:cs="Times New Roman"/>
                <w:b/>
                <w:lang w:val="lt-LT"/>
              </w:rPr>
            </w:pPr>
            <w:r w:rsidRPr="006A44FA">
              <w:rPr>
                <w:rFonts w:eastAsia="Times New Roman Bold" w:hAnsi="Times New Roman" w:cs="Times New Roman"/>
                <w:b/>
                <w:lang w:val="lt-LT"/>
              </w:rPr>
              <w:t>Toliau skatinti konvergenciją, atsparumą ir tvarų bei įtraukų augimą.</w:t>
            </w:r>
            <w:r w:rsidRPr="006A44FA">
              <w:rPr>
                <w:rFonts w:eastAsia="Times New Roman Bold" w:hAnsi="Times New Roman" w:cs="Times New Roman"/>
                <w:lang w:val="lt-LT"/>
              </w:rPr>
              <w:t xml:space="preserve"> Sumažinti t</w:t>
            </w:r>
            <w:r w:rsidRPr="006A44FA">
              <w:rPr>
                <w:rFonts w:eastAsia="Times New Roman Bold" w:hAnsi="Times New Roman" w:cs="Times New Roman"/>
                <w:lang w:val="lt-LT"/>
              </w:rPr>
              <w:t>o</w:t>
            </w:r>
            <w:r w:rsidRPr="006A44FA">
              <w:rPr>
                <w:rFonts w:eastAsia="Times New Roman Bold" w:hAnsi="Times New Roman" w:cs="Times New Roman"/>
                <w:lang w:val="lt-LT"/>
              </w:rPr>
              <w:t xml:space="preserve">lesnės </w:t>
            </w:r>
            <w:proofErr w:type="spellStart"/>
            <w:r w:rsidRPr="006A44FA">
              <w:rPr>
                <w:rFonts w:eastAsia="Times New Roman Bold" w:hAnsi="Times New Roman" w:cs="Times New Roman"/>
                <w:lang w:val="lt-LT"/>
              </w:rPr>
              <w:t>divergencijos</w:t>
            </w:r>
            <w:proofErr w:type="spellEnd"/>
            <w:r w:rsidRPr="006A44FA">
              <w:rPr>
                <w:rFonts w:eastAsia="Times New Roman Bold" w:hAnsi="Times New Roman" w:cs="Times New Roman"/>
                <w:lang w:val="lt-LT"/>
              </w:rPr>
              <w:t xml:space="preserve"> riziką ir stiprinti ekonominį ir socialinį EZ atsparumą atliekant r</w:t>
            </w:r>
            <w:r w:rsidRPr="006A44FA">
              <w:rPr>
                <w:rFonts w:eastAsia="Times New Roman Bold" w:hAnsi="Times New Roman" w:cs="Times New Roman"/>
                <w:lang w:val="lt-LT"/>
              </w:rPr>
              <w:t>e</w:t>
            </w:r>
            <w:r w:rsidRPr="006A44FA">
              <w:rPr>
                <w:rFonts w:eastAsia="Times New Roman Bold" w:hAnsi="Times New Roman" w:cs="Times New Roman"/>
                <w:lang w:val="lt-LT"/>
              </w:rPr>
              <w:t xml:space="preserve">formas, stiprinančias produktyvumą, užimtumą, sklandų resursų paskirstymą. Užtikrinti efektyvią aktyvią darbo rinkos politiką bei remti darbų transformaciją, ypač žalios ir skaitmeninės ekonomikos linkme. Tęsti darbą ties globaliu sutarimu paremtu sprendimu mokestiniams iššūkiams, kilusiems dėl ekonomikos </w:t>
            </w:r>
            <w:proofErr w:type="spellStart"/>
            <w:r w:rsidRPr="006A44FA">
              <w:rPr>
                <w:rFonts w:eastAsia="Times New Roman Bold" w:hAnsi="Times New Roman" w:cs="Times New Roman"/>
                <w:lang w:val="lt-LT"/>
              </w:rPr>
              <w:t>skaitmenizavimo</w:t>
            </w:r>
            <w:proofErr w:type="spellEnd"/>
            <w:r w:rsidRPr="006A44FA">
              <w:rPr>
                <w:rFonts w:eastAsia="Times New Roman Bold" w:hAnsi="Times New Roman" w:cs="Times New Roman"/>
                <w:lang w:val="lt-LT"/>
              </w:rPr>
              <w:t>, EBPO formate ir pasiruošti imtis veiksmų ES lygyje iki 2021 m. birželio mėn.</w:t>
            </w:r>
          </w:p>
          <w:p w:rsidR="00D80DED" w:rsidRPr="006A44FA" w:rsidRDefault="00D80DED" w:rsidP="00D80DED">
            <w:pPr>
              <w:pStyle w:val="BodyA"/>
              <w:numPr>
                <w:ilvl w:val="0"/>
                <w:numId w:val="42"/>
              </w:numPr>
              <w:jc w:val="both"/>
              <w:rPr>
                <w:rFonts w:eastAsia="Times New Roman Bold" w:hAnsi="Times New Roman" w:cs="Times New Roman"/>
                <w:b/>
                <w:lang w:val="lt-LT"/>
              </w:rPr>
            </w:pPr>
            <w:r w:rsidRPr="006A44FA">
              <w:rPr>
                <w:rFonts w:eastAsia="Times New Roman Bold" w:hAnsi="Times New Roman" w:cs="Times New Roman"/>
                <w:b/>
                <w:lang w:val="lt-LT"/>
              </w:rPr>
              <w:t>Stiprinti nacionalines institucines sistemas.</w:t>
            </w:r>
            <w:r w:rsidRPr="006A44FA">
              <w:rPr>
                <w:rFonts w:eastAsia="Times New Roman Bold" w:hAnsi="Times New Roman" w:cs="Times New Roman"/>
                <w:lang w:val="lt-LT"/>
              </w:rPr>
              <w:t xml:space="preserve"> Spartinti reformas, nukreiptas į kliūčių i</w:t>
            </w:r>
            <w:r w:rsidRPr="006A44FA">
              <w:rPr>
                <w:rFonts w:eastAsia="Times New Roman Bold" w:hAnsi="Times New Roman" w:cs="Times New Roman"/>
                <w:lang w:val="lt-LT"/>
              </w:rPr>
              <w:t>n</w:t>
            </w:r>
            <w:r w:rsidRPr="006A44FA">
              <w:rPr>
                <w:rFonts w:eastAsia="Times New Roman Bold" w:hAnsi="Times New Roman" w:cs="Times New Roman"/>
                <w:lang w:val="lt-LT"/>
              </w:rPr>
              <w:t>vesticijoms pašalinimą ir užtikrinti efektyvų ES lėšų panaudojimą laiku, įskaitant Ats</w:t>
            </w:r>
            <w:r w:rsidRPr="006A44FA">
              <w:rPr>
                <w:rFonts w:eastAsia="Times New Roman Bold" w:hAnsi="Times New Roman" w:cs="Times New Roman"/>
                <w:lang w:val="lt-LT"/>
              </w:rPr>
              <w:t>i</w:t>
            </w:r>
            <w:r w:rsidRPr="006A44FA">
              <w:rPr>
                <w:rFonts w:eastAsia="Times New Roman Bold" w:hAnsi="Times New Roman" w:cs="Times New Roman"/>
                <w:lang w:val="lt-LT"/>
              </w:rPr>
              <w:t xml:space="preserve">gavimo ir atsparumo priemonę. Stiprinti viešosios administracijos efektyvumą ir </w:t>
            </w:r>
            <w:proofErr w:type="spellStart"/>
            <w:r w:rsidRPr="006A44FA">
              <w:rPr>
                <w:rFonts w:eastAsia="Times New Roman Bold" w:hAnsi="Times New Roman" w:cs="Times New Roman"/>
                <w:lang w:val="lt-LT"/>
              </w:rPr>
              <w:t>skai</w:t>
            </w:r>
            <w:r w:rsidRPr="006A44FA">
              <w:rPr>
                <w:rFonts w:eastAsia="Times New Roman Bold" w:hAnsi="Times New Roman" w:cs="Times New Roman"/>
                <w:lang w:val="lt-LT"/>
              </w:rPr>
              <w:t>t</w:t>
            </w:r>
            <w:r w:rsidRPr="006A44FA">
              <w:rPr>
                <w:rFonts w:eastAsia="Times New Roman Bold" w:hAnsi="Times New Roman" w:cs="Times New Roman"/>
                <w:lang w:val="lt-LT"/>
              </w:rPr>
              <w:t>menizavimą</w:t>
            </w:r>
            <w:proofErr w:type="spellEnd"/>
            <w:r w:rsidRPr="006A44FA">
              <w:rPr>
                <w:rFonts w:eastAsia="Times New Roman Bold" w:hAnsi="Times New Roman" w:cs="Times New Roman"/>
                <w:lang w:val="lt-LT"/>
              </w:rPr>
              <w:t>, įskaitant teisingumo, sveikatos ir viešojo užimtumo sistemas.</w:t>
            </w:r>
          </w:p>
          <w:p w:rsidR="00D80DED" w:rsidRPr="006A44FA" w:rsidRDefault="00D80DED" w:rsidP="00D80DED">
            <w:pPr>
              <w:pStyle w:val="BodyA"/>
              <w:numPr>
                <w:ilvl w:val="0"/>
                <w:numId w:val="42"/>
              </w:numPr>
              <w:jc w:val="both"/>
              <w:rPr>
                <w:rFonts w:eastAsia="Times New Roman Bold" w:hAnsi="Times New Roman" w:cs="Times New Roman"/>
                <w:b/>
                <w:lang w:val="lt-LT"/>
              </w:rPr>
            </w:pPr>
            <w:r w:rsidRPr="006A44FA">
              <w:rPr>
                <w:rFonts w:eastAsia="Times New Roman Bold" w:hAnsi="Times New Roman" w:cs="Times New Roman"/>
                <w:b/>
                <w:lang w:val="lt-LT"/>
              </w:rPr>
              <w:t>Užtikrinti makro-finansinį stabilumą.</w:t>
            </w:r>
            <w:r w:rsidRPr="006A44FA">
              <w:rPr>
                <w:rFonts w:eastAsia="Times New Roman Bold" w:hAnsi="Times New Roman" w:cs="Times New Roman"/>
                <w:lang w:val="lt-LT"/>
              </w:rPr>
              <w:t xml:space="preserve"> Užtikrinti kredito kanalų ekonomikai veikimą bei pagalbą potencialą turinčioms kompanijoms tiek ilgai, kiek reikės krizės metu. Išla</w:t>
            </w:r>
            <w:r w:rsidRPr="006A44FA">
              <w:rPr>
                <w:rFonts w:eastAsia="Times New Roman Bold" w:hAnsi="Times New Roman" w:cs="Times New Roman"/>
                <w:lang w:val="lt-LT"/>
              </w:rPr>
              <w:t>i</w:t>
            </w:r>
            <w:r w:rsidRPr="006A44FA">
              <w:rPr>
                <w:rFonts w:eastAsia="Times New Roman Bold" w:hAnsi="Times New Roman" w:cs="Times New Roman"/>
                <w:lang w:val="lt-LT"/>
              </w:rPr>
              <w:t>kyti tvarkingą bankų sektoriaus balansą, įskaitant tolimesnį neveiksnių paskolų tvark</w:t>
            </w:r>
            <w:r w:rsidRPr="006A44FA">
              <w:rPr>
                <w:rFonts w:eastAsia="Times New Roman Bold" w:hAnsi="Times New Roman" w:cs="Times New Roman"/>
                <w:lang w:val="lt-LT"/>
              </w:rPr>
              <w:t>y</w:t>
            </w:r>
            <w:r w:rsidRPr="006A44FA">
              <w:rPr>
                <w:rFonts w:eastAsia="Times New Roman Bold" w:hAnsi="Times New Roman" w:cs="Times New Roman"/>
                <w:lang w:val="lt-LT"/>
              </w:rPr>
              <w:t>mą, konkrečiai per antrinės rinkos neveiksniom paskolom vystymą.</w:t>
            </w:r>
          </w:p>
          <w:p w:rsidR="00D80DED" w:rsidRPr="006A44FA" w:rsidRDefault="00D80DED" w:rsidP="00E1240D">
            <w:pPr>
              <w:pStyle w:val="Sraopastraipa"/>
              <w:numPr>
                <w:ilvl w:val="0"/>
                <w:numId w:val="42"/>
              </w:numPr>
              <w:spacing w:after="0" w:line="240" w:lineRule="auto"/>
              <w:jc w:val="both"/>
              <w:rPr>
                <w:rFonts w:eastAsia="Times New Roman Bold" w:hAnsi="Times New Roman" w:cs="Times New Roman"/>
                <w:lang w:val="lt-LT"/>
              </w:rPr>
            </w:pPr>
            <w:r w:rsidRPr="006A44FA">
              <w:rPr>
                <w:rFonts w:eastAsia="Times New Roman Bold" w:hAnsi="Times New Roman" w:cs="Times New Roman"/>
                <w:b/>
                <w:lang w:val="lt-LT"/>
              </w:rPr>
              <w:t>Pabaigti EPS ir sustiprinti tarptautinį euro vaidmenį.</w:t>
            </w:r>
            <w:r w:rsidRPr="006A44FA">
              <w:rPr>
                <w:lang w:val="lt-LT"/>
              </w:rPr>
              <w:t xml:space="preserve"> </w:t>
            </w:r>
            <w:r w:rsidRPr="006A44FA">
              <w:rPr>
                <w:rFonts w:eastAsia="Times New Roman Bold" w:hAnsi="Times New Roman" w:cs="Times New Roman"/>
                <w:lang w:val="lt-LT"/>
              </w:rPr>
              <w:t>Padaryti pažangą Ekonominės ir pinigų sąjungos gilinime siekiant padidinti EZ atsparumą pabaigiant Bankų sąjungą, Kapitalo rinkų sąjungą ir įgyvendinant iniciatyvas dėl skaitmeninių, mažmeninių bei tv</w:t>
            </w:r>
            <w:r w:rsidRPr="006A44FA">
              <w:rPr>
                <w:rFonts w:eastAsia="Times New Roman Bold" w:hAnsi="Times New Roman" w:cs="Times New Roman"/>
                <w:lang w:val="lt-LT"/>
              </w:rPr>
              <w:t>a</w:t>
            </w:r>
            <w:r w:rsidRPr="006A44FA">
              <w:rPr>
                <w:rFonts w:eastAsia="Times New Roman Bold" w:hAnsi="Times New Roman" w:cs="Times New Roman"/>
                <w:lang w:val="lt-LT"/>
              </w:rPr>
              <w:t>rių finansų.</w:t>
            </w:r>
          </w:p>
          <w:p w:rsidR="00E1240D" w:rsidRPr="006A44FA" w:rsidRDefault="00E1240D" w:rsidP="00E1240D">
            <w:pPr>
              <w:pStyle w:val="BodyA"/>
              <w:jc w:val="both"/>
              <w:rPr>
                <w:rFonts w:ascii="Times New Roman Bold" w:eastAsia="Times New Roman Bold" w:hAnsi="Times New Roman Bold" w:cs="Times New Roman Bold"/>
                <w:u w:val="single"/>
                <w:lang w:val="lt-LT"/>
              </w:rPr>
            </w:pPr>
          </w:p>
          <w:p w:rsidR="00E1240D" w:rsidRPr="006A44FA" w:rsidRDefault="00E1240D" w:rsidP="004226F1">
            <w:pPr>
              <w:pStyle w:val="BodyA"/>
              <w:jc w:val="both"/>
              <w:rPr>
                <w:rFonts w:hAnsi="Times New Roman" w:cs="Times New Roman"/>
                <w:lang w:val="lt-LT"/>
              </w:rPr>
            </w:pPr>
            <w:r w:rsidRPr="006A44FA">
              <w:rPr>
                <w:rFonts w:ascii="Times New Roman Bold"/>
                <w:u w:val="single"/>
                <w:lang w:val="lt-LT"/>
              </w:rPr>
              <w:t>Lietuvos pozicija.</w:t>
            </w:r>
            <w:r w:rsidRPr="006A44FA">
              <w:rPr>
                <w:lang w:val="lt-LT"/>
              </w:rPr>
              <w:t xml:space="preserve"> </w:t>
            </w:r>
            <w:r w:rsidR="009B0378" w:rsidRPr="006A44FA">
              <w:rPr>
                <w:rFonts w:hAnsi="Times New Roman" w:cs="Times New Roman"/>
                <w:lang w:val="lt-LT"/>
              </w:rPr>
              <w:t>Pritariame Tarybos išvadų tekstui dėl Įspėjimo mechanizmo ataskaitos bei kompromisiniam ekonominės politikos rekomendacijų euro zonai tekstui.</w:t>
            </w:r>
          </w:p>
          <w:p w:rsidR="00E1240D" w:rsidRPr="006A44FA" w:rsidRDefault="00E1240D" w:rsidP="00E1240D">
            <w:pPr>
              <w:pStyle w:val="BodyA"/>
              <w:jc w:val="both"/>
              <w:rPr>
                <w:lang w:val="lt-LT"/>
              </w:rPr>
            </w:pPr>
          </w:p>
          <w:p w:rsidR="004226F1" w:rsidRPr="006A44FA" w:rsidRDefault="00E1240D" w:rsidP="004226F1">
            <w:pPr>
              <w:pStyle w:val="BodyA"/>
              <w:jc w:val="both"/>
              <w:rPr>
                <w:rFonts w:hAnsi="Times New Roman" w:cs="Times New Roman"/>
                <w:b/>
                <w:lang w:val="lt-LT"/>
              </w:rPr>
            </w:pPr>
            <w:r w:rsidRPr="006A44FA">
              <w:rPr>
                <w:rFonts w:hAnsi="Times New Roman" w:cs="Times New Roman"/>
                <w:b/>
                <w:lang w:val="lt-LT"/>
              </w:rPr>
              <w:t xml:space="preserve">4. </w:t>
            </w:r>
            <w:r w:rsidR="004226F1" w:rsidRPr="006A44FA">
              <w:rPr>
                <w:rFonts w:hAnsi="Times New Roman" w:cs="Times New Roman"/>
                <w:b/>
                <w:lang w:val="lt-LT"/>
              </w:rPr>
              <w:t>Ekonomikos gaivinimo ir atsparumo didinimo priemonės įgyvendinimas</w:t>
            </w:r>
          </w:p>
          <w:p w:rsidR="00E1240D" w:rsidRPr="006A44FA" w:rsidRDefault="004226F1" w:rsidP="00E1240D">
            <w:pPr>
              <w:pStyle w:val="BodyA"/>
              <w:jc w:val="both"/>
              <w:rPr>
                <w:rFonts w:hAnsi="Times New Roman" w:cs="Times New Roman"/>
                <w:lang w:val="lt-LT"/>
              </w:rPr>
            </w:pPr>
            <w:r w:rsidRPr="006A44FA">
              <w:rPr>
                <w:rFonts w:hAnsi="Times New Roman" w:cs="Times New Roman"/>
                <w:lang w:val="lt-LT"/>
              </w:rPr>
              <w:t>(</w:t>
            </w:r>
            <w:r w:rsidRPr="006A44FA">
              <w:rPr>
                <w:rFonts w:hAnsi="Times New Roman" w:cs="Times New Roman"/>
                <w:i/>
                <w:lang w:val="lt-LT"/>
              </w:rPr>
              <w:t>Esama situacija</w:t>
            </w:r>
            <w:r w:rsidR="00E1240D" w:rsidRPr="006A44FA">
              <w:rPr>
                <w:rFonts w:hAnsi="Times New Roman" w:cs="Times New Roman"/>
                <w:lang w:val="lt-LT"/>
              </w:rPr>
              <w:t>)</w:t>
            </w:r>
          </w:p>
          <w:p w:rsidR="00E1240D" w:rsidRPr="006A44FA" w:rsidRDefault="00E1240D" w:rsidP="00E1240D">
            <w:pPr>
              <w:pStyle w:val="BodyA"/>
              <w:jc w:val="both"/>
              <w:rPr>
                <w:rFonts w:hAnsi="Times New Roman" w:cs="Times New Roman"/>
                <w:lang w:val="lt-LT"/>
              </w:rPr>
            </w:pPr>
          </w:p>
          <w:p w:rsidR="00D80DED" w:rsidRPr="006A44FA" w:rsidRDefault="00E1240D" w:rsidP="00D80DED">
            <w:pPr>
              <w:pStyle w:val="BodyA"/>
              <w:jc w:val="both"/>
              <w:rPr>
                <w:rFonts w:hAnsi="Times New Roman" w:cs="Times New Roman"/>
                <w:lang w:val="lt-LT"/>
              </w:rPr>
            </w:pPr>
            <w:r w:rsidRPr="006A44FA">
              <w:rPr>
                <w:rFonts w:hAnsi="Times New Roman" w:cs="Times New Roman"/>
                <w:b/>
                <w:u w:val="single"/>
                <w:lang w:val="lt-LT"/>
              </w:rPr>
              <w:t>Klausimo esmė.</w:t>
            </w:r>
            <w:r w:rsidRPr="006A44FA">
              <w:rPr>
                <w:rFonts w:hAnsi="Times New Roman" w:cs="Times New Roman"/>
                <w:b/>
                <w:lang w:val="lt-LT"/>
              </w:rPr>
              <w:t xml:space="preserve"> </w:t>
            </w:r>
            <w:r w:rsidR="00D80DED" w:rsidRPr="006A44FA">
              <w:rPr>
                <w:rFonts w:hAnsi="Times New Roman" w:cs="Times New Roman"/>
                <w:lang w:val="lt-LT"/>
              </w:rPr>
              <w:t xml:space="preserve">2020 m. gruodžio 18 d. Europos Parlamentas (EP) ir Taryba baigė </w:t>
            </w:r>
            <w:proofErr w:type="spellStart"/>
            <w:r w:rsidR="00D80DED" w:rsidRPr="006A44FA">
              <w:rPr>
                <w:rFonts w:hAnsi="Times New Roman" w:cs="Times New Roman"/>
                <w:lang w:val="lt-LT"/>
              </w:rPr>
              <w:t>trilogus</w:t>
            </w:r>
            <w:proofErr w:type="spellEnd"/>
            <w:r w:rsidR="00D80DED" w:rsidRPr="006A44FA">
              <w:rPr>
                <w:rFonts w:hAnsi="Times New Roman" w:cs="Times New Roman"/>
                <w:lang w:val="lt-LT"/>
              </w:rPr>
              <w:t xml:space="preserve"> dėl </w:t>
            </w:r>
            <w:r w:rsidR="009B0378" w:rsidRPr="006A44FA">
              <w:rPr>
                <w:rFonts w:hAnsi="Times New Roman" w:cs="Times New Roman"/>
                <w:lang w:val="lt-LT"/>
              </w:rPr>
              <w:t>RRF</w:t>
            </w:r>
            <w:r w:rsidR="00D80DED" w:rsidRPr="006A44FA">
              <w:rPr>
                <w:rFonts w:hAnsi="Times New Roman" w:cs="Times New Roman"/>
                <w:lang w:val="lt-LT"/>
              </w:rPr>
              <w:t xml:space="preserve"> reglamento, gruodžio 22 d. gautas pritarimas Nuolatiniame atstovų komitete (COREPER II), o šiuo metu yra laukiama EP balsavimo bei po jo sekančio RRF reglamento paskelbimo </w:t>
            </w:r>
            <w:proofErr w:type="spellStart"/>
            <w:r w:rsidR="00D80DED" w:rsidRPr="006A44FA">
              <w:rPr>
                <w:rFonts w:hAnsi="Times New Roman" w:cs="Times New Roman"/>
                <w:lang w:val="lt-LT"/>
              </w:rPr>
              <w:t>O</w:t>
            </w:r>
            <w:r w:rsidR="00D80DED" w:rsidRPr="006A44FA">
              <w:rPr>
                <w:rFonts w:hAnsi="Times New Roman" w:cs="Times New Roman"/>
                <w:lang w:val="lt-LT"/>
              </w:rPr>
              <w:t>f</w:t>
            </w:r>
            <w:r w:rsidR="00D80DED" w:rsidRPr="006A44FA">
              <w:rPr>
                <w:rFonts w:hAnsi="Times New Roman" w:cs="Times New Roman"/>
                <w:lang w:val="lt-LT"/>
              </w:rPr>
              <w:t>ficial</w:t>
            </w:r>
            <w:proofErr w:type="spellEnd"/>
            <w:r w:rsidR="00D80DED" w:rsidRPr="006A44FA">
              <w:rPr>
                <w:rFonts w:hAnsi="Times New Roman" w:cs="Times New Roman"/>
                <w:lang w:val="lt-LT"/>
              </w:rPr>
              <w:t xml:space="preserve"> </w:t>
            </w:r>
            <w:proofErr w:type="spellStart"/>
            <w:r w:rsidR="00D80DED" w:rsidRPr="006A44FA">
              <w:rPr>
                <w:rFonts w:hAnsi="Times New Roman" w:cs="Times New Roman"/>
                <w:lang w:val="lt-LT"/>
              </w:rPr>
              <w:t>Journal</w:t>
            </w:r>
            <w:proofErr w:type="spellEnd"/>
            <w:r w:rsidR="00D80DED" w:rsidRPr="006A44FA">
              <w:rPr>
                <w:rFonts w:hAnsi="Times New Roman" w:cs="Times New Roman"/>
                <w:lang w:val="lt-LT"/>
              </w:rPr>
              <w:t>.</w:t>
            </w:r>
          </w:p>
          <w:p w:rsidR="00195F60" w:rsidRPr="006A44FA" w:rsidRDefault="00F6555B" w:rsidP="00D80DED">
            <w:pPr>
              <w:pStyle w:val="BodyA"/>
              <w:jc w:val="both"/>
              <w:rPr>
                <w:rFonts w:hAnsi="Times New Roman" w:cs="Times New Roman"/>
                <w:lang w:val="lt-LT"/>
              </w:rPr>
            </w:pPr>
            <w:r>
              <w:rPr>
                <w:rFonts w:hAnsi="Times New Roman" w:cs="Times New Roman"/>
                <w:lang w:val="lt-LT"/>
              </w:rPr>
              <w:t>ECOFIN posėdyje E</w:t>
            </w:r>
            <w:r w:rsidR="00F225D5">
              <w:rPr>
                <w:rFonts w:hAnsi="Times New Roman" w:cs="Times New Roman"/>
                <w:lang w:val="lt-LT"/>
              </w:rPr>
              <w:t>K</w:t>
            </w:r>
            <w:r>
              <w:rPr>
                <w:rFonts w:hAnsi="Times New Roman" w:cs="Times New Roman"/>
                <w:lang w:val="lt-LT"/>
              </w:rPr>
              <w:t xml:space="preserve"> pristatys nacionalinių Atsigavimo ir atsparumo didinimo planų (</w:t>
            </w:r>
            <w:proofErr w:type="spellStart"/>
            <w:r>
              <w:rPr>
                <w:rFonts w:hAnsi="Times New Roman" w:cs="Times New Roman"/>
                <w:lang w:val="lt-LT"/>
              </w:rPr>
              <w:t>Recovery</w:t>
            </w:r>
            <w:proofErr w:type="spellEnd"/>
            <w:r>
              <w:rPr>
                <w:rFonts w:hAnsi="Times New Roman" w:cs="Times New Roman"/>
                <w:lang w:val="lt-LT"/>
              </w:rPr>
              <w:t xml:space="preserve"> </w:t>
            </w:r>
            <w:proofErr w:type="spellStart"/>
            <w:r>
              <w:rPr>
                <w:rFonts w:hAnsi="Times New Roman" w:cs="Times New Roman"/>
                <w:lang w:val="lt-LT"/>
              </w:rPr>
              <w:t>and</w:t>
            </w:r>
            <w:proofErr w:type="spellEnd"/>
            <w:r>
              <w:rPr>
                <w:rFonts w:hAnsi="Times New Roman" w:cs="Times New Roman"/>
                <w:lang w:val="lt-LT"/>
              </w:rPr>
              <w:t xml:space="preserve"> </w:t>
            </w:r>
            <w:proofErr w:type="spellStart"/>
            <w:r>
              <w:rPr>
                <w:rFonts w:hAnsi="Times New Roman" w:cs="Times New Roman"/>
                <w:lang w:val="lt-LT"/>
              </w:rPr>
              <w:t>Resilience</w:t>
            </w:r>
            <w:proofErr w:type="spellEnd"/>
            <w:r>
              <w:rPr>
                <w:rFonts w:hAnsi="Times New Roman" w:cs="Times New Roman"/>
                <w:lang w:val="lt-LT"/>
              </w:rPr>
              <w:t xml:space="preserve"> </w:t>
            </w:r>
            <w:proofErr w:type="spellStart"/>
            <w:r>
              <w:rPr>
                <w:rFonts w:hAnsi="Times New Roman" w:cs="Times New Roman"/>
                <w:lang w:val="lt-LT"/>
              </w:rPr>
              <w:t>Plans</w:t>
            </w:r>
            <w:proofErr w:type="spellEnd"/>
            <w:r>
              <w:rPr>
                <w:rFonts w:hAnsi="Times New Roman" w:cs="Times New Roman"/>
                <w:lang w:val="lt-LT"/>
              </w:rPr>
              <w:t>, toliau RRP) rengimo apžvalgą (</w:t>
            </w:r>
            <w:r w:rsidR="00F225D5">
              <w:rPr>
                <w:rFonts w:hAnsi="Times New Roman" w:cs="Times New Roman"/>
                <w:lang w:val="lt-LT"/>
              </w:rPr>
              <w:t xml:space="preserve">šiuo metu yra pateikta </w:t>
            </w:r>
            <w:r w:rsidR="00F225D5">
              <w:rPr>
                <w:rFonts w:hAnsi="Times New Roman" w:cs="Times New Roman"/>
              </w:rPr>
              <w:t xml:space="preserve">11 RRP </w:t>
            </w:r>
            <w:proofErr w:type="spellStart"/>
            <w:r w:rsidR="00F225D5">
              <w:rPr>
                <w:rFonts w:hAnsi="Times New Roman" w:cs="Times New Roman"/>
              </w:rPr>
              <w:t>projekt</w:t>
            </w:r>
            <w:proofErr w:type="spellEnd"/>
            <w:r w:rsidR="00F225D5">
              <w:rPr>
                <w:rFonts w:hAnsi="Times New Roman" w:cs="Times New Roman"/>
                <w:lang w:val="lt-LT"/>
              </w:rPr>
              <w:t xml:space="preserve">ų, </w:t>
            </w:r>
            <w:r>
              <w:rPr>
                <w:rFonts w:hAnsi="Times New Roman" w:cs="Times New Roman"/>
                <w:lang w:val="lt-LT"/>
              </w:rPr>
              <w:t xml:space="preserve">vyksta </w:t>
            </w:r>
            <w:r w:rsidR="00F225D5">
              <w:rPr>
                <w:rFonts w:hAnsi="Times New Roman" w:cs="Times New Roman"/>
                <w:lang w:val="lt-LT"/>
              </w:rPr>
              <w:t>ek-šalių nari</w:t>
            </w:r>
            <w:r>
              <w:rPr>
                <w:rFonts w:hAnsi="Times New Roman" w:cs="Times New Roman"/>
                <w:lang w:val="lt-LT"/>
              </w:rPr>
              <w:t>ų dvišalės konsultacijos), o ministrų bus prašoma pasisakyti apie</w:t>
            </w:r>
            <w:r w:rsidR="00F225D5">
              <w:rPr>
                <w:rFonts w:hAnsi="Times New Roman" w:cs="Times New Roman"/>
                <w:lang w:val="lt-LT"/>
              </w:rPr>
              <w:t xml:space="preserve"> kylančius RRP rengimo iššūkius ir tolimesnius veiksmus.</w:t>
            </w:r>
            <w:r>
              <w:rPr>
                <w:rFonts w:hAnsi="Times New Roman" w:cs="Times New Roman"/>
                <w:lang w:val="lt-LT"/>
              </w:rPr>
              <w:t xml:space="preserve">  </w:t>
            </w:r>
          </w:p>
          <w:p w:rsidR="00335ED8" w:rsidRPr="006A44FA" w:rsidRDefault="00335ED8" w:rsidP="00335ED8">
            <w:pPr>
              <w:pStyle w:val="BodyA"/>
              <w:jc w:val="both"/>
              <w:rPr>
                <w:rFonts w:eastAsia="Times New Roman Bold" w:hAnsi="Times New Roman" w:cs="Times New Roman"/>
                <w:highlight w:val="yellow"/>
                <w:u w:val="single"/>
                <w:lang w:val="lt-LT"/>
              </w:rPr>
            </w:pPr>
          </w:p>
          <w:p w:rsidR="00195F60" w:rsidRDefault="00E1240D" w:rsidP="00195F60">
            <w:pPr>
              <w:pStyle w:val="BodyA"/>
              <w:rPr>
                <w:rFonts w:hAnsi="Times New Roman" w:cs="Times New Roman"/>
                <w:lang w:val="lt-LT"/>
              </w:rPr>
            </w:pPr>
            <w:r w:rsidRPr="006A44FA">
              <w:rPr>
                <w:rFonts w:hAnsi="Times New Roman" w:cs="Times New Roman"/>
                <w:b/>
                <w:u w:val="single"/>
                <w:lang w:val="lt-LT"/>
              </w:rPr>
              <w:t>Lietuvos pozicija.</w:t>
            </w:r>
            <w:r w:rsidRPr="006A44FA">
              <w:rPr>
                <w:rFonts w:hAnsi="Times New Roman" w:cs="Times New Roman"/>
                <w:b/>
                <w:lang w:val="lt-LT"/>
              </w:rPr>
              <w:t xml:space="preserve"> </w:t>
            </w:r>
            <w:r w:rsidR="00195F60" w:rsidRPr="006A44FA">
              <w:rPr>
                <w:rFonts w:hAnsi="Times New Roman" w:cs="Times New Roman"/>
                <w:lang w:val="lt-LT"/>
              </w:rPr>
              <w:t>Lietuva yra išskyrusi 7 komponentų kategorijas, siekiant koncentruotai p</w:t>
            </w:r>
            <w:r w:rsidR="00195F60" w:rsidRPr="006A44FA">
              <w:rPr>
                <w:rFonts w:hAnsi="Times New Roman" w:cs="Times New Roman"/>
                <w:lang w:val="lt-LT"/>
              </w:rPr>
              <w:t>a</w:t>
            </w:r>
            <w:r w:rsidR="00195F60" w:rsidRPr="006A44FA">
              <w:rPr>
                <w:rFonts w:hAnsi="Times New Roman" w:cs="Times New Roman"/>
                <w:lang w:val="lt-LT"/>
              </w:rPr>
              <w:t xml:space="preserve">naudoti RRF </w:t>
            </w:r>
            <w:r w:rsidR="00F6555B">
              <w:rPr>
                <w:rFonts w:hAnsi="Times New Roman" w:cs="Times New Roman"/>
                <w:lang w:val="lt-LT"/>
              </w:rPr>
              <w:t xml:space="preserve">atsižvelgiant į </w:t>
            </w:r>
            <w:r w:rsidR="00195F60" w:rsidRPr="006A44FA">
              <w:rPr>
                <w:rFonts w:hAnsi="Times New Roman" w:cs="Times New Roman"/>
                <w:lang w:val="lt-LT"/>
              </w:rPr>
              <w:t>keliamus kriterijus bei reikalavimus ir tikslingai atliepti ES Tarybos rekomendacijas Lietuvai (</w:t>
            </w:r>
            <w:proofErr w:type="spellStart"/>
            <w:r w:rsidR="00195F60" w:rsidRPr="006A44FA">
              <w:rPr>
                <w:rFonts w:hAnsi="Times New Roman" w:cs="Times New Roman"/>
                <w:lang w:val="lt-LT"/>
              </w:rPr>
              <w:t>CSRs</w:t>
            </w:r>
            <w:proofErr w:type="spellEnd"/>
            <w:r w:rsidR="00195F60" w:rsidRPr="006A44FA">
              <w:rPr>
                <w:rFonts w:hAnsi="Times New Roman" w:cs="Times New Roman"/>
                <w:lang w:val="lt-LT"/>
              </w:rPr>
              <w:t>): žalioji pertvarka; skaitmeninė transformacija; sveikata; soci</w:t>
            </w:r>
            <w:r w:rsidR="00195F60" w:rsidRPr="006A44FA">
              <w:rPr>
                <w:rFonts w:hAnsi="Times New Roman" w:cs="Times New Roman"/>
                <w:lang w:val="lt-LT"/>
              </w:rPr>
              <w:t>a</w:t>
            </w:r>
            <w:r w:rsidR="00195F60" w:rsidRPr="006A44FA">
              <w:rPr>
                <w:rFonts w:hAnsi="Times New Roman" w:cs="Times New Roman"/>
                <w:lang w:val="lt-LT"/>
              </w:rPr>
              <w:t xml:space="preserve">liniai reikalai; mokslas ir inovacijos; švietimas; viešieji finansai. Komponentai ir jų finansinės proporcijos bus peržiūrėtos ir tvirtinamos 2021 m. sausio </w:t>
            </w:r>
            <w:r w:rsidR="00335ED8" w:rsidRPr="006A44FA">
              <w:rPr>
                <w:rFonts w:hAnsi="Times New Roman" w:cs="Times New Roman"/>
                <w:lang w:val="lt-LT"/>
              </w:rPr>
              <w:t xml:space="preserve">mėn. </w:t>
            </w:r>
            <w:r w:rsidR="00195F60" w:rsidRPr="006A44FA">
              <w:rPr>
                <w:rFonts w:hAnsi="Times New Roman" w:cs="Times New Roman"/>
                <w:lang w:val="lt-LT"/>
              </w:rPr>
              <w:t>LRV posėdyje.</w:t>
            </w:r>
          </w:p>
          <w:p w:rsidR="00F6555B" w:rsidRPr="006A44FA" w:rsidRDefault="00F6555B" w:rsidP="00F6555B">
            <w:pPr>
              <w:pStyle w:val="BodyA"/>
              <w:rPr>
                <w:rFonts w:hAnsi="Times New Roman" w:cs="Times New Roman"/>
                <w:lang w:val="lt-LT"/>
              </w:rPr>
            </w:pPr>
            <w:r w:rsidRPr="006A44FA">
              <w:rPr>
                <w:rFonts w:hAnsi="Times New Roman" w:cs="Times New Roman"/>
                <w:lang w:val="lt-LT"/>
              </w:rPr>
              <w:t>Nacionalinio RRP</w:t>
            </w:r>
            <w:r w:rsidR="00F225D5">
              <w:rPr>
                <w:rFonts w:hAnsi="Times New Roman" w:cs="Times New Roman"/>
                <w:lang w:val="lt-LT"/>
              </w:rPr>
              <w:t xml:space="preserve"> rengimo grafikas</w:t>
            </w:r>
            <w:r w:rsidRPr="006A44FA">
              <w:rPr>
                <w:rFonts w:hAnsi="Times New Roman" w:cs="Times New Roman"/>
                <w:lang w:val="lt-LT"/>
              </w:rPr>
              <w:t xml:space="preserve">: </w:t>
            </w:r>
          </w:p>
          <w:p w:rsidR="00F6555B" w:rsidRPr="006A44FA" w:rsidRDefault="00F6555B" w:rsidP="00F6555B">
            <w:pPr>
              <w:pStyle w:val="BodyA"/>
              <w:tabs>
                <w:tab w:val="left" w:pos="743"/>
              </w:tabs>
              <w:ind w:left="318"/>
              <w:rPr>
                <w:rFonts w:hAnsi="Times New Roman" w:cs="Times New Roman"/>
                <w:lang w:val="lt-LT"/>
              </w:rPr>
            </w:pPr>
            <w:r w:rsidRPr="006A44FA">
              <w:rPr>
                <w:rFonts w:hAnsi="Times New Roman" w:cs="Times New Roman"/>
                <w:lang w:val="lt-LT"/>
              </w:rPr>
              <w:t>•</w:t>
            </w:r>
            <w:r w:rsidRPr="006A44FA">
              <w:rPr>
                <w:rFonts w:hAnsi="Times New Roman" w:cs="Times New Roman"/>
                <w:lang w:val="lt-LT"/>
              </w:rPr>
              <w:tab/>
              <w:t xml:space="preserve">iki 2021 m. vasario mėn. vidurio planuojama parengti jungtinį visų sektorių RRF plano reformų ir investicijų projektą, suderinant jį su naujos Vyriausybės programa. </w:t>
            </w:r>
          </w:p>
          <w:p w:rsidR="00F6555B" w:rsidRPr="006A44FA" w:rsidRDefault="00F6555B" w:rsidP="00F6555B">
            <w:pPr>
              <w:pStyle w:val="BodyA"/>
              <w:tabs>
                <w:tab w:val="left" w:pos="743"/>
              </w:tabs>
              <w:ind w:left="318"/>
              <w:rPr>
                <w:rFonts w:hAnsi="Times New Roman" w:cs="Times New Roman"/>
                <w:lang w:val="lt-LT"/>
              </w:rPr>
            </w:pPr>
            <w:r w:rsidRPr="006A44FA">
              <w:rPr>
                <w:rFonts w:hAnsi="Times New Roman" w:cs="Times New Roman"/>
                <w:lang w:val="lt-LT"/>
              </w:rPr>
              <w:lastRenderedPageBreak/>
              <w:t>•</w:t>
            </w:r>
            <w:r w:rsidRPr="006A44FA">
              <w:rPr>
                <w:rFonts w:hAnsi="Times New Roman" w:cs="Times New Roman"/>
                <w:lang w:val="lt-LT"/>
              </w:rPr>
              <w:tab/>
              <w:t xml:space="preserve">RRF plano projekto pristatymas Europos Komisijai ir derybų pradžia numatoma 2021 m. vasario mėn. </w:t>
            </w:r>
          </w:p>
          <w:p w:rsidR="00F6555B" w:rsidRPr="006A44FA" w:rsidRDefault="00F6555B" w:rsidP="00F6555B">
            <w:pPr>
              <w:pStyle w:val="BodyA"/>
              <w:tabs>
                <w:tab w:val="left" w:pos="743"/>
              </w:tabs>
              <w:ind w:left="318"/>
              <w:rPr>
                <w:rFonts w:hAnsi="Times New Roman" w:cs="Times New Roman"/>
                <w:lang w:val="lt-LT"/>
              </w:rPr>
            </w:pPr>
            <w:r w:rsidRPr="006A44FA">
              <w:rPr>
                <w:rFonts w:hAnsi="Times New Roman" w:cs="Times New Roman"/>
                <w:lang w:val="lt-LT"/>
              </w:rPr>
              <w:t>•</w:t>
            </w:r>
            <w:r w:rsidRPr="006A44FA">
              <w:rPr>
                <w:rFonts w:hAnsi="Times New Roman" w:cs="Times New Roman"/>
                <w:lang w:val="lt-LT"/>
              </w:rPr>
              <w:tab/>
              <w:t>2021 m. vasario-kovo mėn. vyks viešosios konsultacijos ir aptarimai su socialiniais-ekonominiais partneriais.</w:t>
            </w:r>
          </w:p>
          <w:p w:rsidR="00F6555B" w:rsidRPr="006A44FA" w:rsidRDefault="00F6555B" w:rsidP="00F6555B">
            <w:pPr>
              <w:pStyle w:val="BodyA"/>
              <w:tabs>
                <w:tab w:val="left" w:pos="743"/>
              </w:tabs>
              <w:ind w:left="318"/>
              <w:rPr>
                <w:rFonts w:hAnsi="Times New Roman" w:cs="Times New Roman"/>
                <w:lang w:val="lt-LT"/>
              </w:rPr>
            </w:pPr>
            <w:r w:rsidRPr="006A44FA">
              <w:rPr>
                <w:rFonts w:hAnsi="Times New Roman" w:cs="Times New Roman"/>
                <w:lang w:val="lt-LT"/>
              </w:rPr>
              <w:t>•</w:t>
            </w:r>
            <w:r w:rsidRPr="006A44FA">
              <w:rPr>
                <w:rFonts w:hAnsi="Times New Roman" w:cs="Times New Roman"/>
                <w:lang w:val="lt-LT"/>
              </w:rPr>
              <w:tab/>
              <w:t>Per 2021 m. kovo mėn. numatoma neformaliai suderinti RRF plano projektą su Europos Komisija ir užbaigti galutinius patikslinimus.</w:t>
            </w:r>
          </w:p>
          <w:p w:rsidR="00F6555B" w:rsidRPr="006A44FA" w:rsidRDefault="00F6555B" w:rsidP="00F6555B">
            <w:pPr>
              <w:pStyle w:val="BodyA"/>
              <w:tabs>
                <w:tab w:val="left" w:pos="743"/>
              </w:tabs>
              <w:ind w:left="318"/>
              <w:jc w:val="both"/>
              <w:rPr>
                <w:rFonts w:hAnsi="Times New Roman" w:cs="Times New Roman"/>
                <w:lang w:val="lt-LT"/>
              </w:rPr>
            </w:pPr>
            <w:r w:rsidRPr="006A44FA">
              <w:rPr>
                <w:rFonts w:hAnsi="Times New Roman" w:cs="Times New Roman"/>
                <w:lang w:val="lt-LT"/>
              </w:rPr>
              <w:t>•</w:t>
            </w:r>
            <w:r w:rsidRPr="006A44FA">
              <w:rPr>
                <w:rFonts w:hAnsi="Times New Roman" w:cs="Times New Roman"/>
                <w:lang w:val="lt-LT"/>
              </w:rPr>
              <w:tab/>
              <w:t>Iki 2021 m. balandžio 30 d. pilnas RRF planas bus oficialiai pateiktas Komisijai.</w:t>
            </w:r>
          </w:p>
          <w:p w:rsidR="00E1240D" w:rsidRPr="006A44FA" w:rsidRDefault="00E1240D" w:rsidP="007D7FCE">
            <w:pPr>
              <w:pStyle w:val="BodyA"/>
              <w:jc w:val="both"/>
              <w:rPr>
                <w:lang w:val="lt-LT"/>
              </w:rPr>
            </w:pPr>
          </w:p>
          <w:p w:rsidR="00E1240D" w:rsidRPr="006A44FA" w:rsidRDefault="00E1240D" w:rsidP="00830485">
            <w:pPr>
              <w:pStyle w:val="BodyA"/>
              <w:jc w:val="both"/>
              <w:rPr>
                <w:rFonts w:hAnsi="Times New Roman" w:cs="Times New Roman"/>
                <w:b/>
                <w:lang w:val="lt-LT"/>
              </w:rPr>
            </w:pPr>
            <w:r w:rsidRPr="006A44FA">
              <w:rPr>
                <w:rFonts w:hAnsi="Times New Roman" w:cs="Times New Roman"/>
                <w:b/>
                <w:lang w:val="lt-LT"/>
              </w:rPr>
              <w:t xml:space="preserve">5. </w:t>
            </w:r>
            <w:r w:rsidR="004226F1" w:rsidRPr="006A44FA">
              <w:rPr>
                <w:rFonts w:hAnsi="Times New Roman" w:cs="Times New Roman"/>
                <w:b/>
                <w:lang w:val="lt-LT"/>
              </w:rPr>
              <w:t xml:space="preserve">EIB investicijų tyrimas: investicijų trūkumas </w:t>
            </w:r>
            <w:r w:rsidR="004226F1" w:rsidRPr="006A44FA">
              <w:rPr>
                <w:rFonts w:hAnsi="Times New Roman" w:cs="Times New Roman"/>
                <w:i/>
                <w:lang w:val="lt-LT"/>
              </w:rPr>
              <w:t>(pristatymas)</w:t>
            </w:r>
          </w:p>
          <w:p w:rsidR="00195F60" w:rsidRPr="006A44FA" w:rsidRDefault="00195F60" w:rsidP="00195F60">
            <w:pPr>
              <w:pStyle w:val="BodyA"/>
              <w:jc w:val="both"/>
              <w:rPr>
                <w:rFonts w:hAnsi="Times New Roman" w:cs="Times New Roman"/>
                <w:lang w:val="lt-LT"/>
              </w:rPr>
            </w:pPr>
            <w:r w:rsidRPr="006A44FA">
              <w:rPr>
                <w:rFonts w:hAnsi="Times New Roman" w:cs="Times New Roman"/>
                <w:b/>
                <w:u w:val="single"/>
                <w:lang w:val="lt-LT"/>
              </w:rPr>
              <w:t>Klausimo esmė.</w:t>
            </w:r>
            <w:r w:rsidRPr="006A44FA">
              <w:rPr>
                <w:rFonts w:hAnsi="Times New Roman" w:cs="Times New Roman"/>
                <w:lang w:val="lt-LT"/>
              </w:rPr>
              <w:t xml:space="preserve"> Europos investicijų banko (EIB) prezidentas pristatys pagrindines naujausio EIB investicijų tyrimo išvadas. Tyrimas pateikia įžvalgas apie įmonių investicijų aplinką Eur</w:t>
            </w:r>
            <w:r w:rsidRPr="006A44FA">
              <w:rPr>
                <w:rFonts w:hAnsi="Times New Roman" w:cs="Times New Roman"/>
                <w:lang w:val="lt-LT"/>
              </w:rPr>
              <w:t>o</w:t>
            </w:r>
            <w:r w:rsidRPr="006A44FA">
              <w:rPr>
                <w:rFonts w:hAnsi="Times New Roman" w:cs="Times New Roman"/>
                <w:lang w:val="lt-LT"/>
              </w:rPr>
              <w:t>pos Sąjungoje. Pagrindiniai tyrimo aspektai:</w:t>
            </w:r>
          </w:p>
          <w:p w:rsidR="00195F60" w:rsidRPr="006A44FA" w:rsidRDefault="0007211E" w:rsidP="00195F60">
            <w:pPr>
              <w:pStyle w:val="BodyA"/>
              <w:jc w:val="both"/>
              <w:rPr>
                <w:rFonts w:hAnsi="Times New Roman" w:cs="Times New Roman"/>
                <w:lang w:val="lt-LT"/>
              </w:rPr>
            </w:pPr>
            <w:r w:rsidRPr="006A44FA">
              <w:rPr>
                <w:rFonts w:hAnsi="Times New Roman" w:cs="Times New Roman"/>
                <w:lang w:val="lt-LT"/>
              </w:rPr>
              <w:t>- COVID-19</w:t>
            </w:r>
            <w:r w:rsidR="00195F60" w:rsidRPr="006A44FA">
              <w:rPr>
                <w:rFonts w:hAnsi="Times New Roman" w:cs="Times New Roman"/>
                <w:lang w:val="lt-LT"/>
              </w:rPr>
              <w:t xml:space="preserve"> pandemijos poveikį jaučia visos ES įmonės ir tai daro įtaką jų investicijoms, t. y. investicijų planus sumažino beveik pusė ES įmonių;</w:t>
            </w:r>
          </w:p>
          <w:p w:rsidR="00195F60" w:rsidRPr="006A44FA" w:rsidRDefault="00195F60" w:rsidP="00195F60">
            <w:pPr>
              <w:pStyle w:val="BodyA"/>
              <w:jc w:val="both"/>
              <w:rPr>
                <w:rFonts w:hAnsi="Times New Roman" w:cs="Times New Roman"/>
                <w:lang w:val="lt-LT"/>
              </w:rPr>
            </w:pPr>
            <w:r w:rsidRPr="006A44FA">
              <w:rPr>
                <w:rFonts w:hAnsi="Times New Roman" w:cs="Times New Roman"/>
                <w:lang w:val="lt-LT"/>
              </w:rPr>
              <w:t>- 2019 m. investicijos į inovacijas padidėjo ir toliau išlieka prioritetas toms įmonėms, kurias l</w:t>
            </w:r>
            <w:r w:rsidRPr="006A44FA">
              <w:rPr>
                <w:rFonts w:hAnsi="Times New Roman" w:cs="Times New Roman"/>
                <w:lang w:val="lt-LT"/>
              </w:rPr>
              <w:t>a</w:t>
            </w:r>
            <w:r w:rsidR="0007211E" w:rsidRPr="006A44FA">
              <w:rPr>
                <w:rFonts w:hAnsi="Times New Roman" w:cs="Times New Roman"/>
                <w:lang w:val="lt-LT"/>
              </w:rPr>
              <w:t>biausiai paveikė COVID-19</w:t>
            </w:r>
            <w:r w:rsidRPr="006A44FA">
              <w:rPr>
                <w:rFonts w:hAnsi="Times New Roman" w:cs="Times New Roman"/>
                <w:lang w:val="lt-LT"/>
              </w:rPr>
              <w:t>;</w:t>
            </w:r>
          </w:p>
          <w:p w:rsidR="00195F60" w:rsidRPr="006A44FA" w:rsidRDefault="00195F60" w:rsidP="00195F60">
            <w:pPr>
              <w:pStyle w:val="BodyA"/>
              <w:jc w:val="both"/>
              <w:rPr>
                <w:rFonts w:hAnsi="Times New Roman" w:cs="Times New Roman"/>
                <w:lang w:val="lt-LT"/>
              </w:rPr>
            </w:pPr>
            <w:r w:rsidRPr="006A44FA">
              <w:rPr>
                <w:rFonts w:hAnsi="Times New Roman" w:cs="Times New Roman"/>
                <w:lang w:val="lt-LT"/>
              </w:rPr>
              <w:t>- skaitmeninių technologijų diegimas išlieka svarbiu Europos įmonių prioritetu;</w:t>
            </w:r>
          </w:p>
          <w:p w:rsidR="00A45218" w:rsidRPr="006A44FA" w:rsidRDefault="00195F60" w:rsidP="00195F60">
            <w:pPr>
              <w:pStyle w:val="BodyA"/>
              <w:jc w:val="both"/>
              <w:rPr>
                <w:rFonts w:hAnsi="Times New Roman" w:cs="Times New Roman"/>
                <w:lang w:val="lt-LT"/>
              </w:rPr>
            </w:pPr>
            <w:r w:rsidRPr="006A44FA">
              <w:rPr>
                <w:rFonts w:hAnsi="Times New Roman" w:cs="Times New Roman"/>
                <w:lang w:val="lt-LT"/>
              </w:rPr>
              <w:t>- klimato kaita taip pat daro poveikį investicijų planavimui.</w:t>
            </w:r>
          </w:p>
          <w:p w:rsidR="00195F60" w:rsidRPr="006A44FA" w:rsidRDefault="00195F60" w:rsidP="00795E46">
            <w:pPr>
              <w:pStyle w:val="BodyA"/>
              <w:jc w:val="both"/>
              <w:rPr>
                <w:rFonts w:hAnsi="Times New Roman" w:cs="Times New Roman"/>
                <w:b/>
                <w:u w:val="single"/>
                <w:lang w:val="lt-LT"/>
              </w:rPr>
            </w:pPr>
          </w:p>
          <w:p w:rsidR="0032625D" w:rsidRPr="006A44FA" w:rsidRDefault="00795E46" w:rsidP="00790FF5">
            <w:pPr>
              <w:pStyle w:val="BodyA"/>
              <w:jc w:val="both"/>
              <w:rPr>
                <w:rFonts w:hAnsi="Times New Roman" w:cs="Times New Roman"/>
                <w:lang w:val="lt-LT"/>
              </w:rPr>
            </w:pPr>
            <w:r w:rsidRPr="006A44FA">
              <w:rPr>
                <w:rFonts w:hAnsi="Times New Roman" w:cs="Times New Roman"/>
                <w:b/>
                <w:u w:val="single"/>
                <w:lang w:val="lt-LT"/>
              </w:rPr>
              <w:t>Lietuvos pozicija.</w:t>
            </w:r>
            <w:r w:rsidRPr="006A44FA">
              <w:rPr>
                <w:rFonts w:hAnsi="Times New Roman" w:cs="Times New Roman"/>
                <w:b/>
                <w:lang w:val="lt-LT"/>
              </w:rPr>
              <w:t xml:space="preserve"> </w:t>
            </w:r>
            <w:r w:rsidR="00195F60" w:rsidRPr="006A44FA">
              <w:rPr>
                <w:rFonts w:hAnsi="Times New Roman" w:cs="Times New Roman"/>
                <w:lang w:val="lt-LT"/>
              </w:rPr>
              <w:t>Manome, kad yra tikslinga atlikti investicijų tyrimus, kurie parodo, su k</w:t>
            </w:r>
            <w:r w:rsidR="00195F60" w:rsidRPr="006A44FA">
              <w:rPr>
                <w:rFonts w:hAnsi="Times New Roman" w:cs="Times New Roman"/>
                <w:lang w:val="lt-LT"/>
              </w:rPr>
              <w:t>o</w:t>
            </w:r>
            <w:r w:rsidR="00195F60" w:rsidRPr="006A44FA">
              <w:rPr>
                <w:rFonts w:hAnsi="Times New Roman" w:cs="Times New Roman"/>
                <w:lang w:val="lt-LT"/>
              </w:rPr>
              <w:t>kiais iššūkiais susiduria įmonės. Atsižvelgiant į tyrimo rezultatus, Europos investicijų bankas gali atlikti svarbų vaidmenį sprendžiant šiuos iššūkius, skatinant investicijas bei pasiūlant pri</w:t>
            </w:r>
            <w:r w:rsidR="00195F60" w:rsidRPr="006A44FA">
              <w:rPr>
                <w:rFonts w:hAnsi="Times New Roman" w:cs="Times New Roman"/>
                <w:lang w:val="lt-LT"/>
              </w:rPr>
              <w:t>e</w:t>
            </w:r>
            <w:r w:rsidR="00195F60" w:rsidRPr="006A44FA">
              <w:rPr>
                <w:rFonts w:hAnsi="Times New Roman" w:cs="Times New Roman"/>
                <w:lang w:val="lt-LT"/>
              </w:rPr>
              <w:t>mones, kurios geriausiai atitiktų įmonių finansavimo poreikius.</w:t>
            </w:r>
          </w:p>
        </w:tc>
      </w:tr>
    </w:tbl>
    <w:p w:rsidR="00501CE5" w:rsidRPr="006A44FA" w:rsidRDefault="00501CE5">
      <w:pPr>
        <w:pStyle w:val="BodyA"/>
        <w:jc w:val="both"/>
        <w:rPr>
          <w:lang w:val="lt-LT"/>
        </w:rPr>
      </w:pPr>
    </w:p>
    <w:p w:rsidR="002F39D0" w:rsidRPr="006A44FA" w:rsidRDefault="00790FF5" w:rsidP="004F4076">
      <w:pPr>
        <w:jc w:val="center"/>
        <w:rPr>
          <w:rFonts w:eastAsia="Calibri"/>
          <w:b/>
          <w:lang w:val="lt-LT"/>
        </w:rPr>
      </w:pPr>
      <w:r w:rsidRPr="006A44FA">
        <w:rPr>
          <w:rFonts w:eastAsia="Calibri"/>
          <w:b/>
          <w:lang w:val="lt-LT"/>
        </w:rPr>
        <w:t>2021</w:t>
      </w:r>
      <w:r w:rsidR="00274F66" w:rsidRPr="006A44FA">
        <w:rPr>
          <w:rFonts w:eastAsia="Calibri"/>
          <w:b/>
          <w:lang w:val="lt-LT"/>
        </w:rPr>
        <w:t xml:space="preserve"> </w:t>
      </w:r>
      <w:r w:rsidRPr="006A44FA">
        <w:rPr>
          <w:rFonts w:eastAsia="Calibri"/>
          <w:b/>
          <w:lang w:val="lt-LT"/>
        </w:rPr>
        <w:t>M. SAUSIO 18</w:t>
      </w:r>
      <w:r w:rsidR="00EE0A8F" w:rsidRPr="006A44FA">
        <w:rPr>
          <w:rFonts w:eastAsia="Calibri"/>
          <w:b/>
          <w:lang w:val="lt-LT"/>
        </w:rPr>
        <w:t xml:space="preserve"> D. EURO GRUPĖS VAIZDO KONFERENCIJA</w:t>
      </w:r>
    </w:p>
    <w:p w:rsidR="004F4076" w:rsidRPr="006A44FA" w:rsidRDefault="004F4076" w:rsidP="002F39D0">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lang w:val="lt-LT"/>
        </w:rPr>
      </w:pPr>
    </w:p>
    <w:p w:rsidR="002F39D0" w:rsidRPr="006A44FA" w:rsidRDefault="002F39D0" w:rsidP="004F4076">
      <w:pPr>
        <w:pBdr>
          <w:top w:val="single" w:sz="4" w:space="1" w:color="auto"/>
          <w:left w:val="single" w:sz="4" w:space="1" w:color="auto"/>
          <w:bottom w:val="single" w:sz="4" w:space="1" w:color="auto"/>
          <w:right w:val="single" w:sz="4" w:space="1" w:color="auto"/>
          <w:between w:val="none" w:sz="0" w:space="0" w:color="auto"/>
          <w:bar w:val="none" w:sz="0" w:color="auto"/>
        </w:pBdr>
        <w:contextualSpacing/>
        <w:jc w:val="both"/>
        <w:rPr>
          <w:b/>
          <w:lang w:val="lt-LT"/>
        </w:rPr>
      </w:pPr>
      <w:r w:rsidRPr="006A44FA">
        <w:rPr>
          <w:b/>
          <w:lang w:val="lt-LT"/>
        </w:rPr>
        <w:t>Euro grupės posėdis</w:t>
      </w:r>
    </w:p>
    <w:p w:rsidR="002F39D0" w:rsidRPr="006A44FA" w:rsidRDefault="002F39D0" w:rsidP="004F4076">
      <w:pPr>
        <w:pBdr>
          <w:top w:val="single" w:sz="4" w:space="1" w:color="auto"/>
          <w:left w:val="single" w:sz="4" w:space="1" w:color="auto"/>
          <w:bottom w:val="single" w:sz="4" w:space="1" w:color="auto"/>
          <w:right w:val="single" w:sz="4" w:space="1" w:color="auto"/>
          <w:between w:val="none" w:sz="0" w:space="0" w:color="auto"/>
          <w:bar w:val="none" w:sz="0" w:color="auto"/>
        </w:pBdr>
        <w:contextualSpacing/>
        <w:jc w:val="both"/>
        <w:rPr>
          <w:b/>
          <w:lang w:val="lt-LT"/>
        </w:rPr>
      </w:pPr>
    </w:p>
    <w:p w:rsidR="002F39D0" w:rsidRPr="006A44FA" w:rsidRDefault="002F39D0" w:rsidP="004F4076">
      <w:pPr>
        <w:pBdr>
          <w:top w:val="single" w:sz="4" w:space="1" w:color="auto"/>
          <w:left w:val="single" w:sz="4" w:space="1" w:color="auto"/>
          <w:bottom w:val="single" w:sz="4" w:space="1" w:color="auto"/>
          <w:right w:val="single" w:sz="4" w:space="1" w:color="auto"/>
          <w:between w:val="none" w:sz="0" w:space="0" w:color="auto"/>
          <w:bar w:val="none" w:sz="0" w:color="auto"/>
        </w:pBdr>
        <w:contextualSpacing/>
        <w:jc w:val="both"/>
        <w:rPr>
          <w:b/>
          <w:color w:val="202124"/>
          <w:lang w:val="lt-LT" w:eastAsia="lt-LT"/>
        </w:rPr>
      </w:pPr>
      <w:r w:rsidRPr="006A44FA">
        <w:rPr>
          <w:b/>
          <w:color w:val="202124"/>
          <w:lang w:val="lt-LT" w:eastAsia="lt-LT"/>
        </w:rPr>
        <w:t xml:space="preserve">1. </w:t>
      </w:r>
      <w:r w:rsidR="009B0378" w:rsidRPr="006A44FA">
        <w:rPr>
          <w:b/>
          <w:color w:val="202124"/>
          <w:lang w:val="lt-LT" w:eastAsia="lt-LT"/>
        </w:rPr>
        <w:t xml:space="preserve">Teminė diskusija – </w:t>
      </w:r>
      <w:proofErr w:type="spellStart"/>
      <w:r w:rsidR="009B0378" w:rsidRPr="006A44FA">
        <w:rPr>
          <w:b/>
          <w:color w:val="202124"/>
          <w:lang w:val="lt-LT" w:eastAsia="lt-LT"/>
        </w:rPr>
        <w:t>disbalansai</w:t>
      </w:r>
      <w:proofErr w:type="spellEnd"/>
      <w:r w:rsidRPr="006A44FA">
        <w:rPr>
          <w:b/>
          <w:color w:val="202124"/>
          <w:lang w:val="lt-LT" w:eastAsia="lt-LT"/>
        </w:rPr>
        <w:t xml:space="preserve"> euro zonoje po COVID-19 krizės</w:t>
      </w:r>
    </w:p>
    <w:p w:rsidR="002F39D0" w:rsidRPr="006A44FA" w:rsidRDefault="002F39D0" w:rsidP="004F4076">
      <w:pPr>
        <w:pBdr>
          <w:top w:val="single" w:sz="4" w:space="1" w:color="auto"/>
          <w:left w:val="single" w:sz="4" w:space="1" w:color="auto"/>
          <w:bottom w:val="single" w:sz="4" w:space="1" w:color="auto"/>
          <w:right w:val="single" w:sz="4" w:space="1" w:color="auto"/>
          <w:between w:val="none" w:sz="0" w:space="0" w:color="auto"/>
          <w:bar w:val="none" w:sz="0" w:color="auto"/>
        </w:pBdr>
        <w:contextualSpacing/>
        <w:jc w:val="both"/>
        <w:rPr>
          <w:b/>
          <w:u w:val="single"/>
          <w:lang w:val="lt-LT"/>
        </w:rPr>
      </w:pPr>
    </w:p>
    <w:p w:rsidR="00A15DF7" w:rsidRPr="006A44FA" w:rsidRDefault="002F39D0" w:rsidP="004F4076">
      <w:pPr>
        <w:pBdr>
          <w:top w:val="single" w:sz="4" w:space="1" w:color="auto"/>
          <w:left w:val="single" w:sz="4" w:space="1" w:color="auto"/>
          <w:bottom w:val="single" w:sz="4" w:space="1" w:color="auto"/>
          <w:right w:val="single" w:sz="4" w:space="1" w:color="auto"/>
          <w:between w:val="none" w:sz="0" w:space="0" w:color="auto"/>
          <w:bar w:val="none" w:sz="0" w:color="auto"/>
        </w:pBdr>
        <w:contextualSpacing/>
        <w:jc w:val="both"/>
        <w:rPr>
          <w:lang w:val="lt-LT"/>
        </w:rPr>
      </w:pPr>
      <w:r w:rsidRPr="006A44FA">
        <w:rPr>
          <w:b/>
          <w:u w:val="single"/>
          <w:lang w:val="lt-LT"/>
        </w:rPr>
        <w:t>Klausimo esmė.</w:t>
      </w:r>
      <w:r w:rsidRPr="006A44FA">
        <w:rPr>
          <w:lang w:val="lt-LT"/>
        </w:rPr>
        <w:t xml:space="preserve"> </w:t>
      </w:r>
      <w:r w:rsidR="009B0378" w:rsidRPr="006A44FA">
        <w:rPr>
          <w:lang w:val="lt-LT"/>
        </w:rPr>
        <w:t xml:space="preserve">Iki COVID-19 protrūkio mažėjo </w:t>
      </w:r>
      <w:r w:rsidR="00F225D5">
        <w:rPr>
          <w:lang w:val="lt-LT"/>
        </w:rPr>
        <w:t>m</w:t>
      </w:r>
      <w:r w:rsidRPr="006A44FA">
        <w:rPr>
          <w:lang w:val="lt-LT"/>
        </w:rPr>
        <w:t xml:space="preserve">akroekonominiai </w:t>
      </w:r>
      <w:proofErr w:type="spellStart"/>
      <w:r w:rsidRPr="006A44FA">
        <w:rPr>
          <w:lang w:val="lt-LT"/>
        </w:rPr>
        <w:t>disbalansai</w:t>
      </w:r>
      <w:proofErr w:type="spellEnd"/>
      <w:r w:rsidR="009B0378" w:rsidRPr="006A44FA">
        <w:rPr>
          <w:lang w:val="lt-LT"/>
        </w:rPr>
        <w:t>,</w:t>
      </w:r>
      <w:r w:rsidRPr="006A44FA">
        <w:rPr>
          <w:lang w:val="lt-LT"/>
        </w:rPr>
        <w:t xml:space="preserve"> </w:t>
      </w:r>
      <w:r w:rsidR="009B0378" w:rsidRPr="006A44FA">
        <w:rPr>
          <w:lang w:val="lt-LT"/>
        </w:rPr>
        <w:t xml:space="preserve">privačios ir </w:t>
      </w:r>
      <w:r w:rsidRPr="006A44FA">
        <w:rPr>
          <w:lang w:val="lt-LT"/>
        </w:rPr>
        <w:t>vi</w:t>
      </w:r>
      <w:r w:rsidRPr="006A44FA">
        <w:rPr>
          <w:lang w:val="lt-LT"/>
        </w:rPr>
        <w:t>e</w:t>
      </w:r>
      <w:r w:rsidRPr="006A44FA">
        <w:rPr>
          <w:lang w:val="lt-LT"/>
        </w:rPr>
        <w:t>šosios skolos, gerėjo bankų balansai, normalizavosi kredito ir būsto kainų augimas, mažėjo ein</w:t>
      </w:r>
      <w:r w:rsidRPr="006A44FA">
        <w:rPr>
          <w:lang w:val="lt-LT"/>
        </w:rPr>
        <w:t>a</w:t>
      </w:r>
      <w:r w:rsidRPr="006A44FA">
        <w:rPr>
          <w:lang w:val="lt-LT"/>
        </w:rPr>
        <w:t>mųjų sąskaitų deficitai.</w:t>
      </w:r>
      <w:r w:rsidR="009B0378" w:rsidRPr="006A44FA">
        <w:rPr>
          <w:lang w:val="lt-LT"/>
        </w:rPr>
        <w:t xml:space="preserve"> </w:t>
      </w:r>
      <w:r w:rsidRPr="006A44FA">
        <w:rPr>
          <w:lang w:val="lt-LT"/>
        </w:rPr>
        <w:t xml:space="preserve">Pandemija stipriai paveikė </w:t>
      </w:r>
      <w:r w:rsidR="009B0378" w:rsidRPr="006A44FA">
        <w:rPr>
          <w:lang w:val="lt-LT"/>
        </w:rPr>
        <w:t>EZ</w:t>
      </w:r>
      <w:r w:rsidRPr="006A44FA">
        <w:rPr>
          <w:lang w:val="lt-LT"/>
        </w:rPr>
        <w:t xml:space="preserve"> ekonomikas ir pareikalavo ryžtingų veik</w:t>
      </w:r>
      <w:r w:rsidRPr="006A44FA">
        <w:rPr>
          <w:lang w:val="lt-LT"/>
        </w:rPr>
        <w:t>s</w:t>
      </w:r>
      <w:r w:rsidRPr="006A44FA">
        <w:rPr>
          <w:lang w:val="lt-LT"/>
        </w:rPr>
        <w:t xml:space="preserve">mų. </w:t>
      </w:r>
    </w:p>
    <w:p w:rsidR="002F39D0" w:rsidRPr="006A44FA" w:rsidRDefault="002F39D0" w:rsidP="004F4076">
      <w:pPr>
        <w:pBdr>
          <w:top w:val="single" w:sz="4" w:space="1" w:color="auto"/>
          <w:left w:val="single" w:sz="4" w:space="1" w:color="auto"/>
          <w:bottom w:val="single" w:sz="4" w:space="1" w:color="auto"/>
          <w:right w:val="single" w:sz="4" w:space="1" w:color="auto"/>
          <w:between w:val="none" w:sz="0" w:space="0" w:color="auto"/>
          <w:bar w:val="none" w:sz="0" w:color="auto"/>
        </w:pBdr>
        <w:contextualSpacing/>
        <w:jc w:val="both"/>
        <w:rPr>
          <w:lang w:val="lt-LT"/>
        </w:rPr>
      </w:pPr>
      <w:r w:rsidRPr="006A44FA">
        <w:rPr>
          <w:lang w:val="lt-LT"/>
        </w:rPr>
        <w:t>EK prognozuoja, kad 2020 m. EZ BVP kris 7,8%, gamybos atotrūkis bus didesnis nei 2009 m., infliacija išliks nedidelė. Finansų rinkos stipriai reagavo į pandemiją, tačiau reikšmingos ir sav</w:t>
      </w:r>
      <w:r w:rsidRPr="006A44FA">
        <w:rPr>
          <w:lang w:val="lt-LT"/>
        </w:rPr>
        <w:t>a</w:t>
      </w:r>
      <w:r w:rsidRPr="006A44FA">
        <w:rPr>
          <w:lang w:val="lt-LT"/>
        </w:rPr>
        <w:t>laikės fiskalinės, monetarinės ir ES lygmens priemonės nuramino jas. Manoma, kad 2020 m. ats</w:t>
      </w:r>
      <w:r w:rsidRPr="006A44FA">
        <w:rPr>
          <w:lang w:val="lt-LT"/>
        </w:rPr>
        <w:t>i</w:t>
      </w:r>
      <w:r w:rsidRPr="006A44FA">
        <w:rPr>
          <w:lang w:val="lt-LT"/>
        </w:rPr>
        <w:t>gavimas bus nepilnas ir nevienodas visose EZ VN. Nepaisant prognozių, vyrauja didelis neužti</w:t>
      </w:r>
      <w:r w:rsidRPr="006A44FA">
        <w:rPr>
          <w:lang w:val="lt-LT"/>
        </w:rPr>
        <w:t>k</w:t>
      </w:r>
      <w:r w:rsidRPr="006A44FA">
        <w:rPr>
          <w:lang w:val="lt-LT"/>
        </w:rPr>
        <w:t>rintumas dėl ateities.</w:t>
      </w:r>
    </w:p>
    <w:p w:rsidR="00A15DF7" w:rsidRPr="006A44FA" w:rsidRDefault="00A15DF7" w:rsidP="004F4076">
      <w:pPr>
        <w:pBdr>
          <w:top w:val="single" w:sz="4" w:space="1" w:color="auto"/>
          <w:left w:val="single" w:sz="4" w:space="1" w:color="auto"/>
          <w:bottom w:val="single" w:sz="4" w:space="1" w:color="auto"/>
          <w:right w:val="single" w:sz="4" w:space="1" w:color="auto"/>
          <w:between w:val="none" w:sz="0" w:space="0" w:color="auto"/>
          <w:bar w:val="none" w:sz="0" w:color="auto"/>
        </w:pBdr>
        <w:contextualSpacing/>
        <w:jc w:val="both"/>
        <w:rPr>
          <w:lang w:val="lt-LT"/>
        </w:rPr>
      </w:pPr>
    </w:p>
    <w:p w:rsidR="002F39D0" w:rsidRPr="006A44FA" w:rsidRDefault="002F39D0" w:rsidP="004F4076">
      <w:pPr>
        <w:pBdr>
          <w:top w:val="single" w:sz="4" w:space="1" w:color="auto"/>
          <w:left w:val="single" w:sz="4" w:space="1" w:color="auto"/>
          <w:bottom w:val="single" w:sz="4" w:space="1" w:color="auto"/>
          <w:right w:val="single" w:sz="4" w:space="1" w:color="auto"/>
          <w:between w:val="none" w:sz="0" w:space="0" w:color="auto"/>
          <w:bar w:val="none" w:sz="0" w:color="auto"/>
        </w:pBdr>
        <w:contextualSpacing/>
        <w:jc w:val="both"/>
        <w:rPr>
          <w:lang w:val="lt-LT"/>
        </w:rPr>
      </w:pPr>
      <w:r w:rsidRPr="006A44FA">
        <w:rPr>
          <w:lang w:val="lt-LT"/>
        </w:rPr>
        <w:t xml:space="preserve">Iš esmės, COVID-19 daugiausiai pablogino jau egzistuojančius </w:t>
      </w:r>
      <w:proofErr w:type="spellStart"/>
      <w:r w:rsidRPr="006A44FA">
        <w:rPr>
          <w:lang w:val="lt-LT"/>
        </w:rPr>
        <w:t>disbalansus</w:t>
      </w:r>
      <w:proofErr w:type="spellEnd"/>
      <w:r w:rsidRPr="006A44FA">
        <w:rPr>
          <w:lang w:val="lt-LT"/>
        </w:rPr>
        <w:t>. Tiek viešo, tiek pr</w:t>
      </w:r>
      <w:r w:rsidRPr="006A44FA">
        <w:rPr>
          <w:lang w:val="lt-LT"/>
        </w:rPr>
        <w:t>i</w:t>
      </w:r>
      <w:r w:rsidRPr="006A44FA">
        <w:rPr>
          <w:lang w:val="lt-LT"/>
        </w:rPr>
        <w:t>vataus sektoriaus BVP ir skolos santykiai auga, daugiausiai ten, kur jie buvo ir taip dideli. Ein</w:t>
      </w:r>
      <w:r w:rsidRPr="006A44FA">
        <w:rPr>
          <w:lang w:val="lt-LT"/>
        </w:rPr>
        <w:t>a</w:t>
      </w:r>
      <w:r w:rsidRPr="006A44FA">
        <w:rPr>
          <w:lang w:val="lt-LT"/>
        </w:rPr>
        <w:t xml:space="preserve">mosios sąskaitos balansai nėra ženkliai paveikti pandemijos. Kai kuriose VN perviršiai išlieka dideli, o tai rodo, kad tos VN dar turi vietos paklausos skatinimui, o tai padėtų tiek atsigavimui, tiek ECB pasiekti infliacijos tikslą. Taip pat dėl pandemijos tikimasi atlyginimų ir produktyvumo mažėjimo. Būsto kainos, tikėtina, mažės, yra korekcijų žemyn rizika ateinančiais metais. Bankų sektorius stipresnis nei anksčiau, tačiau pandemija gali tapti išbandymu jo atsparumui. </w:t>
      </w:r>
    </w:p>
    <w:p w:rsidR="00A15DF7" w:rsidRPr="006A44FA" w:rsidRDefault="00A15DF7" w:rsidP="004F4076">
      <w:pPr>
        <w:pBdr>
          <w:top w:val="single" w:sz="4" w:space="1" w:color="auto"/>
          <w:left w:val="single" w:sz="4" w:space="1" w:color="auto"/>
          <w:bottom w:val="single" w:sz="4" w:space="1" w:color="auto"/>
          <w:right w:val="single" w:sz="4" w:space="1" w:color="auto"/>
          <w:between w:val="none" w:sz="0" w:space="0" w:color="auto"/>
          <w:bar w:val="none" w:sz="0" w:color="auto"/>
        </w:pBdr>
        <w:contextualSpacing/>
        <w:jc w:val="both"/>
        <w:rPr>
          <w:lang w:val="lt-LT"/>
        </w:rPr>
      </w:pPr>
    </w:p>
    <w:p w:rsidR="002F39D0" w:rsidRPr="006A44FA" w:rsidRDefault="002F39D0" w:rsidP="004F4076">
      <w:pPr>
        <w:pBdr>
          <w:top w:val="single" w:sz="4" w:space="1" w:color="auto"/>
          <w:left w:val="single" w:sz="4" w:space="1" w:color="auto"/>
          <w:bottom w:val="single" w:sz="4" w:space="1" w:color="auto"/>
          <w:right w:val="single" w:sz="4" w:space="1" w:color="auto"/>
          <w:between w:val="none" w:sz="0" w:space="0" w:color="auto"/>
          <w:bar w:val="none" w:sz="0" w:color="auto"/>
        </w:pBdr>
        <w:contextualSpacing/>
        <w:jc w:val="both"/>
        <w:rPr>
          <w:lang w:val="lt-LT"/>
        </w:rPr>
      </w:pPr>
      <w:r w:rsidRPr="006A44FA">
        <w:rPr>
          <w:lang w:val="lt-LT"/>
        </w:rPr>
        <w:t xml:space="preserve">Svarbu, kad naudojantis ES paramos priemonėmis būtų sprendžiami susidarę </w:t>
      </w:r>
      <w:proofErr w:type="spellStart"/>
      <w:r w:rsidRPr="006A44FA">
        <w:rPr>
          <w:lang w:val="lt-LT"/>
        </w:rPr>
        <w:t>disbalansai</w:t>
      </w:r>
      <w:proofErr w:type="spellEnd"/>
      <w:r w:rsidRPr="006A44FA">
        <w:rPr>
          <w:lang w:val="lt-LT"/>
        </w:rPr>
        <w:t>, siekiant išvengti reikšmingų atsigavimo ir ekonominio vystymosi skirtumų tarp VN. Fiskalinė politika t</w:t>
      </w:r>
      <w:r w:rsidRPr="006A44FA">
        <w:rPr>
          <w:lang w:val="lt-LT"/>
        </w:rPr>
        <w:t>u</w:t>
      </w:r>
      <w:r w:rsidRPr="006A44FA">
        <w:rPr>
          <w:lang w:val="lt-LT"/>
        </w:rPr>
        <w:t>rėtų ir toliau remti ekonomikas 2021 m. Kai bus galimybės, reikėtų grįžti į vidutiniame laikotarp</w:t>
      </w:r>
      <w:r w:rsidRPr="006A44FA">
        <w:rPr>
          <w:lang w:val="lt-LT"/>
        </w:rPr>
        <w:t>y</w:t>
      </w:r>
      <w:r w:rsidRPr="006A44FA">
        <w:rPr>
          <w:lang w:val="lt-LT"/>
        </w:rPr>
        <w:t>je tvarias pozicijas. Svarbu nenutraukti fiskalinės paramos per anksti.</w:t>
      </w:r>
    </w:p>
    <w:p w:rsidR="002F39D0" w:rsidRPr="006A44FA" w:rsidRDefault="002F39D0" w:rsidP="004F4076">
      <w:pPr>
        <w:pBdr>
          <w:top w:val="single" w:sz="4" w:space="1" w:color="auto"/>
          <w:left w:val="single" w:sz="4" w:space="1" w:color="auto"/>
          <w:bottom w:val="single" w:sz="4" w:space="1" w:color="auto"/>
          <w:right w:val="single" w:sz="4" w:space="1" w:color="auto"/>
          <w:between w:val="none" w:sz="0" w:space="0" w:color="auto"/>
          <w:bar w:val="none" w:sz="0" w:color="auto"/>
        </w:pBdr>
        <w:contextualSpacing/>
        <w:jc w:val="both"/>
        <w:rPr>
          <w:lang w:val="lt-LT"/>
        </w:rPr>
      </w:pPr>
    </w:p>
    <w:p w:rsidR="002F39D0" w:rsidRPr="006A44FA" w:rsidRDefault="002F39D0" w:rsidP="004F4076">
      <w:pPr>
        <w:pStyle w:val="BodyA"/>
        <w:pBdr>
          <w:top w:val="single" w:sz="4" w:space="1" w:color="auto"/>
          <w:left w:val="single" w:sz="4" w:space="1" w:color="auto"/>
          <w:bottom w:val="single" w:sz="4" w:space="1" w:color="auto"/>
          <w:right w:val="single" w:sz="4" w:space="1" w:color="auto"/>
        </w:pBdr>
        <w:jc w:val="both"/>
        <w:rPr>
          <w:rFonts w:hAnsi="Times New Roman" w:cs="Times New Roman"/>
          <w:lang w:val="lt-LT"/>
        </w:rPr>
      </w:pPr>
      <w:r w:rsidRPr="006A44FA">
        <w:rPr>
          <w:b/>
          <w:u w:val="single"/>
          <w:lang w:val="lt-LT"/>
        </w:rPr>
        <w:t>Lietuvos pozicija.</w:t>
      </w:r>
      <w:r w:rsidRPr="006A44FA">
        <w:rPr>
          <w:lang w:val="lt-LT"/>
        </w:rPr>
        <w:t xml:space="preserve"> </w:t>
      </w:r>
      <w:r w:rsidR="006A44FA" w:rsidRPr="006A44FA">
        <w:rPr>
          <w:rFonts w:hAnsi="Times New Roman" w:cs="Times New Roman"/>
          <w:lang w:val="lt-LT"/>
        </w:rPr>
        <w:t xml:space="preserve">Pritariame EK analizei dėl </w:t>
      </w:r>
      <w:proofErr w:type="spellStart"/>
      <w:r w:rsidR="006A44FA" w:rsidRPr="006A44FA">
        <w:rPr>
          <w:rFonts w:hAnsi="Times New Roman" w:cs="Times New Roman"/>
          <w:lang w:val="lt-LT"/>
        </w:rPr>
        <w:t>disbalansų</w:t>
      </w:r>
      <w:proofErr w:type="spellEnd"/>
      <w:r w:rsidR="006A44FA" w:rsidRPr="006A44FA">
        <w:rPr>
          <w:rFonts w:hAnsi="Times New Roman" w:cs="Times New Roman"/>
          <w:lang w:val="lt-LT"/>
        </w:rPr>
        <w:t xml:space="preserve"> Euro zonoje.</w:t>
      </w:r>
    </w:p>
    <w:p w:rsidR="002F39D0" w:rsidRPr="006A44FA" w:rsidRDefault="002F39D0" w:rsidP="004F4076">
      <w:pPr>
        <w:pBdr>
          <w:top w:val="single" w:sz="4" w:space="1" w:color="auto"/>
          <w:left w:val="single" w:sz="4" w:space="1" w:color="auto"/>
          <w:bottom w:val="single" w:sz="4" w:space="1" w:color="auto"/>
          <w:right w:val="single" w:sz="4" w:space="1" w:color="auto"/>
          <w:between w:val="none" w:sz="0" w:space="0" w:color="auto"/>
          <w:bar w:val="none" w:sz="0" w:color="auto"/>
        </w:pBdr>
        <w:rPr>
          <w:rFonts w:eastAsia="Calibri"/>
          <w:b/>
          <w:lang w:val="lt-LT"/>
        </w:rPr>
      </w:pPr>
    </w:p>
    <w:p w:rsidR="002F39D0" w:rsidRPr="006A44FA" w:rsidRDefault="002F39D0" w:rsidP="004F4076">
      <w:pPr>
        <w:pBdr>
          <w:top w:val="single" w:sz="4" w:space="1" w:color="auto"/>
          <w:left w:val="single" w:sz="4" w:space="1" w:color="auto"/>
          <w:bottom w:val="single" w:sz="4" w:space="1" w:color="auto"/>
          <w:right w:val="single" w:sz="4" w:space="1" w:color="auto"/>
          <w:between w:val="none" w:sz="0" w:space="0" w:color="auto"/>
          <w:bar w:val="none" w:sz="0" w:color="auto"/>
        </w:pBdr>
        <w:jc w:val="both"/>
        <w:rPr>
          <w:b/>
          <w:color w:val="202124"/>
          <w:lang w:val="lt-LT"/>
        </w:rPr>
      </w:pPr>
      <w:r w:rsidRPr="006A44FA">
        <w:rPr>
          <w:b/>
          <w:color w:val="202124"/>
          <w:lang w:val="lt-LT"/>
        </w:rPr>
        <w:t xml:space="preserve">2. Apsikeitimas nuomonėmis apie numatomus </w:t>
      </w:r>
      <w:r w:rsidR="006A44FA" w:rsidRPr="006A44FA">
        <w:rPr>
          <w:b/>
          <w:color w:val="202124"/>
          <w:lang w:val="lt-LT"/>
        </w:rPr>
        <w:t xml:space="preserve">ekonomikos </w:t>
      </w:r>
      <w:r w:rsidRPr="006A44FA">
        <w:rPr>
          <w:b/>
          <w:color w:val="202124"/>
          <w:lang w:val="lt-LT"/>
        </w:rPr>
        <w:t>gaivinimo ir atsparumo didinimo planų pri</w:t>
      </w:r>
      <w:r w:rsidR="006A44FA" w:rsidRPr="006A44FA">
        <w:rPr>
          <w:b/>
          <w:color w:val="202124"/>
          <w:lang w:val="lt-LT"/>
        </w:rPr>
        <w:t>o</w:t>
      </w:r>
      <w:r w:rsidRPr="006A44FA">
        <w:rPr>
          <w:b/>
          <w:color w:val="202124"/>
          <w:lang w:val="lt-LT"/>
        </w:rPr>
        <w:t>ritetus</w:t>
      </w:r>
      <w:r w:rsidR="00F225D5">
        <w:rPr>
          <w:b/>
          <w:color w:val="202124"/>
          <w:lang w:val="lt-LT"/>
        </w:rPr>
        <w:t>: Euro zonos perspektyva</w:t>
      </w:r>
    </w:p>
    <w:p w:rsidR="002F39D0" w:rsidRPr="006A44FA" w:rsidRDefault="002F39D0" w:rsidP="004F4076">
      <w:pPr>
        <w:pBdr>
          <w:top w:val="single" w:sz="4" w:space="1" w:color="auto"/>
          <w:left w:val="single" w:sz="4" w:space="1" w:color="auto"/>
          <w:bottom w:val="single" w:sz="4" w:space="1" w:color="auto"/>
          <w:right w:val="single" w:sz="4" w:space="1" w:color="auto"/>
          <w:between w:val="none" w:sz="0" w:space="0" w:color="auto"/>
          <w:bar w:val="none" w:sz="0" w:color="auto"/>
        </w:pBdr>
        <w:jc w:val="both"/>
        <w:rPr>
          <w:b/>
          <w:color w:val="202124"/>
          <w:lang w:val="lt-LT"/>
        </w:rPr>
      </w:pPr>
    </w:p>
    <w:p w:rsidR="002F39D0" w:rsidRPr="006A44FA" w:rsidRDefault="002F39D0" w:rsidP="004F4076">
      <w:pPr>
        <w:pStyle w:val="Sraopastraipa"/>
        <w:widowControl w:val="0"/>
        <w:pBdr>
          <w:top w:val="single" w:sz="4" w:space="1" w:color="auto"/>
          <w:left w:val="single" w:sz="4" w:space="1" w:color="auto"/>
          <w:bottom w:val="single" w:sz="4" w:space="1" w:color="auto"/>
          <w:right w:val="single" w:sz="4" w:space="1" w:color="auto"/>
          <w:between w:val="none" w:sz="0" w:space="0" w:color="auto"/>
          <w:bar w:val="none" w:sz="0" w:color="auto"/>
        </w:pBdr>
        <w:tabs>
          <w:tab w:val="left" w:pos="567"/>
        </w:tabs>
        <w:suppressAutoHyphens/>
        <w:autoSpaceDN w:val="0"/>
        <w:spacing w:after="0" w:line="240" w:lineRule="auto"/>
        <w:ind w:left="0"/>
        <w:jc w:val="both"/>
        <w:textAlignment w:val="baseline"/>
        <w:rPr>
          <w:rFonts w:eastAsia="Times New Roman" w:hAnsi="Times New Roman" w:cs="Times New Roman"/>
          <w:lang w:val="lt-LT" w:eastAsia="fr-BE"/>
        </w:rPr>
      </w:pPr>
      <w:r w:rsidRPr="006A44FA">
        <w:rPr>
          <w:rFonts w:hAnsi="Times New Roman" w:cs="Times New Roman"/>
          <w:b/>
          <w:u w:val="single"/>
          <w:lang w:val="lt-LT"/>
        </w:rPr>
        <w:t>Klausimo esmė.</w:t>
      </w:r>
      <w:r w:rsidRPr="006A44FA">
        <w:rPr>
          <w:rFonts w:hAnsi="Times New Roman" w:cs="Times New Roman"/>
          <w:lang w:val="lt-LT"/>
        </w:rPr>
        <w:t xml:space="preserve"> </w:t>
      </w:r>
      <w:r w:rsidRPr="006A44FA">
        <w:rPr>
          <w:rFonts w:eastAsia="Times New Roman" w:hAnsi="Times New Roman" w:cs="Times New Roman"/>
          <w:lang w:val="lt-LT" w:eastAsia="fr-BE"/>
        </w:rPr>
        <w:t>Siekiant pasinaudoti finansine parama iš Ekonomikos gaivinimo ir atsparumo didinimo priemonės (RRF), šalys narės šiuo metu intensyviai dirba rengdamos nacionalinius gaivinimo ir atsparumo didinimo planus (RRP), numatančius valstybės reformų ir investicijų darbotvarkę 2021–2023 m.</w:t>
      </w:r>
    </w:p>
    <w:p w:rsidR="002F39D0" w:rsidRPr="006A44FA" w:rsidRDefault="002F39D0" w:rsidP="004F4076">
      <w:pPr>
        <w:pStyle w:val="Sraopastraipa"/>
        <w:widowControl w:val="0"/>
        <w:pBdr>
          <w:top w:val="single" w:sz="4" w:space="1" w:color="auto"/>
          <w:left w:val="single" w:sz="4" w:space="1" w:color="auto"/>
          <w:bottom w:val="single" w:sz="4" w:space="1" w:color="auto"/>
          <w:right w:val="single" w:sz="4" w:space="1" w:color="auto"/>
          <w:between w:val="none" w:sz="0" w:space="0" w:color="auto"/>
          <w:bar w:val="none" w:sz="0" w:color="auto"/>
        </w:pBdr>
        <w:tabs>
          <w:tab w:val="left" w:pos="567"/>
        </w:tabs>
        <w:suppressAutoHyphens/>
        <w:autoSpaceDN w:val="0"/>
        <w:spacing w:after="0" w:line="240" w:lineRule="auto"/>
        <w:ind w:left="0"/>
        <w:jc w:val="both"/>
        <w:textAlignment w:val="baseline"/>
        <w:rPr>
          <w:rFonts w:eastAsia="Times New Roman" w:hAnsi="Times New Roman" w:cs="Times New Roman"/>
          <w:lang w:val="lt-LT" w:eastAsia="fr-BE"/>
        </w:rPr>
      </w:pPr>
    </w:p>
    <w:p w:rsidR="002F39D0" w:rsidRPr="006A44FA" w:rsidRDefault="002F39D0" w:rsidP="004F4076">
      <w:pPr>
        <w:pStyle w:val="Sraopastraipa"/>
        <w:widowControl w:val="0"/>
        <w:pBdr>
          <w:top w:val="single" w:sz="4" w:space="1" w:color="auto"/>
          <w:left w:val="single" w:sz="4" w:space="1" w:color="auto"/>
          <w:bottom w:val="single" w:sz="4" w:space="1" w:color="auto"/>
          <w:right w:val="single" w:sz="4" w:space="1" w:color="auto"/>
          <w:between w:val="none" w:sz="0" w:space="0" w:color="auto"/>
          <w:bar w:val="none" w:sz="0" w:color="auto"/>
        </w:pBdr>
        <w:tabs>
          <w:tab w:val="left" w:pos="567"/>
        </w:tabs>
        <w:suppressAutoHyphens/>
        <w:autoSpaceDN w:val="0"/>
        <w:spacing w:after="0" w:line="240" w:lineRule="auto"/>
        <w:ind w:left="0"/>
        <w:jc w:val="both"/>
        <w:textAlignment w:val="baseline"/>
        <w:rPr>
          <w:rFonts w:eastAsia="Times New Roman" w:hAnsi="Times New Roman" w:cs="Times New Roman"/>
          <w:lang w:val="lt-LT" w:eastAsia="fr-BE"/>
        </w:rPr>
      </w:pPr>
      <w:r w:rsidRPr="006A44FA">
        <w:rPr>
          <w:rFonts w:eastAsia="Times New Roman" w:hAnsi="Times New Roman" w:cs="Times New Roman"/>
          <w:lang w:val="lt-LT" w:eastAsia="fr-BE"/>
        </w:rPr>
        <w:t>Atsižvelgiant į euro zonos (EZ) narių ekonominę tarpusavio priklausomybę, RRP suplanuotos reformos ir investicijos turėtų ne tik skatinti ekonomikos atsigavimą, bet ir spręsti visai EZ bendrus iššūkius bei skatinti bendrą jos atsparumą išoriniams šokams. Šiuo aspektu svarbu, kad rengiant RRP būtų atsižvelgiama ne tik į rekomendacijas atskiroms šalims (</w:t>
      </w:r>
      <w:proofErr w:type="spellStart"/>
      <w:r w:rsidRPr="006A44FA">
        <w:rPr>
          <w:rFonts w:eastAsia="Times New Roman" w:hAnsi="Times New Roman" w:cs="Times New Roman"/>
          <w:lang w:val="lt-LT" w:eastAsia="fr-BE"/>
        </w:rPr>
        <w:t>CSR‘s</w:t>
      </w:r>
      <w:proofErr w:type="spellEnd"/>
      <w:r w:rsidRPr="006A44FA">
        <w:rPr>
          <w:rFonts w:eastAsia="Times New Roman" w:hAnsi="Times New Roman" w:cs="Times New Roman"/>
          <w:lang w:val="lt-LT" w:eastAsia="fr-BE"/>
        </w:rPr>
        <w:t>), bet ir į naujausias Tarybos rekomendacijas dėl EZ ekonominės politikos.</w:t>
      </w:r>
    </w:p>
    <w:p w:rsidR="002F39D0" w:rsidRPr="006A44FA" w:rsidRDefault="002F39D0" w:rsidP="004F4076">
      <w:pPr>
        <w:pStyle w:val="Sraopastraipa"/>
        <w:widowControl w:val="0"/>
        <w:pBdr>
          <w:top w:val="single" w:sz="4" w:space="1" w:color="auto"/>
          <w:left w:val="single" w:sz="4" w:space="1" w:color="auto"/>
          <w:bottom w:val="single" w:sz="4" w:space="1" w:color="auto"/>
          <w:right w:val="single" w:sz="4" w:space="1" w:color="auto"/>
          <w:between w:val="none" w:sz="0" w:space="0" w:color="auto"/>
          <w:bar w:val="none" w:sz="0" w:color="auto"/>
        </w:pBdr>
        <w:tabs>
          <w:tab w:val="left" w:pos="567"/>
        </w:tabs>
        <w:suppressAutoHyphens/>
        <w:autoSpaceDN w:val="0"/>
        <w:spacing w:after="0" w:line="240" w:lineRule="auto"/>
        <w:ind w:left="0"/>
        <w:jc w:val="both"/>
        <w:textAlignment w:val="baseline"/>
        <w:rPr>
          <w:rFonts w:eastAsia="Times New Roman" w:hAnsi="Times New Roman" w:cs="Times New Roman"/>
          <w:lang w:val="lt-LT" w:eastAsia="fr-BE"/>
        </w:rPr>
      </w:pPr>
    </w:p>
    <w:p w:rsidR="002F39D0" w:rsidRPr="006A44FA" w:rsidRDefault="002F39D0" w:rsidP="004F4076">
      <w:pPr>
        <w:pStyle w:val="Sraopastraipa"/>
        <w:widowControl w:val="0"/>
        <w:pBdr>
          <w:top w:val="single" w:sz="4" w:space="1" w:color="auto"/>
          <w:left w:val="single" w:sz="4" w:space="1" w:color="auto"/>
          <w:bottom w:val="single" w:sz="4" w:space="1" w:color="auto"/>
          <w:right w:val="single" w:sz="4" w:space="1" w:color="auto"/>
          <w:between w:val="none" w:sz="0" w:space="0" w:color="auto"/>
          <w:bar w:val="none" w:sz="0" w:color="auto"/>
        </w:pBdr>
        <w:tabs>
          <w:tab w:val="left" w:pos="567"/>
        </w:tabs>
        <w:suppressAutoHyphens/>
        <w:autoSpaceDN w:val="0"/>
        <w:spacing w:after="0" w:line="240" w:lineRule="auto"/>
        <w:ind w:left="0"/>
        <w:jc w:val="both"/>
        <w:textAlignment w:val="baseline"/>
        <w:rPr>
          <w:rFonts w:eastAsia="Times New Roman" w:hAnsi="Times New Roman" w:cs="Times New Roman"/>
          <w:lang w:val="lt-LT" w:eastAsia="fr-BE"/>
        </w:rPr>
      </w:pPr>
      <w:r w:rsidRPr="006A44FA">
        <w:rPr>
          <w:rFonts w:eastAsia="Times New Roman" w:hAnsi="Times New Roman" w:cs="Times New Roman"/>
          <w:lang w:val="lt-LT" w:eastAsia="fr-BE"/>
        </w:rPr>
        <w:t>2021 m. EZ rekomendacijose išskirtos penkios prioritetinės sritys: ekonomikos atsigavimas, ekonomikos atsparumo didinimas, įtraukus augimas, nacionalinių institucijų įsitraukimas, makro-finansinis stabilumas, Ekonominės ir pinigų sąjungos gilinimas bei parama tarptautiniam euro vaidmeniui. Kadangi efektyvaus proceso organizavimo aspektas bus esminis rengiant ir įgyvendinant RRP, prie to prisidėtų ir EZ rekomendacija dėl nacionalinių institucijų stiprinimo.</w:t>
      </w:r>
    </w:p>
    <w:p w:rsidR="002F39D0" w:rsidRPr="006A44FA" w:rsidRDefault="002F39D0" w:rsidP="004F4076">
      <w:pPr>
        <w:pStyle w:val="Sraopastraipa"/>
        <w:widowControl w:val="0"/>
        <w:pBdr>
          <w:top w:val="single" w:sz="4" w:space="1" w:color="auto"/>
          <w:left w:val="single" w:sz="4" w:space="1" w:color="auto"/>
          <w:bottom w:val="single" w:sz="4" w:space="1" w:color="auto"/>
          <w:right w:val="single" w:sz="4" w:space="1" w:color="auto"/>
          <w:between w:val="none" w:sz="0" w:space="0" w:color="auto"/>
          <w:bar w:val="none" w:sz="0" w:color="auto"/>
        </w:pBdr>
        <w:tabs>
          <w:tab w:val="left" w:pos="567"/>
        </w:tabs>
        <w:suppressAutoHyphens/>
        <w:autoSpaceDN w:val="0"/>
        <w:spacing w:after="0" w:line="240" w:lineRule="auto"/>
        <w:ind w:left="0"/>
        <w:jc w:val="both"/>
        <w:textAlignment w:val="baseline"/>
        <w:rPr>
          <w:rFonts w:eastAsia="Times New Roman" w:hAnsi="Times New Roman" w:cs="Times New Roman"/>
          <w:lang w:val="lt-LT" w:eastAsia="fr-BE"/>
        </w:rPr>
      </w:pPr>
    </w:p>
    <w:p w:rsidR="002F39D0" w:rsidRPr="006A44FA" w:rsidRDefault="002F39D0" w:rsidP="004F4076">
      <w:pPr>
        <w:pStyle w:val="Sraopastraipa"/>
        <w:widowControl w:val="0"/>
        <w:pBdr>
          <w:top w:val="single" w:sz="4" w:space="1" w:color="auto"/>
          <w:left w:val="single" w:sz="4" w:space="1" w:color="auto"/>
          <w:bottom w:val="single" w:sz="4" w:space="1" w:color="auto"/>
          <w:right w:val="single" w:sz="4" w:space="1" w:color="auto"/>
          <w:between w:val="none" w:sz="0" w:space="0" w:color="auto"/>
          <w:bar w:val="none" w:sz="0" w:color="auto"/>
        </w:pBdr>
        <w:tabs>
          <w:tab w:val="left" w:pos="567"/>
        </w:tabs>
        <w:suppressAutoHyphens/>
        <w:autoSpaceDN w:val="0"/>
        <w:spacing w:after="0" w:line="240" w:lineRule="auto"/>
        <w:ind w:left="0"/>
        <w:jc w:val="both"/>
        <w:textAlignment w:val="baseline"/>
        <w:rPr>
          <w:rFonts w:eastAsia="Times New Roman" w:hAnsi="Times New Roman" w:cs="Times New Roman"/>
          <w:lang w:val="lt-LT" w:eastAsia="fr-BE"/>
        </w:rPr>
      </w:pPr>
      <w:r w:rsidRPr="006A44FA">
        <w:rPr>
          <w:rFonts w:eastAsia="Times New Roman" w:hAnsi="Times New Roman" w:cs="Times New Roman"/>
          <w:lang w:val="lt-LT" w:eastAsia="fr-BE"/>
        </w:rPr>
        <w:t>Baigiamajame nacionalinių RRP rengimo etape būtų naudingas ir EZ ministrų apsikeitimas nuomonėmis išskiriant bendras reformų ir investicijų kryptis bei siekiant didesnio nuoseklumo tarp nacionalinių planų. Pabrėžiama, kad galutinis tikslas turėtų būtų bendras RRF poveikis EZ, viršijantis atskirų RRP poveikių sumą.</w:t>
      </w:r>
    </w:p>
    <w:p w:rsidR="002F39D0" w:rsidRPr="006A44FA" w:rsidRDefault="002F39D0" w:rsidP="004F4076">
      <w:pPr>
        <w:pStyle w:val="Sraopastraipa"/>
        <w:widowControl w:val="0"/>
        <w:pBdr>
          <w:top w:val="single" w:sz="4" w:space="1" w:color="auto"/>
          <w:left w:val="single" w:sz="4" w:space="1" w:color="auto"/>
          <w:bottom w:val="single" w:sz="4" w:space="1" w:color="auto"/>
          <w:right w:val="single" w:sz="4" w:space="1" w:color="auto"/>
          <w:between w:val="none" w:sz="0" w:space="0" w:color="auto"/>
          <w:bar w:val="none" w:sz="0" w:color="auto"/>
        </w:pBdr>
        <w:tabs>
          <w:tab w:val="left" w:pos="567"/>
        </w:tabs>
        <w:suppressAutoHyphens/>
        <w:autoSpaceDN w:val="0"/>
        <w:spacing w:after="0" w:line="240" w:lineRule="auto"/>
        <w:ind w:left="0"/>
        <w:jc w:val="both"/>
        <w:textAlignment w:val="baseline"/>
        <w:rPr>
          <w:rFonts w:eastAsia="Times New Roman" w:hAnsi="Times New Roman" w:cs="Times New Roman"/>
          <w:lang w:val="lt-LT" w:eastAsia="fr-BE"/>
        </w:rPr>
      </w:pPr>
    </w:p>
    <w:p w:rsidR="00A0588B" w:rsidRPr="006A44FA" w:rsidRDefault="002F39D0" w:rsidP="004F4076">
      <w:pPr>
        <w:pBdr>
          <w:top w:val="single" w:sz="4" w:space="1" w:color="auto"/>
          <w:left w:val="single" w:sz="4" w:space="1" w:color="auto"/>
          <w:bottom w:val="single" w:sz="4" w:space="1" w:color="auto"/>
          <w:right w:val="single" w:sz="4" w:space="1" w:color="auto"/>
          <w:between w:val="none" w:sz="0" w:space="0" w:color="auto"/>
          <w:bar w:val="none" w:sz="0" w:color="auto"/>
        </w:pBdr>
        <w:contextualSpacing/>
        <w:jc w:val="both"/>
        <w:rPr>
          <w:lang w:val="lt-LT"/>
        </w:rPr>
      </w:pPr>
      <w:r w:rsidRPr="006A44FA">
        <w:rPr>
          <w:b/>
          <w:u w:val="single"/>
          <w:lang w:val="lt-LT"/>
        </w:rPr>
        <w:t>Lietuvos pozicija.</w:t>
      </w:r>
      <w:r w:rsidRPr="006A44FA">
        <w:rPr>
          <w:lang w:val="lt-LT"/>
        </w:rPr>
        <w:t xml:space="preserve"> Sutinkame, kad rengdamos nacionalinius RRP EZ šalys turėtų atsižvelgti ir EZ rekomendacijose išskirtus prioritetus. RRF nukreipimas į </w:t>
      </w:r>
      <w:proofErr w:type="spellStart"/>
      <w:r w:rsidRPr="006A44FA">
        <w:rPr>
          <w:lang w:val="lt-LT"/>
        </w:rPr>
        <w:t>inovatyvias</w:t>
      </w:r>
      <w:proofErr w:type="spellEnd"/>
      <w:r w:rsidRPr="006A44FA">
        <w:rPr>
          <w:lang w:val="lt-LT"/>
        </w:rPr>
        <w:t>, tvarias ir aukštos pridėtinės vertės investicijas prisidėtų ne tik prie atskirų šalių, bet ir visos EZ pažangos ir atsparumo kr</w:t>
      </w:r>
      <w:r w:rsidRPr="006A44FA">
        <w:rPr>
          <w:lang w:val="lt-LT"/>
        </w:rPr>
        <w:t>i</w:t>
      </w:r>
      <w:r w:rsidRPr="006A44FA">
        <w:rPr>
          <w:lang w:val="lt-LT"/>
        </w:rPr>
        <w:t>zėms.</w:t>
      </w:r>
    </w:p>
    <w:p w:rsidR="001B387D" w:rsidRPr="006A44FA" w:rsidRDefault="001B387D" w:rsidP="004F4076">
      <w:pPr>
        <w:pBdr>
          <w:top w:val="single" w:sz="4" w:space="1" w:color="auto"/>
          <w:left w:val="single" w:sz="4" w:space="1" w:color="auto"/>
          <w:bottom w:val="single" w:sz="4" w:space="1" w:color="auto"/>
          <w:right w:val="single" w:sz="4" w:space="1" w:color="auto"/>
          <w:between w:val="none" w:sz="0" w:space="0" w:color="auto"/>
          <w:bar w:val="none" w:sz="0" w:color="auto"/>
        </w:pBdr>
        <w:contextualSpacing/>
        <w:jc w:val="both"/>
        <w:rPr>
          <w:lang w:val="lt-LT"/>
        </w:rPr>
      </w:pPr>
    </w:p>
    <w:p w:rsidR="002F39D0" w:rsidRPr="006A44FA" w:rsidRDefault="002F39D0" w:rsidP="006A44FA">
      <w:pPr>
        <w:pStyle w:val="BodyA"/>
        <w:pBdr>
          <w:top w:val="single" w:sz="4" w:space="1" w:color="auto"/>
          <w:left w:val="single" w:sz="4" w:space="1" w:color="auto"/>
          <w:bottom w:val="single" w:sz="4" w:space="1" w:color="auto"/>
          <w:right w:val="single" w:sz="4" w:space="1" w:color="auto"/>
        </w:pBdr>
        <w:jc w:val="both"/>
        <w:rPr>
          <w:rFonts w:hAnsi="Times New Roman" w:cs="Times New Roman"/>
          <w:b/>
          <w:lang w:val="lt-LT"/>
        </w:rPr>
      </w:pPr>
      <w:r w:rsidRPr="006A44FA">
        <w:rPr>
          <w:rFonts w:hAnsi="Times New Roman" w:cs="Times New Roman"/>
          <w:b/>
          <w:lang w:val="lt-LT"/>
        </w:rPr>
        <w:t>Įtraukios sudėties Euro grupės posėdyje bus svarstomas klausimas dėl ateities santykių su JAV monetarinės ir finansų politikos srityse.</w:t>
      </w:r>
      <w:r w:rsidR="006A44FA" w:rsidRPr="006A44FA">
        <w:rPr>
          <w:rFonts w:hAnsi="Times New Roman" w:cs="Times New Roman"/>
          <w:b/>
          <w:lang w:val="lt-LT"/>
        </w:rPr>
        <w:t xml:space="preserve"> </w:t>
      </w:r>
      <w:r w:rsidR="00F225D5">
        <w:rPr>
          <w:rFonts w:hAnsi="Times New Roman" w:cs="Times New Roman"/>
          <w:b/>
          <w:lang w:val="lt-LT"/>
        </w:rPr>
        <w:t>Posėdyje pakviestas dalyvauti buvęs</w:t>
      </w:r>
      <w:r w:rsidRPr="006A44FA">
        <w:rPr>
          <w:rFonts w:hAnsi="Times New Roman" w:cs="Times New Roman"/>
          <w:lang w:val="lt-LT"/>
        </w:rPr>
        <w:t xml:space="preserve"> JAV iždo sekretoriu</w:t>
      </w:r>
      <w:r w:rsidR="00F225D5">
        <w:rPr>
          <w:rFonts w:hAnsi="Times New Roman" w:cs="Times New Roman"/>
          <w:lang w:val="lt-LT"/>
        </w:rPr>
        <w:t>s</w:t>
      </w:r>
      <w:r w:rsidRPr="006A44FA">
        <w:rPr>
          <w:rFonts w:hAnsi="Times New Roman" w:cs="Times New Roman"/>
          <w:lang w:val="lt-LT"/>
        </w:rPr>
        <w:t xml:space="preserve"> </w:t>
      </w:r>
      <w:proofErr w:type="spellStart"/>
      <w:r w:rsidRPr="006A44FA">
        <w:rPr>
          <w:rFonts w:hAnsi="Times New Roman" w:cs="Times New Roman"/>
          <w:lang w:val="lt-LT"/>
        </w:rPr>
        <w:t>Lawrence</w:t>
      </w:r>
      <w:proofErr w:type="spellEnd"/>
      <w:r w:rsidRPr="006A44FA">
        <w:rPr>
          <w:rFonts w:hAnsi="Times New Roman" w:cs="Times New Roman"/>
          <w:lang w:val="lt-LT"/>
        </w:rPr>
        <w:t xml:space="preserve"> </w:t>
      </w:r>
      <w:proofErr w:type="spellStart"/>
      <w:r w:rsidRPr="006A44FA">
        <w:rPr>
          <w:rFonts w:hAnsi="Times New Roman" w:cs="Times New Roman"/>
          <w:lang w:val="lt-LT"/>
        </w:rPr>
        <w:t>Summers</w:t>
      </w:r>
      <w:proofErr w:type="spellEnd"/>
      <w:r w:rsidR="00F225D5">
        <w:rPr>
          <w:rFonts w:hAnsi="Times New Roman" w:cs="Times New Roman"/>
          <w:lang w:val="lt-LT"/>
        </w:rPr>
        <w:t>, kuris pristatys</w:t>
      </w:r>
      <w:r w:rsidRPr="006A44FA">
        <w:rPr>
          <w:rFonts w:hAnsi="Times New Roman" w:cs="Times New Roman"/>
          <w:lang w:val="lt-LT"/>
        </w:rPr>
        <w:t xml:space="preserve"> naujos JAV administracijos prioritetus finansų sr</w:t>
      </w:r>
      <w:r w:rsidRPr="006A44FA">
        <w:rPr>
          <w:rFonts w:hAnsi="Times New Roman" w:cs="Times New Roman"/>
          <w:lang w:val="lt-LT"/>
        </w:rPr>
        <w:t>i</w:t>
      </w:r>
      <w:r w:rsidRPr="006A44FA">
        <w:rPr>
          <w:rFonts w:hAnsi="Times New Roman" w:cs="Times New Roman"/>
          <w:lang w:val="lt-LT"/>
        </w:rPr>
        <w:t>tyje.</w:t>
      </w:r>
    </w:p>
    <w:p w:rsidR="002F39D0" w:rsidRPr="002F39D0" w:rsidRDefault="002F39D0" w:rsidP="004F4076">
      <w:pPr>
        <w:pBdr>
          <w:top w:val="single" w:sz="4" w:space="1" w:color="auto"/>
          <w:left w:val="single" w:sz="4" w:space="1" w:color="auto"/>
          <w:bottom w:val="single" w:sz="4" w:space="1" w:color="auto"/>
          <w:right w:val="single" w:sz="4" w:space="1" w:color="auto"/>
        </w:pBdr>
        <w:rPr>
          <w:rFonts w:eastAsia="Calibri"/>
          <w:b/>
        </w:rPr>
      </w:pPr>
    </w:p>
    <w:sectPr w:rsidR="002F39D0" w:rsidRPr="002F39D0" w:rsidSect="003A3602">
      <w:headerReference w:type="default" r:id="rId9"/>
      <w:footerReference w:type="default" r:id="rId10"/>
      <w:headerReference w:type="first" r:id="rId11"/>
      <w:pgSz w:w="11900" w:h="16840"/>
      <w:pgMar w:top="992" w:right="1134" w:bottom="567" w:left="1276"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E6F" w:rsidRDefault="00DB4E6F">
      <w:r>
        <w:separator/>
      </w:r>
    </w:p>
  </w:endnote>
  <w:endnote w:type="continuationSeparator" w:id="0">
    <w:p w:rsidR="00DB4E6F" w:rsidRDefault="00DB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303930"/>
      <w:docPartObj>
        <w:docPartGallery w:val="Page Numbers (Bottom of Page)"/>
        <w:docPartUnique/>
      </w:docPartObj>
    </w:sdtPr>
    <w:sdtEndPr/>
    <w:sdtContent>
      <w:p w:rsidR="00F1429B" w:rsidRDefault="00F1429B">
        <w:pPr>
          <w:pStyle w:val="Porat"/>
          <w:jc w:val="right"/>
        </w:pPr>
        <w:r>
          <w:fldChar w:fldCharType="begin"/>
        </w:r>
        <w:r>
          <w:instrText>PAGE   \* MERGEFORMAT</w:instrText>
        </w:r>
        <w:r>
          <w:fldChar w:fldCharType="separate"/>
        </w:r>
        <w:r w:rsidR="009E6C26" w:rsidRPr="009E6C26">
          <w:rPr>
            <w:noProof/>
            <w:lang w:val="lt-LT"/>
          </w:rPr>
          <w:t>3</w:t>
        </w:r>
        <w:r>
          <w:fldChar w:fldCharType="end"/>
        </w:r>
      </w:p>
    </w:sdtContent>
  </w:sdt>
  <w:p w:rsidR="004B217F" w:rsidRDefault="004B217F">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E6F" w:rsidRDefault="00DB4E6F">
      <w:r>
        <w:separator/>
      </w:r>
    </w:p>
  </w:footnote>
  <w:footnote w:type="continuationSeparator" w:id="0">
    <w:p w:rsidR="00DB4E6F" w:rsidRDefault="00DB4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7F" w:rsidRDefault="004B217F" w:rsidP="00EF0DF3">
    <w:pPr>
      <w:pStyle w:val="BodyA"/>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F3" w:rsidRPr="0032625D" w:rsidRDefault="0032625D" w:rsidP="00B03FB8">
    <w:pPr>
      <w:pStyle w:val="BodyA"/>
      <w:tabs>
        <w:tab w:val="center" w:pos="4153"/>
        <w:tab w:val="right" w:pos="8306"/>
      </w:tabs>
      <w:jc w:val="right"/>
      <w:rPr>
        <w:rFonts w:hAnsi="Times New Roman" w:cs="Times New Roman"/>
        <w:i/>
        <w:iCs/>
        <w:lang w:val="lt-LT"/>
      </w:rPr>
    </w:pPr>
    <w:proofErr w:type="spellStart"/>
    <w:r w:rsidRPr="0032625D">
      <w:rPr>
        <w:rFonts w:hAnsi="Times New Roman" w:cs="Times New Roman"/>
        <w:i/>
        <w:iCs/>
      </w:rPr>
      <w:t>Finans</w:t>
    </w:r>
    <w:proofErr w:type="spellEnd"/>
    <w:r w:rsidRPr="0032625D">
      <w:rPr>
        <w:rFonts w:hAnsi="Times New Roman" w:cs="Times New Roman"/>
        <w:i/>
        <w:iCs/>
        <w:lang w:val="lt-LT"/>
      </w:rPr>
      <w:t>ų ministerijos</w:t>
    </w:r>
    <w:r>
      <w:rPr>
        <w:rFonts w:hAnsi="Times New Roman" w:cs="Times New Roman"/>
        <w:i/>
        <w:iCs/>
        <w:lang w:val="lt-LT"/>
      </w:rPr>
      <w:t xml:space="preserve"> ES ir tarptautinių reikalų departamentas</w:t>
    </w:r>
  </w:p>
  <w:p w:rsidR="002677AA" w:rsidRPr="002677AA" w:rsidRDefault="002677AA" w:rsidP="00B03FB8">
    <w:pPr>
      <w:pStyle w:val="BodyA"/>
      <w:tabs>
        <w:tab w:val="center" w:pos="4153"/>
        <w:tab w:val="right" w:pos="8306"/>
      </w:tabs>
      <w:jc w:val="right"/>
      <w:rPr>
        <w:rFonts w:hAnsi="Times New Roman" w:cs="Times New Roman"/>
        <w:i/>
        <w:iCs/>
      </w:rPr>
    </w:pPr>
    <w:r>
      <w:rPr>
        <w:rFonts w:hAnsi="Times New Roman" w:cs="Times New Roman"/>
        <w:i/>
        <w:iCs/>
      </w:rPr>
      <w:t>2021-01-12</w:t>
    </w:r>
  </w:p>
  <w:p w:rsidR="00EF0DF3" w:rsidRDefault="00EF0DF3" w:rsidP="00EF0DF3">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9">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1">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4">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nsid w:val="2EC16D5E"/>
    <w:multiLevelType w:val="hybridMultilevel"/>
    <w:tmpl w:val="C038DEC2"/>
    <w:lvl w:ilvl="0" w:tplc="0427000F">
      <w:start w:val="1"/>
      <w:numFmt w:val="decimal"/>
      <w:lvlText w:val="%1."/>
      <w:lvlJc w:val="left"/>
      <w:pPr>
        <w:ind w:left="720" w:hanging="360"/>
      </w:pPr>
      <w:rPr>
        <w:rFonts w:ascii="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8">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9">
    <w:nsid w:val="38FA01D1"/>
    <w:multiLevelType w:val="hybridMultilevel"/>
    <w:tmpl w:val="CEC019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1">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2">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3">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4">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7">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nsid w:val="44496BC0"/>
    <w:multiLevelType w:val="hybridMultilevel"/>
    <w:tmpl w:val="1CC28A88"/>
    <w:lvl w:ilvl="0" w:tplc="01E04FAC">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1">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3">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4">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5">
    <w:nsid w:val="5D5D06BE"/>
    <w:multiLevelType w:val="hybridMultilevel"/>
    <w:tmpl w:val="2A160B3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nsid w:val="659E3901"/>
    <w:multiLevelType w:val="hybridMultilevel"/>
    <w:tmpl w:val="8A8C96B2"/>
    <w:lvl w:ilvl="0" w:tplc="43A69EE6">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8FB2294"/>
    <w:multiLevelType w:val="hybridMultilevel"/>
    <w:tmpl w:val="2BD6144A"/>
    <w:lvl w:ilvl="0" w:tplc="0427000F">
      <w:start w:val="1"/>
      <w:numFmt w:val="decimal"/>
      <w:lvlText w:val="%1."/>
      <w:lvlJc w:val="left"/>
      <w:pPr>
        <w:ind w:left="720" w:hanging="360"/>
      </w:pPr>
      <w:rPr>
        <w:rFonts w:ascii="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41">
    <w:nsid w:val="69B62FBC"/>
    <w:multiLevelType w:val="hybridMultilevel"/>
    <w:tmpl w:val="218093A6"/>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59A5709"/>
    <w:multiLevelType w:val="hybridMultilevel"/>
    <w:tmpl w:val="1C02C398"/>
    <w:lvl w:ilvl="0" w:tplc="3ECECC8E">
      <w:start w:val="1"/>
      <w:numFmt w:val="decimal"/>
      <w:lvlText w:val="%1."/>
      <w:lvlJc w:val="left"/>
      <w:pPr>
        <w:ind w:left="360" w:hanging="360"/>
      </w:pPr>
      <w:rPr>
        <w:rFonts w:ascii="Times New Roman" w:eastAsia="Arial Unicode MS" w:hAnsi="Times New Roman"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8"/>
  </w:num>
  <w:num w:numId="3">
    <w:abstractNumId w:val="6"/>
  </w:num>
  <w:num w:numId="4">
    <w:abstractNumId w:val="24"/>
  </w:num>
  <w:num w:numId="5">
    <w:abstractNumId w:val="13"/>
  </w:num>
  <w:num w:numId="6">
    <w:abstractNumId w:val="9"/>
  </w:num>
  <w:num w:numId="7">
    <w:abstractNumId w:val="11"/>
  </w:num>
  <w:num w:numId="8">
    <w:abstractNumId w:val="18"/>
  </w:num>
  <w:num w:numId="9">
    <w:abstractNumId w:val="32"/>
  </w:num>
  <w:num w:numId="10">
    <w:abstractNumId w:val="12"/>
  </w:num>
  <w:num w:numId="11">
    <w:abstractNumId w:val="21"/>
  </w:num>
  <w:num w:numId="12">
    <w:abstractNumId w:val="2"/>
  </w:num>
  <w:num w:numId="13">
    <w:abstractNumId w:val="25"/>
  </w:num>
  <w:num w:numId="14">
    <w:abstractNumId w:val="26"/>
  </w:num>
  <w:num w:numId="15">
    <w:abstractNumId w:val="3"/>
  </w:num>
  <w:num w:numId="16">
    <w:abstractNumId w:val="27"/>
  </w:num>
  <w:num w:numId="17">
    <w:abstractNumId w:val="30"/>
  </w:num>
  <w:num w:numId="18">
    <w:abstractNumId w:val="34"/>
  </w:num>
  <w:num w:numId="19">
    <w:abstractNumId w:val="5"/>
  </w:num>
  <w:num w:numId="20">
    <w:abstractNumId w:val="4"/>
  </w:num>
  <w:num w:numId="21">
    <w:abstractNumId w:val="15"/>
  </w:num>
  <w:num w:numId="22">
    <w:abstractNumId w:val="37"/>
  </w:num>
  <w:num w:numId="23">
    <w:abstractNumId w:val="0"/>
  </w:num>
  <w:num w:numId="24">
    <w:abstractNumId w:val="29"/>
  </w:num>
  <w:num w:numId="25">
    <w:abstractNumId w:val="36"/>
  </w:num>
  <w:num w:numId="26">
    <w:abstractNumId w:val="1"/>
  </w:num>
  <w:num w:numId="27">
    <w:abstractNumId w:val="23"/>
  </w:num>
  <w:num w:numId="28">
    <w:abstractNumId w:val="14"/>
  </w:num>
  <w:num w:numId="29">
    <w:abstractNumId w:val="20"/>
  </w:num>
  <w:num w:numId="30">
    <w:abstractNumId w:val="17"/>
  </w:num>
  <w:num w:numId="31">
    <w:abstractNumId w:val="31"/>
  </w:num>
  <w:num w:numId="32">
    <w:abstractNumId w:val="10"/>
  </w:num>
  <w:num w:numId="33">
    <w:abstractNumId w:val="33"/>
  </w:num>
  <w:num w:numId="34">
    <w:abstractNumId w:val="7"/>
  </w:num>
  <w:num w:numId="35">
    <w:abstractNumId w:val="40"/>
  </w:num>
  <w:num w:numId="36">
    <w:abstractNumId w:val="42"/>
  </w:num>
  <w:num w:numId="37">
    <w:abstractNumId w:val="16"/>
  </w:num>
  <w:num w:numId="38">
    <w:abstractNumId w:val="38"/>
  </w:num>
  <w:num w:numId="39">
    <w:abstractNumId w:val="39"/>
  </w:num>
  <w:num w:numId="40">
    <w:abstractNumId w:val="41"/>
  </w:num>
  <w:num w:numId="41">
    <w:abstractNumId w:val="35"/>
  </w:num>
  <w:num w:numId="42">
    <w:abstractNumId w:val="2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autoHyphenation/>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F"/>
    <w:rsid w:val="000355E8"/>
    <w:rsid w:val="000372A7"/>
    <w:rsid w:val="0007211E"/>
    <w:rsid w:val="00072EDE"/>
    <w:rsid w:val="000742B3"/>
    <w:rsid w:val="000B653F"/>
    <w:rsid w:val="00155D7C"/>
    <w:rsid w:val="00162D47"/>
    <w:rsid w:val="0018542E"/>
    <w:rsid w:val="00195F60"/>
    <w:rsid w:val="001B387D"/>
    <w:rsid w:val="001C48BB"/>
    <w:rsid w:val="001D4843"/>
    <w:rsid w:val="001D54D3"/>
    <w:rsid w:val="00206969"/>
    <w:rsid w:val="00230167"/>
    <w:rsid w:val="00265A54"/>
    <w:rsid w:val="002677AA"/>
    <w:rsid w:val="00274F66"/>
    <w:rsid w:val="002A7046"/>
    <w:rsid w:val="002B4A83"/>
    <w:rsid w:val="002C15B7"/>
    <w:rsid w:val="002F39D0"/>
    <w:rsid w:val="00312DD1"/>
    <w:rsid w:val="0031328A"/>
    <w:rsid w:val="00314CC7"/>
    <w:rsid w:val="0032625D"/>
    <w:rsid w:val="00326924"/>
    <w:rsid w:val="003339B9"/>
    <w:rsid w:val="00335ED8"/>
    <w:rsid w:val="00357286"/>
    <w:rsid w:val="0039254C"/>
    <w:rsid w:val="00395A7A"/>
    <w:rsid w:val="003A3602"/>
    <w:rsid w:val="003B616C"/>
    <w:rsid w:val="003C6810"/>
    <w:rsid w:val="003E2F37"/>
    <w:rsid w:val="003F3A8E"/>
    <w:rsid w:val="003F58E0"/>
    <w:rsid w:val="004226F1"/>
    <w:rsid w:val="004339F6"/>
    <w:rsid w:val="00452B2A"/>
    <w:rsid w:val="00495B70"/>
    <w:rsid w:val="004B217F"/>
    <w:rsid w:val="004C1051"/>
    <w:rsid w:val="004F4076"/>
    <w:rsid w:val="00501CE5"/>
    <w:rsid w:val="00557D5B"/>
    <w:rsid w:val="00585312"/>
    <w:rsid w:val="00587B54"/>
    <w:rsid w:val="00592806"/>
    <w:rsid w:val="0059354C"/>
    <w:rsid w:val="005E2479"/>
    <w:rsid w:val="005F2600"/>
    <w:rsid w:val="005F59B2"/>
    <w:rsid w:val="00604E4D"/>
    <w:rsid w:val="00614DBA"/>
    <w:rsid w:val="0062431D"/>
    <w:rsid w:val="00633882"/>
    <w:rsid w:val="006404C7"/>
    <w:rsid w:val="0064515B"/>
    <w:rsid w:val="0064611F"/>
    <w:rsid w:val="00646F02"/>
    <w:rsid w:val="0064735F"/>
    <w:rsid w:val="00682188"/>
    <w:rsid w:val="0069629B"/>
    <w:rsid w:val="006A44FA"/>
    <w:rsid w:val="007043A1"/>
    <w:rsid w:val="00704C38"/>
    <w:rsid w:val="00710ADC"/>
    <w:rsid w:val="00724748"/>
    <w:rsid w:val="00790FF5"/>
    <w:rsid w:val="00795E46"/>
    <w:rsid w:val="007A0061"/>
    <w:rsid w:val="007B6B80"/>
    <w:rsid w:val="007B6FDE"/>
    <w:rsid w:val="007C752A"/>
    <w:rsid w:val="007D2553"/>
    <w:rsid w:val="007D7FCE"/>
    <w:rsid w:val="0081679C"/>
    <w:rsid w:val="0082066C"/>
    <w:rsid w:val="008251D0"/>
    <w:rsid w:val="00827730"/>
    <w:rsid w:val="00830485"/>
    <w:rsid w:val="00843EAA"/>
    <w:rsid w:val="00864AF3"/>
    <w:rsid w:val="00872C2A"/>
    <w:rsid w:val="00897D86"/>
    <w:rsid w:val="008B6A7B"/>
    <w:rsid w:val="008C07C3"/>
    <w:rsid w:val="008C2331"/>
    <w:rsid w:val="008C3531"/>
    <w:rsid w:val="008E4ECC"/>
    <w:rsid w:val="008E5A20"/>
    <w:rsid w:val="008F726D"/>
    <w:rsid w:val="00902CF9"/>
    <w:rsid w:val="0091393B"/>
    <w:rsid w:val="009469ED"/>
    <w:rsid w:val="00956D02"/>
    <w:rsid w:val="00997764"/>
    <w:rsid w:val="009A1AD9"/>
    <w:rsid w:val="009A7FD0"/>
    <w:rsid w:val="009B0378"/>
    <w:rsid w:val="009B2048"/>
    <w:rsid w:val="009D446E"/>
    <w:rsid w:val="009E6C26"/>
    <w:rsid w:val="009F1D77"/>
    <w:rsid w:val="00A0588B"/>
    <w:rsid w:val="00A15DF7"/>
    <w:rsid w:val="00A33567"/>
    <w:rsid w:val="00A45218"/>
    <w:rsid w:val="00A46E6E"/>
    <w:rsid w:val="00A61189"/>
    <w:rsid w:val="00A63AD0"/>
    <w:rsid w:val="00A84354"/>
    <w:rsid w:val="00AD7E3A"/>
    <w:rsid w:val="00AF7A2A"/>
    <w:rsid w:val="00B03FB8"/>
    <w:rsid w:val="00B260BC"/>
    <w:rsid w:val="00B67F14"/>
    <w:rsid w:val="00B70894"/>
    <w:rsid w:val="00B841E3"/>
    <w:rsid w:val="00B869E8"/>
    <w:rsid w:val="00B94E3A"/>
    <w:rsid w:val="00BA186A"/>
    <w:rsid w:val="00BB73F2"/>
    <w:rsid w:val="00BD2968"/>
    <w:rsid w:val="00BF4A3E"/>
    <w:rsid w:val="00BF701E"/>
    <w:rsid w:val="00C22532"/>
    <w:rsid w:val="00C23CD5"/>
    <w:rsid w:val="00C24B3F"/>
    <w:rsid w:val="00C31389"/>
    <w:rsid w:val="00C56B43"/>
    <w:rsid w:val="00C648AF"/>
    <w:rsid w:val="00C842BA"/>
    <w:rsid w:val="00CA1F7E"/>
    <w:rsid w:val="00CC7175"/>
    <w:rsid w:val="00CD6507"/>
    <w:rsid w:val="00CF2346"/>
    <w:rsid w:val="00D33BCF"/>
    <w:rsid w:val="00D34348"/>
    <w:rsid w:val="00D8006B"/>
    <w:rsid w:val="00D80DED"/>
    <w:rsid w:val="00DB4E6F"/>
    <w:rsid w:val="00DC6502"/>
    <w:rsid w:val="00DF2CDB"/>
    <w:rsid w:val="00E1240D"/>
    <w:rsid w:val="00E612E0"/>
    <w:rsid w:val="00EB5F90"/>
    <w:rsid w:val="00ED523A"/>
    <w:rsid w:val="00EE0782"/>
    <w:rsid w:val="00EE0A8F"/>
    <w:rsid w:val="00EE1216"/>
    <w:rsid w:val="00EF0DF3"/>
    <w:rsid w:val="00F1429B"/>
    <w:rsid w:val="00F225D5"/>
    <w:rsid w:val="00F631C4"/>
    <w:rsid w:val="00F6555B"/>
    <w:rsid w:val="00F97DFD"/>
    <w:rsid w:val="00FB5FC9"/>
    <w:rsid w:val="00FC3B44"/>
    <w:rsid w:val="00FC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6821C-D6EF-45B7-A754-F6DBC87B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10792</Words>
  <Characters>6152</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Antanaitė</dc:creator>
  <cp:lastModifiedBy>Simona Narkevičienė</cp:lastModifiedBy>
  <cp:revision>2</cp:revision>
  <dcterms:created xsi:type="dcterms:W3CDTF">2021-01-12T11:13:00Z</dcterms:created>
  <dcterms:modified xsi:type="dcterms:W3CDTF">2021-01-12T11:13:00Z</dcterms:modified>
</cp:coreProperties>
</file>