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49A70" w14:textId="77777777" w:rsidR="00331DC9" w:rsidRPr="00331DC9" w:rsidRDefault="00331DC9" w:rsidP="00AE283E">
      <w:pPr>
        <w:spacing w:line="276" w:lineRule="auto"/>
        <w:jc w:val="left"/>
        <w:rPr>
          <w:rFonts w:cstheme="minorHAnsi"/>
          <w:szCs w:val="20"/>
        </w:rPr>
      </w:pPr>
      <w:r w:rsidRPr="00331DC9">
        <w:rPr>
          <w:rFonts w:cstheme="minorHAnsi"/>
          <w:szCs w:val="20"/>
          <w:u w:val="single"/>
        </w:rPr>
        <w:t>Priedas</w:t>
      </w:r>
    </w:p>
    <w:p w14:paraId="62759F17" w14:textId="580C17A7" w:rsidR="00331DC9" w:rsidRPr="00331DC9" w:rsidRDefault="00331DC9" w:rsidP="00AE283E">
      <w:pPr>
        <w:spacing w:line="276" w:lineRule="auto"/>
        <w:jc w:val="center"/>
        <w:rPr>
          <w:rFonts w:cstheme="minorHAnsi"/>
          <w:sz w:val="24"/>
        </w:rPr>
      </w:pPr>
      <w:r w:rsidRPr="00331DC9">
        <w:rPr>
          <w:rFonts w:cstheme="minorHAnsi"/>
          <w:sz w:val="24"/>
        </w:rPr>
        <w:t xml:space="preserve">VYRIAUSYBĖS STRATEGINĖS ANALIZĖS CENTRO SIŪLYMAI DĖL VYRIAUSYBĖS PROGRAMOS NUOSTATŲ ĮGYVENDINIMO PLANO </w:t>
      </w:r>
    </w:p>
    <w:p w14:paraId="55651E7B" w14:textId="77777777" w:rsidR="00331DC9" w:rsidRPr="00331DC9" w:rsidRDefault="00331DC9" w:rsidP="00AE283E">
      <w:pPr>
        <w:spacing w:line="276" w:lineRule="auto"/>
        <w:jc w:val="center"/>
        <w:rPr>
          <w:rFonts w:cstheme="minorHAnsi"/>
          <w:szCs w:val="20"/>
        </w:rPr>
      </w:pPr>
      <w:r w:rsidRPr="00331DC9">
        <w:rPr>
          <w:rFonts w:cstheme="minorHAnsi"/>
          <w:szCs w:val="20"/>
        </w:rPr>
        <w:t>2021-03-08</w:t>
      </w:r>
    </w:p>
    <w:p w14:paraId="234F2875" w14:textId="482123E6" w:rsidR="00331DC9" w:rsidRPr="00C544EC" w:rsidRDefault="00331DC9" w:rsidP="00AE283E">
      <w:pPr>
        <w:pStyle w:val="ListParagraph"/>
        <w:numPr>
          <w:ilvl w:val="0"/>
          <w:numId w:val="7"/>
        </w:numPr>
        <w:spacing w:before="240" w:after="0" w:line="276" w:lineRule="auto"/>
        <w:contextualSpacing w:val="0"/>
        <w:rPr>
          <w:rFonts w:cs="Arial"/>
          <w:szCs w:val="20"/>
        </w:rPr>
      </w:pPr>
      <w:r w:rsidRPr="00C544EC">
        <w:rPr>
          <w:rFonts w:cs="Arial"/>
          <w:b/>
          <w:bCs/>
          <w:szCs w:val="20"/>
        </w:rPr>
        <w:t>Dėl STRATA nurodymo</w:t>
      </w:r>
      <w:r w:rsidRPr="00C544EC">
        <w:rPr>
          <w:rFonts w:cs="Arial"/>
          <w:b/>
          <w:bCs/>
          <w:szCs w:val="20"/>
        </w:rPr>
        <w:t xml:space="preserve"> </w:t>
      </w:r>
      <w:r w:rsidRPr="00C544EC">
        <w:rPr>
          <w:rFonts w:cs="Arial"/>
          <w:b/>
          <w:bCs/>
          <w:szCs w:val="20"/>
        </w:rPr>
        <w:t xml:space="preserve">kaip atsakingos institucijos vaidmenį papildančios įstaigos. </w:t>
      </w:r>
      <w:r w:rsidRPr="00C544EC">
        <w:rPr>
          <w:rFonts w:cs="Arial"/>
          <w:szCs w:val="20"/>
        </w:rPr>
        <w:t>Pastebėtina, kad kai kuriose VPNĮP darbuose STRATA nurodoma skliausteliuose kaip atsakingos</w:t>
      </w:r>
      <w:r w:rsidR="00AE283E" w:rsidRPr="00C544EC">
        <w:rPr>
          <w:rFonts w:cs="Arial"/>
          <w:szCs w:val="20"/>
        </w:rPr>
        <w:t xml:space="preserve"> arba dalyvaujančios</w:t>
      </w:r>
      <w:r w:rsidRPr="00C544EC">
        <w:rPr>
          <w:rFonts w:cs="Arial"/>
          <w:szCs w:val="20"/>
        </w:rPr>
        <w:t xml:space="preserve"> institucijos vaidmenį papildanti įstaiga</w:t>
      </w:r>
      <w:r w:rsidR="00AE283E" w:rsidRPr="00C544EC">
        <w:rPr>
          <w:rFonts w:cs="Arial"/>
          <w:szCs w:val="20"/>
        </w:rPr>
        <w:t xml:space="preserve"> (pvz., 1.9.7, 5.6.2, 5.6.3, 8.1.2)</w:t>
      </w:r>
      <w:r w:rsidRPr="00C544EC">
        <w:rPr>
          <w:rFonts w:cs="Arial"/>
          <w:szCs w:val="20"/>
        </w:rPr>
        <w:t>, o kai kuriuose nenurodoma, nors darbai tikrai arba tikėtinai sietini su STRATA (</w:t>
      </w:r>
      <w:r w:rsidR="00AE283E" w:rsidRPr="00C544EC">
        <w:rPr>
          <w:rFonts w:cs="Arial"/>
          <w:szCs w:val="20"/>
        </w:rPr>
        <w:t>pvz.</w:t>
      </w:r>
      <w:r w:rsidRPr="00C544EC">
        <w:rPr>
          <w:rFonts w:cs="Arial"/>
          <w:szCs w:val="20"/>
        </w:rPr>
        <w:t xml:space="preserve">, </w:t>
      </w:r>
      <w:r w:rsidR="00C544EC" w:rsidRPr="00C544EC">
        <w:rPr>
          <w:rFonts w:cs="Arial"/>
          <w:szCs w:val="20"/>
        </w:rPr>
        <w:t xml:space="preserve">1.5.1, 1.5.3, </w:t>
      </w:r>
      <w:r w:rsidRPr="00C544EC">
        <w:rPr>
          <w:rFonts w:cs="Arial"/>
          <w:szCs w:val="20"/>
        </w:rPr>
        <w:t>2.2.6</w:t>
      </w:r>
      <w:r w:rsidR="00C544EC" w:rsidRPr="00C544EC">
        <w:rPr>
          <w:rFonts w:cs="Arial"/>
          <w:szCs w:val="20"/>
        </w:rPr>
        <w:t>, 5.1.10, 5.1.12, 5.3.15</w:t>
      </w:r>
      <w:r w:rsidRPr="00C544EC">
        <w:rPr>
          <w:rFonts w:cs="Arial"/>
          <w:szCs w:val="20"/>
        </w:rPr>
        <w:t xml:space="preserve">). Siūlytume </w:t>
      </w:r>
      <w:r w:rsidR="002626D9">
        <w:rPr>
          <w:rFonts w:cs="Arial"/>
          <w:szCs w:val="20"/>
        </w:rPr>
        <w:t>visur STRATA nurodyti vienodai.</w:t>
      </w:r>
      <w:r w:rsidRPr="00C544EC">
        <w:rPr>
          <w:rFonts w:cs="Arial"/>
          <w:szCs w:val="20"/>
        </w:rPr>
        <w:t xml:space="preserve"> </w:t>
      </w:r>
    </w:p>
    <w:p w14:paraId="2ECFC6D4" w14:textId="4B243094" w:rsidR="00331DC9" w:rsidRPr="00C544EC" w:rsidRDefault="00331DC9" w:rsidP="00AE283E">
      <w:pPr>
        <w:pStyle w:val="ListParagraph"/>
        <w:numPr>
          <w:ilvl w:val="0"/>
          <w:numId w:val="7"/>
        </w:numPr>
        <w:spacing w:before="240" w:after="0" w:line="276" w:lineRule="auto"/>
        <w:contextualSpacing w:val="0"/>
        <w:rPr>
          <w:rFonts w:cs="Arial"/>
          <w:szCs w:val="20"/>
        </w:rPr>
      </w:pPr>
      <w:r w:rsidRPr="00C544EC">
        <w:rPr>
          <w:rFonts w:cs="Arial"/>
          <w:b/>
          <w:bCs/>
          <w:szCs w:val="20"/>
        </w:rPr>
        <w:t>Dėl LRVK ir STRATA nurodymo horizontalaus koordinavimo reikalingose priemonėse.</w:t>
      </w:r>
      <w:r w:rsidRPr="00C544EC">
        <w:rPr>
          <w:rFonts w:cs="Arial"/>
          <w:szCs w:val="20"/>
        </w:rPr>
        <w:t xml:space="preserve"> Atkreipiame dėmesį, kad VPNĮP 3.3 ir 6.4 punktuose įvardintos horizontaliosios temos nesutampa su NPP horizontaliais prioritetais – tarp jų nėra inovacijų. Manytume, kad VNĮP turėtų būti numatytas ir in</w:t>
      </w:r>
      <w:r w:rsidR="00C544EC" w:rsidRPr="00C544EC">
        <w:rPr>
          <w:rFonts w:cs="Arial"/>
          <w:szCs w:val="20"/>
        </w:rPr>
        <w:t>ov</w:t>
      </w:r>
      <w:r w:rsidRPr="00C544EC">
        <w:rPr>
          <w:rFonts w:cs="Arial"/>
          <w:szCs w:val="20"/>
        </w:rPr>
        <w:t>acijų temos horizontalus koordinavimas, LRVK nurodant tarp atitinkamų 1 ir 5 prioriteto projektų (1.5.1, 1.5.3</w:t>
      </w:r>
      <w:r w:rsidR="00C544EC" w:rsidRPr="00C544EC">
        <w:rPr>
          <w:rFonts w:cs="Arial"/>
          <w:szCs w:val="20"/>
        </w:rPr>
        <w:t xml:space="preserve"> ir</w:t>
      </w:r>
      <w:r w:rsidRPr="00C544EC">
        <w:rPr>
          <w:rFonts w:cs="Arial"/>
          <w:szCs w:val="20"/>
        </w:rPr>
        <w:t xml:space="preserve"> 5.1.10, 5.1.12) atsakingų arba bent dalyvaujančių institucijų. STRATA galėtų būti nurodyta skliausteliuose kaip tokį LRVK vaidmenį papildanti įstaiga. Toks nurodymas atitiktų Technologijų ir inovacijų įstatymo 10 ir 15 str. ir Mokslo ir studijų įstatymo 21 str. nustatytas STRATA funkcijas.</w:t>
      </w:r>
      <w:r w:rsidR="00C544EC" w:rsidRPr="00C544EC">
        <w:rPr>
          <w:rFonts w:cs="Arial"/>
          <w:szCs w:val="20"/>
        </w:rPr>
        <w:t xml:space="preserve"> </w:t>
      </w:r>
    </w:p>
    <w:p w14:paraId="740B80F0" w14:textId="77777777" w:rsidR="00331DC9" w:rsidRPr="00C544EC" w:rsidRDefault="00331DC9" w:rsidP="00AE283E">
      <w:pPr>
        <w:pStyle w:val="ListParagraph"/>
        <w:numPr>
          <w:ilvl w:val="0"/>
          <w:numId w:val="7"/>
        </w:numPr>
        <w:spacing w:before="240" w:after="240" w:line="276" w:lineRule="auto"/>
        <w:contextualSpacing w:val="0"/>
        <w:rPr>
          <w:rFonts w:cs="Arial"/>
          <w:szCs w:val="20"/>
        </w:rPr>
      </w:pPr>
      <w:r w:rsidRPr="00C544EC">
        <w:rPr>
          <w:rFonts w:cs="Arial"/>
          <w:b/>
          <w:bCs/>
          <w:szCs w:val="20"/>
        </w:rPr>
        <w:t xml:space="preserve">Dėl 1 prioriteto formuluočių patikslinimo. </w:t>
      </w:r>
      <w:r w:rsidRPr="00C544EC">
        <w:rPr>
          <w:rFonts w:cs="Arial"/>
          <w:szCs w:val="20"/>
        </w:rPr>
        <w:t>Teikiame tokius siūlymus:</w:t>
      </w:r>
    </w:p>
    <w:tbl>
      <w:tblPr>
        <w:tblStyle w:val="TableGrid"/>
        <w:tblW w:w="139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35"/>
        <w:gridCol w:w="3134"/>
        <w:gridCol w:w="7576"/>
      </w:tblGrid>
      <w:tr w:rsidR="00331DC9" w:rsidRPr="00C544EC" w14:paraId="64B1F094" w14:textId="77777777" w:rsidTr="000552FC">
        <w:trPr>
          <w:tblHeader/>
        </w:trPr>
        <w:tc>
          <w:tcPr>
            <w:tcW w:w="3235" w:type="dxa"/>
            <w:shd w:val="clear" w:color="auto" w:fill="D9D9D9" w:themeFill="background1" w:themeFillShade="D9"/>
          </w:tcPr>
          <w:p w14:paraId="785E73CA" w14:textId="77777777" w:rsidR="00331DC9" w:rsidRPr="00C544EC" w:rsidRDefault="00331DC9" w:rsidP="00AE283E">
            <w:pPr>
              <w:spacing w:line="276" w:lineRule="auto"/>
              <w:rPr>
                <w:rFonts w:cs="Arial"/>
                <w:b/>
                <w:bCs/>
                <w:szCs w:val="20"/>
              </w:rPr>
            </w:pPr>
            <w:r w:rsidRPr="00C544EC">
              <w:rPr>
                <w:rFonts w:cs="Arial"/>
                <w:b/>
                <w:bCs/>
                <w:szCs w:val="20"/>
              </w:rPr>
              <w:t>VNĮP formuluotė</w:t>
            </w:r>
          </w:p>
        </w:tc>
        <w:tc>
          <w:tcPr>
            <w:tcW w:w="3134" w:type="dxa"/>
            <w:shd w:val="clear" w:color="auto" w:fill="D9D9D9" w:themeFill="background1" w:themeFillShade="D9"/>
          </w:tcPr>
          <w:p w14:paraId="5A8D0F48" w14:textId="77777777" w:rsidR="00331DC9" w:rsidRPr="00C544EC" w:rsidRDefault="00331DC9" w:rsidP="00AE283E">
            <w:pPr>
              <w:spacing w:line="276" w:lineRule="auto"/>
              <w:rPr>
                <w:rFonts w:cs="Arial"/>
                <w:szCs w:val="20"/>
              </w:rPr>
            </w:pPr>
            <w:r w:rsidRPr="00C544EC">
              <w:rPr>
                <w:rFonts w:cs="Arial"/>
                <w:b/>
                <w:bCs/>
                <w:szCs w:val="20"/>
              </w:rPr>
              <w:t>Siūlymas</w:t>
            </w:r>
          </w:p>
        </w:tc>
        <w:tc>
          <w:tcPr>
            <w:tcW w:w="7576" w:type="dxa"/>
            <w:shd w:val="clear" w:color="auto" w:fill="D9D9D9" w:themeFill="background1" w:themeFillShade="D9"/>
          </w:tcPr>
          <w:p w14:paraId="70902395" w14:textId="77777777" w:rsidR="00331DC9" w:rsidRPr="00C544EC" w:rsidRDefault="00331DC9" w:rsidP="00AE283E">
            <w:pPr>
              <w:spacing w:line="276" w:lineRule="auto"/>
              <w:rPr>
                <w:rFonts w:cs="Arial"/>
                <w:b/>
                <w:bCs/>
                <w:szCs w:val="20"/>
              </w:rPr>
            </w:pPr>
            <w:r w:rsidRPr="00C544EC">
              <w:rPr>
                <w:rFonts w:cs="Arial"/>
                <w:b/>
                <w:bCs/>
                <w:szCs w:val="20"/>
              </w:rPr>
              <w:t>Pagrindimas</w:t>
            </w:r>
          </w:p>
        </w:tc>
      </w:tr>
      <w:tr w:rsidR="00331DC9" w:rsidRPr="00C544EC" w14:paraId="4DAB0BC4" w14:textId="77777777" w:rsidTr="000552FC">
        <w:tc>
          <w:tcPr>
            <w:tcW w:w="3235" w:type="dxa"/>
          </w:tcPr>
          <w:p w14:paraId="19675BDF" w14:textId="77777777" w:rsidR="00331DC9" w:rsidRPr="00C544EC" w:rsidRDefault="00331DC9" w:rsidP="00AE283E">
            <w:pPr>
              <w:spacing w:line="276" w:lineRule="auto"/>
              <w:rPr>
                <w:rFonts w:cs="Arial"/>
                <w:szCs w:val="20"/>
              </w:rPr>
            </w:pPr>
            <w:r w:rsidRPr="00C544EC">
              <w:rPr>
                <w:rFonts w:cs="Arial"/>
                <w:szCs w:val="20"/>
              </w:rPr>
              <w:t xml:space="preserve">Misijos įgyvendinimo sėkmės (poveikio) </w:t>
            </w:r>
            <w:r w:rsidRPr="00C544EC">
              <w:rPr>
                <w:rFonts w:cs="Arial"/>
                <w:b/>
                <w:bCs/>
                <w:szCs w:val="20"/>
              </w:rPr>
              <w:t>rodiklis</w:t>
            </w:r>
            <w:r w:rsidRPr="00C544EC">
              <w:rPr>
                <w:rFonts w:cs="Arial"/>
                <w:szCs w:val="20"/>
              </w:rPr>
              <w:t xml:space="preserve"> “Mokinių, kartu su profesija siekiančių įgyti ir vidurinį išsilavinimą (ISCED 3), dalis (proc.)”</w:t>
            </w:r>
          </w:p>
        </w:tc>
        <w:tc>
          <w:tcPr>
            <w:tcW w:w="3134" w:type="dxa"/>
          </w:tcPr>
          <w:p w14:paraId="2D3C4863" w14:textId="77777777" w:rsidR="00331DC9" w:rsidRPr="00C544EC" w:rsidRDefault="00331DC9" w:rsidP="00AE283E">
            <w:pPr>
              <w:spacing w:line="276" w:lineRule="auto"/>
              <w:rPr>
                <w:rFonts w:cs="Arial"/>
                <w:szCs w:val="20"/>
              </w:rPr>
            </w:pPr>
            <w:r w:rsidRPr="00C544EC">
              <w:rPr>
                <w:rFonts w:cs="Arial"/>
                <w:szCs w:val="20"/>
              </w:rPr>
              <w:t>Patikslinti rodiklio formuluotę pagal LRV programą: „Mokinių, siekiančių įgyti vidurinį išsilavinimą profesinio mokymo įstaigose, dalis proc.“</w:t>
            </w:r>
          </w:p>
        </w:tc>
        <w:tc>
          <w:tcPr>
            <w:tcW w:w="7576" w:type="dxa"/>
          </w:tcPr>
          <w:p w14:paraId="7CB1D7A7" w14:textId="77777777" w:rsidR="00331DC9" w:rsidRPr="00C544EC" w:rsidRDefault="00331DC9" w:rsidP="00AE283E">
            <w:pPr>
              <w:spacing w:line="276" w:lineRule="auto"/>
              <w:rPr>
                <w:rFonts w:cs="Arial"/>
                <w:szCs w:val="20"/>
              </w:rPr>
            </w:pPr>
            <w:r w:rsidRPr="00C544EC">
              <w:rPr>
                <w:rFonts w:cs="Arial"/>
                <w:szCs w:val="20"/>
              </w:rPr>
              <w:t xml:space="preserve">Rodiklio  apibrėžimas Plane neatitinka nurodyto Vyriausybės programoje – “41.3. Bent 35 proc. mokinių vidurinį išsilavinimą sieks įgyti profesinio ugdymo įstaigose (2019 m. – 26 proc.).”, </w:t>
            </w:r>
            <w:r w:rsidRPr="00C544EC">
              <w:rPr>
                <w:rFonts w:cs="Arial"/>
                <w:szCs w:val="20"/>
                <w:lang w:val="en-US"/>
              </w:rPr>
              <w:fldChar w:fldCharType="begin"/>
            </w:r>
            <w:r w:rsidRPr="00C544EC">
              <w:rPr>
                <w:rFonts w:cs="Arial"/>
                <w:szCs w:val="20"/>
              </w:rPr>
              <w:instrText xml:space="preserve"> HYPERLINK "https://e-seimas.lrs.lt/portal/legalAct/lt/TAD/973c87403bc311eb8c97e01ffe050e1c?jfwid=-7dy01d0w6" </w:instrText>
            </w:r>
            <w:r w:rsidRPr="00C544EC">
              <w:rPr>
                <w:rFonts w:cs="Arial"/>
                <w:szCs w:val="20"/>
                <w:lang w:val="en-US"/>
              </w:rPr>
              <w:fldChar w:fldCharType="separate"/>
            </w:r>
            <w:r w:rsidRPr="00C544EC">
              <w:rPr>
                <w:rStyle w:val="Hyperlink"/>
                <w:rFonts w:cs="Arial"/>
                <w:szCs w:val="20"/>
              </w:rPr>
              <w:t>https://e-seimas.lrs.lt/portal/legalAct/lt/TAD/973c87403bc311eb8c97e01ffe050e1c?jfwid=-7dy01d0w6</w:t>
            </w:r>
            <w:r w:rsidRPr="00C544EC">
              <w:rPr>
                <w:rStyle w:val="Hyperlink"/>
                <w:rFonts w:cs="Arial"/>
                <w:szCs w:val="20"/>
              </w:rPr>
              <w:fldChar w:fldCharType="end"/>
            </w:r>
            <w:r w:rsidRPr="00C544EC">
              <w:rPr>
                <w:rFonts w:cs="Arial"/>
                <w:szCs w:val="20"/>
              </w:rPr>
              <w:t xml:space="preserve">; Toks pats rodiklis numatytas ir Valstybinėje švietimo 2013-2022 metų strategijoje, </w:t>
            </w:r>
            <w:hyperlink r:id="rId8" w:history="1">
              <w:r w:rsidRPr="00C544EC">
                <w:rPr>
                  <w:rStyle w:val="Hyperlink"/>
                  <w:rFonts w:cs="Arial"/>
                  <w:szCs w:val="20"/>
                </w:rPr>
                <w:t>https://www.smm.lt/web/lt/teisesaktai/tei/valstybine-svietimo-strategija_1</w:t>
              </w:r>
            </w:hyperlink>
            <w:r w:rsidRPr="00C544EC">
              <w:rPr>
                <w:rFonts w:cs="Arial"/>
                <w:szCs w:val="20"/>
              </w:rPr>
              <w:t xml:space="preserve">; tarptautinis rodiklis skaičiuojamas: </w:t>
            </w:r>
            <w:r w:rsidRPr="00C544EC">
              <w:rPr>
                <w:rFonts w:cs="Arial"/>
                <w:i/>
                <w:iCs/>
                <w:szCs w:val="20"/>
              </w:rPr>
              <w:t xml:space="preserve">The indicator is defined as the percentage of all upper secondary students (ISCED 3) enrolled in the vocational stream of education </w:t>
            </w:r>
            <w:r w:rsidRPr="00C544EC">
              <w:rPr>
                <w:rFonts w:cs="Arial"/>
                <w:szCs w:val="20"/>
              </w:rPr>
              <w:t>(</w:t>
            </w:r>
            <w:hyperlink r:id="rId9" w:history="1">
              <w:r w:rsidRPr="00C544EC">
                <w:rPr>
                  <w:rStyle w:val="Hyperlink"/>
                  <w:rFonts w:cs="Arial"/>
                  <w:szCs w:val="20"/>
                </w:rPr>
                <w:t>https://www.cedefop.europa.eu/en/publications-and-</w:t>
              </w:r>
              <w:r w:rsidRPr="00C544EC">
                <w:rPr>
                  <w:rStyle w:val="Hyperlink"/>
                  <w:rFonts w:cs="Arial"/>
                  <w:szCs w:val="20"/>
                </w:rPr>
                <w:lastRenderedPageBreak/>
                <w:t>resources/statistics-and-indicators/statistics-and-graphs/01-how-many-students-participate-ivet</w:t>
              </w:r>
            </w:hyperlink>
            <w:r w:rsidRPr="00C544EC">
              <w:rPr>
                <w:rFonts w:cs="Arial"/>
                <w:szCs w:val="20"/>
              </w:rPr>
              <w:t>)</w:t>
            </w:r>
          </w:p>
        </w:tc>
      </w:tr>
      <w:tr w:rsidR="00331DC9" w:rsidRPr="00C544EC" w14:paraId="53B380E7" w14:textId="77777777" w:rsidTr="000552FC">
        <w:tc>
          <w:tcPr>
            <w:tcW w:w="3235" w:type="dxa"/>
          </w:tcPr>
          <w:p w14:paraId="35EF3FD6" w14:textId="77777777" w:rsidR="00331DC9" w:rsidRPr="00C544EC" w:rsidRDefault="00331DC9" w:rsidP="00AE283E">
            <w:pPr>
              <w:spacing w:line="276" w:lineRule="auto"/>
              <w:rPr>
                <w:rFonts w:cs="Arial"/>
                <w:szCs w:val="20"/>
              </w:rPr>
            </w:pPr>
            <w:r w:rsidRPr="00C544EC">
              <w:rPr>
                <w:rFonts w:cs="Arial"/>
                <w:b/>
                <w:bCs/>
                <w:szCs w:val="20"/>
              </w:rPr>
              <w:lastRenderedPageBreak/>
              <w:t>Punktas 1.2.18</w:t>
            </w:r>
            <w:r w:rsidRPr="00C544EC">
              <w:rPr>
                <w:rFonts w:cs="Arial"/>
                <w:szCs w:val="20"/>
              </w:rPr>
              <w:t>: Atlikti švietimo politiką formuojančių ir įgyvendinančių institucijų, taip pat SKVC, LMT funkcijų, atsakomybių ir vadybos modelių peržiūrą. Įsteigti analitinį centrą, skirtą mokslo, švietimo, mokymosi visą gyvenimą, socialinės lygybės, žmogiškųjų išteklių ir inovacijų stebėsenai ir analizei, modernizuoti valstybines informacines sistemas, teikiančias analitinius duomenis.</w:t>
            </w:r>
          </w:p>
        </w:tc>
        <w:tc>
          <w:tcPr>
            <w:tcW w:w="3134" w:type="dxa"/>
          </w:tcPr>
          <w:p w14:paraId="3670C238" w14:textId="77777777" w:rsidR="00331DC9" w:rsidRPr="00C544EC" w:rsidRDefault="00331DC9" w:rsidP="00AE283E">
            <w:pPr>
              <w:spacing w:line="276" w:lineRule="auto"/>
              <w:rPr>
                <w:rFonts w:cs="Arial"/>
                <w:szCs w:val="20"/>
              </w:rPr>
            </w:pPr>
            <w:r w:rsidRPr="00C544EC">
              <w:rPr>
                <w:rFonts w:cs="Arial"/>
                <w:szCs w:val="20"/>
              </w:rPr>
              <w:t>Išbraukti antrą dalį, palikti tik funkcijų peržiūrą, įskaitant analitines funkcijas.</w:t>
            </w:r>
          </w:p>
        </w:tc>
        <w:tc>
          <w:tcPr>
            <w:tcW w:w="7576" w:type="dxa"/>
          </w:tcPr>
          <w:p w14:paraId="1ED7B124" w14:textId="77777777" w:rsidR="00331DC9" w:rsidRPr="00C544EC" w:rsidRDefault="00331DC9" w:rsidP="00AE283E">
            <w:pPr>
              <w:spacing w:line="276" w:lineRule="auto"/>
              <w:rPr>
                <w:rFonts w:cs="Arial"/>
                <w:szCs w:val="20"/>
              </w:rPr>
            </w:pPr>
            <w:r w:rsidRPr="00C544EC">
              <w:rPr>
                <w:rFonts w:cs="Arial"/>
                <w:szCs w:val="20"/>
              </w:rPr>
              <w:t>Suplaktos dvi užduotys: funkcijų peržiūra ir turi atsakyti į klausimą, kokių funkcijų ir kur reikia, bet negalima jos daryti su išankstiniu atsakymu. Be to, 1.2.18 turi būti formuluojamas siejant su 5.3.15</w:t>
            </w:r>
          </w:p>
        </w:tc>
      </w:tr>
      <w:tr w:rsidR="00331DC9" w:rsidRPr="00C544EC" w14:paraId="09AE581D" w14:textId="77777777" w:rsidTr="000552FC">
        <w:tc>
          <w:tcPr>
            <w:tcW w:w="3235" w:type="dxa"/>
          </w:tcPr>
          <w:p w14:paraId="2864FB0E" w14:textId="77777777" w:rsidR="00331DC9" w:rsidRPr="00C544EC" w:rsidRDefault="00331DC9" w:rsidP="00AE283E">
            <w:pPr>
              <w:spacing w:line="276" w:lineRule="auto"/>
              <w:rPr>
                <w:rFonts w:cs="Arial"/>
                <w:b/>
                <w:bCs/>
                <w:szCs w:val="20"/>
              </w:rPr>
            </w:pPr>
            <w:r w:rsidRPr="00C544EC">
              <w:rPr>
                <w:rFonts w:cs="Arial"/>
                <w:b/>
                <w:bCs/>
                <w:szCs w:val="20"/>
              </w:rPr>
              <w:t xml:space="preserve">Punktas 1.9.3. </w:t>
            </w:r>
            <w:r w:rsidRPr="00C544EC">
              <w:rPr>
                <w:rFonts w:cs="Arial"/>
                <w:szCs w:val="20"/>
              </w:rPr>
              <w:t>Parengti bendros mokymosi visą gyvenimą sistemos modelį, apimantį valdysenos, prioritetinių grupių ir programų nustatymo principus, kokybės užtikrinimo, finansavimo sistemos elementus ir įtvirtinti modelio teisinį reglamentavimą Neformaliojo suaugusiųjų švietimo ir tęstinio mokymosi įstatyme</w:t>
            </w:r>
          </w:p>
        </w:tc>
        <w:tc>
          <w:tcPr>
            <w:tcW w:w="3134" w:type="dxa"/>
          </w:tcPr>
          <w:p w14:paraId="45001975" w14:textId="77777777" w:rsidR="00331DC9" w:rsidRPr="00C544EC" w:rsidRDefault="00331DC9" w:rsidP="00AE283E">
            <w:pPr>
              <w:spacing w:line="276" w:lineRule="auto"/>
              <w:rPr>
                <w:rFonts w:cs="Arial"/>
                <w:szCs w:val="20"/>
              </w:rPr>
            </w:pPr>
            <w:r w:rsidRPr="00C544EC">
              <w:rPr>
                <w:rFonts w:cs="Arial"/>
                <w:szCs w:val="20"/>
              </w:rPr>
              <w:t>Mokymosi visą gyvenimą modelį įtvirtinti atskiru įstatymu arba Švietimo įstatyme, nes jis apima visas švietimo grandis.</w:t>
            </w:r>
          </w:p>
        </w:tc>
        <w:tc>
          <w:tcPr>
            <w:tcW w:w="7576" w:type="dxa"/>
          </w:tcPr>
          <w:p w14:paraId="2FDD8162" w14:textId="77777777" w:rsidR="00331DC9" w:rsidRPr="00C544EC" w:rsidRDefault="00331DC9" w:rsidP="00AE283E">
            <w:pPr>
              <w:spacing w:line="276" w:lineRule="auto"/>
              <w:rPr>
                <w:rFonts w:cs="Arial"/>
                <w:color w:val="0070C0"/>
                <w:szCs w:val="20"/>
              </w:rPr>
            </w:pPr>
            <w:r w:rsidRPr="00C544EC">
              <w:rPr>
                <w:rFonts w:cs="Arial"/>
                <w:color w:val="0070C0"/>
                <w:szCs w:val="20"/>
              </w:rPr>
              <w:t>Mokymasis visą gyvenimą Europos Sąjungoje (ES) apibrėžiamas taip:</w:t>
            </w:r>
          </w:p>
          <w:p w14:paraId="5FB96B4F" w14:textId="77777777" w:rsidR="00331DC9" w:rsidRPr="00C544EC" w:rsidRDefault="00331DC9" w:rsidP="00AE283E">
            <w:pPr>
              <w:pStyle w:val="ListParagraph"/>
              <w:numPr>
                <w:ilvl w:val="0"/>
                <w:numId w:val="6"/>
              </w:numPr>
              <w:spacing w:before="0" w:after="0" w:line="276" w:lineRule="auto"/>
              <w:jc w:val="left"/>
              <w:rPr>
                <w:rFonts w:cs="Arial"/>
                <w:i/>
                <w:iCs/>
                <w:szCs w:val="20"/>
                <w:lang w:val="en-GB"/>
              </w:rPr>
            </w:pPr>
            <w:r w:rsidRPr="00C544EC">
              <w:rPr>
                <w:rFonts w:cs="Arial"/>
                <w:b/>
                <w:bCs/>
                <w:i/>
                <w:iCs/>
                <w:szCs w:val="20"/>
                <w:lang w:val="en-GB"/>
              </w:rPr>
              <w:t>Lifelong learning</w:t>
            </w:r>
            <w:r w:rsidRPr="00C544EC">
              <w:rPr>
                <w:rFonts w:cs="Arial"/>
                <w:i/>
                <w:iCs/>
                <w:szCs w:val="20"/>
                <w:lang w:val="en-GB"/>
              </w:rPr>
              <w:t xml:space="preserve"> encompasses </w:t>
            </w:r>
            <w:r w:rsidRPr="00C544EC">
              <w:rPr>
                <w:rFonts w:cs="Arial"/>
                <w:b/>
                <w:bCs/>
                <w:i/>
                <w:iCs/>
                <w:szCs w:val="20"/>
                <w:lang w:val="en-GB"/>
              </w:rPr>
              <w:t>all learning activities undertaken throughout life</w:t>
            </w:r>
            <w:r w:rsidRPr="00C544EC">
              <w:rPr>
                <w:rFonts w:cs="Arial"/>
                <w:i/>
                <w:iCs/>
                <w:szCs w:val="20"/>
                <w:lang w:val="en-GB"/>
              </w:rPr>
              <w:t xml:space="preserve"> with the aim of improving knowledge, </w:t>
            </w:r>
            <w:proofErr w:type="gramStart"/>
            <w:r w:rsidRPr="00C544EC">
              <w:rPr>
                <w:rFonts w:cs="Arial"/>
                <w:i/>
                <w:iCs/>
                <w:szCs w:val="20"/>
                <w:lang w:val="en-GB"/>
              </w:rPr>
              <w:t>skills</w:t>
            </w:r>
            <w:proofErr w:type="gramEnd"/>
            <w:r w:rsidRPr="00C544EC">
              <w:rPr>
                <w:rFonts w:cs="Arial"/>
                <w:i/>
                <w:iCs/>
                <w:szCs w:val="20"/>
                <w:lang w:val="en-GB"/>
              </w:rPr>
              <w:t xml:space="preserve"> and competences, within personal, civic, social or employment-related perspectives. The intention or aim to learn is the critical point that distinguishes these activities from non-learning activities, such as cultural or sporting activities.</w:t>
            </w:r>
          </w:p>
          <w:p w14:paraId="6756A650" w14:textId="77777777" w:rsidR="00331DC9" w:rsidRPr="00C544EC" w:rsidRDefault="00331DC9" w:rsidP="00AE283E">
            <w:pPr>
              <w:pStyle w:val="ListParagraph"/>
              <w:numPr>
                <w:ilvl w:val="0"/>
                <w:numId w:val="6"/>
              </w:numPr>
              <w:spacing w:before="0" w:after="0" w:line="276" w:lineRule="auto"/>
              <w:jc w:val="left"/>
              <w:rPr>
                <w:rFonts w:cs="Arial"/>
                <w:szCs w:val="20"/>
              </w:rPr>
            </w:pPr>
            <w:r w:rsidRPr="00C544EC">
              <w:rPr>
                <w:rFonts w:cs="Arial"/>
                <w:b/>
                <w:bCs/>
                <w:i/>
                <w:iCs/>
                <w:szCs w:val="20"/>
                <w:lang w:val="en-GB"/>
              </w:rPr>
              <w:t>Adult learning</w:t>
            </w:r>
            <w:r w:rsidRPr="00C544EC">
              <w:rPr>
                <w:rFonts w:cs="Arial"/>
                <w:i/>
                <w:iCs/>
                <w:szCs w:val="20"/>
                <w:lang w:val="en-GB"/>
              </w:rPr>
              <w:t xml:space="preserve"> means the </w:t>
            </w:r>
            <w:r w:rsidRPr="00C544EC">
              <w:rPr>
                <w:rFonts w:cs="Arial"/>
                <w:b/>
                <w:bCs/>
                <w:i/>
                <w:iCs/>
                <w:szCs w:val="20"/>
                <w:lang w:val="en-GB"/>
              </w:rPr>
              <w:t>participation of adults in lifelong learning</w:t>
            </w:r>
            <w:r w:rsidRPr="00C544EC">
              <w:rPr>
                <w:rFonts w:cs="Arial"/>
                <w:i/>
                <w:iCs/>
                <w:szCs w:val="20"/>
                <w:lang w:val="en-GB"/>
              </w:rPr>
              <w:t>. Adult learning usually refers to learning activities after the end of initial education and is a vital component of the EU’s lifelong learning policy.</w:t>
            </w:r>
          </w:p>
          <w:p w14:paraId="02374B7E" w14:textId="77777777" w:rsidR="00331DC9" w:rsidRPr="00C544EC" w:rsidRDefault="00331DC9" w:rsidP="00AE283E">
            <w:pPr>
              <w:spacing w:line="276" w:lineRule="auto"/>
              <w:rPr>
                <w:rFonts w:cs="Arial"/>
                <w:szCs w:val="20"/>
              </w:rPr>
            </w:pPr>
            <w:r w:rsidRPr="00C544EC">
              <w:rPr>
                <w:rFonts w:cs="Arial"/>
                <w:color w:val="0070C0"/>
                <w:szCs w:val="20"/>
              </w:rPr>
              <w:t>ES politika</w:t>
            </w:r>
            <w:r w:rsidRPr="00C544EC">
              <w:rPr>
                <w:rFonts w:cs="Arial"/>
                <w:szCs w:val="20"/>
              </w:rPr>
              <w:t>:</w:t>
            </w:r>
          </w:p>
          <w:p w14:paraId="1E57E0FD" w14:textId="77777777" w:rsidR="00331DC9" w:rsidRPr="00C544EC" w:rsidRDefault="00331DC9" w:rsidP="00AE283E">
            <w:pPr>
              <w:spacing w:line="276" w:lineRule="auto"/>
              <w:rPr>
                <w:rFonts w:cs="Arial"/>
                <w:szCs w:val="20"/>
                <w:lang w:val="en-GB"/>
              </w:rPr>
            </w:pPr>
            <w:r w:rsidRPr="00C544EC">
              <w:rPr>
                <w:rFonts w:cs="Arial"/>
                <w:szCs w:val="20"/>
                <w:lang w:val="en-GB"/>
              </w:rPr>
              <w:lastRenderedPageBreak/>
              <w:t>The ET 2020 framework provides opportunities to build best practices in education policy, gather and disseminate knowledge, and advance educational policy reforms at the national and regional levels.</w:t>
            </w:r>
          </w:p>
          <w:p w14:paraId="2C5F16F1" w14:textId="77777777" w:rsidR="00331DC9" w:rsidRPr="00C544EC" w:rsidRDefault="00331DC9" w:rsidP="00AE283E">
            <w:pPr>
              <w:spacing w:line="276" w:lineRule="auto"/>
              <w:rPr>
                <w:rFonts w:cs="Arial"/>
                <w:szCs w:val="20"/>
                <w:lang w:val="en-GB"/>
              </w:rPr>
            </w:pPr>
          </w:p>
          <w:p w14:paraId="56FFDB8A" w14:textId="77777777" w:rsidR="00331DC9" w:rsidRPr="00C544EC" w:rsidRDefault="00331DC9" w:rsidP="00AE283E">
            <w:pPr>
              <w:spacing w:line="276" w:lineRule="auto"/>
              <w:rPr>
                <w:rFonts w:cs="Arial"/>
                <w:szCs w:val="20"/>
                <w:lang w:val="en-GB"/>
              </w:rPr>
            </w:pPr>
            <w:r w:rsidRPr="00C544EC">
              <w:rPr>
                <w:rFonts w:cs="Arial"/>
                <w:szCs w:val="20"/>
                <w:lang w:val="en-GB"/>
              </w:rPr>
              <w:t xml:space="preserve">The framework is based on the lifelong learning approach. It therefore addresses outcomes from early childhood to adult vocational and higher </w:t>
            </w:r>
            <w:proofErr w:type="gramStart"/>
            <w:r w:rsidRPr="00C544EC">
              <w:rPr>
                <w:rFonts w:cs="Arial"/>
                <w:szCs w:val="20"/>
                <w:lang w:val="en-GB"/>
              </w:rPr>
              <w:t>education, and</w:t>
            </w:r>
            <w:proofErr w:type="gramEnd"/>
            <w:r w:rsidRPr="00C544EC">
              <w:rPr>
                <w:rFonts w:cs="Arial"/>
                <w:szCs w:val="20"/>
                <w:lang w:val="en-GB"/>
              </w:rPr>
              <w:t xml:space="preserve"> is designed to cover learning in all contexts: formal, non-formal and informal.</w:t>
            </w:r>
          </w:p>
          <w:p w14:paraId="30961B9E" w14:textId="77777777" w:rsidR="00331DC9" w:rsidRPr="00C544EC" w:rsidRDefault="00331DC9" w:rsidP="00AE283E">
            <w:pPr>
              <w:spacing w:line="276" w:lineRule="auto"/>
              <w:rPr>
                <w:rFonts w:cs="Arial"/>
                <w:szCs w:val="20"/>
              </w:rPr>
            </w:pPr>
            <w:hyperlink r:id="rId10" w:history="1">
              <w:r w:rsidRPr="00C544EC">
                <w:rPr>
                  <w:rStyle w:val="Hyperlink"/>
                  <w:rFonts w:cs="Arial"/>
                  <w:szCs w:val="20"/>
                </w:rPr>
                <w:t>https://ec.europa.eu/education/policies/european-policy-cooperation/et2020-framework_en</w:t>
              </w:r>
            </w:hyperlink>
            <w:r w:rsidRPr="00C544EC">
              <w:rPr>
                <w:rFonts w:cs="Arial"/>
                <w:szCs w:val="20"/>
              </w:rPr>
              <w:t xml:space="preserve"> </w:t>
            </w:r>
          </w:p>
        </w:tc>
      </w:tr>
      <w:tr w:rsidR="00331DC9" w:rsidRPr="00C544EC" w14:paraId="43260A28" w14:textId="77777777" w:rsidTr="000552FC">
        <w:tc>
          <w:tcPr>
            <w:tcW w:w="3235" w:type="dxa"/>
          </w:tcPr>
          <w:p w14:paraId="0077109A" w14:textId="77777777" w:rsidR="00331DC9" w:rsidRPr="00C544EC" w:rsidRDefault="00331DC9" w:rsidP="00AE283E">
            <w:pPr>
              <w:spacing w:line="276" w:lineRule="auto"/>
              <w:rPr>
                <w:rFonts w:cs="Arial"/>
                <w:b/>
                <w:bCs/>
                <w:szCs w:val="20"/>
              </w:rPr>
            </w:pPr>
            <w:r w:rsidRPr="00C544EC">
              <w:rPr>
                <w:rFonts w:cs="Arial"/>
                <w:b/>
                <w:bCs/>
                <w:szCs w:val="20"/>
              </w:rPr>
              <w:lastRenderedPageBreak/>
              <w:t xml:space="preserve">Punktas 1.9.7: </w:t>
            </w:r>
            <w:r w:rsidRPr="00C544EC">
              <w:rPr>
                <w:rFonts w:cs="Arial"/>
                <w:szCs w:val="20"/>
              </w:rPr>
              <w:t>Atnaujinti Vyriausybės komisijos nacionalinei žmogiškųjų išteklių stebėsenai koordinuoti darbą ir pradėti įgyvendinti įgūdžių strategiją, pradžia – 2021 m. I ketv., pabaiga - 2021 m. II ketv.</w:t>
            </w:r>
          </w:p>
        </w:tc>
        <w:tc>
          <w:tcPr>
            <w:tcW w:w="3134" w:type="dxa"/>
          </w:tcPr>
          <w:p w14:paraId="72C4A308" w14:textId="77777777" w:rsidR="00331DC9" w:rsidRPr="00C544EC" w:rsidRDefault="00331DC9" w:rsidP="00AE283E">
            <w:pPr>
              <w:pStyle w:val="ListParagraph"/>
              <w:numPr>
                <w:ilvl w:val="0"/>
                <w:numId w:val="5"/>
              </w:numPr>
              <w:spacing w:before="0" w:after="0" w:line="276" w:lineRule="auto"/>
              <w:ind w:left="200" w:hanging="200"/>
              <w:contextualSpacing w:val="0"/>
              <w:jc w:val="left"/>
              <w:rPr>
                <w:rFonts w:cs="Arial"/>
                <w:szCs w:val="20"/>
              </w:rPr>
            </w:pPr>
            <w:r w:rsidRPr="00C544EC">
              <w:rPr>
                <w:rFonts w:cs="Arial"/>
                <w:szCs w:val="20"/>
              </w:rPr>
              <w:t>Punktą iškelti prie horizontalių temų, ir skaidyti į dvi dalis:</w:t>
            </w:r>
          </w:p>
          <w:p w14:paraId="7CAF67DC" w14:textId="77777777" w:rsidR="00331DC9" w:rsidRPr="00C544EC" w:rsidRDefault="00331DC9" w:rsidP="00AE283E">
            <w:pPr>
              <w:pStyle w:val="ListParagraph"/>
              <w:numPr>
                <w:ilvl w:val="0"/>
                <w:numId w:val="5"/>
              </w:numPr>
              <w:spacing w:before="0" w:after="0" w:line="276" w:lineRule="auto"/>
              <w:ind w:left="250" w:hanging="250"/>
              <w:jc w:val="left"/>
              <w:rPr>
                <w:rFonts w:cs="Arial"/>
                <w:szCs w:val="20"/>
              </w:rPr>
            </w:pPr>
            <w:r w:rsidRPr="00C544EC">
              <w:rPr>
                <w:rFonts w:cs="Arial"/>
                <w:szCs w:val="20"/>
              </w:rPr>
              <w:t>Atnaujinti Vyriausybės komisijos nacionalinei žmogiškųjų išteklių stebėsenai (NŽISK) koordinuoti darbą, pradžia – 2021 m. I ketv., pabaiga – 2021 m. II ketv.</w:t>
            </w:r>
          </w:p>
          <w:p w14:paraId="70305556" w14:textId="77777777" w:rsidR="00331DC9" w:rsidRPr="00C544EC" w:rsidRDefault="00331DC9" w:rsidP="00AE283E">
            <w:pPr>
              <w:pStyle w:val="ListParagraph"/>
              <w:numPr>
                <w:ilvl w:val="0"/>
                <w:numId w:val="5"/>
              </w:numPr>
              <w:spacing w:before="0" w:after="0" w:line="276" w:lineRule="auto"/>
              <w:ind w:left="250" w:hanging="250"/>
              <w:jc w:val="left"/>
              <w:rPr>
                <w:rFonts w:cs="Arial"/>
                <w:szCs w:val="20"/>
              </w:rPr>
            </w:pPr>
            <w:r w:rsidRPr="00C544EC">
              <w:rPr>
                <w:rFonts w:cs="Arial"/>
                <w:szCs w:val="20"/>
              </w:rPr>
              <w:t>Pradėti koordinuoti Nacionalinės įgūdžių strategijos įgyvendinimą, pradžia – 2021 m. III ketv., pabaiga – 2021 m. IV ketv.</w:t>
            </w:r>
          </w:p>
        </w:tc>
        <w:tc>
          <w:tcPr>
            <w:tcW w:w="7576" w:type="dxa"/>
          </w:tcPr>
          <w:p w14:paraId="0946AC2C" w14:textId="77777777" w:rsidR="00331DC9" w:rsidRPr="00C544EC" w:rsidRDefault="00331DC9" w:rsidP="00AE283E">
            <w:pPr>
              <w:spacing w:line="276" w:lineRule="auto"/>
              <w:rPr>
                <w:rFonts w:cs="Arial"/>
                <w:szCs w:val="20"/>
              </w:rPr>
            </w:pPr>
          </w:p>
          <w:p w14:paraId="7747C50F" w14:textId="77777777" w:rsidR="00331DC9" w:rsidRPr="00C544EC" w:rsidRDefault="00331DC9" w:rsidP="00AE283E">
            <w:pPr>
              <w:pStyle w:val="ListParagraph"/>
              <w:numPr>
                <w:ilvl w:val="0"/>
                <w:numId w:val="4"/>
              </w:numPr>
              <w:spacing w:before="0" w:after="0" w:line="276" w:lineRule="auto"/>
              <w:jc w:val="left"/>
              <w:rPr>
                <w:rFonts w:cs="Arial"/>
                <w:szCs w:val="20"/>
              </w:rPr>
            </w:pPr>
            <w:r w:rsidRPr="00C544EC">
              <w:rPr>
                <w:rFonts w:cs="Arial"/>
                <w:szCs w:val="20"/>
              </w:rPr>
              <w:t>Šio punkto tema apima ne tik kiekvieno žmogus starto pozicijas, bet ir tolesnį asmens vystymą bei konkurencingumo darbo rinkoje palaikymą (t. y. kvalifikacijos tobulinimą, perkvalifikavimą ir pan.).</w:t>
            </w:r>
          </w:p>
          <w:p w14:paraId="175FCFAE" w14:textId="77777777" w:rsidR="00331DC9" w:rsidRPr="00C544EC" w:rsidRDefault="00331DC9" w:rsidP="00AE283E">
            <w:pPr>
              <w:pStyle w:val="ListParagraph"/>
              <w:numPr>
                <w:ilvl w:val="0"/>
                <w:numId w:val="4"/>
              </w:numPr>
              <w:spacing w:before="0" w:after="0" w:line="276" w:lineRule="auto"/>
              <w:jc w:val="left"/>
              <w:rPr>
                <w:rFonts w:cs="Arial"/>
                <w:szCs w:val="20"/>
              </w:rPr>
            </w:pPr>
            <w:r w:rsidRPr="00C544EC">
              <w:rPr>
                <w:rFonts w:cs="Arial"/>
                <w:szCs w:val="20"/>
              </w:rPr>
              <w:t>NŽISK veiklos atnaujinimas ir Nacionalinės įgūdžių strategijos įgyvendinimas – du skirtingi darbai.</w:t>
            </w:r>
          </w:p>
          <w:p w14:paraId="51AF0A2C" w14:textId="77777777" w:rsidR="00331DC9" w:rsidRPr="00C544EC" w:rsidRDefault="00331DC9" w:rsidP="00AE283E">
            <w:pPr>
              <w:pStyle w:val="ListParagraph"/>
              <w:numPr>
                <w:ilvl w:val="0"/>
                <w:numId w:val="4"/>
              </w:numPr>
              <w:spacing w:before="0" w:after="0" w:line="276" w:lineRule="auto"/>
              <w:jc w:val="left"/>
              <w:rPr>
                <w:rFonts w:cs="Arial"/>
                <w:szCs w:val="20"/>
              </w:rPr>
            </w:pPr>
            <w:r w:rsidRPr="00C544EC">
              <w:rPr>
                <w:rFonts w:cs="Arial"/>
                <w:szCs w:val="20"/>
              </w:rPr>
              <w:t xml:space="preserve">Nacionalinė įgūdžių strategija bus viešai prietatyta 2021 m. II ketv., todėl jos įgyvendinimo koordinavimą logiška pradėti 2021 m. III ketv. </w:t>
            </w:r>
            <w:r w:rsidRPr="00C544EC">
              <w:rPr>
                <w:rFonts w:cs="Arial"/>
                <w:color w:val="0070C0"/>
                <w:szCs w:val="20"/>
              </w:rPr>
              <w:t>(koordinavimas apimtų parengiamuosius darbus, t. y. instrumentai, susitarimas kaip koordinuoti, revizija, kokie darbai pradėti įgyvendinti ir pan.; jei būtų II-asis etapas, tai projekto parengimą ir kt.)</w:t>
            </w:r>
          </w:p>
        </w:tc>
      </w:tr>
    </w:tbl>
    <w:p w14:paraId="25608802" w14:textId="77777777" w:rsidR="00331DC9" w:rsidRPr="00C544EC" w:rsidRDefault="00331DC9" w:rsidP="00AE283E">
      <w:pPr>
        <w:spacing w:line="276" w:lineRule="auto"/>
        <w:rPr>
          <w:rFonts w:cs="Arial"/>
          <w:szCs w:val="20"/>
          <w:highlight w:val="yellow"/>
        </w:rPr>
      </w:pPr>
    </w:p>
    <w:p w14:paraId="034E88A6" w14:textId="77777777" w:rsidR="00331DC9" w:rsidRPr="00C544EC" w:rsidRDefault="00331DC9" w:rsidP="00AE283E">
      <w:pPr>
        <w:pStyle w:val="ListParagraph"/>
        <w:numPr>
          <w:ilvl w:val="0"/>
          <w:numId w:val="4"/>
        </w:numPr>
        <w:spacing w:before="240" w:after="240" w:line="276" w:lineRule="auto"/>
        <w:contextualSpacing w:val="0"/>
        <w:rPr>
          <w:rFonts w:cs="Arial"/>
          <w:szCs w:val="20"/>
        </w:rPr>
      </w:pPr>
      <w:r w:rsidRPr="00C544EC">
        <w:rPr>
          <w:rFonts w:cs="Arial"/>
          <w:b/>
          <w:bCs/>
          <w:szCs w:val="20"/>
        </w:rPr>
        <w:t xml:space="preserve">Dėl 5 prioriteto formuluočių patikslinimo. </w:t>
      </w:r>
      <w:r w:rsidRPr="00C544EC">
        <w:rPr>
          <w:rFonts w:cs="Arial"/>
          <w:szCs w:val="20"/>
        </w:rPr>
        <w:t>Teikiame tokius siūlymus:</w:t>
      </w:r>
    </w:p>
    <w:tbl>
      <w:tblPr>
        <w:tblStyle w:val="TableGrid"/>
        <w:tblW w:w="13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4"/>
        <w:gridCol w:w="3260"/>
        <w:gridCol w:w="7513"/>
      </w:tblGrid>
      <w:tr w:rsidR="00331DC9" w:rsidRPr="00C544EC" w14:paraId="1945EC19" w14:textId="77777777" w:rsidTr="000552FC">
        <w:trPr>
          <w:trHeight w:val="193"/>
          <w:tblHeader/>
        </w:trPr>
        <w:tc>
          <w:tcPr>
            <w:tcW w:w="3114" w:type="dxa"/>
            <w:shd w:val="clear" w:color="auto" w:fill="D9D9D9" w:themeFill="background1" w:themeFillShade="D9"/>
          </w:tcPr>
          <w:p w14:paraId="76DD0C90" w14:textId="77777777" w:rsidR="00331DC9" w:rsidRPr="00C544EC" w:rsidRDefault="00331DC9" w:rsidP="00AE283E">
            <w:pPr>
              <w:spacing w:line="276" w:lineRule="auto"/>
              <w:rPr>
                <w:rFonts w:cs="Arial"/>
                <w:b/>
                <w:bCs/>
                <w:szCs w:val="20"/>
              </w:rPr>
            </w:pPr>
            <w:r w:rsidRPr="00C544EC">
              <w:rPr>
                <w:rFonts w:cs="Arial"/>
                <w:b/>
                <w:bCs/>
                <w:szCs w:val="20"/>
              </w:rPr>
              <w:lastRenderedPageBreak/>
              <w:t>Plane</w:t>
            </w:r>
          </w:p>
        </w:tc>
        <w:tc>
          <w:tcPr>
            <w:tcW w:w="3260" w:type="dxa"/>
            <w:shd w:val="clear" w:color="auto" w:fill="D9D9D9" w:themeFill="background1" w:themeFillShade="D9"/>
          </w:tcPr>
          <w:p w14:paraId="1937DC5D" w14:textId="77777777" w:rsidR="00331DC9" w:rsidRPr="00C544EC" w:rsidRDefault="00331DC9" w:rsidP="00AE283E">
            <w:pPr>
              <w:spacing w:line="276" w:lineRule="auto"/>
              <w:rPr>
                <w:rFonts w:cs="Arial"/>
                <w:b/>
                <w:bCs/>
                <w:szCs w:val="20"/>
              </w:rPr>
            </w:pPr>
            <w:r w:rsidRPr="00C544EC">
              <w:rPr>
                <w:rFonts w:cs="Arial"/>
                <w:b/>
                <w:bCs/>
                <w:szCs w:val="20"/>
              </w:rPr>
              <w:t>Siūlymas</w:t>
            </w:r>
          </w:p>
        </w:tc>
        <w:tc>
          <w:tcPr>
            <w:tcW w:w="7513" w:type="dxa"/>
            <w:shd w:val="clear" w:color="auto" w:fill="D9D9D9" w:themeFill="background1" w:themeFillShade="D9"/>
          </w:tcPr>
          <w:p w14:paraId="0F0DA37F" w14:textId="77777777" w:rsidR="00331DC9" w:rsidRPr="00C544EC" w:rsidRDefault="00331DC9" w:rsidP="00AE283E">
            <w:pPr>
              <w:spacing w:line="276" w:lineRule="auto"/>
              <w:rPr>
                <w:rFonts w:cs="Arial"/>
                <w:b/>
                <w:bCs/>
                <w:szCs w:val="20"/>
              </w:rPr>
            </w:pPr>
            <w:r w:rsidRPr="00C544EC">
              <w:rPr>
                <w:rFonts w:cs="Arial"/>
                <w:b/>
                <w:bCs/>
                <w:szCs w:val="20"/>
              </w:rPr>
              <w:t xml:space="preserve">Pagrindimas </w:t>
            </w:r>
          </w:p>
        </w:tc>
      </w:tr>
      <w:tr w:rsidR="00331DC9" w:rsidRPr="00C544EC" w14:paraId="00835ADA" w14:textId="77777777" w:rsidTr="000552FC">
        <w:trPr>
          <w:trHeight w:val="193"/>
        </w:trPr>
        <w:tc>
          <w:tcPr>
            <w:tcW w:w="3114" w:type="dxa"/>
          </w:tcPr>
          <w:p w14:paraId="2A7F2DF6" w14:textId="77777777" w:rsidR="00331DC9" w:rsidRPr="00C544EC" w:rsidRDefault="00331DC9" w:rsidP="00AE283E">
            <w:pPr>
              <w:spacing w:line="276" w:lineRule="auto"/>
              <w:rPr>
                <w:rFonts w:cs="Arial"/>
                <w:szCs w:val="20"/>
              </w:rPr>
            </w:pPr>
            <w:r w:rsidRPr="00C544EC">
              <w:rPr>
                <w:rFonts w:cs="Arial"/>
                <w:szCs w:val="20"/>
              </w:rPr>
              <w:t xml:space="preserve">5.3.10. </w:t>
            </w:r>
            <w:r w:rsidRPr="00C544EC">
              <w:rPr>
                <w:rFonts w:cs="Arial"/>
                <w:szCs w:val="20"/>
                <w:lang w:eastAsia="lt-LT"/>
              </w:rPr>
              <w:t>Parengti ir įgyvendinti priemones, sudarančias galimybes pritraukti į Lietuvą talentus, nesusiejant su išankstine darbo vieta</w:t>
            </w:r>
          </w:p>
        </w:tc>
        <w:tc>
          <w:tcPr>
            <w:tcW w:w="3260" w:type="dxa"/>
          </w:tcPr>
          <w:p w14:paraId="6C12F6A7" w14:textId="77777777" w:rsidR="00331DC9" w:rsidRPr="00C544EC" w:rsidRDefault="00331DC9" w:rsidP="00AE283E">
            <w:pPr>
              <w:spacing w:line="276" w:lineRule="auto"/>
              <w:jc w:val="left"/>
              <w:rPr>
                <w:rFonts w:eastAsia="Times New Roman" w:cs="Arial"/>
                <w:szCs w:val="20"/>
              </w:rPr>
            </w:pPr>
            <w:r w:rsidRPr="00C544EC">
              <w:rPr>
                <w:rFonts w:eastAsia="Times New Roman" w:cs="Arial"/>
                <w:szCs w:val="20"/>
              </w:rPr>
              <w:t>Darbo pavadinime atsisakyti formuluotės „nesusiejant su išankstine darbo vieta“, paliekant lankstumo priemonės rengime.</w:t>
            </w:r>
          </w:p>
        </w:tc>
        <w:tc>
          <w:tcPr>
            <w:tcW w:w="7513" w:type="dxa"/>
          </w:tcPr>
          <w:p w14:paraId="2E8D5F07" w14:textId="77777777" w:rsidR="00331DC9" w:rsidRPr="00C544EC" w:rsidRDefault="00331DC9" w:rsidP="00AE283E">
            <w:pPr>
              <w:spacing w:line="276" w:lineRule="auto"/>
              <w:rPr>
                <w:rFonts w:eastAsia="Times New Roman" w:cs="Arial"/>
                <w:szCs w:val="20"/>
              </w:rPr>
            </w:pPr>
            <w:r w:rsidRPr="00C544EC">
              <w:rPr>
                <w:rFonts w:eastAsia="Times New Roman" w:cs="Arial"/>
                <w:szCs w:val="20"/>
              </w:rPr>
              <w:t xml:space="preserve">EBPO projekte „Įrodymais grįstos politikos formavimas ir vertinimas Vyriausybės centre“ tarpinėje ataskaitoje pateikia rekomendaciją: kurti stipendijų/paskatų programą, kur studentai, mainais už studijų finansavimą užsienyje, įsipareigotų grįžę sutartą laikotarpį dirbti viešajame sektoriuje. </w:t>
            </w:r>
          </w:p>
        </w:tc>
      </w:tr>
      <w:tr w:rsidR="00331DC9" w:rsidRPr="00C544EC" w14:paraId="74185C55" w14:textId="77777777" w:rsidTr="000552FC">
        <w:trPr>
          <w:trHeight w:val="193"/>
        </w:trPr>
        <w:tc>
          <w:tcPr>
            <w:tcW w:w="3114" w:type="dxa"/>
          </w:tcPr>
          <w:p w14:paraId="4A40FF5D" w14:textId="77777777" w:rsidR="00331DC9" w:rsidRPr="00C544EC" w:rsidRDefault="00331DC9" w:rsidP="00AE283E">
            <w:pPr>
              <w:spacing w:line="276" w:lineRule="auto"/>
              <w:rPr>
                <w:rFonts w:cs="Arial"/>
                <w:szCs w:val="20"/>
              </w:rPr>
            </w:pPr>
            <w:r w:rsidRPr="00C544EC">
              <w:rPr>
                <w:rFonts w:cs="Arial"/>
                <w:szCs w:val="20"/>
              </w:rPr>
              <w:t>Tarp ministrų strateginių darbų 5.6.punkte įrašytas “Paprastesnis verslo administravimas”.</w:t>
            </w:r>
          </w:p>
        </w:tc>
        <w:tc>
          <w:tcPr>
            <w:tcW w:w="3260" w:type="dxa"/>
          </w:tcPr>
          <w:p w14:paraId="3A916608" w14:textId="77777777" w:rsidR="00331DC9" w:rsidRPr="00C544EC" w:rsidRDefault="00331DC9" w:rsidP="00AE283E">
            <w:pPr>
              <w:autoSpaceDE w:val="0"/>
              <w:autoSpaceDN w:val="0"/>
              <w:adjustRightInd w:val="0"/>
              <w:spacing w:line="276" w:lineRule="auto"/>
              <w:rPr>
                <w:rFonts w:cs="Arial"/>
                <w:szCs w:val="20"/>
              </w:rPr>
            </w:pPr>
            <w:r w:rsidRPr="00C544EC">
              <w:rPr>
                <w:rFonts w:cs="Arial"/>
                <w:szCs w:val="20"/>
              </w:rPr>
              <w:t xml:space="preserve">tikslinti šio punkto pavadinimą formuluotę į ”Geresnė (paprastesnė) verslo aplinka (klimatas)“ </w:t>
            </w:r>
          </w:p>
        </w:tc>
        <w:tc>
          <w:tcPr>
            <w:tcW w:w="7513" w:type="dxa"/>
          </w:tcPr>
          <w:p w14:paraId="77041EA3" w14:textId="77777777" w:rsidR="00331DC9" w:rsidRPr="00C544EC" w:rsidRDefault="00331DC9" w:rsidP="00AE283E">
            <w:pPr>
              <w:autoSpaceDE w:val="0"/>
              <w:autoSpaceDN w:val="0"/>
              <w:adjustRightInd w:val="0"/>
              <w:spacing w:line="276" w:lineRule="auto"/>
              <w:rPr>
                <w:rFonts w:cs="Arial"/>
                <w:szCs w:val="20"/>
              </w:rPr>
            </w:pPr>
            <w:r w:rsidRPr="00C544EC">
              <w:rPr>
                <w:rFonts w:cs="Arial"/>
                <w:szCs w:val="20"/>
              </w:rPr>
              <w:t>Žodžių junginys</w:t>
            </w:r>
            <w:r w:rsidRPr="00C544EC">
              <w:rPr>
                <w:rFonts w:cs="Arial"/>
                <w:b/>
                <w:bCs/>
                <w:szCs w:val="20"/>
              </w:rPr>
              <w:t xml:space="preserve"> “</w:t>
            </w:r>
            <w:r w:rsidRPr="00C544EC">
              <w:rPr>
                <w:rFonts w:cs="Arial"/>
                <w:szCs w:val="20"/>
              </w:rPr>
              <w:t>verslo administravimas” reiškia verslo (įmonių)  valdymą, o valstybė paprastai nenustato verslo administravimo taisyklių ir pati neatlieka verslo valdymo (išskyrus valstybei nuosavybės teise priklausančių įmonių). Kita vertus, VPN ĮP numatyta daug veiksmų, skirtų gerinti verslo klimatą, tačiau nei vienas iš išvardintų ministro strateginių darbų nėra susijęs su verslo aplinkos gerinimu.</w:t>
            </w:r>
          </w:p>
        </w:tc>
      </w:tr>
      <w:tr w:rsidR="00C544EC" w:rsidRPr="00C544EC" w14:paraId="4BEA8CD7" w14:textId="77777777" w:rsidTr="000552FC">
        <w:trPr>
          <w:trHeight w:val="193"/>
        </w:trPr>
        <w:tc>
          <w:tcPr>
            <w:tcW w:w="3114" w:type="dxa"/>
          </w:tcPr>
          <w:p w14:paraId="61A3AC1D" w14:textId="70287961" w:rsidR="00C544EC" w:rsidRPr="00C544EC" w:rsidRDefault="00C544EC" w:rsidP="00C544EC">
            <w:pPr>
              <w:spacing w:line="276" w:lineRule="auto"/>
              <w:rPr>
                <w:rFonts w:cs="Arial"/>
                <w:szCs w:val="20"/>
              </w:rPr>
            </w:pPr>
            <w:r w:rsidRPr="00C544EC">
              <w:rPr>
                <w:rFonts w:cs="Arial"/>
                <w:szCs w:val="20"/>
              </w:rPr>
              <w:t xml:space="preserve">5.3.15. Sukurti </w:t>
            </w:r>
            <w:r w:rsidRPr="00C544EC">
              <w:rPr>
                <w:rFonts w:cs="Arial"/>
                <w:szCs w:val="20"/>
                <w:lang w:eastAsia="lt-LT"/>
              </w:rPr>
              <w:t>ir pradėti įgyvendinti finansinio rėmimo priemones šalies žmogiškųjų išteklių kompetencijų plėtrai, didinančiai ekonomikos konkurencingumą ir šalies investicinį patrauklumą, pradėti diegti žmogiškųjų išteklių stebėsenos, prognozavimo ir įgūdžių poreikių nustatymo priemones</w:t>
            </w:r>
          </w:p>
        </w:tc>
        <w:tc>
          <w:tcPr>
            <w:tcW w:w="3260" w:type="dxa"/>
          </w:tcPr>
          <w:p w14:paraId="5F0ECC1E" w14:textId="0ACF56D2" w:rsidR="00C544EC" w:rsidRPr="00C544EC" w:rsidRDefault="00C544EC" w:rsidP="00AE283E">
            <w:pPr>
              <w:autoSpaceDE w:val="0"/>
              <w:autoSpaceDN w:val="0"/>
              <w:adjustRightInd w:val="0"/>
              <w:spacing w:line="276" w:lineRule="auto"/>
              <w:rPr>
                <w:rFonts w:cs="Arial"/>
                <w:szCs w:val="20"/>
              </w:rPr>
            </w:pPr>
            <w:r w:rsidRPr="00C544EC">
              <w:rPr>
                <w:rFonts w:cs="Arial"/>
                <w:szCs w:val="20"/>
              </w:rPr>
              <w:t>Prie dalyvaujančių institucijų nurodyti LRVK (STRATA)</w:t>
            </w:r>
          </w:p>
        </w:tc>
        <w:tc>
          <w:tcPr>
            <w:tcW w:w="7513" w:type="dxa"/>
          </w:tcPr>
          <w:p w14:paraId="55B99734" w14:textId="5A4FC106" w:rsidR="00C544EC" w:rsidRPr="00C544EC" w:rsidRDefault="00C544EC" w:rsidP="00AE283E">
            <w:pPr>
              <w:autoSpaceDE w:val="0"/>
              <w:autoSpaceDN w:val="0"/>
              <w:adjustRightInd w:val="0"/>
              <w:spacing w:line="276" w:lineRule="auto"/>
              <w:rPr>
                <w:rFonts w:cs="Arial"/>
                <w:szCs w:val="20"/>
              </w:rPr>
            </w:pPr>
            <w:r w:rsidRPr="00C544EC">
              <w:rPr>
                <w:rFonts w:cs="Arial"/>
                <w:szCs w:val="20"/>
              </w:rPr>
              <w:t>Žmogiškųjų išteklių stebėsena ir prognozavimas yra NŽISK ir STRATA pavesta veiklos sritis. Plg. 1.9.7</w:t>
            </w:r>
          </w:p>
        </w:tc>
      </w:tr>
    </w:tbl>
    <w:p w14:paraId="659B124D" w14:textId="77777777" w:rsidR="00331DC9" w:rsidRPr="00C544EC" w:rsidRDefault="00331DC9" w:rsidP="00AE283E">
      <w:pPr>
        <w:spacing w:line="276" w:lineRule="auto"/>
        <w:rPr>
          <w:rFonts w:cs="Arial"/>
          <w:szCs w:val="20"/>
        </w:rPr>
      </w:pPr>
    </w:p>
    <w:p w14:paraId="091A03B2" w14:textId="77777777" w:rsidR="00331DC9" w:rsidRPr="00C544EC" w:rsidRDefault="00331DC9" w:rsidP="00AE283E">
      <w:pPr>
        <w:pStyle w:val="ListParagraph"/>
        <w:numPr>
          <w:ilvl w:val="0"/>
          <w:numId w:val="4"/>
        </w:numPr>
        <w:spacing w:before="240" w:after="240" w:line="276" w:lineRule="auto"/>
        <w:contextualSpacing w:val="0"/>
        <w:rPr>
          <w:rFonts w:cs="Arial"/>
          <w:szCs w:val="20"/>
        </w:rPr>
      </w:pPr>
      <w:r w:rsidRPr="00C544EC">
        <w:rPr>
          <w:rFonts w:cs="Arial"/>
          <w:b/>
          <w:bCs/>
          <w:szCs w:val="20"/>
        </w:rPr>
        <w:t xml:space="preserve">Dėl 8 prioriteto formuluočių patikslinimo. </w:t>
      </w:r>
      <w:r w:rsidRPr="00C544EC">
        <w:rPr>
          <w:rFonts w:cs="Arial"/>
          <w:szCs w:val="20"/>
        </w:rPr>
        <w:t>Teikiame tokius siūlymus:</w:t>
      </w:r>
    </w:p>
    <w:tbl>
      <w:tblPr>
        <w:tblStyle w:val="TableGrid"/>
        <w:tblW w:w="13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4"/>
        <w:gridCol w:w="3260"/>
        <w:gridCol w:w="7513"/>
      </w:tblGrid>
      <w:tr w:rsidR="00331DC9" w:rsidRPr="00C544EC" w14:paraId="2EA3CD42" w14:textId="77777777" w:rsidTr="000552FC">
        <w:trPr>
          <w:trHeight w:val="238"/>
          <w:tblHeader/>
        </w:trPr>
        <w:tc>
          <w:tcPr>
            <w:tcW w:w="3114" w:type="dxa"/>
            <w:shd w:val="clear" w:color="auto" w:fill="D9D9D9" w:themeFill="background1" w:themeFillShade="D9"/>
          </w:tcPr>
          <w:p w14:paraId="460C7079" w14:textId="77777777" w:rsidR="00331DC9" w:rsidRPr="00C544EC" w:rsidRDefault="00331DC9" w:rsidP="00AE283E">
            <w:pPr>
              <w:spacing w:line="276" w:lineRule="auto"/>
              <w:rPr>
                <w:rFonts w:cs="Arial"/>
                <w:b/>
                <w:bCs/>
                <w:szCs w:val="20"/>
              </w:rPr>
            </w:pPr>
            <w:r w:rsidRPr="00C544EC">
              <w:rPr>
                <w:rFonts w:cs="Arial"/>
                <w:b/>
                <w:bCs/>
                <w:szCs w:val="20"/>
              </w:rPr>
              <w:lastRenderedPageBreak/>
              <w:t>Plane</w:t>
            </w:r>
          </w:p>
        </w:tc>
        <w:tc>
          <w:tcPr>
            <w:tcW w:w="3260" w:type="dxa"/>
            <w:shd w:val="clear" w:color="auto" w:fill="D9D9D9" w:themeFill="background1" w:themeFillShade="D9"/>
          </w:tcPr>
          <w:p w14:paraId="66439D42" w14:textId="77777777" w:rsidR="00331DC9" w:rsidRPr="00C544EC" w:rsidRDefault="00331DC9" w:rsidP="00AE283E">
            <w:pPr>
              <w:spacing w:line="276" w:lineRule="auto"/>
              <w:rPr>
                <w:rFonts w:cs="Arial"/>
                <w:b/>
                <w:bCs/>
                <w:szCs w:val="20"/>
              </w:rPr>
            </w:pPr>
            <w:r w:rsidRPr="00C544EC">
              <w:rPr>
                <w:rFonts w:cs="Arial"/>
                <w:b/>
                <w:bCs/>
                <w:szCs w:val="20"/>
              </w:rPr>
              <w:t>Siūlymas</w:t>
            </w:r>
          </w:p>
        </w:tc>
        <w:tc>
          <w:tcPr>
            <w:tcW w:w="7513" w:type="dxa"/>
            <w:shd w:val="clear" w:color="auto" w:fill="D9D9D9" w:themeFill="background1" w:themeFillShade="D9"/>
          </w:tcPr>
          <w:p w14:paraId="4AF4DBDF" w14:textId="77777777" w:rsidR="00331DC9" w:rsidRPr="00C544EC" w:rsidRDefault="00331DC9" w:rsidP="00AE283E">
            <w:pPr>
              <w:spacing w:line="276" w:lineRule="auto"/>
              <w:rPr>
                <w:rFonts w:cs="Arial"/>
                <w:b/>
                <w:bCs/>
                <w:szCs w:val="20"/>
              </w:rPr>
            </w:pPr>
            <w:r w:rsidRPr="00C544EC">
              <w:rPr>
                <w:rFonts w:cs="Arial"/>
                <w:b/>
                <w:bCs/>
                <w:szCs w:val="20"/>
              </w:rPr>
              <w:t xml:space="preserve">Pagrindimas </w:t>
            </w:r>
          </w:p>
        </w:tc>
      </w:tr>
      <w:tr w:rsidR="00331DC9" w:rsidRPr="00C544EC" w14:paraId="0F024A42" w14:textId="77777777" w:rsidTr="000552FC">
        <w:trPr>
          <w:trHeight w:val="238"/>
        </w:trPr>
        <w:tc>
          <w:tcPr>
            <w:tcW w:w="3114" w:type="dxa"/>
            <w:vAlign w:val="center"/>
          </w:tcPr>
          <w:p w14:paraId="5D062F3F" w14:textId="77777777" w:rsidR="00331DC9" w:rsidRPr="00C544EC" w:rsidRDefault="00331DC9" w:rsidP="00AE283E">
            <w:pPr>
              <w:autoSpaceDE w:val="0"/>
              <w:autoSpaceDN w:val="0"/>
              <w:adjustRightInd w:val="0"/>
              <w:spacing w:line="276" w:lineRule="auto"/>
              <w:rPr>
                <w:rFonts w:cs="Arial"/>
                <w:b/>
                <w:bCs/>
                <w:color w:val="000000" w:themeColor="text1"/>
                <w:szCs w:val="20"/>
              </w:rPr>
            </w:pPr>
            <w:r w:rsidRPr="00C544EC">
              <w:rPr>
                <w:rFonts w:cs="Arial"/>
                <w:b/>
                <w:bCs/>
                <w:szCs w:val="20"/>
              </w:rPr>
              <w:t>Misijos įgyvendinimo sėkmės (poveikio) rodikliai</w:t>
            </w:r>
          </w:p>
          <w:p w14:paraId="514F6EA9" w14:textId="77777777" w:rsidR="00331DC9" w:rsidRPr="00C544EC" w:rsidRDefault="00331DC9" w:rsidP="00AE283E">
            <w:pPr>
              <w:spacing w:line="276" w:lineRule="auto"/>
              <w:rPr>
                <w:rFonts w:cs="Arial"/>
                <w:szCs w:val="20"/>
              </w:rPr>
            </w:pPr>
          </w:p>
        </w:tc>
        <w:tc>
          <w:tcPr>
            <w:tcW w:w="3260" w:type="dxa"/>
          </w:tcPr>
          <w:p w14:paraId="6F551D03" w14:textId="77777777" w:rsidR="00331DC9" w:rsidRPr="00C544EC" w:rsidRDefault="00331DC9" w:rsidP="00AE283E">
            <w:pPr>
              <w:autoSpaceDE w:val="0"/>
              <w:autoSpaceDN w:val="0"/>
              <w:adjustRightInd w:val="0"/>
              <w:spacing w:line="276" w:lineRule="auto"/>
              <w:rPr>
                <w:rFonts w:cs="Arial"/>
                <w:szCs w:val="20"/>
              </w:rPr>
            </w:pPr>
            <w:r w:rsidRPr="00C544EC">
              <w:rPr>
                <w:rFonts w:cs="Arial"/>
                <w:szCs w:val="20"/>
              </w:rPr>
              <w:t>Papildyti sąrašą tokiais rodikliais, kaip:</w:t>
            </w:r>
          </w:p>
          <w:p w14:paraId="2F46F134" w14:textId="77777777" w:rsidR="00331DC9" w:rsidRPr="00C544EC" w:rsidRDefault="00331DC9" w:rsidP="00AE283E">
            <w:pPr>
              <w:autoSpaceDE w:val="0"/>
              <w:autoSpaceDN w:val="0"/>
              <w:adjustRightInd w:val="0"/>
              <w:spacing w:line="276" w:lineRule="auto"/>
              <w:rPr>
                <w:rFonts w:cs="Arial"/>
                <w:b/>
                <w:bCs/>
                <w:szCs w:val="20"/>
                <w:lang w:val="en-GB"/>
              </w:rPr>
            </w:pPr>
            <w:r w:rsidRPr="00C544EC">
              <w:rPr>
                <w:rFonts w:cs="Arial"/>
                <w:b/>
                <w:bCs/>
                <w:szCs w:val="20"/>
              </w:rPr>
              <w:t xml:space="preserve">Rodiklio pavadinimas, Siektina reikšmė </w:t>
            </w:r>
            <w:r w:rsidRPr="00C544EC">
              <w:rPr>
                <w:rFonts w:cs="Arial"/>
                <w:b/>
                <w:bCs/>
                <w:szCs w:val="20"/>
                <w:lang w:val="en-GB"/>
              </w:rPr>
              <w:t>2024 m.</w:t>
            </w:r>
          </w:p>
          <w:p w14:paraId="4FA02E22" w14:textId="77777777" w:rsidR="00331DC9" w:rsidRPr="00C544EC" w:rsidRDefault="00331DC9" w:rsidP="00AE283E">
            <w:pPr>
              <w:autoSpaceDE w:val="0"/>
              <w:autoSpaceDN w:val="0"/>
              <w:adjustRightInd w:val="0"/>
              <w:spacing w:line="276" w:lineRule="auto"/>
              <w:rPr>
                <w:rFonts w:cs="Arial"/>
                <w:szCs w:val="20"/>
              </w:rPr>
            </w:pPr>
            <w:r w:rsidRPr="00C544EC">
              <w:rPr>
                <w:rFonts w:cs="Arial"/>
                <w:szCs w:val="20"/>
              </w:rPr>
              <w:t>Įstatymų projektų, Vyriausybės pateiktų Seimui kartu su poveikio vertinimais, atitinkančiais nustatytą kokybės standartą (dalis, proc.) 25</w:t>
            </w:r>
          </w:p>
          <w:p w14:paraId="4F16AAD0" w14:textId="77777777" w:rsidR="00331DC9" w:rsidRPr="00C544EC" w:rsidRDefault="00331DC9" w:rsidP="00AE283E">
            <w:pPr>
              <w:autoSpaceDE w:val="0"/>
              <w:autoSpaceDN w:val="0"/>
              <w:adjustRightInd w:val="0"/>
              <w:spacing w:line="276" w:lineRule="auto"/>
              <w:rPr>
                <w:rFonts w:cs="Arial"/>
                <w:szCs w:val="20"/>
                <w:lang w:val="en-GB"/>
              </w:rPr>
            </w:pPr>
          </w:p>
          <w:p w14:paraId="33A3CCF3" w14:textId="77777777" w:rsidR="00331DC9" w:rsidRPr="00C544EC" w:rsidRDefault="00331DC9" w:rsidP="00AE283E">
            <w:pPr>
              <w:autoSpaceDE w:val="0"/>
              <w:autoSpaceDN w:val="0"/>
              <w:adjustRightInd w:val="0"/>
              <w:spacing w:line="276" w:lineRule="auto"/>
              <w:rPr>
                <w:rFonts w:cs="Arial"/>
                <w:szCs w:val="20"/>
                <w:lang w:val="en-GB"/>
              </w:rPr>
            </w:pPr>
            <w:r w:rsidRPr="00C544EC">
              <w:rPr>
                <w:rFonts w:cs="Arial"/>
                <w:szCs w:val="20"/>
              </w:rPr>
              <w:t xml:space="preserve">Teisės aktų projektų, Vyriausybės teikiamų Seimui, skaičiaus sumažinimas (lyginant su </w:t>
            </w:r>
            <w:r w:rsidRPr="00C544EC">
              <w:rPr>
                <w:rFonts w:cs="Arial"/>
                <w:szCs w:val="20"/>
                <w:lang w:val="en-GB"/>
              </w:rPr>
              <w:t>2020 m., proc.) 25</w:t>
            </w:r>
          </w:p>
          <w:p w14:paraId="2DFA4285" w14:textId="77777777" w:rsidR="00331DC9" w:rsidRPr="00C544EC" w:rsidRDefault="00331DC9" w:rsidP="00AE283E">
            <w:pPr>
              <w:autoSpaceDE w:val="0"/>
              <w:autoSpaceDN w:val="0"/>
              <w:adjustRightInd w:val="0"/>
              <w:spacing w:line="276" w:lineRule="auto"/>
              <w:rPr>
                <w:rFonts w:cs="Arial"/>
                <w:szCs w:val="20"/>
                <w:lang w:val="en-GB"/>
              </w:rPr>
            </w:pPr>
          </w:p>
          <w:p w14:paraId="74D6C3A7" w14:textId="77777777" w:rsidR="00331DC9" w:rsidRPr="00C544EC" w:rsidRDefault="00331DC9" w:rsidP="00AE283E">
            <w:pPr>
              <w:autoSpaceDE w:val="0"/>
              <w:autoSpaceDN w:val="0"/>
              <w:adjustRightInd w:val="0"/>
              <w:spacing w:line="276" w:lineRule="auto"/>
              <w:rPr>
                <w:rFonts w:cs="Arial"/>
                <w:szCs w:val="20"/>
              </w:rPr>
            </w:pPr>
            <w:r w:rsidRPr="00C544EC">
              <w:rPr>
                <w:rFonts w:cs="Arial"/>
                <w:szCs w:val="20"/>
              </w:rPr>
              <w:t xml:space="preserve">Planuojamų atlikti </w:t>
            </w:r>
            <w:r w:rsidRPr="00C544EC">
              <w:rPr>
                <w:rFonts w:cs="Arial"/>
                <w:i/>
                <w:iCs/>
                <w:szCs w:val="20"/>
                <w:lang w:val="en-GB"/>
              </w:rPr>
              <w:t xml:space="preserve">ex-post </w:t>
            </w:r>
            <w:r w:rsidRPr="00C544EC">
              <w:rPr>
                <w:rFonts w:cs="Arial"/>
                <w:szCs w:val="20"/>
              </w:rPr>
              <w:t>poveikio vertinimų skaičius (vnt.)</w:t>
            </w:r>
            <w:r w:rsidRPr="00C544EC">
              <w:rPr>
                <w:rFonts w:cs="Arial"/>
                <w:szCs w:val="20"/>
                <w:lang w:val="en-GB"/>
              </w:rPr>
              <w:t>10</w:t>
            </w:r>
          </w:p>
        </w:tc>
        <w:tc>
          <w:tcPr>
            <w:tcW w:w="7513" w:type="dxa"/>
          </w:tcPr>
          <w:p w14:paraId="6E1CC79D" w14:textId="77777777" w:rsidR="00331DC9" w:rsidRPr="00C544EC" w:rsidRDefault="00331DC9" w:rsidP="00AE283E">
            <w:pPr>
              <w:autoSpaceDE w:val="0"/>
              <w:autoSpaceDN w:val="0"/>
              <w:adjustRightInd w:val="0"/>
              <w:spacing w:after="0" w:line="276" w:lineRule="auto"/>
              <w:rPr>
                <w:rFonts w:cs="Arial"/>
                <w:szCs w:val="20"/>
                <w:lang w:val="en-GB"/>
              </w:rPr>
            </w:pPr>
            <w:r w:rsidRPr="00C544EC">
              <w:rPr>
                <w:rFonts w:cs="Arial"/>
                <w:szCs w:val="20"/>
              </w:rPr>
              <w:t>Vienas iš svarbių Vyriausybės programos projektų yra tiesiogiai susijęs su kokybiška teisėkūra (</w:t>
            </w:r>
            <w:r w:rsidRPr="00C544EC">
              <w:rPr>
                <w:rFonts w:cs="Arial"/>
                <w:szCs w:val="20"/>
                <w:lang w:val="en-GB"/>
              </w:rPr>
              <w:t xml:space="preserve">8.1. </w:t>
            </w:r>
            <w:r w:rsidRPr="00C544EC">
              <w:rPr>
                <w:rFonts w:cs="Arial"/>
                <w:szCs w:val="20"/>
              </w:rPr>
              <w:t xml:space="preserve">TEISĖKŪRA – KOKYBIŠKA IR PLANUOJAMA). Tačiau tarp sėkmės rodiklių nėra nei vieno, susijusio su teisėkūros sistemos tobulinimu ir teisės aktų kokybės užtikrinimu. </w:t>
            </w:r>
          </w:p>
          <w:p w14:paraId="6122CC3E" w14:textId="77777777" w:rsidR="00331DC9" w:rsidRPr="00C544EC" w:rsidRDefault="00331DC9" w:rsidP="00AE283E">
            <w:pPr>
              <w:autoSpaceDE w:val="0"/>
              <w:autoSpaceDN w:val="0"/>
              <w:adjustRightInd w:val="0"/>
              <w:spacing w:line="276" w:lineRule="auto"/>
              <w:rPr>
                <w:rFonts w:cs="Arial"/>
                <w:szCs w:val="20"/>
                <w:lang w:val="en-GB"/>
              </w:rPr>
            </w:pPr>
          </w:p>
        </w:tc>
      </w:tr>
      <w:tr w:rsidR="00331DC9" w:rsidRPr="00C544EC" w14:paraId="1AA656D4" w14:textId="77777777" w:rsidTr="000552FC">
        <w:trPr>
          <w:trHeight w:val="238"/>
        </w:trPr>
        <w:tc>
          <w:tcPr>
            <w:tcW w:w="3114" w:type="dxa"/>
            <w:vAlign w:val="center"/>
          </w:tcPr>
          <w:p w14:paraId="65E77062" w14:textId="77777777" w:rsidR="00331DC9" w:rsidRPr="00C544EC" w:rsidRDefault="00331DC9" w:rsidP="00AE283E">
            <w:pPr>
              <w:spacing w:line="276" w:lineRule="auto"/>
              <w:rPr>
                <w:rFonts w:cs="Arial"/>
                <w:b/>
                <w:bCs/>
                <w:szCs w:val="20"/>
              </w:rPr>
            </w:pPr>
            <w:r w:rsidRPr="00C544EC">
              <w:rPr>
                <w:rFonts w:cs="Arial"/>
                <w:b/>
                <w:bCs/>
                <w:szCs w:val="20"/>
              </w:rPr>
              <w:t>Ministrų strateginiai darbai</w:t>
            </w:r>
          </w:p>
          <w:p w14:paraId="7ACF5875" w14:textId="77777777" w:rsidR="00331DC9" w:rsidRPr="00C544EC" w:rsidRDefault="00331DC9" w:rsidP="00AE283E">
            <w:pPr>
              <w:autoSpaceDE w:val="0"/>
              <w:autoSpaceDN w:val="0"/>
              <w:adjustRightInd w:val="0"/>
              <w:spacing w:line="276" w:lineRule="auto"/>
              <w:rPr>
                <w:rFonts w:cs="Arial"/>
                <w:szCs w:val="20"/>
              </w:rPr>
            </w:pPr>
          </w:p>
        </w:tc>
        <w:tc>
          <w:tcPr>
            <w:tcW w:w="3260" w:type="dxa"/>
          </w:tcPr>
          <w:p w14:paraId="7F81802E" w14:textId="77777777" w:rsidR="00331DC9" w:rsidRPr="00C544EC" w:rsidRDefault="00331DC9" w:rsidP="00AE283E">
            <w:pPr>
              <w:autoSpaceDE w:val="0"/>
              <w:autoSpaceDN w:val="0"/>
              <w:adjustRightInd w:val="0"/>
              <w:spacing w:line="276" w:lineRule="auto"/>
              <w:rPr>
                <w:rFonts w:cs="Arial"/>
                <w:szCs w:val="20"/>
              </w:rPr>
            </w:pPr>
            <w:r w:rsidRPr="00C544EC">
              <w:rPr>
                <w:rFonts w:cs="Arial"/>
                <w:szCs w:val="20"/>
              </w:rPr>
              <w:t>Siūlytume įrašyti darbą „Kokybiška teisėkūra“.</w:t>
            </w:r>
          </w:p>
        </w:tc>
        <w:tc>
          <w:tcPr>
            <w:tcW w:w="7513" w:type="dxa"/>
          </w:tcPr>
          <w:p w14:paraId="261F5255" w14:textId="77777777" w:rsidR="00331DC9" w:rsidRPr="00C544EC" w:rsidRDefault="00331DC9" w:rsidP="00AE283E">
            <w:pPr>
              <w:autoSpaceDE w:val="0"/>
              <w:autoSpaceDN w:val="0"/>
              <w:adjustRightInd w:val="0"/>
              <w:spacing w:line="276" w:lineRule="auto"/>
              <w:rPr>
                <w:rFonts w:cs="Arial"/>
                <w:szCs w:val="20"/>
                <w:lang w:val="en-GB"/>
              </w:rPr>
            </w:pPr>
            <w:r w:rsidRPr="00C544EC">
              <w:rPr>
                <w:rFonts w:cs="Arial"/>
                <w:szCs w:val="20"/>
              </w:rPr>
              <w:t xml:space="preserve">Tarp Teisingumo ministro strateginių darbų nepaminėta kokybiška teisėkūra, nors tai vienas iš Vyriausybės programos projektų. </w:t>
            </w:r>
          </w:p>
        </w:tc>
      </w:tr>
      <w:tr w:rsidR="00331DC9" w:rsidRPr="00C544EC" w14:paraId="1B272028" w14:textId="77777777" w:rsidTr="000552FC">
        <w:trPr>
          <w:trHeight w:val="238"/>
        </w:trPr>
        <w:tc>
          <w:tcPr>
            <w:tcW w:w="3114" w:type="dxa"/>
            <w:vAlign w:val="center"/>
          </w:tcPr>
          <w:p w14:paraId="7A5DD595" w14:textId="77777777" w:rsidR="00331DC9" w:rsidRPr="00C544EC" w:rsidRDefault="00331DC9" w:rsidP="00AE283E">
            <w:pPr>
              <w:spacing w:line="276" w:lineRule="auto"/>
              <w:rPr>
                <w:rFonts w:cs="Arial"/>
                <w:b/>
                <w:bCs/>
                <w:szCs w:val="20"/>
              </w:rPr>
            </w:pPr>
            <w:r w:rsidRPr="00C544EC">
              <w:rPr>
                <w:rFonts w:eastAsia="Times New Roman" w:cs="Arial"/>
                <w:color w:val="000000"/>
                <w:szCs w:val="20"/>
              </w:rPr>
              <w:t xml:space="preserve">8.1.1. Pakeisti Numatomo teisinio reguliavimo poveikio vertinimo metodiką ir nustatyti prioritetinių (didesnio poveikio) teisėkūros iniciatyvų atrankos kriterijus, apibrėžti iniciatyvų </w:t>
            </w:r>
            <w:r w:rsidRPr="00C544EC">
              <w:rPr>
                <w:rFonts w:eastAsia="Times New Roman" w:cs="Arial"/>
                <w:color w:val="000000"/>
                <w:szCs w:val="20"/>
              </w:rPr>
              <w:lastRenderedPageBreak/>
              <w:t>planavimo ir rengimo procesus, įtvirtinti poveikio vertinimo atlikimą ankstyvojoje teisėkūros stadijoje (</w:t>
            </w:r>
            <w:r w:rsidRPr="00C544EC">
              <w:rPr>
                <w:rFonts w:eastAsia="Times New Roman" w:cs="Arial"/>
                <w:color w:val="000000"/>
                <w:szCs w:val="20"/>
                <w:lang w:val="en-GB"/>
              </w:rPr>
              <w:t xml:space="preserve">2021 m. </w:t>
            </w:r>
            <w:r w:rsidRPr="00C544EC">
              <w:rPr>
                <w:rFonts w:eastAsia="Times New Roman" w:cs="Arial"/>
                <w:color w:val="000000"/>
                <w:szCs w:val="20"/>
              </w:rPr>
              <w:t>I-II ketv.)</w:t>
            </w:r>
          </w:p>
        </w:tc>
        <w:tc>
          <w:tcPr>
            <w:tcW w:w="3260" w:type="dxa"/>
          </w:tcPr>
          <w:p w14:paraId="7CD7BBC6" w14:textId="77777777" w:rsidR="00331DC9" w:rsidRPr="00C544EC" w:rsidRDefault="00331DC9" w:rsidP="00AE283E">
            <w:pPr>
              <w:spacing w:line="276" w:lineRule="auto"/>
              <w:rPr>
                <w:rFonts w:eastAsia="Times New Roman" w:cs="Arial"/>
                <w:szCs w:val="20"/>
              </w:rPr>
            </w:pPr>
            <w:r w:rsidRPr="00C544EC">
              <w:rPr>
                <w:rFonts w:eastAsia="Times New Roman" w:cs="Arial"/>
                <w:szCs w:val="20"/>
              </w:rPr>
              <w:lastRenderedPageBreak/>
              <w:t xml:space="preserve">Veiksmo įgyvendinimą perkelti į </w:t>
            </w:r>
            <w:r w:rsidRPr="00C544EC">
              <w:rPr>
                <w:rFonts w:eastAsia="Times New Roman" w:cs="Arial"/>
                <w:szCs w:val="20"/>
                <w:lang w:val="en-GB"/>
              </w:rPr>
              <w:t>2022 m. I-II ketv.</w:t>
            </w:r>
          </w:p>
        </w:tc>
        <w:tc>
          <w:tcPr>
            <w:tcW w:w="7513" w:type="dxa"/>
          </w:tcPr>
          <w:p w14:paraId="7B4B8480" w14:textId="77777777" w:rsidR="00331DC9" w:rsidRPr="00C544EC" w:rsidRDefault="00331DC9" w:rsidP="00AE283E">
            <w:pPr>
              <w:spacing w:line="276" w:lineRule="auto"/>
              <w:rPr>
                <w:rFonts w:eastAsia="Times New Roman" w:cs="Arial"/>
                <w:szCs w:val="20"/>
              </w:rPr>
            </w:pPr>
            <w:r w:rsidRPr="00C544EC">
              <w:rPr>
                <w:rFonts w:eastAsia="Times New Roman" w:cs="Arial"/>
                <w:szCs w:val="20"/>
              </w:rPr>
              <w:t xml:space="preserve">kelia abejonių skubus metodikos keitimas, nes problema yra ne </w:t>
            </w:r>
            <w:r w:rsidRPr="00C544EC">
              <w:rPr>
                <w:rFonts w:eastAsia="Times New Roman" w:cs="Arial"/>
                <w:i/>
                <w:iCs/>
                <w:szCs w:val="20"/>
                <w:lang w:val="en-GB"/>
              </w:rPr>
              <w:t>ex-ante</w:t>
            </w:r>
            <w:r w:rsidRPr="00C544EC">
              <w:rPr>
                <w:rFonts w:eastAsia="Times New Roman" w:cs="Arial"/>
                <w:szCs w:val="20"/>
              </w:rPr>
              <w:t xml:space="preserve"> poveikio vertinimo taisyklės, o jų įgyvendinimas. Nuo </w:t>
            </w:r>
            <w:r w:rsidRPr="00C544EC">
              <w:rPr>
                <w:rFonts w:eastAsia="Times New Roman" w:cs="Arial"/>
                <w:szCs w:val="20"/>
                <w:lang w:val="en-GB"/>
              </w:rPr>
              <w:t xml:space="preserve">2003 </w:t>
            </w:r>
            <w:r w:rsidRPr="00C544EC">
              <w:rPr>
                <w:rFonts w:eastAsia="Times New Roman" w:cs="Arial"/>
                <w:szCs w:val="20"/>
              </w:rPr>
              <w:t xml:space="preserve"> m. metodika buvo ne kartą keista, tačiau tai nepadėjo sukurti efektyviai veikiančios poveikio vertinimo sistemos, nes nebuvo sukurtos reikiamos prielaidos. </w:t>
            </w:r>
            <w:r w:rsidRPr="00C544EC">
              <w:rPr>
                <w:rFonts w:eastAsia="Times New Roman" w:cs="Arial"/>
                <w:szCs w:val="20"/>
                <w:lang w:val="en-GB"/>
              </w:rPr>
              <w:t xml:space="preserve">2020 m. </w:t>
            </w:r>
            <w:r w:rsidRPr="00C544EC">
              <w:rPr>
                <w:rFonts w:eastAsia="Times New Roman" w:cs="Arial"/>
                <w:szCs w:val="20"/>
              </w:rPr>
              <w:t xml:space="preserve">STRATA įsijungė į poveikio vertinimo sistemą kaip įstaiga, teikianti metodinę ir ekspertinę pagalbą valstybės tarnautojams rengiantiems poveikio vertinimus ir atsakinga už poveikio vertinimų </w:t>
            </w:r>
            <w:r w:rsidRPr="00C544EC">
              <w:rPr>
                <w:rFonts w:eastAsia="Times New Roman" w:cs="Arial"/>
                <w:szCs w:val="20"/>
              </w:rPr>
              <w:lastRenderedPageBreak/>
              <w:t xml:space="preserve">kokybės priežiūrą (nors tai buvo daroma labai ribota apimtimi). Norint sukurti poveikio vertinimo sistemą, kuri realiai prisidėtų prie kokybiškos teisėkūros, reikia didinti išsamesnių poveikio vertinimų, kurių kokybė prižiūrima, skaičių, tęsti valstybės tarnautojų mokymus, iš esmės sustiprinti ministerijų analitinius gebėjimus, paskirti ministerijų padalinius, kuriuose būtų koncentruojamos poveikio vertinimo kompetencijos. Be to, dar nėra baigtas įgyvendinti EBPO projektas „Įrodymais grįstas valdymas“, kurio rezultatai galėtų būti panaudoti tobulinant poveikio vertinimo sistemą. Poveikio vertinimai </w:t>
            </w:r>
            <w:r w:rsidRPr="00C544EC">
              <w:rPr>
                <w:rFonts w:eastAsia="Times New Roman" w:cs="Arial"/>
                <w:szCs w:val="20"/>
                <w:lang w:val="en-GB"/>
              </w:rPr>
              <w:t xml:space="preserve">2021 m. </w:t>
            </w:r>
            <w:r w:rsidRPr="00C544EC">
              <w:rPr>
                <w:rFonts w:eastAsia="Times New Roman" w:cs="Arial"/>
                <w:szCs w:val="20"/>
              </w:rPr>
              <w:t>būtų atliekami pagal “eksperimentinę” tvarką (kaip 2020 m.), tik didesne apimtimi.</w:t>
            </w:r>
          </w:p>
        </w:tc>
      </w:tr>
      <w:tr w:rsidR="00331DC9" w:rsidRPr="00C544EC" w14:paraId="06062939" w14:textId="77777777" w:rsidTr="000552FC">
        <w:trPr>
          <w:trHeight w:val="238"/>
        </w:trPr>
        <w:tc>
          <w:tcPr>
            <w:tcW w:w="3114" w:type="dxa"/>
            <w:vAlign w:val="center"/>
          </w:tcPr>
          <w:p w14:paraId="47096989" w14:textId="77777777" w:rsidR="00331DC9" w:rsidRPr="00C544EC" w:rsidRDefault="00331DC9" w:rsidP="00AE283E">
            <w:pPr>
              <w:spacing w:line="276" w:lineRule="auto"/>
              <w:rPr>
                <w:rFonts w:cs="Arial"/>
                <w:szCs w:val="20"/>
              </w:rPr>
            </w:pPr>
            <w:r w:rsidRPr="00C544EC">
              <w:rPr>
                <w:rFonts w:cs="Arial"/>
                <w:szCs w:val="20"/>
              </w:rPr>
              <w:lastRenderedPageBreak/>
              <w:t xml:space="preserve">8.1.2. </w:t>
            </w:r>
            <w:r w:rsidRPr="00C544EC">
              <w:rPr>
                <w:rFonts w:cs="Arial"/>
                <w:color w:val="000000"/>
                <w:szCs w:val="20"/>
                <w:lang w:eastAsia="lt-LT"/>
              </w:rPr>
              <w:t>Sukurti ir įveiklinti analitinių gebėjimų atlikti kokybiškus poveikio vertinimus stiprinimo sistemą, parengiant gebėjimų stiprinimo priemonių rinkinį, kuris apimtų mokymus, metodines gaires, įvairius metodinės pagalbos  ir konsultavimo būdus ir įrankius</w:t>
            </w:r>
          </w:p>
        </w:tc>
        <w:tc>
          <w:tcPr>
            <w:tcW w:w="3260" w:type="dxa"/>
          </w:tcPr>
          <w:p w14:paraId="4F227FCA" w14:textId="77777777" w:rsidR="00331DC9" w:rsidRPr="00C544EC" w:rsidRDefault="00331DC9" w:rsidP="00AE283E">
            <w:pPr>
              <w:pStyle w:val="ListParagraph"/>
              <w:numPr>
                <w:ilvl w:val="0"/>
                <w:numId w:val="8"/>
              </w:numPr>
              <w:spacing w:before="0" w:after="0" w:line="276" w:lineRule="auto"/>
              <w:ind w:left="178" w:hanging="218"/>
              <w:contextualSpacing w:val="0"/>
              <w:jc w:val="left"/>
              <w:rPr>
                <w:rFonts w:eastAsia="Times New Roman" w:cs="Arial"/>
                <w:szCs w:val="20"/>
              </w:rPr>
            </w:pPr>
            <w:r w:rsidRPr="00C544EC">
              <w:rPr>
                <w:rFonts w:eastAsia="Times New Roman" w:cs="Arial"/>
                <w:szCs w:val="20"/>
              </w:rPr>
              <w:t>Šį darbą plėtoti siejant su 9.3.1. darbu ar CPVA RRF inciatyva.</w:t>
            </w:r>
          </w:p>
          <w:p w14:paraId="798D4C1C" w14:textId="77777777" w:rsidR="00331DC9" w:rsidRPr="00C544EC" w:rsidRDefault="00331DC9" w:rsidP="00AE283E">
            <w:pPr>
              <w:pStyle w:val="ListParagraph"/>
              <w:numPr>
                <w:ilvl w:val="0"/>
                <w:numId w:val="8"/>
              </w:numPr>
              <w:spacing w:before="0" w:after="0" w:line="276" w:lineRule="auto"/>
              <w:ind w:left="178" w:hanging="283"/>
              <w:contextualSpacing w:val="0"/>
              <w:jc w:val="left"/>
              <w:rPr>
                <w:rFonts w:eastAsia="Times New Roman" w:cs="Arial"/>
                <w:szCs w:val="20"/>
              </w:rPr>
            </w:pPr>
            <w:r w:rsidRPr="00C544EC">
              <w:rPr>
                <w:rFonts w:eastAsia="Times New Roman" w:cs="Arial"/>
                <w:szCs w:val="20"/>
              </w:rPr>
              <w:t>veiksmo</w:t>
            </w:r>
            <w:r w:rsidRPr="00C544EC">
              <w:rPr>
                <w:rFonts w:eastAsia="Times New Roman" w:cs="Arial"/>
                <w:szCs w:val="20"/>
                <w:lang w:val="en-GB"/>
              </w:rPr>
              <w:t xml:space="preserve"> </w:t>
            </w:r>
            <w:r w:rsidRPr="00C544EC">
              <w:rPr>
                <w:rFonts w:eastAsia="Times New Roman" w:cs="Arial"/>
                <w:szCs w:val="20"/>
              </w:rPr>
              <w:t>pabaigoje</w:t>
            </w:r>
            <w:r w:rsidRPr="00C544EC">
              <w:rPr>
                <w:rFonts w:eastAsia="Times New Roman" w:cs="Arial"/>
                <w:szCs w:val="20"/>
                <w:lang w:val="en-GB"/>
              </w:rPr>
              <w:t xml:space="preserve"> </w:t>
            </w:r>
            <w:r w:rsidRPr="00C544EC">
              <w:rPr>
                <w:rFonts w:eastAsia="Times New Roman" w:cs="Arial"/>
                <w:szCs w:val="20"/>
              </w:rPr>
              <w:t xml:space="preserve">įrašyti “ ..., </w:t>
            </w:r>
            <w:r w:rsidRPr="00C544EC">
              <w:rPr>
                <w:rFonts w:cs="Arial"/>
                <w:szCs w:val="20"/>
              </w:rPr>
              <w:t>paskiriant už šią sritį atsakingus ministerijų koordinatorius“.</w:t>
            </w:r>
          </w:p>
        </w:tc>
        <w:tc>
          <w:tcPr>
            <w:tcW w:w="7513" w:type="dxa"/>
          </w:tcPr>
          <w:p w14:paraId="3CADC54F" w14:textId="77777777" w:rsidR="00331DC9" w:rsidRPr="00C544EC" w:rsidRDefault="00331DC9" w:rsidP="00AE283E">
            <w:pPr>
              <w:spacing w:line="276" w:lineRule="auto"/>
              <w:rPr>
                <w:rFonts w:eastAsia="Times New Roman" w:cs="Arial"/>
                <w:szCs w:val="20"/>
              </w:rPr>
            </w:pPr>
            <w:r w:rsidRPr="00C544EC">
              <w:rPr>
                <w:rFonts w:eastAsia="Times New Roman" w:cs="Arial"/>
                <w:szCs w:val="20"/>
              </w:rPr>
              <w:t xml:space="preserve">1. Neužtenka kalbėti vien apie analitinius gebėjimus kaip kompetenciją, atskiriant ją nuo pareigybinių funkcijų. Reikalinga kurti pareigybes, kurių funkcijose būtų nurodyta atsakomybė ir užduotis atlikti poveikio vertinimus, kas reikalauja specialių profesinių kompetencijų, atitinkamo išsilavinimo ekonomikos ar finansų analizės srityje, nuolatinės tęstinės praktikos ir konkurencingo atlyginimo, patrauklių darbo sąlygų. </w:t>
            </w:r>
          </w:p>
          <w:p w14:paraId="71773A58" w14:textId="77777777" w:rsidR="00331DC9" w:rsidRPr="00C544EC" w:rsidRDefault="00331DC9" w:rsidP="00AE283E">
            <w:pPr>
              <w:spacing w:line="276" w:lineRule="auto"/>
              <w:rPr>
                <w:rFonts w:cs="Arial"/>
                <w:szCs w:val="20"/>
              </w:rPr>
            </w:pPr>
            <w:r w:rsidRPr="00C544EC">
              <w:rPr>
                <w:rFonts w:eastAsia="Times New Roman" w:cs="Arial"/>
                <w:szCs w:val="20"/>
              </w:rPr>
              <w:t>2. Analitinių gebėjimų sistema pateiktoje formuluotėje traktuojama pernelyg siaurai ir neapima ministerijų, kurios yra tiesiogiai atsakingos už poveikio vertinimo pažymų rengimą.  Sistemos įveiklinimas negali ir neturi apsiriboti tik vienos įstaigos (šiuo atveju, STRATA) veikla, į įveiklinimo procesą turi aktyviai įsijungti visi sistemos dalyviai.</w:t>
            </w:r>
          </w:p>
        </w:tc>
      </w:tr>
      <w:tr w:rsidR="00331DC9" w:rsidRPr="00C544EC" w14:paraId="0FE70E82" w14:textId="77777777" w:rsidTr="000552FC">
        <w:trPr>
          <w:trHeight w:val="238"/>
        </w:trPr>
        <w:tc>
          <w:tcPr>
            <w:tcW w:w="3114" w:type="dxa"/>
          </w:tcPr>
          <w:p w14:paraId="35682EDF" w14:textId="77777777" w:rsidR="00331DC9" w:rsidRPr="00C544EC" w:rsidRDefault="00331DC9" w:rsidP="00AE283E">
            <w:pPr>
              <w:spacing w:line="276" w:lineRule="auto"/>
              <w:rPr>
                <w:rFonts w:cs="Arial"/>
                <w:szCs w:val="20"/>
              </w:rPr>
            </w:pPr>
            <w:r w:rsidRPr="00C544EC">
              <w:rPr>
                <w:rFonts w:cs="Arial"/>
                <w:szCs w:val="20"/>
              </w:rPr>
              <w:t xml:space="preserve">8.1.5. </w:t>
            </w:r>
            <w:r w:rsidRPr="00C544EC">
              <w:rPr>
                <w:rFonts w:cs="Arial"/>
                <w:color w:val="000000"/>
                <w:szCs w:val="20"/>
                <w:lang w:eastAsia="lt-LT"/>
              </w:rPr>
              <w:t>Atlikti ex post įrankio veiksmingumo ir efektyvumo analizę ir priimti Vyriausybės sprendimą dėl dalyvaujančių ekspertų (mokslininkų) tinklo sukūrimo</w:t>
            </w:r>
          </w:p>
        </w:tc>
        <w:tc>
          <w:tcPr>
            <w:tcW w:w="3260" w:type="dxa"/>
          </w:tcPr>
          <w:p w14:paraId="78DAFF91" w14:textId="77777777" w:rsidR="00331DC9" w:rsidRPr="00C544EC" w:rsidRDefault="00331DC9" w:rsidP="00AE283E">
            <w:pPr>
              <w:spacing w:line="276" w:lineRule="auto"/>
              <w:rPr>
                <w:rFonts w:eastAsia="Times New Roman" w:cs="Arial"/>
                <w:szCs w:val="20"/>
              </w:rPr>
            </w:pPr>
            <w:r w:rsidRPr="00C544EC">
              <w:rPr>
                <w:rFonts w:eastAsia="Times New Roman" w:cs="Arial"/>
                <w:szCs w:val="20"/>
              </w:rPr>
              <w:t>Kaip dalyvaujančią instituciją nurodyti ir STRATA</w:t>
            </w:r>
          </w:p>
          <w:p w14:paraId="048B66B9" w14:textId="77777777" w:rsidR="00331DC9" w:rsidRPr="00C544EC" w:rsidRDefault="00331DC9" w:rsidP="00AE283E">
            <w:pPr>
              <w:spacing w:line="276" w:lineRule="auto"/>
              <w:rPr>
                <w:rFonts w:eastAsia="Times New Roman" w:cs="Arial"/>
                <w:szCs w:val="20"/>
              </w:rPr>
            </w:pPr>
          </w:p>
        </w:tc>
        <w:tc>
          <w:tcPr>
            <w:tcW w:w="7513" w:type="dxa"/>
          </w:tcPr>
          <w:p w14:paraId="72F08339" w14:textId="77777777" w:rsidR="00331DC9" w:rsidRPr="00C544EC" w:rsidRDefault="00331DC9" w:rsidP="00AE283E">
            <w:pPr>
              <w:spacing w:line="276" w:lineRule="auto"/>
              <w:rPr>
                <w:rFonts w:cs="Arial"/>
                <w:szCs w:val="20"/>
              </w:rPr>
            </w:pPr>
            <w:r w:rsidRPr="00C544EC">
              <w:rPr>
                <w:rFonts w:cs="Arial"/>
                <w:szCs w:val="20"/>
              </w:rPr>
              <w:t>Būtina užtikrinti sistemiškumą su ex ante poveikio vertinimo sisTEma, kurios kokybės tobulinime dalyvauja STRATA</w:t>
            </w:r>
          </w:p>
        </w:tc>
      </w:tr>
      <w:tr w:rsidR="00C544EC" w:rsidRPr="00C544EC" w14:paraId="003E6A04" w14:textId="77777777" w:rsidTr="000552FC">
        <w:trPr>
          <w:trHeight w:val="238"/>
        </w:trPr>
        <w:tc>
          <w:tcPr>
            <w:tcW w:w="3114" w:type="dxa"/>
          </w:tcPr>
          <w:p w14:paraId="2BAA4EE5" w14:textId="77777777" w:rsidR="00C544EC" w:rsidRPr="00C544EC" w:rsidRDefault="00C544EC" w:rsidP="00C544EC">
            <w:pPr>
              <w:spacing w:line="276" w:lineRule="auto"/>
              <w:rPr>
                <w:rFonts w:cs="Arial"/>
                <w:szCs w:val="20"/>
              </w:rPr>
            </w:pPr>
            <w:r w:rsidRPr="00C544EC">
              <w:rPr>
                <w:rFonts w:cs="Arial"/>
                <w:szCs w:val="20"/>
              </w:rPr>
              <w:lastRenderedPageBreak/>
              <w:t>8.4.5.</w:t>
            </w:r>
            <w:r w:rsidRPr="00C544EC">
              <w:rPr>
                <w:rFonts w:cs="Arial"/>
                <w:szCs w:val="20"/>
                <w:lang w:eastAsia="lt-LT"/>
              </w:rPr>
              <w:t xml:space="preserve"> Išanalizuoti antstolio vykdymo išlaidų dydžių ir notaro atlyginimo įkainių galimus nustatymo kriterijus ir tvarką; parengti ir priimti teisės aktų dėl jų keitimo</w:t>
            </w:r>
          </w:p>
        </w:tc>
        <w:tc>
          <w:tcPr>
            <w:tcW w:w="3260" w:type="dxa"/>
          </w:tcPr>
          <w:p w14:paraId="3FA16CCD" w14:textId="77777777" w:rsidR="00C544EC" w:rsidRPr="00C544EC" w:rsidRDefault="00C544EC" w:rsidP="00C544EC">
            <w:pPr>
              <w:spacing w:line="276" w:lineRule="auto"/>
              <w:rPr>
                <w:rFonts w:eastAsia="Times New Roman" w:cs="Arial"/>
                <w:szCs w:val="20"/>
              </w:rPr>
            </w:pPr>
            <w:r w:rsidRPr="00C544EC">
              <w:rPr>
                <w:rFonts w:cs="Arial"/>
                <w:szCs w:val="20"/>
                <w:lang w:eastAsia="lt-LT"/>
              </w:rPr>
              <w:t>Siūlome nenurodyti STRATA tarp dalyvaujančių institucijų</w:t>
            </w:r>
          </w:p>
        </w:tc>
        <w:tc>
          <w:tcPr>
            <w:tcW w:w="7513" w:type="dxa"/>
          </w:tcPr>
          <w:p w14:paraId="2ED7C47F" w14:textId="77777777" w:rsidR="00C544EC" w:rsidRPr="00C544EC" w:rsidRDefault="00C544EC" w:rsidP="00C544EC">
            <w:pPr>
              <w:pStyle w:val="ListParagraph"/>
              <w:numPr>
                <w:ilvl w:val="0"/>
                <w:numId w:val="9"/>
              </w:numPr>
              <w:spacing w:before="0" w:after="0" w:line="276" w:lineRule="auto"/>
              <w:ind w:left="325"/>
              <w:contextualSpacing w:val="0"/>
              <w:jc w:val="left"/>
              <w:rPr>
                <w:rFonts w:cs="Arial"/>
                <w:szCs w:val="20"/>
              </w:rPr>
            </w:pPr>
            <w:r w:rsidRPr="00C544EC">
              <w:rPr>
                <w:rFonts w:cs="Arial"/>
                <w:szCs w:val="20"/>
              </w:rPr>
              <w:t xml:space="preserve">Tai siauros aprėpties, techninis sektorinis darbas, neatitinkantis STRATA misijos, orientuotos į Vyriausybės lygmens sprendimų parengimą. </w:t>
            </w:r>
          </w:p>
          <w:p w14:paraId="269A15AE" w14:textId="77777777" w:rsidR="00C544EC" w:rsidRPr="00C544EC" w:rsidRDefault="00C544EC" w:rsidP="00C544EC">
            <w:pPr>
              <w:pStyle w:val="ListParagraph"/>
              <w:numPr>
                <w:ilvl w:val="0"/>
                <w:numId w:val="9"/>
              </w:numPr>
              <w:spacing w:before="0" w:after="0" w:line="276" w:lineRule="auto"/>
              <w:ind w:left="325"/>
              <w:contextualSpacing w:val="0"/>
              <w:jc w:val="left"/>
              <w:rPr>
                <w:rFonts w:cs="Arial"/>
                <w:szCs w:val="20"/>
              </w:rPr>
            </w:pPr>
            <w:r w:rsidRPr="00C544EC">
              <w:rPr>
                <w:rFonts w:cs="Arial"/>
                <w:szCs w:val="20"/>
              </w:rPr>
              <w:t>STRATA neturi vidinės kompetencijos šiam darbui, reikėtų samdyti išorės ekspertus.</w:t>
            </w:r>
          </w:p>
        </w:tc>
      </w:tr>
      <w:tr w:rsidR="00C544EC" w:rsidRPr="00C544EC" w14:paraId="0CA0C0FF" w14:textId="77777777" w:rsidTr="000552FC">
        <w:trPr>
          <w:trHeight w:val="238"/>
        </w:trPr>
        <w:tc>
          <w:tcPr>
            <w:tcW w:w="3114" w:type="dxa"/>
          </w:tcPr>
          <w:p w14:paraId="7575B899" w14:textId="77777777" w:rsidR="00C544EC" w:rsidRPr="00C544EC" w:rsidRDefault="00C544EC" w:rsidP="00C544EC">
            <w:pPr>
              <w:spacing w:line="276" w:lineRule="auto"/>
              <w:rPr>
                <w:rFonts w:cs="Arial"/>
                <w:szCs w:val="20"/>
              </w:rPr>
            </w:pPr>
            <w:r w:rsidRPr="00C544EC">
              <w:rPr>
                <w:rFonts w:cs="Arial"/>
                <w:szCs w:val="20"/>
                <w:lang w:eastAsia="lt-LT"/>
              </w:rPr>
              <w:t>8.5.1. Atlikti valstybės garantuojamos teisinės pagalbos sistemos efektyvumą ir kokybę įvertinančią galimybių studiją</w:t>
            </w:r>
          </w:p>
        </w:tc>
        <w:tc>
          <w:tcPr>
            <w:tcW w:w="3260" w:type="dxa"/>
          </w:tcPr>
          <w:p w14:paraId="4037B8AC" w14:textId="77777777" w:rsidR="00C544EC" w:rsidRPr="00C544EC" w:rsidRDefault="00C544EC" w:rsidP="00C544EC">
            <w:pPr>
              <w:spacing w:line="276" w:lineRule="auto"/>
              <w:rPr>
                <w:rFonts w:cs="Arial"/>
                <w:szCs w:val="20"/>
                <w:lang w:eastAsia="lt-LT"/>
              </w:rPr>
            </w:pPr>
            <w:r w:rsidRPr="00C544EC">
              <w:rPr>
                <w:rFonts w:cs="Arial"/>
                <w:szCs w:val="20"/>
                <w:lang w:eastAsia="lt-LT"/>
              </w:rPr>
              <w:t>Siūlome nenurodyti STRATA tarp dalyvaujančių institucijų</w:t>
            </w:r>
          </w:p>
        </w:tc>
        <w:tc>
          <w:tcPr>
            <w:tcW w:w="7513" w:type="dxa"/>
          </w:tcPr>
          <w:p w14:paraId="34B486B6" w14:textId="77777777" w:rsidR="00C544EC" w:rsidRPr="00C544EC" w:rsidRDefault="00C544EC" w:rsidP="00C544EC">
            <w:pPr>
              <w:spacing w:line="276" w:lineRule="auto"/>
              <w:rPr>
                <w:rFonts w:cs="Arial"/>
                <w:szCs w:val="20"/>
              </w:rPr>
            </w:pPr>
            <w:r w:rsidRPr="00C544EC">
              <w:rPr>
                <w:rFonts w:cs="Arial"/>
                <w:szCs w:val="20"/>
              </w:rPr>
              <w:t>Siūlytume tikslingumą šiam darbui pasitelkti STRATA įvertinti svarstant STRATA metinį veiklos planą. Organizacija kol kas nėra sukaupusi vidinės kompetencijos teisingumo sistemos sektoriuje, tad jos dalyvavimo pridtinė vertė ribotųsi poveikio vertinimo metodologinėmis kompetencijomis. Svarstytina, ar organizacijos išįteklius nebūtų tikslingiau nukreipti kitiems LRV aktualiems darbams.</w:t>
            </w:r>
          </w:p>
        </w:tc>
      </w:tr>
    </w:tbl>
    <w:p w14:paraId="4925C4F1" w14:textId="77777777" w:rsidR="00331DC9" w:rsidRPr="00C544EC" w:rsidRDefault="00331DC9" w:rsidP="00AE283E">
      <w:pPr>
        <w:spacing w:line="276" w:lineRule="auto"/>
        <w:rPr>
          <w:rFonts w:cs="Arial"/>
          <w:szCs w:val="20"/>
        </w:rPr>
      </w:pPr>
    </w:p>
    <w:p w14:paraId="49014012" w14:textId="77777777" w:rsidR="00331DC9" w:rsidRPr="00C544EC" w:rsidRDefault="00331DC9" w:rsidP="00AE283E">
      <w:pPr>
        <w:pStyle w:val="ListParagraph"/>
        <w:numPr>
          <w:ilvl w:val="0"/>
          <w:numId w:val="4"/>
        </w:numPr>
        <w:spacing w:before="240" w:after="240" w:line="276" w:lineRule="auto"/>
        <w:contextualSpacing w:val="0"/>
        <w:rPr>
          <w:rFonts w:cs="Arial"/>
          <w:szCs w:val="20"/>
        </w:rPr>
      </w:pPr>
      <w:r w:rsidRPr="00C544EC">
        <w:rPr>
          <w:rFonts w:cs="Arial"/>
          <w:b/>
          <w:bCs/>
          <w:szCs w:val="20"/>
        </w:rPr>
        <w:t xml:space="preserve">Dėl 9 prioriteto formuluočių patikslinimo. </w:t>
      </w:r>
      <w:r w:rsidRPr="00C544EC">
        <w:rPr>
          <w:rFonts w:cs="Arial"/>
          <w:szCs w:val="20"/>
        </w:rPr>
        <w:t>Teikiame tokius siūlymus:</w:t>
      </w:r>
    </w:p>
    <w:tbl>
      <w:tblPr>
        <w:tblStyle w:val="TableGrid"/>
        <w:tblW w:w="13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4"/>
        <w:gridCol w:w="3260"/>
        <w:gridCol w:w="7513"/>
      </w:tblGrid>
      <w:tr w:rsidR="00331DC9" w:rsidRPr="00C544EC" w14:paraId="56A6292E" w14:textId="77777777" w:rsidTr="000552FC">
        <w:trPr>
          <w:trHeight w:val="203"/>
          <w:tblHeader/>
        </w:trPr>
        <w:tc>
          <w:tcPr>
            <w:tcW w:w="3114" w:type="dxa"/>
            <w:shd w:val="clear" w:color="auto" w:fill="D9D9D9" w:themeFill="background1" w:themeFillShade="D9"/>
          </w:tcPr>
          <w:p w14:paraId="5003C94E" w14:textId="77777777" w:rsidR="00331DC9" w:rsidRPr="00C544EC" w:rsidRDefault="00331DC9" w:rsidP="00AE283E">
            <w:pPr>
              <w:spacing w:line="276" w:lineRule="auto"/>
              <w:rPr>
                <w:rFonts w:cs="Arial"/>
                <w:b/>
                <w:bCs/>
                <w:szCs w:val="20"/>
              </w:rPr>
            </w:pPr>
            <w:r w:rsidRPr="00C544EC">
              <w:rPr>
                <w:rFonts w:cs="Arial"/>
                <w:b/>
                <w:bCs/>
                <w:szCs w:val="20"/>
              </w:rPr>
              <w:t>Plane</w:t>
            </w:r>
          </w:p>
        </w:tc>
        <w:tc>
          <w:tcPr>
            <w:tcW w:w="3260" w:type="dxa"/>
            <w:shd w:val="clear" w:color="auto" w:fill="D9D9D9" w:themeFill="background1" w:themeFillShade="D9"/>
          </w:tcPr>
          <w:p w14:paraId="3C4E9C37" w14:textId="77777777" w:rsidR="00331DC9" w:rsidRPr="00C544EC" w:rsidRDefault="00331DC9" w:rsidP="00AE283E">
            <w:pPr>
              <w:spacing w:line="276" w:lineRule="auto"/>
              <w:rPr>
                <w:rFonts w:cs="Arial"/>
                <w:b/>
                <w:bCs/>
                <w:szCs w:val="20"/>
              </w:rPr>
            </w:pPr>
            <w:r w:rsidRPr="00C544EC">
              <w:rPr>
                <w:rFonts w:cs="Arial"/>
                <w:b/>
                <w:bCs/>
                <w:szCs w:val="20"/>
              </w:rPr>
              <w:t>Siūlymas</w:t>
            </w:r>
          </w:p>
        </w:tc>
        <w:tc>
          <w:tcPr>
            <w:tcW w:w="7513" w:type="dxa"/>
            <w:shd w:val="clear" w:color="auto" w:fill="D9D9D9" w:themeFill="background1" w:themeFillShade="D9"/>
          </w:tcPr>
          <w:p w14:paraId="2ECBAC85" w14:textId="77777777" w:rsidR="00331DC9" w:rsidRPr="00C544EC" w:rsidRDefault="00331DC9" w:rsidP="00AE283E">
            <w:pPr>
              <w:spacing w:line="276" w:lineRule="auto"/>
              <w:rPr>
                <w:rFonts w:cs="Arial"/>
                <w:b/>
                <w:bCs/>
                <w:szCs w:val="20"/>
              </w:rPr>
            </w:pPr>
            <w:r w:rsidRPr="00C544EC">
              <w:rPr>
                <w:rFonts w:cs="Arial"/>
                <w:b/>
                <w:bCs/>
                <w:szCs w:val="20"/>
              </w:rPr>
              <w:t xml:space="preserve">Pagrindimas </w:t>
            </w:r>
          </w:p>
        </w:tc>
      </w:tr>
      <w:tr w:rsidR="00331DC9" w:rsidRPr="00C544EC" w14:paraId="6D09F88B" w14:textId="77777777" w:rsidTr="000552FC">
        <w:trPr>
          <w:trHeight w:val="203"/>
        </w:trPr>
        <w:tc>
          <w:tcPr>
            <w:tcW w:w="3114" w:type="dxa"/>
            <w:vAlign w:val="center"/>
          </w:tcPr>
          <w:p w14:paraId="3F86B2C3" w14:textId="77777777" w:rsidR="00331DC9" w:rsidRPr="00C544EC" w:rsidRDefault="00331DC9" w:rsidP="00AE283E">
            <w:pPr>
              <w:spacing w:line="276" w:lineRule="auto"/>
              <w:rPr>
                <w:rFonts w:cs="Arial"/>
                <w:szCs w:val="20"/>
              </w:rPr>
            </w:pPr>
            <w:r w:rsidRPr="00C544EC">
              <w:rPr>
                <w:rFonts w:cs="Arial"/>
                <w:szCs w:val="20"/>
              </w:rPr>
              <w:t>9.3.</w:t>
            </w:r>
            <w:r w:rsidRPr="00C544EC">
              <w:rPr>
                <w:rFonts w:cs="Arial"/>
                <w:szCs w:val="20"/>
                <w:lang w:val="en-GB"/>
              </w:rPr>
              <w:t>1</w:t>
            </w:r>
            <w:r w:rsidRPr="00C544EC">
              <w:rPr>
                <w:rFonts w:cs="Arial"/>
                <w:szCs w:val="20"/>
              </w:rPr>
              <w:t>. Priimti Vyriausybės sprendimą dėl valstybės tarnybos pertvarkos koncepcijos atsižvelgiant į žmogiškųjų išteklių valdymo valstybės tarnyboje atotrūkio (GAP) analizės rezultatus</w:t>
            </w:r>
          </w:p>
        </w:tc>
        <w:tc>
          <w:tcPr>
            <w:tcW w:w="3260" w:type="dxa"/>
          </w:tcPr>
          <w:p w14:paraId="2D84AFA5" w14:textId="77777777" w:rsidR="00331DC9" w:rsidRPr="00C544EC" w:rsidRDefault="00331DC9" w:rsidP="00AE283E">
            <w:pPr>
              <w:spacing w:line="276" w:lineRule="auto"/>
              <w:rPr>
                <w:rFonts w:eastAsia="Times New Roman" w:cs="Arial"/>
                <w:szCs w:val="20"/>
              </w:rPr>
            </w:pPr>
            <w:r w:rsidRPr="00C544EC">
              <w:rPr>
                <w:rFonts w:eastAsia="Times New Roman" w:cs="Arial"/>
                <w:szCs w:val="20"/>
              </w:rPr>
              <w:t>Kaip dalyvaujančią instituciją nurodyti ir STRATA</w:t>
            </w:r>
          </w:p>
          <w:p w14:paraId="56530762" w14:textId="77777777" w:rsidR="00331DC9" w:rsidRPr="00C544EC" w:rsidRDefault="00331DC9" w:rsidP="00AE283E">
            <w:pPr>
              <w:spacing w:line="276" w:lineRule="auto"/>
              <w:rPr>
                <w:rFonts w:eastAsia="Times New Roman" w:cs="Arial"/>
                <w:szCs w:val="20"/>
              </w:rPr>
            </w:pPr>
          </w:p>
        </w:tc>
        <w:tc>
          <w:tcPr>
            <w:tcW w:w="7513" w:type="dxa"/>
          </w:tcPr>
          <w:p w14:paraId="4A4F2E84" w14:textId="77777777" w:rsidR="00331DC9" w:rsidRPr="00C544EC" w:rsidRDefault="00331DC9" w:rsidP="00AE283E">
            <w:pPr>
              <w:spacing w:line="276" w:lineRule="auto"/>
              <w:rPr>
                <w:rFonts w:eastAsia="Times New Roman" w:cs="Arial"/>
                <w:szCs w:val="20"/>
              </w:rPr>
            </w:pPr>
            <w:r w:rsidRPr="00C544EC">
              <w:rPr>
                <w:rFonts w:eastAsia="Times New Roman" w:cs="Arial"/>
                <w:szCs w:val="20"/>
              </w:rPr>
              <w:t>Siejasi su komentaru dėl 8.1.2 darbo, kad turime įvertinti analitikų kaip pareigybės poreikį, o ne tik kalbėti apie žinias ir gebėjimus, kurių reikia, bet nėra kaip išpildyti, nes sistemoje nėra sukurtos atitinkamos pareigybės ir funkcijos.</w:t>
            </w:r>
          </w:p>
          <w:p w14:paraId="5AB857B7" w14:textId="77777777" w:rsidR="00331DC9" w:rsidRPr="00C544EC" w:rsidRDefault="00331DC9" w:rsidP="00AE283E">
            <w:pPr>
              <w:spacing w:line="276" w:lineRule="auto"/>
              <w:rPr>
                <w:rFonts w:eastAsia="Times New Roman" w:cs="Arial"/>
                <w:szCs w:val="20"/>
              </w:rPr>
            </w:pPr>
          </w:p>
        </w:tc>
      </w:tr>
      <w:tr w:rsidR="00331DC9" w:rsidRPr="00C544EC" w14:paraId="0EDBFDB4" w14:textId="77777777" w:rsidTr="000552FC">
        <w:trPr>
          <w:trHeight w:val="203"/>
        </w:trPr>
        <w:tc>
          <w:tcPr>
            <w:tcW w:w="3114" w:type="dxa"/>
          </w:tcPr>
          <w:p w14:paraId="3290F05F" w14:textId="77777777" w:rsidR="00331DC9" w:rsidRPr="00C544EC" w:rsidRDefault="00331DC9" w:rsidP="00AE283E">
            <w:pPr>
              <w:spacing w:line="276" w:lineRule="auto"/>
              <w:rPr>
                <w:rFonts w:cs="Arial"/>
                <w:szCs w:val="20"/>
              </w:rPr>
            </w:pPr>
            <w:r w:rsidRPr="00C544EC">
              <w:rPr>
                <w:rFonts w:cs="Arial"/>
                <w:szCs w:val="20"/>
              </w:rPr>
              <w:t xml:space="preserve">9.3.14. Sukurti ir įdiegti viešojo sektoriaus specialistų mobilumo </w:t>
            </w:r>
            <w:r w:rsidRPr="00C544EC">
              <w:rPr>
                <w:rFonts w:cs="Arial"/>
                <w:szCs w:val="20"/>
              </w:rPr>
              <w:lastRenderedPageBreak/>
              <w:t>(horizontalaus ir vertikalaus) skatinimo mechanizmą</w:t>
            </w:r>
          </w:p>
        </w:tc>
        <w:tc>
          <w:tcPr>
            <w:tcW w:w="3260" w:type="dxa"/>
          </w:tcPr>
          <w:p w14:paraId="7D623A5C" w14:textId="77777777" w:rsidR="00331DC9" w:rsidRPr="00C544EC" w:rsidRDefault="00331DC9" w:rsidP="00AE283E">
            <w:pPr>
              <w:spacing w:line="276" w:lineRule="auto"/>
              <w:rPr>
                <w:rFonts w:cs="Arial"/>
                <w:szCs w:val="20"/>
              </w:rPr>
            </w:pPr>
            <w:r w:rsidRPr="00C544EC">
              <w:rPr>
                <w:rFonts w:cs="Arial"/>
                <w:szCs w:val="20"/>
              </w:rPr>
              <w:lastRenderedPageBreak/>
              <w:t xml:space="preserve">siūlytume plane numatyti dar vieną veiksmą: </w:t>
            </w:r>
          </w:p>
          <w:p w14:paraId="3C65D10F" w14:textId="77777777" w:rsidR="00331DC9" w:rsidRPr="00C544EC" w:rsidRDefault="00331DC9" w:rsidP="00AE283E">
            <w:pPr>
              <w:spacing w:line="276" w:lineRule="auto"/>
              <w:rPr>
                <w:rFonts w:eastAsia="Times New Roman" w:cs="Arial"/>
                <w:szCs w:val="20"/>
              </w:rPr>
            </w:pPr>
            <w:r w:rsidRPr="00C544EC">
              <w:rPr>
                <w:rFonts w:cs="Arial"/>
                <w:szCs w:val="20"/>
              </w:rPr>
              <w:lastRenderedPageBreak/>
              <w:t xml:space="preserve">„Parengti EBPO projekto „Įrodymais grįstas valdymas“ rekomendacijų įgyvendinimo planą“. Atsakingi vykdytojai – LRVK ir STRATA, įvykdymo data – </w:t>
            </w:r>
            <w:r w:rsidRPr="00C544EC">
              <w:rPr>
                <w:rFonts w:cs="Arial"/>
                <w:szCs w:val="20"/>
                <w:lang w:val="en-GB"/>
              </w:rPr>
              <w:t>2022</w:t>
            </w:r>
            <w:r w:rsidRPr="00C544EC">
              <w:rPr>
                <w:rFonts w:cs="Arial"/>
                <w:szCs w:val="20"/>
              </w:rPr>
              <w:t xml:space="preserve"> m. I ketv.“</w:t>
            </w:r>
          </w:p>
          <w:p w14:paraId="29120D2F" w14:textId="77777777" w:rsidR="00331DC9" w:rsidRPr="00C544EC" w:rsidRDefault="00331DC9" w:rsidP="00AE283E">
            <w:pPr>
              <w:spacing w:line="276" w:lineRule="auto"/>
              <w:rPr>
                <w:rFonts w:eastAsia="Times New Roman" w:cs="Arial"/>
                <w:szCs w:val="20"/>
              </w:rPr>
            </w:pPr>
          </w:p>
        </w:tc>
        <w:tc>
          <w:tcPr>
            <w:tcW w:w="7513" w:type="dxa"/>
          </w:tcPr>
          <w:p w14:paraId="34908AA8" w14:textId="77777777" w:rsidR="00331DC9" w:rsidRPr="00C544EC" w:rsidRDefault="00331DC9" w:rsidP="00AE283E">
            <w:pPr>
              <w:spacing w:line="276" w:lineRule="auto"/>
              <w:rPr>
                <w:rFonts w:eastAsia="Times New Roman" w:cs="Arial"/>
                <w:szCs w:val="20"/>
              </w:rPr>
            </w:pPr>
            <w:r w:rsidRPr="00C544EC">
              <w:rPr>
                <w:rFonts w:eastAsia="Times New Roman" w:cs="Arial"/>
                <w:szCs w:val="20"/>
              </w:rPr>
              <w:lastRenderedPageBreak/>
              <w:t>Atnaujintoje EBPO studijoje ir rekomendacijų projekte (PolicyPaper) 9.3.14 darbas bus aprašytas plačiau kaip rekomendacija. Apie tai EBPO komanda jau kalbėjo su VRM atstovais.</w:t>
            </w:r>
          </w:p>
          <w:p w14:paraId="28242CEB" w14:textId="77777777" w:rsidR="00331DC9" w:rsidRPr="00C544EC" w:rsidRDefault="00331DC9" w:rsidP="00AE283E">
            <w:pPr>
              <w:spacing w:line="276" w:lineRule="auto"/>
              <w:rPr>
                <w:rFonts w:cs="Arial"/>
                <w:b/>
                <w:bCs/>
                <w:szCs w:val="20"/>
              </w:rPr>
            </w:pPr>
            <w:r w:rsidRPr="00C544EC">
              <w:rPr>
                <w:rFonts w:cs="Arial"/>
                <w:szCs w:val="20"/>
              </w:rPr>
              <w:lastRenderedPageBreak/>
              <w:t xml:space="preserve">Lietuvos situacija ir gebėjimai diegti įrodymais grįstą valdymą (įskaitant ir poveikio vertinimo sistemos stiprinimą) analizuojami EK struktūrinių reformų paramos programos projekte, vykdomame EBPO ekspertų komandos, „Įrodymais grįstos poliltikos formavimas ir politikos vertinimas Vyriausybės centre“, kuris bus baigtas </w:t>
            </w:r>
            <w:r w:rsidRPr="00C544EC">
              <w:rPr>
                <w:rFonts w:cs="Arial"/>
                <w:szCs w:val="20"/>
                <w:lang w:val="en-GB"/>
              </w:rPr>
              <w:t>2021 m. ruden</w:t>
            </w:r>
            <w:r w:rsidRPr="00C544EC">
              <w:rPr>
                <w:rFonts w:cs="Arial"/>
                <w:szCs w:val="20"/>
              </w:rPr>
              <w:t>į. VPN ĮP būtų tikslinga kalbama apie šio projekto rekomendacijų įgyvendinimą.</w:t>
            </w:r>
          </w:p>
        </w:tc>
      </w:tr>
    </w:tbl>
    <w:p w14:paraId="28A09D10" w14:textId="77777777" w:rsidR="00331DC9" w:rsidRPr="00C544EC" w:rsidRDefault="00331DC9" w:rsidP="00AE283E">
      <w:pPr>
        <w:spacing w:line="276" w:lineRule="auto"/>
        <w:rPr>
          <w:rFonts w:cs="Arial"/>
          <w:szCs w:val="20"/>
        </w:rPr>
      </w:pPr>
    </w:p>
    <w:p w14:paraId="3A0C422C" w14:textId="431DB0CE" w:rsidR="00C43BDF" w:rsidRPr="00C544EC" w:rsidRDefault="00C43BDF" w:rsidP="00AE283E">
      <w:pPr>
        <w:spacing w:line="276" w:lineRule="auto"/>
        <w:rPr>
          <w:rStyle w:val="Hyperlink"/>
          <w:rFonts w:cs="Arial"/>
          <w:color w:val="auto"/>
          <w:szCs w:val="20"/>
          <w:u w:val="none"/>
        </w:rPr>
      </w:pPr>
    </w:p>
    <w:sectPr w:rsidR="00C43BDF" w:rsidRPr="00C544EC" w:rsidSect="00331DC9">
      <w:headerReference w:type="default" r:id="rId11"/>
      <w:footerReference w:type="default" r:id="rId12"/>
      <w:type w:val="continuous"/>
      <w:pgSz w:w="16840" w:h="11900" w:orient="landscape"/>
      <w:pgMar w:top="1418" w:right="1701" w:bottom="1134" w:left="1701"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A996D" w14:textId="77777777" w:rsidR="00361DBD" w:rsidRDefault="00361DBD" w:rsidP="001E21B8">
      <w:pPr>
        <w:spacing w:before="0" w:after="0"/>
      </w:pPr>
      <w:r>
        <w:separator/>
      </w:r>
    </w:p>
  </w:endnote>
  <w:endnote w:type="continuationSeparator" w:id="0">
    <w:p w14:paraId="3A5C81A1" w14:textId="77777777" w:rsidR="00361DBD" w:rsidRDefault="00361DBD" w:rsidP="001E21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charset w:val="4D"/>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2126"/>
      <w:gridCol w:w="1985"/>
      <w:gridCol w:w="2409"/>
    </w:tblGrid>
    <w:tr w:rsidR="00EE397C" w:rsidRPr="00BD11F4" w14:paraId="75F4A996" w14:textId="77777777" w:rsidTr="00C10F72">
      <w:trPr>
        <w:trHeight w:val="148"/>
      </w:trPr>
      <w:tc>
        <w:tcPr>
          <w:tcW w:w="9639" w:type="dxa"/>
          <w:gridSpan w:val="4"/>
        </w:tcPr>
        <w:p w14:paraId="0C4609DA" w14:textId="77777777" w:rsidR="00EE397C" w:rsidRPr="00BD11F4" w:rsidRDefault="00EE397C" w:rsidP="00375E9E">
          <w:pPr>
            <w:pStyle w:val="Footer"/>
            <w:rPr>
              <w:lang w:val="lt-LT"/>
            </w:rPr>
          </w:pPr>
        </w:p>
      </w:tc>
    </w:tr>
    <w:tr w:rsidR="00375E9E" w:rsidRPr="00BD11F4" w14:paraId="418D5DA6" w14:textId="77777777" w:rsidTr="00EE397C">
      <w:trPr>
        <w:trHeight w:val="993"/>
      </w:trPr>
      <w:tc>
        <w:tcPr>
          <w:tcW w:w="3119" w:type="dxa"/>
        </w:tcPr>
        <w:p w14:paraId="461AE4F0" w14:textId="77777777" w:rsidR="00375E9E" w:rsidRPr="00BD11F4" w:rsidRDefault="00375E9E" w:rsidP="00375E9E">
          <w:pPr>
            <w:pStyle w:val="Footer"/>
            <w:rPr>
              <w:lang w:val="lt-LT"/>
            </w:rPr>
          </w:pPr>
          <w:r w:rsidRPr="00BD11F4">
            <w:rPr>
              <w:lang w:val="lt-LT"/>
            </w:rPr>
            <w:t>Vyriausybės strateginės analizės centras</w:t>
          </w:r>
        </w:p>
        <w:p w14:paraId="10CDB85C" w14:textId="77777777" w:rsidR="00375E9E" w:rsidRPr="00BD11F4" w:rsidRDefault="00375E9E" w:rsidP="00375E9E">
          <w:pPr>
            <w:pStyle w:val="Footer"/>
            <w:rPr>
              <w:lang w:val="lt-LT"/>
            </w:rPr>
          </w:pPr>
          <w:r w:rsidRPr="00BD11F4">
            <w:rPr>
              <w:lang w:val="lt-LT"/>
            </w:rPr>
            <w:t>A. Goštauto g. 9, 2 a.</w:t>
          </w:r>
          <w:r w:rsidRPr="00BD11F4">
            <w:rPr>
              <w:lang w:val="lt-LT"/>
            </w:rPr>
            <w:br/>
            <w:t>01108 Vilnius</w:t>
          </w:r>
        </w:p>
        <w:p w14:paraId="3F266DD9" w14:textId="77777777" w:rsidR="00375E9E" w:rsidRPr="00BD11F4" w:rsidRDefault="00375E9E" w:rsidP="00375E9E">
          <w:pPr>
            <w:pStyle w:val="Footer"/>
            <w:rPr>
              <w:lang w:val="lt-LT"/>
            </w:rPr>
          </w:pPr>
          <w:r w:rsidRPr="00BD11F4">
            <w:rPr>
              <w:lang w:val="lt-LT"/>
            </w:rPr>
            <w:t>Lietuva</w:t>
          </w:r>
        </w:p>
      </w:tc>
      <w:tc>
        <w:tcPr>
          <w:tcW w:w="2126" w:type="dxa"/>
        </w:tcPr>
        <w:p w14:paraId="40510229" w14:textId="77777777" w:rsidR="00375E9E" w:rsidRPr="00BD11F4" w:rsidRDefault="00375E9E" w:rsidP="00EE397C">
          <w:pPr>
            <w:pStyle w:val="Footer"/>
            <w:rPr>
              <w:lang w:val="lt-LT"/>
            </w:rPr>
          </w:pPr>
          <w:r w:rsidRPr="00BD11F4">
            <w:rPr>
              <w:lang w:val="lt-LT"/>
            </w:rPr>
            <w:t>Kodas – 300 845 435</w:t>
          </w:r>
          <w:r w:rsidRPr="00BD11F4">
            <w:rPr>
              <w:lang w:val="lt-LT"/>
            </w:rPr>
            <w:br/>
            <w:t>Duomenys kaupiami ir saugojami</w:t>
          </w:r>
          <w:r w:rsidR="00EE397C" w:rsidRPr="00BD11F4">
            <w:rPr>
              <w:lang w:val="lt-LT"/>
            </w:rPr>
            <w:t xml:space="preserve"> </w:t>
          </w:r>
          <w:r w:rsidRPr="00BD11F4">
            <w:rPr>
              <w:lang w:val="lt-LT"/>
            </w:rPr>
            <w:t>Juridinių asmenų registre</w:t>
          </w:r>
        </w:p>
      </w:tc>
      <w:tc>
        <w:tcPr>
          <w:tcW w:w="1985" w:type="dxa"/>
        </w:tcPr>
        <w:p w14:paraId="7ECCC10C" w14:textId="77777777" w:rsidR="00375E9E" w:rsidRPr="00BD11F4" w:rsidRDefault="00375E9E" w:rsidP="00375E9E">
          <w:pPr>
            <w:pStyle w:val="Footer"/>
            <w:rPr>
              <w:lang w:val="lt-LT"/>
            </w:rPr>
          </w:pPr>
          <w:r w:rsidRPr="00BD11F4">
            <w:rPr>
              <w:lang w:val="lt-LT"/>
            </w:rPr>
            <w:t>Tel. 8 682 50</w:t>
          </w:r>
          <w:r w:rsidR="00EE397C" w:rsidRPr="00BD11F4">
            <w:rPr>
              <w:lang w:val="lt-LT"/>
            </w:rPr>
            <w:t xml:space="preserve"> </w:t>
          </w:r>
          <w:r w:rsidRPr="00BD11F4">
            <w:rPr>
              <w:lang w:val="lt-LT"/>
            </w:rPr>
            <w:t>100</w:t>
          </w:r>
          <w:r w:rsidRPr="00BD11F4">
            <w:rPr>
              <w:lang w:val="lt-LT"/>
            </w:rPr>
            <w:br/>
            <w:t>El. p. info@strata.gov.lt</w:t>
          </w:r>
        </w:p>
      </w:tc>
      <w:tc>
        <w:tcPr>
          <w:tcW w:w="2409" w:type="dxa"/>
        </w:tcPr>
        <w:p w14:paraId="1016E79E" w14:textId="77777777" w:rsidR="00375E9E" w:rsidRPr="00BD11F4" w:rsidRDefault="00375E9E" w:rsidP="00375E9E">
          <w:pPr>
            <w:pStyle w:val="Footer"/>
            <w:rPr>
              <w:lang w:val="lt-LT"/>
            </w:rPr>
          </w:pPr>
          <w:r w:rsidRPr="00BD11F4">
            <w:rPr>
              <w:lang w:val="lt-LT"/>
            </w:rPr>
            <w:t>A/s LT08 7044 0600 0604 1211</w:t>
          </w:r>
          <w:r w:rsidRPr="00BD11F4">
            <w:rPr>
              <w:lang w:val="lt-LT"/>
            </w:rPr>
            <w:br/>
            <w:t>AB SEB bankas</w:t>
          </w:r>
        </w:p>
        <w:p w14:paraId="59C04E6C" w14:textId="77777777" w:rsidR="00375E9E" w:rsidRPr="00BD11F4" w:rsidRDefault="00375E9E" w:rsidP="00375E9E">
          <w:pPr>
            <w:pStyle w:val="Footer"/>
            <w:rPr>
              <w:lang w:val="lt-LT"/>
            </w:rPr>
          </w:pPr>
          <w:r w:rsidRPr="00BD11F4">
            <w:rPr>
              <w:lang w:val="lt-LT"/>
            </w:rPr>
            <w:t>b.k 70440</w:t>
          </w:r>
        </w:p>
      </w:tc>
    </w:tr>
  </w:tbl>
  <w:p w14:paraId="674E9008" w14:textId="77777777" w:rsidR="00375E9E" w:rsidRPr="00BD11F4" w:rsidRDefault="00375E9E">
    <w:pPr>
      <w:pStyle w:val="Footer"/>
      <w:jc w:val="right"/>
      <w:rPr>
        <w:lang w:val="lt-LT"/>
      </w:rPr>
    </w:pPr>
  </w:p>
  <w:p w14:paraId="4BF85DDE" w14:textId="77777777" w:rsidR="00375E9E" w:rsidRPr="00BD11F4" w:rsidRDefault="00361DBD" w:rsidP="00375E9E">
    <w:pPr>
      <w:pStyle w:val="Footer"/>
      <w:tabs>
        <w:tab w:val="clear" w:pos="4680"/>
      </w:tabs>
      <w:jc w:val="right"/>
      <w:rPr>
        <w:lang w:val="lt-LT"/>
      </w:rPr>
    </w:pPr>
    <w:sdt>
      <w:sdtPr>
        <w:rPr>
          <w:lang w:val="lt-LT"/>
        </w:rPr>
        <w:id w:val="1679617558"/>
        <w:docPartObj>
          <w:docPartGallery w:val="Page Numbers (Bottom of Page)"/>
          <w:docPartUnique/>
        </w:docPartObj>
      </w:sdtPr>
      <w:sdtEndPr/>
      <w:sdtContent>
        <w:r w:rsidR="00375E9E" w:rsidRPr="00BD11F4">
          <w:rPr>
            <w:lang w:val="lt-LT"/>
          </w:rPr>
          <w:fldChar w:fldCharType="begin"/>
        </w:r>
        <w:r w:rsidR="00375E9E" w:rsidRPr="00BD11F4">
          <w:rPr>
            <w:lang w:val="lt-LT"/>
          </w:rPr>
          <w:instrText>PAGE   \* MERGEFORMAT</w:instrText>
        </w:r>
        <w:r w:rsidR="00375E9E" w:rsidRPr="00BD11F4">
          <w:rPr>
            <w:lang w:val="lt-LT"/>
          </w:rPr>
          <w:fldChar w:fldCharType="separate"/>
        </w:r>
        <w:r w:rsidR="003B6D14" w:rsidRPr="00BD11F4">
          <w:rPr>
            <w:noProof/>
            <w:lang w:val="lt-LT"/>
          </w:rPr>
          <w:t>1</w:t>
        </w:r>
        <w:r w:rsidR="00375E9E" w:rsidRPr="00BD11F4">
          <w:rPr>
            <w:lang w:val="lt-LT"/>
          </w:rPr>
          <w:fldChar w:fldCharType="end"/>
        </w:r>
      </w:sdtContent>
    </w:sdt>
  </w:p>
  <w:p w14:paraId="1235FB1F" w14:textId="77777777" w:rsidR="00375E9E" w:rsidRPr="00BD11F4" w:rsidRDefault="00375E9E" w:rsidP="00207391">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D218B" w14:textId="77777777" w:rsidR="00361DBD" w:rsidRDefault="00361DBD" w:rsidP="001E21B8">
      <w:pPr>
        <w:spacing w:before="0" w:after="0"/>
      </w:pPr>
      <w:r>
        <w:separator/>
      </w:r>
    </w:p>
  </w:footnote>
  <w:footnote w:type="continuationSeparator" w:id="0">
    <w:p w14:paraId="7781598B" w14:textId="77777777" w:rsidR="00361DBD" w:rsidRDefault="00361DBD" w:rsidP="001E21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2EBC4" w14:textId="77777777" w:rsidR="00207391" w:rsidRPr="00207391" w:rsidRDefault="00207391" w:rsidP="00207391">
    <w:pPr>
      <w:pStyle w:val="Header"/>
    </w:pPr>
    <w:r>
      <w:rPr>
        <w:noProof/>
        <w:lang w:eastAsia="lt-LT"/>
      </w:rPr>
      <w:drawing>
        <wp:anchor distT="0" distB="0" distL="114300" distR="114300" simplePos="0" relativeHeight="251658240" behindDoc="1" locked="0" layoutInCell="1" allowOverlap="1" wp14:anchorId="56357E2A" wp14:editId="5D360193">
          <wp:simplePos x="0" y="0"/>
          <wp:positionH relativeFrom="column">
            <wp:posOffset>3810</wp:posOffset>
          </wp:positionH>
          <wp:positionV relativeFrom="paragraph">
            <wp:posOffset>-175260</wp:posOffset>
          </wp:positionV>
          <wp:extent cx="1743075" cy="52317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ata logo didelis.png"/>
                  <pic:cNvPicPr/>
                </pic:nvPicPr>
                <pic:blipFill>
                  <a:blip r:embed="rId1">
                    <a:extLst>
                      <a:ext uri="{28A0092B-C50C-407E-A947-70E740481C1C}">
                        <a14:useLocalDpi xmlns:a14="http://schemas.microsoft.com/office/drawing/2010/main" val="0"/>
                      </a:ext>
                    </a:extLst>
                  </a:blip>
                  <a:stretch>
                    <a:fillRect/>
                  </a:stretch>
                </pic:blipFill>
                <pic:spPr>
                  <a:xfrm>
                    <a:off x="0" y="0"/>
                    <a:ext cx="1761279" cy="528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519D7"/>
    <w:multiLevelType w:val="hybridMultilevel"/>
    <w:tmpl w:val="26F03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C6AF9"/>
    <w:multiLevelType w:val="hybridMultilevel"/>
    <w:tmpl w:val="D47AF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346"/>
    <w:multiLevelType w:val="hybridMultilevel"/>
    <w:tmpl w:val="E2D8FF3E"/>
    <w:lvl w:ilvl="0" w:tplc="B00EB9D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B215C4"/>
    <w:multiLevelType w:val="hybridMultilevel"/>
    <w:tmpl w:val="1BC6BB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A86419"/>
    <w:multiLevelType w:val="hybridMultilevel"/>
    <w:tmpl w:val="41280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FD045B"/>
    <w:multiLevelType w:val="hybridMultilevel"/>
    <w:tmpl w:val="520C0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6512A"/>
    <w:multiLevelType w:val="hybridMultilevel"/>
    <w:tmpl w:val="01902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8C0C76"/>
    <w:multiLevelType w:val="hybridMultilevel"/>
    <w:tmpl w:val="491E8456"/>
    <w:lvl w:ilvl="0" w:tplc="491C43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D934A3"/>
    <w:multiLevelType w:val="hybridMultilevel"/>
    <w:tmpl w:val="C1CC49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4"/>
  </w:num>
  <w:num w:numId="4">
    <w:abstractNumId w:val="8"/>
  </w:num>
  <w:num w:numId="5">
    <w:abstractNumId w:val="2"/>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17"/>
    <w:rsid w:val="0001524F"/>
    <w:rsid w:val="0002377D"/>
    <w:rsid w:val="000402E3"/>
    <w:rsid w:val="00043A10"/>
    <w:rsid w:val="000935A3"/>
    <w:rsid w:val="001154FB"/>
    <w:rsid w:val="00131747"/>
    <w:rsid w:val="00174259"/>
    <w:rsid w:val="0018379E"/>
    <w:rsid w:val="00183F9E"/>
    <w:rsid w:val="00186AA2"/>
    <w:rsid w:val="001B27B7"/>
    <w:rsid w:val="001E21B8"/>
    <w:rsid w:val="001E3DE3"/>
    <w:rsid w:val="00207391"/>
    <w:rsid w:val="00245AF3"/>
    <w:rsid w:val="002626D9"/>
    <w:rsid w:val="0028451D"/>
    <w:rsid w:val="00290CE0"/>
    <w:rsid w:val="002A1583"/>
    <w:rsid w:val="002D313E"/>
    <w:rsid w:val="002E0368"/>
    <w:rsid w:val="0031410C"/>
    <w:rsid w:val="00326461"/>
    <w:rsid w:val="00331DC9"/>
    <w:rsid w:val="00356801"/>
    <w:rsid w:val="00361DBD"/>
    <w:rsid w:val="00375E9E"/>
    <w:rsid w:val="003A063A"/>
    <w:rsid w:val="003B6D14"/>
    <w:rsid w:val="003E4BF9"/>
    <w:rsid w:val="003E67F3"/>
    <w:rsid w:val="003F4C17"/>
    <w:rsid w:val="004607AF"/>
    <w:rsid w:val="00486A50"/>
    <w:rsid w:val="004908C6"/>
    <w:rsid w:val="004951B6"/>
    <w:rsid w:val="004D3A5C"/>
    <w:rsid w:val="00530DC0"/>
    <w:rsid w:val="00537C74"/>
    <w:rsid w:val="00576410"/>
    <w:rsid w:val="005B18C2"/>
    <w:rsid w:val="00601D3B"/>
    <w:rsid w:val="006235C0"/>
    <w:rsid w:val="006735E0"/>
    <w:rsid w:val="00681377"/>
    <w:rsid w:val="006B2D21"/>
    <w:rsid w:val="00705551"/>
    <w:rsid w:val="007275C6"/>
    <w:rsid w:val="00742162"/>
    <w:rsid w:val="007557B3"/>
    <w:rsid w:val="00762A21"/>
    <w:rsid w:val="00773A9F"/>
    <w:rsid w:val="007A0EA9"/>
    <w:rsid w:val="007D64C2"/>
    <w:rsid w:val="007F398D"/>
    <w:rsid w:val="0082181E"/>
    <w:rsid w:val="008527D9"/>
    <w:rsid w:val="0085772A"/>
    <w:rsid w:val="008D6ED0"/>
    <w:rsid w:val="008F10E0"/>
    <w:rsid w:val="009067D5"/>
    <w:rsid w:val="00923E72"/>
    <w:rsid w:val="00971067"/>
    <w:rsid w:val="009728D4"/>
    <w:rsid w:val="00994744"/>
    <w:rsid w:val="009B6496"/>
    <w:rsid w:val="009E727C"/>
    <w:rsid w:val="00A16A58"/>
    <w:rsid w:val="00A55C09"/>
    <w:rsid w:val="00A6456C"/>
    <w:rsid w:val="00A80E63"/>
    <w:rsid w:val="00A90D55"/>
    <w:rsid w:val="00A94485"/>
    <w:rsid w:val="00AC54F2"/>
    <w:rsid w:val="00AD243F"/>
    <w:rsid w:val="00AE12DB"/>
    <w:rsid w:val="00AE283E"/>
    <w:rsid w:val="00B10683"/>
    <w:rsid w:val="00B35AF3"/>
    <w:rsid w:val="00B37FF3"/>
    <w:rsid w:val="00B74672"/>
    <w:rsid w:val="00BC4FDC"/>
    <w:rsid w:val="00BC56CB"/>
    <w:rsid w:val="00BD11F4"/>
    <w:rsid w:val="00BF4BA7"/>
    <w:rsid w:val="00C0740D"/>
    <w:rsid w:val="00C13059"/>
    <w:rsid w:val="00C43BDF"/>
    <w:rsid w:val="00C544EC"/>
    <w:rsid w:val="00C8785E"/>
    <w:rsid w:val="00C90CD3"/>
    <w:rsid w:val="00C979C6"/>
    <w:rsid w:val="00CC08C5"/>
    <w:rsid w:val="00D426CB"/>
    <w:rsid w:val="00D53846"/>
    <w:rsid w:val="00D568CC"/>
    <w:rsid w:val="00D67317"/>
    <w:rsid w:val="00D72F8D"/>
    <w:rsid w:val="00DC3290"/>
    <w:rsid w:val="00DD651B"/>
    <w:rsid w:val="00E1749A"/>
    <w:rsid w:val="00E51B62"/>
    <w:rsid w:val="00E64366"/>
    <w:rsid w:val="00E660A0"/>
    <w:rsid w:val="00EE1B61"/>
    <w:rsid w:val="00EE397C"/>
    <w:rsid w:val="00EE4895"/>
    <w:rsid w:val="00EF78E1"/>
    <w:rsid w:val="00EF7A1E"/>
    <w:rsid w:val="00F0725B"/>
    <w:rsid w:val="00F12330"/>
    <w:rsid w:val="00F35CBE"/>
    <w:rsid w:val="00F430DB"/>
    <w:rsid w:val="00F46BDC"/>
    <w:rsid w:val="00F64029"/>
    <w:rsid w:val="00FC711B"/>
    <w:rsid w:val="00FF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6AFB3"/>
  <w15:chartTrackingRefBased/>
  <w15:docId w15:val="{203F2406-3F5F-4DE8-991F-0F8A6080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192"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14"/>
    <w:pPr>
      <w:spacing w:before="120" w:after="120" w:line="360" w:lineRule="auto"/>
      <w:jc w:val="both"/>
    </w:pPr>
    <w:rPr>
      <w:rFonts w:ascii="Arial" w:hAnsi="Arial" w:cs="Times New Roman (Body CS)"/>
      <w:sz w:val="20"/>
      <w:lang w:val="lt-LT"/>
    </w:rPr>
  </w:style>
  <w:style w:type="paragraph" w:styleId="Heading1">
    <w:name w:val="heading 1"/>
    <w:aliases w:val="Heading"/>
    <w:next w:val="Normal"/>
    <w:link w:val="Heading1Char"/>
    <w:autoRedefine/>
    <w:uiPriority w:val="3"/>
    <w:qFormat/>
    <w:rsid w:val="004908C6"/>
    <w:pPr>
      <w:keepNext/>
      <w:keepLines/>
      <w:spacing w:before="120" w:after="180" w:line="360" w:lineRule="auto"/>
      <w:contextualSpacing/>
      <w:outlineLvl w:val="0"/>
    </w:pPr>
    <w:rPr>
      <w:rFonts w:ascii="Arial" w:eastAsiaTheme="majorEastAsia" w:hAnsi="Arial" w:cstheme="majorBidi"/>
      <w:b/>
      <w:sz w:val="22"/>
      <w:szCs w:val="32"/>
      <w:lang w:val="lt-LT"/>
    </w:rPr>
  </w:style>
  <w:style w:type="paragraph" w:styleId="Heading2">
    <w:name w:val="heading 2"/>
    <w:aliases w:val="Heading 2 antrastes"/>
    <w:next w:val="Normal"/>
    <w:link w:val="Heading2Char"/>
    <w:autoRedefine/>
    <w:uiPriority w:val="4"/>
    <w:unhideWhenUsed/>
    <w:qFormat/>
    <w:rsid w:val="004908C6"/>
    <w:pPr>
      <w:spacing w:before="120" w:after="180" w:line="216" w:lineRule="auto"/>
      <w:outlineLvl w:val="1"/>
    </w:pPr>
    <w:rPr>
      <w:rFonts w:ascii="Arial" w:hAnsi="Arial"/>
      <w:b/>
      <w:sz w:val="20"/>
      <w:szCs w:val="26"/>
      <w:lang w:val="lt-LT"/>
    </w:rPr>
  </w:style>
  <w:style w:type="paragraph" w:styleId="Heading3">
    <w:name w:val="heading 3"/>
    <w:basedOn w:val="Normal"/>
    <w:next w:val="Normal"/>
    <w:link w:val="Heading3Char"/>
    <w:uiPriority w:val="5"/>
    <w:unhideWhenUsed/>
    <w:qFormat/>
    <w:rsid w:val="004908C6"/>
    <w:pPr>
      <w:outlineLvl w:val="2"/>
    </w:pPr>
  </w:style>
  <w:style w:type="paragraph" w:styleId="Heading4">
    <w:name w:val="heading 4"/>
    <w:basedOn w:val="Normal"/>
    <w:next w:val="Normal"/>
    <w:link w:val="Heading4Char"/>
    <w:uiPriority w:val="18"/>
    <w:semiHidden/>
    <w:unhideWhenUsed/>
    <w:rsid w:val="0001524F"/>
    <w:pPr>
      <w:keepNext/>
      <w:keepLines/>
      <w:spacing w:before="40"/>
      <w:outlineLvl w:val="3"/>
    </w:pPr>
    <w:rPr>
      <w:rFonts w:eastAsiaTheme="majorEastAsia" w:cstheme="majorBidi"/>
      <w:iCs/>
    </w:rPr>
  </w:style>
  <w:style w:type="paragraph" w:styleId="Heading9">
    <w:name w:val="heading 9"/>
    <w:basedOn w:val="Normal"/>
    <w:next w:val="Normal"/>
    <w:link w:val="Heading9Char"/>
    <w:uiPriority w:val="9"/>
    <w:semiHidden/>
    <w:unhideWhenUsed/>
    <w:qFormat/>
    <w:rsid w:val="007F398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5551"/>
  </w:style>
  <w:style w:type="character" w:customStyle="1" w:styleId="BodyTextChar">
    <w:name w:val="Body Text Char"/>
    <w:basedOn w:val="DefaultParagraphFont"/>
    <w:link w:val="BodyText"/>
    <w:uiPriority w:val="99"/>
    <w:semiHidden/>
    <w:rsid w:val="00705551"/>
    <w:rPr>
      <w:rFonts w:ascii="Poppins" w:hAnsi="Poppins"/>
      <w:sz w:val="22"/>
    </w:rPr>
  </w:style>
  <w:style w:type="character" w:customStyle="1" w:styleId="Heading1Char">
    <w:name w:val="Heading 1 Char"/>
    <w:aliases w:val="Heading Char"/>
    <w:basedOn w:val="DefaultParagraphFont"/>
    <w:link w:val="Heading1"/>
    <w:uiPriority w:val="3"/>
    <w:rsid w:val="004908C6"/>
    <w:rPr>
      <w:rFonts w:ascii="Arial" w:eastAsiaTheme="majorEastAsia" w:hAnsi="Arial" w:cstheme="majorBidi"/>
      <w:b/>
      <w:sz w:val="22"/>
      <w:szCs w:val="32"/>
      <w:lang w:val="lt-LT"/>
    </w:rPr>
  </w:style>
  <w:style w:type="character" w:customStyle="1" w:styleId="Heading3Char">
    <w:name w:val="Heading 3 Char"/>
    <w:basedOn w:val="DefaultParagraphFont"/>
    <w:link w:val="Heading3"/>
    <w:uiPriority w:val="5"/>
    <w:rsid w:val="004908C6"/>
    <w:rPr>
      <w:rFonts w:ascii="Arial" w:hAnsi="Arial" w:cs="Times New Roman (Body CS)"/>
      <w:sz w:val="20"/>
      <w:lang w:val="lt-LT"/>
    </w:rPr>
  </w:style>
  <w:style w:type="character" w:customStyle="1" w:styleId="Heading2Char">
    <w:name w:val="Heading 2 Char"/>
    <w:aliases w:val="Heading 2 antrastes Char"/>
    <w:basedOn w:val="DefaultParagraphFont"/>
    <w:link w:val="Heading2"/>
    <w:uiPriority w:val="4"/>
    <w:rsid w:val="004908C6"/>
    <w:rPr>
      <w:rFonts w:ascii="Arial" w:hAnsi="Arial"/>
      <w:b/>
      <w:sz w:val="20"/>
      <w:szCs w:val="26"/>
      <w:lang w:val="lt-LT"/>
    </w:rPr>
  </w:style>
  <w:style w:type="character" w:customStyle="1" w:styleId="Heading4Char">
    <w:name w:val="Heading 4 Char"/>
    <w:basedOn w:val="DefaultParagraphFont"/>
    <w:link w:val="Heading4"/>
    <w:uiPriority w:val="18"/>
    <w:semiHidden/>
    <w:rsid w:val="00186AA2"/>
    <w:rPr>
      <w:rFonts w:ascii="Arial" w:eastAsiaTheme="majorEastAsia" w:hAnsi="Arial" w:cstheme="majorBidi"/>
      <w:iCs/>
      <w:sz w:val="20"/>
    </w:rPr>
  </w:style>
  <w:style w:type="character" w:customStyle="1" w:styleId="Heading9Char">
    <w:name w:val="Heading 9 Char"/>
    <w:basedOn w:val="DefaultParagraphFont"/>
    <w:link w:val="Heading9"/>
    <w:uiPriority w:val="9"/>
    <w:semiHidden/>
    <w:rsid w:val="007F398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9B6496"/>
    <w:pPr>
      <w:tabs>
        <w:tab w:val="center" w:pos="4680"/>
        <w:tab w:val="right" w:pos="9360"/>
      </w:tabs>
      <w:spacing w:before="0" w:after="0"/>
    </w:pPr>
  </w:style>
  <w:style w:type="character" w:customStyle="1" w:styleId="HeaderChar">
    <w:name w:val="Header Char"/>
    <w:basedOn w:val="DefaultParagraphFont"/>
    <w:link w:val="Header"/>
    <w:uiPriority w:val="99"/>
    <w:rsid w:val="009B6496"/>
    <w:rPr>
      <w:rFonts w:ascii="Arial" w:hAnsi="Arial" w:cs="Times New Roman (Body CS)"/>
      <w:sz w:val="21"/>
    </w:rPr>
  </w:style>
  <w:style w:type="paragraph" w:styleId="Footer">
    <w:name w:val="footer"/>
    <w:link w:val="FooterChar"/>
    <w:uiPriority w:val="99"/>
    <w:unhideWhenUsed/>
    <w:rsid w:val="006735E0"/>
    <w:pPr>
      <w:tabs>
        <w:tab w:val="center" w:pos="4680"/>
        <w:tab w:val="right" w:pos="9360"/>
      </w:tabs>
      <w:spacing w:line="240" w:lineRule="auto"/>
    </w:pPr>
    <w:rPr>
      <w:rFonts w:ascii="Arial" w:hAnsi="Arial"/>
      <w:color w:val="3E109A"/>
      <w:sz w:val="16"/>
    </w:rPr>
  </w:style>
  <w:style w:type="character" w:customStyle="1" w:styleId="FooterChar">
    <w:name w:val="Footer Char"/>
    <w:basedOn w:val="DefaultParagraphFont"/>
    <w:link w:val="Footer"/>
    <w:uiPriority w:val="99"/>
    <w:rsid w:val="006735E0"/>
    <w:rPr>
      <w:rFonts w:ascii="Arial" w:hAnsi="Arial"/>
      <w:color w:val="3E109A"/>
      <w:sz w:val="16"/>
    </w:rPr>
  </w:style>
  <w:style w:type="character" w:styleId="Hyperlink">
    <w:name w:val="Hyperlink"/>
    <w:basedOn w:val="DefaultParagraphFont"/>
    <w:uiPriority w:val="14"/>
    <w:unhideWhenUsed/>
    <w:qFormat/>
    <w:rsid w:val="004908C6"/>
    <w:rPr>
      <w:rFonts w:ascii="Arial" w:hAnsi="Arial"/>
      <w:b w:val="0"/>
      <w:i w:val="0"/>
      <w:color w:val="3F109A"/>
      <w:sz w:val="20"/>
      <w:u w:val="single"/>
      <w:lang w:val="lt-LT"/>
    </w:rPr>
  </w:style>
  <w:style w:type="paragraph" w:styleId="BodyText3">
    <w:name w:val="Body Text 3"/>
    <w:basedOn w:val="Normal"/>
    <w:link w:val="BodyText3Char"/>
    <w:uiPriority w:val="99"/>
    <w:semiHidden/>
    <w:unhideWhenUsed/>
    <w:rsid w:val="00E64366"/>
    <w:rPr>
      <w:sz w:val="16"/>
      <w:szCs w:val="16"/>
    </w:rPr>
  </w:style>
  <w:style w:type="character" w:customStyle="1" w:styleId="BodyText3Char">
    <w:name w:val="Body Text 3 Char"/>
    <w:basedOn w:val="DefaultParagraphFont"/>
    <w:link w:val="BodyText3"/>
    <w:uiPriority w:val="99"/>
    <w:semiHidden/>
    <w:rsid w:val="00E64366"/>
    <w:rPr>
      <w:rFonts w:ascii="Poppins" w:hAnsi="Poppins"/>
      <w:sz w:val="16"/>
      <w:szCs w:val="16"/>
    </w:rPr>
  </w:style>
  <w:style w:type="paragraph" w:styleId="BodyText2">
    <w:name w:val="Body Text 2"/>
    <w:basedOn w:val="Normal"/>
    <w:link w:val="BodyText2Char"/>
    <w:uiPriority w:val="99"/>
    <w:semiHidden/>
    <w:unhideWhenUsed/>
    <w:rsid w:val="00E64366"/>
    <w:pPr>
      <w:spacing w:line="480" w:lineRule="auto"/>
    </w:pPr>
  </w:style>
  <w:style w:type="character" w:customStyle="1" w:styleId="BodyText2Char">
    <w:name w:val="Body Text 2 Char"/>
    <w:basedOn w:val="DefaultParagraphFont"/>
    <w:link w:val="BodyText2"/>
    <w:uiPriority w:val="99"/>
    <w:semiHidden/>
    <w:rsid w:val="00E64366"/>
    <w:rPr>
      <w:rFonts w:ascii="Poppins" w:hAnsi="Poppins"/>
      <w:sz w:val="20"/>
    </w:rPr>
  </w:style>
  <w:style w:type="paragraph" w:styleId="List2">
    <w:name w:val="List 2"/>
    <w:basedOn w:val="Normal"/>
    <w:uiPriority w:val="99"/>
    <w:semiHidden/>
    <w:unhideWhenUsed/>
    <w:rsid w:val="00A6456C"/>
    <w:pPr>
      <w:ind w:left="566" w:hanging="283"/>
      <w:contextualSpacing/>
    </w:pPr>
  </w:style>
  <w:style w:type="paragraph" w:customStyle="1" w:styleId="Normal9pt">
    <w:name w:val="Normal 9pt"/>
    <w:basedOn w:val="Normal"/>
    <w:uiPriority w:val="1"/>
    <w:qFormat/>
    <w:rsid w:val="004908C6"/>
    <w:rPr>
      <w:sz w:val="18"/>
    </w:rPr>
  </w:style>
  <w:style w:type="character" w:customStyle="1" w:styleId="UnresolvedMention1">
    <w:name w:val="Unresolved Mention1"/>
    <w:basedOn w:val="DefaultParagraphFont"/>
    <w:uiPriority w:val="99"/>
    <w:semiHidden/>
    <w:unhideWhenUsed/>
    <w:rsid w:val="00BC4FDC"/>
    <w:rPr>
      <w:color w:val="605E5C"/>
      <w:shd w:val="clear" w:color="auto" w:fill="E1DFDD"/>
    </w:rPr>
  </w:style>
  <w:style w:type="table" w:styleId="TableGrid">
    <w:name w:val="Table Grid"/>
    <w:basedOn w:val="TableNormal"/>
    <w:uiPriority w:val="39"/>
    <w:rsid w:val="006735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rsid w:val="004908C6"/>
    <w:pPr>
      <w:spacing w:before="960" w:after="360"/>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2"/>
    <w:rsid w:val="004908C6"/>
    <w:rPr>
      <w:rFonts w:ascii="Arial" w:eastAsiaTheme="majorEastAsia" w:hAnsi="Arial" w:cstheme="majorBidi"/>
      <w:b/>
      <w:spacing w:val="-10"/>
      <w:kern w:val="28"/>
      <w:szCs w:val="56"/>
      <w:lang w:val="lt-LT"/>
    </w:rPr>
  </w:style>
  <w:style w:type="paragraph" w:styleId="Subtitle">
    <w:name w:val="Subtitle"/>
    <w:basedOn w:val="Normal"/>
    <w:next w:val="Normal"/>
    <w:link w:val="SubtitleChar"/>
    <w:uiPriority w:val="6"/>
    <w:qFormat/>
    <w:rsid w:val="004908C6"/>
    <w:pPr>
      <w:numPr>
        <w:ilvl w:val="1"/>
      </w:numPr>
    </w:pPr>
    <w:rPr>
      <w:rFonts w:eastAsiaTheme="minorEastAsia" w:cstheme="minorBidi"/>
      <w:b/>
      <w:spacing w:val="15"/>
      <w:szCs w:val="22"/>
    </w:rPr>
  </w:style>
  <w:style w:type="character" w:customStyle="1" w:styleId="SubtitleChar">
    <w:name w:val="Subtitle Char"/>
    <w:basedOn w:val="DefaultParagraphFont"/>
    <w:link w:val="Subtitle"/>
    <w:uiPriority w:val="6"/>
    <w:rsid w:val="004908C6"/>
    <w:rPr>
      <w:rFonts w:ascii="Arial" w:eastAsiaTheme="minorEastAsia" w:hAnsi="Arial"/>
      <w:b/>
      <w:spacing w:val="15"/>
      <w:sz w:val="20"/>
      <w:szCs w:val="22"/>
      <w:lang w:val="lt-LT"/>
    </w:rPr>
  </w:style>
  <w:style w:type="paragraph" w:styleId="NoSpacing">
    <w:name w:val="No Spacing"/>
    <w:uiPriority w:val="10"/>
    <w:qFormat/>
    <w:rsid w:val="00174259"/>
    <w:pPr>
      <w:spacing w:before="40" w:after="40" w:line="240" w:lineRule="auto"/>
    </w:pPr>
    <w:rPr>
      <w:rFonts w:ascii="Arial" w:hAnsi="Arial" w:cs="Times New Roman (Body CS)"/>
      <w:sz w:val="20"/>
    </w:rPr>
  </w:style>
  <w:style w:type="character" w:styleId="SubtleEmphasis">
    <w:name w:val="Subtle Emphasis"/>
    <w:basedOn w:val="DefaultParagraphFont"/>
    <w:uiPriority w:val="19"/>
    <w:rsid w:val="00174259"/>
    <w:rPr>
      <w:i/>
      <w:iCs/>
      <w:color w:val="404040" w:themeColor="text1" w:themeTint="BF"/>
    </w:rPr>
  </w:style>
  <w:style w:type="character" w:styleId="Emphasis">
    <w:name w:val="Emphasis"/>
    <w:basedOn w:val="DefaultParagraphFont"/>
    <w:uiPriority w:val="8"/>
    <w:qFormat/>
    <w:rsid w:val="004908C6"/>
    <w:rPr>
      <w:rFonts w:ascii="Arial" w:hAnsi="Arial"/>
      <w:i w:val="0"/>
      <w:iCs/>
      <w:color w:val="3F109A"/>
      <w:sz w:val="20"/>
      <w:lang w:val="lt-LT"/>
    </w:rPr>
  </w:style>
  <w:style w:type="character" w:styleId="IntenseEmphasis">
    <w:name w:val="Intense Emphasis"/>
    <w:basedOn w:val="DefaultParagraphFont"/>
    <w:uiPriority w:val="9"/>
    <w:qFormat/>
    <w:rsid w:val="004908C6"/>
    <w:rPr>
      <w:rFonts w:ascii="Arial" w:hAnsi="Arial"/>
      <w:b/>
      <w:i w:val="0"/>
      <w:iCs/>
      <w:color w:val="3F109A"/>
      <w:sz w:val="20"/>
      <w:lang w:val="lt-LT"/>
    </w:rPr>
  </w:style>
  <w:style w:type="character" w:styleId="Strong">
    <w:name w:val="Strong"/>
    <w:basedOn w:val="DefaultParagraphFont"/>
    <w:uiPriority w:val="11"/>
    <w:qFormat/>
    <w:rsid w:val="004908C6"/>
    <w:rPr>
      <w:rFonts w:ascii="Arial" w:hAnsi="Arial"/>
      <w:b/>
      <w:bCs/>
      <w:color w:val="auto"/>
      <w:sz w:val="20"/>
      <w:lang w:val="lt-LT"/>
    </w:rPr>
  </w:style>
  <w:style w:type="paragraph" w:styleId="FootnoteText">
    <w:name w:val="footnote text"/>
    <w:basedOn w:val="Normal"/>
    <w:link w:val="FootnoteTextChar"/>
    <w:uiPriority w:val="99"/>
    <w:semiHidden/>
    <w:unhideWhenUsed/>
    <w:rsid w:val="00530DC0"/>
    <w:pPr>
      <w:spacing w:before="0" w:after="0"/>
    </w:pPr>
    <w:rPr>
      <w:szCs w:val="20"/>
    </w:rPr>
  </w:style>
  <w:style w:type="character" w:customStyle="1" w:styleId="FootnoteTextChar">
    <w:name w:val="Footnote Text Char"/>
    <w:basedOn w:val="DefaultParagraphFont"/>
    <w:link w:val="FootnoteText"/>
    <w:uiPriority w:val="99"/>
    <w:semiHidden/>
    <w:rsid w:val="00530DC0"/>
    <w:rPr>
      <w:rFonts w:ascii="Arial" w:hAnsi="Arial" w:cs="Times New Roman (Body CS)"/>
      <w:sz w:val="20"/>
      <w:szCs w:val="20"/>
    </w:rPr>
  </w:style>
  <w:style w:type="character" w:styleId="FootnoteReference">
    <w:name w:val="footnote reference"/>
    <w:basedOn w:val="DefaultParagraphFont"/>
    <w:uiPriority w:val="99"/>
    <w:semiHidden/>
    <w:unhideWhenUsed/>
    <w:rsid w:val="00530DC0"/>
    <w:rPr>
      <w:vertAlign w:val="superscript"/>
    </w:rPr>
  </w:style>
  <w:style w:type="paragraph" w:styleId="IntenseQuote">
    <w:name w:val="Intense Quote"/>
    <w:basedOn w:val="Normal"/>
    <w:next w:val="Normal"/>
    <w:link w:val="IntenseQuoteChar"/>
    <w:uiPriority w:val="16"/>
    <w:rsid w:val="00F430DB"/>
    <w:pPr>
      <w:pBdr>
        <w:top w:val="single" w:sz="4" w:space="10" w:color="5881DD"/>
        <w:bottom w:val="single" w:sz="4" w:space="10" w:color="5881DD"/>
      </w:pBdr>
    </w:pPr>
    <w:rPr>
      <w:b/>
      <w:i/>
      <w:iCs/>
      <w:color w:val="5881DD"/>
    </w:rPr>
  </w:style>
  <w:style w:type="character" w:customStyle="1" w:styleId="IntenseQuoteChar">
    <w:name w:val="Intense Quote Char"/>
    <w:basedOn w:val="DefaultParagraphFont"/>
    <w:link w:val="IntenseQuote"/>
    <w:uiPriority w:val="16"/>
    <w:rsid w:val="00B74672"/>
    <w:rPr>
      <w:rFonts w:ascii="Arial" w:hAnsi="Arial" w:cs="Times New Roman (Body CS)"/>
      <w:b/>
      <w:i/>
      <w:iCs/>
      <w:color w:val="5881DD"/>
      <w:sz w:val="20"/>
    </w:rPr>
  </w:style>
  <w:style w:type="character" w:styleId="SubtleReference">
    <w:name w:val="Subtle Reference"/>
    <w:basedOn w:val="DefaultParagraphFont"/>
    <w:uiPriority w:val="31"/>
    <w:rsid w:val="00530DC0"/>
    <w:rPr>
      <w:rFonts w:ascii="Arial" w:hAnsi="Arial"/>
      <w:smallCaps/>
      <w:color w:val="231F20"/>
      <w:sz w:val="20"/>
    </w:rPr>
  </w:style>
  <w:style w:type="character" w:styleId="IntenseReference">
    <w:name w:val="Intense Reference"/>
    <w:basedOn w:val="DefaultParagraphFont"/>
    <w:uiPriority w:val="34"/>
    <w:unhideWhenUsed/>
    <w:qFormat/>
    <w:rsid w:val="004908C6"/>
    <w:rPr>
      <w:rFonts w:ascii="Arial" w:hAnsi="Arial"/>
      <w:b/>
      <w:bCs/>
      <w:smallCaps/>
      <w:color w:val="5881DD"/>
      <w:spacing w:val="5"/>
      <w:sz w:val="20"/>
      <w:lang w:val="lt-LT"/>
    </w:rPr>
  </w:style>
  <w:style w:type="character" w:styleId="BookTitle">
    <w:name w:val="Book Title"/>
    <w:basedOn w:val="DefaultParagraphFont"/>
    <w:uiPriority w:val="33"/>
    <w:rsid w:val="00530DC0"/>
    <w:rPr>
      <w:b/>
      <w:bCs/>
      <w:i/>
      <w:iCs/>
      <w:spacing w:val="5"/>
    </w:rPr>
  </w:style>
  <w:style w:type="character" w:customStyle="1" w:styleId="StyleFootnoteReferenceExpandedby075pt">
    <w:name w:val="Style Footnote Reference + Expanded by  075 pt"/>
    <w:basedOn w:val="FootnoteTextChar"/>
    <w:uiPriority w:val="19"/>
    <w:rsid w:val="00681377"/>
    <w:rPr>
      <w:rFonts w:ascii="Arial" w:hAnsi="Arial" w:cs="Times New Roman (Body CS)"/>
      <w:color w:val="auto"/>
      <w:spacing w:val="15"/>
      <w:sz w:val="16"/>
      <w:szCs w:val="20"/>
    </w:rPr>
  </w:style>
  <w:style w:type="paragraph" w:styleId="Quote">
    <w:name w:val="Quote"/>
    <w:basedOn w:val="Normal"/>
    <w:next w:val="Normal"/>
    <w:link w:val="QuoteChar"/>
    <w:uiPriority w:val="15"/>
    <w:qFormat/>
    <w:rsid w:val="004908C6"/>
    <w:pPr>
      <w:spacing w:before="160" w:after="160"/>
      <w:ind w:left="862" w:right="862"/>
    </w:pPr>
    <w:rPr>
      <w:i/>
      <w:iCs/>
      <w:color w:val="5881DD"/>
    </w:rPr>
  </w:style>
  <w:style w:type="character" w:customStyle="1" w:styleId="QuoteChar">
    <w:name w:val="Quote Char"/>
    <w:basedOn w:val="DefaultParagraphFont"/>
    <w:link w:val="Quote"/>
    <w:uiPriority w:val="15"/>
    <w:rsid w:val="004908C6"/>
    <w:rPr>
      <w:rFonts w:ascii="Arial" w:hAnsi="Arial" w:cs="Times New Roman (Body CS)"/>
      <w:i/>
      <w:iCs/>
      <w:color w:val="5881DD"/>
      <w:sz w:val="20"/>
      <w:lang w:val="lt-LT"/>
    </w:rPr>
  </w:style>
  <w:style w:type="paragraph" w:customStyle="1" w:styleId="Footnote">
    <w:name w:val="Footnote"/>
    <w:basedOn w:val="BodyText3"/>
    <w:uiPriority w:val="14"/>
    <w:qFormat/>
    <w:rsid w:val="004908C6"/>
    <w:pPr>
      <w:spacing w:before="60" w:after="60"/>
    </w:pPr>
  </w:style>
  <w:style w:type="paragraph" w:styleId="ListParagraph">
    <w:name w:val="List Paragraph"/>
    <w:basedOn w:val="Normal"/>
    <w:uiPriority w:val="34"/>
    <w:qFormat/>
    <w:rsid w:val="0001524F"/>
    <w:pPr>
      <w:ind w:left="720"/>
      <w:contextualSpacing/>
    </w:pPr>
  </w:style>
  <w:style w:type="paragraph" w:styleId="Bibliography">
    <w:name w:val="Bibliography"/>
    <w:basedOn w:val="Normal"/>
    <w:next w:val="Normal"/>
    <w:uiPriority w:val="37"/>
    <w:semiHidden/>
    <w:unhideWhenUsed/>
    <w:rsid w:val="000402E3"/>
  </w:style>
  <w:style w:type="paragraph" w:customStyle="1" w:styleId="Tabletext">
    <w:name w:val="Table text"/>
    <w:basedOn w:val="Normal"/>
    <w:link w:val="TabletextChar"/>
    <w:uiPriority w:val="7"/>
    <w:qFormat/>
    <w:rsid w:val="004908C6"/>
    <w:pPr>
      <w:spacing w:before="0" w:after="0"/>
    </w:pPr>
    <w:rPr>
      <w:rFonts w:ascii="Arial Narrow" w:hAnsi="Arial Narrow"/>
      <w:sz w:val="18"/>
    </w:rPr>
  </w:style>
  <w:style w:type="table" w:styleId="GridTable4-Accent1">
    <w:name w:val="Grid Table 4 Accent 1"/>
    <w:basedOn w:val="TableNormal"/>
    <w:uiPriority w:val="49"/>
    <w:rsid w:val="00F430DB"/>
    <w:pPr>
      <w:spacing w:line="240" w:lineRule="auto"/>
    </w:pPr>
    <w:tblPr>
      <w:tblStyleRowBandSize w:val="1"/>
      <w:tblStyleColBandSize w:val="1"/>
      <w:tblBorders>
        <w:top w:val="single" w:sz="4" w:space="0" w:color="7E46EB" w:themeColor="accent1" w:themeTint="99"/>
        <w:left w:val="single" w:sz="4" w:space="0" w:color="7E46EB" w:themeColor="accent1" w:themeTint="99"/>
        <w:bottom w:val="single" w:sz="4" w:space="0" w:color="7E46EB" w:themeColor="accent1" w:themeTint="99"/>
        <w:right w:val="single" w:sz="4" w:space="0" w:color="7E46EB" w:themeColor="accent1" w:themeTint="99"/>
        <w:insideH w:val="single" w:sz="4" w:space="0" w:color="7E46EB" w:themeColor="accent1" w:themeTint="99"/>
        <w:insideV w:val="single" w:sz="4" w:space="0" w:color="7E46EB" w:themeColor="accent1" w:themeTint="99"/>
      </w:tblBorders>
    </w:tblPr>
    <w:tblStylePr w:type="firstRow">
      <w:rPr>
        <w:b/>
        <w:bCs/>
        <w:color w:val="FFFFFF" w:themeColor="background1"/>
      </w:rPr>
      <w:tblPr/>
      <w:tcPr>
        <w:tcBorders>
          <w:top w:val="single" w:sz="4" w:space="0" w:color="3F109A" w:themeColor="accent1"/>
          <w:left w:val="single" w:sz="4" w:space="0" w:color="3F109A" w:themeColor="accent1"/>
          <w:bottom w:val="single" w:sz="4" w:space="0" w:color="3F109A" w:themeColor="accent1"/>
          <w:right w:val="single" w:sz="4" w:space="0" w:color="3F109A" w:themeColor="accent1"/>
          <w:insideH w:val="nil"/>
          <w:insideV w:val="nil"/>
        </w:tcBorders>
        <w:shd w:val="clear" w:color="auto" w:fill="3F109A" w:themeFill="accent1"/>
      </w:tcPr>
    </w:tblStylePr>
    <w:tblStylePr w:type="lastRow">
      <w:rPr>
        <w:b/>
        <w:bCs/>
      </w:rPr>
      <w:tblPr/>
      <w:tcPr>
        <w:tcBorders>
          <w:top w:val="double" w:sz="4" w:space="0" w:color="3F109A" w:themeColor="accent1"/>
        </w:tcBorders>
      </w:tcPr>
    </w:tblStylePr>
    <w:tblStylePr w:type="firstCol">
      <w:rPr>
        <w:b/>
        <w:bCs/>
      </w:rPr>
    </w:tblStylePr>
    <w:tblStylePr w:type="lastCol">
      <w:rPr>
        <w:b/>
        <w:bCs/>
      </w:rPr>
    </w:tblStylePr>
    <w:tblStylePr w:type="band1Vert">
      <w:tblPr/>
      <w:tcPr>
        <w:shd w:val="clear" w:color="auto" w:fill="D3C1F8" w:themeFill="accent1" w:themeFillTint="33"/>
      </w:tcPr>
    </w:tblStylePr>
    <w:tblStylePr w:type="band1Horz">
      <w:tblPr/>
      <w:tcPr>
        <w:shd w:val="clear" w:color="auto" w:fill="D3C1F8" w:themeFill="accent1" w:themeFillTint="33"/>
      </w:tcPr>
    </w:tblStylePr>
  </w:style>
  <w:style w:type="character" w:customStyle="1" w:styleId="TabletextChar">
    <w:name w:val="Table text Char"/>
    <w:basedOn w:val="TitleChar"/>
    <w:link w:val="Tabletext"/>
    <w:uiPriority w:val="7"/>
    <w:rsid w:val="004908C6"/>
    <w:rPr>
      <w:rFonts w:ascii="Arial Narrow" w:eastAsiaTheme="majorEastAsia" w:hAnsi="Arial Narrow" w:cs="Times New Roman (Body CS)"/>
      <w:b w:val="0"/>
      <w:spacing w:val="-10"/>
      <w:kern w:val="28"/>
      <w:sz w:val="18"/>
      <w:szCs w:val="56"/>
      <w:lang w:val="lt-LT"/>
    </w:rPr>
  </w:style>
  <w:style w:type="table" w:styleId="GridTable1Light-Accent1">
    <w:name w:val="Grid Table 1 Light Accent 1"/>
    <w:basedOn w:val="TableNormal"/>
    <w:uiPriority w:val="46"/>
    <w:rsid w:val="00F430DB"/>
    <w:pPr>
      <w:spacing w:line="240" w:lineRule="auto"/>
    </w:pPr>
    <w:tblPr>
      <w:tblStyleRowBandSize w:val="1"/>
      <w:tblStyleColBandSize w:val="1"/>
      <w:tblBorders>
        <w:top w:val="single" w:sz="4" w:space="0" w:color="A883F2" w:themeColor="accent1" w:themeTint="66"/>
        <w:left w:val="single" w:sz="4" w:space="0" w:color="A883F2" w:themeColor="accent1" w:themeTint="66"/>
        <w:bottom w:val="single" w:sz="4" w:space="0" w:color="A883F2" w:themeColor="accent1" w:themeTint="66"/>
        <w:right w:val="single" w:sz="4" w:space="0" w:color="A883F2" w:themeColor="accent1" w:themeTint="66"/>
        <w:insideH w:val="single" w:sz="4" w:space="0" w:color="A883F2" w:themeColor="accent1" w:themeTint="66"/>
        <w:insideV w:val="single" w:sz="4" w:space="0" w:color="A883F2" w:themeColor="accent1" w:themeTint="66"/>
      </w:tblBorders>
    </w:tblPr>
    <w:tblStylePr w:type="firstRow">
      <w:rPr>
        <w:b/>
        <w:bCs/>
      </w:rPr>
      <w:tblPr/>
      <w:tcPr>
        <w:tcBorders>
          <w:bottom w:val="single" w:sz="12" w:space="0" w:color="7E46EB" w:themeColor="accent1" w:themeTint="99"/>
        </w:tcBorders>
      </w:tcPr>
    </w:tblStylePr>
    <w:tblStylePr w:type="lastRow">
      <w:rPr>
        <w:b/>
        <w:bCs/>
      </w:rPr>
      <w:tblPr/>
      <w:tcPr>
        <w:tcBorders>
          <w:top w:val="double" w:sz="2" w:space="0" w:color="7E46EB" w:themeColor="accent1" w:themeTint="99"/>
        </w:tcBorders>
      </w:tcPr>
    </w:tblStylePr>
    <w:tblStylePr w:type="firstCol">
      <w:rPr>
        <w:b/>
        <w:bCs/>
      </w:rPr>
    </w:tblStylePr>
    <w:tblStylePr w:type="lastCol">
      <w:rPr>
        <w:b/>
        <w:bCs/>
      </w:rPr>
    </w:tblStylePr>
  </w:style>
  <w:style w:type="paragraph" w:customStyle="1" w:styleId="Signature1">
    <w:name w:val="Signature 1"/>
    <w:basedOn w:val="Normal"/>
    <w:next w:val="Normal"/>
    <w:link w:val="Signature1Char"/>
    <w:uiPriority w:val="12"/>
    <w:qFormat/>
    <w:rsid w:val="004908C6"/>
    <w:pPr>
      <w:spacing w:before="960" w:after="960"/>
    </w:pPr>
  </w:style>
  <w:style w:type="paragraph" w:customStyle="1" w:styleId="Signature2">
    <w:name w:val="Signature2"/>
    <w:basedOn w:val="Normal"/>
    <w:uiPriority w:val="13"/>
    <w:qFormat/>
    <w:rsid w:val="004908C6"/>
  </w:style>
  <w:style w:type="character" w:customStyle="1" w:styleId="Signature1Char">
    <w:name w:val="Signature 1 Char"/>
    <w:basedOn w:val="DefaultParagraphFont"/>
    <w:link w:val="Signature1"/>
    <w:uiPriority w:val="12"/>
    <w:rsid w:val="004908C6"/>
    <w:rPr>
      <w:rFonts w:ascii="Arial" w:hAnsi="Arial" w:cs="Times New Roman (Body CS)"/>
      <w:sz w:val="20"/>
      <w:lang w:val="lt-LT"/>
    </w:rPr>
  </w:style>
  <w:style w:type="paragraph" w:customStyle="1" w:styleId="Props">
    <w:name w:val="Props"/>
    <w:basedOn w:val="Normal"/>
    <w:link w:val="PropsChar"/>
    <w:uiPriority w:val="18"/>
    <w:qFormat/>
    <w:rsid w:val="004908C6"/>
    <w:pPr>
      <w:tabs>
        <w:tab w:val="left" w:pos="7230"/>
        <w:tab w:val="left" w:pos="7655"/>
        <w:tab w:val="left" w:pos="7797"/>
      </w:tabs>
      <w:ind w:firstLine="720"/>
    </w:pPr>
  </w:style>
  <w:style w:type="character" w:customStyle="1" w:styleId="PropsChar">
    <w:name w:val="Props Char"/>
    <w:basedOn w:val="DefaultParagraphFont"/>
    <w:link w:val="Props"/>
    <w:uiPriority w:val="18"/>
    <w:rsid w:val="004908C6"/>
    <w:rPr>
      <w:rFonts w:ascii="Arial" w:hAnsi="Arial" w:cs="Times New Roman (Body CS)"/>
      <w:sz w:val="20"/>
      <w:lang w:val="lt-LT"/>
    </w:rPr>
  </w:style>
  <w:style w:type="character" w:styleId="UnresolvedMention">
    <w:name w:val="Unresolved Mention"/>
    <w:basedOn w:val="DefaultParagraphFont"/>
    <w:uiPriority w:val="99"/>
    <w:semiHidden/>
    <w:unhideWhenUsed/>
    <w:rsid w:val="00B10683"/>
    <w:rPr>
      <w:color w:val="605E5C"/>
      <w:shd w:val="clear" w:color="auto" w:fill="E1DFDD"/>
    </w:rPr>
  </w:style>
  <w:style w:type="paragraph" w:styleId="NormalWeb">
    <w:name w:val="Normal (Web)"/>
    <w:basedOn w:val="Normal"/>
    <w:uiPriority w:val="99"/>
    <w:unhideWhenUsed/>
    <w:rsid w:val="00E1749A"/>
    <w:pPr>
      <w:spacing w:before="100" w:beforeAutospacing="1" w:after="100" w:afterAutospacing="1" w:line="240" w:lineRule="auto"/>
      <w:jc w:val="left"/>
    </w:pPr>
    <w:rPr>
      <w:rFonts w:ascii="Times New Roman" w:eastAsia="Times New Roman" w:hAnsi="Times New Roman" w:cs="Times New Roman"/>
      <w:sz w:val="24"/>
      <w:lang w:eastAsia="lt-LT"/>
    </w:rPr>
  </w:style>
  <w:style w:type="paragraph" w:styleId="BalloonText">
    <w:name w:val="Balloon Text"/>
    <w:basedOn w:val="Normal"/>
    <w:link w:val="BalloonTextChar"/>
    <w:uiPriority w:val="99"/>
    <w:semiHidden/>
    <w:unhideWhenUsed/>
    <w:rsid w:val="007A0E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EA9"/>
    <w:rPr>
      <w:rFonts w:ascii="Segoe UI" w:hAnsi="Segoe UI" w:cs="Segoe UI"/>
      <w:sz w:val="18"/>
      <w:szCs w:val="18"/>
      <w:lang w:val="lt-LT"/>
    </w:rPr>
  </w:style>
  <w:style w:type="character" w:styleId="CommentReference">
    <w:name w:val="annotation reference"/>
    <w:rsid w:val="007A0EA9"/>
    <w:rPr>
      <w:sz w:val="16"/>
      <w:szCs w:val="16"/>
    </w:rPr>
  </w:style>
  <w:style w:type="paragraph" w:styleId="CommentText">
    <w:name w:val="annotation text"/>
    <w:basedOn w:val="Normal"/>
    <w:link w:val="CommentTextChar"/>
    <w:rsid w:val="007A0EA9"/>
    <w:pPr>
      <w:spacing w:before="0" w:after="0" w:line="240" w:lineRule="auto"/>
      <w:jc w:val="left"/>
    </w:pPr>
    <w:rPr>
      <w:rFonts w:ascii="Times New Roman" w:eastAsia="Times New Roman" w:hAnsi="Times New Roman" w:cs="Times New Roman"/>
      <w:szCs w:val="20"/>
      <w:lang w:eastAsia="lt-LT"/>
    </w:rPr>
  </w:style>
  <w:style w:type="character" w:customStyle="1" w:styleId="CommentTextChar">
    <w:name w:val="Comment Text Char"/>
    <w:basedOn w:val="DefaultParagraphFont"/>
    <w:link w:val="CommentText"/>
    <w:rsid w:val="007A0EA9"/>
    <w:rPr>
      <w:rFonts w:ascii="Times New Roman" w:eastAsia="Times New Roman" w:hAnsi="Times New Roman" w:cs="Times New Roman"/>
      <w:sz w:val="20"/>
      <w:szCs w:val="20"/>
      <w:lang w:val="lt-LT" w:eastAsia="lt-LT"/>
    </w:rPr>
  </w:style>
  <w:style w:type="paragraph" w:customStyle="1" w:styleId="Default">
    <w:name w:val="Default"/>
    <w:rsid w:val="00B37FF3"/>
    <w:pPr>
      <w:autoSpaceDE w:val="0"/>
      <w:autoSpaceDN w:val="0"/>
      <w:adjustRightInd w:val="0"/>
      <w:spacing w:line="240" w:lineRule="auto"/>
    </w:pPr>
    <w:rPr>
      <w:rFonts w:ascii="Times New Roman" w:hAnsi="Times New Roman"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4750">
      <w:bodyDiv w:val="1"/>
      <w:marLeft w:val="0"/>
      <w:marRight w:val="0"/>
      <w:marTop w:val="0"/>
      <w:marBottom w:val="0"/>
      <w:divBdr>
        <w:top w:val="none" w:sz="0" w:space="0" w:color="auto"/>
        <w:left w:val="none" w:sz="0" w:space="0" w:color="auto"/>
        <w:bottom w:val="none" w:sz="0" w:space="0" w:color="auto"/>
        <w:right w:val="none" w:sz="0" w:space="0" w:color="auto"/>
      </w:divBdr>
    </w:div>
    <w:div w:id="176699366">
      <w:bodyDiv w:val="1"/>
      <w:marLeft w:val="0"/>
      <w:marRight w:val="0"/>
      <w:marTop w:val="0"/>
      <w:marBottom w:val="0"/>
      <w:divBdr>
        <w:top w:val="none" w:sz="0" w:space="0" w:color="auto"/>
        <w:left w:val="none" w:sz="0" w:space="0" w:color="auto"/>
        <w:bottom w:val="none" w:sz="0" w:space="0" w:color="auto"/>
        <w:right w:val="none" w:sz="0" w:space="0" w:color="auto"/>
      </w:divBdr>
      <w:divsChild>
        <w:div w:id="1550334100">
          <w:marLeft w:val="0"/>
          <w:marRight w:val="0"/>
          <w:marTop w:val="0"/>
          <w:marBottom w:val="0"/>
          <w:divBdr>
            <w:top w:val="none" w:sz="0" w:space="0" w:color="auto"/>
            <w:left w:val="none" w:sz="0" w:space="0" w:color="auto"/>
            <w:bottom w:val="none" w:sz="0" w:space="0" w:color="auto"/>
            <w:right w:val="none" w:sz="0" w:space="0" w:color="auto"/>
          </w:divBdr>
        </w:div>
        <w:div w:id="810176227">
          <w:marLeft w:val="0"/>
          <w:marRight w:val="0"/>
          <w:marTop w:val="0"/>
          <w:marBottom w:val="0"/>
          <w:divBdr>
            <w:top w:val="none" w:sz="0" w:space="0" w:color="auto"/>
            <w:left w:val="none" w:sz="0" w:space="0" w:color="auto"/>
            <w:bottom w:val="none" w:sz="0" w:space="0" w:color="auto"/>
            <w:right w:val="none" w:sz="0" w:space="0" w:color="auto"/>
          </w:divBdr>
        </w:div>
      </w:divsChild>
    </w:div>
    <w:div w:id="791293269">
      <w:bodyDiv w:val="1"/>
      <w:marLeft w:val="0"/>
      <w:marRight w:val="0"/>
      <w:marTop w:val="0"/>
      <w:marBottom w:val="0"/>
      <w:divBdr>
        <w:top w:val="none" w:sz="0" w:space="0" w:color="auto"/>
        <w:left w:val="none" w:sz="0" w:space="0" w:color="auto"/>
        <w:bottom w:val="none" w:sz="0" w:space="0" w:color="auto"/>
        <w:right w:val="none" w:sz="0" w:space="0" w:color="auto"/>
      </w:divBdr>
    </w:div>
    <w:div w:id="851915338">
      <w:bodyDiv w:val="1"/>
      <w:marLeft w:val="0"/>
      <w:marRight w:val="0"/>
      <w:marTop w:val="0"/>
      <w:marBottom w:val="0"/>
      <w:divBdr>
        <w:top w:val="none" w:sz="0" w:space="0" w:color="auto"/>
        <w:left w:val="none" w:sz="0" w:space="0" w:color="auto"/>
        <w:bottom w:val="none" w:sz="0" w:space="0" w:color="auto"/>
        <w:right w:val="none" w:sz="0" w:space="0" w:color="auto"/>
      </w:divBdr>
    </w:div>
    <w:div w:id="1353800465">
      <w:bodyDiv w:val="1"/>
      <w:marLeft w:val="0"/>
      <w:marRight w:val="0"/>
      <w:marTop w:val="0"/>
      <w:marBottom w:val="0"/>
      <w:divBdr>
        <w:top w:val="none" w:sz="0" w:space="0" w:color="auto"/>
        <w:left w:val="none" w:sz="0" w:space="0" w:color="auto"/>
        <w:bottom w:val="none" w:sz="0" w:space="0" w:color="auto"/>
        <w:right w:val="none" w:sz="0" w:space="0" w:color="auto"/>
      </w:divBdr>
    </w:div>
    <w:div w:id="14203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m.lt/web/lt/teisesaktai/tei/valstybine-svietimo-strategija_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education/policies/european-policy-cooperation/et2020-framework_en" TargetMode="External"/><Relationship Id="rId4" Type="http://schemas.openxmlformats.org/officeDocument/2006/relationships/settings" Target="settings.xml"/><Relationship Id="rId9" Type="http://schemas.openxmlformats.org/officeDocument/2006/relationships/hyperlink" Target="https://www.cedefop.europa.eu/en/publications-and-resources/statistics-and-indicators/statistics-and-graphs/01-how-many-students-participate-iv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ida\Desktop\Blankas_oficialus_spalvotas.dotx" TargetMode="External"/></Relationships>
</file>

<file path=word/theme/theme1.xml><?xml version="1.0" encoding="utf-8"?>
<a:theme xmlns:a="http://schemas.openxmlformats.org/drawingml/2006/main" name="Office Theme">
  <a:themeElements>
    <a:clrScheme name="Strata">
      <a:dk1>
        <a:sysClr val="windowText" lastClr="000000"/>
      </a:dk1>
      <a:lt1>
        <a:sysClr val="window" lastClr="FFFFFF"/>
      </a:lt1>
      <a:dk2>
        <a:srgbClr val="231F20"/>
      </a:dk2>
      <a:lt2>
        <a:srgbClr val="E7E6E6"/>
      </a:lt2>
      <a:accent1>
        <a:srgbClr val="3F109A"/>
      </a:accent1>
      <a:accent2>
        <a:srgbClr val="A9BEF9"/>
      </a:accent2>
      <a:accent3>
        <a:srgbClr val="F06549"/>
      </a:accent3>
      <a:accent4>
        <a:srgbClr val="FFBD99"/>
      </a:accent4>
      <a:accent5>
        <a:srgbClr val="FFB549"/>
      </a:accent5>
      <a:accent6>
        <a:srgbClr val="5881DD"/>
      </a:accent6>
      <a:hlink>
        <a:srgbClr val="3F109A"/>
      </a:hlink>
      <a:folHlink>
        <a:srgbClr val="F0654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37348-7727-4A1B-88A5-6DE1E54E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Blankas_oficialus_spalvotas</Template>
  <TotalTime>10</TotalTime>
  <Pages>8</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dc:creator>
  <cp:keywords/>
  <dc:description/>
  <cp:lastModifiedBy>Giedrius Viliūnas</cp:lastModifiedBy>
  <cp:revision>4</cp:revision>
  <cp:lastPrinted>2020-03-20T13:06:00Z</cp:lastPrinted>
  <dcterms:created xsi:type="dcterms:W3CDTF">2021-03-08T15:38:00Z</dcterms:created>
  <dcterms:modified xsi:type="dcterms:W3CDTF">2021-03-08T16:09:00Z</dcterms:modified>
</cp:coreProperties>
</file>