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1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93"/>
        <w:gridCol w:w="2552"/>
        <w:gridCol w:w="1559"/>
        <w:gridCol w:w="1843"/>
        <w:gridCol w:w="1701"/>
        <w:gridCol w:w="2833"/>
      </w:tblGrid>
      <w:tr w:rsidR="00E224DA" w:rsidRPr="00E224DA" w14:paraId="19488CCA" w14:textId="77777777" w:rsidTr="00C272B1">
        <w:trPr>
          <w:trHeight w:val="25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88CC6" w14:textId="77777777" w:rsidR="00E224DA" w:rsidRPr="00FE228A" w:rsidRDefault="00CE3634" w:rsidP="00E2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t-LT" w:eastAsia="en-GB"/>
              </w:rPr>
            </w:pPr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t-LT" w:eastAsia="en-GB"/>
              </w:rPr>
              <w:t>Finansavimo sritys tvirtinamos nutarimu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88CC7" w14:textId="5C4F734F" w:rsidR="00E224DA" w:rsidRPr="00FE228A" w:rsidRDefault="00E224DA" w:rsidP="00F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t-LT" w:eastAsia="en-GB"/>
              </w:rPr>
            </w:pPr>
            <w:r w:rsidRPr="00FE22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lt-LT" w:eastAsia="en-GB"/>
              </w:rPr>
              <w:t>Patvirtinta LRV nutarimu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488CC8" w14:textId="7F780787" w:rsidR="00E224DA" w:rsidRPr="00FE228A" w:rsidRDefault="00E224DA" w:rsidP="00E2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</w:pPr>
            <w:r w:rsidRPr="519FD45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lt-LT" w:eastAsia="en-GB"/>
              </w:rPr>
              <w:t>Siūlomi</w:t>
            </w:r>
            <w:r w:rsidR="128628D6" w:rsidRPr="519FD45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lt-LT" w:eastAsia="en-GB"/>
              </w:rPr>
              <w:t xml:space="preserve"> sąmatos</w:t>
            </w:r>
            <w:r w:rsidRPr="519FD45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lt-LT" w:eastAsia="en-GB"/>
              </w:rPr>
              <w:t xml:space="preserve"> pakeitimai </w:t>
            </w:r>
            <w:r w:rsidR="00CE185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lt-LT" w:eastAsia="en-GB"/>
              </w:rPr>
              <w:t>(</w:t>
            </w:r>
            <w:r w:rsidRPr="519FD45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lt-LT" w:eastAsia="en-GB"/>
              </w:rPr>
              <w:t>spalio mėn.)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88CC9" w14:textId="77777777" w:rsidR="00E224DA" w:rsidRPr="00FE228A" w:rsidRDefault="00E224DA" w:rsidP="00FE22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</w:pPr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>Priemonių detalizavimas</w:t>
            </w:r>
          </w:p>
        </w:tc>
      </w:tr>
      <w:tr w:rsidR="00E224DA" w:rsidRPr="00E224DA" w14:paraId="19488CD1" w14:textId="77777777" w:rsidTr="000D2EF5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E0B4"/>
            <w:noWrap/>
            <w:vAlign w:val="center"/>
            <w:hideMark/>
          </w:tcPr>
          <w:p w14:paraId="19488CCB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t-LT" w:eastAsia="en-GB"/>
              </w:rPr>
            </w:pPr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lt-LT" w:eastAsia="en-GB"/>
              </w:rPr>
              <w:t>LĖŠŲ PASKIRTIS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E0B4"/>
            <w:vAlign w:val="center"/>
            <w:hideMark/>
          </w:tcPr>
          <w:p w14:paraId="19488CCC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</w:pPr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 xml:space="preserve">2021 m. bendra suma, mln. </w:t>
            </w:r>
            <w:proofErr w:type="spellStart"/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6E0B4"/>
            <w:vAlign w:val="center"/>
            <w:hideMark/>
          </w:tcPr>
          <w:p w14:paraId="19488CCD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</w:pPr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 xml:space="preserve">2021 m. detali suma, mln. </w:t>
            </w:r>
            <w:proofErr w:type="spellStart"/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9488CCE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</w:pPr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 xml:space="preserve">Bendra suma, mln. </w:t>
            </w:r>
            <w:proofErr w:type="spellStart"/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E0B4"/>
            <w:vAlign w:val="center"/>
            <w:hideMark/>
          </w:tcPr>
          <w:p w14:paraId="19488CCF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</w:pPr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 xml:space="preserve">Detali suma, mln. </w:t>
            </w:r>
            <w:proofErr w:type="spellStart"/>
            <w:r w:rsidRPr="00FE22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lt-LT" w:eastAsia="en-GB"/>
              </w:rPr>
              <w:t>Eur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D0" w14:textId="77777777" w:rsidR="00E224DA" w:rsidRPr="00E224DA" w:rsidRDefault="00E224DA" w:rsidP="00E22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4DA" w:rsidRPr="00E224DA" w14:paraId="19488CD8" w14:textId="77777777" w:rsidTr="000D2EF5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D2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b/>
                <w:color w:val="000000"/>
                <w:lang w:val="lt-LT" w:eastAsia="en-GB"/>
              </w:rPr>
              <w:t>PROGRAMOS PRAĖJUSIO LAIKOTARPIO LĖŠOS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D3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19488CD4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CD5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D6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D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CDF" w14:textId="77777777" w:rsidTr="000D2EF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D9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color w:val="000000"/>
                <w:lang w:val="lt-LT" w:eastAsia="en-GB"/>
              </w:rPr>
              <w:t>Praėjusio laikotarpio nerezervuotos lėšos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DA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color w:val="000000"/>
                <w:lang w:val="lt-LT" w:eastAsia="en-GB"/>
              </w:rPr>
              <w:t>81.6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19488CDB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CDC" w14:textId="4F7E9D9C" w:rsidR="00E224DA" w:rsidRPr="00FE228A" w:rsidRDefault="00AE15CB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lt-LT" w:eastAsia="en-GB"/>
              </w:rPr>
            </w:pPr>
            <w:r>
              <w:rPr>
                <w:rFonts w:eastAsia="Times New Roman" w:cstheme="minorHAnsi"/>
                <w:color w:val="FF0000"/>
                <w:lang w:val="lt-LT" w:eastAsia="en-GB"/>
              </w:rPr>
              <w:t>94.85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DD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DE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CE6" w14:textId="77777777" w:rsidTr="000D2EF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E0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color w:val="000000"/>
                <w:lang w:val="lt-LT" w:eastAsia="en-GB"/>
              </w:rPr>
              <w:t>Rezervuotų pagal 2013-2020 m. gautas paraiškas ir (ar) skirtą finansavimą  lėšos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E1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color w:val="000000"/>
                <w:lang w:val="lt-LT" w:eastAsia="en-GB"/>
              </w:rPr>
              <w:t>108.3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19488CE2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CE3" w14:textId="1557E058" w:rsidR="00E224DA" w:rsidRPr="00FE228A" w:rsidRDefault="00AE15CB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val="lt-LT" w:eastAsia="en-GB"/>
              </w:rPr>
            </w:pPr>
            <w:r>
              <w:rPr>
                <w:rFonts w:eastAsia="Times New Roman" w:cstheme="minorHAnsi"/>
                <w:color w:val="FF0000"/>
                <w:lang w:val="lt-LT" w:eastAsia="en-GB"/>
              </w:rPr>
              <w:t>95.05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E4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E5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CED" w14:textId="77777777" w:rsidTr="000D2EF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E7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b/>
                <w:color w:val="000000"/>
                <w:lang w:val="lt-LT" w:eastAsia="en-GB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E8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color w:val="000000"/>
                <w:lang w:val="lt-LT" w:eastAsia="en-GB"/>
              </w:rPr>
              <w:t>189.9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19488CE9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CEA" w14:textId="77777777" w:rsidR="00E224DA" w:rsidRPr="00FE228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color w:val="000000"/>
                <w:lang w:val="lt-LT" w:eastAsia="en-GB"/>
              </w:rPr>
              <w:t>189.90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EB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EC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CF4" w14:textId="77777777" w:rsidTr="000D2EF5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EE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b/>
                <w:color w:val="000000"/>
                <w:lang w:val="lt-LT" w:eastAsia="en-GB"/>
              </w:rPr>
              <w:t>2021 M. PROGRAMOS PAJAMOS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EF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19488CF0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CF1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F2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F3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CFB" w14:textId="77777777" w:rsidTr="000D2EF5">
        <w:trPr>
          <w:trHeight w:val="32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488CF5" w14:textId="77777777" w:rsidR="00E224DA" w:rsidRPr="00FE228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val="lt-LT" w:eastAsia="en-GB"/>
              </w:rPr>
            </w:pPr>
            <w:r w:rsidRPr="00FE228A">
              <w:rPr>
                <w:rFonts w:eastAsia="Times New Roman" w:cstheme="minorHAnsi"/>
                <w:color w:val="000000"/>
                <w:lang w:val="lt-LT" w:eastAsia="en-GB"/>
              </w:rPr>
              <w:t>2021 m. planuojamos gauti pajamos už aukciono būdu parduotus apyvartinius taršos leidimus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9488CF6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14:paraId="19488CF7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CF8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88CF9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9488CFA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D02" w14:textId="77777777" w:rsidTr="00C272B1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CFC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color w:val="000000"/>
                <w:lang w:eastAsia="en-GB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9488CFD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88CFE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CFF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88D00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9488D01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D09" w14:textId="77777777" w:rsidTr="00C272B1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03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color w:val="000000"/>
                <w:lang w:eastAsia="en-GB"/>
              </w:rPr>
              <w:t>2021 M. PROGRAMOS LĖŠŲ PANAUDOJIMO SRITYS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04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05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06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0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08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D10" w14:textId="77777777" w:rsidTr="00C272B1">
        <w:trPr>
          <w:trHeight w:val="26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19488D0A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Priemonės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kurias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įgyvendinus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pasiekiamas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kiekybiškai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apskaičiuojamas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išmetamų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šiltnamio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efektą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sukeliančių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dujų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kiekio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sumažinimas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19488D0B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157.8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19488D0C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157.8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19488D0D" w14:textId="340827D8" w:rsidR="00E224DA" w:rsidRPr="00E224DA" w:rsidRDefault="00AE15CB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171.05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19488D0E" w14:textId="77777777" w:rsidR="00E224DA" w:rsidRPr="00E224DA" w:rsidRDefault="00E224DA" w:rsidP="00CE36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19488D0F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9BBB59"/>
                <w:lang w:eastAsia="en-GB"/>
              </w:rPr>
            </w:pPr>
          </w:p>
        </w:tc>
      </w:tr>
      <w:tr w:rsidR="00E224DA" w:rsidRPr="00E224DA" w14:paraId="19488D17" w14:textId="77777777" w:rsidTr="00C272B1">
        <w:trPr>
          <w:trHeight w:val="4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9488D11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Energijos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vartojimo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efektyvumo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didinimas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: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pastatų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atnaujinimas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modernizavimas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9488D12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28.8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9488D13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28.8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9488D14" w14:textId="0B21BD3C" w:rsidR="00E224DA" w:rsidRPr="00E224DA" w:rsidRDefault="002E79B0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31.8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9488D15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9488D16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D1E" w14:textId="77777777" w:rsidTr="00C272B1">
        <w:trPr>
          <w:trHeight w:val="256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18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Gyvenamųjų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namų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atnaujinimas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modernizavimas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19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1A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9.5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1B" w14:textId="5288A038" w:rsidR="00E224DA" w:rsidRPr="00E224DA" w:rsidRDefault="002E79B0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24.3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1C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9.5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1D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Daugiabučių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namų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modernizavimas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E224DA" w:rsidRPr="00E224DA" w14:paraId="19488D25" w14:textId="77777777" w:rsidTr="00C272B1">
        <w:trPr>
          <w:trHeight w:val="30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1F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20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21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0.8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22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23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0.8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8D24" w14:textId="4109B1D0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Mažoji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renovacija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E224DA" w:rsidRPr="00E224DA" w14:paraId="19488D2C" w14:textId="77777777" w:rsidTr="00C272B1">
        <w:trPr>
          <w:trHeight w:val="61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26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2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28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29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2A" w14:textId="4E658DCF" w:rsidR="00E224DA" w:rsidRPr="00E224DA" w:rsidRDefault="002E79B0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8D2B" w14:textId="1835471F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Individualių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namų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FE228A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spellStart"/>
            <w:r w:rsidR="0022225D">
              <w:rPr>
                <w:rFonts w:eastAsia="Times New Roman" w:cstheme="minorHAnsi"/>
                <w:color w:val="000000"/>
                <w:lang w:eastAsia="en-GB"/>
              </w:rPr>
              <w:t>vien</w:t>
            </w:r>
            <w:r w:rsidR="00FE228A">
              <w:rPr>
                <w:rFonts w:eastAsia="Times New Roman" w:cstheme="minorHAnsi"/>
                <w:color w:val="000000"/>
                <w:lang w:eastAsia="en-GB"/>
              </w:rPr>
              <w:t>bu</w:t>
            </w:r>
            <w:r w:rsidR="00FE228A">
              <w:rPr>
                <w:rFonts w:eastAsia="Times New Roman" w:cstheme="minorHAnsi"/>
                <w:color w:val="000000"/>
                <w:lang w:val="lt-LT" w:eastAsia="en-GB"/>
              </w:rPr>
              <w:t>čių</w:t>
            </w:r>
            <w:proofErr w:type="spellEnd"/>
            <w:r w:rsidR="00FE228A">
              <w:rPr>
                <w:rFonts w:eastAsia="Times New Roman" w:cstheme="minorHAnsi"/>
                <w:color w:val="000000"/>
                <w:lang w:val="lt-LT" w:eastAsia="en-GB"/>
              </w:rPr>
              <w:t xml:space="preserve"> ar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val="lt-LT" w:eastAsia="en-GB"/>
              </w:rPr>
              <w:t>dvibučių</w:t>
            </w:r>
            <w:proofErr w:type="spellEnd"/>
            <w:r w:rsidR="00FE228A">
              <w:rPr>
                <w:rFonts w:eastAsia="Times New Roman" w:cstheme="minorHAnsi"/>
                <w:color w:val="000000"/>
                <w:lang w:val="lt-LT" w:eastAsia="en-GB"/>
              </w:rPr>
              <w:t xml:space="preserve">)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modernizavimas</w:t>
            </w:r>
            <w:proofErr w:type="spellEnd"/>
          </w:p>
        </w:tc>
      </w:tr>
      <w:tr w:rsidR="00E224DA" w:rsidRPr="00E224DA" w14:paraId="19488D33" w14:textId="77777777" w:rsidTr="00C272B1">
        <w:trPr>
          <w:trHeight w:val="3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2D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Juridinių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asmenų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pastatų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atnaujinimas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modernizavimas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2E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2F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30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31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8D32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Viešųjų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pastatų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modernizavimas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(VIPA) </w:t>
            </w:r>
          </w:p>
        </w:tc>
      </w:tr>
      <w:tr w:rsidR="00E224DA" w:rsidRPr="00E224DA" w14:paraId="19488D3A" w14:textId="77777777" w:rsidTr="00C272B1">
        <w:trPr>
          <w:trHeight w:val="263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34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35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36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3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38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2.5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8D39" w14:textId="27BD0E43" w:rsidR="00E224DA" w:rsidRPr="00E224DA" w:rsidRDefault="00E224DA" w:rsidP="0022225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Juridinių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asmenų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įmonių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)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pastatų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modernizavimas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E224DA" w:rsidRPr="00E224DA" w14:paraId="19488D41" w14:textId="77777777" w:rsidTr="00C272B1">
        <w:trPr>
          <w:trHeight w:val="4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9488D3B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lastRenderedPageBreak/>
              <w:t>Atsinaujinančių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energijos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išteklių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panaudojimo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aplinkai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palankių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technologijų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diegimas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9488D3C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9488D3D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9488D3E" w14:textId="749D90D5" w:rsidR="00E224DA" w:rsidRPr="00E224DA" w:rsidRDefault="002E79B0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139.2</w:t>
            </w:r>
            <w:bookmarkStart w:id="0" w:name="_GoBack"/>
            <w:bookmarkEnd w:id="0"/>
            <w:r w:rsidR="00E224DA"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9488D3F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A"/>
            <w:noWrap/>
            <w:vAlign w:val="center"/>
            <w:hideMark/>
          </w:tcPr>
          <w:p w14:paraId="19488D40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0</w:t>
            </w:r>
          </w:p>
        </w:tc>
      </w:tr>
      <w:tr w:rsidR="00E224DA" w:rsidRPr="00E224DA" w14:paraId="19488D48" w14:textId="77777777" w:rsidTr="00C272B1">
        <w:trPr>
          <w:trHeight w:val="54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42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224DA">
              <w:rPr>
                <w:rFonts w:eastAsia="Times New Roman" w:cstheme="minorHAnsi"/>
                <w:lang w:eastAsia="en-GB"/>
              </w:rPr>
              <w:t xml:space="preserve">AEI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panaudojimas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juridinių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asmenų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poreikiams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43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44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45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36.75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46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24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9488D4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224DA">
              <w:rPr>
                <w:rFonts w:eastAsia="Times New Roman" w:cstheme="minorHAnsi"/>
                <w:lang w:eastAsia="en-GB"/>
              </w:rPr>
              <w:t xml:space="preserve">AEI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naudojimas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savivaldybių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valstybiniuose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pastatuose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religinių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bendruomenių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pastatuose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/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poreikiams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  <w:tr w:rsidR="00E224DA" w:rsidRPr="00E224DA" w14:paraId="19488D4F" w14:textId="77777777" w:rsidTr="00C272B1">
        <w:trPr>
          <w:trHeight w:val="432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49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4A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4B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4C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4D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12.75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19488D4E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224DA">
              <w:rPr>
                <w:rFonts w:eastAsia="Times New Roman" w:cstheme="minorHAnsi"/>
                <w:lang w:eastAsia="en-GB"/>
              </w:rPr>
              <w:t xml:space="preserve">AEI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naudojimas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įmonių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poreikiams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</w:tr>
      <w:tr w:rsidR="00E224DA" w:rsidRPr="00E224DA" w14:paraId="19488D56" w14:textId="77777777" w:rsidTr="00C272B1">
        <w:trPr>
          <w:trHeight w:val="129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50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AEI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panaudojimas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individuliuose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namuose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)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daugiabučiuose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51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52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8D53" w14:textId="4985041B" w:rsidR="00E224DA" w:rsidRPr="00E224DA" w:rsidRDefault="002E79B0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54" w14:textId="55672887" w:rsidR="00E224DA" w:rsidRPr="00E224DA" w:rsidRDefault="002E79B0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1.8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55" w14:textId="0BF80B51" w:rsidR="00E224DA" w:rsidRPr="00E224DA" w:rsidRDefault="00E224DA" w:rsidP="00FE22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AEI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nepasiturintiems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gyventojams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saulės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elektrinių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įrengimas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ar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įsigijimas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iš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saulės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parkų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;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taršių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šildymo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įrenginių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pakeitimas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į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biokuro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katilus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šilumos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siurblius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) </w:t>
            </w:r>
          </w:p>
        </w:tc>
      </w:tr>
      <w:tr w:rsidR="00E224DA" w:rsidRPr="00E224DA" w14:paraId="19488D5D" w14:textId="77777777" w:rsidTr="00C272B1">
        <w:trPr>
          <w:trHeight w:val="94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5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58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59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5A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5B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12.5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8D5C" w14:textId="45D6DB4C" w:rsidR="00E224DA" w:rsidRPr="00E224DA" w:rsidRDefault="00E224DA" w:rsidP="00FE22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224DA">
              <w:rPr>
                <w:rFonts w:eastAsia="Times New Roman" w:cstheme="minorHAnsi"/>
                <w:lang w:eastAsia="en-GB"/>
              </w:rPr>
              <w:t xml:space="preserve">AEI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naudojimas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individualiuose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namuose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šildymui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(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biokuro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katilai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šilumos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siurbliai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) </w:t>
            </w:r>
          </w:p>
        </w:tc>
      </w:tr>
      <w:tr w:rsidR="00E224DA" w:rsidRPr="00E224DA" w14:paraId="19488D64" w14:textId="77777777" w:rsidTr="00C272B1">
        <w:trPr>
          <w:trHeight w:val="397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5E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5F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60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61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62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8D63" w14:textId="5EA7C747" w:rsidR="00E224DA" w:rsidRPr="00E224DA" w:rsidRDefault="00E224DA" w:rsidP="00FE228A">
            <w:pPr>
              <w:spacing w:after="0" w:line="240" w:lineRule="auto"/>
              <w:rPr>
                <w:rFonts w:eastAsia="Times New Roman" w:cstheme="minorHAnsi"/>
                <w:color w:val="0070C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lang w:eastAsia="en-GB"/>
              </w:rPr>
              <w:t>Parama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prisijungimui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prie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lang w:eastAsia="en-GB"/>
              </w:rPr>
              <w:t>centralizuoto</w:t>
            </w:r>
            <w:proofErr w:type="spellEnd"/>
            <w:r w:rsidR="00FE228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lang w:eastAsia="en-GB"/>
              </w:rPr>
              <w:t>šildymo</w:t>
            </w:r>
            <w:proofErr w:type="spellEnd"/>
            <w:r w:rsidR="00FE228A">
              <w:rPr>
                <w:rFonts w:eastAsia="Times New Roman" w:cstheme="minorHAnsi"/>
                <w:lang w:eastAsia="en-GB"/>
              </w:rPr>
              <w:t xml:space="preserve"> (</w:t>
            </w:r>
            <w:proofErr w:type="spellStart"/>
            <w:r w:rsidR="00FE228A">
              <w:rPr>
                <w:rFonts w:eastAsia="Times New Roman" w:cstheme="minorHAnsi"/>
                <w:lang w:eastAsia="en-GB"/>
              </w:rPr>
              <w:t>toliau</w:t>
            </w:r>
            <w:proofErr w:type="spellEnd"/>
            <w:r w:rsidR="00FE228A">
              <w:rPr>
                <w:rFonts w:eastAsia="Times New Roman" w:cstheme="minorHAnsi"/>
                <w:lang w:eastAsia="en-GB"/>
              </w:rPr>
              <w:t xml:space="preserve"> – CŠT)</w:t>
            </w:r>
          </w:p>
        </w:tc>
      </w:tr>
      <w:tr w:rsidR="00E224DA" w:rsidRPr="00E224DA" w14:paraId="19488D6B" w14:textId="77777777" w:rsidTr="00C272B1">
        <w:trPr>
          <w:trHeight w:val="94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65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66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67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68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69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6A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224DA">
              <w:rPr>
                <w:rFonts w:eastAsia="Times New Roman" w:cstheme="minorHAnsi"/>
                <w:lang w:eastAsia="en-GB"/>
              </w:rPr>
              <w:t xml:space="preserve">AEI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naudojimas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renovuotuose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daugiabučiuose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, ne  CŠT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teritorijoje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(BETA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priemonė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) </w:t>
            </w:r>
          </w:p>
        </w:tc>
      </w:tr>
      <w:tr w:rsidR="00E224DA" w:rsidRPr="00E224DA" w14:paraId="19488D72" w14:textId="77777777" w:rsidTr="00C272B1">
        <w:trPr>
          <w:trHeight w:val="31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6C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Mažiau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taršaus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transporto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panaudojimo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fiziniamas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asmenims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88D6D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6E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6F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70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1" w14:textId="6594D25F" w:rsidR="00E224DA" w:rsidRPr="00E224DA" w:rsidRDefault="00FE228A" w:rsidP="004B055B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proofErr w:type="spellStart"/>
            <w:r>
              <w:rPr>
                <w:rFonts w:eastAsia="Times New Roman" w:cstheme="minorHAnsi"/>
                <w:lang w:eastAsia="en-GB"/>
              </w:rPr>
              <w:t>Mažiau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taršių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automobilių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įsigijimo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skatinimas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nepasiturintiems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gyventojams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pridavusiems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4B055B">
              <w:rPr>
                <w:rFonts w:eastAsia="Times New Roman" w:cstheme="minorHAnsi"/>
                <w:lang w:eastAsia="en-GB"/>
              </w:rPr>
              <w:t>sunaikinti</w:t>
            </w:r>
            <w:proofErr w:type="spellEnd"/>
            <w:r w:rsidR="004B055B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taršų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automobilį</w:t>
            </w:r>
            <w:proofErr w:type="spellEnd"/>
          </w:p>
        </w:tc>
      </w:tr>
      <w:tr w:rsidR="00E224DA" w:rsidRPr="00E224DA" w14:paraId="19488D79" w14:textId="77777777" w:rsidTr="00C272B1">
        <w:trPr>
          <w:trHeight w:val="386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3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4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75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6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77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8" w14:textId="19576FB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Visuomeninio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4B055B">
              <w:rPr>
                <w:rFonts w:eastAsia="Times New Roman" w:cstheme="minorHAnsi"/>
                <w:color w:val="000000"/>
                <w:lang w:eastAsia="en-GB"/>
              </w:rPr>
              <w:t>transporto</w:t>
            </w:r>
            <w:proofErr w:type="spellEnd"/>
            <w:r w:rsidR="004B055B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4B055B">
              <w:rPr>
                <w:rFonts w:eastAsia="Times New Roman" w:cstheme="minorHAnsi"/>
                <w:color w:val="000000"/>
                <w:lang w:eastAsia="en-GB"/>
              </w:rPr>
              <w:lastRenderedPageBreak/>
              <w:t>bilietų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darnaus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judumo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4B055B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spellStart"/>
            <w:r w:rsidR="004B055B">
              <w:rPr>
                <w:rFonts w:eastAsia="Times New Roman" w:cstheme="minorHAnsi"/>
                <w:color w:val="000000"/>
                <w:lang w:eastAsia="en-GB"/>
              </w:rPr>
              <w:t>dviračių</w:t>
            </w:r>
            <w:proofErr w:type="spellEnd"/>
            <w:r w:rsidR="004B055B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="004B055B">
              <w:rPr>
                <w:rFonts w:eastAsia="Times New Roman" w:cstheme="minorHAnsi"/>
                <w:color w:val="000000"/>
                <w:lang w:eastAsia="en-GB"/>
              </w:rPr>
              <w:t>paspirtukų</w:t>
            </w:r>
            <w:proofErr w:type="spellEnd"/>
            <w:r w:rsidR="004B055B">
              <w:rPr>
                <w:rFonts w:eastAsia="Times New Roman" w:cstheme="minorHAnsi"/>
                <w:color w:val="000000"/>
                <w:lang w:eastAsia="en-GB"/>
              </w:rPr>
              <w:t>, e-</w:t>
            </w:r>
            <w:proofErr w:type="spellStart"/>
            <w:r w:rsidR="004B055B">
              <w:rPr>
                <w:rFonts w:eastAsia="Times New Roman" w:cstheme="minorHAnsi"/>
                <w:color w:val="000000"/>
                <w:lang w:eastAsia="en-GB"/>
              </w:rPr>
              <w:t>piniginės</w:t>
            </w:r>
            <w:proofErr w:type="spellEnd"/>
            <w:r w:rsidR="004B055B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įsigijimo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)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pridavus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sunaikinti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taršų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automobilį</w:t>
            </w:r>
            <w:proofErr w:type="spellEnd"/>
          </w:p>
        </w:tc>
      </w:tr>
      <w:tr w:rsidR="00E224DA" w:rsidRPr="00E224DA" w14:paraId="19488D80" w14:textId="77777777" w:rsidTr="00C272B1">
        <w:trPr>
          <w:trHeight w:val="63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A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B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7C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D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7E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7F" w14:textId="7BF001AB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lang w:eastAsia="en-GB"/>
              </w:rPr>
              <w:t>Elektromobilių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lang w:eastAsia="en-GB"/>
              </w:rPr>
              <w:t>įsigijimo</w:t>
            </w:r>
            <w:proofErr w:type="spellEnd"/>
            <w:r w:rsidR="00FE228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fiziniams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asmenims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  <w:tr w:rsidR="00E224DA" w:rsidRPr="00E224DA" w14:paraId="19488D87" w14:textId="77777777" w:rsidTr="00C272B1">
        <w:trPr>
          <w:trHeight w:val="94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81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82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83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84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85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86" w14:textId="5961CAC2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Mažataršių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automobilių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e-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motociklų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mopedų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įsigijimo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fiziniams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asmenims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pridavusiems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sunaikinti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taršų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automobilį</w:t>
            </w:r>
            <w:proofErr w:type="spellEnd"/>
          </w:p>
        </w:tc>
      </w:tr>
      <w:tr w:rsidR="00E224DA" w:rsidRPr="00E224DA" w14:paraId="19488D8E" w14:textId="77777777" w:rsidTr="00C272B1">
        <w:trPr>
          <w:trHeight w:val="63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88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Mažiau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taršaus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transporto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įsigijimo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juridiniams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asmenims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88D89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88D8A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8B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36.80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8C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lang w:eastAsia="en-GB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8D" w14:textId="27C4183C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Elektromobilių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įsigijimo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(M1, M2, N1, N2 )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juridiniams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asmenims</w:t>
            </w:r>
            <w:proofErr w:type="spellEnd"/>
          </w:p>
        </w:tc>
      </w:tr>
      <w:tr w:rsidR="00E224DA" w:rsidRPr="00E224DA" w14:paraId="19488D95" w14:textId="77777777" w:rsidTr="00C272B1">
        <w:trPr>
          <w:trHeight w:val="61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8F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90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88D91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92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93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94" w14:textId="58208349" w:rsidR="00E224DA" w:rsidRPr="00E224DA" w:rsidRDefault="00E224DA" w:rsidP="004B055B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Viešojo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mažiau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taršaus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transporto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įsigyjimo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FE228A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autobusų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4B055B">
              <w:rPr>
                <w:rFonts w:eastAsia="Times New Roman" w:cstheme="minorHAnsi"/>
                <w:color w:val="000000"/>
                <w:lang w:eastAsia="en-GB"/>
              </w:rPr>
              <w:t>įsigijimas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</w:tr>
      <w:tr w:rsidR="00E224DA" w:rsidRPr="00E224DA" w14:paraId="19488D9C" w14:textId="77777777" w:rsidTr="00C272B1">
        <w:trPr>
          <w:trHeight w:val="93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96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9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98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99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9A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7.8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9B" w14:textId="4A6573DB" w:rsidR="00E224DA" w:rsidRPr="00E224DA" w:rsidRDefault="00E224DA" w:rsidP="00FE22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Mažiau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taršaus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transporto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įsigijimo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infrastruktūros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sukūrimo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E224DA" w:rsidRPr="00E224DA" w14:paraId="19488DA3" w14:textId="77777777" w:rsidTr="00C272B1">
        <w:trPr>
          <w:trHeight w:val="366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9D" w14:textId="26676AFC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Taršių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technologijų</w:t>
            </w:r>
            <w:proofErr w:type="spellEnd"/>
            <w:r w:rsidR="00C272B1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C272B1">
              <w:rPr>
                <w:rFonts w:eastAsia="Times New Roman" w:cstheme="minorHAnsi"/>
                <w:color w:val="000000"/>
                <w:lang w:eastAsia="en-GB"/>
              </w:rPr>
              <w:t>keitimas</w:t>
            </w:r>
            <w:proofErr w:type="spellEnd"/>
            <w:r w:rsidR="00C272B1">
              <w:rPr>
                <w:rFonts w:eastAsia="Times New Roman" w:cstheme="minorHAnsi"/>
                <w:color w:val="000000"/>
                <w:lang w:eastAsia="en-GB"/>
              </w:rPr>
              <w:t xml:space="preserve"> į </w:t>
            </w:r>
            <w:proofErr w:type="spellStart"/>
            <w:r w:rsidR="00C272B1">
              <w:rPr>
                <w:rFonts w:eastAsia="Times New Roman" w:cstheme="minorHAnsi"/>
                <w:color w:val="000000"/>
                <w:lang w:eastAsia="en-GB"/>
              </w:rPr>
              <w:t>aplinkai</w:t>
            </w:r>
            <w:proofErr w:type="spellEnd"/>
            <w:r w:rsidR="00C272B1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C272B1">
              <w:rPr>
                <w:rFonts w:eastAsia="Times New Roman" w:cstheme="minorHAnsi"/>
                <w:color w:val="000000"/>
                <w:lang w:eastAsia="en-GB"/>
              </w:rPr>
              <w:t>palankias</w:t>
            </w:r>
            <w:proofErr w:type="spellEnd"/>
            <w:r w:rsidR="00C272B1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technologijas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juridiniams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asmenims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9E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8D9F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8DA0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31.40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A1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A2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Biometano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gamybos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)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biodųjų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išvalymo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skatinim</w:t>
            </w:r>
            <w:r w:rsidR="00CE3634">
              <w:rPr>
                <w:rFonts w:eastAsia="Times New Roman" w:cstheme="minorHAnsi"/>
                <w:color w:val="000000"/>
                <w:lang w:eastAsia="en-GB"/>
              </w:rPr>
              <w:t>as</w:t>
            </w:r>
            <w:proofErr w:type="spellEnd"/>
            <w:r w:rsidR="00CE3634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E224DA" w:rsidRPr="00E224DA" w14:paraId="19488DAA" w14:textId="77777777" w:rsidTr="00C272B1">
        <w:trPr>
          <w:trHeight w:val="93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A4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A5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A6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A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A8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10.3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A9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Parama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ES ATL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prekybos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sektoriuje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dalyvaujančioms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įmonėms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E224DA" w:rsidRPr="00E224DA" w14:paraId="19488DB1" w14:textId="77777777" w:rsidTr="00C272B1">
        <w:trPr>
          <w:trHeight w:val="124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AB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AC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AD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AE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AF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0.1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B0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lang w:eastAsia="en-GB"/>
              </w:rPr>
              <w:t>Įmonių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,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nedalyvaujančių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ES ATL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prekybinimae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sektoriuje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, 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technologiniams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procesų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atnaujinimui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panaudojant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AEI</w:t>
            </w:r>
          </w:p>
        </w:tc>
      </w:tr>
      <w:tr w:rsidR="00E224DA" w:rsidRPr="00E224DA" w14:paraId="19488DB8" w14:textId="77777777" w:rsidTr="00C272B1">
        <w:trPr>
          <w:trHeight w:val="615"/>
        </w:trPr>
        <w:tc>
          <w:tcPr>
            <w:tcW w:w="469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19488DB2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9488DB3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B4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B5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B6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B7" w14:textId="6F7AA4D1" w:rsidR="00E224DA" w:rsidRPr="00E224DA" w:rsidRDefault="004B055B" w:rsidP="00FE22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proofErr w:type="spellStart"/>
            <w:r>
              <w:rPr>
                <w:rFonts w:eastAsia="Times New Roman" w:cstheme="minorHAnsi"/>
                <w:lang w:eastAsia="en-GB"/>
              </w:rPr>
              <w:t>Energinio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efektyvumo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lang w:eastAsia="en-GB"/>
              </w:rPr>
              <w:t>priemonių</w:t>
            </w:r>
            <w:proofErr w:type="spellEnd"/>
            <w:r w:rsidR="00FE228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lang w:eastAsia="en-GB"/>
              </w:rPr>
              <w:t>įguvendinimas</w:t>
            </w:r>
            <w:proofErr w:type="spellEnd"/>
            <w:r w:rsidR="00FE228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E224DA" w:rsidRPr="00E224DA">
              <w:rPr>
                <w:rFonts w:eastAsia="Times New Roman" w:cstheme="minorHAnsi"/>
                <w:lang w:eastAsia="en-GB"/>
              </w:rPr>
              <w:t>įmonės</w:t>
            </w:r>
            <w:r w:rsidR="00FE228A">
              <w:rPr>
                <w:rFonts w:eastAsia="Times New Roman" w:cstheme="minorHAnsi"/>
                <w:lang w:eastAsia="en-GB"/>
              </w:rPr>
              <w:t>e</w:t>
            </w:r>
            <w:proofErr w:type="spellEnd"/>
            <w:r w:rsidR="00E224DA"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E224DA" w:rsidRPr="00E224DA">
              <w:rPr>
                <w:rFonts w:eastAsia="Times New Roman" w:cstheme="minorHAnsi"/>
                <w:lang w:eastAsia="en-GB"/>
              </w:rPr>
              <w:t>pagal</w:t>
            </w:r>
            <w:proofErr w:type="spellEnd"/>
            <w:r w:rsidR="00E224DA"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E224DA" w:rsidRPr="00E224DA">
              <w:rPr>
                <w:rFonts w:eastAsia="Times New Roman" w:cstheme="minorHAnsi"/>
                <w:lang w:eastAsia="en-GB"/>
              </w:rPr>
              <w:t>audito</w:t>
            </w:r>
            <w:proofErr w:type="spellEnd"/>
            <w:r w:rsidR="00E224DA"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="00E224DA" w:rsidRPr="00E224DA">
              <w:rPr>
                <w:rFonts w:eastAsia="Times New Roman" w:cstheme="minorHAnsi"/>
                <w:lang w:eastAsia="en-GB"/>
              </w:rPr>
              <w:t>ataskaitas</w:t>
            </w:r>
            <w:proofErr w:type="spellEnd"/>
          </w:p>
        </w:tc>
      </w:tr>
      <w:tr w:rsidR="00E224DA" w:rsidRPr="00E224DA" w14:paraId="19488DBF" w14:textId="77777777" w:rsidTr="00C272B1">
        <w:trPr>
          <w:trHeight w:val="300"/>
        </w:trPr>
        <w:tc>
          <w:tcPr>
            <w:tcW w:w="4693" w:type="dxa"/>
            <w:vMerge/>
            <w:vAlign w:val="center"/>
            <w:hideMark/>
          </w:tcPr>
          <w:p w14:paraId="19488DB9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9488DBA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BB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BC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BD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BE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224DA">
              <w:rPr>
                <w:rFonts w:eastAsia="Times New Roman" w:cstheme="minorHAnsi"/>
                <w:lang w:eastAsia="en-GB"/>
              </w:rPr>
              <w:t xml:space="preserve">ŠESD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mažinimo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pilotiniai</w:t>
            </w:r>
            <w:proofErr w:type="spellEnd"/>
            <w:r w:rsidRPr="00E224DA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lang w:eastAsia="en-GB"/>
              </w:rPr>
              <w:t>projektai</w:t>
            </w:r>
            <w:proofErr w:type="spellEnd"/>
          </w:p>
        </w:tc>
      </w:tr>
      <w:tr w:rsidR="00E224DA" w:rsidRPr="00E224DA" w14:paraId="19488DC6" w14:textId="77777777" w:rsidTr="00C272B1">
        <w:trPr>
          <w:trHeight w:val="288"/>
        </w:trPr>
        <w:tc>
          <w:tcPr>
            <w:tcW w:w="4693" w:type="dxa"/>
            <w:vMerge/>
            <w:vAlign w:val="center"/>
            <w:hideMark/>
          </w:tcPr>
          <w:p w14:paraId="19488DC0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9488DC1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C2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C3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C4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DC5" w14:textId="7A0470C5" w:rsidR="00E224DA" w:rsidRPr="00E224DA" w:rsidRDefault="00E224DA" w:rsidP="00FE22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Paramos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projektai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kuriuos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įgyvendina</w:t>
            </w:r>
            <w:proofErr w:type="spellEnd"/>
            <w:r w:rsidR="00FE228A">
              <w:rPr>
                <w:rFonts w:eastAsia="Times New Roman" w:cstheme="minorHAnsi"/>
                <w:color w:val="000000"/>
                <w:lang w:eastAsia="en-GB"/>
              </w:rPr>
              <w:t xml:space="preserve"> LT </w:t>
            </w:r>
            <w:proofErr w:type="spellStart"/>
            <w:r w:rsidR="00FE228A">
              <w:rPr>
                <w:rFonts w:eastAsia="Times New Roman" w:cstheme="minorHAnsi"/>
                <w:color w:val="000000"/>
                <w:lang w:eastAsia="en-GB"/>
              </w:rPr>
              <w:t>įmonės</w:t>
            </w:r>
            <w:r w:rsidR="00FE228A" w:rsidRPr="00E224DA">
              <w:rPr>
                <w:rFonts w:eastAsia="Times New Roman" w:cstheme="minorHAnsi"/>
                <w:color w:val="000000"/>
                <w:lang w:eastAsia="en-GB"/>
              </w:rPr>
              <w:t>besivystančio</w:t>
            </w:r>
            <w:r w:rsidR="00FE228A">
              <w:rPr>
                <w:rFonts w:eastAsia="Times New Roman" w:cstheme="minorHAnsi"/>
                <w:color w:val="000000"/>
                <w:lang w:eastAsia="en-GB"/>
              </w:rPr>
              <w:t>se</w:t>
            </w:r>
            <w:proofErr w:type="spellEnd"/>
            <w:r w:rsidR="00FE228A"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="00FE228A" w:rsidRPr="00E224DA">
              <w:rPr>
                <w:rFonts w:eastAsia="Times New Roman" w:cstheme="minorHAnsi"/>
                <w:color w:val="000000"/>
                <w:lang w:eastAsia="en-GB"/>
              </w:rPr>
              <w:t>šal</w:t>
            </w:r>
            <w:r w:rsidR="00FE228A">
              <w:rPr>
                <w:rFonts w:eastAsia="Times New Roman" w:cstheme="minorHAnsi"/>
                <w:color w:val="000000"/>
                <w:lang w:eastAsia="en-GB"/>
              </w:rPr>
              <w:t>yse</w:t>
            </w:r>
            <w:proofErr w:type="spellEnd"/>
          </w:p>
        </w:tc>
      </w:tr>
      <w:tr w:rsidR="00E224DA" w:rsidRPr="00E224DA" w14:paraId="19488DCD" w14:textId="77777777" w:rsidTr="00C272B1">
        <w:trPr>
          <w:trHeight w:val="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9D08E"/>
            <w:vAlign w:val="center"/>
            <w:hideMark/>
          </w:tcPr>
          <w:p w14:paraId="19488DC7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Kitos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priemonės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kurias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įgyvendinant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nepasiekiamas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kiekybiškai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apskaičiuojamas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išmetamų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šiltnamio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efektą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sukeliančių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dujų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kiekio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sumažinimas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19488DC8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19488DC9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19488DCA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19488DCB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19488DCC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DD4" w14:textId="77777777" w:rsidTr="00C272B1">
        <w:trPr>
          <w:trHeight w:val="19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488DCE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nacionalinės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klimato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kaitos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valdymo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politikos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formavimo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įgyvendinimo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, tarp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jų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visuomenės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informavimo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švietimo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priemonės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klimato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kaitos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švelninimo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prisitaikymo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prie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klimato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kaitos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pokyčių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priemonių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įgyvendinimas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nacionaliniu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lygmeniu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programos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administravimo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lėšos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ir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kitos</w:t>
            </w:r>
            <w:proofErr w:type="spellEnd"/>
            <w:r w:rsidRPr="00E224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color w:val="000000"/>
                <w:lang w:eastAsia="en-GB"/>
              </w:rPr>
              <w:t>priemonės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19488DCF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D0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D1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D2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D3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DDB" w14:textId="77777777" w:rsidTr="00C272B1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8DD5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color w:val="000000"/>
                <w:lang w:eastAsia="en-GB"/>
              </w:rPr>
              <w:t>IŠ VISO (1+2+3):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19488DD6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161.6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D7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161.6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D8" w14:textId="131D9A1E" w:rsidR="00E224DA" w:rsidRPr="00E224DA" w:rsidRDefault="00AE15CB" w:rsidP="00E224D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174.85</w:t>
            </w:r>
            <w:r w:rsidR="00E224DA" w:rsidRPr="00E224DA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8DD9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DA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224DA" w:rsidRPr="00E224DA" w14:paraId="19488DE0" w14:textId="77777777" w:rsidTr="00C272B1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488DDC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n-GB"/>
              </w:rPr>
            </w:pPr>
            <w:proofErr w:type="spellStart"/>
            <w:r w:rsidRPr="00E224DA">
              <w:rPr>
                <w:rFonts w:eastAsia="Times New Roman" w:cstheme="minorHAnsi"/>
                <w:b/>
                <w:color w:val="000000"/>
                <w:lang w:eastAsia="en-GB"/>
              </w:rPr>
              <w:t>Visos</w:t>
            </w:r>
            <w:proofErr w:type="spellEnd"/>
            <w:r w:rsidRPr="00E224DA">
              <w:rPr>
                <w:rFonts w:eastAsia="Times New Roman" w:cstheme="minorHAns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b/>
                <w:color w:val="000000"/>
                <w:lang w:eastAsia="en-GB"/>
              </w:rPr>
              <w:t>programos</w:t>
            </w:r>
            <w:proofErr w:type="spellEnd"/>
            <w:r w:rsidRPr="00E224DA">
              <w:rPr>
                <w:rFonts w:eastAsia="Times New Roman" w:cstheme="minorHAns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224DA">
              <w:rPr>
                <w:rFonts w:eastAsia="Times New Roman" w:cstheme="minorHAnsi"/>
                <w:b/>
                <w:color w:val="000000"/>
                <w:lang w:eastAsia="en-GB"/>
              </w:rPr>
              <w:t>biudžetas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DD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lang w:eastAsia="en-GB"/>
              </w:rPr>
              <w:t>269.9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DE" w14:textId="77777777" w:rsidR="00E224DA" w:rsidRPr="00E224DA" w:rsidRDefault="00E224DA" w:rsidP="00E224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E224DA">
              <w:rPr>
                <w:rFonts w:eastAsia="Times New Roman" w:cstheme="minorHAnsi"/>
                <w:b/>
                <w:bCs/>
                <w:lang w:eastAsia="en-GB"/>
              </w:rPr>
              <w:t>269.9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DF" w14:textId="77777777" w:rsidR="00E224DA" w:rsidRPr="00E224DA" w:rsidRDefault="00E224DA" w:rsidP="00E224D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9488DE1" w14:textId="77777777" w:rsidR="00BD5033" w:rsidRDefault="00BD5033"/>
    <w:sectPr w:rsidR="00BD5033" w:rsidSect="00E224DA">
      <w:headerReference w:type="default" r:id="rId11"/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88DE4" w14:textId="77777777" w:rsidR="00CE3634" w:rsidRDefault="00CE3634" w:rsidP="00CE3634">
      <w:pPr>
        <w:spacing w:after="0" w:line="240" w:lineRule="auto"/>
      </w:pPr>
      <w:r>
        <w:separator/>
      </w:r>
    </w:p>
  </w:endnote>
  <w:endnote w:type="continuationSeparator" w:id="0">
    <w:p w14:paraId="19488DE5" w14:textId="77777777" w:rsidR="00CE3634" w:rsidRDefault="00CE3634" w:rsidP="00CE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88DE2" w14:textId="77777777" w:rsidR="00CE3634" w:rsidRDefault="00CE3634" w:rsidP="00CE3634">
      <w:pPr>
        <w:spacing w:after="0" w:line="240" w:lineRule="auto"/>
      </w:pPr>
      <w:r>
        <w:separator/>
      </w:r>
    </w:p>
  </w:footnote>
  <w:footnote w:type="continuationSeparator" w:id="0">
    <w:p w14:paraId="19488DE3" w14:textId="77777777" w:rsidR="00CE3634" w:rsidRDefault="00CE3634" w:rsidP="00CE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A6358" w14:textId="36EE3348" w:rsidR="00CE185E" w:rsidRPr="00CE185E" w:rsidRDefault="00CE185E" w:rsidP="00CE185E">
    <w:pPr>
      <w:pStyle w:val="Header"/>
      <w:jc w:val="center"/>
      <w:rPr>
        <w:sz w:val="28"/>
        <w:szCs w:val="28"/>
        <w:lang w:val="lt-LT"/>
      </w:rPr>
    </w:pPr>
    <w:r w:rsidRPr="00CE185E">
      <w:rPr>
        <w:sz w:val="28"/>
        <w:szCs w:val="28"/>
        <w:lang w:val="lt-LT"/>
      </w:rPr>
      <w:t>Detalesnė informacija apie planuojamas perskirstyti</w:t>
    </w:r>
    <w:r>
      <w:rPr>
        <w:sz w:val="28"/>
        <w:szCs w:val="28"/>
        <w:lang w:val="lt-LT"/>
      </w:rPr>
      <w:t xml:space="preserve"> lėšas finansavimo priemonėms</w:t>
    </w:r>
  </w:p>
  <w:p w14:paraId="19488DE6" w14:textId="2C1C8C0A" w:rsidR="00CE3634" w:rsidRPr="00CE3634" w:rsidRDefault="00CE3634" w:rsidP="00CE3634">
    <w:pPr>
      <w:pStyle w:val="Header"/>
      <w:jc w:val="center"/>
      <w:rPr>
        <w:sz w:val="28"/>
        <w:szCs w:val="28"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23D7B"/>
    <w:multiLevelType w:val="hybridMultilevel"/>
    <w:tmpl w:val="1E68D8DE"/>
    <w:lvl w:ilvl="0" w:tplc="8940B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DA"/>
    <w:rsid w:val="000D2EF5"/>
    <w:rsid w:val="0022225D"/>
    <w:rsid w:val="002E79B0"/>
    <w:rsid w:val="004B055B"/>
    <w:rsid w:val="00AE15CB"/>
    <w:rsid w:val="00BD5033"/>
    <w:rsid w:val="00C272B1"/>
    <w:rsid w:val="00CE185E"/>
    <w:rsid w:val="00CE3634"/>
    <w:rsid w:val="00E224DA"/>
    <w:rsid w:val="00FE228A"/>
    <w:rsid w:val="128628D6"/>
    <w:rsid w:val="519FD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8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634"/>
  </w:style>
  <w:style w:type="paragraph" w:styleId="Footer">
    <w:name w:val="footer"/>
    <w:basedOn w:val="Normal"/>
    <w:link w:val="FooterChar"/>
    <w:uiPriority w:val="99"/>
    <w:unhideWhenUsed/>
    <w:rsid w:val="00CE3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634"/>
  </w:style>
  <w:style w:type="paragraph" w:styleId="BalloonText">
    <w:name w:val="Balloon Text"/>
    <w:basedOn w:val="Normal"/>
    <w:link w:val="BalloonTextChar"/>
    <w:uiPriority w:val="99"/>
    <w:semiHidden/>
    <w:unhideWhenUsed/>
    <w:rsid w:val="00FE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8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18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185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634"/>
  </w:style>
  <w:style w:type="paragraph" w:styleId="Footer">
    <w:name w:val="footer"/>
    <w:basedOn w:val="Normal"/>
    <w:link w:val="FooterChar"/>
    <w:uiPriority w:val="99"/>
    <w:unhideWhenUsed/>
    <w:rsid w:val="00CE3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634"/>
  </w:style>
  <w:style w:type="paragraph" w:styleId="BalloonText">
    <w:name w:val="Balloon Text"/>
    <w:basedOn w:val="Normal"/>
    <w:link w:val="BalloonTextChar"/>
    <w:uiPriority w:val="99"/>
    <w:semiHidden/>
    <w:unhideWhenUsed/>
    <w:rsid w:val="00FE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8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18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18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3" ma:contentTypeDescription="Create a new document." ma:contentTypeScope="" ma:versionID="1861a30ab98678bb43709c19570b3593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65477438a8dcf7bc50766488f89f6180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1298C-FABB-44A2-8216-631D32D32880}">
  <ds:schemaRefs>
    <ds:schemaRef ds:uri="http://schemas.microsoft.com/office/2006/metadata/properties"/>
    <ds:schemaRef ds:uri="f5aad5d0-9c26-490e-8743-a6c7ceabd501"/>
    <ds:schemaRef ds:uri="http://purl.org/dc/terms/"/>
    <ds:schemaRef ds:uri="19cf09c5-daa1-4028-a0ff-74a0be4ec5c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C5ADAD-3822-4A23-8E5E-EDF06B642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0AB47-FEBA-4237-AE2A-6631E9686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2021-10-22T04:58:00Z</dcterms:created>
  <dc:creator>Lina Čeičytė</dc:creator>
  <cp:lastModifiedBy>Lina Čeičytė</cp:lastModifiedBy>
  <dcterms:modified xsi:type="dcterms:W3CDTF">2021-10-26T06:23:00Z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