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284"/>
        <w:gridCol w:w="2920"/>
        <w:gridCol w:w="3629"/>
      </w:tblGrid>
      <w:tr w:rsidR="007B11E1" w14:paraId="426F7848" w14:textId="77777777">
        <w:trPr>
          <w:jc w:val="center"/>
        </w:trPr>
        <w:tc>
          <w:tcPr>
            <w:tcW w:w="3284" w:type="dxa"/>
          </w:tcPr>
          <w:p w14:paraId="69FA9E34" w14:textId="77777777" w:rsidR="007B11E1" w:rsidRDefault="007B11E1">
            <w:pPr>
              <w:jc w:val="center"/>
            </w:pPr>
          </w:p>
        </w:tc>
        <w:tc>
          <w:tcPr>
            <w:tcW w:w="2920" w:type="dxa"/>
          </w:tcPr>
          <w:p w14:paraId="4E943164" w14:textId="77777777" w:rsidR="007B11E1" w:rsidRDefault="007B11E1">
            <w:pPr>
              <w:jc w:val="center"/>
            </w:pPr>
          </w:p>
        </w:tc>
        <w:tc>
          <w:tcPr>
            <w:tcW w:w="3629" w:type="dxa"/>
          </w:tcPr>
          <w:p w14:paraId="2637B6E0" w14:textId="77777777" w:rsidR="007B11E1" w:rsidRDefault="007B11E1" w:rsidP="00A77D9C">
            <w:pPr>
              <w:jc w:val="center"/>
              <w:rPr>
                <w:b/>
                <w:sz w:val="24"/>
              </w:rPr>
            </w:pPr>
            <w:r w:rsidRPr="00F362A0">
              <w:rPr>
                <w:rStyle w:val="PlaceholderText"/>
              </w:rPr>
              <w:t>.</w:t>
            </w:r>
          </w:p>
        </w:tc>
      </w:tr>
      <w:tr w:rsidR="007B11E1" w14:paraId="4DFA545B" w14:textId="77777777">
        <w:trPr>
          <w:jc w:val="center"/>
        </w:trPr>
        <w:tc>
          <w:tcPr>
            <w:tcW w:w="3284" w:type="dxa"/>
          </w:tcPr>
          <w:p w14:paraId="496631E1" w14:textId="77777777" w:rsidR="007B11E1" w:rsidRDefault="007B11E1">
            <w:pPr>
              <w:jc w:val="center"/>
            </w:pPr>
          </w:p>
        </w:tc>
        <w:bookmarkStart w:id="0" w:name="_MON_1051000405"/>
        <w:bookmarkStart w:id="1" w:name="_MON_1051000430"/>
        <w:bookmarkStart w:id="2" w:name="_MON_1051091062"/>
        <w:bookmarkEnd w:id="0"/>
        <w:bookmarkEnd w:id="1"/>
        <w:bookmarkEnd w:id="2"/>
        <w:bookmarkStart w:id="3" w:name="_MON_1051000241"/>
        <w:bookmarkEnd w:id="3"/>
        <w:tc>
          <w:tcPr>
            <w:tcW w:w="2920" w:type="dxa"/>
          </w:tcPr>
          <w:p w14:paraId="709468C4" w14:textId="77777777" w:rsidR="007B11E1" w:rsidRDefault="007B11E1">
            <w:pPr>
              <w:jc w:val="center"/>
            </w:pPr>
            <w:r w:rsidRPr="004A3598">
              <w:object w:dxaOrig="753" w:dyaOrig="830" w14:anchorId="71B34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7" o:title=""/>
                </v:shape>
                <o:OLEObject Type="Embed" ProgID="Word.Picture.8" ShapeID="_x0000_i1025" DrawAspect="Content" ObjectID="_1696248698" r:id="rId8"/>
              </w:object>
            </w:r>
          </w:p>
        </w:tc>
        <w:tc>
          <w:tcPr>
            <w:tcW w:w="3629" w:type="dxa"/>
          </w:tcPr>
          <w:p w14:paraId="088413DA" w14:textId="77777777" w:rsidR="007B11E1" w:rsidRDefault="007B11E1">
            <w:pPr>
              <w:jc w:val="center"/>
            </w:pPr>
          </w:p>
        </w:tc>
      </w:tr>
    </w:tbl>
    <w:p w14:paraId="17830FD0" w14:textId="77777777" w:rsidR="007B11E1" w:rsidRDefault="007B11E1">
      <w:pPr>
        <w:jc w:val="center"/>
        <w:rPr>
          <w:sz w:val="26"/>
        </w:rPr>
      </w:pPr>
    </w:p>
    <w:p w14:paraId="1A024F7E" w14:textId="77777777" w:rsidR="007B11E1" w:rsidRDefault="007B11E1">
      <w:pPr>
        <w:jc w:val="center"/>
        <w:rPr>
          <w:b/>
          <w:sz w:val="28"/>
        </w:rPr>
      </w:pPr>
      <w:r w:rsidRPr="00B331FB">
        <w:rPr>
          <w:b/>
          <w:sz w:val="28"/>
        </w:rPr>
        <w:t>LIETUVOS RESPUBLIKOS SUSISIEKIMO MINISTERIJA</w:t>
      </w:r>
    </w:p>
    <w:p w14:paraId="65B05FB3" w14:textId="77777777" w:rsidR="007B11E1" w:rsidRDefault="007B11E1">
      <w:pPr>
        <w:jc w:val="center"/>
        <w:rPr>
          <w:sz w:val="24"/>
        </w:rPr>
      </w:pPr>
    </w:p>
    <w:p w14:paraId="3A544872" w14:textId="77777777" w:rsidR="007B11E1" w:rsidRDefault="007B11E1" w:rsidP="007F6C67">
      <w:pPr>
        <w:ind w:left="567" w:right="567"/>
        <w:jc w:val="center"/>
        <w:rPr>
          <w:sz w:val="18"/>
        </w:rPr>
      </w:pPr>
      <w:r w:rsidRPr="00B331FB">
        <w:rPr>
          <w:sz w:val="18"/>
        </w:rPr>
        <w:t>Biudžetinė įstaiga,   Gedimino pr. 17, LT-01505 Vilnius,   tel. (8 5) 2</w:t>
      </w:r>
      <w:r>
        <w:rPr>
          <w:sz w:val="18"/>
        </w:rPr>
        <w:t>61</w:t>
      </w:r>
      <w:r w:rsidRPr="00B331FB">
        <w:rPr>
          <w:sz w:val="18"/>
        </w:rPr>
        <w:t xml:space="preserve"> </w:t>
      </w:r>
      <w:r>
        <w:rPr>
          <w:sz w:val="18"/>
        </w:rPr>
        <w:t>2363,</w:t>
      </w:r>
    </w:p>
    <w:p w14:paraId="4E6BFEE7" w14:textId="77777777" w:rsidR="007B11E1" w:rsidRDefault="007B11E1" w:rsidP="007F6C67">
      <w:pPr>
        <w:ind w:left="567" w:right="567"/>
        <w:jc w:val="center"/>
        <w:rPr>
          <w:sz w:val="18"/>
        </w:rPr>
      </w:pPr>
      <w:r w:rsidRPr="00B331FB">
        <w:rPr>
          <w:sz w:val="18"/>
        </w:rPr>
        <w:t>faks. (8 5) 212 4335</w:t>
      </w:r>
      <w:r>
        <w:rPr>
          <w:sz w:val="18"/>
        </w:rPr>
        <w:t>,</w:t>
      </w:r>
      <w:r w:rsidRPr="00B331FB">
        <w:rPr>
          <w:sz w:val="18"/>
        </w:rPr>
        <w:t xml:space="preserve"> el.</w:t>
      </w:r>
      <w:r>
        <w:rPr>
          <w:sz w:val="18"/>
        </w:rPr>
        <w:t xml:space="preserve"> </w:t>
      </w:r>
      <w:r w:rsidRPr="00B331FB">
        <w:rPr>
          <w:sz w:val="18"/>
        </w:rPr>
        <w:t xml:space="preserve">p. </w:t>
      </w:r>
      <w:proofErr w:type="spellStart"/>
      <w:r w:rsidRPr="00B331FB">
        <w:rPr>
          <w:sz w:val="18"/>
        </w:rPr>
        <w:t>sumin@sumin.lt</w:t>
      </w:r>
      <w:proofErr w:type="spellEnd"/>
      <w:r>
        <w:rPr>
          <w:sz w:val="18"/>
        </w:rPr>
        <w:t>.</w:t>
      </w:r>
    </w:p>
    <w:p w14:paraId="201EB451" w14:textId="77777777" w:rsidR="007B11E1" w:rsidRDefault="007B11E1" w:rsidP="007F6C67">
      <w:pPr>
        <w:ind w:left="567" w:right="567"/>
        <w:jc w:val="center"/>
        <w:rPr>
          <w:sz w:val="18"/>
        </w:rPr>
      </w:pPr>
      <w:r w:rsidRPr="00B331FB">
        <w:rPr>
          <w:sz w:val="18"/>
        </w:rPr>
        <w:t>Duomenys kaupiami ir saugomi Juridinių asmenų registre,   kodas 188620589</w:t>
      </w:r>
    </w:p>
    <w:p w14:paraId="54F85D71" w14:textId="68F4E7C9" w:rsidR="007B11E1" w:rsidRDefault="008A0CDE">
      <w:pPr>
        <w:jc w:val="center"/>
        <w:rPr>
          <w:b/>
          <w:sz w:val="28"/>
        </w:rPr>
      </w:pPr>
      <w:r>
        <w:rPr>
          <w:noProof/>
          <w:lang w:eastAsia="lt-LT"/>
        </w:rPr>
        <mc:AlternateContent>
          <mc:Choice Requires="wps">
            <w:drawing>
              <wp:anchor distT="0" distB="0" distL="114300" distR="114300" simplePos="0" relativeHeight="251657728" behindDoc="0" locked="0" layoutInCell="0" allowOverlap="1" wp14:anchorId="056BCE1A" wp14:editId="71691FC6">
                <wp:simplePos x="0" y="0"/>
                <wp:positionH relativeFrom="column">
                  <wp:posOffset>10160</wp:posOffset>
                </wp:positionH>
                <wp:positionV relativeFrom="paragraph">
                  <wp:posOffset>26035</wp:posOffset>
                </wp:positionV>
                <wp:extent cx="6120130" cy="0"/>
                <wp:effectExtent l="13970" t="6350" r="9525" b="127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A879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3EXPvgEAAGoDAAAOAAAAZHJzL2Uyb0RvYy54bWysU01vGyEQvVfqf0Dc6127UlKtvM7BaXJx UktJf8AY2F0UYBBg7/rfd8AfSdtb1T0ghpl5vHmPXd5N1rCDClGja/l8VnOmnECpXd/yn68PX75x FhM4CQadavlRRX63+vxpOfpGLXBAI1VgBOJiM/qWDyn5pqqiGJSFOEOvHCU7DBYShaGvZICR0K2p FnV9U40YpA8oVIx0en9K8lXB7zol0o+uiyox03LilsoayrrLa7VaQtMH8IMWZxrwDywsaEeXXqHu IQHbB/0XlNUiYMQuzQTaCrtOC1VmoGnm9R/TvAzgVZmFxIn+KlP8f7Di+bANTEvyjjMHlizaaKfY Iisz+thQwdptQ55NTO7Fb1C8ReZwPYDrVWH4evTUNs8d1W8tOYie8HfjE0qqgX3CItPUBZshSQA2 FTeOVzfUlJigw5s5SfKVTBOXXAXNpdGHmB4VWpY3LTfEuQDDYRNTJgLNpSTf4/BBG1PMNo6NxHZx W9elI6LRMmdzXQz9bm0CO0B+L+UrY1HmY1nAvZMFbVAgv5/3CbQ57el2485qZAFOUu5QHrfhohIZ WmieH19+MR/j0v3+i6x+AQAA//8DAFBLAwQUAAYACAAAACEAcCHtgdoAAAAFAQAADwAAAGRycy9k b3ducmV2LnhtbEyOwU7DMBBE70j8g7VI3KjTqoQQ4lQIVFUgLm2RuG6TJQ7E6zR22/D3LFzg+DSj mVcsRtepIw2h9WxgOklAEVe+brkx8LpdXmWgQkSusfNMBr4owKI8Pyswr/2J13TcxEbJCIccDdgY +1zrUFlyGCa+J5bs3Q8Oo+DQ6HrAk4y7Ts+SJNUOW5YHiz09WKo+NwdnAB9X6/iWzZ5v2if78rFd 7lc22xtzeTHe34GKNMa/MvzoizqU4rTzB66D6oRTKRqYT0FJeptez0HtflmXhf5vX34DAAD//wMA UEsBAi0AFAAGAAgAAAAhALaDOJL+AAAA4QEAABMAAAAAAAAAAAAAAAAAAAAAAFtDb250ZW50X1R5 cGVzXS54bWxQSwECLQAUAAYACAAAACEAOP0h/9YAAACUAQAACwAAAAAAAAAAAAAAAAAvAQAAX3Jl bHMvLnJlbHNQSwECLQAUAAYACAAAACEAD9xFz74BAABqAwAADgAAAAAAAAAAAAAAAAAuAgAAZHJz L2Uyb0RvYy54bWxQSwECLQAUAAYACAAAACEAcCHtgdoAAAAFAQAADwAAAAAAAAAAAAAAAAAYBAAA ZHJzL2Rvd25yZXYueG1sUEsFBgAAAAAEAAQA8wAAAB8FAAAAAA== " o:allowincell="f" strokeweight="1pt">
                <w10:wrap type="topAndBottom"/>
              </v:line>
            </w:pict>
          </mc:Fallback>
        </mc:AlternateContent>
      </w:r>
    </w:p>
    <w:p w14:paraId="5725A5F8" w14:textId="77777777" w:rsidR="007B11E1" w:rsidRDefault="007B11E1">
      <w:pPr>
        <w:jc w:val="center"/>
        <w:rPr>
          <w:b/>
          <w:sz w:val="28"/>
        </w:rPr>
      </w:pPr>
    </w:p>
    <w:tbl>
      <w:tblPr>
        <w:tblW w:w="0" w:type="auto"/>
        <w:tblLayout w:type="fixed"/>
        <w:tblLook w:val="0000" w:firstRow="0" w:lastRow="0" w:firstColumn="0" w:lastColumn="0" w:noHBand="0" w:noVBand="0"/>
      </w:tblPr>
      <w:tblGrid>
        <w:gridCol w:w="4503"/>
        <w:gridCol w:w="850"/>
        <w:gridCol w:w="4499"/>
      </w:tblGrid>
      <w:tr w:rsidR="007B11E1" w:rsidRPr="00B331FB" w14:paraId="76426A4D" w14:textId="77777777">
        <w:tc>
          <w:tcPr>
            <w:tcW w:w="4503" w:type="dxa"/>
          </w:tcPr>
          <w:p w14:paraId="5A5D06D7" w14:textId="02A208CE" w:rsidR="007B11E1" w:rsidRDefault="00DC151B" w:rsidP="000C4586">
            <w:pPr>
              <w:rPr>
                <w:sz w:val="24"/>
                <w:szCs w:val="24"/>
                <w:lang w:eastAsia="lt-LT"/>
              </w:rPr>
            </w:pPr>
            <w:r>
              <w:rPr>
                <w:sz w:val="24"/>
                <w:szCs w:val="24"/>
                <w:lang w:eastAsia="lt-LT"/>
              </w:rPr>
              <w:t>K</w:t>
            </w:r>
            <w:r w:rsidR="00B44706">
              <w:rPr>
                <w:sz w:val="24"/>
                <w:szCs w:val="24"/>
                <w:lang w:eastAsia="lt-LT"/>
              </w:rPr>
              <w:t xml:space="preserve">ultūros ministerijai </w:t>
            </w:r>
          </w:p>
          <w:p w14:paraId="1D387B10" w14:textId="1AD5DF72" w:rsidR="00255176" w:rsidRDefault="00255176" w:rsidP="000C4586">
            <w:pPr>
              <w:rPr>
                <w:sz w:val="24"/>
                <w:szCs w:val="24"/>
                <w:lang w:eastAsia="lt-LT"/>
              </w:rPr>
            </w:pPr>
          </w:p>
          <w:p w14:paraId="19E9DF99" w14:textId="3326C9C2" w:rsidR="00255176" w:rsidRDefault="00255176" w:rsidP="000C4586">
            <w:pPr>
              <w:rPr>
                <w:sz w:val="24"/>
                <w:szCs w:val="24"/>
                <w:lang w:eastAsia="lt-LT"/>
              </w:rPr>
            </w:pPr>
            <w:r>
              <w:rPr>
                <w:sz w:val="24"/>
                <w:szCs w:val="24"/>
                <w:lang w:eastAsia="lt-LT"/>
              </w:rPr>
              <w:t>Kopija</w:t>
            </w:r>
          </w:p>
          <w:p w14:paraId="7216DD88" w14:textId="19A757CB" w:rsidR="00255176" w:rsidRPr="002E121B" w:rsidRDefault="00255176" w:rsidP="000C4586">
            <w:pPr>
              <w:rPr>
                <w:sz w:val="24"/>
                <w:szCs w:val="24"/>
                <w:lang w:eastAsia="lt-LT"/>
              </w:rPr>
            </w:pPr>
            <w:r>
              <w:rPr>
                <w:sz w:val="24"/>
                <w:szCs w:val="24"/>
                <w:lang w:eastAsia="lt-LT"/>
              </w:rPr>
              <w:t>Akcinei bendrovei Lietuvos paštui</w:t>
            </w:r>
          </w:p>
          <w:p w14:paraId="62949CBA" w14:textId="50469A1B" w:rsidR="006F6232" w:rsidRDefault="006F6232" w:rsidP="006F6232">
            <w:pPr>
              <w:rPr>
                <w:sz w:val="24"/>
              </w:rPr>
            </w:pPr>
          </w:p>
        </w:tc>
        <w:tc>
          <w:tcPr>
            <w:tcW w:w="850" w:type="dxa"/>
          </w:tcPr>
          <w:p w14:paraId="7A4D8001" w14:textId="77777777" w:rsidR="007B11E1" w:rsidRPr="003647CC" w:rsidRDefault="007B11E1">
            <w:pPr>
              <w:jc w:val="center"/>
              <w:rPr>
                <w:sz w:val="24"/>
                <w:szCs w:val="24"/>
              </w:rPr>
            </w:pPr>
          </w:p>
        </w:tc>
        <w:tc>
          <w:tcPr>
            <w:tcW w:w="4499" w:type="dxa"/>
          </w:tcPr>
          <w:p w14:paraId="0A34B0E9" w14:textId="6C604DC7" w:rsidR="007B11E1" w:rsidRPr="003647CC" w:rsidRDefault="007B11E1">
            <w:pPr>
              <w:jc w:val="both"/>
              <w:rPr>
                <w:sz w:val="24"/>
                <w:szCs w:val="24"/>
              </w:rPr>
            </w:pPr>
            <w:r w:rsidRPr="003647CC">
              <w:rPr>
                <w:sz w:val="24"/>
                <w:szCs w:val="24"/>
              </w:rPr>
              <w:t xml:space="preserve"> </w:t>
            </w:r>
            <w:r w:rsidR="00AF45BC">
              <w:rPr>
                <w:sz w:val="24"/>
                <w:szCs w:val="24"/>
              </w:rPr>
              <w:t>2021-</w:t>
            </w:r>
            <w:r w:rsidR="00D47AEF">
              <w:rPr>
                <w:sz w:val="24"/>
                <w:szCs w:val="24"/>
              </w:rPr>
              <w:t>10-01</w:t>
            </w:r>
            <w:r w:rsidRPr="003647CC">
              <w:rPr>
                <w:sz w:val="24"/>
                <w:szCs w:val="24"/>
              </w:rPr>
              <w:tab/>
              <w:t>Nr.</w:t>
            </w:r>
            <w:r w:rsidR="00D47AEF">
              <w:rPr>
                <w:sz w:val="24"/>
                <w:szCs w:val="24"/>
              </w:rPr>
              <w:t xml:space="preserve"> 2-4109</w:t>
            </w:r>
            <w:r w:rsidRPr="003647CC">
              <w:rPr>
                <w:sz w:val="24"/>
                <w:szCs w:val="24"/>
              </w:rPr>
              <w:t xml:space="preserve"> </w:t>
            </w:r>
          </w:p>
          <w:p w14:paraId="22738894" w14:textId="77777777" w:rsidR="007B11E1" w:rsidRPr="003647CC" w:rsidRDefault="007B11E1">
            <w:pPr>
              <w:jc w:val="both"/>
              <w:rPr>
                <w:sz w:val="24"/>
                <w:szCs w:val="24"/>
              </w:rPr>
            </w:pPr>
          </w:p>
          <w:p w14:paraId="454B5681" w14:textId="4298153F" w:rsidR="007B11E1" w:rsidRPr="003647CC" w:rsidRDefault="007B11E1" w:rsidP="00D944D9">
            <w:pPr>
              <w:rPr>
                <w:sz w:val="24"/>
                <w:szCs w:val="24"/>
              </w:rPr>
            </w:pPr>
            <w:r w:rsidRPr="003647CC">
              <w:rPr>
                <w:sz w:val="24"/>
                <w:szCs w:val="24"/>
              </w:rPr>
              <w:t xml:space="preserve">Į </w:t>
            </w:r>
            <w:r w:rsidR="003647CC" w:rsidRPr="003647CC">
              <w:rPr>
                <w:sz w:val="24"/>
                <w:szCs w:val="24"/>
              </w:rPr>
              <w:t>2021-09-23</w:t>
            </w:r>
            <w:r w:rsidR="00362519" w:rsidRPr="003647CC">
              <w:rPr>
                <w:sz w:val="24"/>
                <w:szCs w:val="24"/>
              </w:rPr>
              <w:t xml:space="preserve">       </w:t>
            </w:r>
            <w:r w:rsidRPr="003647CC">
              <w:rPr>
                <w:sz w:val="24"/>
                <w:szCs w:val="24"/>
              </w:rPr>
              <w:t xml:space="preserve">Nr. </w:t>
            </w:r>
            <w:r w:rsidR="003647CC" w:rsidRPr="003647CC">
              <w:rPr>
                <w:sz w:val="24"/>
                <w:szCs w:val="24"/>
              </w:rPr>
              <w:t>S2-2822</w:t>
            </w:r>
          </w:p>
        </w:tc>
      </w:tr>
      <w:tr w:rsidR="007B11E1" w:rsidRPr="00B331FB" w14:paraId="3F40417F" w14:textId="77777777">
        <w:tc>
          <w:tcPr>
            <w:tcW w:w="4503" w:type="dxa"/>
          </w:tcPr>
          <w:p w14:paraId="6CF50B33" w14:textId="77777777" w:rsidR="007B11E1" w:rsidRDefault="007B11E1">
            <w:pPr>
              <w:jc w:val="center"/>
              <w:rPr>
                <w:sz w:val="24"/>
              </w:rPr>
            </w:pPr>
          </w:p>
        </w:tc>
        <w:tc>
          <w:tcPr>
            <w:tcW w:w="850" w:type="dxa"/>
          </w:tcPr>
          <w:p w14:paraId="0FBB8DDB" w14:textId="77777777" w:rsidR="007B11E1" w:rsidRPr="003647CC" w:rsidRDefault="007B11E1">
            <w:pPr>
              <w:jc w:val="center"/>
              <w:rPr>
                <w:sz w:val="24"/>
                <w:szCs w:val="24"/>
              </w:rPr>
            </w:pPr>
          </w:p>
        </w:tc>
        <w:tc>
          <w:tcPr>
            <w:tcW w:w="4499" w:type="dxa"/>
          </w:tcPr>
          <w:p w14:paraId="293DB472" w14:textId="77777777" w:rsidR="007B11E1" w:rsidRPr="003647CC" w:rsidRDefault="007B11E1">
            <w:pPr>
              <w:jc w:val="right"/>
              <w:rPr>
                <w:sz w:val="24"/>
                <w:szCs w:val="24"/>
              </w:rPr>
            </w:pPr>
          </w:p>
        </w:tc>
      </w:tr>
    </w:tbl>
    <w:p w14:paraId="3B506AE4" w14:textId="77777777" w:rsidR="00362519" w:rsidRDefault="00362519" w:rsidP="0023403E">
      <w:pPr>
        <w:jc w:val="both"/>
        <w:rPr>
          <w:b/>
          <w:caps/>
          <w:sz w:val="24"/>
          <w:szCs w:val="24"/>
        </w:rPr>
      </w:pPr>
    </w:p>
    <w:p w14:paraId="481BDFD2" w14:textId="1F167342" w:rsidR="007B11E1" w:rsidRPr="009336CD" w:rsidRDefault="009336CD" w:rsidP="0023403E">
      <w:pPr>
        <w:jc w:val="both"/>
        <w:rPr>
          <w:sz w:val="24"/>
          <w:szCs w:val="24"/>
        </w:rPr>
      </w:pPr>
      <w:r w:rsidRPr="009336CD">
        <w:rPr>
          <w:b/>
          <w:caps/>
          <w:sz w:val="24"/>
          <w:szCs w:val="24"/>
        </w:rPr>
        <w:t xml:space="preserve">DĖL lietuvos respublikos vyriausybės </w:t>
      </w:r>
      <w:r w:rsidRPr="009336CD">
        <w:rPr>
          <w:b/>
          <w:caps/>
          <w:color w:val="000000"/>
          <w:sz w:val="24"/>
          <w:szCs w:val="24"/>
        </w:rPr>
        <w:t xml:space="preserve">2007 M. BIRŽELIO 19 D. NUTARIMO NR. 659 „dĖL VALSTYBINĖS REIKŠMĖS ISTORIJOS, ARCHEOLOGIJOS IR KULTŪROS OBJEKTŲ SĄRAŠO patvirtinimo“ pakeitimo </w:t>
      </w:r>
      <w:r w:rsidRPr="009336CD">
        <w:rPr>
          <w:b/>
          <w:sz w:val="24"/>
          <w:szCs w:val="24"/>
        </w:rPr>
        <w:t>PROJEKTO DERINIMO</w:t>
      </w:r>
    </w:p>
    <w:p w14:paraId="706663D0" w14:textId="2768901E" w:rsidR="007B11E1" w:rsidRPr="00362519" w:rsidRDefault="007B11E1">
      <w:pPr>
        <w:rPr>
          <w:b/>
          <w:bCs/>
          <w:sz w:val="24"/>
        </w:rPr>
      </w:pPr>
    </w:p>
    <w:p w14:paraId="716D9075" w14:textId="77777777" w:rsidR="009336CD" w:rsidRPr="00362519" w:rsidRDefault="009336CD">
      <w:pPr>
        <w:rPr>
          <w:b/>
          <w:bCs/>
          <w:sz w:val="24"/>
        </w:rPr>
      </w:pPr>
    </w:p>
    <w:p w14:paraId="1262540B" w14:textId="265C6358" w:rsidR="004C1798" w:rsidRPr="00CF47A3" w:rsidRDefault="00DC151B" w:rsidP="003A6A10">
      <w:pPr>
        <w:pStyle w:val="BodyText"/>
        <w:spacing w:line="360" w:lineRule="auto"/>
        <w:ind w:firstLine="992"/>
        <w:rPr>
          <w:bCs/>
          <w:szCs w:val="24"/>
        </w:rPr>
      </w:pPr>
      <w:r>
        <w:t>S</w:t>
      </w:r>
      <w:r w:rsidR="007B11E1">
        <w:t>usisiekimo ministerija</w:t>
      </w:r>
      <w:r w:rsidR="003647CC">
        <w:t xml:space="preserve"> pagal kompetenciją </w:t>
      </w:r>
      <w:r w:rsidR="004C1798">
        <w:t xml:space="preserve">išnagrinėjo </w:t>
      </w:r>
      <w:r>
        <w:t>K</w:t>
      </w:r>
      <w:r w:rsidR="004C1798">
        <w:t>ultūros ministerijos</w:t>
      </w:r>
      <w:r w:rsidR="00546373">
        <w:t xml:space="preserve"> </w:t>
      </w:r>
      <w:r w:rsidR="004C1798">
        <w:t>pateiktą</w:t>
      </w:r>
      <w:r w:rsidR="003647CC" w:rsidRPr="007C072A">
        <w:rPr>
          <w:rStyle w:val="FootnoteReference"/>
          <w:color w:val="000000"/>
          <w:szCs w:val="24"/>
          <w:lang w:eastAsia="lt-LT"/>
        </w:rPr>
        <w:footnoteReference w:id="1"/>
      </w:r>
      <w:r w:rsidR="004C1798">
        <w:t xml:space="preserve"> išvadoms gauti</w:t>
      </w:r>
      <w:r w:rsidR="00913BE2">
        <w:t xml:space="preserve"> </w:t>
      </w:r>
      <w:r w:rsidR="009B3708">
        <w:t>patikslintą</w:t>
      </w:r>
      <w:r w:rsidR="009B3708" w:rsidRPr="007C072A">
        <w:rPr>
          <w:rStyle w:val="FootnoteReference"/>
          <w:color w:val="000000"/>
          <w:szCs w:val="24"/>
          <w:lang w:eastAsia="lt-LT"/>
        </w:rPr>
        <w:footnoteReference w:id="2"/>
      </w:r>
      <w:r w:rsidR="009B3708">
        <w:t xml:space="preserve">  </w:t>
      </w:r>
      <w:r w:rsidR="004C1798">
        <w:rPr>
          <w:szCs w:val="24"/>
        </w:rPr>
        <w:t>L</w:t>
      </w:r>
      <w:r w:rsidR="004C1798">
        <w:rPr>
          <w:bCs/>
          <w:szCs w:val="24"/>
        </w:rPr>
        <w:t xml:space="preserve">ietuvos Respublikos Vyriausybės nutarimo „Dėl Lietuvos Respublikos Vyriausybės </w:t>
      </w:r>
      <w:r w:rsidR="004C1798">
        <w:rPr>
          <w:bCs/>
          <w:color w:val="000000"/>
          <w:szCs w:val="24"/>
        </w:rPr>
        <w:t>2007 m. birželio 19 d. nutarimo Nr.</w:t>
      </w:r>
      <w:r w:rsidR="00D408AB">
        <w:rPr>
          <w:bCs/>
          <w:color w:val="000000"/>
          <w:szCs w:val="24"/>
        </w:rPr>
        <w:t> </w:t>
      </w:r>
      <w:r w:rsidR="004C1798">
        <w:rPr>
          <w:bCs/>
          <w:color w:val="000000"/>
          <w:szCs w:val="24"/>
        </w:rPr>
        <w:t xml:space="preserve">659 „Dėl Valstybinės reikšmės istorijos, archeologijos ir kultūros objektų sąrašo patvirtinimo“ pakeitimo“ </w:t>
      </w:r>
      <w:r w:rsidR="004C1798">
        <w:rPr>
          <w:bCs/>
          <w:szCs w:val="24"/>
        </w:rPr>
        <w:t>projektą</w:t>
      </w:r>
      <w:r w:rsidR="003647CC" w:rsidRPr="007C072A">
        <w:rPr>
          <w:rStyle w:val="FootnoteReference"/>
          <w:color w:val="000000"/>
          <w:szCs w:val="24"/>
          <w:lang w:eastAsia="lt-LT"/>
        </w:rPr>
        <w:footnoteReference w:id="3"/>
      </w:r>
      <w:r w:rsidR="003647CC">
        <w:t xml:space="preserve"> </w:t>
      </w:r>
      <w:r w:rsidR="00051498">
        <w:rPr>
          <w:bCs/>
          <w:szCs w:val="24"/>
        </w:rPr>
        <w:t>(toliau –</w:t>
      </w:r>
      <w:r w:rsidR="003647CC">
        <w:rPr>
          <w:bCs/>
          <w:szCs w:val="24"/>
        </w:rPr>
        <w:t xml:space="preserve"> P</w:t>
      </w:r>
      <w:r w:rsidR="00051498">
        <w:rPr>
          <w:bCs/>
          <w:szCs w:val="24"/>
        </w:rPr>
        <w:t>rojektas)</w:t>
      </w:r>
      <w:r w:rsidR="003647CC">
        <w:rPr>
          <w:bCs/>
          <w:szCs w:val="24"/>
        </w:rPr>
        <w:t xml:space="preserve"> ir </w:t>
      </w:r>
      <w:r w:rsidR="003647CC" w:rsidRPr="00CF47A3">
        <w:rPr>
          <w:bCs/>
          <w:szCs w:val="24"/>
        </w:rPr>
        <w:t>informuoja, kad pastabų ir pasiūlymų dėl Projekto nuostatų neturi.</w:t>
      </w:r>
    </w:p>
    <w:p w14:paraId="01C32002" w14:textId="77777777" w:rsidR="0019520D" w:rsidRDefault="00BF601C" w:rsidP="00305997">
      <w:pPr>
        <w:pStyle w:val="BodyText"/>
        <w:spacing w:line="360" w:lineRule="auto"/>
        <w:ind w:firstLine="992"/>
      </w:pPr>
      <w:r>
        <w:rPr>
          <w:szCs w:val="24"/>
        </w:rPr>
        <w:t>N</w:t>
      </w:r>
      <w:r w:rsidR="003647CC">
        <w:rPr>
          <w:szCs w:val="24"/>
        </w:rPr>
        <w:t>orėtume pakartotinai</w:t>
      </w:r>
      <w:r w:rsidR="009B3708" w:rsidRPr="007C072A">
        <w:rPr>
          <w:rStyle w:val="FootnoteReference"/>
          <w:color w:val="000000"/>
          <w:szCs w:val="24"/>
          <w:lang w:eastAsia="lt-LT"/>
        </w:rPr>
        <w:footnoteReference w:id="4"/>
      </w:r>
      <w:r w:rsidR="009B3708">
        <w:t xml:space="preserve"> </w:t>
      </w:r>
      <w:r w:rsidR="003647CC">
        <w:rPr>
          <w:szCs w:val="24"/>
        </w:rPr>
        <w:t xml:space="preserve"> atkreipti</w:t>
      </w:r>
      <w:r w:rsidR="006E5055">
        <w:rPr>
          <w:szCs w:val="24"/>
        </w:rPr>
        <w:t xml:space="preserve"> dėmesį, kad </w:t>
      </w:r>
      <w:r w:rsidR="00D408AB">
        <w:rPr>
          <w:szCs w:val="24"/>
        </w:rPr>
        <w:t xml:space="preserve">Nekilnojamojo turto registre kaip </w:t>
      </w:r>
      <w:r w:rsidR="00D408AB">
        <w:rPr>
          <w:szCs w:val="24"/>
          <w:lang w:eastAsia="lt-LT"/>
        </w:rPr>
        <w:t>Kauno centrinio pašto rūmų</w:t>
      </w:r>
      <w:r w:rsidR="00D408AB" w:rsidRPr="00D408AB">
        <w:rPr>
          <w:rStyle w:val="FootnoteReference"/>
          <w:color w:val="000000"/>
          <w:szCs w:val="24"/>
          <w:lang w:eastAsia="lt-LT"/>
        </w:rPr>
        <w:footnoteReference w:id="5"/>
      </w:r>
      <w:r w:rsidR="006E5055">
        <w:rPr>
          <w:szCs w:val="24"/>
          <w:lang w:eastAsia="lt-LT"/>
        </w:rPr>
        <w:t xml:space="preserve"> </w:t>
      </w:r>
      <w:r w:rsidR="00D408AB" w:rsidRPr="00D408AB">
        <w:rPr>
          <w:i/>
          <w:iCs/>
          <w:color w:val="000000"/>
          <w:szCs w:val="24"/>
        </w:rPr>
        <w:t xml:space="preserve">priklausiniai </w:t>
      </w:r>
      <w:r w:rsidR="00D408AB">
        <w:rPr>
          <w:color w:val="000000"/>
          <w:szCs w:val="24"/>
        </w:rPr>
        <w:t>yra įregistruoti</w:t>
      </w:r>
      <w:r w:rsidR="0019520D">
        <w:rPr>
          <w:color w:val="000000"/>
          <w:szCs w:val="24"/>
        </w:rPr>
        <w:t xml:space="preserve"> </w:t>
      </w:r>
      <w:r w:rsidR="00D408AB">
        <w:rPr>
          <w:color w:val="000000"/>
          <w:szCs w:val="24"/>
        </w:rPr>
        <w:t xml:space="preserve">šeši </w:t>
      </w:r>
      <w:r w:rsidR="006E5055">
        <w:rPr>
          <w:szCs w:val="24"/>
          <w:lang w:eastAsia="lt-LT"/>
        </w:rPr>
        <w:t>statiniai</w:t>
      </w:r>
      <w:r w:rsidR="0019520D">
        <w:rPr>
          <w:szCs w:val="24"/>
          <w:lang w:eastAsia="lt-LT"/>
        </w:rPr>
        <w:t xml:space="preserve">, kurių </w:t>
      </w:r>
      <w:r w:rsidR="006E5055">
        <w:rPr>
          <w:szCs w:val="24"/>
          <w:lang w:eastAsia="lt-LT"/>
        </w:rPr>
        <w:t xml:space="preserve">unikalūs numeriai – </w:t>
      </w:r>
      <w:r w:rsidR="006E5055">
        <w:rPr>
          <w:color w:val="000000"/>
          <w:szCs w:val="24"/>
        </w:rPr>
        <w:t xml:space="preserve">1993-4013-7048, 1993-4013-7059, 1993-4013-7068, </w:t>
      </w:r>
      <w:r w:rsidR="006E5055">
        <w:rPr>
          <w:szCs w:val="24"/>
          <w:lang w:eastAsia="lt-LT"/>
        </w:rPr>
        <w:t> </w:t>
      </w:r>
      <w:r w:rsidR="006E5055">
        <w:rPr>
          <w:color w:val="000000"/>
          <w:szCs w:val="24"/>
        </w:rPr>
        <w:t>1993-4013-7104, 1993-4013-7126, 1993-4013-7137</w:t>
      </w:r>
      <w:r w:rsidR="00305997">
        <w:rPr>
          <w:color w:val="000000"/>
          <w:szCs w:val="24"/>
        </w:rPr>
        <w:t xml:space="preserve"> (toliau – priklausiniai)</w:t>
      </w:r>
      <w:r w:rsidR="0019520D">
        <w:rPr>
          <w:color w:val="000000"/>
          <w:szCs w:val="24"/>
        </w:rPr>
        <w:t>.</w:t>
      </w:r>
      <w:r w:rsidR="006E5055">
        <w:rPr>
          <w:color w:val="000000"/>
          <w:szCs w:val="24"/>
        </w:rPr>
        <w:t xml:space="preserve"> </w:t>
      </w:r>
      <w:r w:rsidR="0019520D">
        <w:t xml:space="preserve">Jei </w:t>
      </w:r>
      <w:r w:rsidR="002E2B96">
        <w:t xml:space="preserve">Kauno centrinio pašto rūmai </w:t>
      </w:r>
      <w:r w:rsidR="006E5055" w:rsidRPr="00DC151B">
        <w:t>būtų paimam</w:t>
      </w:r>
      <w:r w:rsidR="002E2B96">
        <w:t>i</w:t>
      </w:r>
      <w:r w:rsidR="006E5055" w:rsidRPr="00DC151B">
        <w:t xml:space="preserve"> visuomenės poreikiams, </w:t>
      </w:r>
      <w:r w:rsidR="00DC151B">
        <w:lastRenderedPageBreak/>
        <w:t xml:space="preserve">atsižvelgiant į </w:t>
      </w:r>
      <w:r w:rsidR="00DC151B" w:rsidRPr="00DC151B">
        <w:t>Lietuvos Respublikos civilinio kodekso 4.14 straipsni</w:t>
      </w:r>
      <w:r w:rsidR="00DC151B">
        <w:t>o nuostatas</w:t>
      </w:r>
      <w:r w:rsidR="00DC151B" w:rsidRPr="007C072A">
        <w:rPr>
          <w:rStyle w:val="FootnoteReference"/>
          <w:color w:val="000000"/>
          <w:szCs w:val="24"/>
          <w:lang w:eastAsia="lt-LT"/>
        </w:rPr>
        <w:footnoteReference w:id="6"/>
      </w:r>
      <w:r w:rsidR="003A6A10">
        <w:t>, Lietuvos Aukščiausiojo Teismo</w:t>
      </w:r>
      <w:r w:rsidR="00496785" w:rsidRPr="00496785">
        <w:t xml:space="preserve"> </w:t>
      </w:r>
      <w:r w:rsidR="00496785">
        <w:t>praktiką</w:t>
      </w:r>
      <w:r w:rsidR="00496785" w:rsidRPr="007C072A">
        <w:rPr>
          <w:rStyle w:val="FootnoteReference"/>
          <w:color w:val="000000"/>
          <w:szCs w:val="24"/>
          <w:lang w:eastAsia="lt-LT"/>
        </w:rPr>
        <w:footnoteReference w:id="7"/>
      </w:r>
      <w:r w:rsidR="00DC151B">
        <w:t>,</w:t>
      </w:r>
      <w:r w:rsidR="00DC151B" w:rsidRPr="00DC151B">
        <w:t xml:space="preserve"> </w:t>
      </w:r>
      <w:r w:rsidR="006E5055" w:rsidRPr="00DC151B">
        <w:t xml:space="preserve">turės būti sprendžiamas ir </w:t>
      </w:r>
      <w:r w:rsidR="00305997">
        <w:t xml:space="preserve">priklausinių </w:t>
      </w:r>
      <w:r w:rsidR="006E5055" w:rsidRPr="00DC151B">
        <w:t xml:space="preserve">klausimas. </w:t>
      </w:r>
    </w:p>
    <w:p w14:paraId="7472EFDF" w14:textId="7DC674D5" w:rsidR="00DC151B" w:rsidRDefault="00305997" w:rsidP="00305997">
      <w:pPr>
        <w:pStyle w:val="BodyText"/>
        <w:spacing w:line="360" w:lineRule="auto"/>
        <w:ind w:firstLine="992"/>
      </w:pPr>
      <w:r>
        <w:t>Pagal akcinės bendrovės Lietuvos pašto (toliau – bendrovė), kuriai nuosavybės teise priklauso Kauno centrinio pašto rūmai, Susisiekimo ministerijai pateiktą informaciją bendrovės lūkestis yra, kad Kauno centrinio pašto rūmai būtų perleidžiami valstybės nuosavybėn tik kartu su priklausiniais</w:t>
      </w:r>
      <w:r w:rsidR="009F3374">
        <w:t xml:space="preserve"> (kaip vientisas kompleksas)</w:t>
      </w:r>
      <w:r>
        <w:t>, juolab kad priklausinių rinkos vertė (38,2 tūkst. Eur)</w:t>
      </w:r>
      <w:r w:rsidR="00522FCD">
        <w:t>, palyginti</w:t>
      </w:r>
      <w:r>
        <w:t xml:space="preserve"> su Kauno centrinių pašto rūmų rinkos verte (1,8 mln.</w:t>
      </w:r>
      <w:r w:rsidR="0019520D">
        <w:t xml:space="preserve"> Eur</w:t>
      </w:r>
      <w:r>
        <w:t>)</w:t>
      </w:r>
      <w:r w:rsidR="00522FCD">
        <w:t>,</w:t>
      </w:r>
      <w:r w:rsidR="00522FCD" w:rsidRPr="00522FCD">
        <w:t xml:space="preserve"> </w:t>
      </w:r>
      <w:r w:rsidR="00522FCD">
        <w:t>nesudaro reikšmingos dalies</w:t>
      </w:r>
      <w:r>
        <w:t>.</w:t>
      </w:r>
    </w:p>
    <w:p w14:paraId="417D137A" w14:textId="73DB128E" w:rsidR="009D1202" w:rsidRDefault="009D1202" w:rsidP="00305997">
      <w:pPr>
        <w:pStyle w:val="BodyText"/>
        <w:spacing w:line="360" w:lineRule="auto"/>
        <w:ind w:firstLine="992"/>
      </w:pPr>
    </w:p>
    <w:p w14:paraId="3663B6AA" w14:textId="2A6372F2" w:rsidR="009D1202" w:rsidRDefault="009D1202" w:rsidP="00305997">
      <w:pPr>
        <w:pStyle w:val="BodyText"/>
        <w:spacing w:line="360" w:lineRule="auto"/>
        <w:ind w:firstLine="992"/>
      </w:pPr>
    </w:p>
    <w:tbl>
      <w:tblPr>
        <w:tblW w:w="9821" w:type="dxa"/>
        <w:tblLayout w:type="fixed"/>
        <w:tblLook w:val="0000" w:firstRow="0" w:lastRow="0" w:firstColumn="0" w:lastColumn="0" w:noHBand="0" w:noVBand="0"/>
      </w:tblPr>
      <w:tblGrid>
        <w:gridCol w:w="3765"/>
        <w:gridCol w:w="2773"/>
        <w:gridCol w:w="3283"/>
      </w:tblGrid>
      <w:tr w:rsidR="009D1202" w:rsidRPr="00A914DE" w14:paraId="3A277602" w14:textId="77777777" w:rsidTr="00E22B44">
        <w:trPr>
          <w:trHeight w:val="643"/>
        </w:trPr>
        <w:tc>
          <w:tcPr>
            <w:tcW w:w="3765" w:type="dxa"/>
          </w:tcPr>
          <w:p w14:paraId="07E1250A" w14:textId="77777777" w:rsidR="009D1202" w:rsidRDefault="009D1202" w:rsidP="00E22B44">
            <w:pPr>
              <w:rPr>
                <w:sz w:val="24"/>
                <w:szCs w:val="24"/>
                <w:lang w:eastAsia="lt-LT"/>
              </w:rPr>
            </w:pPr>
            <w:r>
              <w:rPr>
                <w:sz w:val="24"/>
                <w:szCs w:val="24"/>
                <w:lang w:eastAsia="lt-LT"/>
              </w:rPr>
              <w:t>Biudžeto ir investicijų departamento direktorius, vykdantis ministerijos kanclerio funkcijas</w:t>
            </w:r>
          </w:p>
          <w:p w14:paraId="63569F3D" w14:textId="77777777" w:rsidR="009D1202" w:rsidRDefault="009D1202" w:rsidP="00E22B44">
            <w:pPr>
              <w:spacing w:before="480"/>
              <w:rPr>
                <w:sz w:val="24"/>
              </w:rPr>
            </w:pPr>
          </w:p>
        </w:tc>
        <w:tc>
          <w:tcPr>
            <w:tcW w:w="2773" w:type="dxa"/>
          </w:tcPr>
          <w:p w14:paraId="0D27C041" w14:textId="77777777" w:rsidR="009D1202" w:rsidRPr="00A914DE" w:rsidRDefault="009D1202" w:rsidP="00E22B44">
            <w:pPr>
              <w:spacing w:before="480"/>
              <w:rPr>
                <w:color w:val="000000"/>
                <w:sz w:val="24"/>
                <w:szCs w:val="24"/>
                <w:lang w:eastAsia="lt-LT"/>
              </w:rPr>
            </w:pPr>
          </w:p>
        </w:tc>
        <w:tc>
          <w:tcPr>
            <w:tcW w:w="3283" w:type="dxa"/>
          </w:tcPr>
          <w:p w14:paraId="49072FF7" w14:textId="77777777" w:rsidR="009D1202" w:rsidRPr="00A914DE" w:rsidRDefault="009D1202" w:rsidP="00E22B44">
            <w:pPr>
              <w:spacing w:before="480"/>
              <w:rPr>
                <w:color w:val="000000"/>
                <w:sz w:val="24"/>
                <w:szCs w:val="24"/>
                <w:lang w:eastAsia="lt-LT"/>
              </w:rPr>
            </w:pPr>
            <w:r w:rsidRPr="00A914DE">
              <w:rPr>
                <w:color w:val="000000"/>
                <w:sz w:val="24"/>
                <w:szCs w:val="24"/>
                <w:lang w:eastAsia="lt-LT"/>
              </w:rPr>
              <w:t xml:space="preserve">                     Saulius </w:t>
            </w:r>
            <w:proofErr w:type="spellStart"/>
            <w:r w:rsidRPr="00A914DE">
              <w:rPr>
                <w:color w:val="000000"/>
                <w:sz w:val="24"/>
                <w:szCs w:val="24"/>
                <w:lang w:eastAsia="lt-LT"/>
              </w:rPr>
              <w:t>Kerza</w:t>
            </w:r>
            <w:proofErr w:type="spellEnd"/>
          </w:p>
          <w:p w14:paraId="33C7F2F8" w14:textId="77777777" w:rsidR="009D1202" w:rsidRPr="00A914DE" w:rsidRDefault="009D1202" w:rsidP="00E22B44">
            <w:pPr>
              <w:spacing w:before="480"/>
              <w:rPr>
                <w:color w:val="000000"/>
                <w:sz w:val="24"/>
                <w:szCs w:val="24"/>
                <w:lang w:eastAsia="lt-LT"/>
              </w:rPr>
            </w:pPr>
            <w:r w:rsidRPr="00A914DE">
              <w:rPr>
                <w:color w:val="000000"/>
                <w:sz w:val="24"/>
                <w:szCs w:val="24"/>
                <w:lang w:eastAsia="lt-LT"/>
              </w:rPr>
              <w:t xml:space="preserve">              </w:t>
            </w:r>
          </w:p>
          <w:p w14:paraId="18C0DE93" w14:textId="77777777" w:rsidR="009D1202" w:rsidRPr="00A914DE" w:rsidRDefault="009D1202" w:rsidP="00E22B44">
            <w:pPr>
              <w:spacing w:before="480"/>
              <w:rPr>
                <w:color w:val="000000"/>
                <w:sz w:val="24"/>
                <w:szCs w:val="24"/>
                <w:lang w:eastAsia="lt-LT"/>
              </w:rPr>
            </w:pPr>
          </w:p>
        </w:tc>
      </w:tr>
    </w:tbl>
    <w:p w14:paraId="443D89ED" w14:textId="77777777" w:rsidR="009D1202" w:rsidRPr="00DC151B" w:rsidRDefault="009D1202" w:rsidP="00305997">
      <w:pPr>
        <w:pStyle w:val="BodyText"/>
        <w:spacing w:line="360" w:lineRule="auto"/>
        <w:ind w:firstLine="992"/>
      </w:pPr>
    </w:p>
    <w:sectPr w:rsidR="009D1202" w:rsidRPr="00DC151B" w:rsidSect="004D366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701" w:header="567" w:footer="116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0E37" w14:textId="77777777" w:rsidR="000F0F35" w:rsidRDefault="000F0F35">
      <w:r>
        <w:separator/>
      </w:r>
    </w:p>
  </w:endnote>
  <w:endnote w:type="continuationSeparator" w:id="0">
    <w:p w14:paraId="75E6180A" w14:textId="77777777" w:rsidR="000F0F35" w:rsidRDefault="000F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066C" w14:textId="77777777" w:rsidR="007B11E1" w:rsidRDefault="007B1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5D18" w14:textId="77777777" w:rsidR="007B11E1" w:rsidRDefault="007B1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B350" w14:textId="77777777" w:rsidR="007B11E1" w:rsidRDefault="007B11E1" w:rsidP="00CC6858">
    <w:pPr>
      <w:pStyle w:val="Footer"/>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990C1" w14:textId="77777777" w:rsidR="000F0F35" w:rsidRDefault="000F0F35">
      <w:r>
        <w:separator/>
      </w:r>
    </w:p>
  </w:footnote>
  <w:footnote w:type="continuationSeparator" w:id="0">
    <w:p w14:paraId="317FEA6D" w14:textId="77777777" w:rsidR="000F0F35" w:rsidRDefault="000F0F35">
      <w:r>
        <w:continuationSeparator/>
      </w:r>
    </w:p>
  </w:footnote>
  <w:footnote w:id="1">
    <w:p w14:paraId="7A42355D" w14:textId="3D23157B" w:rsidR="003647CC" w:rsidRPr="004A487C" w:rsidRDefault="003647CC" w:rsidP="003647CC">
      <w:pPr>
        <w:pStyle w:val="FootnoteText"/>
        <w:jc w:val="both"/>
        <w:rPr>
          <w:color w:val="000000"/>
        </w:rPr>
      </w:pPr>
      <w:r>
        <w:rPr>
          <w:rStyle w:val="FootnoteReference"/>
        </w:rPr>
        <w:footnoteRef/>
      </w:r>
      <w:r>
        <w:t xml:space="preserve"> </w:t>
      </w:r>
      <w:r w:rsidR="00DC151B">
        <w:t>K</w:t>
      </w:r>
      <w:r>
        <w:t xml:space="preserve">ultūros ministerijos </w:t>
      </w:r>
      <w:r>
        <w:rPr>
          <w:lang w:val="en-US"/>
        </w:rPr>
        <w:t>2021 m</w:t>
      </w:r>
      <w:r>
        <w:t xml:space="preserve">. rugsėjo 23 </w:t>
      </w:r>
      <w:r w:rsidRPr="00546373">
        <w:t>d. rašt</w:t>
      </w:r>
      <w:r w:rsidR="00BF601C">
        <w:t>as</w:t>
      </w:r>
      <w:r>
        <w:t xml:space="preserve"> Nr. S</w:t>
      </w:r>
      <w:r w:rsidRPr="00D47AEF">
        <w:t xml:space="preserve">2-2822 </w:t>
      </w:r>
      <w:r>
        <w:rPr>
          <w:bCs/>
          <w:szCs w:val="24"/>
        </w:rPr>
        <w:t xml:space="preserve">„Dėl Lietuvos Respublikos Vyriausybės </w:t>
      </w:r>
      <w:r>
        <w:rPr>
          <w:bCs/>
          <w:color w:val="000000"/>
          <w:szCs w:val="24"/>
        </w:rPr>
        <w:t>2007</w:t>
      </w:r>
      <w:r w:rsidR="00DC151B">
        <w:rPr>
          <w:bCs/>
          <w:color w:val="000000"/>
          <w:szCs w:val="24"/>
        </w:rPr>
        <w:t> </w:t>
      </w:r>
      <w:r>
        <w:rPr>
          <w:bCs/>
          <w:color w:val="000000"/>
          <w:szCs w:val="24"/>
        </w:rPr>
        <w:t>m. birželio 19 d. nutarimo Nr. 659 „Dėl Valstybinės reikšmės istorijos, archeologijos ir kultūros objektų sąrašo patvirtinimo“ pakeitimo projekto papildomo derinimo“.</w:t>
      </w:r>
    </w:p>
  </w:footnote>
  <w:footnote w:id="2">
    <w:p w14:paraId="0649E094" w14:textId="4D227EB9" w:rsidR="009B3708" w:rsidRPr="004A487C" w:rsidRDefault="009B3708" w:rsidP="009B3708">
      <w:pPr>
        <w:pStyle w:val="FootnoteText"/>
        <w:jc w:val="both"/>
        <w:rPr>
          <w:color w:val="000000"/>
        </w:rPr>
      </w:pPr>
      <w:r>
        <w:rPr>
          <w:rStyle w:val="FootnoteReference"/>
        </w:rPr>
        <w:footnoteRef/>
      </w:r>
      <w:r>
        <w:t xml:space="preserve"> </w:t>
      </w:r>
      <w:r>
        <w:rPr>
          <w:bCs/>
          <w:color w:val="000000"/>
          <w:szCs w:val="24"/>
        </w:rPr>
        <w:t xml:space="preserve">Patikslintas </w:t>
      </w:r>
      <w:r>
        <w:t>pagal Lietuvos Respublikos Vyriausybės Teisės grupės 2021 m. rugsėjo 13 d. išvadoje Nr. NV-2193 pateiktas pastabas.</w:t>
      </w:r>
    </w:p>
  </w:footnote>
  <w:footnote w:id="3">
    <w:p w14:paraId="1E6D1A38" w14:textId="3DA1EDF3" w:rsidR="003647CC" w:rsidRPr="004A487C" w:rsidRDefault="003647CC" w:rsidP="003647CC">
      <w:pPr>
        <w:pStyle w:val="FootnoteText"/>
        <w:jc w:val="both"/>
        <w:rPr>
          <w:color w:val="000000"/>
        </w:rPr>
      </w:pPr>
      <w:r>
        <w:rPr>
          <w:rStyle w:val="FootnoteReference"/>
        </w:rPr>
        <w:footnoteRef/>
      </w:r>
      <w:r>
        <w:t xml:space="preserve"> </w:t>
      </w:r>
      <w:r>
        <w:rPr>
          <w:bCs/>
          <w:szCs w:val="24"/>
        </w:rPr>
        <w:t>TAIS Nr. 21-26912(2).</w:t>
      </w:r>
    </w:p>
  </w:footnote>
  <w:footnote w:id="4">
    <w:p w14:paraId="6ACFA267" w14:textId="0A2BDEBA" w:rsidR="009B3708" w:rsidRPr="004A487C" w:rsidRDefault="009B3708" w:rsidP="009B3708">
      <w:pPr>
        <w:pStyle w:val="FootnoteText"/>
        <w:jc w:val="both"/>
        <w:rPr>
          <w:color w:val="000000"/>
        </w:rPr>
      </w:pPr>
      <w:r>
        <w:rPr>
          <w:rStyle w:val="FootnoteReference"/>
        </w:rPr>
        <w:footnoteRef/>
      </w:r>
      <w:r>
        <w:t xml:space="preserve">Pirminė Susisiekimo ministerijos išvada pateikta 2021 m. birželio 30 d. raštu </w:t>
      </w:r>
      <w:r>
        <w:rPr>
          <w:bCs/>
          <w:color w:val="000000"/>
          <w:szCs w:val="24"/>
        </w:rPr>
        <w:t>Nr. 2-2805</w:t>
      </w:r>
      <w:r w:rsidR="00D47899">
        <w:rPr>
          <w:bCs/>
          <w:color w:val="000000"/>
          <w:szCs w:val="24"/>
        </w:rPr>
        <w:t xml:space="preserve"> „Dėl </w:t>
      </w:r>
      <w:r w:rsidR="00D47899">
        <w:rPr>
          <w:szCs w:val="24"/>
        </w:rPr>
        <w:t>L</w:t>
      </w:r>
      <w:r w:rsidR="00D47899">
        <w:rPr>
          <w:bCs/>
          <w:szCs w:val="24"/>
        </w:rPr>
        <w:t xml:space="preserve">ietuvos Respublikos Vyriausybės nutarimo „Dėl Lietuvos Respublikos Vyriausybės </w:t>
      </w:r>
      <w:r w:rsidR="00D47899">
        <w:rPr>
          <w:bCs/>
          <w:color w:val="000000"/>
          <w:szCs w:val="24"/>
        </w:rPr>
        <w:t>2007 m. birželio 19 d. nutarimo Nr. 659 „Dėl Valstybinės reikšmės istorijos, archeologijos ir kultūros objektų sąrašo patvirtinimo“ pakeitimo projekto derinimo“.</w:t>
      </w:r>
    </w:p>
  </w:footnote>
  <w:footnote w:id="5">
    <w:p w14:paraId="09A93397" w14:textId="32C8A15C" w:rsidR="00D408AB" w:rsidRPr="00D408AB" w:rsidRDefault="00D408AB" w:rsidP="00D408AB">
      <w:pPr>
        <w:pStyle w:val="FootnoteText"/>
        <w:jc w:val="both"/>
        <w:rPr>
          <w:bCs/>
          <w:szCs w:val="24"/>
        </w:rPr>
      </w:pPr>
      <w:r>
        <w:rPr>
          <w:rStyle w:val="FootnoteReference"/>
        </w:rPr>
        <w:footnoteRef/>
      </w:r>
      <w:r>
        <w:t xml:space="preserve"> </w:t>
      </w:r>
      <w:r w:rsidR="0019520D">
        <w:rPr>
          <w:szCs w:val="24"/>
        </w:rPr>
        <w:t>P</w:t>
      </w:r>
      <w:r w:rsidR="0019520D">
        <w:rPr>
          <w:szCs w:val="24"/>
          <w:lang w:eastAsia="lt-LT"/>
        </w:rPr>
        <w:t xml:space="preserve">rojektu į </w:t>
      </w:r>
      <w:r w:rsidR="0019520D">
        <w:rPr>
          <w:bCs/>
          <w:color w:val="000000"/>
          <w:szCs w:val="24"/>
        </w:rPr>
        <w:t>Valstybinės reikšmės istorijos, archeologijos ir kultūros objektų sąrašą</w:t>
      </w:r>
      <w:r w:rsidR="0019520D" w:rsidRPr="00D408AB">
        <w:rPr>
          <w:bCs/>
          <w:szCs w:val="24"/>
        </w:rPr>
        <w:t xml:space="preserve"> </w:t>
      </w:r>
      <w:r w:rsidR="0019520D">
        <w:rPr>
          <w:bCs/>
          <w:szCs w:val="24"/>
        </w:rPr>
        <w:t xml:space="preserve">įrašomas pastatas, </w:t>
      </w:r>
      <w:r w:rsidRPr="00D408AB">
        <w:rPr>
          <w:bCs/>
          <w:szCs w:val="24"/>
        </w:rPr>
        <w:t>Nekilnojamojo turto registre įregistruot</w:t>
      </w:r>
      <w:r w:rsidR="0019520D">
        <w:rPr>
          <w:bCs/>
          <w:szCs w:val="24"/>
        </w:rPr>
        <w:t>as</w:t>
      </w:r>
      <w:r w:rsidRPr="00D408AB">
        <w:rPr>
          <w:bCs/>
          <w:szCs w:val="24"/>
        </w:rPr>
        <w:t xml:space="preserve"> kaip pastatas  – įstaiga</w:t>
      </w:r>
      <w:r>
        <w:rPr>
          <w:bCs/>
          <w:szCs w:val="24"/>
        </w:rPr>
        <w:t xml:space="preserve">, </w:t>
      </w:r>
      <w:r w:rsidR="004D366E" w:rsidRPr="004D366E">
        <w:rPr>
          <w:bCs/>
          <w:szCs w:val="24"/>
        </w:rPr>
        <w:t xml:space="preserve">unikalus numeris – 1993-4013-7026, </w:t>
      </w:r>
      <w:r w:rsidRPr="00D408AB">
        <w:rPr>
          <w:bCs/>
          <w:szCs w:val="24"/>
        </w:rPr>
        <w:t>adresas – Kaun</w:t>
      </w:r>
      <w:r w:rsidR="00D47899">
        <w:rPr>
          <w:bCs/>
          <w:szCs w:val="24"/>
        </w:rPr>
        <w:t>as</w:t>
      </w:r>
      <w:r w:rsidRPr="00D408AB">
        <w:rPr>
          <w:bCs/>
          <w:szCs w:val="24"/>
        </w:rPr>
        <w:t>, Laisvės al. 102.</w:t>
      </w:r>
    </w:p>
  </w:footnote>
  <w:footnote w:id="6">
    <w:p w14:paraId="716374F8" w14:textId="4DAA9FEB" w:rsidR="00DC151B" w:rsidRPr="00496785" w:rsidRDefault="00DC151B" w:rsidP="00496785">
      <w:pPr>
        <w:pStyle w:val="BodyText"/>
        <w:ind w:firstLine="0"/>
        <w:rPr>
          <w:bCs/>
          <w:sz w:val="20"/>
          <w:szCs w:val="24"/>
        </w:rPr>
      </w:pPr>
      <w:r>
        <w:rPr>
          <w:rStyle w:val="FootnoteReference"/>
        </w:rPr>
        <w:footnoteRef/>
      </w:r>
      <w:r>
        <w:t xml:space="preserve"> </w:t>
      </w:r>
      <w:r w:rsidRPr="00DC151B">
        <w:rPr>
          <w:bCs/>
          <w:sz w:val="20"/>
          <w:szCs w:val="24"/>
        </w:rPr>
        <w:t>Vadovaujantis Lietuvos Respublikos civilinio kodekso 4.14 straipsni</w:t>
      </w:r>
      <w:r w:rsidR="002E2B96">
        <w:rPr>
          <w:bCs/>
          <w:sz w:val="20"/>
          <w:szCs w:val="24"/>
        </w:rPr>
        <w:t>o 1 ir 2 dalimis,</w:t>
      </w:r>
      <w:r w:rsidRPr="00DC151B">
        <w:rPr>
          <w:bCs/>
          <w:sz w:val="20"/>
          <w:szCs w:val="24"/>
        </w:rPr>
        <w:t xml:space="preserve"> antraeilį daiktą ištinka pagrindinio daikto likimas, jeigu sutarties ar įstatymo nenustatyta kitaip; kai pagrindinio daikto perleidimo kito asmens nuosavybėn metu kyla ginčas dėl antraeilio daikto likimo, kartu su pagrindiniu daiktu perleidžiamas to asmens nuosavybėn ir antraeilis daiktas, jeigu neįrodyta, kad turi būti pasielgta priešingai.</w:t>
      </w:r>
    </w:p>
  </w:footnote>
  <w:footnote w:id="7">
    <w:p w14:paraId="419399C1" w14:textId="53B9CD60" w:rsidR="00496785" w:rsidRPr="00496785" w:rsidRDefault="00496785" w:rsidP="00496785">
      <w:pPr>
        <w:pStyle w:val="FootnoteText"/>
        <w:jc w:val="both"/>
        <w:rPr>
          <w:bCs/>
          <w:color w:val="000000"/>
          <w:szCs w:val="24"/>
        </w:rPr>
      </w:pPr>
      <w:r>
        <w:rPr>
          <w:rStyle w:val="FootnoteReference"/>
        </w:rPr>
        <w:footnoteRef/>
      </w:r>
      <w:r>
        <w:t xml:space="preserve"> Pvz., </w:t>
      </w:r>
      <w:r w:rsidRPr="00496785">
        <w:rPr>
          <w:bCs/>
          <w:color w:val="000000"/>
          <w:szCs w:val="24"/>
        </w:rPr>
        <w:t>Lietuvos Aukščiau</w:t>
      </w:r>
      <w:r>
        <w:rPr>
          <w:bCs/>
          <w:color w:val="000000"/>
          <w:szCs w:val="24"/>
        </w:rPr>
        <w:t xml:space="preserve">siojo </w:t>
      </w:r>
      <w:r w:rsidRPr="00496785">
        <w:rPr>
          <w:bCs/>
          <w:color w:val="000000"/>
          <w:szCs w:val="24"/>
        </w:rPr>
        <w:t>Teism</w:t>
      </w:r>
      <w:r>
        <w:rPr>
          <w:bCs/>
          <w:color w:val="000000"/>
          <w:szCs w:val="24"/>
        </w:rPr>
        <w:t>o</w:t>
      </w:r>
      <w:r w:rsidRPr="00496785">
        <w:rPr>
          <w:bCs/>
          <w:color w:val="000000"/>
          <w:szCs w:val="24"/>
        </w:rPr>
        <w:t xml:space="preserve"> 2017 m. lapkričio 23 d. nutart</w:t>
      </w:r>
      <w:r>
        <w:rPr>
          <w:bCs/>
          <w:color w:val="000000"/>
          <w:szCs w:val="24"/>
        </w:rPr>
        <w:t>is</w:t>
      </w:r>
      <w:r w:rsidRPr="00496785">
        <w:rPr>
          <w:bCs/>
          <w:color w:val="000000"/>
          <w:szCs w:val="24"/>
        </w:rPr>
        <w:t xml:space="preserve"> civ. byloje Nr. 3K-3-421-695/2017</w:t>
      </w:r>
      <w:r>
        <w:rPr>
          <w:bCs/>
          <w:color w:val="000000"/>
          <w:szCs w:val="24"/>
        </w:rPr>
        <w:t>, kurioje teismas pasisakė, jog i</w:t>
      </w:r>
      <w:r w:rsidRPr="003601B5">
        <w:rPr>
          <w:bCs/>
          <w:color w:val="000000"/>
          <w:szCs w:val="24"/>
        </w:rPr>
        <w:t>šlyga dėl kitokio, negu nustato materialiosios teisės normos</w:t>
      </w:r>
      <w:r>
        <w:rPr>
          <w:bCs/>
          <w:color w:val="000000"/>
          <w:szCs w:val="24"/>
        </w:rPr>
        <w:t xml:space="preserve"> (t. y. Lietuvos Respublikos civilinio kodekso 4.14 straipsnio 1 dalis)</w:t>
      </w:r>
      <w:r w:rsidRPr="003601B5">
        <w:rPr>
          <w:bCs/>
          <w:color w:val="000000"/>
          <w:szCs w:val="24"/>
        </w:rPr>
        <w:t xml:space="preserve">, antraeilio daikto likimo turi būti </w:t>
      </w:r>
      <w:proofErr w:type="spellStart"/>
      <w:r w:rsidRPr="003601B5">
        <w:rPr>
          <w:bCs/>
          <w:i/>
          <w:iCs/>
          <w:color w:val="000000"/>
          <w:szCs w:val="24"/>
        </w:rPr>
        <w:t>expressis</w:t>
      </w:r>
      <w:proofErr w:type="spellEnd"/>
      <w:r w:rsidRPr="003601B5">
        <w:rPr>
          <w:bCs/>
          <w:i/>
          <w:iCs/>
          <w:color w:val="000000"/>
          <w:szCs w:val="24"/>
        </w:rPr>
        <w:t xml:space="preserve"> </w:t>
      </w:r>
      <w:proofErr w:type="spellStart"/>
      <w:r w:rsidRPr="003601B5">
        <w:rPr>
          <w:bCs/>
          <w:i/>
          <w:iCs/>
          <w:color w:val="000000"/>
          <w:szCs w:val="24"/>
        </w:rPr>
        <w:t>verbis</w:t>
      </w:r>
      <w:proofErr w:type="spellEnd"/>
      <w:r w:rsidRPr="003601B5">
        <w:rPr>
          <w:bCs/>
          <w:color w:val="000000"/>
          <w:szCs w:val="24"/>
        </w:rPr>
        <w:t xml:space="preserve"> (tiesiogiai) įtvirtinta įstatyme ar sutartyje.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7890" w14:textId="77777777" w:rsidR="007B11E1" w:rsidRDefault="007B11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80D5AD" w14:textId="77777777" w:rsidR="007B11E1" w:rsidRDefault="007B1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8D3C" w14:textId="77777777" w:rsidR="007B11E1" w:rsidRDefault="007B11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C71F52" w14:textId="77777777" w:rsidR="007B11E1" w:rsidRDefault="007B1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3671" w14:textId="77777777" w:rsidR="007B11E1" w:rsidRDefault="007B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33DE6"/>
    <w:multiLevelType w:val="hybridMultilevel"/>
    <w:tmpl w:val="72EC330C"/>
    <w:lvl w:ilvl="0" w:tplc="04270015">
      <w:start w:val="10"/>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4445E7"/>
    <w:multiLevelType w:val="hybridMultilevel"/>
    <w:tmpl w:val="46E67A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0E"/>
    <w:rsid w:val="000051C6"/>
    <w:rsid w:val="00030166"/>
    <w:rsid w:val="00044B0D"/>
    <w:rsid w:val="00051498"/>
    <w:rsid w:val="000571EA"/>
    <w:rsid w:val="00057E08"/>
    <w:rsid w:val="000A17AD"/>
    <w:rsid w:val="000B59D3"/>
    <w:rsid w:val="000C203E"/>
    <w:rsid w:val="000C36CA"/>
    <w:rsid w:val="000C4586"/>
    <w:rsid w:val="000E1445"/>
    <w:rsid w:val="000E476E"/>
    <w:rsid w:val="000F0F35"/>
    <w:rsid w:val="0010330B"/>
    <w:rsid w:val="00116D26"/>
    <w:rsid w:val="0013213C"/>
    <w:rsid w:val="0019520D"/>
    <w:rsid w:val="001B268A"/>
    <w:rsid w:val="001C3711"/>
    <w:rsid w:val="001D2CF7"/>
    <w:rsid w:val="001E14B2"/>
    <w:rsid w:val="00220C03"/>
    <w:rsid w:val="0023403E"/>
    <w:rsid w:val="00240F55"/>
    <w:rsid w:val="00255176"/>
    <w:rsid w:val="00261B07"/>
    <w:rsid w:val="00264C9D"/>
    <w:rsid w:val="00265BC4"/>
    <w:rsid w:val="002666DE"/>
    <w:rsid w:val="0028220E"/>
    <w:rsid w:val="00285A73"/>
    <w:rsid w:val="002D4BEE"/>
    <w:rsid w:val="002E010A"/>
    <w:rsid w:val="002E121B"/>
    <w:rsid w:val="002E2B96"/>
    <w:rsid w:val="00301E48"/>
    <w:rsid w:val="00305997"/>
    <w:rsid w:val="00305ED2"/>
    <w:rsid w:val="00312DF7"/>
    <w:rsid w:val="00327D22"/>
    <w:rsid w:val="003434CF"/>
    <w:rsid w:val="00362519"/>
    <w:rsid w:val="003647CC"/>
    <w:rsid w:val="0036695E"/>
    <w:rsid w:val="00376C2A"/>
    <w:rsid w:val="003906DE"/>
    <w:rsid w:val="003A1482"/>
    <w:rsid w:val="003A6A10"/>
    <w:rsid w:val="004015DD"/>
    <w:rsid w:val="004062A9"/>
    <w:rsid w:val="00442721"/>
    <w:rsid w:val="00455F70"/>
    <w:rsid w:val="00464F67"/>
    <w:rsid w:val="00482645"/>
    <w:rsid w:val="00491ED8"/>
    <w:rsid w:val="00496785"/>
    <w:rsid w:val="004A3598"/>
    <w:rsid w:val="004C1798"/>
    <w:rsid w:val="004D366E"/>
    <w:rsid w:val="004D3EF0"/>
    <w:rsid w:val="004E0B78"/>
    <w:rsid w:val="00500A44"/>
    <w:rsid w:val="0051427D"/>
    <w:rsid w:val="00522FCD"/>
    <w:rsid w:val="00526B1B"/>
    <w:rsid w:val="00546373"/>
    <w:rsid w:val="00583C24"/>
    <w:rsid w:val="0059210A"/>
    <w:rsid w:val="005B0BFB"/>
    <w:rsid w:val="00615688"/>
    <w:rsid w:val="0062365A"/>
    <w:rsid w:val="006274DB"/>
    <w:rsid w:val="006536DD"/>
    <w:rsid w:val="00667691"/>
    <w:rsid w:val="00684286"/>
    <w:rsid w:val="00685962"/>
    <w:rsid w:val="006A5B1F"/>
    <w:rsid w:val="006C0BE2"/>
    <w:rsid w:val="006C171F"/>
    <w:rsid w:val="006E5055"/>
    <w:rsid w:val="006F6232"/>
    <w:rsid w:val="0072003A"/>
    <w:rsid w:val="00732120"/>
    <w:rsid w:val="0075642A"/>
    <w:rsid w:val="00770725"/>
    <w:rsid w:val="007775A2"/>
    <w:rsid w:val="00782CD3"/>
    <w:rsid w:val="007B11E1"/>
    <w:rsid w:val="007B4856"/>
    <w:rsid w:val="007C4430"/>
    <w:rsid w:val="007D1F85"/>
    <w:rsid w:val="007D5EE5"/>
    <w:rsid w:val="007E0792"/>
    <w:rsid w:val="007F494B"/>
    <w:rsid w:val="007F6C67"/>
    <w:rsid w:val="008357F3"/>
    <w:rsid w:val="00836A9D"/>
    <w:rsid w:val="00845923"/>
    <w:rsid w:val="008547B5"/>
    <w:rsid w:val="0087068F"/>
    <w:rsid w:val="008A0CDE"/>
    <w:rsid w:val="008B0B84"/>
    <w:rsid w:val="008C56AC"/>
    <w:rsid w:val="008D1B01"/>
    <w:rsid w:val="008D5880"/>
    <w:rsid w:val="008D5CFA"/>
    <w:rsid w:val="008E2ED4"/>
    <w:rsid w:val="008E4AFA"/>
    <w:rsid w:val="008F27C3"/>
    <w:rsid w:val="00907CC6"/>
    <w:rsid w:val="00913BE2"/>
    <w:rsid w:val="009336CD"/>
    <w:rsid w:val="009A00B5"/>
    <w:rsid w:val="009A1107"/>
    <w:rsid w:val="009A151F"/>
    <w:rsid w:val="009A481E"/>
    <w:rsid w:val="009A577D"/>
    <w:rsid w:val="009A66B7"/>
    <w:rsid w:val="009B3708"/>
    <w:rsid w:val="009C07DA"/>
    <w:rsid w:val="009D1202"/>
    <w:rsid w:val="009F3374"/>
    <w:rsid w:val="009F5CAA"/>
    <w:rsid w:val="00A62E76"/>
    <w:rsid w:val="00A72990"/>
    <w:rsid w:val="00A77D9C"/>
    <w:rsid w:val="00A90E0E"/>
    <w:rsid w:val="00A937A3"/>
    <w:rsid w:val="00AE7092"/>
    <w:rsid w:val="00AF45BC"/>
    <w:rsid w:val="00B331FB"/>
    <w:rsid w:val="00B44706"/>
    <w:rsid w:val="00B81A94"/>
    <w:rsid w:val="00B96ABE"/>
    <w:rsid w:val="00BA4099"/>
    <w:rsid w:val="00BB65B1"/>
    <w:rsid w:val="00BC1207"/>
    <w:rsid w:val="00BC2CB6"/>
    <w:rsid w:val="00BC3B19"/>
    <w:rsid w:val="00BC5449"/>
    <w:rsid w:val="00BF1421"/>
    <w:rsid w:val="00BF601C"/>
    <w:rsid w:val="00C00FA2"/>
    <w:rsid w:val="00C11562"/>
    <w:rsid w:val="00C469F4"/>
    <w:rsid w:val="00C71C73"/>
    <w:rsid w:val="00C957F9"/>
    <w:rsid w:val="00C96AD1"/>
    <w:rsid w:val="00C97956"/>
    <w:rsid w:val="00CC5F99"/>
    <w:rsid w:val="00CC6858"/>
    <w:rsid w:val="00CE0F9D"/>
    <w:rsid w:val="00CE7BF0"/>
    <w:rsid w:val="00CF47A3"/>
    <w:rsid w:val="00D3177C"/>
    <w:rsid w:val="00D408AB"/>
    <w:rsid w:val="00D452F2"/>
    <w:rsid w:val="00D47899"/>
    <w:rsid w:val="00D47AEF"/>
    <w:rsid w:val="00D8056E"/>
    <w:rsid w:val="00D81794"/>
    <w:rsid w:val="00D878CB"/>
    <w:rsid w:val="00D91FC5"/>
    <w:rsid w:val="00D944D9"/>
    <w:rsid w:val="00DC04B6"/>
    <w:rsid w:val="00DC0594"/>
    <w:rsid w:val="00DC151B"/>
    <w:rsid w:val="00DD3855"/>
    <w:rsid w:val="00E717AF"/>
    <w:rsid w:val="00ED467D"/>
    <w:rsid w:val="00F11979"/>
    <w:rsid w:val="00F362A0"/>
    <w:rsid w:val="00F96674"/>
    <w:rsid w:val="00F966FB"/>
    <w:rsid w:val="00FA1811"/>
    <w:rsid w:val="00FA2570"/>
    <w:rsid w:val="00FB234C"/>
    <w:rsid w:val="00FB5640"/>
    <w:rsid w:val="00FB56FB"/>
    <w:rsid w:val="00FB601D"/>
    <w:rsid w:val="00FB6626"/>
    <w:rsid w:val="00FC55D5"/>
    <w:rsid w:val="00FF04E7"/>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4D1F6"/>
  <w15:docId w15:val="{66BBFEC4-3EE7-4F23-9673-D60B02F1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98"/>
    <w:rPr>
      <w:lang w:eastAsia="en-US"/>
    </w:rPr>
  </w:style>
  <w:style w:type="paragraph" w:styleId="Heading1">
    <w:name w:val="heading 1"/>
    <w:basedOn w:val="Normal"/>
    <w:next w:val="Normal"/>
    <w:link w:val="Heading1Char"/>
    <w:uiPriority w:val="99"/>
    <w:qFormat/>
    <w:rsid w:val="004A3598"/>
    <w:pPr>
      <w:keepNext/>
      <w:ind w:firstLine="1247"/>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C3B19"/>
    <w:rPr>
      <w:rFonts w:ascii="Cambria" w:hAnsi="Cambria" w:cs="Times New Roman"/>
      <w:b/>
      <w:bCs/>
      <w:kern w:val="32"/>
      <w:sz w:val="32"/>
      <w:szCs w:val="32"/>
      <w:lang w:eastAsia="en-US"/>
    </w:rPr>
  </w:style>
  <w:style w:type="paragraph" w:styleId="BodyText">
    <w:name w:val="Body Text"/>
    <w:basedOn w:val="Normal"/>
    <w:link w:val="BodyTextChar"/>
    <w:uiPriority w:val="99"/>
    <w:rsid w:val="004A3598"/>
    <w:pPr>
      <w:ind w:firstLine="1247"/>
      <w:jc w:val="both"/>
    </w:pPr>
    <w:rPr>
      <w:sz w:val="24"/>
    </w:rPr>
  </w:style>
  <w:style w:type="character" w:customStyle="1" w:styleId="BodyTextChar">
    <w:name w:val="Body Text Char"/>
    <w:link w:val="BodyText"/>
    <w:uiPriority w:val="99"/>
    <w:semiHidden/>
    <w:locked/>
    <w:rsid w:val="00BC3B19"/>
    <w:rPr>
      <w:rFonts w:cs="Times New Roman"/>
      <w:sz w:val="20"/>
      <w:szCs w:val="20"/>
      <w:lang w:eastAsia="en-US"/>
    </w:rPr>
  </w:style>
  <w:style w:type="paragraph" w:styleId="Header">
    <w:name w:val="header"/>
    <w:basedOn w:val="Normal"/>
    <w:link w:val="HeaderChar"/>
    <w:uiPriority w:val="99"/>
    <w:rsid w:val="004A3598"/>
    <w:pPr>
      <w:tabs>
        <w:tab w:val="center" w:pos="4153"/>
        <w:tab w:val="right" w:pos="8306"/>
      </w:tabs>
    </w:pPr>
  </w:style>
  <w:style w:type="character" w:customStyle="1" w:styleId="HeaderChar">
    <w:name w:val="Header Char"/>
    <w:link w:val="Header"/>
    <w:uiPriority w:val="99"/>
    <w:semiHidden/>
    <w:locked/>
    <w:rsid w:val="00BC3B19"/>
    <w:rPr>
      <w:rFonts w:cs="Times New Roman"/>
      <w:sz w:val="20"/>
      <w:szCs w:val="20"/>
      <w:lang w:eastAsia="en-US"/>
    </w:rPr>
  </w:style>
  <w:style w:type="character" w:styleId="PageNumber">
    <w:name w:val="page number"/>
    <w:uiPriority w:val="99"/>
    <w:rsid w:val="004A3598"/>
    <w:rPr>
      <w:rFonts w:cs="Times New Roman"/>
    </w:rPr>
  </w:style>
  <w:style w:type="paragraph" w:styleId="Footer">
    <w:name w:val="footer"/>
    <w:basedOn w:val="Normal"/>
    <w:link w:val="FooterChar"/>
    <w:uiPriority w:val="99"/>
    <w:rsid w:val="004A3598"/>
    <w:pPr>
      <w:tabs>
        <w:tab w:val="center" w:pos="4153"/>
        <w:tab w:val="right" w:pos="8306"/>
      </w:tabs>
    </w:pPr>
  </w:style>
  <w:style w:type="character" w:customStyle="1" w:styleId="FooterChar">
    <w:name w:val="Footer Char"/>
    <w:link w:val="Footer"/>
    <w:uiPriority w:val="99"/>
    <w:semiHidden/>
    <w:locked/>
    <w:rsid w:val="00BC3B19"/>
    <w:rPr>
      <w:rFonts w:cs="Times New Roman"/>
      <w:sz w:val="20"/>
      <w:szCs w:val="20"/>
      <w:lang w:eastAsia="en-US"/>
    </w:rPr>
  </w:style>
  <w:style w:type="table" w:styleId="TableGrid">
    <w:name w:val="Table Grid"/>
    <w:basedOn w:val="TableNormal"/>
    <w:uiPriority w:val="99"/>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3906DE"/>
    <w:rPr>
      <w:rFonts w:ascii="Tahoma" w:hAnsi="Tahoma" w:cs="Tahoma"/>
      <w:sz w:val="16"/>
      <w:szCs w:val="16"/>
    </w:rPr>
  </w:style>
  <w:style w:type="character" w:customStyle="1" w:styleId="BalloonTextChar">
    <w:name w:val="Balloon Text Char"/>
    <w:link w:val="BalloonText"/>
    <w:uiPriority w:val="99"/>
    <w:locked/>
    <w:rsid w:val="003906DE"/>
    <w:rPr>
      <w:rFonts w:ascii="Tahoma" w:hAnsi="Tahoma" w:cs="Tahoma"/>
      <w:sz w:val="16"/>
      <w:szCs w:val="16"/>
      <w:lang w:val="en-GB" w:eastAsia="en-US"/>
    </w:rPr>
  </w:style>
  <w:style w:type="character" w:styleId="PlaceholderText">
    <w:name w:val="Placeholder Text"/>
    <w:uiPriority w:val="99"/>
    <w:semiHidden/>
    <w:rsid w:val="00B331FB"/>
    <w:rPr>
      <w:rFonts w:cs="Times New Roman"/>
      <w:color w:val="808080"/>
    </w:rPr>
  </w:style>
  <w:style w:type="paragraph" w:styleId="ListParagraph">
    <w:name w:val="List Paragraph"/>
    <w:basedOn w:val="Normal"/>
    <w:uiPriority w:val="34"/>
    <w:qFormat/>
    <w:rsid w:val="003647CC"/>
    <w:pPr>
      <w:ind w:left="720"/>
      <w:contextualSpacing/>
    </w:pPr>
  </w:style>
  <w:style w:type="paragraph" w:styleId="FootnoteText">
    <w:name w:val="footnote text"/>
    <w:basedOn w:val="Normal"/>
    <w:link w:val="FootnoteTextChar"/>
    <w:semiHidden/>
    <w:unhideWhenUsed/>
    <w:locked/>
    <w:rsid w:val="003647CC"/>
  </w:style>
  <w:style w:type="character" w:customStyle="1" w:styleId="FootnoteTextChar">
    <w:name w:val="Footnote Text Char"/>
    <w:basedOn w:val="DefaultParagraphFont"/>
    <w:link w:val="FootnoteText"/>
    <w:semiHidden/>
    <w:rsid w:val="003647CC"/>
    <w:rPr>
      <w:lang w:eastAsia="en-US"/>
    </w:rPr>
  </w:style>
  <w:style w:type="character" w:styleId="FootnoteReference">
    <w:name w:val="footnote reference"/>
    <w:basedOn w:val="DefaultParagraphFont"/>
    <w:semiHidden/>
    <w:unhideWhenUsed/>
    <w:locked/>
    <w:rsid w:val="003647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79207">
      <w:bodyDiv w:val="1"/>
      <w:marLeft w:val="0"/>
      <w:marRight w:val="0"/>
      <w:marTop w:val="0"/>
      <w:marBottom w:val="0"/>
      <w:divBdr>
        <w:top w:val="none" w:sz="0" w:space="0" w:color="auto"/>
        <w:left w:val="none" w:sz="0" w:space="0" w:color="auto"/>
        <w:bottom w:val="none" w:sz="0" w:space="0" w:color="auto"/>
        <w:right w:val="none" w:sz="0" w:space="0" w:color="auto"/>
      </w:divBdr>
      <w:divsChild>
        <w:div w:id="2051882650">
          <w:marLeft w:val="0"/>
          <w:marRight w:val="0"/>
          <w:marTop w:val="0"/>
          <w:marBottom w:val="0"/>
          <w:divBdr>
            <w:top w:val="none" w:sz="0" w:space="0" w:color="auto"/>
            <w:left w:val="none" w:sz="0" w:space="0" w:color="auto"/>
            <w:bottom w:val="none" w:sz="0" w:space="0" w:color="auto"/>
            <w:right w:val="none" w:sz="0" w:space="0" w:color="auto"/>
          </w:divBdr>
          <w:divsChild>
            <w:div w:id="779302145">
              <w:marLeft w:val="0"/>
              <w:marRight w:val="0"/>
              <w:marTop w:val="0"/>
              <w:marBottom w:val="0"/>
              <w:divBdr>
                <w:top w:val="none" w:sz="0" w:space="0" w:color="auto"/>
                <w:left w:val="none" w:sz="0" w:space="0" w:color="auto"/>
                <w:bottom w:val="none" w:sz="0" w:space="0" w:color="auto"/>
                <w:right w:val="none" w:sz="0" w:space="0" w:color="auto"/>
              </w:divBdr>
              <w:divsChild>
                <w:div w:id="1015307001">
                  <w:marLeft w:val="0"/>
                  <w:marRight w:val="0"/>
                  <w:marTop w:val="0"/>
                  <w:marBottom w:val="0"/>
                  <w:divBdr>
                    <w:top w:val="none" w:sz="0" w:space="0" w:color="auto"/>
                    <w:left w:val="none" w:sz="0" w:space="0" w:color="auto"/>
                    <w:bottom w:val="none" w:sz="0" w:space="0" w:color="auto"/>
                    <w:right w:val="none" w:sz="0" w:space="0" w:color="auto"/>
                  </w:divBdr>
                  <w:divsChild>
                    <w:div w:id="1703508061">
                      <w:marLeft w:val="0"/>
                      <w:marRight w:val="0"/>
                      <w:marTop w:val="0"/>
                      <w:marBottom w:val="0"/>
                      <w:divBdr>
                        <w:top w:val="none" w:sz="0" w:space="0" w:color="auto"/>
                        <w:left w:val="none" w:sz="0" w:space="0" w:color="auto"/>
                        <w:bottom w:val="none" w:sz="0" w:space="0" w:color="auto"/>
                        <w:right w:val="none" w:sz="0" w:space="0" w:color="auto"/>
                      </w:divBdr>
                      <w:divsChild>
                        <w:div w:id="59255467">
                          <w:marLeft w:val="0"/>
                          <w:marRight w:val="0"/>
                          <w:marTop w:val="0"/>
                          <w:marBottom w:val="0"/>
                          <w:divBdr>
                            <w:top w:val="none" w:sz="0" w:space="0" w:color="auto"/>
                            <w:left w:val="none" w:sz="0" w:space="0" w:color="auto"/>
                            <w:bottom w:val="none" w:sz="0" w:space="0" w:color="auto"/>
                            <w:right w:val="none" w:sz="0" w:space="0" w:color="auto"/>
                          </w:divBdr>
                          <w:divsChild>
                            <w:div w:id="393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629415">
      <w:bodyDiv w:val="1"/>
      <w:marLeft w:val="0"/>
      <w:marRight w:val="0"/>
      <w:marTop w:val="0"/>
      <w:marBottom w:val="0"/>
      <w:divBdr>
        <w:top w:val="none" w:sz="0" w:space="0" w:color="auto"/>
        <w:left w:val="none" w:sz="0" w:space="0" w:color="auto"/>
        <w:bottom w:val="none" w:sz="0" w:space="0" w:color="auto"/>
        <w:right w:val="none" w:sz="0" w:space="0" w:color="auto"/>
      </w:divBdr>
      <w:divsChild>
        <w:div w:id="657195862">
          <w:marLeft w:val="0"/>
          <w:marRight w:val="0"/>
          <w:marTop w:val="0"/>
          <w:marBottom w:val="0"/>
          <w:divBdr>
            <w:top w:val="none" w:sz="0" w:space="0" w:color="auto"/>
            <w:left w:val="none" w:sz="0" w:space="0" w:color="auto"/>
            <w:bottom w:val="none" w:sz="0" w:space="0" w:color="auto"/>
            <w:right w:val="none" w:sz="0" w:space="0" w:color="auto"/>
          </w:divBdr>
          <w:divsChild>
            <w:div w:id="18383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8177">
      <w:bodyDiv w:val="1"/>
      <w:marLeft w:val="0"/>
      <w:marRight w:val="0"/>
      <w:marTop w:val="0"/>
      <w:marBottom w:val="0"/>
      <w:divBdr>
        <w:top w:val="none" w:sz="0" w:space="0" w:color="auto"/>
        <w:left w:val="none" w:sz="0" w:space="0" w:color="auto"/>
        <w:bottom w:val="none" w:sz="0" w:space="0" w:color="auto"/>
        <w:right w:val="none" w:sz="0" w:space="0" w:color="auto"/>
      </w:divBdr>
    </w:div>
    <w:div w:id="2123959200">
      <w:bodyDiv w:val="1"/>
      <w:marLeft w:val="0"/>
      <w:marRight w:val="0"/>
      <w:marTop w:val="0"/>
      <w:marBottom w:val="0"/>
      <w:divBdr>
        <w:top w:val="none" w:sz="0" w:space="0" w:color="auto"/>
        <w:left w:val="none" w:sz="0" w:space="0" w:color="auto"/>
        <w:bottom w:val="none" w:sz="0" w:space="0" w:color="auto"/>
        <w:right w:val="none" w:sz="0" w:space="0" w:color="auto"/>
      </w:divBdr>
      <w:divsChild>
        <w:div w:id="1135442863">
          <w:marLeft w:val="0"/>
          <w:marRight w:val="0"/>
          <w:marTop w:val="0"/>
          <w:marBottom w:val="0"/>
          <w:divBdr>
            <w:top w:val="none" w:sz="0" w:space="0" w:color="auto"/>
            <w:left w:val="none" w:sz="0" w:space="0" w:color="auto"/>
            <w:bottom w:val="none" w:sz="0" w:space="0" w:color="auto"/>
            <w:right w:val="none" w:sz="0" w:space="0" w:color="auto"/>
          </w:divBdr>
          <w:divsChild>
            <w:div w:id="18120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1416</Words>
  <Characters>808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Truchanovič</dc:creator>
  <cp:lastModifiedBy>Romanas Senapėdis</cp:lastModifiedBy>
  <cp:revision>5</cp:revision>
  <cp:lastPrinted>2014-07-16T08:25:00Z</cp:lastPrinted>
  <dcterms:created xsi:type="dcterms:W3CDTF">2021-10-01T12:36:00Z</dcterms:created>
  <dcterms:modified xsi:type="dcterms:W3CDTF">2021-10-20T12:25:00Z</dcterms:modified>
</cp:coreProperties>
</file>