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045371"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bookmarkStart w:id="0" w:name="_GoBack"/>
      <w:bookmarkEnd w:id="0"/>
    </w:p>
    <w:p w:rsidR="0032625D" w:rsidRPr="00045371" w:rsidRDefault="002677AA" w:rsidP="0032625D">
      <w:pPr>
        <w:jc w:val="center"/>
        <w:rPr>
          <w:rFonts w:eastAsia="Calibri"/>
          <w:b/>
          <w:lang w:val="lt-LT"/>
        </w:rPr>
      </w:pPr>
      <w:r w:rsidRPr="00045371">
        <w:rPr>
          <w:rFonts w:eastAsia="Calibri"/>
          <w:b/>
          <w:lang w:val="lt-LT"/>
        </w:rPr>
        <w:t>2021</w:t>
      </w:r>
      <w:r w:rsidR="0032625D" w:rsidRPr="00045371">
        <w:rPr>
          <w:rFonts w:eastAsia="Calibri"/>
          <w:b/>
          <w:lang w:val="lt-LT"/>
        </w:rPr>
        <w:t xml:space="preserve"> M. </w:t>
      </w:r>
      <w:r w:rsidR="001974E6" w:rsidRPr="00045371">
        <w:rPr>
          <w:rFonts w:eastAsia="Calibri"/>
          <w:b/>
          <w:lang w:val="lt-LT"/>
        </w:rPr>
        <w:t>GRUODŽIO 7</w:t>
      </w:r>
      <w:r w:rsidRPr="00045371">
        <w:rPr>
          <w:rFonts w:eastAsia="Calibri"/>
          <w:b/>
          <w:lang w:val="lt-LT"/>
        </w:rPr>
        <w:t xml:space="preserve"> D. </w:t>
      </w:r>
      <w:r w:rsidR="0032625D" w:rsidRPr="00045371">
        <w:rPr>
          <w:rFonts w:eastAsia="Calibri"/>
          <w:b/>
          <w:lang w:val="lt-LT"/>
        </w:rPr>
        <w:t xml:space="preserve">EUROPOS SĄJUNGOS EKONOMIKOS IR FINANSŲ REIKALŲ TARYBOS (ECOFIN) </w:t>
      </w:r>
      <w:r w:rsidR="00A43544" w:rsidRPr="00045371">
        <w:rPr>
          <w:rFonts w:eastAsia="Calibri"/>
          <w:b/>
          <w:lang w:val="lt-LT"/>
        </w:rPr>
        <w:t>SUSITIKIMAS</w:t>
      </w:r>
    </w:p>
    <w:p w:rsidR="004B217F" w:rsidRPr="00045371" w:rsidRDefault="004B217F">
      <w:pPr>
        <w:pStyle w:val="BodyA"/>
        <w:rPr>
          <w:rFonts w:ascii="Times New Roman Bold" w:eastAsia="Times New Roman Bold" w:hAnsi="Times New Roman Bold" w:cs="Times New Roman Bold"/>
          <w:lang w:val="lt-LT"/>
        </w:rPr>
      </w:pPr>
    </w:p>
    <w:p w:rsidR="004B217F" w:rsidRPr="00045371" w:rsidRDefault="004B217F" w:rsidP="00BA186A">
      <w:pPr>
        <w:pStyle w:val="BodyA"/>
        <w:jc w:val="center"/>
        <w:rPr>
          <w:rFonts w:ascii="Times New Roman Bold"/>
          <w:caps/>
          <w:lang w:val="lt-LT"/>
        </w:rPr>
      </w:pPr>
    </w:p>
    <w:tbl>
      <w:tblPr>
        <w:tblW w:w="101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78"/>
      </w:tblGrid>
      <w:tr w:rsidR="004B217F" w:rsidRPr="00045371" w:rsidTr="00191C42">
        <w:trPr>
          <w:trHeight w:val="908"/>
        </w:trPr>
        <w:tc>
          <w:tcPr>
            <w:tcW w:w="101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C6662" w:rsidRPr="00045371" w:rsidRDefault="0032625D" w:rsidP="00A32B88">
            <w:pPr>
              <w:pStyle w:val="BodyA"/>
              <w:jc w:val="both"/>
              <w:rPr>
                <w:rFonts w:hAnsi="Times New Roman" w:cs="Times New Roman"/>
                <w:b/>
                <w:lang w:val="lt-LT"/>
              </w:rPr>
            </w:pPr>
            <w:r w:rsidRPr="00045371">
              <w:rPr>
                <w:rFonts w:hAnsi="Times New Roman" w:cs="Times New Roman"/>
                <w:b/>
                <w:lang w:val="lt-LT"/>
              </w:rPr>
              <w:t>1.</w:t>
            </w:r>
            <w:r w:rsidR="003A34D7" w:rsidRPr="00045371">
              <w:rPr>
                <w:rFonts w:hAnsi="Times New Roman" w:cs="Times New Roman"/>
                <w:b/>
                <w:lang w:val="lt-LT"/>
              </w:rPr>
              <w:t xml:space="preserve"> </w:t>
            </w:r>
            <w:r w:rsidR="0014282B" w:rsidRPr="00045371">
              <w:rPr>
                <w:rFonts w:hAnsi="Times New Roman" w:cs="Times New Roman"/>
                <w:b/>
                <w:lang w:val="lt-LT"/>
              </w:rPr>
              <w:t xml:space="preserve">Pasiūlymas dėl Tarybos direktyvos dėl pridėtinės vertės mokesčio </w:t>
            </w:r>
            <w:r w:rsidR="009C6662" w:rsidRPr="00045371">
              <w:rPr>
                <w:rFonts w:hAnsi="Times New Roman" w:cs="Times New Roman"/>
                <w:lang w:val="lt-LT"/>
              </w:rPr>
              <w:t>(</w:t>
            </w:r>
            <w:r w:rsidR="0014282B" w:rsidRPr="00045371">
              <w:rPr>
                <w:rFonts w:hAnsi="Times New Roman" w:cs="Times New Roman"/>
                <w:i/>
                <w:lang w:val="lt-LT"/>
              </w:rPr>
              <w:t>Bendrasis požiūris</w:t>
            </w:r>
            <w:r w:rsidR="009C6662" w:rsidRPr="00045371">
              <w:rPr>
                <w:rFonts w:hAnsi="Times New Roman" w:cs="Times New Roman"/>
                <w:lang w:val="lt-LT"/>
              </w:rPr>
              <w:t>)</w:t>
            </w:r>
          </w:p>
          <w:p w:rsidR="003E1173" w:rsidRPr="00045371" w:rsidRDefault="00FD34ED" w:rsidP="003E1173">
            <w:pPr>
              <w:pStyle w:val="BodyA"/>
              <w:jc w:val="both"/>
              <w:rPr>
                <w:rFonts w:hAnsi="Times New Roman" w:cs="Times New Roman"/>
                <w:lang w:val="lt-LT"/>
              </w:rPr>
            </w:pPr>
            <w:r w:rsidRPr="00045371">
              <w:rPr>
                <w:rFonts w:hAnsi="Times New Roman" w:cs="Times New Roman"/>
                <w:b/>
                <w:u w:val="single"/>
                <w:lang w:val="lt-LT"/>
              </w:rPr>
              <w:t>Klausimo esmė:</w:t>
            </w:r>
            <w:r w:rsidR="00EE1216" w:rsidRPr="00045371">
              <w:rPr>
                <w:rFonts w:hAnsi="Times New Roman" w:cs="Times New Roman"/>
                <w:lang w:val="lt-LT"/>
              </w:rPr>
              <w:t xml:space="preserve"> </w:t>
            </w:r>
            <w:r w:rsidR="003E1173" w:rsidRPr="00045371">
              <w:rPr>
                <w:rFonts w:hAnsi="Times New Roman" w:cs="Times New Roman"/>
                <w:lang w:val="lt-LT"/>
              </w:rPr>
              <w:t>Europos Komisija (toliau – EK) pasiūlymą dėl PVM tarifų pristatė 2018 m. pradžioje kaip vieną iš PVM paketo, kuriuo siekiama modernizuoti dabartinę ES PVM sistemą, dalių. Pasiūlymo tikslas - suteikti valstybėms narėms (toliau - VN) daugiau lankstumo, sprendžiant lengvatinių PVM ta</w:t>
            </w:r>
            <w:r w:rsidR="009E0BC7">
              <w:rPr>
                <w:rFonts w:hAnsi="Times New Roman" w:cs="Times New Roman"/>
                <w:lang w:val="lt-LT"/>
              </w:rPr>
              <w:t>r</w:t>
            </w:r>
            <w:r w:rsidR="009E0BC7">
              <w:rPr>
                <w:rFonts w:hAnsi="Times New Roman" w:cs="Times New Roman"/>
                <w:lang w:val="lt-LT"/>
              </w:rPr>
              <w:t>i</w:t>
            </w:r>
            <w:r w:rsidR="003E1173" w:rsidRPr="00045371">
              <w:rPr>
                <w:rFonts w:hAnsi="Times New Roman" w:cs="Times New Roman"/>
                <w:lang w:val="lt-LT"/>
              </w:rPr>
              <w:t>fų taikymo klausimus. VN turėtų užtikrinti, kad PVM lengvatos būtų naudingos galutiniam vartotojui ir taiko</w:t>
            </w:r>
            <w:r w:rsidR="00D24447" w:rsidRPr="00045371">
              <w:rPr>
                <w:rFonts w:hAnsi="Times New Roman" w:cs="Times New Roman"/>
                <w:lang w:val="lt-LT"/>
              </w:rPr>
              <w:t>mos bendrojo intereso tikslais.</w:t>
            </w:r>
            <w:r w:rsidR="003E1173" w:rsidRPr="00045371">
              <w:rPr>
                <w:rFonts w:hAnsi="Times New Roman" w:cs="Times New Roman"/>
                <w:lang w:val="lt-LT"/>
              </w:rPr>
              <w:t xml:space="preserve"> EK siūlė diskutuoti dėl neigiamo sąrašo sudarymo (t.y. sudaryti prekių ir paslaugų, kurioms lengvatiniai PVM tarifai negali būti taikomi, sąrašus), tačiau vėliau diskus</w:t>
            </w:r>
            <w:r w:rsidR="003E1173" w:rsidRPr="00045371">
              <w:rPr>
                <w:rFonts w:hAnsi="Times New Roman" w:cs="Times New Roman"/>
                <w:lang w:val="lt-LT"/>
              </w:rPr>
              <w:t>i</w:t>
            </w:r>
            <w:r w:rsidR="003E1173" w:rsidRPr="00045371">
              <w:rPr>
                <w:rFonts w:hAnsi="Times New Roman" w:cs="Times New Roman"/>
                <w:lang w:val="lt-LT"/>
              </w:rPr>
              <w:t xml:space="preserve">jos vyko teigiamo sąrašo pagrindu, nes dauguma VN pasisakė už šiuo metu PVM direktyvoje esančio teigiamo sąrašo atnaujinimą. </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Kiti svarbesni pakeitimai:</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 xml:space="preserve">1. 0 proc. ir super lengvatinių (&lt;5 proc.) PVM tarifų taikymo srities ribojimai – VN galėtų juos taikyti tik 7-ioms prekių ir paslaugų kategorijoms (maisto produktai, vanduo, farmaciniai produktai, medicinos įranga, transporto paslaugos, knygos, laikraščiai, saulės baterijų tiekimas ir montavimas privačiuose gyvenamuosiuose namuose ir visuomeniniuose pastatuose). </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2. Lengvatinių (5 proc. ir daugiau) PVM tarifų taikymo srities ribojimai – VN galėtų taikyti ne daugiau kaip du tarifus 24-ioms III priedo kategorijoms.</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3. Galimybė visoms VN vienodomis sąlygomis taikyti tarpinius tarifus (</w:t>
            </w:r>
            <w:proofErr w:type="spellStart"/>
            <w:r w:rsidRPr="00045371">
              <w:rPr>
                <w:rFonts w:hAnsi="Times New Roman" w:cs="Times New Roman"/>
                <w:lang w:val="lt-LT"/>
              </w:rPr>
              <w:t>ang</w:t>
            </w:r>
            <w:proofErr w:type="spellEnd"/>
            <w:r w:rsidRPr="00045371">
              <w:rPr>
                <w:rFonts w:hAnsi="Times New Roman" w:cs="Times New Roman"/>
                <w:lang w:val="lt-LT"/>
              </w:rPr>
              <w:t xml:space="preserve">. </w:t>
            </w:r>
            <w:proofErr w:type="spellStart"/>
            <w:r w:rsidRPr="00045371">
              <w:rPr>
                <w:rFonts w:hAnsi="Times New Roman" w:cs="Times New Roman"/>
                <w:i/>
                <w:lang w:val="lt-LT"/>
              </w:rPr>
              <w:t>parking</w:t>
            </w:r>
            <w:proofErr w:type="spellEnd"/>
            <w:r w:rsidRPr="00045371">
              <w:rPr>
                <w:rFonts w:hAnsi="Times New Roman" w:cs="Times New Roman"/>
                <w:i/>
                <w:lang w:val="lt-LT"/>
              </w:rPr>
              <w:t xml:space="preserve"> </w:t>
            </w:r>
            <w:proofErr w:type="spellStart"/>
            <w:r w:rsidRPr="00045371">
              <w:rPr>
                <w:rFonts w:hAnsi="Times New Roman" w:cs="Times New Roman"/>
                <w:i/>
                <w:lang w:val="lt-LT"/>
              </w:rPr>
              <w:t>rates</w:t>
            </w:r>
            <w:proofErr w:type="spellEnd"/>
            <w:r w:rsidRPr="00045371">
              <w:rPr>
                <w:rFonts w:hAnsi="Times New Roman" w:cs="Times New Roman"/>
                <w:lang w:val="lt-LT"/>
              </w:rPr>
              <w:t>) (&gt;12 proc.).</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3. Biudžetinio saugiklio įvedimo atsisakymas (neįvedimas). Siekiant išvengti neriboto PVM lengvatų nustatymo ir makroekonomikos disbalanso, EK siūlė nustatyti 12 proc. dydžio svertinio vidurkio (WAR) dydžio biudžetinį saugiklį. Tačiau vėliau saugiklio įvedimo buvo atsisakyta dėl įvestų PVM tarifų taikymo srities ribojimų.</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4. Lengvatinių PVM tarifų taikymo galimybė stichinių nelaimių atvejais.</w:t>
            </w:r>
          </w:p>
          <w:p w:rsidR="003E1173" w:rsidRPr="00045371" w:rsidRDefault="00D24447" w:rsidP="003E1173">
            <w:pPr>
              <w:pStyle w:val="BodyA"/>
              <w:jc w:val="both"/>
              <w:rPr>
                <w:rFonts w:hAnsi="Times New Roman" w:cs="Times New Roman"/>
                <w:lang w:val="lt-LT"/>
              </w:rPr>
            </w:pPr>
            <w:r w:rsidRPr="00045371">
              <w:rPr>
                <w:rFonts w:hAnsi="Times New Roman" w:cs="Times New Roman"/>
                <w:lang w:val="lt-LT"/>
              </w:rPr>
              <w:t>5. Sustabdymo sąlygų (</w:t>
            </w:r>
            <w:proofErr w:type="spellStart"/>
            <w:r w:rsidRPr="00045371">
              <w:rPr>
                <w:rFonts w:hAnsi="Times New Roman" w:cs="Times New Roman"/>
                <w:lang w:val="lt-LT"/>
              </w:rPr>
              <w:t>ang</w:t>
            </w:r>
            <w:proofErr w:type="spellEnd"/>
            <w:r w:rsidRPr="00045371">
              <w:rPr>
                <w:rFonts w:hAnsi="Times New Roman" w:cs="Times New Roman"/>
                <w:lang w:val="lt-LT"/>
              </w:rPr>
              <w:t>.</w:t>
            </w:r>
            <w:r w:rsidR="003E1173" w:rsidRPr="00045371">
              <w:rPr>
                <w:rFonts w:hAnsi="Times New Roman" w:cs="Times New Roman"/>
                <w:i/>
                <w:lang w:val="lt-LT"/>
              </w:rPr>
              <w:t xml:space="preserve"> </w:t>
            </w:r>
            <w:proofErr w:type="spellStart"/>
            <w:r w:rsidR="003E1173" w:rsidRPr="00045371">
              <w:rPr>
                <w:rFonts w:hAnsi="Times New Roman" w:cs="Times New Roman"/>
                <w:i/>
                <w:lang w:val="lt-LT"/>
              </w:rPr>
              <w:t>standstill</w:t>
            </w:r>
            <w:proofErr w:type="spellEnd"/>
            <w:r w:rsidR="003E1173" w:rsidRPr="00045371">
              <w:rPr>
                <w:rFonts w:hAnsi="Times New Roman" w:cs="Times New Roman"/>
                <w:i/>
                <w:lang w:val="lt-LT"/>
              </w:rPr>
              <w:t xml:space="preserve"> </w:t>
            </w:r>
            <w:proofErr w:type="spellStart"/>
            <w:r w:rsidR="003E1173" w:rsidRPr="00045371">
              <w:rPr>
                <w:rFonts w:hAnsi="Times New Roman" w:cs="Times New Roman"/>
                <w:i/>
                <w:lang w:val="lt-LT"/>
              </w:rPr>
              <w:t>clause</w:t>
            </w:r>
            <w:proofErr w:type="spellEnd"/>
            <w:r w:rsidR="003E1173" w:rsidRPr="00045371">
              <w:rPr>
                <w:rFonts w:hAnsi="Times New Roman" w:cs="Times New Roman"/>
                <w:lang w:val="lt-LT"/>
              </w:rPr>
              <w:t>), t.y. taikymo pabaigos termino, nustatymas:</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 šiuo metu VN turimoms išlygoms taikan</w:t>
            </w:r>
            <w:r w:rsidR="00D24447" w:rsidRPr="00045371">
              <w:rPr>
                <w:rFonts w:hAnsi="Times New Roman" w:cs="Times New Roman"/>
                <w:lang w:val="lt-LT"/>
              </w:rPr>
              <w:t>t lengvatinius, tarpinius (</w:t>
            </w:r>
            <w:proofErr w:type="spellStart"/>
            <w:r w:rsidRPr="00045371">
              <w:rPr>
                <w:rFonts w:hAnsi="Times New Roman" w:cs="Times New Roman"/>
                <w:i/>
                <w:lang w:val="lt-LT"/>
              </w:rPr>
              <w:t>parking</w:t>
            </w:r>
            <w:proofErr w:type="spellEnd"/>
            <w:r w:rsidRPr="00045371">
              <w:rPr>
                <w:rFonts w:hAnsi="Times New Roman" w:cs="Times New Roman"/>
                <w:i/>
                <w:lang w:val="lt-LT"/>
              </w:rPr>
              <w:t xml:space="preserve"> rate</w:t>
            </w:r>
            <w:r w:rsidRPr="00045371">
              <w:rPr>
                <w:rFonts w:hAnsi="Times New Roman" w:cs="Times New Roman"/>
                <w:lang w:val="lt-LT"/>
              </w:rPr>
              <w:t>), nulinius arba super lengvatinius tarifus, atleidimus nuo mokesčio su PVM atskaita arba be jos, neatitinkančioms bendrųjų PVM tarifų principų;</w:t>
            </w:r>
          </w:p>
          <w:p w:rsidR="003E1173" w:rsidRPr="00045371" w:rsidRDefault="003E1173" w:rsidP="003E1173">
            <w:pPr>
              <w:pStyle w:val="BodyA"/>
              <w:jc w:val="both"/>
              <w:rPr>
                <w:rFonts w:hAnsi="Times New Roman" w:cs="Times New Roman"/>
                <w:lang w:val="lt-LT"/>
              </w:rPr>
            </w:pPr>
            <w:r w:rsidRPr="00045371">
              <w:rPr>
                <w:rFonts w:hAnsi="Times New Roman" w:cs="Times New Roman"/>
                <w:lang w:val="lt-LT"/>
              </w:rPr>
              <w:t>- prekių kategorijoms, neatitinkanči</w:t>
            </w:r>
            <w:r w:rsidR="00D24447" w:rsidRPr="00045371">
              <w:rPr>
                <w:rFonts w:hAnsi="Times New Roman" w:cs="Times New Roman"/>
                <w:lang w:val="lt-LT"/>
              </w:rPr>
              <w:t>oms išvadų dėl klimato kaitos,</w:t>
            </w:r>
            <w:r w:rsidRPr="00045371">
              <w:rPr>
                <w:rFonts w:hAnsi="Times New Roman" w:cs="Times New Roman"/>
                <w:lang w:val="lt-LT"/>
              </w:rPr>
              <w:t xml:space="preserve"> gamtinėms dujoms ir malkoms, cheminiams pesticidams ir cheminėms trąšoms. </w:t>
            </w:r>
          </w:p>
          <w:p w:rsidR="00406FB1" w:rsidRPr="00045371" w:rsidRDefault="003E1173" w:rsidP="003E1173">
            <w:pPr>
              <w:pStyle w:val="BodyA"/>
              <w:jc w:val="both"/>
              <w:rPr>
                <w:rFonts w:hAnsi="Times New Roman" w:cs="Times New Roman"/>
                <w:highlight w:val="yellow"/>
                <w:lang w:val="lt-LT"/>
              </w:rPr>
            </w:pPr>
            <w:r w:rsidRPr="00045371">
              <w:rPr>
                <w:rFonts w:hAnsi="Times New Roman" w:cs="Times New Roman"/>
                <w:lang w:val="lt-LT"/>
              </w:rPr>
              <w:t>Šiuo met</w:t>
            </w:r>
            <w:r w:rsidR="00D24447" w:rsidRPr="00045371">
              <w:rPr>
                <w:rFonts w:hAnsi="Times New Roman" w:cs="Times New Roman"/>
                <w:lang w:val="lt-LT"/>
              </w:rPr>
              <w:t>u Pirmininkaujanti VN kviečia šalis</w:t>
            </w:r>
            <w:r w:rsidRPr="00045371">
              <w:rPr>
                <w:rFonts w:hAnsi="Times New Roman" w:cs="Times New Roman"/>
                <w:lang w:val="lt-LT"/>
              </w:rPr>
              <w:t>, siekiant kompromiso, atsiimti išlygas ir pasiekti susitar</w:t>
            </w:r>
            <w:r w:rsidRPr="00045371">
              <w:rPr>
                <w:rFonts w:hAnsi="Times New Roman" w:cs="Times New Roman"/>
                <w:lang w:val="lt-LT"/>
              </w:rPr>
              <w:t>i</w:t>
            </w:r>
            <w:r w:rsidRPr="00045371">
              <w:rPr>
                <w:rFonts w:hAnsi="Times New Roman" w:cs="Times New Roman"/>
                <w:lang w:val="lt-LT"/>
              </w:rPr>
              <w:t>mą (bendrą požiūrį).</w:t>
            </w:r>
          </w:p>
          <w:p w:rsidR="001B199F" w:rsidRPr="00045371" w:rsidRDefault="001B199F" w:rsidP="001B199F">
            <w:pPr>
              <w:pStyle w:val="BodyA"/>
              <w:jc w:val="both"/>
              <w:rPr>
                <w:rFonts w:eastAsia="Times New Roman Bold" w:hAnsi="Times New Roman" w:cs="Times New Roman"/>
                <w:u w:val="single"/>
                <w:lang w:val="lt-LT"/>
              </w:rPr>
            </w:pPr>
          </w:p>
          <w:p w:rsidR="00BE1AD4" w:rsidRPr="00045371" w:rsidRDefault="00EE1216" w:rsidP="008419A6">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lang w:val="lt-LT"/>
              </w:rPr>
              <w:t xml:space="preserve"> </w:t>
            </w:r>
            <w:r w:rsidR="000E685F" w:rsidRPr="00045371">
              <w:rPr>
                <w:rFonts w:hAnsi="Times New Roman" w:cs="Times New Roman"/>
                <w:lang w:val="lt-LT"/>
              </w:rPr>
              <w:t>P</w:t>
            </w:r>
            <w:r w:rsidR="003E1173" w:rsidRPr="00045371">
              <w:rPr>
                <w:rFonts w:hAnsi="Times New Roman" w:cs="Times New Roman"/>
                <w:lang w:val="lt-LT"/>
              </w:rPr>
              <w:t>ritarti kompromisiniam pasiūlymui.</w:t>
            </w:r>
          </w:p>
          <w:p w:rsidR="007F5B19" w:rsidRPr="00045371" w:rsidRDefault="007F5B19" w:rsidP="003A34D7">
            <w:pPr>
              <w:pStyle w:val="BodyA"/>
              <w:jc w:val="both"/>
              <w:rPr>
                <w:rFonts w:hAnsi="Times New Roman" w:cs="Times New Roman"/>
                <w:lang w:val="lt-LT"/>
              </w:rPr>
            </w:pPr>
          </w:p>
          <w:p w:rsidR="00B9215C" w:rsidRPr="00045371" w:rsidRDefault="0032625D" w:rsidP="00B9215C">
            <w:pPr>
              <w:rPr>
                <w:rFonts w:asciiTheme="majorBidi" w:hAnsiTheme="majorBidi" w:cstheme="majorBidi"/>
                <w:lang w:val="lt-LT"/>
              </w:rPr>
            </w:pPr>
            <w:r w:rsidRPr="00045371">
              <w:rPr>
                <w:b/>
                <w:lang w:val="lt-LT"/>
              </w:rPr>
              <w:t xml:space="preserve">2. </w:t>
            </w:r>
            <w:r w:rsidR="00B9215C" w:rsidRPr="00045371">
              <w:rPr>
                <w:rFonts w:asciiTheme="majorBidi" w:hAnsiTheme="majorBidi" w:cstheme="majorBidi"/>
                <w:b/>
                <w:lang w:val="lt-LT"/>
              </w:rPr>
              <w:t>Fit for 55 paketo pasiūlymai (CBAM, ETD and SCF)</w:t>
            </w:r>
            <w:r w:rsidR="00B9215C" w:rsidRPr="00045371">
              <w:rPr>
                <w:rFonts w:asciiTheme="majorBidi" w:hAnsiTheme="majorBidi" w:cstheme="majorBidi"/>
                <w:lang w:val="lt-LT"/>
              </w:rPr>
              <w:t xml:space="preserve"> (</w:t>
            </w:r>
            <w:r w:rsidR="00B9215C" w:rsidRPr="00045371">
              <w:rPr>
                <w:rFonts w:asciiTheme="majorBidi" w:hAnsiTheme="majorBidi" w:cstheme="majorBidi"/>
                <w:i/>
                <w:iCs/>
                <w:lang w:val="lt-LT"/>
              </w:rPr>
              <w:t>Pažangos ataskaita)</w:t>
            </w:r>
          </w:p>
          <w:p w:rsidR="00B9215C" w:rsidRPr="00045371" w:rsidRDefault="00B9215C" w:rsidP="00A32B88">
            <w:pPr>
              <w:pStyle w:val="BodyA"/>
              <w:jc w:val="both"/>
              <w:rPr>
                <w:rFonts w:hAnsi="Times New Roman" w:cs="Times New Roman"/>
                <w:b/>
                <w:lang w:val="lt-LT"/>
              </w:rPr>
            </w:pPr>
            <w:r w:rsidRPr="00045371">
              <w:rPr>
                <w:rFonts w:hAnsi="Times New Roman" w:cs="Times New Roman"/>
                <w:b/>
                <w:lang w:val="lt-LT"/>
              </w:rPr>
              <w:t>Klausimas bus perkeltas į nediskusinius ECOFIN klausimus darbotvarkės A dalyje.</w:t>
            </w:r>
          </w:p>
          <w:p w:rsidR="00B9215C" w:rsidRPr="00045371" w:rsidRDefault="00B9215C" w:rsidP="00A32B88">
            <w:pPr>
              <w:pStyle w:val="BodyA"/>
              <w:jc w:val="both"/>
              <w:rPr>
                <w:rFonts w:hAnsi="Times New Roman" w:cs="Times New Roman"/>
                <w:b/>
                <w:lang w:val="lt-LT"/>
              </w:rPr>
            </w:pPr>
          </w:p>
          <w:p w:rsidR="00A32B88" w:rsidRPr="00045371" w:rsidRDefault="00B9215C" w:rsidP="00A32B88">
            <w:pPr>
              <w:pStyle w:val="BodyA"/>
              <w:jc w:val="both"/>
              <w:rPr>
                <w:rFonts w:hAnsi="Times New Roman" w:cs="Times New Roman"/>
                <w:b/>
                <w:lang w:val="lt-LT"/>
              </w:rPr>
            </w:pPr>
            <w:r w:rsidRPr="00045371">
              <w:rPr>
                <w:rFonts w:hAnsi="Times New Roman" w:cs="Times New Roman"/>
                <w:b/>
                <w:lang w:val="lt-LT"/>
              </w:rPr>
              <w:t xml:space="preserve">3. </w:t>
            </w:r>
            <w:r w:rsidR="0014282B" w:rsidRPr="00045371">
              <w:rPr>
                <w:rFonts w:hAnsi="Times New Roman" w:cs="Times New Roman"/>
                <w:b/>
                <w:lang w:val="lt-LT"/>
              </w:rPr>
              <w:t xml:space="preserve">Bankų sąjungos stiprinimas </w:t>
            </w:r>
            <w:r w:rsidR="0014282B" w:rsidRPr="00045371">
              <w:rPr>
                <w:rFonts w:hAnsi="Times New Roman" w:cs="Times New Roman"/>
                <w:i/>
                <w:lang w:val="lt-LT"/>
              </w:rPr>
              <w:t>(Pažangos ataskaita</w:t>
            </w:r>
            <w:r w:rsidR="00A32B88" w:rsidRPr="00045371">
              <w:rPr>
                <w:rFonts w:hAnsi="Times New Roman" w:cs="Times New Roman"/>
                <w:i/>
                <w:lang w:val="lt-LT"/>
              </w:rPr>
              <w:t>)</w:t>
            </w:r>
          </w:p>
          <w:p w:rsidR="00F85FA9" w:rsidRPr="00045371" w:rsidRDefault="00A32B88" w:rsidP="00F85FA9">
            <w:pPr>
              <w:contextualSpacing/>
              <w:jc w:val="both"/>
              <w:rPr>
                <w:lang w:val="lt-LT"/>
              </w:rPr>
            </w:pPr>
            <w:r w:rsidRPr="00045371">
              <w:rPr>
                <w:b/>
                <w:u w:val="single"/>
                <w:lang w:val="lt-LT"/>
              </w:rPr>
              <w:t>Klausimo esmė:</w:t>
            </w:r>
            <w:r w:rsidRPr="00045371">
              <w:rPr>
                <w:lang w:val="lt-LT"/>
              </w:rPr>
              <w:t xml:space="preserve"> </w:t>
            </w:r>
            <w:r w:rsidR="00F85FA9" w:rsidRPr="00045371">
              <w:rPr>
                <w:lang w:val="lt-LT"/>
              </w:rPr>
              <w:t>ES Tarybos Aukšto lygio darbo grupės pirmininkas ministrams pristatys Bankų sąju</w:t>
            </w:r>
            <w:r w:rsidR="00F85FA9" w:rsidRPr="00045371">
              <w:rPr>
                <w:lang w:val="lt-LT"/>
              </w:rPr>
              <w:t>n</w:t>
            </w:r>
            <w:r w:rsidR="00F85FA9" w:rsidRPr="00045371">
              <w:rPr>
                <w:lang w:val="lt-LT"/>
              </w:rPr>
              <w:t>gos (toliau – BS) stiprinimo pažangos ataskaitą.  ES Tarybai pirmininkaujanti Slovėnija siekė pažangos kuriant BS, taip pat buvo tęsiamas rizikos</w:t>
            </w:r>
            <w:r w:rsidR="00D24447" w:rsidRPr="00045371">
              <w:rPr>
                <w:lang w:val="lt-LT"/>
              </w:rPr>
              <w:t xml:space="preserve"> mažinimo priemonių stebėjimas</w:t>
            </w:r>
            <w:r w:rsidR="00F85FA9" w:rsidRPr="00045371">
              <w:rPr>
                <w:lang w:val="lt-LT"/>
              </w:rPr>
              <w:t>. Pažangos ataskaitoje išsk</w:t>
            </w:r>
            <w:r w:rsidR="00F85FA9" w:rsidRPr="00045371">
              <w:rPr>
                <w:lang w:val="lt-LT"/>
              </w:rPr>
              <w:t>i</w:t>
            </w:r>
            <w:r w:rsidR="00F85FA9" w:rsidRPr="00045371">
              <w:rPr>
                <w:lang w:val="lt-LT"/>
              </w:rPr>
              <w:t xml:space="preserve">riamos šios pagrindinės Slovėnijos pirmininkavimo </w:t>
            </w:r>
            <w:r w:rsidR="00D24447" w:rsidRPr="00045371">
              <w:rPr>
                <w:lang w:val="lt-LT"/>
              </w:rPr>
              <w:t xml:space="preserve">metu </w:t>
            </w:r>
            <w:r w:rsidR="00F85FA9" w:rsidRPr="00045371">
              <w:rPr>
                <w:lang w:val="lt-LT"/>
              </w:rPr>
              <w:t>nagrinėtos temos, susijusios su krizės vald</w:t>
            </w:r>
            <w:r w:rsidR="00F85FA9" w:rsidRPr="00045371">
              <w:rPr>
                <w:lang w:val="lt-LT"/>
              </w:rPr>
              <w:t>y</w:t>
            </w:r>
            <w:r w:rsidR="00F85FA9" w:rsidRPr="00045371">
              <w:rPr>
                <w:lang w:val="lt-LT"/>
              </w:rPr>
              <w:t>mo ir indėlių draudimo teisinės sistemos elementais:</w:t>
            </w:r>
          </w:p>
          <w:p w:rsidR="00F85FA9" w:rsidRPr="00045371" w:rsidRDefault="00F85FA9" w:rsidP="00F85FA9">
            <w:pPr>
              <w:tabs>
                <w:tab w:val="left" w:pos="176"/>
              </w:tabs>
              <w:contextualSpacing/>
              <w:jc w:val="both"/>
              <w:rPr>
                <w:lang w:val="lt-LT"/>
              </w:rPr>
            </w:pPr>
            <w:r w:rsidRPr="00045371">
              <w:rPr>
                <w:lang w:val="lt-LT"/>
              </w:rPr>
              <w:t>•</w:t>
            </w:r>
            <w:r w:rsidRPr="00045371">
              <w:rPr>
                <w:lang w:val="lt-LT"/>
              </w:rPr>
              <w:tab/>
              <w:t xml:space="preserve">Europos bankininkystės institucijos pristatyta nuomonė dėl galimų finansavimo (išorinių ir vidinių) šaltinių, siekiant suvaldyti galimus bankų žlugimus, taikant pertvarkymo ir nemokumo procedūras. Taip pat sąlygų dėl prieigos prie išorinio finansavimo įvertinimas. </w:t>
            </w:r>
          </w:p>
          <w:p w:rsidR="00F85FA9" w:rsidRPr="00045371" w:rsidRDefault="00F85FA9" w:rsidP="00F85FA9">
            <w:pPr>
              <w:tabs>
                <w:tab w:val="left" w:pos="176"/>
              </w:tabs>
              <w:contextualSpacing/>
              <w:jc w:val="both"/>
              <w:rPr>
                <w:lang w:val="lt-LT"/>
              </w:rPr>
            </w:pPr>
            <w:r w:rsidRPr="00045371">
              <w:rPr>
                <w:lang w:val="lt-LT"/>
              </w:rPr>
              <w:t>•</w:t>
            </w:r>
            <w:r w:rsidRPr="00045371">
              <w:rPr>
                <w:lang w:val="lt-LT"/>
              </w:rPr>
              <w:tab/>
              <w:t>Pertvarkymo finansavimas sektoriaus lėšomis, gelbėjimo privačiomis lėšomis priemonės taikymas neapdraustų indėlių atžvilgiu ir valstybės pagalbos naudojimas. Aptartas dokumentas, kuriame dėmesys skiriamas specialiems ES pertvarkymo modelio patobulinimams, siūlant praplėsti tinkamų indėlių (</w:t>
            </w:r>
            <w:proofErr w:type="spellStart"/>
            <w:r w:rsidRPr="00045371">
              <w:rPr>
                <w:i/>
                <w:lang w:val="lt-LT"/>
              </w:rPr>
              <w:t>el</w:t>
            </w:r>
            <w:r w:rsidRPr="00045371">
              <w:rPr>
                <w:i/>
                <w:lang w:val="lt-LT"/>
              </w:rPr>
              <w:t>i</w:t>
            </w:r>
            <w:r w:rsidRPr="00045371">
              <w:rPr>
                <w:i/>
                <w:lang w:val="lt-LT"/>
              </w:rPr>
              <w:lastRenderedPageBreak/>
              <w:t>gible</w:t>
            </w:r>
            <w:proofErr w:type="spellEnd"/>
            <w:r w:rsidRPr="00045371">
              <w:rPr>
                <w:i/>
                <w:lang w:val="lt-LT"/>
              </w:rPr>
              <w:t xml:space="preserve"> </w:t>
            </w:r>
            <w:proofErr w:type="spellStart"/>
            <w:r w:rsidRPr="00045371">
              <w:rPr>
                <w:i/>
                <w:lang w:val="lt-LT"/>
              </w:rPr>
              <w:t>deposits</w:t>
            </w:r>
            <w:proofErr w:type="spellEnd"/>
            <w:r w:rsidRPr="00045371">
              <w:rPr>
                <w:lang w:val="lt-LT"/>
              </w:rPr>
              <w:t>) apsaugą.</w:t>
            </w:r>
          </w:p>
          <w:p w:rsidR="00F85FA9" w:rsidRPr="00045371" w:rsidRDefault="00F85FA9" w:rsidP="00F85FA9">
            <w:pPr>
              <w:tabs>
                <w:tab w:val="left" w:pos="176"/>
              </w:tabs>
              <w:contextualSpacing/>
              <w:jc w:val="both"/>
              <w:rPr>
                <w:lang w:val="lt-LT"/>
              </w:rPr>
            </w:pPr>
            <w:r w:rsidRPr="00045371">
              <w:rPr>
                <w:lang w:val="lt-LT"/>
              </w:rPr>
              <w:t>•</w:t>
            </w:r>
            <w:r w:rsidRPr="00045371">
              <w:rPr>
                <w:lang w:val="lt-LT"/>
              </w:rPr>
              <w:tab/>
              <w:t>Galimas likvidavimo (</w:t>
            </w:r>
            <w:proofErr w:type="spellStart"/>
            <w:r w:rsidRPr="00045371">
              <w:rPr>
                <w:i/>
                <w:lang w:val="lt-LT"/>
              </w:rPr>
              <w:t>winding-up</w:t>
            </w:r>
            <w:r w:rsidRPr="00045371">
              <w:rPr>
                <w:lang w:val="lt-LT"/>
              </w:rPr>
              <w:t>)</w:t>
            </w:r>
            <w:proofErr w:type="spellEnd"/>
            <w:r w:rsidRPr="00045371">
              <w:rPr>
                <w:lang w:val="lt-LT"/>
              </w:rPr>
              <w:t xml:space="preserve"> procedūrų harmonizavimas: aptartas santykis tarp pertvarkymo režimo, bankų likvidavimo (</w:t>
            </w:r>
            <w:proofErr w:type="spellStart"/>
            <w:r w:rsidRPr="00045371">
              <w:rPr>
                <w:i/>
                <w:lang w:val="lt-LT"/>
              </w:rPr>
              <w:t>winding-up</w:t>
            </w:r>
            <w:r w:rsidRPr="00045371">
              <w:rPr>
                <w:lang w:val="lt-LT"/>
              </w:rPr>
              <w:t>)</w:t>
            </w:r>
            <w:proofErr w:type="spellEnd"/>
            <w:r w:rsidRPr="00045371">
              <w:rPr>
                <w:lang w:val="lt-LT"/>
              </w:rPr>
              <w:t xml:space="preserve"> procedūrų bei normalaus nemokumo proceso koncepcijos p</w:t>
            </w:r>
            <w:r w:rsidRPr="00045371">
              <w:rPr>
                <w:lang w:val="lt-LT"/>
              </w:rPr>
              <w:t>a</w:t>
            </w:r>
            <w:r w:rsidRPr="00045371">
              <w:rPr>
                <w:lang w:val="lt-LT"/>
              </w:rPr>
              <w:t>gal Bankų gaivinimo ir pertvarkymo direktyvą (BRRD).</w:t>
            </w:r>
          </w:p>
          <w:p w:rsidR="00F85FA9" w:rsidRPr="00045371" w:rsidRDefault="00F85FA9" w:rsidP="00F85FA9">
            <w:pPr>
              <w:tabs>
                <w:tab w:val="left" w:pos="176"/>
              </w:tabs>
              <w:contextualSpacing/>
              <w:jc w:val="both"/>
              <w:rPr>
                <w:lang w:val="lt-LT"/>
              </w:rPr>
            </w:pPr>
            <w:r w:rsidRPr="00045371">
              <w:rPr>
                <w:lang w:val="lt-LT"/>
              </w:rPr>
              <w:t>•</w:t>
            </w:r>
            <w:r w:rsidRPr="00045371">
              <w:rPr>
                <w:lang w:val="lt-LT"/>
              </w:rPr>
              <w:tab/>
              <w:t xml:space="preserve">Temos, susijusios su bankinio sektoriaus rizikos mažinimu. Slovėnijos pirmininkavimo metu darbas prasidėjo dėl dviejų EK pateiktų </w:t>
            </w:r>
            <w:r w:rsidR="009E0BC7">
              <w:rPr>
                <w:lang w:val="lt-LT"/>
              </w:rPr>
              <w:t>teisėkūros</w:t>
            </w:r>
            <w:r w:rsidRPr="00045371">
              <w:rPr>
                <w:lang w:val="lt-LT"/>
              </w:rPr>
              <w:t xml:space="preserve"> pasiūlymų: Pinigų plovimo prevencijai skirto paketo bei Kapitalo reikalavimų paketo. Direktyva dėl kredito administratorių ir kredito pirkėjų (NPL direktyva) Taryboje buvo priimta 2021 m. lapkričio 9 d. ir įsigalios š. m. pabaigoje.</w:t>
            </w:r>
          </w:p>
          <w:p w:rsidR="00F85FA9" w:rsidRPr="00045371" w:rsidRDefault="002023B1" w:rsidP="00F85FA9">
            <w:pPr>
              <w:pStyle w:val="BodyA"/>
              <w:jc w:val="both"/>
              <w:rPr>
                <w:rFonts w:hAnsi="Times New Roman" w:cs="Times New Roman"/>
                <w:lang w:val="lt-LT"/>
              </w:rPr>
            </w:pPr>
            <w:r w:rsidRPr="00045371">
              <w:rPr>
                <w:rFonts w:hAnsi="Times New Roman" w:cs="Times New Roman"/>
                <w:lang w:val="lt-LT"/>
              </w:rPr>
              <w:t xml:space="preserve">Ataskaitos išvadoje </w:t>
            </w:r>
            <w:r w:rsidR="00F85FA9" w:rsidRPr="00045371">
              <w:rPr>
                <w:rFonts w:hAnsi="Times New Roman" w:cs="Times New Roman"/>
                <w:lang w:val="lt-LT"/>
              </w:rPr>
              <w:t xml:space="preserve"> Pirm. </w:t>
            </w:r>
            <w:r w:rsidR="00D24447" w:rsidRPr="00045371">
              <w:rPr>
                <w:rFonts w:hAnsi="Times New Roman" w:cs="Times New Roman"/>
                <w:lang w:val="lt-LT"/>
              </w:rPr>
              <w:t xml:space="preserve">VN </w:t>
            </w:r>
            <w:r w:rsidR="00F85FA9" w:rsidRPr="00045371">
              <w:rPr>
                <w:rFonts w:hAnsi="Times New Roman" w:cs="Times New Roman"/>
                <w:lang w:val="lt-LT"/>
              </w:rPr>
              <w:t>kviečia Tarybą atsižvelgti į šią ataskaitą, siekiant tolimesnio progreso. Pirmininkavimą 2020 m. sausio mėn. perimsianti Prancūzija kviečiama tęsti darbus stiprinant Bankų sąjungą.</w:t>
            </w:r>
          </w:p>
          <w:p w:rsidR="00F85FA9" w:rsidRPr="00045371" w:rsidRDefault="00A32B88" w:rsidP="00F85FA9">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lang w:val="lt-LT"/>
              </w:rPr>
              <w:t xml:space="preserve"> </w:t>
            </w:r>
            <w:r w:rsidR="00F85FA9" w:rsidRPr="00045371">
              <w:rPr>
                <w:rFonts w:hAnsi="Times New Roman" w:cs="Times New Roman"/>
                <w:lang w:val="lt-LT"/>
              </w:rPr>
              <w:t>Pritariame pateiktai Bankų Sąjungos stiprinimo ataskaitai. Manome, jog ji tinkamai atspindi Tarybos darbo grupės posėdžiuose vykusias diskusijas tarp valstybių narių atstovų ir reikšmi</w:t>
            </w:r>
            <w:r w:rsidR="00F85FA9" w:rsidRPr="00045371">
              <w:rPr>
                <w:rFonts w:hAnsi="Times New Roman" w:cs="Times New Roman"/>
                <w:lang w:val="lt-LT"/>
              </w:rPr>
              <w:t>n</w:t>
            </w:r>
            <w:r w:rsidR="00F85FA9" w:rsidRPr="00045371">
              <w:rPr>
                <w:rFonts w:hAnsi="Times New Roman" w:cs="Times New Roman"/>
                <w:lang w:val="lt-LT"/>
              </w:rPr>
              <w:t>gai prisidės prie tolesnio darbo, siekiant stiprinti Bankų sąjungą.</w:t>
            </w:r>
          </w:p>
          <w:p w:rsidR="00F85FA9" w:rsidRPr="00045371" w:rsidRDefault="00F85FA9" w:rsidP="00F85FA9">
            <w:pPr>
              <w:pStyle w:val="BodyA"/>
              <w:jc w:val="both"/>
              <w:rPr>
                <w:rFonts w:hAnsi="Times New Roman" w:cs="Times New Roman"/>
                <w:lang w:val="lt-LT"/>
              </w:rPr>
            </w:pPr>
            <w:r w:rsidRPr="00045371">
              <w:rPr>
                <w:rFonts w:hAnsi="Times New Roman" w:cs="Times New Roman"/>
                <w:lang w:val="lt-LT"/>
              </w:rPr>
              <w:t xml:space="preserve">Bankų sąjunga yra vienas iš svarbiausių ES integracijos projektų, todėl itin svarbu dirbti kartu, jog jį sėkmingai užbaigtume. Taip pat veiksmingai gebėtume reaguoti į galimus iššūkius </w:t>
            </w:r>
            <w:r w:rsidR="00D24447" w:rsidRPr="00045371">
              <w:rPr>
                <w:rFonts w:hAnsi="Times New Roman" w:cs="Times New Roman"/>
                <w:lang w:val="lt-LT"/>
              </w:rPr>
              <w:t>bankų sektoriui ir ES finansiniam</w:t>
            </w:r>
            <w:r w:rsidRPr="00045371">
              <w:rPr>
                <w:rFonts w:hAnsi="Times New Roman" w:cs="Times New Roman"/>
                <w:lang w:val="lt-LT"/>
              </w:rPr>
              <w:t xml:space="preserve"> stabilumui ateityje. </w:t>
            </w:r>
          </w:p>
          <w:p w:rsidR="00310122" w:rsidRPr="00045371" w:rsidRDefault="00F85FA9" w:rsidP="00F85FA9">
            <w:pPr>
              <w:pStyle w:val="BodyA"/>
              <w:jc w:val="both"/>
              <w:rPr>
                <w:rFonts w:hAnsi="Times New Roman" w:cs="Times New Roman"/>
                <w:lang w:val="lt-LT"/>
              </w:rPr>
            </w:pPr>
            <w:r w:rsidRPr="00045371">
              <w:rPr>
                <w:rFonts w:hAnsi="Times New Roman" w:cs="Times New Roman"/>
                <w:lang w:val="lt-LT"/>
              </w:rPr>
              <w:t>Labai svarbu, kad ir toliau būtų skatinamos išsamios diskusijos dėl Bankų sąjungos bei priimti atiti</w:t>
            </w:r>
            <w:r w:rsidRPr="00045371">
              <w:rPr>
                <w:rFonts w:hAnsi="Times New Roman" w:cs="Times New Roman"/>
                <w:lang w:val="lt-LT"/>
              </w:rPr>
              <w:t>n</w:t>
            </w:r>
            <w:r w:rsidRPr="00045371">
              <w:rPr>
                <w:rFonts w:hAnsi="Times New Roman" w:cs="Times New Roman"/>
                <w:lang w:val="lt-LT"/>
              </w:rPr>
              <w:t>kami teisiniai pasiūlymai ar</w:t>
            </w:r>
            <w:r w:rsidR="00BD14EF" w:rsidRPr="00045371">
              <w:rPr>
                <w:rFonts w:hAnsi="Times New Roman" w:cs="Times New Roman"/>
                <w:lang w:val="lt-LT"/>
              </w:rPr>
              <w:t xml:space="preserve"> kitos priemonės, kurių tikslas - </w:t>
            </w:r>
            <w:r w:rsidRPr="00045371">
              <w:rPr>
                <w:rFonts w:hAnsi="Times New Roman" w:cs="Times New Roman"/>
                <w:lang w:val="lt-LT"/>
              </w:rPr>
              <w:t>sustiprinti ir galiausiai užbaigti Bankų s</w:t>
            </w:r>
            <w:r w:rsidRPr="00045371">
              <w:rPr>
                <w:rFonts w:hAnsi="Times New Roman" w:cs="Times New Roman"/>
                <w:lang w:val="lt-LT"/>
              </w:rPr>
              <w:t>ą</w:t>
            </w:r>
            <w:r w:rsidRPr="00045371">
              <w:rPr>
                <w:rFonts w:hAnsi="Times New Roman" w:cs="Times New Roman"/>
                <w:lang w:val="lt-LT"/>
              </w:rPr>
              <w:t>jungą, įskaitant ir trečiąjį jos ramstį – visavertę Europos indėlių draudimo sistemą (EDIS), užtikrinant indėlininkų pasitikėjimą bei valstybių narių ir visos ES finansinį stabilumą.</w:t>
            </w:r>
          </w:p>
          <w:p w:rsidR="00A32B88" w:rsidRPr="00045371" w:rsidRDefault="00A32B88" w:rsidP="007F5B19">
            <w:pPr>
              <w:pStyle w:val="BodyA"/>
              <w:jc w:val="both"/>
              <w:rPr>
                <w:rFonts w:hAnsi="Times New Roman" w:cs="Times New Roman"/>
                <w:b/>
                <w:lang w:val="lt-LT"/>
              </w:rPr>
            </w:pPr>
          </w:p>
          <w:p w:rsidR="0014282B" w:rsidRPr="00045371" w:rsidRDefault="00B9215C" w:rsidP="00A32B88">
            <w:pPr>
              <w:pStyle w:val="BodyA"/>
              <w:jc w:val="both"/>
              <w:rPr>
                <w:rFonts w:hAnsi="Times New Roman" w:cs="Times New Roman"/>
                <w:b/>
                <w:lang w:val="lt-LT"/>
              </w:rPr>
            </w:pPr>
            <w:r w:rsidRPr="00045371">
              <w:rPr>
                <w:rFonts w:hAnsi="Times New Roman" w:cs="Times New Roman"/>
                <w:b/>
                <w:lang w:val="lt-LT"/>
              </w:rPr>
              <w:t>4</w:t>
            </w:r>
            <w:r w:rsidR="00A32B88" w:rsidRPr="00045371">
              <w:rPr>
                <w:rFonts w:hAnsi="Times New Roman" w:cs="Times New Roman"/>
                <w:b/>
                <w:lang w:val="lt-LT"/>
              </w:rPr>
              <w:t>.</w:t>
            </w:r>
            <w:r w:rsidR="00CE3A1E" w:rsidRPr="00045371">
              <w:rPr>
                <w:rFonts w:hAnsi="Times New Roman" w:cs="Times New Roman"/>
                <w:b/>
                <w:lang w:val="lt-LT"/>
              </w:rPr>
              <w:t xml:space="preserve"> Kapitalo rinkų sąjung</w:t>
            </w:r>
            <w:r w:rsidR="0014282B" w:rsidRPr="00045371">
              <w:rPr>
                <w:rFonts w:hAnsi="Times New Roman" w:cs="Times New Roman"/>
                <w:b/>
                <w:lang w:val="lt-LT"/>
              </w:rPr>
              <w:t xml:space="preserve">os pasiūlymų paketas </w:t>
            </w:r>
            <w:r w:rsidR="0014282B" w:rsidRPr="00045371">
              <w:rPr>
                <w:rFonts w:hAnsi="Times New Roman" w:cs="Times New Roman"/>
                <w:i/>
                <w:lang w:val="lt-LT"/>
              </w:rPr>
              <w:t>(Politiniai debatai)</w:t>
            </w:r>
          </w:p>
          <w:p w:rsidR="0014282B" w:rsidRPr="00045371" w:rsidRDefault="0014282B" w:rsidP="008D79D4">
            <w:pPr>
              <w:contextualSpacing/>
              <w:jc w:val="both"/>
              <w:rPr>
                <w:lang w:val="lt-LT"/>
              </w:rPr>
            </w:pPr>
            <w:r w:rsidRPr="00045371">
              <w:rPr>
                <w:b/>
                <w:u w:val="single"/>
                <w:lang w:val="lt-LT"/>
              </w:rPr>
              <w:t>Klausimo esmė:</w:t>
            </w:r>
            <w:r w:rsidRPr="00045371">
              <w:rPr>
                <w:lang w:val="lt-LT"/>
              </w:rPr>
              <w:t xml:space="preserve"> </w:t>
            </w:r>
            <w:r w:rsidR="008D79D4" w:rsidRPr="00045371">
              <w:rPr>
                <w:lang w:val="lt-LT"/>
              </w:rPr>
              <w:t>ECO</w:t>
            </w:r>
            <w:r w:rsidR="002023B1" w:rsidRPr="00045371">
              <w:rPr>
                <w:lang w:val="lt-LT"/>
              </w:rPr>
              <w:t>FIN posėdžio metu bus pristatyta</w:t>
            </w:r>
            <w:r w:rsidR="008D79D4" w:rsidRPr="00045371">
              <w:rPr>
                <w:lang w:val="lt-LT"/>
              </w:rPr>
              <w:t xml:space="preserve"> padaryta pažanga dėl Kapitalo rinkų sąjungos (ang</w:t>
            </w:r>
            <w:r w:rsidR="002023B1" w:rsidRPr="00045371">
              <w:rPr>
                <w:lang w:val="lt-LT"/>
              </w:rPr>
              <w:t xml:space="preserve">l. CMU) veiksmų plano t .y bus aptarti lapkričio 24 d. pateikti </w:t>
            </w:r>
            <w:r w:rsidR="00BD14EF" w:rsidRPr="00045371">
              <w:rPr>
                <w:lang w:val="lt-LT"/>
              </w:rPr>
              <w:t>nauji EK</w:t>
            </w:r>
            <w:r w:rsidR="008D79D4" w:rsidRPr="00045371">
              <w:rPr>
                <w:lang w:val="lt-LT"/>
              </w:rPr>
              <w:t xml:space="preserve"> pasiūlymai dėl: 1. Europos bendro prieigos taško (angl. ESAP); 2. Alternatyvių investavimo fondų valdytojų (angl. AIFDM); 3. Europos ilgalaikių investicijų fondų (angl. ELTIF); 4. Finansinių priemonių rinkų (angl. </w:t>
            </w:r>
            <w:proofErr w:type="spellStart"/>
            <w:r w:rsidR="008D79D4" w:rsidRPr="00045371">
              <w:rPr>
                <w:lang w:val="lt-LT"/>
              </w:rPr>
              <w:t>MiFIR</w:t>
            </w:r>
            <w:proofErr w:type="spellEnd"/>
            <w:r w:rsidR="008D79D4" w:rsidRPr="00045371">
              <w:rPr>
                <w:lang w:val="lt-LT"/>
              </w:rPr>
              <w:t>).</w:t>
            </w:r>
          </w:p>
          <w:p w:rsidR="008D79D4" w:rsidRPr="00045371" w:rsidRDefault="008D79D4" w:rsidP="008D79D4">
            <w:pPr>
              <w:contextualSpacing/>
              <w:jc w:val="both"/>
              <w:rPr>
                <w:lang w:val="lt-LT"/>
              </w:rPr>
            </w:pPr>
            <w:r w:rsidRPr="00045371">
              <w:rPr>
                <w:lang w:val="lt-LT"/>
              </w:rPr>
              <w:t xml:space="preserve">1. ESAP sukūrimas iki 2024 m. – tai viena iš 2020 m. rugsėjo 24 d. atnaujinto </w:t>
            </w:r>
            <w:r w:rsidR="00BD14EF" w:rsidRPr="00045371">
              <w:rPr>
                <w:lang w:val="lt-LT"/>
              </w:rPr>
              <w:t>CMU</w:t>
            </w:r>
            <w:r w:rsidRPr="00045371">
              <w:rPr>
                <w:lang w:val="lt-LT"/>
              </w:rPr>
              <w:t xml:space="preserve"> veiksmų plano priemonių. ESAP leistų investuotojams lengviau gauti ir sulyginti ES įmonių viešai skelbiamą inform</w:t>
            </w:r>
            <w:r w:rsidRPr="00045371">
              <w:rPr>
                <w:lang w:val="lt-LT"/>
              </w:rPr>
              <w:t>a</w:t>
            </w:r>
            <w:r w:rsidRPr="00045371">
              <w:rPr>
                <w:lang w:val="lt-LT"/>
              </w:rPr>
              <w:t>ciją, kuri būtų pateikiama vi</w:t>
            </w:r>
            <w:r w:rsidR="00BD14EF" w:rsidRPr="00045371">
              <w:rPr>
                <w:lang w:val="lt-LT"/>
              </w:rPr>
              <w:t>enoje erdvėje, taip pat sumažintų</w:t>
            </w:r>
            <w:r w:rsidRPr="00045371">
              <w:rPr>
                <w:lang w:val="lt-LT"/>
              </w:rPr>
              <w:t xml:space="preserve"> duomenų fragmentaciją (šiuo metu info</w:t>
            </w:r>
            <w:r w:rsidRPr="00045371">
              <w:rPr>
                <w:lang w:val="lt-LT"/>
              </w:rPr>
              <w:t>r</w:t>
            </w:r>
            <w:r w:rsidRPr="00045371">
              <w:rPr>
                <w:lang w:val="lt-LT"/>
              </w:rPr>
              <w:t>macija pateikiama skirtingomis kalbomis ir formatais, o tai apsunkina duomenų apdorojimą ir jų anal</w:t>
            </w:r>
            <w:r w:rsidRPr="00045371">
              <w:rPr>
                <w:lang w:val="lt-LT"/>
              </w:rPr>
              <w:t>i</w:t>
            </w:r>
            <w:r w:rsidRPr="00045371">
              <w:rPr>
                <w:lang w:val="lt-LT"/>
              </w:rPr>
              <w:t>zavimą). ESAP leistų maž</w:t>
            </w:r>
            <w:r w:rsidR="00BD14EF" w:rsidRPr="00045371">
              <w:rPr>
                <w:lang w:val="lt-LT"/>
              </w:rPr>
              <w:t>iau išvystytoms kapitalo rinkom</w:t>
            </w:r>
            <w:r w:rsidRPr="00045371">
              <w:rPr>
                <w:lang w:val="lt-LT"/>
              </w:rPr>
              <w:t>s labiau integruotis į bendrąją erdvę ir tapti labiau matomomis tarpvalstybiniams investuotojams. ESAP yra ne tik CMU plano dalis, bet ir atnauji</w:t>
            </w:r>
            <w:r w:rsidRPr="00045371">
              <w:rPr>
                <w:lang w:val="lt-LT"/>
              </w:rPr>
              <w:t>n</w:t>
            </w:r>
            <w:r w:rsidRPr="00045371">
              <w:rPr>
                <w:lang w:val="lt-LT"/>
              </w:rPr>
              <w:t>tos skaitmeninių finansų strategijos dalis. Be to, šioje platformoje nu</w:t>
            </w:r>
            <w:r w:rsidR="00BD14EF" w:rsidRPr="00045371">
              <w:rPr>
                <w:lang w:val="lt-LT"/>
              </w:rPr>
              <w:t>matoma teikti</w:t>
            </w:r>
            <w:r w:rsidRPr="00045371">
              <w:rPr>
                <w:lang w:val="lt-LT"/>
              </w:rPr>
              <w:t xml:space="preserve"> informacija taip pat turėtų padidinti su tvarumu susijusių duomenų prieinamumą, nukreipti daugiau investicijų į tvarią vei</w:t>
            </w:r>
            <w:r w:rsidRPr="00045371">
              <w:rPr>
                <w:lang w:val="lt-LT"/>
              </w:rPr>
              <w:t>k</w:t>
            </w:r>
            <w:r w:rsidRPr="00045371">
              <w:rPr>
                <w:lang w:val="lt-LT"/>
              </w:rPr>
              <w:t>lą ir padėti siekti Europos žaliojo kurso tikslų.</w:t>
            </w:r>
          </w:p>
          <w:p w:rsidR="008D79D4" w:rsidRPr="00045371" w:rsidRDefault="008D79D4" w:rsidP="008D79D4">
            <w:pPr>
              <w:contextualSpacing/>
              <w:jc w:val="both"/>
              <w:rPr>
                <w:lang w:val="lt-LT"/>
              </w:rPr>
            </w:pPr>
          </w:p>
          <w:p w:rsidR="008D79D4" w:rsidRPr="00045371" w:rsidRDefault="008D79D4" w:rsidP="008D79D4">
            <w:pPr>
              <w:contextualSpacing/>
              <w:jc w:val="both"/>
              <w:rPr>
                <w:lang w:val="lt-LT"/>
              </w:rPr>
            </w:pPr>
            <w:r w:rsidRPr="00045371">
              <w:rPr>
                <w:lang w:val="lt-LT"/>
              </w:rPr>
              <w:t>2. AIFDM pasiūlymu pateikiami Alternatyvaus investavimo fondų valdytojų direktyvos (AIFVD – d</w:t>
            </w:r>
            <w:r w:rsidRPr="00045371">
              <w:rPr>
                <w:lang w:val="lt-LT"/>
              </w:rPr>
              <w:t>i</w:t>
            </w:r>
            <w:r w:rsidRPr="00045371">
              <w:rPr>
                <w:lang w:val="lt-LT"/>
              </w:rPr>
              <w:t>rektyva 2011/61/ES) ir Kolektyvinio investavimo į perleidžiamus vertybinius popierius subjektų dire</w:t>
            </w:r>
            <w:r w:rsidRPr="00045371">
              <w:rPr>
                <w:lang w:val="lt-LT"/>
              </w:rPr>
              <w:t>k</w:t>
            </w:r>
            <w:r w:rsidRPr="00045371">
              <w:rPr>
                <w:lang w:val="lt-LT"/>
              </w:rPr>
              <w:t>tyvos (KIPVPS – direktyva 2009/65/EB) pakeitimai. Pasiūlymu siekiama užtikrinti aukšto lygio inve</w:t>
            </w:r>
            <w:r w:rsidRPr="00045371">
              <w:rPr>
                <w:lang w:val="lt-LT"/>
              </w:rPr>
              <w:t>s</w:t>
            </w:r>
            <w:r w:rsidRPr="00045371">
              <w:rPr>
                <w:lang w:val="lt-LT"/>
              </w:rPr>
              <w:t>tuotojų interesų apsaugą, finansinį stabilumą, ES vidaus rinkos vientisumą ir sklandų investicinių fondų rinkos veikimą. Šiuo metu ES valstybėse narėse egzistuojantys skirtingi nacionalinio reguliavimo sta</w:t>
            </w:r>
            <w:r w:rsidRPr="00045371">
              <w:rPr>
                <w:lang w:val="lt-LT"/>
              </w:rPr>
              <w:t>n</w:t>
            </w:r>
            <w:r w:rsidRPr="00045371">
              <w:rPr>
                <w:lang w:val="lt-LT"/>
              </w:rPr>
              <w:t>dartai trukdo sukurti veiksmingą Europos alternatyvaus investavimo fondų (AIF) vidaus rinką, tinkamai įvertinti riziką ir tuo pačiu lemia skirtingą investuotojų apsaugos lygį visoje ES, o nepakankamas ta</w:t>
            </w:r>
            <w:r w:rsidRPr="00045371">
              <w:rPr>
                <w:lang w:val="lt-LT"/>
              </w:rPr>
              <w:t>i</w:t>
            </w:r>
            <w:r w:rsidRPr="00045371">
              <w:rPr>
                <w:lang w:val="lt-LT"/>
              </w:rPr>
              <w:t>komų reguliavimo standartų aiškumas sumažina teisinį tikrumą. AIFVD ir KIPVPS siūlomi pakeitimai dėl delegavimo, likvidumo rizikos valdymo, duomenų ataskaitų teikimo rinkos stebėjimo tikslais ir d</w:t>
            </w:r>
            <w:r w:rsidRPr="00045371">
              <w:rPr>
                <w:lang w:val="lt-LT"/>
              </w:rPr>
              <w:t>e</w:t>
            </w:r>
            <w:r w:rsidRPr="00045371">
              <w:rPr>
                <w:lang w:val="lt-LT"/>
              </w:rPr>
              <w:t>pozitoriumų reguliavimo, o AIFVD atveju taip pat siūloma iš dalies pakeisti reguliavimo taisykles dėl paskolas teikiančių investicinių fondų veiklos ir galimybės naudotis depozitoriumo paslaugomis tar</w:t>
            </w:r>
            <w:r w:rsidRPr="00045371">
              <w:rPr>
                <w:lang w:val="lt-LT"/>
              </w:rPr>
              <w:t>p</w:t>
            </w:r>
            <w:r w:rsidRPr="00045371">
              <w:rPr>
                <w:lang w:val="lt-LT"/>
              </w:rPr>
              <w:t>valstybiniu mastu.</w:t>
            </w:r>
          </w:p>
          <w:p w:rsidR="008D79D4" w:rsidRPr="00045371" w:rsidRDefault="008D79D4" w:rsidP="008D79D4">
            <w:pPr>
              <w:contextualSpacing/>
              <w:jc w:val="both"/>
              <w:rPr>
                <w:lang w:val="lt-LT"/>
              </w:rPr>
            </w:pPr>
          </w:p>
          <w:p w:rsidR="008D79D4" w:rsidRPr="00045371" w:rsidRDefault="008D79D4" w:rsidP="008D79D4">
            <w:pPr>
              <w:contextualSpacing/>
              <w:jc w:val="both"/>
              <w:rPr>
                <w:lang w:val="lt-LT"/>
              </w:rPr>
            </w:pPr>
            <w:r w:rsidRPr="00045371">
              <w:rPr>
                <w:lang w:val="lt-LT"/>
              </w:rPr>
              <w:t>3. ELTIF reglamentas nustato Europos alternatyvaus investavimo fondų (AIF), kurie investuoja į ilg</w:t>
            </w:r>
            <w:r w:rsidRPr="00045371">
              <w:rPr>
                <w:lang w:val="lt-LT"/>
              </w:rPr>
              <w:t>a</w:t>
            </w:r>
            <w:r w:rsidRPr="00045371">
              <w:rPr>
                <w:lang w:val="lt-LT"/>
              </w:rPr>
              <w:t xml:space="preserve">laikes investicijas, pavyzdžiui, socialinę ir transporto infrastruktūrą, nekilnojamąjį turtą ir </w:t>
            </w:r>
            <w:r w:rsidR="00BD14EF" w:rsidRPr="00045371">
              <w:rPr>
                <w:lang w:val="lt-LT"/>
              </w:rPr>
              <w:t xml:space="preserve">mažas bei </w:t>
            </w:r>
            <w:r w:rsidR="00BD14EF" w:rsidRPr="00045371">
              <w:rPr>
                <w:lang w:val="lt-LT"/>
              </w:rPr>
              <w:lastRenderedPageBreak/>
              <w:t>vidutines įmones (</w:t>
            </w:r>
            <w:r w:rsidRPr="00045371">
              <w:rPr>
                <w:lang w:val="lt-LT"/>
              </w:rPr>
              <w:t>MVĮ</w:t>
            </w:r>
            <w:r w:rsidR="00BD14EF" w:rsidRPr="00045371">
              <w:rPr>
                <w:lang w:val="lt-LT"/>
              </w:rPr>
              <w:t>)</w:t>
            </w:r>
            <w:r w:rsidRPr="00045371">
              <w:rPr>
                <w:lang w:val="lt-LT"/>
              </w:rPr>
              <w:t>, sistemą ir reglamentuoja vienodas ELTIF leidimų išdavimo, investavimo pol</w:t>
            </w:r>
            <w:r w:rsidRPr="00045371">
              <w:rPr>
                <w:lang w:val="lt-LT"/>
              </w:rPr>
              <w:t>i</w:t>
            </w:r>
            <w:r w:rsidRPr="00045371">
              <w:rPr>
                <w:lang w:val="lt-LT"/>
              </w:rPr>
              <w:t>tikos, veiklos sąlygų ir rinkodaros taisykles. Pakeitimais siekiama įteisinti nuostatas, leidžiančias reik</w:t>
            </w:r>
            <w:r w:rsidRPr="00045371">
              <w:rPr>
                <w:lang w:val="lt-LT"/>
              </w:rPr>
              <w:t>a</w:t>
            </w:r>
            <w:r w:rsidRPr="00045371">
              <w:rPr>
                <w:lang w:val="lt-LT"/>
              </w:rPr>
              <w:t>lavimus atitinkantį turtą ir investicijas laikyti trečiosiose šalyse. Tikslinamos su kompetentingų instit</w:t>
            </w:r>
            <w:r w:rsidRPr="00045371">
              <w:rPr>
                <w:lang w:val="lt-LT"/>
              </w:rPr>
              <w:t>u</w:t>
            </w:r>
            <w:r w:rsidRPr="00045371">
              <w:rPr>
                <w:lang w:val="lt-LT"/>
              </w:rPr>
              <w:t>cijų bendradarbiavimo su Europos vertybinių popierių ir rinkos priežiūros institucija (EVPRI) ir leidimų išdavimo ELTIF nuostatos. Numatyta, kad ELTIF galės investuoti į nekilnojamąjį turtą, jei minimali tokio turto investicinė vertė yra ne mažesnė kaip 1 mln. EUR, nebus reikalaujama, kad nekilnojamasis turtas būtų valdomas tiesiogiai arba per „netiesioginį valdymą per reikalavimus atitinkančias portfelio įmones“. Pasiūlyme apibrėžiamos keturios kategorijos, kas yra tinkama pakeisti vertybiniais popieriais (būsto paskolos, komercinės paskolos, paskolos įmonėms, iš prekybos gautinos sumos). Nustatytos m</w:t>
            </w:r>
            <w:r w:rsidRPr="00045371">
              <w:rPr>
                <w:lang w:val="lt-LT"/>
              </w:rPr>
              <w:t>i</w:t>
            </w:r>
            <w:r w:rsidRPr="00045371">
              <w:rPr>
                <w:lang w:val="lt-LT"/>
              </w:rPr>
              <w:t>nimalios tinkamo turto ir investicijų ribos ir reglamentuoti finansinio sverto reikalavimai.</w:t>
            </w:r>
          </w:p>
          <w:p w:rsidR="008D79D4" w:rsidRPr="00045371" w:rsidRDefault="008D79D4" w:rsidP="008D79D4">
            <w:pPr>
              <w:contextualSpacing/>
              <w:jc w:val="both"/>
              <w:rPr>
                <w:lang w:val="lt-LT"/>
              </w:rPr>
            </w:pPr>
          </w:p>
          <w:p w:rsidR="008D79D4" w:rsidRPr="00045371" w:rsidRDefault="008D79D4" w:rsidP="008D79D4">
            <w:pPr>
              <w:contextualSpacing/>
              <w:jc w:val="both"/>
              <w:rPr>
                <w:lang w:val="lt-LT"/>
              </w:rPr>
            </w:pPr>
            <w:r w:rsidRPr="00045371">
              <w:rPr>
                <w:lang w:val="lt-LT"/>
              </w:rPr>
              <w:t>4.MiFIR pasiūlymu bus padaryti šie ES prekybos taisyklių pakeitimai, kurie užtikrins didesnį skaidr</w:t>
            </w:r>
            <w:r w:rsidRPr="00045371">
              <w:rPr>
                <w:lang w:val="lt-LT"/>
              </w:rPr>
              <w:t>u</w:t>
            </w:r>
            <w:r w:rsidRPr="00045371">
              <w:rPr>
                <w:lang w:val="lt-LT"/>
              </w:rPr>
              <w:t>mą kapitalo rinkose:</w:t>
            </w:r>
          </w:p>
          <w:p w:rsidR="008D79D4" w:rsidRPr="00045371" w:rsidRDefault="008D79D4" w:rsidP="008D79D4">
            <w:pPr>
              <w:contextualSpacing/>
              <w:jc w:val="both"/>
              <w:rPr>
                <w:lang w:val="lt-LT"/>
              </w:rPr>
            </w:pPr>
            <w:r w:rsidRPr="00045371">
              <w:rPr>
                <w:lang w:val="lt-LT"/>
              </w:rPr>
              <w:t>• įvedama konsoliduota informacinė juosta (angl. CT) akcijoms, obligacijoms, biržoje prekiaujamiems fondams (angl. ETF) ir išvestinėms finansinėms priemonėms;</w:t>
            </w:r>
          </w:p>
          <w:p w:rsidR="008D79D4" w:rsidRPr="00045371" w:rsidRDefault="008D79D4" w:rsidP="008D79D4">
            <w:pPr>
              <w:contextualSpacing/>
              <w:jc w:val="both"/>
              <w:rPr>
                <w:lang w:val="lt-LT"/>
              </w:rPr>
            </w:pPr>
            <w:r w:rsidRPr="00045371">
              <w:rPr>
                <w:lang w:val="lt-LT"/>
              </w:rPr>
              <w:t>• siekiama suvienodinti prekybos ir alternatyvių vykdymo vietų sąlygas didinant skaidrumo reikalav</w:t>
            </w:r>
            <w:r w:rsidRPr="00045371">
              <w:rPr>
                <w:lang w:val="lt-LT"/>
              </w:rPr>
              <w:t>i</w:t>
            </w:r>
            <w:r w:rsidRPr="00045371">
              <w:rPr>
                <w:lang w:val="lt-LT"/>
              </w:rPr>
              <w:t>mus;</w:t>
            </w:r>
          </w:p>
          <w:p w:rsidR="008D79D4" w:rsidRPr="00045371" w:rsidRDefault="008D79D4" w:rsidP="008D79D4">
            <w:pPr>
              <w:contextualSpacing/>
              <w:jc w:val="both"/>
              <w:rPr>
                <w:lang w:val="lt-LT"/>
              </w:rPr>
            </w:pPr>
            <w:r w:rsidRPr="00045371">
              <w:rPr>
                <w:lang w:val="lt-LT"/>
              </w:rPr>
              <w:t>• įvedamas visiškas draudimas mokėti už mažmeninių pavedimų srautą (angl. PFOF);</w:t>
            </w:r>
          </w:p>
          <w:p w:rsidR="008D79D4" w:rsidRPr="00045371" w:rsidRDefault="008D79D4" w:rsidP="008D79D4">
            <w:pPr>
              <w:contextualSpacing/>
              <w:jc w:val="both"/>
              <w:rPr>
                <w:lang w:val="lt-LT"/>
              </w:rPr>
            </w:pPr>
            <w:r w:rsidRPr="00045371">
              <w:rPr>
                <w:lang w:val="lt-LT"/>
              </w:rPr>
              <w:t>• panaikinami reikalavimai vertybinių popierių biržoms siūlyti išvestines paslaugas per kelis tarpuska</w:t>
            </w:r>
            <w:r w:rsidRPr="00045371">
              <w:rPr>
                <w:lang w:val="lt-LT"/>
              </w:rPr>
              <w:t>i</w:t>
            </w:r>
            <w:r w:rsidRPr="00045371">
              <w:rPr>
                <w:lang w:val="lt-LT"/>
              </w:rPr>
              <w:t xml:space="preserve">tos namus (t.y. „atviros prieigos“ prievolė). </w:t>
            </w:r>
            <w:r w:rsidR="00BD14EF" w:rsidRPr="00045371">
              <w:rPr>
                <w:lang w:val="lt-LT"/>
              </w:rPr>
              <w:t>EK</w:t>
            </w:r>
            <w:r w:rsidRPr="00045371">
              <w:rPr>
                <w:lang w:val="lt-LT"/>
              </w:rPr>
              <w:t xml:space="preserve"> daug atsakomybės už pajamų ir valdymo modelio det</w:t>
            </w:r>
            <w:r w:rsidRPr="00045371">
              <w:rPr>
                <w:lang w:val="lt-LT"/>
              </w:rPr>
              <w:t>a</w:t>
            </w:r>
            <w:r w:rsidRPr="00045371">
              <w:rPr>
                <w:lang w:val="lt-LT"/>
              </w:rPr>
              <w:t>lizavimą bei juostos delsimus perdavė EVPRI. Numatyta, kad EVPRI išsamiai nagrinės šiuos klausimus antrinėje teisėje ir taikydama konkurencingo pardavėjo procesą.</w:t>
            </w:r>
          </w:p>
          <w:p w:rsidR="0014282B" w:rsidRPr="00045371" w:rsidRDefault="0014282B" w:rsidP="0014282B">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lang w:val="lt-LT"/>
              </w:rPr>
              <w:t xml:space="preserve"> </w:t>
            </w:r>
            <w:r w:rsidR="008D79D4" w:rsidRPr="00045371">
              <w:rPr>
                <w:rFonts w:hAnsi="Times New Roman" w:cs="Times New Roman"/>
                <w:lang w:val="lt-LT"/>
              </w:rPr>
              <w:t>Palaikome Komisijos pateiktus teisinius pasiūlymus. Pasiūlymai ypač aktualūs Li</w:t>
            </w:r>
            <w:r w:rsidR="008D79D4" w:rsidRPr="00045371">
              <w:rPr>
                <w:rFonts w:hAnsi="Times New Roman" w:cs="Times New Roman"/>
                <w:lang w:val="lt-LT"/>
              </w:rPr>
              <w:t>e</w:t>
            </w:r>
            <w:r w:rsidR="008D79D4" w:rsidRPr="00045371">
              <w:rPr>
                <w:rFonts w:hAnsi="Times New Roman" w:cs="Times New Roman"/>
                <w:lang w:val="lt-LT"/>
              </w:rPr>
              <w:t>tuvai, manome, kad jie spręs mažų rinkų, tokių kaip Lietuva, problemas. Manome, kad šiuo paketu bus pagerintos įmonių galimybės pritraukti kapitalo visoje ES ir bus užtikrinta, kad europiečiams būtų pr</w:t>
            </w:r>
            <w:r w:rsidR="008D79D4" w:rsidRPr="00045371">
              <w:rPr>
                <w:rFonts w:hAnsi="Times New Roman" w:cs="Times New Roman"/>
                <w:lang w:val="lt-LT"/>
              </w:rPr>
              <w:t>i</w:t>
            </w:r>
            <w:r w:rsidR="008D79D4" w:rsidRPr="00045371">
              <w:rPr>
                <w:rFonts w:hAnsi="Times New Roman" w:cs="Times New Roman"/>
                <w:lang w:val="lt-LT"/>
              </w:rPr>
              <w:t>einami geriausi taupymo ir investavimo sandoriai.</w:t>
            </w:r>
          </w:p>
          <w:p w:rsidR="0014282B" w:rsidRPr="00045371" w:rsidRDefault="0014282B" w:rsidP="00A32B88">
            <w:pPr>
              <w:pStyle w:val="BodyA"/>
              <w:jc w:val="both"/>
              <w:rPr>
                <w:rFonts w:hAnsi="Times New Roman" w:cs="Times New Roman"/>
                <w:b/>
                <w:highlight w:val="yellow"/>
                <w:lang w:val="lt-LT"/>
              </w:rPr>
            </w:pPr>
          </w:p>
          <w:p w:rsidR="0014282B" w:rsidRPr="00045371" w:rsidRDefault="00B9215C" w:rsidP="00BD14EF">
            <w:pPr>
              <w:pStyle w:val="BodyA"/>
              <w:jc w:val="both"/>
              <w:rPr>
                <w:rFonts w:hAnsi="Times New Roman" w:cs="Times New Roman"/>
                <w:b/>
                <w:lang w:val="lt-LT"/>
              </w:rPr>
            </w:pPr>
            <w:r w:rsidRPr="00045371">
              <w:rPr>
                <w:rFonts w:hAnsi="Times New Roman" w:cs="Times New Roman"/>
                <w:b/>
                <w:lang w:val="lt-LT"/>
              </w:rPr>
              <w:t>5</w:t>
            </w:r>
            <w:r w:rsidR="0014282B" w:rsidRPr="00045371">
              <w:rPr>
                <w:rFonts w:hAnsi="Times New Roman" w:cs="Times New Roman"/>
                <w:b/>
                <w:lang w:val="lt-LT"/>
              </w:rPr>
              <w:t xml:space="preserve">. Kovos su pinigų plovimu ir terorizmo finansavimo pasiūlymų paketas </w:t>
            </w:r>
            <w:r w:rsidR="0014282B" w:rsidRPr="00045371">
              <w:rPr>
                <w:rFonts w:hAnsi="Times New Roman" w:cs="Times New Roman"/>
                <w:i/>
                <w:lang w:val="lt-LT"/>
              </w:rPr>
              <w:t>(pažangos ataskaita)</w:t>
            </w:r>
          </w:p>
          <w:p w:rsidR="00BD14EF" w:rsidRPr="00045371" w:rsidRDefault="0014282B" w:rsidP="000E685F">
            <w:pPr>
              <w:pStyle w:val="Sraopastraipa"/>
              <w:spacing w:after="0" w:line="240" w:lineRule="auto"/>
              <w:ind w:left="34" w:hanging="34"/>
              <w:jc w:val="both"/>
              <w:rPr>
                <w:rFonts w:hAnsi="Times New Roman" w:cs="Times New Roman"/>
                <w:lang w:val="lt-LT"/>
              </w:rPr>
            </w:pPr>
            <w:r w:rsidRPr="00045371">
              <w:rPr>
                <w:rFonts w:hAnsi="Times New Roman" w:cs="Times New Roman"/>
                <w:b/>
                <w:u w:val="single"/>
                <w:lang w:val="lt-LT"/>
              </w:rPr>
              <w:t>Klausimo esmė:</w:t>
            </w:r>
            <w:r w:rsidRPr="00045371">
              <w:rPr>
                <w:rFonts w:hAnsi="Times New Roman" w:cs="Times New Roman"/>
                <w:lang w:val="lt-LT"/>
              </w:rPr>
              <w:t xml:space="preserve"> </w:t>
            </w:r>
            <w:r w:rsidR="00BD14EF" w:rsidRPr="00045371">
              <w:rPr>
                <w:rFonts w:hAnsi="Times New Roman" w:cs="Times New Roman"/>
                <w:lang w:val="lt-LT" w:eastAsia="lt-LT"/>
              </w:rPr>
              <w:t xml:space="preserve">2021 m. liepos 20 d. </w:t>
            </w:r>
            <w:r w:rsidR="00BD14EF" w:rsidRPr="00045371">
              <w:rPr>
                <w:rFonts w:hAnsi="Times New Roman" w:cs="Times New Roman"/>
                <w:lang w:val="lt-LT"/>
              </w:rPr>
              <w:t xml:space="preserve">Europos Komisija įgyvendindama savo </w:t>
            </w:r>
            <w:r w:rsidR="00BD14EF" w:rsidRPr="00045371">
              <w:rPr>
                <w:rFonts w:hAnsi="Times New Roman" w:cs="Times New Roman"/>
                <w:lang w:val="lt-LT" w:eastAsia="lt-LT"/>
              </w:rPr>
              <w:t xml:space="preserve">2020 m. gegužės 7 d. paskelbtą atnaujintą veiksmų planą, </w:t>
            </w:r>
            <w:r w:rsidR="00BD14EF" w:rsidRPr="00045371">
              <w:rPr>
                <w:rFonts w:hAnsi="Times New Roman" w:cs="Times New Roman"/>
                <w:lang w:val="lt-LT"/>
              </w:rPr>
              <w:t>paskelbė 4 teisinius pasiūlymus, skirtus</w:t>
            </w:r>
            <w:r w:rsidR="00BD14EF" w:rsidRPr="00045371">
              <w:rPr>
                <w:rFonts w:hAnsi="Times New Roman" w:cs="Times New Roman"/>
                <w:lang w:val="lt-LT" w:eastAsia="lt-LT"/>
              </w:rPr>
              <w:t xml:space="preserve">  </w:t>
            </w:r>
            <w:r w:rsidR="00BD14EF" w:rsidRPr="00045371">
              <w:rPr>
                <w:rFonts w:hAnsi="Times New Roman" w:cs="Times New Roman"/>
                <w:lang w:val="lt-LT"/>
              </w:rPr>
              <w:t xml:space="preserve">Europos Sąjungos pinigų plovimo ir teroristų finansavimo prevencijos (AML) sistemos stiprinimui (toliau – Teisinis paketas).  </w:t>
            </w:r>
            <w:r w:rsidR="00BD14EF" w:rsidRPr="00045371">
              <w:rPr>
                <w:rFonts w:hAnsi="Times New Roman" w:cs="Times New Roman"/>
                <w:lang w:val="lt-LT" w:eastAsia="lt-LT"/>
              </w:rPr>
              <w:t>Teisinį paketą sudaro 4 pasiūlymai:</w:t>
            </w:r>
          </w:p>
          <w:p w:rsidR="000E685F" w:rsidRPr="00045371" w:rsidRDefault="00BD14EF" w:rsidP="00BD14EF">
            <w:pPr>
              <w:pStyle w:val="prastasistinklapis"/>
              <w:numPr>
                <w:ilvl w:val="0"/>
                <w:numId w:val="25"/>
              </w:numPr>
              <w:spacing w:before="0" w:beforeAutospacing="0" w:after="0" w:afterAutospacing="0"/>
              <w:jc w:val="both"/>
            </w:pPr>
            <w:r w:rsidRPr="00045371">
              <w:rPr>
                <w:b/>
              </w:rPr>
              <w:t>Vieningai taikomos AML nuostatos.</w:t>
            </w:r>
            <w:r w:rsidRPr="00045371">
              <w:t xml:space="preserve"> Teisinis pasiūlymas, kuriuo dalis direktyvinių nuostatų bus perkelta į Reglamentą (angl. </w:t>
            </w:r>
            <w:r w:rsidRPr="00045371">
              <w:rPr>
                <w:i/>
              </w:rPr>
              <w:t>single rulebook</w:t>
            </w:r>
            <w:r w:rsidRPr="00045371">
              <w:t>) tam, kad visos europinės AML nuostatos ski</w:t>
            </w:r>
            <w:r w:rsidRPr="00045371">
              <w:t>r</w:t>
            </w:r>
            <w:r w:rsidRPr="00045371">
              <w:t>tingose VN bū</w:t>
            </w:r>
            <w:r w:rsidR="000E685F" w:rsidRPr="00045371">
              <w:t xml:space="preserve">tų įgyvendinamos vienodai: </w:t>
            </w:r>
            <w:r w:rsidRPr="00045371">
              <w:rPr>
                <w:color w:val="000000"/>
              </w:rPr>
              <w:t>dėl vidaus politikos kontrolės ir procedūrų, klientų tapatybės nustatymo, politikos trečiųjų šalių atžvilgiu, politiškai paveikiamų asmenų, tikrųjų s</w:t>
            </w:r>
            <w:r w:rsidRPr="00045371">
              <w:rPr>
                <w:color w:val="000000"/>
              </w:rPr>
              <w:t>a</w:t>
            </w:r>
            <w:r w:rsidRPr="00045371">
              <w:rPr>
                <w:color w:val="000000"/>
              </w:rPr>
              <w:t>vininkų informacijos, įtartinų piniginių operacijų atpažinimo ir teikimo, asmens duomenų a</w:t>
            </w:r>
            <w:r w:rsidRPr="00045371">
              <w:rPr>
                <w:color w:val="000000"/>
              </w:rPr>
              <w:t>p</w:t>
            </w:r>
            <w:r w:rsidRPr="00045371">
              <w:rPr>
                <w:color w:val="000000"/>
              </w:rPr>
              <w:t xml:space="preserve">saugos, nustatoma ne didesnė nei 10000 EUR grynųjų pinigų riba prekiautojams paliekant VN teisę nusistatyti žemesnę ribą. </w:t>
            </w:r>
          </w:p>
          <w:p w:rsidR="00BD14EF" w:rsidRPr="00045371" w:rsidRDefault="00BD14EF" w:rsidP="00BD14EF">
            <w:pPr>
              <w:pStyle w:val="prastasistinklapis"/>
              <w:numPr>
                <w:ilvl w:val="0"/>
                <w:numId w:val="25"/>
              </w:numPr>
              <w:spacing w:before="0" w:beforeAutospacing="0" w:after="0" w:afterAutospacing="0"/>
              <w:jc w:val="both"/>
            </w:pPr>
            <w:r w:rsidRPr="00045371">
              <w:rPr>
                <w:b/>
              </w:rPr>
              <w:t>ES lygio priežiūra</w:t>
            </w:r>
            <w:r w:rsidRPr="00045371">
              <w:t xml:space="preserve">. Siūloma </w:t>
            </w:r>
            <w:proofErr w:type="spellStart"/>
            <w:r w:rsidRPr="00045371">
              <w:t>įsteigit</w:t>
            </w:r>
            <w:r w:rsidR="002023B1" w:rsidRPr="00045371">
              <w:t>i</w:t>
            </w:r>
            <w:proofErr w:type="spellEnd"/>
            <w:r w:rsidRPr="00045371">
              <w:t xml:space="preserve"> ES </w:t>
            </w:r>
            <w:r w:rsidRPr="00045371">
              <w:rPr>
                <w:color w:val="000000"/>
              </w:rPr>
              <w:t>Pinigų plovimo ir teroristų finansavimo prevencijos priežiūros instituciją (AMLA), kuri bus pagrindinė vieningos ES valstybių narių pinigų plovimo ir teroristų finansavimo prevencijos sistemos priežiūros institucija, koordinuojanti veiksmus su ES valstybių narių nacionalinėmis priežiūros institucijomis. Tai bus atskiras juridinis asmuo, f</w:t>
            </w:r>
            <w:r w:rsidRPr="00045371">
              <w:rPr>
                <w:color w:val="000000"/>
              </w:rPr>
              <w:t>i</w:t>
            </w:r>
            <w:r w:rsidRPr="00045371">
              <w:rPr>
                <w:color w:val="000000"/>
              </w:rPr>
              <w:t xml:space="preserve">nansuojamas iš įpareigotųjų subjektų įmokų (3/4) ir ES biudžeto. Numatoma, kad </w:t>
            </w:r>
            <w:r w:rsidR="009E0BC7">
              <w:rPr>
                <w:color w:val="000000"/>
              </w:rPr>
              <w:t>visiškai</w:t>
            </w:r>
            <w:r w:rsidRPr="00045371">
              <w:rPr>
                <w:color w:val="000000"/>
              </w:rPr>
              <w:t xml:space="preserve"> fun</w:t>
            </w:r>
            <w:r w:rsidRPr="00045371">
              <w:rPr>
                <w:color w:val="000000"/>
              </w:rPr>
              <w:t>k</w:t>
            </w:r>
            <w:r w:rsidRPr="00045371">
              <w:rPr>
                <w:color w:val="000000"/>
              </w:rPr>
              <w:t xml:space="preserve">cionuojančios AMLA metinės išlaidos sudarys apie 45 mln. EUR. AMLA planuojama įsteigti 2023 metų pradžioje, tiesioginės priežiūros veiklą planuojama pradėti 2026, numatoma, kad įstaigoje dirbs 250 darbuotojų. </w:t>
            </w:r>
            <w:r w:rsidRPr="00045371">
              <w:rPr>
                <w:u w:val="single"/>
              </w:rPr>
              <w:t>Nors formalios AMLA būstinės atrankos procedūros nėra pras</w:t>
            </w:r>
            <w:r w:rsidRPr="00045371">
              <w:rPr>
                <w:u w:val="single"/>
              </w:rPr>
              <w:t>i</w:t>
            </w:r>
            <w:r w:rsidRPr="00045371">
              <w:rPr>
                <w:u w:val="single"/>
              </w:rPr>
              <w:t>dėjusios, Lietuva siekia, kad ši institucija atsirastų Vilniuje.</w:t>
            </w:r>
            <w:r w:rsidRPr="00045371">
              <w:t xml:space="preserve"> </w:t>
            </w:r>
          </w:p>
          <w:p w:rsidR="000E685F" w:rsidRPr="00045371" w:rsidRDefault="00BD14EF" w:rsidP="000E685F">
            <w:pPr>
              <w:pStyle w:val="BodyA"/>
              <w:numPr>
                <w:ilvl w:val="0"/>
                <w:numId w:val="25"/>
              </w:numPr>
              <w:jc w:val="both"/>
              <w:rPr>
                <w:rFonts w:hAnsi="Times New Roman" w:cs="Times New Roman"/>
                <w:lang w:val="lt-LT"/>
              </w:rPr>
            </w:pPr>
            <w:r w:rsidRPr="00045371">
              <w:rPr>
                <w:rFonts w:eastAsiaTheme="minorHAnsi" w:hAnsi="Times New Roman" w:cs="Times New Roman"/>
                <w:b/>
                <w:lang w:val="lt-LT"/>
              </w:rPr>
              <w:t>Pasiūlymas dėl Europos Parlamento ir Tarybos direktyvos dėl priemonių, kurias turi n</w:t>
            </w:r>
            <w:r w:rsidRPr="00045371">
              <w:rPr>
                <w:rFonts w:eastAsiaTheme="minorHAnsi" w:hAnsi="Times New Roman" w:cs="Times New Roman"/>
                <w:b/>
                <w:lang w:val="lt-LT"/>
              </w:rPr>
              <w:t>u</w:t>
            </w:r>
            <w:r w:rsidRPr="00045371">
              <w:rPr>
                <w:rFonts w:eastAsiaTheme="minorHAnsi" w:hAnsi="Times New Roman" w:cs="Times New Roman"/>
                <w:b/>
                <w:lang w:val="lt-LT"/>
              </w:rPr>
              <w:t>statyti valstybės narės dėl finansų sistemos naudojimo pinigų plovimui ar teroristų fina</w:t>
            </w:r>
            <w:r w:rsidRPr="00045371">
              <w:rPr>
                <w:rFonts w:eastAsiaTheme="minorHAnsi" w:hAnsi="Times New Roman" w:cs="Times New Roman"/>
                <w:b/>
                <w:lang w:val="lt-LT"/>
              </w:rPr>
              <w:t>n</w:t>
            </w:r>
            <w:r w:rsidRPr="00045371">
              <w:rPr>
                <w:rFonts w:eastAsiaTheme="minorHAnsi" w:hAnsi="Times New Roman" w:cs="Times New Roman"/>
                <w:b/>
                <w:lang w:val="lt-LT"/>
              </w:rPr>
              <w:t xml:space="preserve">savimui prevencijos. </w:t>
            </w:r>
            <w:r w:rsidRPr="00045371">
              <w:rPr>
                <w:rFonts w:hAnsi="Times New Roman" w:cs="Times New Roman"/>
                <w:lang w:val="lt-LT"/>
              </w:rPr>
              <w:t xml:space="preserve">Teisiniu pasiūlymu nustatomos priemonės, kurias VN turės įdiegti tam, kad jų finansų sistemos nebūtų panaudotos pinigų plovimo ir teroristų finansavimo tikslais. Taip </w:t>
            </w:r>
            <w:r w:rsidRPr="00045371">
              <w:rPr>
                <w:rFonts w:hAnsi="Times New Roman" w:cs="Times New Roman"/>
                <w:lang w:val="lt-LT"/>
              </w:rPr>
              <w:lastRenderedPageBreak/>
              <w:t>pat numatoma užtikrinti efektyvesnį bendradarbiavimą ir keitimąsi informacija tarp VN Fina</w:t>
            </w:r>
            <w:r w:rsidRPr="00045371">
              <w:rPr>
                <w:rFonts w:hAnsi="Times New Roman" w:cs="Times New Roman"/>
                <w:lang w:val="lt-LT"/>
              </w:rPr>
              <w:t>n</w:t>
            </w:r>
            <w:r w:rsidRPr="00045371">
              <w:rPr>
                <w:rFonts w:hAnsi="Times New Roman" w:cs="Times New Roman"/>
                <w:lang w:val="lt-LT"/>
              </w:rPr>
              <w:t>sinės žvalgybos padalinių (FIU) ir priežiūros institucijų, nustatomi aiškesni FIU įgaliojimai ir užduotys. AMLA tampa pagrindine ES pinigų plovimo ir teroristų finansavimo prevencijos si</w:t>
            </w:r>
            <w:r w:rsidRPr="00045371">
              <w:rPr>
                <w:rFonts w:hAnsi="Times New Roman" w:cs="Times New Roman"/>
                <w:lang w:val="lt-LT"/>
              </w:rPr>
              <w:t>s</w:t>
            </w:r>
            <w:r w:rsidRPr="00045371">
              <w:rPr>
                <w:rFonts w:hAnsi="Times New Roman" w:cs="Times New Roman"/>
                <w:lang w:val="lt-LT"/>
              </w:rPr>
              <w:t>temos dalimi, kuriai patikimos svarbios funkcijos ir suteikiami įgaliojimai koordinuoti veiksmus su ES valstybių narių nacionalinėmis priežiūros institucijomis ir FIU.</w:t>
            </w:r>
            <w:r w:rsidRPr="00045371">
              <w:rPr>
                <w:sz w:val="26"/>
                <w:szCs w:val="26"/>
                <w:lang w:val="lt-LT"/>
              </w:rPr>
              <w:t xml:space="preserve">  </w:t>
            </w:r>
          </w:p>
          <w:p w:rsidR="000E685F" w:rsidRPr="00045371" w:rsidRDefault="000E685F" w:rsidP="000E685F">
            <w:pPr>
              <w:pStyle w:val="BodyA"/>
              <w:numPr>
                <w:ilvl w:val="0"/>
                <w:numId w:val="25"/>
              </w:numPr>
              <w:jc w:val="both"/>
              <w:rPr>
                <w:rFonts w:hAnsi="Times New Roman" w:cs="Times New Roman"/>
                <w:lang w:val="lt-LT"/>
              </w:rPr>
            </w:pPr>
            <w:r w:rsidRPr="00045371">
              <w:rPr>
                <w:rFonts w:eastAsiaTheme="minorHAnsi" w:hAnsi="Times New Roman" w:cs="Times New Roman"/>
                <w:b/>
                <w:lang w:val="lt-LT"/>
              </w:rPr>
              <w:t>Pasiūlymas dėl Europos Parlamento ir Tarybos reglamento dėl informacijos teikimo vy</w:t>
            </w:r>
            <w:r w:rsidRPr="00045371">
              <w:rPr>
                <w:rFonts w:eastAsiaTheme="minorHAnsi" w:hAnsi="Times New Roman" w:cs="Times New Roman"/>
                <w:b/>
                <w:lang w:val="lt-LT"/>
              </w:rPr>
              <w:t>k</w:t>
            </w:r>
            <w:r w:rsidRPr="00045371">
              <w:rPr>
                <w:rFonts w:eastAsiaTheme="minorHAnsi" w:hAnsi="Times New Roman" w:cs="Times New Roman"/>
                <w:b/>
                <w:lang w:val="lt-LT"/>
              </w:rPr>
              <w:t>dant lėšų ir kripto turto pervedimus</w:t>
            </w:r>
            <w:r w:rsidRPr="00045371">
              <w:rPr>
                <w:rFonts w:hAnsi="Times New Roman" w:cs="Times New Roman"/>
                <w:lang w:val="lt-LT" w:eastAsia="lt-LT"/>
              </w:rPr>
              <w:t>. Pasiūlyme numatoma išplėsti Reglamento taikymo sritį į ją įtraukiant kripto turto paslaugų teikėjus (KTPT), vykdančius kripto turto pervedimus taikant jiems tuos pačius reikalavimus kaip ir tarptautiniams elektroniniams pervedimams. Numatyti reikalavimai bus taikomi KTPT, vykdantiems įprastą elektroninį pervedimą, vykdantiems kripto turto pervedimą kitam KTPT arba kripto turto pervedimą įpareigotajam subjektui.</w:t>
            </w:r>
            <w:r w:rsidRPr="00045371">
              <w:rPr>
                <w:sz w:val="26"/>
                <w:szCs w:val="26"/>
                <w:lang w:val="lt-LT" w:eastAsia="lt-LT"/>
              </w:rPr>
              <w:t xml:space="preserve"> </w:t>
            </w:r>
          </w:p>
          <w:p w:rsidR="0014282B" w:rsidRPr="00045371" w:rsidRDefault="0014282B" w:rsidP="0014282B">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lang w:val="lt-LT"/>
              </w:rPr>
              <w:t xml:space="preserve"> </w:t>
            </w:r>
            <w:r w:rsidR="000E685F" w:rsidRPr="00045371">
              <w:rPr>
                <w:rFonts w:hAnsi="Times New Roman" w:cs="Times New Roman"/>
                <w:lang w:val="lt-LT"/>
              </w:rPr>
              <w:t>Išklausyti informaciją.</w:t>
            </w:r>
          </w:p>
          <w:p w:rsidR="0014282B" w:rsidRPr="00045371" w:rsidRDefault="0014282B" w:rsidP="00A32B88">
            <w:pPr>
              <w:pStyle w:val="BodyA"/>
              <w:jc w:val="both"/>
              <w:rPr>
                <w:rFonts w:hAnsi="Times New Roman" w:cs="Times New Roman"/>
                <w:b/>
                <w:lang w:val="lt-LT"/>
              </w:rPr>
            </w:pPr>
          </w:p>
          <w:p w:rsidR="007F5B19" w:rsidRPr="00045371" w:rsidRDefault="00B9215C" w:rsidP="00A32B88">
            <w:pPr>
              <w:pStyle w:val="BodyA"/>
              <w:jc w:val="both"/>
              <w:rPr>
                <w:rFonts w:hAnsi="Times New Roman" w:cs="Times New Roman"/>
                <w:b/>
                <w:lang w:val="lt-LT"/>
              </w:rPr>
            </w:pPr>
            <w:r w:rsidRPr="00045371">
              <w:rPr>
                <w:rFonts w:hAnsi="Times New Roman" w:cs="Times New Roman"/>
                <w:b/>
                <w:lang w:val="lt-LT"/>
              </w:rPr>
              <w:t>6</w:t>
            </w:r>
            <w:r w:rsidR="0014282B" w:rsidRPr="00045371">
              <w:rPr>
                <w:rFonts w:hAnsi="Times New Roman" w:cs="Times New Roman"/>
                <w:b/>
                <w:lang w:val="lt-LT"/>
              </w:rPr>
              <w:t>. Ekonomikos atsigavimas ES:</w:t>
            </w:r>
          </w:p>
          <w:p w:rsidR="007F5B19" w:rsidRPr="00045371" w:rsidRDefault="007F5B19" w:rsidP="00A32B88">
            <w:pPr>
              <w:pStyle w:val="BodyA"/>
              <w:jc w:val="both"/>
              <w:rPr>
                <w:rFonts w:hAnsi="Times New Roman" w:cs="Times New Roman"/>
                <w:b/>
                <w:lang w:val="lt-LT"/>
              </w:rPr>
            </w:pPr>
            <w:r w:rsidRPr="00045371">
              <w:rPr>
                <w:rFonts w:hAnsi="Times New Roman" w:cs="Times New Roman"/>
                <w:b/>
                <w:lang w:val="lt-LT"/>
              </w:rPr>
              <w:t xml:space="preserve">a) </w:t>
            </w:r>
            <w:r w:rsidR="0014282B" w:rsidRPr="00045371">
              <w:rPr>
                <w:rFonts w:hAnsi="Times New Roman" w:cs="Times New Roman"/>
                <w:b/>
                <w:lang w:val="lt-LT"/>
              </w:rPr>
              <w:t>Ekonomikos gaivinimo ir atsparumo didinimo priemonės (RRF)</w:t>
            </w:r>
            <w:r w:rsidRPr="00045371">
              <w:rPr>
                <w:rFonts w:hAnsi="Times New Roman" w:cs="Times New Roman"/>
                <w:b/>
                <w:lang w:val="lt-LT"/>
              </w:rPr>
              <w:t xml:space="preserve"> įgyvendinimas </w:t>
            </w:r>
            <w:r w:rsidRPr="00711AF9">
              <w:rPr>
                <w:rFonts w:hAnsi="Times New Roman" w:cs="Times New Roman"/>
                <w:i/>
                <w:lang w:val="lt-LT"/>
              </w:rPr>
              <w:t>(</w:t>
            </w:r>
            <w:r w:rsidRPr="00045371">
              <w:rPr>
                <w:rFonts w:hAnsi="Times New Roman" w:cs="Times New Roman"/>
                <w:i/>
                <w:lang w:val="lt-LT"/>
              </w:rPr>
              <w:t>Dabartinė p</w:t>
            </w:r>
            <w:r w:rsidRPr="00045371">
              <w:rPr>
                <w:rFonts w:hAnsi="Times New Roman" w:cs="Times New Roman"/>
                <w:i/>
                <w:lang w:val="lt-LT"/>
              </w:rPr>
              <w:t>a</w:t>
            </w:r>
            <w:r w:rsidRPr="00045371">
              <w:rPr>
                <w:rFonts w:hAnsi="Times New Roman" w:cs="Times New Roman"/>
                <w:i/>
                <w:lang w:val="lt-LT"/>
              </w:rPr>
              <w:t>dėtis / pasikeitimas nuomonėmis)</w:t>
            </w:r>
          </w:p>
          <w:p w:rsidR="00A32B88" w:rsidRPr="00045371" w:rsidRDefault="007F5B19" w:rsidP="00A32B88">
            <w:pPr>
              <w:pStyle w:val="BodyA"/>
              <w:jc w:val="both"/>
              <w:rPr>
                <w:rFonts w:hAnsi="Times New Roman" w:cs="Times New Roman"/>
                <w:i/>
                <w:lang w:val="lt-LT"/>
              </w:rPr>
            </w:pPr>
            <w:r w:rsidRPr="00045371">
              <w:rPr>
                <w:rFonts w:hAnsi="Times New Roman" w:cs="Times New Roman"/>
                <w:b/>
                <w:lang w:val="lt-LT"/>
              </w:rPr>
              <w:t xml:space="preserve">b) </w:t>
            </w:r>
            <w:r w:rsidR="00A32B88" w:rsidRPr="00045371">
              <w:rPr>
                <w:rFonts w:hAnsi="Times New Roman" w:cs="Times New Roman"/>
                <w:lang w:val="lt-LT"/>
              </w:rPr>
              <w:t xml:space="preserve">(galimas) </w:t>
            </w:r>
            <w:r w:rsidR="0014282B" w:rsidRPr="00045371">
              <w:rPr>
                <w:rFonts w:hAnsi="Times New Roman" w:cs="Times New Roman"/>
                <w:b/>
                <w:lang w:val="lt-LT"/>
              </w:rPr>
              <w:t>Tarybos įgyvendinimo sprendimai</w:t>
            </w:r>
            <w:r w:rsidRPr="00045371">
              <w:rPr>
                <w:rFonts w:hAnsi="Times New Roman" w:cs="Times New Roman"/>
                <w:b/>
                <w:lang w:val="lt-LT"/>
              </w:rPr>
              <w:t xml:space="preserve"> pagal RRF reglamentą</w:t>
            </w:r>
            <w:r w:rsidR="00A32B88" w:rsidRPr="00045371">
              <w:rPr>
                <w:rFonts w:hAnsi="Times New Roman" w:cs="Times New Roman"/>
                <w:b/>
                <w:lang w:val="lt-LT"/>
              </w:rPr>
              <w:t xml:space="preserve"> </w:t>
            </w:r>
            <w:r w:rsidRPr="00045371">
              <w:rPr>
                <w:rFonts w:hAnsi="Times New Roman" w:cs="Times New Roman"/>
                <w:i/>
                <w:lang w:val="lt-LT"/>
              </w:rPr>
              <w:t xml:space="preserve">(Priėmimas) </w:t>
            </w:r>
          </w:p>
          <w:p w:rsidR="00A70677" w:rsidRPr="00045371" w:rsidRDefault="00816959" w:rsidP="00743EDA">
            <w:pPr>
              <w:pStyle w:val="BodyA"/>
              <w:jc w:val="both"/>
              <w:rPr>
                <w:rFonts w:hAnsi="Times New Roman" w:cs="Times New Roman"/>
                <w:lang w:val="lt-LT"/>
              </w:rPr>
            </w:pPr>
            <w:r w:rsidRPr="00045371">
              <w:rPr>
                <w:rFonts w:hAnsi="Times New Roman" w:cs="Times New Roman"/>
                <w:b/>
                <w:u w:val="single"/>
                <w:lang w:val="lt-LT"/>
              </w:rPr>
              <w:t>Klausimo esmė.</w:t>
            </w:r>
            <w:r w:rsidRPr="00045371">
              <w:rPr>
                <w:rFonts w:hAnsi="Times New Roman" w:cs="Times New Roman"/>
                <w:lang w:val="lt-LT"/>
              </w:rPr>
              <w:t xml:space="preserve"> </w:t>
            </w:r>
          </w:p>
          <w:p w:rsidR="00743EDA" w:rsidRPr="00045371" w:rsidRDefault="00A70677" w:rsidP="00743EDA">
            <w:pPr>
              <w:pStyle w:val="BodyA"/>
              <w:jc w:val="both"/>
              <w:rPr>
                <w:rFonts w:hAnsi="Times New Roman" w:cs="Times New Roman"/>
                <w:lang w:val="lt-LT"/>
              </w:rPr>
            </w:pPr>
            <w:r w:rsidRPr="00045371">
              <w:rPr>
                <w:rFonts w:hAnsi="Times New Roman" w:cs="Times New Roman"/>
                <w:u w:val="single"/>
                <w:lang w:val="lt-LT"/>
              </w:rPr>
              <w:t>RRF priemonės įgyvendinimas.</w:t>
            </w:r>
            <w:r w:rsidRPr="00045371">
              <w:rPr>
                <w:rFonts w:hAnsi="Times New Roman" w:cs="Times New Roman"/>
                <w:lang w:val="lt-LT"/>
              </w:rPr>
              <w:t xml:space="preserve"> </w:t>
            </w:r>
            <w:r w:rsidR="00185FD2" w:rsidRPr="00045371">
              <w:rPr>
                <w:rFonts w:hAnsi="Times New Roman" w:cs="Times New Roman"/>
                <w:lang w:val="lt-LT"/>
              </w:rPr>
              <w:t xml:space="preserve">ECOFIN metu </w:t>
            </w:r>
            <w:r w:rsidR="000E685F" w:rsidRPr="00045371">
              <w:rPr>
                <w:rFonts w:hAnsi="Times New Roman" w:cs="Times New Roman"/>
                <w:lang w:val="lt-LT"/>
              </w:rPr>
              <w:t>EK</w:t>
            </w:r>
            <w:r w:rsidR="00185FD2" w:rsidRPr="00045371">
              <w:rPr>
                <w:rFonts w:hAnsi="Times New Roman" w:cs="Times New Roman"/>
                <w:lang w:val="lt-LT"/>
              </w:rPr>
              <w:t xml:space="preserve"> pateiks informaciją apie </w:t>
            </w:r>
            <w:r w:rsidR="002446DC" w:rsidRPr="00045371">
              <w:rPr>
                <w:rFonts w:hAnsi="Times New Roman" w:cs="Times New Roman"/>
                <w:lang w:val="lt-LT"/>
              </w:rPr>
              <w:t>e</w:t>
            </w:r>
            <w:r w:rsidR="00185FD2" w:rsidRPr="00045371">
              <w:rPr>
                <w:rFonts w:hAnsi="Times New Roman" w:cs="Times New Roman"/>
                <w:lang w:val="lt-LT"/>
              </w:rPr>
              <w:t xml:space="preserve">samą </w:t>
            </w:r>
            <w:r w:rsidR="000E685F" w:rsidRPr="00045371">
              <w:rPr>
                <w:rFonts w:hAnsi="Times New Roman" w:cs="Times New Roman"/>
                <w:lang w:val="lt-LT"/>
              </w:rPr>
              <w:t xml:space="preserve">RRF įgyvendinimo </w:t>
            </w:r>
            <w:r w:rsidR="00185FD2" w:rsidRPr="00045371">
              <w:rPr>
                <w:rFonts w:hAnsi="Times New Roman" w:cs="Times New Roman"/>
                <w:lang w:val="lt-LT"/>
              </w:rPr>
              <w:t xml:space="preserve">situaciją. </w:t>
            </w:r>
            <w:r w:rsidR="00A32B88" w:rsidRPr="00045371">
              <w:rPr>
                <w:rFonts w:hAnsi="Times New Roman" w:cs="Times New Roman"/>
                <w:lang w:val="lt-LT"/>
              </w:rPr>
              <w:t xml:space="preserve">Iki šiol EK oficialiai </w:t>
            </w:r>
            <w:r w:rsidR="000E685F" w:rsidRPr="00045371">
              <w:rPr>
                <w:rFonts w:hAnsi="Times New Roman" w:cs="Times New Roman"/>
                <w:lang w:val="lt-LT"/>
              </w:rPr>
              <w:t xml:space="preserve">savo ekonomikos gaivinimo ir atsparumo </w:t>
            </w:r>
            <w:r w:rsidR="00415EE1">
              <w:rPr>
                <w:rFonts w:hAnsi="Times New Roman" w:cs="Times New Roman"/>
                <w:lang w:val="lt-LT"/>
              </w:rPr>
              <w:t>didinimo</w:t>
            </w:r>
            <w:r w:rsidR="000E685F" w:rsidRPr="00045371">
              <w:rPr>
                <w:rFonts w:hAnsi="Times New Roman" w:cs="Times New Roman"/>
                <w:lang w:val="lt-LT"/>
              </w:rPr>
              <w:t xml:space="preserve"> planus (</w:t>
            </w:r>
            <w:r w:rsidR="00A32B88" w:rsidRPr="00045371">
              <w:rPr>
                <w:rFonts w:hAnsi="Times New Roman" w:cs="Times New Roman"/>
                <w:lang w:val="lt-LT"/>
              </w:rPr>
              <w:t>RRP</w:t>
            </w:r>
            <w:r w:rsidR="000E685F" w:rsidRPr="00045371">
              <w:rPr>
                <w:rFonts w:hAnsi="Times New Roman" w:cs="Times New Roman"/>
                <w:lang w:val="lt-LT"/>
              </w:rPr>
              <w:t>)</w:t>
            </w:r>
            <w:r w:rsidR="00A32B88" w:rsidRPr="00045371">
              <w:rPr>
                <w:rFonts w:hAnsi="Times New Roman" w:cs="Times New Roman"/>
                <w:lang w:val="lt-LT"/>
              </w:rPr>
              <w:t xml:space="preserve"> pateikė 26 šalys (plano dar nepateikė NL). EK jau yra pateikusi 22 šalių planų vertinimus, visi jie teigiami</w:t>
            </w:r>
            <w:r w:rsidR="002F05FC" w:rsidRPr="00045371">
              <w:rPr>
                <w:rFonts w:hAnsi="Times New Roman" w:cs="Times New Roman"/>
                <w:lang w:val="lt-LT"/>
              </w:rPr>
              <w:t xml:space="preserve"> ir jau buvo patv</w:t>
            </w:r>
            <w:r w:rsidR="002023B1" w:rsidRPr="00045371">
              <w:rPr>
                <w:rFonts w:hAnsi="Times New Roman" w:cs="Times New Roman"/>
                <w:lang w:val="lt-LT"/>
              </w:rPr>
              <w:t>i</w:t>
            </w:r>
            <w:r w:rsidR="002F05FC" w:rsidRPr="00045371">
              <w:rPr>
                <w:rFonts w:hAnsi="Times New Roman" w:cs="Times New Roman"/>
                <w:lang w:val="lt-LT"/>
              </w:rPr>
              <w:t>rtinti Tarybos</w:t>
            </w:r>
            <w:r w:rsidR="00A32B88" w:rsidRPr="00045371">
              <w:rPr>
                <w:rFonts w:hAnsi="Times New Roman" w:cs="Times New Roman"/>
                <w:lang w:val="lt-LT"/>
              </w:rPr>
              <w:t>.</w:t>
            </w:r>
            <w:r w:rsidR="00052A62" w:rsidRPr="00045371">
              <w:rPr>
                <w:rFonts w:hAnsi="Times New Roman" w:cs="Times New Roman"/>
                <w:lang w:val="lt-LT"/>
              </w:rPr>
              <w:t xml:space="preserve"> </w:t>
            </w:r>
            <w:r w:rsidR="00743EDA" w:rsidRPr="00045371">
              <w:rPr>
                <w:rFonts w:hAnsi="Times New Roman" w:cs="Times New Roman"/>
                <w:lang w:val="lt-LT"/>
              </w:rPr>
              <w:t>Iki šiol EK nėra pateikusi SE, BG, HU ir PL planų vertinimo. Planuojama, kad Komisija artimiausiu metu galėtų pateikti SE ir BG planų vertinimus.</w:t>
            </w:r>
            <w:r w:rsidR="002F05FC" w:rsidRPr="00045371">
              <w:rPr>
                <w:lang w:val="lt-LT"/>
              </w:rPr>
              <w:t xml:space="preserve"> </w:t>
            </w:r>
            <w:r w:rsidR="002F05FC" w:rsidRPr="00045371">
              <w:rPr>
                <w:rFonts w:hAnsi="Times New Roman" w:cs="Times New Roman"/>
                <w:lang w:val="lt-LT"/>
              </w:rPr>
              <w:t>Ispanija yra pirmoji šalis lapkričio mėn. pateikusi savo išmokėjimo prašymą, kurį šiuo metu vertina EK. Iki š. m. pabaigos savo mokėjimo prašymus ketina pateikti Italija ir Prancūzija.</w:t>
            </w:r>
          </w:p>
          <w:p w:rsidR="00F56596" w:rsidRPr="00045371" w:rsidRDefault="00F56596" w:rsidP="00743EDA">
            <w:pPr>
              <w:pStyle w:val="BodyA"/>
              <w:jc w:val="both"/>
              <w:rPr>
                <w:rFonts w:hAnsi="Times New Roman" w:cs="Times New Roman"/>
                <w:lang w:val="lt-LT"/>
              </w:rPr>
            </w:pPr>
            <w:r w:rsidRPr="00045371">
              <w:rPr>
                <w:rFonts w:hAnsi="Times New Roman" w:cs="Times New Roman"/>
                <w:lang w:val="lt-LT"/>
              </w:rPr>
              <w:t>Lietuva jau pasirašė plano finansavimo susitarimą ir gavo 13 proc. (289 mln. EUR) avansinį mokėjimą.</w:t>
            </w:r>
          </w:p>
          <w:p w:rsidR="00816959" w:rsidRPr="00045371" w:rsidRDefault="002F05FC" w:rsidP="00743EDA">
            <w:pPr>
              <w:pStyle w:val="BodyA"/>
              <w:tabs>
                <w:tab w:val="left" w:pos="2719"/>
              </w:tabs>
              <w:jc w:val="both"/>
              <w:rPr>
                <w:rFonts w:hAnsi="Times New Roman" w:cs="Times New Roman"/>
                <w:lang w:val="lt-LT"/>
              </w:rPr>
            </w:pPr>
            <w:r w:rsidRPr="00045371">
              <w:rPr>
                <w:rFonts w:hAnsi="Times New Roman" w:cs="Times New Roman"/>
                <w:lang w:val="lt-LT"/>
              </w:rPr>
              <w:t>Lietuvos veiklos susitarimai ir susijęs priedas šiuo metu derinam</w:t>
            </w:r>
            <w:r w:rsidR="00711AF9">
              <w:rPr>
                <w:rFonts w:hAnsi="Times New Roman" w:cs="Times New Roman"/>
                <w:lang w:val="lt-LT"/>
              </w:rPr>
              <w:t>i</w:t>
            </w:r>
            <w:r w:rsidRPr="00045371">
              <w:rPr>
                <w:rFonts w:hAnsi="Times New Roman" w:cs="Times New Roman"/>
                <w:lang w:val="lt-LT"/>
              </w:rPr>
              <w:t xml:space="preserve"> su EK. Pirma ataskaita dėl RRP įg</w:t>
            </w:r>
            <w:r w:rsidRPr="00045371">
              <w:rPr>
                <w:rFonts w:hAnsi="Times New Roman" w:cs="Times New Roman"/>
                <w:lang w:val="lt-LT"/>
              </w:rPr>
              <w:t>y</w:t>
            </w:r>
            <w:r w:rsidRPr="00045371">
              <w:rPr>
                <w:rFonts w:hAnsi="Times New Roman" w:cs="Times New Roman"/>
                <w:lang w:val="lt-LT"/>
              </w:rPr>
              <w:t xml:space="preserve">vendinimo bus pateikta EK lapkričio 30 d. Pirmą išmokėjimo prašymą planuojama pateikti 2022 m. </w:t>
            </w:r>
            <w:r w:rsidR="002023B1" w:rsidRPr="00045371">
              <w:rPr>
                <w:rFonts w:hAnsi="Times New Roman" w:cs="Times New Roman"/>
                <w:lang w:val="lt-LT"/>
              </w:rPr>
              <w:t>III ketv.</w:t>
            </w:r>
            <w:r w:rsidR="00625288" w:rsidRPr="00045371">
              <w:rPr>
                <w:rFonts w:hAnsi="Times New Roman" w:cs="Times New Roman"/>
                <w:lang w:val="lt-LT"/>
              </w:rPr>
              <w:tab/>
            </w:r>
          </w:p>
          <w:p w:rsidR="009C6662" w:rsidRPr="00045371" w:rsidRDefault="00816959" w:rsidP="00EC2021">
            <w:pPr>
              <w:pStyle w:val="BodyA"/>
              <w:jc w:val="both"/>
              <w:rPr>
                <w:rFonts w:hAnsi="Times New Roman" w:cs="Times New Roman"/>
                <w:u w:val="single"/>
                <w:lang w:val="lt-LT"/>
              </w:rPr>
            </w:pPr>
            <w:r w:rsidRPr="00045371">
              <w:rPr>
                <w:rFonts w:hAnsi="Times New Roman" w:cs="Times New Roman"/>
                <w:b/>
                <w:u w:val="single"/>
                <w:lang w:val="lt-LT"/>
              </w:rPr>
              <w:t>Lietuvos pozicija</w:t>
            </w:r>
            <w:r w:rsidRPr="00045371">
              <w:rPr>
                <w:rFonts w:hAnsi="Times New Roman" w:cs="Times New Roman"/>
                <w:u w:val="single"/>
                <w:lang w:val="lt-LT"/>
              </w:rPr>
              <w:t>.</w:t>
            </w:r>
            <w:r w:rsidRPr="00045371">
              <w:rPr>
                <w:rFonts w:hAnsi="Times New Roman" w:cs="Times New Roman"/>
                <w:lang w:val="lt-LT"/>
              </w:rPr>
              <w:t xml:space="preserve"> </w:t>
            </w:r>
            <w:r w:rsidR="00350671" w:rsidRPr="00045371">
              <w:rPr>
                <w:rFonts w:hAnsi="Times New Roman" w:cs="Times New Roman"/>
                <w:lang w:val="lt-LT"/>
              </w:rPr>
              <w:t xml:space="preserve">Išklausyti informaciją. </w:t>
            </w:r>
          </w:p>
          <w:p w:rsidR="00C70F7A" w:rsidRPr="00045371" w:rsidRDefault="00C70F7A" w:rsidP="009C6662">
            <w:pPr>
              <w:pStyle w:val="BodyA"/>
              <w:jc w:val="both"/>
              <w:rPr>
                <w:rFonts w:hAnsi="Times New Roman" w:cs="Times New Roman"/>
                <w:lang w:val="lt-LT"/>
              </w:rPr>
            </w:pPr>
          </w:p>
          <w:p w:rsidR="0014282B" w:rsidRPr="00045371" w:rsidRDefault="00B9215C" w:rsidP="0014282B">
            <w:pPr>
              <w:contextualSpacing/>
              <w:jc w:val="both"/>
              <w:rPr>
                <w:b/>
                <w:lang w:val="lt-LT"/>
              </w:rPr>
            </w:pPr>
            <w:r w:rsidRPr="00045371">
              <w:rPr>
                <w:b/>
                <w:lang w:val="lt-LT"/>
              </w:rPr>
              <w:t>7</w:t>
            </w:r>
            <w:r w:rsidR="00193BC3" w:rsidRPr="00045371">
              <w:rPr>
                <w:b/>
                <w:lang w:val="lt-LT"/>
              </w:rPr>
              <w:t>.</w:t>
            </w:r>
            <w:r w:rsidR="0014282B" w:rsidRPr="00045371">
              <w:rPr>
                <w:lang w:val="lt-LT"/>
              </w:rPr>
              <w:t xml:space="preserve"> </w:t>
            </w:r>
            <w:r w:rsidR="0014282B" w:rsidRPr="00045371">
              <w:rPr>
                <w:b/>
                <w:lang w:val="lt-LT"/>
              </w:rPr>
              <w:t xml:space="preserve">2022 m. Europos semestras: </w:t>
            </w:r>
          </w:p>
          <w:p w:rsidR="00F06A46" w:rsidRPr="00045371" w:rsidRDefault="0014282B" w:rsidP="0014282B">
            <w:pPr>
              <w:contextualSpacing/>
              <w:jc w:val="both"/>
              <w:rPr>
                <w:b/>
                <w:lang w:val="lt-LT"/>
              </w:rPr>
            </w:pPr>
            <w:r w:rsidRPr="00045371">
              <w:rPr>
                <w:b/>
                <w:lang w:val="lt-LT"/>
              </w:rPr>
              <w:t xml:space="preserve">Metinė tvaraus augimo apžvalga, 2022 m. įspėjimo mechanizmo ataskaita ir rekomendacijos dėl euro zonos ekonominės politikos </w:t>
            </w:r>
            <w:r w:rsidRPr="00045371">
              <w:rPr>
                <w:i/>
                <w:lang w:val="lt-LT"/>
              </w:rPr>
              <w:t>(Komisijos pristatymas)</w:t>
            </w:r>
          </w:p>
          <w:p w:rsidR="00001539" w:rsidRPr="00045371" w:rsidRDefault="00F06A46" w:rsidP="00001539">
            <w:pPr>
              <w:contextualSpacing/>
              <w:jc w:val="both"/>
              <w:rPr>
                <w:rFonts w:eastAsia="Calibri"/>
                <w:bCs/>
                <w:color w:val="000000"/>
                <w:bdr w:val="none" w:sz="0" w:space="0" w:color="auto"/>
                <w:lang w:val="lt-LT"/>
              </w:rPr>
            </w:pPr>
            <w:r w:rsidRPr="00045371">
              <w:rPr>
                <w:b/>
                <w:u w:val="single"/>
                <w:lang w:val="lt-LT"/>
              </w:rPr>
              <w:t>Klausimo esmė:</w:t>
            </w:r>
            <w:r w:rsidRPr="00286F86">
              <w:rPr>
                <w:b/>
                <w:lang w:val="lt-LT"/>
              </w:rPr>
              <w:t xml:space="preserve"> </w:t>
            </w:r>
            <w:r w:rsidR="00001539" w:rsidRPr="00045371">
              <w:rPr>
                <w:rFonts w:eastAsia="Calibri"/>
                <w:bdr w:val="none" w:sz="0" w:space="0" w:color="auto"/>
                <w:lang w:val="lt-LT"/>
              </w:rPr>
              <w:t>Lapkričio 24 d. Europos Komisija paskelbė Europos semestro rudens paketą, kurį s</w:t>
            </w:r>
            <w:r w:rsidR="00001539" w:rsidRPr="00045371">
              <w:rPr>
                <w:rFonts w:eastAsia="Calibri"/>
                <w:bdr w:val="none" w:sz="0" w:space="0" w:color="auto"/>
                <w:lang w:val="lt-LT"/>
              </w:rPr>
              <w:t>u</w:t>
            </w:r>
            <w:r w:rsidR="00001539" w:rsidRPr="00045371">
              <w:rPr>
                <w:rFonts w:eastAsia="Calibri"/>
                <w:bdr w:val="none" w:sz="0" w:space="0" w:color="auto"/>
                <w:lang w:val="lt-LT"/>
              </w:rPr>
              <w:t xml:space="preserve">daro </w:t>
            </w:r>
            <w:r w:rsidR="00001539" w:rsidRPr="00045371">
              <w:rPr>
                <w:rFonts w:eastAsia="Calibri"/>
                <w:bCs/>
                <w:color w:val="000000"/>
                <w:bdr w:val="none" w:sz="0" w:space="0" w:color="auto"/>
                <w:lang w:val="lt-LT"/>
              </w:rPr>
              <w:t>Metinė tvaraus augimo apžvalga, Įspėjimo mechanizmo ataskaita, Bendra užimtumo ataskaita, Euro zonos rekomendacijos, Euro zonos šalių 2022 m. biudžeto planų vertinimai bei po-programinių šalių stebėjimo ataskaitos.</w:t>
            </w:r>
          </w:p>
          <w:p w:rsidR="00001539" w:rsidRPr="00045371" w:rsidRDefault="00001539" w:rsidP="0000153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45371">
              <w:rPr>
                <w:rFonts w:eastAsia="Calibri"/>
                <w:b/>
                <w:bdr w:val="none" w:sz="0" w:space="0" w:color="auto"/>
                <w:lang w:val="lt-LT"/>
              </w:rPr>
              <w:t>Meti</w:t>
            </w:r>
            <w:r w:rsidR="00DB00C5" w:rsidRPr="00045371">
              <w:rPr>
                <w:rFonts w:eastAsia="Calibri"/>
                <w:b/>
                <w:bdr w:val="none" w:sz="0" w:space="0" w:color="auto"/>
                <w:lang w:val="lt-LT"/>
              </w:rPr>
              <w:t>nėje tvaraus augimo apžvalgoje</w:t>
            </w:r>
            <w:r w:rsidRPr="00045371">
              <w:rPr>
                <w:rFonts w:eastAsia="Calibri"/>
                <w:b/>
                <w:bdr w:val="none" w:sz="0" w:space="0" w:color="auto"/>
                <w:lang w:val="lt-LT"/>
              </w:rPr>
              <w:t xml:space="preserve"> </w:t>
            </w:r>
            <w:r w:rsidRPr="00045371">
              <w:rPr>
                <w:rFonts w:eastAsia="Calibri"/>
                <w:bdr w:val="none" w:sz="0" w:space="0" w:color="auto"/>
                <w:lang w:val="lt-LT"/>
              </w:rPr>
              <w:t>yra aprašomi ES ekonomikos augimo prioritetai, kaip ir ankste</w:t>
            </w:r>
            <w:r w:rsidRPr="00045371">
              <w:rPr>
                <w:rFonts w:eastAsia="Calibri"/>
                <w:bdr w:val="none" w:sz="0" w:space="0" w:color="auto"/>
                <w:lang w:val="lt-LT"/>
              </w:rPr>
              <w:t>s</w:t>
            </w:r>
            <w:r w:rsidRPr="00045371">
              <w:rPr>
                <w:rFonts w:eastAsia="Calibri"/>
                <w:bdr w:val="none" w:sz="0" w:space="0" w:color="auto"/>
                <w:lang w:val="lt-LT"/>
              </w:rPr>
              <w:t>niais metais, jie paremti keturiomis konkurencingo tvarumo dimensijomis: aplinka, produktyvumas, teisingumas, stabilumas.</w:t>
            </w:r>
          </w:p>
          <w:p w:rsidR="00103467" w:rsidRPr="00045371" w:rsidRDefault="00103467" w:rsidP="0014282B">
            <w:pPr>
              <w:pStyle w:val="Sraopastraipa"/>
              <w:widowControl w:val="0"/>
              <w:tabs>
                <w:tab w:val="left" w:pos="0"/>
              </w:tabs>
              <w:suppressAutoHyphens/>
              <w:autoSpaceDN w:val="0"/>
              <w:spacing w:after="0" w:line="240" w:lineRule="auto"/>
              <w:ind w:left="0"/>
              <w:jc w:val="both"/>
              <w:textAlignment w:val="baseline"/>
              <w:rPr>
                <w:rFonts w:eastAsia="Times New Roman" w:hAnsi="Times New Roman" w:cs="Times New Roman"/>
                <w:bdr w:val="none" w:sz="0" w:space="0" w:color="auto"/>
                <w:lang w:val="lt-LT" w:eastAsia="lt-LT"/>
              </w:rPr>
            </w:pPr>
          </w:p>
          <w:p w:rsidR="00001539" w:rsidRPr="00045371" w:rsidRDefault="00001539" w:rsidP="00001539">
            <w:pPr>
              <w:contextualSpacing/>
              <w:jc w:val="both"/>
              <w:rPr>
                <w:rFonts w:eastAsia="Calibri"/>
                <w:bdr w:val="none" w:sz="0" w:space="0" w:color="auto"/>
                <w:lang w:val="lt-LT"/>
              </w:rPr>
            </w:pPr>
            <w:r w:rsidRPr="00045371">
              <w:rPr>
                <w:rFonts w:eastAsia="Calibri"/>
                <w:b/>
                <w:bdr w:val="none" w:sz="0" w:space="0" w:color="auto"/>
                <w:lang w:val="lt-LT"/>
              </w:rPr>
              <w:t xml:space="preserve">Įspėjimo mechanizmo ataskaitoje </w:t>
            </w:r>
            <w:r w:rsidRPr="00045371">
              <w:rPr>
                <w:rFonts w:eastAsia="Calibri"/>
                <w:bdr w:val="none" w:sz="0" w:space="0" w:color="auto"/>
                <w:lang w:val="lt-LT"/>
              </w:rPr>
              <w:t>pažymima, kad</w:t>
            </w:r>
            <w:r w:rsidRPr="00045371">
              <w:rPr>
                <w:rFonts w:eastAsia="Calibri"/>
                <w:b/>
                <w:bdr w:val="none" w:sz="0" w:space="0" w:color="auto"/>
                <w:lang w:val="lt-LT"/>
              </w:rPr>
              <w:t xml:space="preserve"> </w:t>
            </w:r>
            <w:r w:rsidRPr="00045371">
              <w:rPr>
                <w:rFonts w:eastAsia="Calibri"/>
                <w:bdr w:val="none" w:sz="0" w:space="0" w:color="auto"/>
                <w:lang w:val="lt-LT"/>
              </w:rPr>
              <w:t>Lietuva į COVID-19 krizę pateko neturėdama ma</w:t>
            </w:r>
            <w:r w:rsidRPr="00045371">
              <w:rPr>
                <w:rFonts w:eastAsia="Calibri"/>
                <w:bdr w:val="none" w:sz="0" w:space="0" w:color="auto"/>
                <w:lang w:val="lt-LT"/>
              </w:rPr>
              <w:t>k</w:t>
            </w:r>
            <w:r w:rsidRPr="00045371">
              <w:rPr>
                <w:rFonts w:eastAsia="Calibri"/>
                <w:bdr w:val="none" w:sz="0" w:space="0" w:color="auto"/>
                <w:lang w:val="lt-LT"/>
              </w:rPr>
              <w:t>roekonominių disbalansų, nepaisant ribotos rizikos dėl konkurencingumo dinamikos. Atnaujintoje Įsp</w:t>
            </w:r>
            <w:r w:rsidRPr="00045371">
              <w:rPr>
                <w:rFonts w:eastAsia="Calibri"/>
                <w:bdr w:val="none" w:sz="0" w:space="0" w:color="auto"/>
                <w:lang w:val="lt-LT"/>
              </w:rPr>
              <w:t>ė</w:t>
            </w:r>
            <w:r w:rsidRPr="00045371">
              <w:rPr>
                <w:rFonts w:eastAsia="Calibri"/>
                <w:bdr w:val="none" w:sz="0" w:space="0" w:color="auto"/>
                <w:lang w:val="lt-LT"/>
              </w:rPr>
              <w:t>jimo mechanizmo švie</w:t>
            </w:r>
            <w:r w:rsidR="000E685F" w:rsidRPr="00045371">
              <w:rPr>
                <w:rFonts w:eastAsia="Calibri"/>
                <w:bdr w:val="none" w:sz="0" w:space="0" w:color="auto"/>
                <w:lang w:val="lt-LT"/>
              </w:rPr>
              <w:t>slentėje (duomenys iki 2020 m.)</w:t>
            </w:r>
            <w:r w:rsidRPr="00045371">
              <w:rPr>
                <w:rFonts w:eastAsia="Calibri"/>
                <w:bdr w:val="none" w:sz="0" w:space="0" w:color="auto"/>
                <w:lang w:val="lt-LT"/>
              </w:rPr>
              <w:t xml:space="preserve"> 5 </w:t>
            </w:r>
            <w:r w:rsidR="000E685F" w:rsidRPr="00045371">
              <w:rPr>
                <w:rFonts w:eastAsia="Calibri"/>
                <w:bdr w:val="none" w:sz="0" w:space="0" w:color="auto"/>
                <w:lang w:val="lt-LT"/>
              </w:rPr>
              <w:t xml:space="preserve">LT </w:t>
            </w:r>
            <w:r w:rsidRPr="00045371">
              <w:rPr>
                <w:rFonts w:eastAsia="Calibri"/>
                <w:bdr w:val="none" w:sz="0" w:space="0" w:color="auto"/>
                <w:lang w:val="lt-LT"/>
              </w:rPr>
              <w:t>indikatoriai viršija sutartus slenksčius (</w:t>
            </w:r>
            <w:proofErr w:type="spellStart"/>
            <w:r w:rsidRPr="00045371">
              <w:rPr>
                <w:rFonts w:eastAsia="Calibri"/>
                <w:i/>
                <w:bdr w:val="none" w:sz="0" w:space="0" w:color="auto"/>
                <w:lang w:val="lt-LT"/>
              </w:rPr>
              <w:t>thresholds</w:t>
            </w:r>
            <w:proofErr w:type="spellEnd"/>
            <w:r w:rsidRPr="00045371">
              <w:rPr>
                <w:rFonts w:eastAsia="Calibri"/>
                <w:bdr w:val="none" w:sz="0" w:space="0" w:color="auto"/>
                <w:lang w:val="lt-LT"/>
              </w:rPr>
              <w:t>): realus efektyvus valiutos kursas, nominalūs vieneto darbo kaštai, būsto kainos, jaunimo nedarbas, finansinio sektoriaus įsipareigojimai. Nepaisant to, atlikus išsamesnę analizę</w:t>
            </w:r>
            <w:r w:rsidR="000E685F" w:rsidRPr="00045371">
              <w:rPr>
                <w:rFonts w:eastAsia="Calibri"/>
                <w:bdr w:val="none" w:sz="0" w:space="0" w:color="auto"/>
                <w:lang w:val="lt-LT"/>
              </w:rPr>
              <w:t>,</w:t>
            </w:r>
            <w:r w:rsidRPr="00045371">
              <w:rPr>
                <w:rFonts w:eastAsia="Calibri"/>
                <w:bdr w:val="none" w:sz="0" w:space="0" w:color="auto"/>
                <w:lang w:val="lt-LT"/>
              </w:rPr>
              <w:t xml:space="preserve"> EK konstatuoja, kad išoriniai </w:t>
            </w:r>
            <w:r w:rsidR="000E685F" w:rsidRPr="00045371">
              <w:rPr>
                <w:rFonts w:eastAsia="Calibri"/>
                <w:bdr w:val="none" w:sz="0" w:space="0" w:color="auto"/>
                <w:lang w:val="lt-LT"/>
              </w:rPr>
              <w:t>pažeidžiamumai išlieka riboti,</w:t>
            </w:r>
            <w:r w:rsidRPr="00045371">
              <w:rPr>
                <w:rFonts w:eastAsia="Calibri"/>
                <w:bdr w:val="none" w:sz="0" w:space="0" w:color="auto"/>
                <w:lang w:val="lt-LT"/>
              </w:rPr>
              <w:t xml:space="preserve"> darbo kaštai auga stipriai, bet ateityje tikimasi lėtesnio a</w:t>
            </w:r>
            <w:r w:rsidRPr="00045371">
              <w:rPr>
                <w:rFonts w:eastAsia="Calibri"/>
                <w:bdr w:val="none" w:sz="0" w:space="0" w:color="auto"/>
                <w:lang w:val="lt-LT"/>
              </w:rPr>
              <w:t>u</w:t>
            </w:r>
            <w:r w:rsidRPr="00045371">
              <w:rPr>
                <w:rFonts w:eastAsia="Calibri"/>
                <w:bdr w:val="none" w:sz="0" w:space="0" w:color="auto"/>
                <w:lang w:val="lt-LT"/>
              </w:rPr>
              <w:t>gimo; būsto kainos auga greitai, bet indikatoriai nerodo pervertinimo požymių; bankinis sektorius turi pakankamai kapitalo, yra pelningas, o neveiksnių paskolų lygis žemas; nedarbo lygis kilo 2020 m., bet tikimasi, kad ateityje jis mažės.</w:t>
            </w:r>
          </w:p>
          <w:p w:rsidR="00F06A46" w:rsidRPr="00045371" w:rsidRDefault="00001539" w:rsidP="00001539">
            <w:pPr>
              <w:contextualSpacing/>
              <w:jc w:val="both"/>
              <w:rPr>
                <w:rFonts w:eastAsia="Calibri"/>
                <w:bdr w:val="none" w:sz="0" w:space="0" w:color="auto"/>
                <w:lang w:val="lt-LT"/>
              </w:rPr>
            </w:pPr>
            <w:r w:rsidRPr="00045371">
              <w:rPr>
                <w:rFonts w:eastAsia="Calibri"/>
                <w:bdr w:val="none" w:sz="0" w:space="0" w:color="auto"/>
                <w:lang w:val="lt-LT"/>
              </w:rPr>
              <w:t>Atsižvelgiant į tai, makroekonominių disbalansų Lietuvai nenustatyta, todėl EK nemato poreikio Liet</w:t>
            </w:r>
            <w:r w:rsidRPr="00045371">
              <w:rPr>
                <w:rFonts w:eastAsia="Calibri"/>
                <w:bdr w:val="none" w:sz="0" w:space="0" w:color="auto"/>
                <w:lang w:val="lt-LT"/>
              </w:rPr>
              <w:t>u</w:t>
            </w:r>
            <w:r w:rsidRPr="00045371">
              <w:rPr>
                <w:rFonts w:eastAsia="Calibri"/>
                <w:bdr w:val="none" w:sz="0" w:space="0" w:color="auto"/>
                <w:lang w:val="lt-LT"/>
              </w:rPr>
              <w:lastRenderedPageBreak/>
              <w:t>vai atlikti nuodugnios apžvalgos. Šios apžvalgos bus atliktos 12 šalių, kuriose identifikuoti makroek</w:t>
            </w:r>
            <w:r w:rsidRPr="00045371">
              <w:rPr>
                <w:rFonts w:eastAsia="Calibri"/>
                <w:bdr w:val="none" w:sz="0" w:space="0" w:color="auto"/>
                <w:lang w:val="lt-LT"/>
              </w:rPr>
              <w:t>o</w:t>
            </w:r>
            <w:r w:rsidRPr="00045371">
              <w:rPr>
                <w:rFonts w:eastAsia="Calibri"/>
                <w:bdr w:val="none" w:sz="0" w:space="0" w:color="auto"/>
                <w:lang w:val="lt-LT"/>
              </w:rPr>
              <w:t xml:space="preserve">nominiai arba </w:t>
            </w:r>
            <w:proofErr w:type="spellStart"/>
            <w:r w:rsidRPr="00045371">
              <w:rPr>
                <w:rFonts w:eastAsia="Calibri"/>
                <w:bdr w:val="none" w:sz="0" w:space="0" w:color="auto"/>
                <w:lang w:val="lt-LT"/>
              </w:rPr>
              <w:t>perviršiniai</w:t>
            </w:r>
            <w:proofErr w:type="spellEnd"/>
            <w:r w:rsidRPr="00045371">
              <w:rPr>
                <w:rFonts w:eastAsia="Calibri"/>
                <w:bdr w:val="none" w:sz="0" w:space="0" w:color="auto"/>
                <w:lang w:val="lt-LT"/>
              </w:rPr>
              <w:t xml:space="preserve"> </w:t>
            </w:r>
            <w:proofErr w:type="spellStart"/>
            <w:r w:rsidRPr="00045371">
              <w:rPr>
                <w:rFonts w:eastAsia="Calibri"/>
                <w:bdr w:val="none" w:sz="0" w:space="0" w:color="auto"/>
                <w:lang w:val="lt-LT"/>
              </w:rPr>
              <w:t>disbalansai</w:t>
            </w:r>
            <w:proofErr w:type="spellEnd"/>
            <w:r w:rsidRPr="00045371">
              <w:rPr>
                <w:rFonts w:eastAsia="Calibri"/>
                <w:bdr w:val="none" w:sz="0" w:space="0" w:color="auto"/>
                <w:lang w:val="lt-LT"/>
              </w:rPr>
              <w:t xml:space="preserve"> (Kroatijai, Prancūzijai, Vokietijai, Airijai, Nyderlandams, Port</w:t>
            </w:r>
            <w:r w:rsidRPr="00045371">
              <w:rPr>
                <w:rFonts w:eastAsia="Calibri"/>
                <w:bdr w:val="none" w:sz="0" w:space="0" w:color="auto"/>
                <w:lang w:val="lt-LT"/>
              </w:rPr>
              <w:t>u</w:t>
            </w:r>
            <w:r w:rsidRPr="00045371">
              <w:rPr>
                <w:rFonts w:eastAsia="Calibri"/>
                <w:bdr w:val="none" w:sz="0" w:space="0" w:color="auto"/>
                <w:lang w:val="lt-LT"/>
              </w:rPr>
              <w:t>galijai, Rumunijai, Ispanijai, Švedijai, Kiprui, Graikijai, Italijai).</w:t>
            </w:r>
          </w:p>
          <w:p w:rsidR="00412EE2" w:rsidRPr="00045371" w:rsidRDefault="00412EE2" w:rsidP="00001539">
            <w:pPr>
              <w:contextualSpacing/>
              <w:jc w:val="both"/>
              <w:rPr>
                <w:rFonts w:eastAsia="Calibri"/>
                <w:u w:val="single"/>
                <w:bdr w:val="none" w:sz="0" w:space="0" w:color="auto"/>
                <w:lang w:val="lt-LT"/>
              </w:rPr>
            </w:pPr>
            <w:r w:rsidRPr="00045371">
              <w:rPr>
                <w:rFonts w:eastAsia="Calibri"/>
                <w:u w:val="single"/>
                <w:bdr w:val="none" w:sz="0" w:space="0" w:color="auto"/>
                <w:lang w:val="lt-LT"/>
              </w:rPr>
              <w:t>Informacija dėl rekomendacijų Euro zonai pateikiama prie gruodžio 6 d. Euro grupės posėdyje svarst</w:t>
            </w:r>
            <w:r w:rsidRPr="00045371">
              <w:rPr>
                <w:rFonts w:eastAsia="Calibri"/>
                <w:u w:val="single"/>
                <w:bdr w:val="none" w:sz="0" w:space="0" w:color="auto"/>
                <w:lang w:val="lt-LT"/>
              </w:rPr>
              <w:t>o</w:t>
            </w:r>
            <w:r w:rsidRPr="00045371">
              <w:rPr>
                <w:rFonts w:eastAsia="Calibri"/>
                <w:u w:val="single"/>
                <w:bdr w:val="none" w:sz="0" w:space="0" w:color="auto"/>
                <w:lang w:val="lt-LT"/>
              </w:rPr>
              <w:t xml:space="preserve">mų klausimų. </w:t>
            </w:r>
          </w:p>
          <w:p w:rsidR="00F06A46" w:rsidRPr="00045371" w:rsidRDefault="00F06A46" w:rsidP="0014282B">
            <w:pPr>
              <w:contextualSpacing/>
              <w:jc w:val="both"/>
              <w:rPr>
                <w:lang w:val="lt-LT"/>
              </w:rPr>
            </w:pPr>
            <w:r w:rsidRPr="00045371">
              <w:rPr>
                <w:b/>
                <w:u w:val="single"/>
                <w:lang w:val="lt-LT"/>
              </w:rPr>
              <w:t>Lietuvos pozicija:</w:t>
            </w:r>
            <w:r w:rsidRPr="00045371">
              <w:rPr>
                <w:lang w:val="lt-LT"/>
              </w:rPr>
              <w:t xml:space="preserve"> </w:t>
            </w:r>
            <w:r w:rsidR="001C7484" w:rsidRPr="00045371">
              <w:rPr>
                <w:lang w:val="lt-LT"/>
              </w:rPr>
              <w:t>Pritariame</w:t>
            </w:r>
            <w:r w:rsidR="00DB00C5" w:rsidRPr="00045371">
              <w:rPr>
                <w:lang w:val="lt-LT"/>
              </w:rPr>
              <w:t xml:space="preserve"> Įspėjimo mechanizmo ataskaitai ir Metinei tvaraus augimo apžvalgai.</w:t>
            </w:r>
          </w:p>
          <w:p w:rsidR="00F06A46" w:rsidRPr="00045371" w:rsidRDefault="00F06A46" w:rsidP="007327EE">
            <w:pPr>
              <w:contextualSpacing/>
              <w:jc w:val="both"/>
              <w:rPr>
                <w:b/>
                <w:lang w:val="lt-LT"/>
              </w:rPr>
            </w:pPr>
          </w:p>
          <w:p w:rsidR="0014282B" w:rsidRPr="00045371" w:rsidRDefault="00B9215C" w:rsidP="00FE4C59">
            <w:pPr>
              <w:pStyle w:val="Sraopastraipa"/>
              <w:tabs>
                <w:tab w:val="left" w:pos="284"/>
              </w:tabs>
              <w:spacing w:after="0" w:line="240" w:lineRule="auto"/>
              <w:ind w:left="0"/>
              <w:jc w:val="both"/>
              <w:rPr>
                <w:rFonts w:hAnsi="Times New Roman" w:cs="Times New Roman"/>
                <w:lang w:val="lt-LT"/>
              </w:rPr>
            </w:pPr>
            <w:r w:rsidRPr="00045371">
              <w:rPr>
                <w:b/>
                <w:lang w:val="lt-LT"/>
              </w:rPr>
              <w:t>8</w:t>
            </w:r>
            <w:r w:rsidR="0014282B" w:rsidRPr="00045371">
              <w:rPr>
                <w:b/>
                <w:lang w:val="lt-LT"/>
              </w:rPr>
              <w:t>. 2021 m. Europos fiskalin</w:t>
            </w:r>
            <w:r w:rsidR="0014282B" w:rsidRPr="00045371">
              <w:rPr>
                <w:b/>
                <w:lang w:val="lt-LT"/>
              </w:rPr>
              <w:t>ė</w:t>
            </w:r>
            <w:r w:rsidR="0014282B" w:rsidRPr="00045371">
              <w:rPr>
                <w:b/>
                <w:lang w:val="lt-LT"/>
              </w:rPr>
              <w:t>s va</w:t>
            </w:r>
            <w:r w:rsidR="001C7484" w:rsidRPr="00045371">
              <w:rPr>
                <w:b/>
                <w:lang w:val="lt-LT"/>
              </w:rPr>
              <w:t>l</w:t>
            </w:r>
            <w:r w:rsidR="0014282B" w:rsidRPr="00045371">
              <w:rPr>
                <w:b/>
                <w:lang w:val="lt-LT"/>
              </w:rPr>
              <w:t xml:space="preserve">dybos </w:t>
            </w:r>
            <w:r w:rsidR="00FE4C59" w:rsidRPr="00045371">
              <w:rPr>
                <w:b/>
                <w:lang w:val="lt-LT"/>
              </w:rPr>
              <w:t xml:space="preserve">(EFB) </w:t>
            </w:r>
            <w:r w:rsidR="0014282B" w:rsidRPr="00045371">
              <w:rPr>
                <w:b/>
                <w:lang w:val="lt-LT"/>
              </w:rPr>
              <w:t xml:space="preserve">ataskaita </w:t>
            </w:r>
            <w:r w:rsidR="006E0687" w:rsidRPr="00045371">
              <w:rPr>
                <w:i/>
                <w:lang w:val="lt-LT"/>
              </w:rPr>
              <w:t>(Pristatymas</w:t>
            </w:r>
            <w:r w:rsidR="002064C1" w:rsidRPr="00045371">
              <w:rPr>
                <w:i/>
                <w:lang w:val="lt-LT"/>
              </w:rPr>
              <w:t>)</w:t>
            </w:r>
            <w:r w:rsidR="002064C1" w:rsidRPr="00045371">
              <w:rPr>
                <w:b/>
                <w:i/>
                <w:lang w:val="lt-LT"/>
              </w:rPr>
              <w:t xml:space="preserve"> </w:t>
            </w:r>
            <w:r w:rsidR="007F5B19" w:rsidRPr="00045371">
              <w:rPr>
                <w:i/>
                <w:lang w:val="lt-LT"/>
              </w:rPr>
              <w:cr/>
            </w:r>
            <w:r w:rsidR="00193BC3" w:rsidRPr="00045371">
              <w:rPr>
                <w:rFonts w:hAnsi="Times New Roman" w:cs="Times New Roman"/>
                <w:b/>
                <w:u w:val="single"/>
                <w:lang w:val="lt-LT"/>
              </w:rPr>
              <w:t>Klausimo esmė:</w:t>
            </w:r>
            <w:r w:rsidR="00193BC3" w:rsidRPr="004D4A0C">
              <w:rPr>
                <w:rFonts w:hAnsi="Times New Roman" w:cs="Times New Roman"/>
                <w:b/>
                <w:i/>
                <w:lang w:val="lt-LT"/>
              </w:rPr>
              <w:t xml:space="preserve"> </w:t>
            </w:r>
            <w:r w:rsidR="00FE4C59" w:rsidRPr="00045371">
              <w:rPr>
                <w:rFonts w:hAnsi="Times New Roman" w:cs="Times New Roman"/>
                <w:lang w:val="lt-LT"/>
              </w:rPr>
              <w:t>EFB Ata</w:t>
            </w:r>
            <w:r w:rsidR="004D4A0C">
              <w:rPr>
                <w:rFonts w:hAnsi="Times New Roman" w:cs="Times New Roman"/>
                <w:lang w:val="lt-LT"/>
              </w:rPr>
              <w:t>s</w:t>
            </w:r>
            <w:r w:rsidR="00FE4C59" w:rsidRPr="00045371">
              <w:rPr>
                <w:rFonts w:hAnsi="Times New Roman" w:cs="Times New Roman"/>
                <w:lang w:val="lt-LT"/>
              </w:rPr>
              <w:t>kaitoje pažymima, kad 2020 m. buvo išskirtiniai: realus BVP dramatiškai krito, buvo patirtas simetrinis išorinis šokas, tačiau jis pasireiškė nevienodu poveikiu atskiroms šalims (Airijos BVP augo 3,5 proc., o Ispanijos krito 11 proc.)</w:t>
            </w:r>
            <w:r w:rsidR="005E152A">
              <w:rPr>
                <w:rFonts w:hAnsi="Times New Roman" w:cs="Times New Roman"/>
                <w:lang w:val="lt-LT"/>
              </w:rPr>
              <w:t>.</w:t>
            </w:r>
            <w:r w:rsidR="00FE4C59" w:rsidRPr="00045371">
              <w:rPr>
                <w:rFonts w:hAnsi="Times New Roman" w:cs="Times New Roman"/>
                <w:lang w:val="lt-LT"/>
              </w:rPr>
              <w:t xml:space="preserve"> Į šoką buvo reaguojama taikant didelės api</w:t>
            </w:r>
            <w:r w:rsidR="00FE4C59" w:rsidRPr="00045371">
              <w:rPr>
                <w:rFonts w:hAnsi="Times New Roman" w:cs="Times New Roman"/>
                <w:lang w:val="lt-LT"/>
              </w:rPr>
              <w:t>m</w:t>
            </w:r>
            <w:r w:rsidR="00FE4C59" w:rsidRPr="00045371">
              <w:rPr>
                <w:rFonts w:hAnsi="Times New Roman" w:cs="Times New Roman"/>
                <w:lang w:val="lt-LT"/>
              </w:rPr>
              <w:t>ties fiskalinės politikos priemones: ES grynasis išlaidų augimas (</w:t>
            </w:r>
            <w:r w:rsidR="00FE4C59" w:rsidRPr="00045371">
              <w:rPr>
                <w:rFonts w:hAnsi="Times New Roman" w:cs="Times New Roman"/>
                <w:i/>
                <w:lang w:val="lt-LT"/>
              </w:rPr>
              <w:t>net expenditure growth</w:t>
            </w:r>
            <w:r w:rsidR="002023B1" w:rsidRPr="00045371">
              <w:rPr>
                <w:rFonts w:hAnsi="Times New Roman" w:cs="Times New Roman"/>
                <w:lang w:val="lt-LT"/>
              </w:rPr>
              <w:t>) palyginti su 2019 siekė</w:t>
            </w:r>
            <w:r w:rsidR="00FE4C59" w:rsidRPr="00045371">
              <w:rPr>
                <w:rFonts w:hAnsi="Times New Roman" w:cs="Times New Roman"/>
                <w:lang w:val="lt-LT"/>
              </w:rPr>
              <w:t xml:space="preserve"> 12 proc. Šalys su fiskaline erdve (maža ar vidutine skola) galėjo </w:t>
            </w:r>
            <w:r w:rsidR="002023B1" w:rsidRPr="00045371">
              <w:rPr>
                <w:rFonts w:hAnsi="Times New Roman" w:cs="Times New Roman"/>
                <w:lang w:val="lt-LT"/>
              </w:rPr>
              <w:t xml:space="preserve">leisti </w:t>
            </w:r>
            <w:r w:rsidR="00FE4C59" w:rsidRPr="00045371">
              <w:rPr>
                <w:rFonts w:hAnsi="Times New Roman" w:cs="Times New Roman"/>
                <w:lang w:val="lt-LT"/>
              </w:rPr>
              <w:t>ženkliai daugiau išla</w:t>
            </w:r>
            <w:r w:rsidR="00FE4C59" w:rsidRPr="00045371">
              <w:rPr>
                <w:rFonts w:hAnsi="Times New Roman" w:cs="Times New Roman"/>
                <w:lang w:val="lt-LT"/>
              </w:rPr>
              <w:t>i</w:t>
            </w:r>
            <w:r w:rsidR="00FE4C59" w:rsidRPr="00045371">
              <w:rPr>
                <w:rFonts w:hAnsi="Times New Roman" w:cs="Times New Roman"/>
                <w:lang w:val="lt-LT"/>
              </w:rPr>
              <w:t>dų, nei tos, kurios buvo labai įsiskolinusios. EFB pažymi, kad GEC panaudojimas buvo savalaikis, ek</w:t>
            </w:r>
            <w:r w:rsidR="00FE4C59" w:rsidRPr="00045371">
              <w:rPr>
                <w:rFonts w:hAnsi="Times New Roman" w:cs="Times New Roman"/>
                <w:lang w:val="lt-LT"/>
              </w:rPr>
              <w:t>o</w:t>
            </w:r>
            <w:r w:rsidR="00FE4C59" w:rsidRPr="00045371">
              <w:rPr>
                <w:rFonts w:hAnsi="Times New Roman" w:cs="Times New Roman"/>
                <w:lang w:val="lt-LT"/>
              </w:rPr>
              <w:t>nomiškai pagrįstas ir nediskutuotinas. Tačiau Stabilumo ir augimo pakto (SAP) nuostatų, susijusių su lankstumu, interpretavimas buvo platus ir nevienareikšmis.</w:t>
            </w:r>
          </w:p>
          <w:p w:rsidR="00973B76" w:rsidRPr="00045371" w:rsidRDefault="00973B76" w:rsidP="00151828">
            <w:pPr>
              <w:pStyle w:val="Sraopastraipa"/>
              <w:tabs>
                <w:tab w:val="left" w:pos="284"/>
              </w:tabs>
              <w:spacing w:after="0" w:line="240" w:lineRule="auto"/>
              <w:ind w:left="0"/>
              <w:jc w:val="both"/>
              <w:rPr>
                <w:rFonts w:hAnsi="Times New Roman" w:cs="Times New Roman"/>
                <w:b/>
                <w:lang w:val="lt-LT"/>
              </w:rPr>
            </w:pPr>
            <w:r w:rsidRPr="00045371">
              <w:rPr>
                <w:rFonts w:hAnsi="Times New Roman" w:cs="Times New Roman"/>
                <w:b/>
                <w:lang w:val="lt-LT"/>
              </w:rPr>
              <w:t>Pagrindiniai EFB siūlymai dėl SAP peržiūros:</w:t>
            </w:r>
          </w:p>
          <w:p w:rsidR="00151828" w:rsidRPr="00045371" w:rsidRDefault="00973B76" w:rsidP="0015182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contextualSpacing/>
              <w:jc w:val="both"/>
              <w:rPr>
                <w:rFonts w:hAnsi="Times New Roman" w:cs="Times New Roman"/>
                <w:lang w:val="lt-LT"/>
              </w:rPr>
            </w:pPr>
            <w:r w:rsidRPr="00045371">
              <w:rPr>
                <w:rFonts w:hAnsi="Times New Roman" w:cs="Times New Roman"/>
                <w:b/>
                <w:lang w:val="lt-LT"/>
              </w:rPr>
              <w:t>Fiskalinės drausmės taisyklių srityje</w:t>
            </w:r>
            <w:r w:rsidRPr="00045371">
              <w:rPr>
                <w:rFonts w:hAnsi="Times New Roman" w:cs="Times New Roman"/>
                <w:lang w:val="lt-LT"/>
              </w:rPr>
              <w:t xml:space="preserve"> EFB siūlo supaprastinti fiskalinės drausmės taisykles: nust</w:t>
            </w:r>
            <w:r w:rsidR="005E152A">
              <w:rPr>
                <w:rFonts w:hAnsi="Times New Roman" w:cs="Times New Roman"/>
                <w:lang w:val="lt-LT"/>
              </w:rPr>
              <w:t>a</w:t>
            </w:r>
            <w:r w:rsidRPr="00045371">
              <w:rPr>
                <w:rFonts w:hAnsi="Times New Roman" w:cs="Times New Roman"/>
                <w:lang w:val="lt-LT"/>
              </w:rPr>
              <w:t>tyti skolos tikslą (galbūt diferencijuojant jo pasiekimą pagal skolos dydžius atskirose šalyse) bei r</w:t>
            </w:r>
            <w:r w:rsidRPr="00045371">
              <w:rPr>
                <w:rFonts w:hAnsi="Times New Roman" w:cs="Times New Roman"/>
                <w:lang w:val="lt-LT"/>
              </w:rPr>
              <w:t>i</w:t>
            </w:r>
            <w:r w:rsidRPr="00045371">
              <w:rPr>
                <w:rFonts w:hAnsi="Times New Roman" w:cs="Times New Roman"/>
                <w:lang w:val="lt-LT"/>
              </w:rPr>
              <w:t>bojant išlaidas ir siekti reikalingo skolos lygio (</w:t>
            </w:r>
            <w:proofErr w:type="spellStart"/>
            <w:r w:rsidRPr="00045371">
              <w:rPr>
                <w:rFonts w:hAnsi="Times New Roman" w:cs="Times New Roman"/>
                <w:lang w:val="lt-LT"/>
              </w:rPr>
              <w:t>operacionalizuoti</w:t>
            </w:r>
            <w:proofErr w:type="spellEnd"/>
            <w:r w:rsidRPr="00045371">
              <w:rPr>
                <w:rFonts w:hAnsi="Times New Roman" w:cs="Times New Roman"/>
                <w:lang w:val="lt-LT"/>
              </w:rPr>
              <w:t xml:space="preserve"> skolos taisyklę per išlaidų riboj</w:t>
            </w:r>
            <w:r w:rsidRPr="00045371">
              <w:rPr>
                <w:rFonts w:hAnsi="Times New Roman" w:cs="Times New Roman"/>
                <w:lang w:val="lt-LT"/>
              </w:rPr>
              <w:t>i</w:t>
            </w:r>
            <w:r w:rsidRPr="00045371">
              <w:rPr>
                <w:rFonts w:hAnsi="Times New Roman" w:cs="Times New Roman"/>
                <w:lang w:val="lt-LT"/>
              </w:rPr>
              <w:t>mą). SAP bendroji išlyga (GEC) kaip instrumentas galėtų pakeisti šiuo metu egzistuojančias lank</w:t>
            </w:r>
            <w:r w:rsidRPr="00045371">
              <w:rPr>
                <w:rFonts w:hAnsi="Times New Roman" w:cs="Times New Roman"/>
                <w:lang w:val="lt-LT"/>
              </w:rPr>
              <w:t>s</w:t>
            </w:r>
            <w:r w:rsidRPr="00045371">
              <w:rPr>
                <w:rFonts w:hAnsi="Times New Roman" w:cs="Times New Roman"/>
                <w:lang w:val="lt-LT"/>
              </w:rPr>
              <w:t>tumo sąlygas. 3 proc. BVP nominalus deficitas kaip ribojantis rodiklis turi išlikti - tai apsauga prieš netvarią skolos raidą ir indikatorius, kuriuo remiantis įgyvendinama perteklinio deficito procedūra.</w:t>
            </w:r>
          </w:p>
          <w:p w:rsidR="00151828" w:rsidRPr="00045371" w:rsidRDefault="00973B76" w:rsidP="0015182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contextualSpacing/>
              <w:jc w:val="both"/>
              <w:rPr>
                <w:rFonts w:hAnsi="Times New Roman" w:cs="Times New Roman"/>
                <w:lang w:val="lt-LT"/>
              </w:rPr>
            </w:pPr>
            <w:r w:rsidRPr="00045371">
              <w:rPr>
                <w:rFonts w:hAnsi="Times New Roman" w:cs="Times New Roman"/>
                <w:b/>
                <w:lang w:val="lt-LT"/>
              </w:rPr>
              <w:t>Ekonominės valdysenos srityje</w:t>
            </w:r>
            <w:r w:rsidRPr="00045371">
              <w:rPr>
                <w:rFonts w:hAnsi="Times New Roman" w:cs="Times New Roman"/>
                <w:lang w:val="lt-LT"/>
              </w:rPr>
              <w:t xml:space="preserve"> EFB pabrėžia, kad centrinis fiskal</w:t>
            </w:r>
            <w:r w:rsidR="004F1EEE">
              <w:rPr>
                <w:rFonts w:hAnsi="Times New Roman" w:cs="Times New Roman"/>
                <w:lang w:val="lt-LT"/>
              </w:rPr>
              <w:t xml:space="preserve">inis stabilizavimo instrumentas </w:t>
            </w:r>
            <w:r w:rsidRPr="00045371">
              <w:rPr>
                <w:rFonts w:hAnsi="Times New Roman" w:cs="Times New Roman"/>
                <w:lang w:val="lt-LT"/>
              </w:rPr>
              <w:t>(</w:t>
            </w:r>
            <w:proofErr w:type="spellStart"/>
            <w:r w:rsidRPr="00045371">
              <w:rPr>
                <w:rFonts w:hAnsi="Times New Roman" w:cs="Times New Roman"/>
                <w:i/>
                <w:lang w:val="lt-LT"/>
              </w:rPr>
              <w:t>central</w:t>
            </w:r>
            <w:proofErr w:type="spellEnd"/>
            <w:r w:rsidRPr="00045371">
              <w:rPr>
                <w:rFonts w:hAnsi="Times New Roman" w:cs="Times New Roman"/>
                <w:i/>
                <w:lang w:val="lt-LT"/>
              </w:rPr>
              <w:t xml:space="preserve"> </w:t>
            </w:r>
            <w:proofErr w:type="spellStart"/>
            <w:r w:rsidRPr="00045371">
              <w:rPr>
                <w:rFonts w:hAnsi="Times New Roman" w:cs="Times New Roman"/>
                <w:i/>
                <w:lang w:val="lt-LT"/>
              </w:rPr>
              <w:t>fiscal</w:t>
            </w:r>
            <w:proofErr w:type="spellEnd"/>
            <w:r w:rsidRPr="00045371">
              <w:rPr>
                <w:rFonts w:hAnsi="Times New Roman" w:cs="Times New Roman"/>
                <w:i/>
                <w:lang w:val="lt-LT"/>
              </w:rPr>
              <w:t xml:space="preserve"> </w:t>
            </w:r>
            <w:proofErr w:type="spellStart"/>
            <w:r w:rsidRPr="00045371">
              <w:rPr>
                <w:rFonts w:hAnsi="Times New Roman" w:cs="Times New Roman"/>
                <w:i/>
                <w:lang w:val="lt-LT"/>
              </w:rPr>
              <w:t>stabilisation</w:t>
            </w:r>
            <w:proofErr w:type="spellEnd"/>
            <w:r w:rsidRPr="00045371">
              <w:rPr>
                <w:rFonts w:hAnsi="Times New Roman" w:cs="Times New Roman"/>
                <w:i/>
                <w:lang w:val="lt-LT"/>
              </w:rPr>
              <w:t xml:space="preserve"> </w:t>
            </w:r>
            <w:proofErr w:type="spellStart"/>
            <w:r w:rsidRPr="00045371">
              <w:rPr>
                <w:rFonts w:hAnsi="Times New Roman" w:cs="Times New Roman"/>
                <w:i/>
                <w:lang w:val="lt-LT"/>
              </w:rPr>
              <w:t>capacity</w:t>
            </w:r>
            <w:proofErr w:type="spellEnd"/>
            <w:r w:rsidRPr="00045371">
              <w:rPr>
                <w:rFonts w:hAnsi="Times New Roman" w:cs="Times New Roman"/>
                <w:lang w:val="lt-LT"/>
              </w:rPr>
              <w:t xml:space="preserve">, CFC) būtų naudingas. </w:t>
            </w:r>
            <w:r w:rsidR="00151828" w:rsidRPr="00045371">
              <w:rPr>
                <w:rFonts w:hAnsi="Times New Roman" w:cs="Times New Roman"/>
                <w:lang w:val="lt-LT"/>
              </w:rPr>
              <w:t>Sėkmingai įgyvendinus SURE ir RRF instrumentus</w:t>
            </w:r>
            <w:r w:rsidRPr="00045371">
              <w:rPr>
                <w:rFonts w:hAnsi="Times New Roman" w:cs="Times New Roman"/>
                <w:lang w:val="lt-LT"/>
              </w:rPr>
              <w:t xml:space="preserve">, </w:t>
            </w:r>
            <w:r w:rsidR="00151828" w:rsidRPr="00045371">
              <w:rPr>
                <w:rFonts w:hAnsi="Times New Roman" w:cs="Times New Roman"/>
                <w:lang w:val="lt-LT"/>
              </w:rPr>
              <w:t xml:space="preserve">jų </w:t>
            </w:r>
            <w:r w:rsidRPr="00045371">
              <w:rPr>
                <w:rFonts w:hAnsi="Times New Roman" w:cs="Times New Roman"/>
                <w:lang w:val="lt-LT"/>
              </w:rPr>
              <w:t xml:space="preserve">elementus </w:t>
            </w:r>
            <w:r w:rsidR="00151828" w:rsidRPr="00045371">
              <w:rPr>
                <w:rFonts w:hAnsi="Times New Roman" w:cs="Times New Roman"/>
                <w:lang w:val="lt-LT"/>
              </w:rPr>
              <w:t xml:space="preserve">būtų galima </w:t>
            </w:r>
            <w:r w:rsidRPr="00045371">
              <w:rPr>
                <w:rFonts w:hAnsi="Times New Roman" w:cs="Times New Roman"/>
                <w:lang w:val="lt-LT"/>
              </w:rPr>
              <w:t xml:space="preserve">įtvirtinti CFC - nuolatinio pobūdžio instrumente. </w:t>
            </w:r>
            <w:r w:rsidR="00151828" w:rsidRPr="00045371">
              <w:rPr>
                <w:rFonts w:hAnsi="Times New Roman" w:cs="Times New Roman"/>
                <w:lang w:val="lt-LT"/>
              </w:rPr>
              <w:t>A</w:t>
            </w:r>
            <w:r w:rsidRPr="00045371">
              <w:rPr>
                <w:rFonts w:hAnsi="Times New Roman" w:cs="Times New Roman"/>
                <w:lang w:val="lt-LT"/>
              </w:rPr>
              <w:t>taskait</w:t>
            </w:r>
            <w:r w:rsidR="004F1EEE">
              <w:rPr>
                <w:rFonts w:hAnsi="Times New Roman" w:cs="Times New Roman"/>
                <w:lang w:val="lt-LT"/>
              </w:rPr>
              <w:t>o</w:t>
            </w:r>
            <w:r w:rsidRPr="00045371">
              <w:rPr>
                <w:rFonts w:hAnsi="Times New Roman" w:cs="Times New Roman"/>
                <w:lang w:val="lt-LT"/>
              </w:rPr>
              <w:t>je kelia</w:t>
            </w:r>
            <w:r w:rsidR="00151828" w:rsidRPr="00045371">
              <w:rPr>
                <w:rFonts w:hAnsi="Times New Roman" w:cs="Times New Roman"/>
                <w:lang w:val="lt-LT"/>
              </w:rPr>
              <w:t>ma idėja</w:t>
            </w:r>
            <w:r w:rsidRPr="00045371">
              <w:rPr>
                <w:rFonts w:hAnsi="Times New Roman" w:cs="Times New Roman"/>
                <w:lang w:val="lt-LT"/>
              </w:rPr>
              <w:t xml:space="preserve">, kad investicijas galima būtų </w:t>
            </w:r>
            <w:r w:rsidR="00151828" w:rsidRPr="00045371">
              <w:rPr>
                <w:rFonts w:hAnsi="Times New Roman" w:cs="Times New Roman"/>
                <w:lang w:val="lt-LT"/>
              </w:rPr>
              <w:t>pa</w:t>
            </w:r>
            <w:r w:rsidRPr="00045371">
              <w:rPr>
                <w:rFonts w:hAnsi="Times New Roman" w:cs="Times New Roman"/>
                <w:lang w:val="lt-LT"/>
              </w:rPr>
              <w:t xml:space="preserve">skatinti </w:t>
            </w:r>
            <w:r w:rsidR="00151828" w:rsidRPr="00045371">
              <w:rPr>
                <w:rFonts w:hAnsi="Times New Roman" w:cs="Times New Roman"/>
                <w:lang w:val="lt-LT"/>
              </w:rPr>
              <w:t>numatant</w:t>
            </w:r>
            <w:r w:rsidRPr="00045371">
              <w:rPr>
                <w:rFonts w:hAnsi="Times New Roman" w:cs="Times New Roman"/>
                <w:lang w:val="lt-LT"/>
              </w:rPr>
              <w:t xml:space="preserve"> ES biudžete individualioms šalims skirtus „krepšelius“ investicijoms. </w:t>
            </w:r>
          </w:p>
          <w:p w:rsidR="00973B76" w:rsidRPr="00045371" w:rsidRDefault="00973B76" w:rsidP="0015182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contextualSpacing/>
              <w:jc w:val="both"/>
              <w:rPr>
                <w:rFonts w:hAnsi="Times New Roman" w:cs="Times New Roman"/>
                <w:lang w:val="lt-LT"/>
              </w:rPr>
            </w:pPr>
            <w:r w:rsidRPr="00045371">
              <w:rPr>
                <w:rFonts w:hAnsi="Times New Roman" w:cs="Times New Roman"/>
                <w:b/>
                <w:lang w:val="lt-LT"/>
              </w:rPr>
              <w:t xml:space="preserve">Nacionalinės nepriklausomos </w:t>
            </w:r>
            <w:r w:rsidR="00151828" w:rsidRPr="00045371">
              <w:rPr>
                <w:rFonts w:hAnsi="Times New Roman" w:cs="Times New Roman"/>
                <w:b/>
                <w:lang w:val="lt-LT"/>
              </w:rPr>
              <w:t xml:space="preserve">finansų </w:t>
            </w:r>
            <w:r w:rsidRPr="00045371">
              <w:rPr>
                <w:rFonts w:hAnsi="Times New Roman" w:cs="Times New Roman"/>
                <w:b/>
                <w:lang w:val="lt-LT"/>
              </w:rPr>
              <w:t>institucijos (IFI)</w:t>
            </w:r>
            <w:r w:rsidRPr="00045371">
              <w:rPr>
                <w:rFonts w:hAnsi="Times New Roman" w:cs="Times New Roman"/>
                <w:lang w:val="lt-LT"/>
              </w:rPr>
              <w:t xml:space="preserve">: </w:t>
            </w:r>
            <w:r w:rsidR="00151828" w:rsidRPr="00045371">
              <w:rPr>
                <w:rFonts w:hAnsi="Times New Roman" w:cs="Times New Roman"/>
                <w:lang w:val="lt-LT"/>
              </w:rPr>
              <w:t xml:space="preserve">ataskaitoje daroma </w:t>
            </w:r>
            <w:r w:rsidRPr="00045371">
              <w:rPr>
                <w:rFonts w:hAnsi="Times New Roman" w:cs="Times New Roman"/>
                <w:lang w:val="lt-LT"/>
              </w:rPr>
              <w:t>išvada, kad IFI buvo naudi</w:t>
            </w:r>
            <w:r w:rsidR="00151828" w:rsidRPr="00045371">
              <w:rPr>
                <w:rFonts w:hAnsi="Times New Roman" w:cs="Times New Roman"/>
                <w:lang w:val="lt-LT"/>
              </w:rPr>
              <w:t>ngi šiuo sudėtingu laikotarpiu, k</w:t>
            </w:r>
            <w:r w:rsidRPr="00045371">
              <w:rPr>
                <w:rFonts w:hAnsi="Times New Roman" w:cs="Times New Roman"/>
                <w:lang w:val="lt-LT"/>
              </w:rPr>
              <w:t>ai kurie IFI pradėjo rengti finansų tvarumo ataskaitas</w:t>
            </w:r>
            <w:r w:rsidR="00151828" w:rsidRPr="00045371">
              <w:rPr>
                <w:rFonts w:hAnsi="Times New Roman" w:cs="Times New Roman"/>
                <w:lang w:val="lt-LT"/>
              </w:rPr>
              <w:t xml:space="preserve">. </w:t>
            </w:r>
            <w:r w:rsidRPr="00045371">
              <w:rPr>
                <w:rFonts w:hAnsi="Times New Roman" w:cs="Times New Roman"/>
                <w:lang w:val="lt-LT"/>
              </w:rPr>
              <w:t>EFB manymu, formalioji fiskalinė priežiūra šiuo metu dar negali būti perduota nacionaliniams IFIs, nes nėra nustatyta minimalių standartų jų nepriklausomum</w:t>
            </w:r>
            <w:r w:rsidR="00151828" w:rsidRPr="00045371">
              <w:rPr>
                <w:rFonts w:hAnsi="Times New Roman" w:cs="Times New Roman"/>
                <w:lang w:val="lt-LT"/>
              </w:rPr>
              <w:t xml:space="preserve">ui, tad </w:t>
            </w:r>
            <w:r w:rsidRPr="00045371">
              <w:rPr>
                <w:rFonts w:hAnsi="Times New Roman" w:cs="Times New Roman"/>
                <w:lang w:val="lt-LT"/>
              </w:rPr>
              <w:t>EK turi likti fiskalinių taisyklių laik</w:t>
            </w:r>
            <w:r w:rsidRPr="00045371">
              <w:rPr>
                <w:rFonts w:hAnsi="Times New Roman" w:cs="Times New Roman"/>
                <w:lang w:val="lt-LT"/>
              </w:rPr>
              <w:t>y</w:t>
            </w:r>
            <w:r w:rsidRPr="00045371">
              <w:rPr>
                <w:rFonts w:hAnsi="Times New Roman" w:cs="Times New Roman"/>
                <w:lang w:val="lt-LT"/>
              </w:rPr>
              <w:t>mosi ir fiskalinės sistemos plačiąja prasme formalioji prižiūrėtoja.</w:t>
            </w:r>
          </w:p>
          <w:p w:rsidR="00193BC3" w:rsidRPr="00045371" w:rsidRDefault="00193BC3" w:rsidP="007327EE">
            <w:pPr>
              <w:pStyle w:val="BodyA"/>
              <w:jc w:val="both"/>
              <w:rPr>
                <w:rFonts w:hAnsi="Times New Roman" w:cs="Times New Roman"/>
                <w:lang w:val="lt-LT"/>
              </w:rPr>
            </w:pPr>
            <w:r w:rsidRPr="00045371">
              <w:rPr>
                <w:rFonts w:hAnsi="Times New Roman" w:cs="Times New Roman"/>
                <w:b/>
                <w:u w:val="single"/>
                <w:lang w:val="lt-LT"/>
              </w:rPr>
              <w:t>Lietuvos pozicija:</w:t>
            </w:r>
            <w:r w:rsidR="00A65258" w:rsidRPr="00045371">
              <w:rPr>
                <w:rFonts w:hAnsi="Times New Roman" w:cs="Times New Roman"/>
                <w:lang w:val="lt-LT"/>
              </w:rPr>
              <w:t xml:space="preserve"> </w:t>
            </w:r>
            <w:r w:rsidR="00151828" w:rsidRPr="00045371">
              <w:rPr>
                <w:rFonts w:hAnsi="Times New Roman" w:cs="Times New Roman"/>
                <w:lang w:val="lt-LT"/>
              </w:rPr>
              <w:t xml:space="preserve">Iš esmės sutinkame su EFB 2020 m. ekonominės situacijos vertinimu. Sutinkame su EFB, kad ES fiskalinių taisyklių sistemos peržiūros procese daugiau dėmesio reikėtų skirti kokybei, o ne greičiui. Manome, kad ilgalaikis fiskalinis tvarumas turėtų išlikti esminiu sistemos peržiūros tikslu. </w:t>
            </w:r>
            <w:r w:rsidR="00807D69" w:rsidRPr="00045371">
              <w:rPr>
                <w:rFonts w:hAnsi="Times New Roman" w:cs="Times New Roman"/>
                <w:lang w:val="lt-LT"/>
              </w:rPr>
              <w:t>Diversifikuotas skolos vertinimas galėtų būti svarstomas, bet tam būtina užtikrinti lygaus traktavimo principą. Fiskalinės taisyklės ir jų taikymas galėtų būti supaprastinti, tačiau išlaikant galimybę vertinti politikos cikliškumą. Sutinkame su EFB, kad fiskalinės priežiūros decentralizavimas neturėtų būti vy</w:t>
            </w:r>
            <w:r w:rsidR="00807D69" w:rsidRPr="00045371">
              <w:rPr>
                <w:rFonts w:hAnsi="Times New Roman" w:cs="Times New Roman"/>
                <w:lang w:val="lt-LT"/>
              </w:rPr>
              <w:t>k</w:t>
            </w:r>
            <w:r w:rsidR="00807D69" w:rsidRPr="00045371">
              <w:rPr>
                <w:rFonts w:hAnsi="Times New Roman" w:cs="Times New Roman"/>
                <w:lang w:val="lt-LT"/>
              </w:rPr>
              <w:t>domas ir EK toliau išlaikyti pagrindinį vaidmenį šiame procese.</w:t>
            </w:r>
          </w:p>
          <w:p w:rsidR="009C42AC" w:rsidRPr="00045371" w:rsidRDefault="009C42AC" w:rsidP="007327EE">
            <w:pPr>
              <w:pStyle w:val="BodyA"/>
              <w:jc w:val="both"/>
              <w:rPr>
                <w:rFonts w:hAnsi="Times New Roman" w:cs="Times New Roman"/>
                <w:lang w:val="lt-LT"/>
              </w:rPr>
            </w:pPr>
            <w:r w:rsidRPr="00045371">
              <w:rPr>
                <w:rFonts w:hAnsi="Times New Roman" w:cs="Times New Roman"/>
                <w:lang w:val="lt-LT"/>
              </w:rPr>
              <w:t>Manome, kad esant dideliem</w:t>
            </w:r>
            <w:r w:rsidR="00464AC8" w:rsidRPr="00045371">
              <w:rPr>
                <w:rFonts w:hAnsi="Times New Roman" w:cs="Times New Roman"/>
                <w:lang w:val="lt-LT"/>
              </w:rPr>
              <w:t>s</w:t>
            </w:r>
            <w:r w:rsidRPr="00045371">
              <w:rPr>
                <w:rFonts w:hAnsi="Times New Roman" w:cs="Times New Roman"/>
                <w:lang w:val="lt-LT"/>
              </w:rPr>
              <w:t xml:space="preserve"> sukrėtimams ateityje tikslinės paramos priemonės, tokios kaip SURE, galėtų būti panaudotos, bet tik kaip laikini instrumentai. Skeptiškai vertiname centrinių fiskalinių paj</w:t>
            </w:r>
            <w:r w:rsidRPr="00045371">
              <w:rPr>
                <w:rFonts w:hAnsi="Times New Roman" w:cs="Times New Roman"/>
                <w:lang w:val="lt-LT"/>
              </w:rPr>
              <w:t>ė</w:t>
            </w:r>
            <w:r w:rsidRPr="00045371">
              <w:rPr>
                <w:rFonts w:hAnsi="Times New Roman" w:cs="Times New Roman"/>
                <w:lang w:val="lt-LT"/>
              </w:rPr>
              <w:t>gumų sukūrimą. Vienas iš svarbiausių iššūkių yra rasti balansą tarp ekonominės politikos konsolidav</w:t>
            </w:r>
            <w:r w:rsidRPr="00045371">
              <w:rPr>
                <w:rFonts w:hAnsi="Times New Roman" w:cs="Times New Roman"/>
                <w:lang w:val="lt-LT"/>
              </w:rPr>
              <w:t>i</w:t>
            </w:r>
            <w:r w:rsidRPr="00045371">
              <w:rPr>
                <w:rFonts w:hAnsi="Times New Roman" w:cs="Times New Roman"/>
                <w:lang w:val="lt-LT"/>
              </w:rPr>
              <w:t>mo ir produktyvių investicijų.</w:t>
            </w:r>
            <w:r w:rsidR="00EE02FE" w:rsidRPr="00045371">
              <w:rPr>
                <w:rFonts w:hAnsi="Times New Roman" w:cs="Times New Roman"/>
                <w:lang w:val="lt-LT"/>
              </w:rPr>
              <w:t xml:space="preserve"> Tuo atveju, jeigu išjungus GEC nebus pasiektas sutarimas dėl ES fiskal</w:t>
            </w:r>
            <w:r w:rsidR="00EE02FE" w:rsidRPr="00045371">
              <w:rPr>
                <w:rFonts w:hAnsi="Times New Roman" w:cs="Times New Roman"/>
                <w:lang w:val="lt-LT"/>
              </w:rPr>
              <w:t>i</w:t>
            </w:r>
            <w:r w:rsidR="00EE02FE" w:rsidRPr="00045371">
              <w:rPr>
                <w:rFonts w:hAnsi="Times New Roman" w:cs="Times New Roman"/>
                <w:lang w:val="lt-LT"/>
              </w:rPr>
              <w:t>nės sistemos peržiūros, turėtų būtu taikomos šiuo metu egzistuojančios taisyklės.</w:t>
            </w:r>
          </w:p>
          <w:p w:rsidR="0098163A" w:rsidRPr="00045371" w:rsidRDefault="0098163A" w:rsidP="009C6662">
            <w:pPr>
              <w:pStyle w:val="BodyA"/>
              <w:jc w:val="both"/>
              <w:rPr>
                <w:rFonts w:hAnsi="Times New Roman" w:cs="Times New Roman"/>
                <w:lang w:val="lt-LT"/>
              </w:rPr>
            </w:pPr>
          </w:p>
          <w:p w:rsidR="00373BAD" w:rsidRPr="00045371" w:rsidRDefault="00B9215C" w:rsidP="00D961D3">
            <w:pPr>
              <w:pStyle w:val="BodyA"/>
              <w:jc w:val="both"/>
              <w:rPr>
                <w:rFonts w:hAnsi="Times New Roman" w:cs="Times New Roman"/>
                <w:b/>
                <w:lang w:val="lt-LT"/>
              </w:rPr>
            </w:pPr>
            <w:r w:rsidRPr="00045371">
              <w:rPr>
                <w:rFonts w:hAnsi="Times New Roman" w:cs="Times New Roman"/>
                <w:b/>
                <w:lang w:val="lt-LT"/>
              </w:rPr>
              <w:t>9</w:t>
            </w:r>
            <w:r w:rsidR="009E659A" w:rsidRPr="00045371">
              <w:rPr>
                <w:rFonts w:hAnsi="Times New Roman" w:cs="Times New Roman"/>
                <w:b/>
                <w:lang w:val="lt-LT"/>
              </w:rPr>
              <w:t xml:space="preserve">. </w:t>
            </w:r>
            <w:r w:rsidR="006E0687" w:rsidRPr="00045371">
              <w:rPr>
                <w:rFonts w:hAnsi="Times New Roman" w:cs="Times New Roman"/>
                <w:b/>
                <w:lang w:val="lt-LT"/>
              </w:rPr>
              <w:t xml:space="preserve">Elgesio kodeksas (verslo apmokestinimas) </w:t>
            </w:r>
            <w:r w:rsidR="006E0687" w:rsidRPr="00045371">
              <w:rPr>
                <w:rFonts w:hAnsi="Times New Roman" w:cs="Times New Roman"/>
                <w:i/>
                <w:lang w:val="lt-LT"/>
              </w:rPr>
              <w:t>(Tvirtinimas</w:t>
            </w:r>
            <w:r w:rsidR="00D961D3" w:rsidRPr="00045371">
              <w:rPr>
                <w:rFonts w:hAnsi="Times New Roman" w:cs="Times New Roman"/>
                <w:i/>
                <w:lang w:val="lt-LT"/>
              </w:rPr>
              <w:t>)</w:t>
            </w:r>
            <w:r w:rsidR="00D961D3" w:rsidRPr="00045371">
              <w:rPr>
                <w:rFonts w:hAnsi="Times New Roman" w:cs="Times New Roman"/>
                <w:b/>
                <w:lang w:val="lt-LT"/>
              </w:rPr>
              <w:t xml:space="preserve"> </w:t>
            </w:r>
          </w:p>
          <w:p w:rsidR="00BB528B" w:rsidRPr="00045371" w:rsidRDefault="00FD429F" w:rsidP="00BB528B">
            <w:pPr>
              <w:contextualSpacing/>
              <w:jc w:val="both"/>
              <w:rPr>
                <w:lang w:val="lt-LT"/>
              </w:rPr>
            </w:pPr>
            <w:r w:rsidRPr="00045371">
              <w:rPr>
                <w:b/>
                <w:u w:val="single"/>
                <w:lang w:val="lt-LT"/>
              </w:rPr>
              <w:t xml:space="preserve">Klausimo esmė. </w:t>
            </w:r>
            <w:r w:rsidR="00BB528B" w:rsidRPr="00045371">
              <w:rPr>
                <w:lang w:val="lt-LT"/>
              </w:rPr>
              <w:t>Kaip ir kiekvieno pusmečio pabaigoje bus siūloma Tarybai patvirtinti išvadas dėl E</w:t>
            </w:r>
            <w:r w:rsidR="00BB528B" w:rsidRPr="00045371">
              <w:rPr>
                <w:lang w:val="lt-LT"/>
              </w:rPr>
              <w:t>l</w:t>
            </w:r>
            <w:r w:rsidR="00BB528B" w:rsidRPr="00045371">
              <w:rPr>
                <w:lang w:val="lt-LT"/>
              </w:rPr>
              <w:t xml:space="preserve">gesio kodekso (verslo apmokestinimas) grupės veiklos Slovėnijos pirmininkavimo laikotarpiu. Išvadų esmė: </w:t>
            </w:r>
          </w:p>
          <w:p w:rsidR="00BB528B" w:rsidRPr="00045371" w:rsidRDefault="00BB528B" w:rsidP="00BB528B">
            <w:pPr>
              <w:contextualSpacing/>
              <w:jc w:val="both"/>
              <w:rPr>
                <w:lang w:val="lt-LT"/>
              </w:rPr>
            </w:pPr>
            <w:r w:rsidRPr="00045371">
              <w:rPr>
                <w:lang w:val="lt-LT"/>
              </w:rPr>
              <w:t>- Prašoma grupės tęsti dialogą su trečiosiomis jurisdikcijomis ir stebėti, kad jos vykdytų įsipareigoj</w:t>
            </w:r>
            <w:r w:rsidRPr="00045371">
              <w:rPr>
                <w:lang w:val="lt-LT"/>
              </w:rPr>
              <w:t>i</w:t>
            </w:r>
            <w:r w:rsidRPr="00045371">
              <w:rPr>
                <w:lang w:val="lt-LT"/>
              </w:rPr>
              <w:t xml:space="preserve">mus; atnaujinti informaciją, reikalingą ES juodojo sąrašo peržiūrai 2022 m. vasario mėn. </w:t>
            </w:r>
          </w:p>
          <w:p w:rsidR="00BB528B" w:rsidRPr="00045371" w:rsidRDefault="00BB528B" w:rsidP="00BB528B">
            <w:pPr>
              <w:contextualSpacing/>
              <w:jc w:val="both"/>
              <w:rPr>
                <w:lang w:val="lt-LT"/>
              </w:rPr>
            </w:pPr>
            <w:r w:rsidRPr="00045371">
              <w:rPr>
                <w:lang w:val="lt-LT"/>
              </w:rPr>
              <w:lastRenderedPageBreak/>
              <w:t>- Teigiamai vertinamas grupės darbo poveikis žalingos mokesčių praktikos ir lengvatinių mokesčių r</w:t>
            </w:r>
            <w:r w:rsidRPr="00045371">
              <w:rPr>
                <w:lang w:val="lt-LT"/>
              </w:rPr>
              <w:t>e</w:t>
            </w:r>
            <w:r w:rsidRPr="00045371">
              <w:rPr>
                <w:lang w:val="lt-LT"/>
              </w:rPr>
              <w:t xml:space="preserve">žimų mažinimui ES lygiu ir pasauliniu mastu; </w:t>
            </w:r>
          </w:p>
          <w:p w:rsidR="00BB528B" w:rsidRPr="00045371" w:rsidRDefault="00BB528B" w:rsidP="00BB528B">
            <w:pPr>
              <w:contextualSpacing/>
              <w:jc w:val="both"/>
              <w:rPr>
                <w:lang w:val="lt-LT"/>
              </w:rPr>
            </w:pPr>
            <w:r w:rsidRPr="00045371">
              <w:rPr>
                <w:lang w:val="lt-LT"/>
              </w:rPr>
              <w:t>- Atkreipiamas dėmesys į ataskaitą apie valstybių narių gynybines priemones mokesčių srityje neb</w:t>
            </w:r>
            <w:r w:rsidR="002D0C37">
              <w:rPr>
                <w:lang w:val="lt-LT"/>
              </w:rPr>
              <w:t>e</w:t>
            </w:r>
            <w:r w:rsidRPr="00045371">
              <w:rPr>
                <w:lang w:val="lt-LT"/>
              </w:rPr>
              <w:t>ndradarbiaujančių jurisdikcijų atžvilgiu, taip pat į diskusiją dėl ES mokesčių tikslais nebendradarbia</w:t>
            </w:r>
            <w:r w:rsidRPr="00045371">
              <w:rPr>
                <w:lang w:val="lt-LT"/>
              </w:rPr>
              <w:t>u</w:t>
            </w:r>
            <w:r w:rsidRPr="00045371">
              <w:rPr>
                <w:lang w:val="lt-LT"/>
              </w:rPr>
              <w:t>jančių jurisdikcijų sąrašo ir valstybių narių nacionalinių sąrašų sąveik</w:t>
            </w:r>
            <w:r w:rsidR="002D0C37">
              <w:rPr>
                <w:lang w:val="lt-LT"/>
              </w:rPr>
              <w:t>ą</w:t>
            </w:r>
            <w:r w:rsidRPr="00045371">
              <w:rPr>
                <w:lang w:val="lt-LT"/>
              </w:rPr>
              <w:t xml:space="preserve">. </w:t>
            </w:r>
          </w:p>
          <w:p w:rsidR="00E03B47" w:rsidRPr="00045371" w:rsidRDefault="00BB528B" w:rsidP="00BB528B">
            <w:pPr>
              <w:contextualSpacing/>
              <w:jc w:val="both"/>
              <w:rPr>
                <w:lang w:val="lt-LT"/>
              </w:rPr>
            </w:pPr>
            <w:r w:rsidRPr="00045371">
              <w:rPr>
                <w:lang w:val="lt-LT"/>
              </w:rPr>
              <w:t>Kartu su Tarybos išvadų projektu teikiama ir grupės veiklos Slovėnijos pirmininkavimo metu ataskaita, kurioje pristatomi grupėje per pastarąjį pusmetį nuveikti darbai.</w:t>
            </w:r>
          </w:p>
          <w:p w:rsidR="004D0CA6" w:rsidRPr="00045371" w:rsidRDefault="00E03B47" w:rsidP="006E0687">
            <w:pPr>
              <w:tabs>
                <w:tab w:val="left" w:pos="34"/>
              </w:tabs>
              <w:contextualSpacing/>
              <w:jc w:val="both"/>
              <w:rPr>
                <w:lang w:val="lt-LT"/>
              </w:rPr>
            </w:pPr>
            <w:r w:rsidRPr="00045371">
              <w:rPr>
                <w:lang w:val="lt-LT"/>
              </w:rPr>
              <w:tab/>
            </w:r>
          </w:p>
          <w:p w:rsidR="004D0CA6" w:rsidRPr="00045371" w:rsidRDefault="004D0CA6" w:rsidP="00FD429F">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lang w:val="lt-LT"/>
              </w:rPr>
              <w:t xml:space="preserve"> </w:t>
            </w:r>
            <w:r w:rsidR="00BB528B" w:rsidRPr="00045371">
              <w:rPr>
                <w:rFonts w:hAnsi="Times New Roman" w:cs="Times New Roman"/>
                <w:lang w:val="lt-LT"/>
              </w:rPr>
              <w:t>pritarti Tarybos išvadų projektui.</w:t>
            </w:r>
          </w:p>
          <w:p w:rsidR="008D674A" w:rsidRPr="00045371" w:rsidRDefault="008D674A" w:rsidP="00FD429F">
            <w:pPr>
              <w:pStyle w:val="BodyA"/>
              <w:jc w:val="both"/>
              <w:rPr>
                <w:rFonts w:hAnsi="Times New Roman" w:cs="Times New Roman"/>
                <w:b/>
                <w:u w:val="single"/>
                <w:lang w:val="lt-LT"/>
              </w:rPr>
            </w:pPr>
          </w:p>
          <w:p w:rsidR="0098163A" w:rsidRPr="00045371" w:rsidRDefault="00B9215C" w:rsidP="007F5B19">
            <w:pPr>
              <w:pStyle w:val="BodyA"/>
              <w:jc w:val="both"/>
              <w:rPr>
                <w:rFonts w:hAnsi="Times New Roman" w:cs="Times New Roman"/>
                <w:b/>
                <w:lang w:val="lt-LT"/>
              </w:rPr>
            </w:pPr>
            <w:r w:rsidRPr="00045371">
              <w:rPr>
                <w:rFonts w:hAnsi="Times New Roman" w:cs="Times New Roman"/>
                <w:b/>
                <w:lang w:val="lt-LT"/>
              </w:rPr>
              <w:t>10</w:t>
            </w:r>
            <w:r w:rsidR="001E5D73" w:rsidRPr="00045371">
              <w:rPr>
                <w:rFonts w:hAnsi="Times New Roman" w:cs="Times New Roman"/>
                <w:b/>
                <w:lang w:val="lt-LT"/>
              </w:rPr>
              <w:t>.</w:t>
            </w:r>
            <w:r w:rsidR="00E91FEC" w:rsidRPr="00045371">
              <w:rPr>
                <w:rFonts w:hAnsi="Times New Roman" w:cs="Times New Roman"/>
                <w:b/>
                <w:lang w:val="lt-LT"/>
              </w:rPr>
              <w:t xml:space="preserve"> </w:t>
            </w:r>
            <w:r w:rsidR="006D35C9" w:rsidRPr="00045371">
              <w:rPr>
                <w:rFonts w:hAnsi="Times New Roman" w:cs="Times New Roman"/>
                <w:b/>
                <w:lang w:val="lt-LT"/>
              </w:rPr>
              <w:t>ECOFIN ataskaita Europos Vadovų T</w:t>
            </w:r>
            <w:r w:rsidR="006E0687" w:rsidRPr="00045371">
              <w:rPr>
                <w:rFonts w:hAnsi="Times New Roman" w:cs="Times New Roman"/>
                <w:b/>
                <w:lang w:val="lt-LT"/>
              </w:rPr>
              <w:t xml:space="preserve">arybai mokesčių klausimais </w:t>
            </w:r>
            <w:r w:rsidR="00477DE6" w:rsidRPr="00045371">
              <w:rPr>
                <w:rFonts w:hAnsi="Times New Roman" w:cs="Times New Roman"/>
                <w:lang w:val="lt-LT"/>
              </w:rPr>
              <w:t>(</w:t>
            </w:r>
            <w:r w:rsidR="00477DE6" w:rsidRPr="00045371">
              <w:rPr>
                <w:rFonts w:hAnsi="Times New Roman" w:cs="Times New Roman"/>
                <w:i/>
                <w:lang w:val="lt-LT"/>
              </w:rPr>
              <w:t>tvirtinimas</w:t>
            </w:r>
            <w:r w:rsidR="00477DE6" w:rsidRPr="00045371">
              <w:rPr>
                <w:rFonts w:hAnsi="Times New Roman" w:cs="Times New Roman"/>
                <w:lang w:val="lt-LT"/>
              </w:rPr>
              <w:t>)</w:t>
            </w:r>
          </w:p>
          <w:p w:rsidR="006D35C9" w:rsidRPr="00045371" w:rsidRDefault="0098163A" w:rsidP="006D35C9">
            <w:pPr>
              <w:pStyle w:val="BodyA"/>
              <w:jc w:val="both"/>
              <w:rPr>
                <w:rFonts w:hAnsi="Times New Roman" w:cs="Times New Roman"/>
                <w:lang w:val="lt-LT"/>
              </w:rPr>
            </w:pPr>
            <w:r w:rsidRPr="00045371">
              <w:rPr>
                <w:rFonts w:hAnsi="Times New Roman" w:cs="Times New Roman"/>
                <w:b/>
                <w:u w:val="single"/>
                <w:lang w:val="lt-LT"/>
              </w:rPr>
              <w:t>Klausimo esmė.</w:t>
            </w:r>
            <w:r w:rsidRPr="00045371">
              <w:rPr>
                <w:rFonts w:hAnsi="Times New Roman" w:cs="Times New Roman"/>
                <w:lang w:val="lt-LT"/>
              </w:rPr>
              <w:t xml:space="preserve"> </w:t>
            </w:r>
            <w:r w:rsidR="006D35C9" w:rsidRPr="00045371">
              <w:rPr>
                <w:rFonts w:hAnsi="Times New Roman" w:cs="Times New Roman"/>
                <w:lang w:val="lt-LT"/>
              </w:rPr>
              <w:t>Kaip ir kiekvieno pusmečio pabaigoje, bus siūloma Tarybai patvirtinti ataskaitą m</w:t>
            </w:r>
            <w:r w:rsidR="006D35C9" w:rsidRPr="00045371">
              <w:rPr>
                <w:rFonts w:hAnsi="Times New Roman" w:cs="Times New Roman"/>
                <w:lang w:val="lt-LT"/>
              </w:rPr>
              <w:t>o</w:t>
            </w:r>
            <w:r w:rsidR="006D35C9" w:rsidRPr="00045371">
              <w:rPr>
                <w:rFonts w:hAnsi="Times New Roman" w:cs="Times New Roman"/>
                <w:lang w:val="lt-LT"/>
              </w:rPr>
              <w:t>kesčių klausimais Europos Vadovų Taryba</w:t>
            </w:r>
            <w:r w:rsidR="0083179C" w:rsidRPr="00045371">
              <w:rPr>
                <w:rFonts w:hAnsi="Times New Roman" w:cs="Times New Roman"/>
                <w:lang w:val="lt-LT"/>
              </w:rPr>
              <w:t>i. Ataskaitos</w:t>
            </w:r>
            <w:r w:rsidR="006D35C9" w:rsidRPr="00045371">
              <w:rPr>
                <w:rFonts w:hAnsi="Times New Roman" w:cs="Times New Roman"/>
                <w:lang w:val="lt-LT"/>
              </w:rPr>
              <w:t xml:space="preserve"> projekte pristatomi Tarybos nuveikti darbai mokesčių srityje Slovėnijos pirmininkavimo laikotarpiu. Kaip esminiai minimi šie:</w:t>
            </w:r>
          </w:p>
          <w:p w:rsidR="006D35C9" w:rsidRPr="00045371" w:rsidRDefault="006D35C9" w:rsidP="006D35C9">
            <w:pPr>
              <w:pStyle w:val="BodyA"/>
              <w:jc w:val="both"/>
              <w:rPr>
                <w:rFonts w:hAnsi="Times New Roman" w:cs="Times New Roman"/>
                <w:lang w:val="lt-LT"/>
              </w:rPr>
            </w:pPr>
            <w:r w:rsidRPr="00045371">
              <w:rPr>
                <w:rFonts w:hAnsi="Times New Roman" w:cs="Times New Roman"/>
                <w:lang w:val="lt-LT"/>
              </w:rPr>
              <w:t>- nuolat stebėjo ir apžvelgė EBPO ir G20 derybas dėl ekonomikos skaitmeninimo mokestinių iššūkių sprendimų ir diskutavo, kaip turėtų būti judama į priekį ES lygmeniu; šioje srityje numatoma, kad EK iki š.m. pabaigos turi pateikti pasiūlymą dėl EBPO ir G20 pasiekto sutarimo dėl II ramsčio (</w:t>
            </w:r>
            <w:proofErr w:type="spellStart"/>
            <w:r w:rsidRPr="00045371">
              <w:rPr>
                <w:rFonts w:hAnsi="Times New Roman" w:cs="Times New Roman"/>
                <w:lang w:val="lt-LT"/>
              </w:rPr>
              <w:t>Pillar</w:t>
            </w:r>
            <w:proofErr w:type="spellEnd"/>
            <w:r w:rsidRPr="00045371">
              <w:rPr>
                <w:rFonts w:hAnsi="Times New Roman" w:cs="Times New Roman"/>
                <w:lang w:val="lt-LT"/>
              </w:rPr>
              <w:t xml:space="preserve"> II) įgyvendinimo ES lygiu;</w:t>
            </w:r>
          </w:p>
          <w:p w:rsidR="006D35C9" w:rsidRPr="00045371" w:rsidRDefault="006D35C9" w:rsidP="006D35C9">
            <w:pPr>
              <w:pStyle w:val="BodyA"/>
              <w:jc w:val="both"/>
              <w:rPr>
                <w:rFonts w:hAnsi="Times New Roman" w:cs="Times New Roman"/>
                <w:lang w:val="lt-LT"/>
              </w:rPr>
            </w:pPr>
            <w:r w:rsidRPr="00045371">
              <w:rPr>
                <w:rFonts w:hAnsi="Times New Roman" w:cs="Times New Roman"/>
                <w:lang w:val="lt-LT"/>
              </w:rPr>
              <w:t>- [pasiekė bendrą požiūrį/ aktyviai diskutavo</w:t>
            </w:r>
            <w:r w:rsidR="0083179C" w:rsidRPr="00045371">
              <w:rPr>
                <w:rStyle w:val="Puslapioinaosnuoroda"/>
                <w:rFonts w:hAnsi="Times New Roman" w:cs="Times New Roman"/>
                <w:lang w:val="lt-LT"/>
              </w:rPr>
              <w:footnoteReference w:id="1"/>
            </w:r>
            <w:r w:rsidRPr="00045371">
              <w:rPr>
                <w:rFonts w:hAnsi="Times New Roman" w:cs="Times New Roman"/>
                <w:lang w:val="lt-LT"/>
              </w:rPr>
              <w:t>] dėl pasiūlymo dėl Direktyvos, iš dalies keičiančios D</w:t>
            </w:r>
            <w:r w:rsidRPr="00045371">
              <w:rPr>
                <w:rFonts w:hAnsi="Times New Roman" w:cs="Times New Roman"/>
                <w:lang w:val="lt-LT"/>
              </w:rPr>
              <w:t>i</w:t>
            </w:r>
            <w:r w:rsidRPr="00045371">
              <w:rPr>
                <w:rFonts w:hAnsi="Times New Roman" w:cs="Times New Roman"/>
                <w:lang w:val="lt-LT"/>
              </w:rPr>
              <w:t>rektyvą 2006/112/EB dėl PVM tarifų;</w:t>
            </w:r>
          </w:p>
          <w:p w:rsidR="006D35C9" w:rsidRPr="00045371" w:rsidRDefault="006D35C9" w:rsidP="006D35C9">
            <w:pPr>
              <w:pStyle w:val="BodyA"/>
              <w:jc w:val="both"/>
              <w:rPr>
                <w:rFonts w:hAnsi="Times New Roman" w:cs="Times New Roman"/>
                <w:lang w:val="lt-LT"/>
              </w:rPr>
            </w:pPr>
            <w:r w:rsidRPr="00045371">
              <w:rPr>
                <w:rFonts w:hAnsi="Times New Roman" w:cs="Times New Roman"/>
                <w:lang w:val="lt-LT"/>
              </w:rPr>
              <w:t>- priėmė Direktyvą, kuria iš dalies keičiamos Direktyvos 2006/112/EB nuostatos dėl importo ir tam ti</w:t>
            </w:r>
            <w:r w:rsidRPr="00045371">
              <w:rPr>
                <w:rFonts w:hAnsi="Times New Roman" w:cs="Times New Roman"/>
                <w:lang w:val="lt-LT"/>
              </w:rPr>
              <w:t>k</w:t>
            </w:r>
            <w:r w:rsidRPr="00045371">
              <w:rPr>
                <w:rFonts w:hAnsi="Times New Roman" w:cs="Times New Roman"/>
                <w:lang w:val="lt-LT"/>
              </w:rPr>
              <w:t>rų prekių tiekimo ir paslaugų teikimo laikino neapmokestinimo PVM, reaguojant į COVID-19 pand</w:t>
            </w:r>
            <w:r w:rsidRPr="00045371">
              <w:rPr>
                <w:rFonts w:hAnsi="Times New Roman" w:cs="Times New Roman"/>
                <w:lang w:val="lt-LT"/>
              </w:rPr>
              <w:t>e</w:t>
            </w:r>
            <w:r w:rsidRPr="00045371">
              <w:rPr>
                <w:rFonts w:hAnsi="Times New Roman" w:cs="Times New Roman"/>
                <w:lang w:val="lt-LT"/>
              </w:rPr>
              <w:t>miją;</w:t>
            </w:r>
          </w:p>
          <w:p w:rsidR="006D35C9" w:rsidRPr="00045371" w:rsidRDefault="006D35C9" w:rsidP="006D35C9">
            <w:pPr>
              <w:pStyle w:val="BodyA"/>
              <w:jc w:val="both"/>
              <w:rPr>
                <w:rFonts w:hAnsi="Times New Roman" w:cs="Times New Roman"/>
                <w:lang w:val="lt-LT"/>
              </w:rPr>
            </w:pPr>
            <w:r w:rsidRPr="00045371">
              <w:rPr>
                <w:rFonts w:hAnsi="Times New Roman" w:cs="Times New Roman"/>
                <w:lang w:val="lt-LT"/>
              </w:rPr>
              <w:t xml:space="preserve">- pradėjo nagrinėti pasiūlymą dėl Tarybos direktyvos, kuria restruktūrizuojama Sąjungos energetikos produktų ir elektros energijos apmokestinimo sistema (nauja redakcija); </w:t>
            </w:r>
          </w:p>
          <w:p w:rsidR="00046AE0" w:rsidRPr="00045371" w:rsidRDefault="006D35C9" w:rsidP="006D35C9">
            <w:pPr>
              <w:pStyle w:val="BodyA"/>
              <w:jc w:val="both"/>
              <w:rPr>
                <w:rFonts w:hAnsi="Times New Roman" w:cs="Times New Roman"/>
                <w:lang w:val="lt-LT"/>
              </w:rPr>
            </w:pPr>
            <w:r w:rsidRPr="00045371">
              <w:rPr>
                <w:rFonts w:hAnsi="Times New Roman" w:cs="Times New Roman"/>
                <w:lang w:val="lt-LT"/>
              </w:rPr>
              <w:t>- aktyviai diskutavo dėl Elgesio kodekso (verslo apmokestinimas) darbo grupės įgaliojimų peržiūros, sudarant galimybes Elgesio kodekso darbo grupei vertinti ne tik atskirus lengvatinius VN taikomus a</w:t>
            </w:r>
            <w:r w:rsidRPr="00045371">
              <w:rPr>
                <w:rFonts w:hAnsi="Times New Roman" w:cs="Times New Roman"/>
                <w:lang w:val="lt-LT"/>
              </w:rPr>
              <w:t>p</w:t>
            </w:r>
            <w:r w:rsidRPr="00045371">
              <w:rPr>
                <w:rFonts w:hAnsi="Times New Roman" w:cs="Times New Roman"/>
                <w:lang w:val="lt-LT"/>
              </w:rPr>
              <w:t>mokestinimo režimus, bet ir bendruosius VN pelno mokesčio sistemų elementus.</w:t>
            </w:r>
          </w:p>
          <w:p w:rsidR="00161D1D" w:rsidRPr="00045371" w:rsidRDefault="00161D1D" w:rsidP="00811E87">
            <w:pPr>
              <w:pStyle w:val="BodyA"/>
              <w:jc w:val="both"/>
              <w:rPr>
                <w:rFonts w:hAnsi="Times New Roman" w:cs="Times New Roman"/>
                <w:highlight w:val="yellow"/>
                <w:lang w:val="lt-LT"/>
              </w:rPr>
            </w:pPr>
          </w:p>
          <w:p w:rsidR="00811E87" w:rsidRPr="00045371" w:rsidRDefault="0098163A" w:rsidP="00C70F7A">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u w:val="single"/>
                <w:lang w:val="lt-LT"/>
              </w:rPr>
              <w:t>.</w:t>
            </w:r>
            <w:r w:rsidR="009A0353" w:rsidRPr="00045371">
              <w:rPr>
                <w:rFonts w:hAnsi="Times New Roman" w:cs="Times New Roman"/>
                <w:lang w:val="lt-LT"/>
              </w:rPr>
              <w:t xml:space="preserve"> </w:t>
            </w:r>
            <w:r w:rsidR="006A4BF2" w:rsidRPr="00045371">
              <w:rPr>
                <w:rFonts w:hAnsi="Times New Roman" w:cs="Times New Roman"/>
                <w:lang w:val="lt-LT"/>
              </w:rPr>
              <w:t>pritarti Tarybos ataskaitos projektui.</w:t>
            </w:r>
          </w:p>
          <w:p w:rsidR="0076574D" w:rsidRPr="00045371" w:rsidRDefault="006A4BF2" w:rsidP="006A4BF2">
            <w:pPr>
              <w:autoSpaceDE w:val="0"/>
              <w:autoSpaceDN w:val="0"/>
              <w:adjustRightInd w:val="0"/>
              <w:jc w:val="both"/>
              <w:rPr>
                <w:lang w:val="lt-LT"/>
              </w:rPr>
            </w:pPr>
            <w:r w:rsidRPr="00045371">
              <w:rPr>
                <w:i/>
                <w:u w:val="single"/>
                <w:lang w:val="lt-LT"/>
              </w:rPr>
              <w:t>Pastaba:</w:t>
            </w:r>
            <w:r w:rsidRPr="00045371">
              <w:rPr>
                <w:lang w:val="lt-LT"/>
              </w:rPr>
              <w:t xml:space="preserve"> ataskaitos projektas turėtų būti įtrauktas į Tarybos darbotvarkės A punktus, kaip nediskusinis.  </w:t>
            </w:r>
          </w:p>
        </w:tc>
      </w:tr>
    </w:tbl>
    <w:p w:rsidR="005515EF" w:rsidRPr="00045371" w:rsidRDefault="005515EF" w:rsidP="00704CBF">
      <w:pPr>
        <w:jc w:val="center"/>
        <w:rPr>
          <w:rFonts w:eastAsia="Calibri"/>
          <w:b/>
          <w:lang w:val="lt-LT"/>
        </w:rPr>
      </w:pPr>
    </w:p>
    <w:p w:rsidR="00C56C82" w:rsidRPr="00045371" w:rsidRDefault="00C56C82" w:rsidP="00704CBF">
      <w:pPr>
        <w:jc w:val="center"/>
        <w:rPr>
          <w:rFonts w:eastAsia="Calibri"/>
          <w:b/>
          <w:lang w:val="lt-LT"/>
        </w:rPr>
      </w:pPr>
    </w:p>
    <w:p w:rsidR="002F39D0" w:rsidRPr="00045371" w:rsidRDefault="00790FF5" w:rsidP="00704CBF">
      <w:pPr>
        <w:jc w:val="center"/>
        <w:rPr>
          <w:rFonts w:eastAsia="Calibri"/>
          <w:b/>
          <w:lang w:val="lt-LT"/>
        </w:rPr>
      </w:pPr>
      <w:r w:rsidRPr="00045371">
        <w:rPr>
          <w:rFonts w:eastAsia="Calibri"/>
          <w:b/>
          <w:lang w:val="lt-LT"/>
        </w:rPr>
        <w:t>2021</w:t>
      </w:r>
      <w:r w:rsidR="00274F66" w:rsidRPr="00045371">
        <w:rPr>
          <w:rFonts w:eastAsia="Calibri"/>
          <w:b/>
          <w:lang w:val="lt-LT"/>
        </w:rPr>
        <w:t xml:space="preserve"> </w:t>
      </w:r>
      <w:r w:rsidR="007327EE" w:rsidRPr="00045371">
        <w:rPr>
          <w:rFonts w:eastAsia="Calibri"/>
          <w:b/>
          <w:lang w:val="lt-LT"/>
        </w:rPr>
        <w:t xml:space="preserve">M. </w:t>
      </w:r>
      <w:r w:rsidR="006E0687" w:rsidRPr="00045371">
        <w:rPr>
          <w:rFonts w:eastAsia="Calibri"/>
          <w:b/>
          <w:lang w:val="lt-LT"/>
        </w:rPr>
        <w:t>GRUODŽIO</w:t>
      </w:r>
      <w:r w:rsidR="007327EE" w:rsidRPr="00045371">
        <w:rPr>
          <w:rFonts w:eastAsia="Calibri"/>
          <w:b/>
          <w:lang w:val="lt-LT"/>
        </w:rPr>
        <w:t xml:space="preserve"> </w:t>
      </w:r>
      <w:r w:rsidR="006E0687" w:rsidRPr="00045371">
        <w:rPr>
          <w:rFonts w:eastAsia="Calibri"/>
          <w:b/>
          <w:lang w:val="lt-LT"/>
        </w:rPr>
        <w:t>6</w:t>
      </w:r>
      <w:r w:rsidR="00EE0A8F" w:rsidRPr="00045371">
        <w:rPr>
          <w:rFonts w:eastAsia="Calibri"/>
          <w:b/>
          <w:lang w:val="lt-LT"/>
        </w:rPr>
        <w:t xml:space="preserve"> D. EURO GRUPĖS </w:t>
      </w:r>
      <w:r w:rsidR="00185FD2" w:rsidRPr="00045371">
        <w:rPr>
          <w:rFonts w:eastAsia="Calibri"/>
          <w:b/>
          <w:lang w:val="lt-LT"/>
        </w:rPr>
        <w:t xml:space="preserve">(EG) </w:t>
      </w:r>
      <w:r w:rsidR="00A43544" w:rsidRPr="00045371">
        <w:rPr>
          <w:rFonts w:eastAsia="Calibri"/>
          <w:b/>
          <w:lang w:val="lt-LT"/>
        </w:rPr>
        <w:t>SUSITIKIMAS</w:t>
      </w:r>
    </w:p>
    <w:p w:rsidR="00530736" w:rsidRPr="00045371" w:rsidRDefault="00530736" w:rsidP="00530736">
      <w:pPr>
        <w:pStyle w:val="Default"/>
      </w:pPr>
    </w:p>
    <w:p w:rsidR="00AE4846" w:rsidRPr="00045371"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color w:val="202124"/>
          <w:bdr w:val="none" w:sz="0" w:space="0" w:color="auto"/>
          <w:lang w:val="lt-LT" w:eastAsia="lt-LT"/>
        </w:rPr>
      </w:pPr>
      <w:r w:rsidRPr="00045371">
        <w:rPr>
          <w:b/>
          <w:color w:val="202124"/>
          <w:bdr w:val="none" w:sz="0" w:space="0" w:color="auto"/>
          <w:lang w:val="lt-LT" w:eastAsia="lt-LT"/>
        </w:rPr>
        <w:t xml:space="preserve">1. </w:t>
      </w:r>
      <w:r w:rsidR="001C7484" w:rsidRPr="00045371">
        <w:rPr>
          <w:b/>
          <w:color w:val="202124"/>
          <w:bdr w:val="none" w:sz="0" w:space="0" w:color="auto"/>
          <w:lang w:val="lt-LT" w:eastAsia="lt-LT"/>
        </w:rPr>
        <w:t>Graikijos sustiprintos priežiūros 12-oji ataskaita</w:t>
      </w:r>
    </w:p>
    <w:p w:rsidR="005E1990" w:rsidRPr="00045371" w:rsidRDefault="00AE4846" w:rsidP="005E1990">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5E1990" w:rsidRPr="00045371">
        <w:rPr>
          <w:bdr w:val="none" w:sz="0" w:space="0" w:color="auto"/>
          <w:lang w:val="lt-LT"/>
        </w:rPr>
        <w:t>2021 m. lapkričio 24 d. EK paskelbė 12-ąją po-programinės sustiprintos priežiūros ataskaitą. Ataskaitoje teigiama, kad po gero turistinio sezono 2021 m. numatomas BVP augimas sudarys net 7,1 % ir beveik grįš į prieškrizinį lygį. Pagal EK 2021 m. rudens prognozę numatoma, kad 2021 m. BVP padidės 5,2 %.</w:t>
      </w:r>
      <w:r w:rsidR="005E1990" w:rsidRPr="00045371">
        <w:rPr>
          <w:lang w:val="lt-LT"/>
        </w:rPr>
        <w:t xml:space="preserve"> </w:t>
      </w:r>
      <w:r w:rsidR="005E1990" w:rsidRPr="00045371">
        <w:rPr>
          <w:bdr w:val="none" w:sz="0" w:space="0" w:color="auto"/>
          <w:lang w:val="lt-LT"/>
        </w:rPr>
        <w:t>Ataskaitoje taip pat pažymima, kad Graikijoje sumažėjo neveiksnių paskolų kiekis, fiksuota viešojo administravimo sektoriaus reformos pažanga, pritraukiant kompetentingus darbuotojus.</w:t>
      </w:r>
      <w:r w:rsidR="002D4E19">
        <w:rPr>
          <w:bdr w:val="none" w:sz="0" w:space="0" w:color="auto"/>
          <w:lang w:val="lt-LT"/>
        </w:rPr>
        <w:t xml:space="preserve"> </w:t>
      </w:r>
      <w:r w:rsidR="005E1990" w:rsidRPr="00045371">
        <w:rPr>
          <w:bdr w:val="none" w:sz="0" w:space="0" w:color="auto"/>
          <w:lang w:val="lt-LT"/>
        </w:rPr>
        <w:t xml:space="preserve">Daroma išvada, kad Graikija padarė pažangą, vykdydama savo prisiimtus įsipareigojimus, nepaisant kai kuriose srityse pastebėtų vėlavimų, iš dalies susijusių su sudėtingomis aplinkybėmis dėl pandemijos ir katastrofiškų rugpjūčio mėn. kilusių gaisrų.  </w:t>
      </w:r>
    </w:p>
    <w:p w:rsidR="009C4F5C" w:rsidRPr="00045371" w:rsidRDefault="009C4F5C" w:rsidP="005E1990">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dr w:val="none" w:sz="0" w:space="0" w:color="auto"/>
          <w:lang w:val="lt-LT"/>
        </w:rPr>
        <w:t>Remdamosi 12-ąja sustiprintos priežiūros ataskaita, VN-ės turi priimti sprendimą dėl šeštosios SMP (</w:t>
      </w:r>
      <w:proofErr w:type="spellStart"/>
      <w:r w:rsidRPr="00045371">
        <w:rPr>
          <w:bdr w:val="none" w:sz="0" w:space="0" w:color="auto"/>
          <w:lang w:val="lt-LT"/>
        </w:rPr>
        <w:t>Securities</w:t>
      </w:r>
      <w:proofErr w:type="spellEnd"/>
      <w:r w:rsidRPr="00045371">
        <w:rPr>
          <w:bdr w:val="none" w:sz="0" w:space="0" w:color="auto"/>
          <w:lang w:val="lt-LT"/>
        </w:rPr>
        <w:t xml:space="preserve"> </w:t>
      </w:r>
      <w:proofErr w:type="spellStart"/>
      <w:r w:rsidRPr="00045371">
        <w:rPr>
          <w:bdr w:val="none" w:sz="0" w:space="0" w:color="auto"/>
          <w:lang w:val="lt-LT"/>
        </w:rPr>
        <w:t>Markets</w:t>
      </w:r>
      <w:proofErr w:type="spellEnd"/>
      <w:r w:rsidRPr="00045371">
        <w:rPr>
          <w:bdr w:val="none" w:sz="0" w:space="0" w:color="auto"/>
          <w:lang w:val="lt-LT"/>
        </w:rPr>
        <w:t xml:space="preserve"> </w:t>
      </w:r>
      <w:proofErr w:type="spellStart"/>
      <w:r w:rsidRPr="00045371">
        <w:rPr>
          <w:bdr w:val="none" w:sz="0" w:space="0" w:color="auto"/>
          <w:lang w:val="lt-LT"/>
        </w:rPr>
        <w:t>Programme</w:t>
      </w:r>
      <w:proofErr w:type="spellEnd"/>
      <w:r w:rsidRPr="00045371">
        <w:rPr>
          <w:bdr w:val="none" w:sz="0" w:space="0" w:color="auto"/>
          <w:lang w:val="lt-LT"/>
        </w:rPr>
        <w:t>)/ANFA (</w:t>
      </w:r>
      <w:proofErr w:type="spellStart"/>
      <w:r w:rsidRPr="00045371">
        <w:rPr>
          <w:bdr w:val="none" w:sz="0" w:space="0" w:color="auto"/>
          <w:lang w:val="lt-LT"/>
        </w:rPr>
        <w:t>Agreement</w:t>
      </w:r>
      <w:proofErr w:type="spellEnd"/>
      <w:r w:rsidRPr="00045371">
        <w:rPr>
          <w:bdr w:val="none" w:sz="0" w:space="0" w:color="auto"/>
          <w:lang w:val="lt-LT"/>
        </w:rPr>
        <w:t xml:space="preserve"> on Net Financial Assets) pajamų dalies – 767 mln. EUR pervedimo Graikijai. </w:t>
      </w:r>
    </w:p>
    <w:p w:rsidR="00651ACB" w:rsidRPr="00045371" w:rsidRDefault="00651ACB"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01186" w:rsidRPr="00045371" w:rsidRDefault="005A71D9" w:rsidP="00501186">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sidRPr="00045371">
        <w:rPr>
          <w:b/>
          <w:u w:val="single"/>
          <w:bdr w:val="none" w:sz="0" w:space="0" w:color="auto"/>
          <w:lang w:val="lt-LT"/>
        </w:rPr>
        <w:t>Lietuvos pozicija</w:t>
      </w:r>
      <w:r w:rsidRPr="00045371">
        <w:rPr>
          <w:bdr w:val="none" w:sz="0" w:space="0" w:color="auto"/>
          <w:lang w:val="lt-LT"/>
        </w:rPr>
        <w:t>.</w:t>
      </w:r>
      <w:r w:rsidR="00501186" w:rsidRPr="00045371">
        <w:rPr>
          <w:bdr w:val="none" w:sz="0" w:space="0" w:color="auto"/>
          <w:lang w:val="lt-LT"/>
        </w:rPr>
        <w:t xml:space="preserve"> </w:t>
      </w:r>
      <w:r w:rsidR="009C4F5C" w:rsidRPr="00045371">
        <w:rPr>
          <w:bdr w:val="none" w:sz="0" w:space="0" w:color="auto"/>
          <w:lang w:val="lt-LT"/>
        </w:rPr>
        <w:t>Pritariame Graikijos po-programinės politikos vertinimo misijos ataskaitai ir šešt</w:t>
      </w:r>
      <w:r w:rsidR="009C4F5C" w:rsidRPr="00045371">
        <w:rPr>
          <w:bdr w:val="none" w:sz="0" w:space="0" w:color="auto"/>
          <w:lang w:val="lt-LT"/>
        </w:rPr>
        <w:t>o</w:t>
      </w:r>
      <w:r w:rsidR="009C4F5C" w:rsidRPr="00045371">
        <w:rPr>
          <w:bdr w:val="none" w:sz="0" w:space="0" w:color="auto"/>
          <w:lang w:val="lt-LT"/>
        </w:rPr>
        <w:t>sios SMP/ ANFA pajamų dalies išmokėjimui Graikijai.</w:t>
      </w:r>
    </w:p>
    <w:p w:rsidR="008C41CD" w:rsidRPr="00045371"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FE5121" w:rsidRPr="00045371"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045371">
        <w:rPr>
          <w:b/>
          <w:color w:val="202124"/>
          <w:bdr w:val="none" w:sz="0" w:space="0" w:color="auto"/>
          <w:lang w:val="lt-LT"/>
        </w:rPr>
        <w:t>2.</w:t>
      </w:r>
      <w:r w:rsidR="001C7484" w:rsidRPr="00045371">
        <w:rPr>
          <w:b/>
          <w:color w:val="202124"/>
          <w:bdr w:val="none" w:sz="0" w:space="0" w:color="auto"/>
          <w:lang w:val="lt-LT"/>
        </w:rPr>
        <w:t xml:space="preserve"> Po-programinė stebėsena: Kipras, Ispanija, Portugalija, Airija</w:t>
      </w:r>
      <w:r w:rsidR="00FE5121" w:rsidRPr="00045371">
        <w:rPr>
          <w:b/>
          <w:color w:val="202124"/>
          <w:bdr w:val="none" w:sz="0" w:space="0" w:color="auto"/>
          <w:lang w:val="lt-LT"/>
        </w:rPr>
        <w:tab/>
      </w:r>
    </w:p>
    <w:p w:rsidR="00A31D02" w:rsidRPr="00045371" w:rsidRDefault="005A71D9" w:rsidP="00A31D0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A31D02" w:rsidRPr="00045371">
        <w:rPr>
          <w:bdr w:val="none" w:sz="0" w:space="0" w:color="auto"/>
          <w:lang w:val="lt-LT"/>
        </w:rPr>
        <w:t>Euro zonos šalių finansų ministrai aptars 11-osios Kipro, 15-osios Airijos, 16-osios Ispanijos ir 14-osios Portugalijos po-programinės politikos vertinimo misijų rezultatus. Visose vertint</w:t>
      </w:r>
      <w:r w:rsidR="00A31D02" w:rsidRPr="00045371">
        <w:rPr>
          <w:bdr w:val="none" w:sz="0" w:space="0" w:color="auto"/>
          <w:lang w:val="lt-LT"/>
        </w:rPr>
        <w:t>o</w:t>
      </w:r>
      <w:r w:rsidR="00A31D02" w:rsidRPr="00045371">
        <w:rPr>
          <w:bdr w:val="none" w:sz="0" w:space="0" w:color="auto"/>
          <w:lang w:val="lt-LT"/>
        </w:rPr>
        <w:t>se šalyse fiksuotas ekonomikos atsigavimas, 2022 ir 2023 m. taip pat prognozuojamas tolesnis BVP a</w:t>
      </w:r>
      <w:r w:rsidR="00A31D02" w:rsidRPr="00045371">
        <w:rPr>
          <w:bdr w:val="none" w:sz="0" w:space="0" w:color="auto"/>
          <w:lang w:val="lt-LT"/>
        </w:rPr>
        <w:t>u</w:t>
      </w:r>
      <w:r w:rsidR="00A31D02" w:rsidRPr="00045371">
        <w:rPr>
          <w:bdr w:val="none" w:sz="0" w:space="0" w:color="auto"/>
          <w:lang w:val="lt-LT"/>
        </w:rPr>
        <w:t>gimas ir valstybės skolos lygio mažėjimas. EK, Europos centrinio banko ir Europos stabilumo mech</w:t>
      </w:r>
      <w:r w:rsidR="00A31D02" w:rsidRPr="00045371">
        <w:rPr>
          <w:bdr w:val="none" w:sz="0" w:space="0" w:color="auto"/>
          <w:lang w:val="lt-LT"/>
        </w:rPr>
        <w:t>a</w:t>
      </w:r>
      <w:r w:rsidR="00A31D02" w:rsidRPr="00045371">
        <w:rPr>
          <w:bdr w:val="none" w:sz="0" w:space="0" w:color="auto"/>
          <w:lang w:val="lt-LT"/>
        </w:rPr>
        <w:t xml:space="preserve">nizmo vertinimu rizika dėl paskolų grąžinimo yra žema. </w:t>
      </w:r>
    </w:p>
    <w:p w:rsidR="00A31D02" w:rsidRPr="00045371" w:rsidRDefault="00A31D02" w:rsidP="00A31D0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682383" w:rsidRPr="00045371" w:rsidRDefault="00A31D02" w:rsidP="00A31D0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Lietuvos pozicija</w:t>
      </w:r>
      <w:r w:rsidRPr="00045371">
        <w:rPr>
          <w:bdr w:val="none" w:sz="0" w:space="0" w:color="auto"/>
          <w:lang w:val="lt-LT"/>
        </w:rPr>
        <w:t>. Pritariame 11-osios Kipro, 15-osios Airijos, 16-osios Ispanijos ir 14-osios Portugal</w:t>
      </w:r>
      <w:r w:rsidRPr="00045371">
        <w:rPr>
          <w:bdr w:val="none" w:sz="0" w:space="0" w:color="auto"/>
          <w:lang w:val="lt-LT"/>
        </w:rPr>
        <w:t>i</w:t>
      </w:r>
      <w:r w:rsidRPr="00045371">
        <w:rPr>
          <w:bdr w:val="none" w:sz="0" w:space="0" w:color="auto"/>
          <w:lang w:val="lt-LT"/>
        </w:rPr>
        <w:t>jos po-programinės politikos vertinimo misijos rezultatams.</w:t>
      </w:r>
    </w:p>
    <w:p w:rsidR="007A362E" w:rsidRPr="00045371" w:rsidRDefault="007A362E" w:rsidP="007A362E">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lang w:val="lt-LT"/>
        </w:rPr>
      </w:pPr>
    </w:p>
    <w:p w:rsidR="005A71D9" w:rsidRPr="00045371" w:rsidRDefault="00BD6C27"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045371">
        <w:rPr>
          <w:b/>
          <w:color w:val="202124"/>
          <w:bdr w:val="none" w:sz="0" w:space="0" w:color="auto"/>
          <w:lang w:val="lt-LT"/>
        </w:rPr>
        <w:t>3</w:t>
      </w:r>
      <w:r w:rsidR="008C41CD" w:rsidRPr="00045371">
        <w:rPr>
          <w:b/>
          <w:color w:val="202124"/>
          <w:bdr w:val="none" w:sz="0" w:space="0" w:color="auto"/>
          <w:lang w:val="lt-LT"/>
        </w:rPr>
        <w:t xml:space="preserve">. </w:t>
      </w:r>
      <w:r w:rsidR="001C7484" w:rsidRPr="00045371">
        <w:rPr>
          <w:b/>
          <w:color w:val="202124"/>
          <w:bdr w:val="none" w:sz="0" w:space="0" w:color="auto"/>
          <w:lang w:val="lt-LT"/>
        </w:rPr>
        <w:t>Euro grupės 2022 m. II ketv. Darbo programa</w:t>
      </w:r>
    </w:p>
    <w:p w:rsidR="0083179C" w:rsidRPr="00045371" w:rsidRDefault="005A71D9" w:rsidP="0083179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83179C" w:rsidRPr="00045371">
        <w:rPr>
          <w:bdr w:val="none" w:sz="0" w:space="0" w:color="auto"/>
          <w:lang w:val="lt-LT"/>
        </w:rPr>
        <w:t xml:space="preserve">Euro grupė (toliau – EG), būdama ekonominės politikos atsako priešakyje, ir toliau vaidins svarbų vaidmenį euro zonoje identifikuojant, koordinuojant ir įgyvendinant politiką siekiant stipraus, įtraukaus ir tvaraus augimo trumpuoju ir ilguoju laikotarpiu. </w:t>
      </w:r>
    </w:p>
    <w:p w:rsidR="0083179C" w:rsidRPr="00045371" w:rsidRDefault="0083179C" w:rsidP="0083179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dr w:val="none" w:sz="0" w:space="0" w:color="auto"/>
          <w:lang w:val="lt-LT"/>
        </w:rPr>
        <w:t>EG prioritetinės politikos sritys 2022 m. II pusmetį:</w:t>
      </w:r>
    </w:p>
    <w:p w:rsidR="0083179C" w:rsidRPr="00045371" w:rsidRDefault="0083179C" w:rsidP="0083179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dr w:val="none" w:sz="0" w:space="0" w:color="auto"/>
          <w:lang w:val="lt-LT"/>
        </w:rPr>
        <w:t>• Ekonominė ir fiskalinė politika, skirta remti atsigavimą ir ilgalaikį augimą;</w:t>
      </w:r>
    </w:p>
    <w:p w:rsidR="0083179C" w:rsidRPr="00045371" w:rsidRDefault="0083179C" w:rsidP="0083179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dr w:val="none" w:sz="0" w:space="0" w:color="auto"/>
          <w:lang w:val="lt-LT"/>
        </w:rPr>
        <w:t>• Bankų sąjungos stiprinimas;</w:t>
      </w:r>
    </w:p>
    <w:p w:rsidR="0083179C" w:rsidRPr="00045371" w:rsidRDefault="0083179C" w:rsidP="0083179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dr w:val="none" w:sz="0" w:space="0" w:color="auto"/>
          <w:lang w:val="lt-LT"/>
        </w:rPr>
        <w:t>• Euras kaip skaitmeninė valiuta;</w:t>
      </w:r>
    </w:p>
    <w:p w:rsidR="005A72B9" w:rsidRPr="00045371" w:rsidRDefault="0083179C" w:rsidP="0083179C">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highlight w:val="yellow"/>
          <w:bdr w:val="none" w:sz="0" w:space="0" w:color="auto"/>
          <w:lang w:val="lt-LT"/>
        </w:rPr>
      </w:pPr>
      <w:r w:rsidRPr="00045371">
        <w:rPr>
          <w:bdr w:val="none" w:sz="0" w:space="0" w:color="auto"/>
          <w:lang w:val="lt-LT"/>
        </w:rPr>
        <w:t>• Tarptautinis euro vaidmuo.</w:t>
      </w:r>
    </w:p>
    <w:p w:rsidR="00704CBF" w:rsidRPr="00045371" w:rsidRDefault="00704CBF" w:rsidP="00C70F7A">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u w:color="000000"/>
          <w:bdr w:val="none" w:sz="0" w:space="0" w:color="auto"/>
          <w:lang w:val="lt-LT"/>
        </w:rPr>
      </w:pPr>
    </w:p>
    <w:p w:rsidR="00BD6C27" w:rsidRPr="00045371" w:rsidRDefault="00410B36"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bdr w:val="none" w:sz="0" w:space="0" w:color="auto"/>
          <w:lang w:val="lt-LT"/>
        </w:rPr>
      </w:pPr>
      <w:r w:rsidRPr="00045371">
        <w:rPr>
          <w:b/>
          <w:color w:val="000000"/>
          <w:u w:val="single"/>
          <w:bdr w:val="none" w:sz="0" w:space="0" w:color="auto"/>
          <w:lang w:val="lt-LT"/>
        </w:rPr>
        <w:t>Lietuvos pozicija:</w:t>
      </w:r>
      <w:r w:rsidRPr="00045371">
        <w:rPr>
          <w:lang w:val="lt-LT"/>
        </w:rPr>
        <w:t xml:space="preserve"> </w:t>
      </w:r>
      <w:r w:rsidR="00AA2659" w:rsidRPr="00045371">
        <w:rPr>
          <w:lang w:val="lt-LT"/>
        </w:rPr>
        <w:t>Pritariame EG darbo programos prioritetinėms politikos sritims, tačiau manome, kad diskusijos dėl Stabilumo ir augimo pakto peržiūros bei fiskalinės krypties koordinavimo klausimai tur</w:t>
      </w:r>
      <w:r w:rsidR="00AA2659" w:rsidRPr="00045371">
        <w:rPr>
          <w:lang w:val="lt-LT"/>
        </w:rPr>
        <w:t>ė</w:t>
      </w:r>
      <w:r w:rsidR="00AA2659" w:rsidRPr="00045371">
        <w:rPr>
          <w:lang w:val="lt-LT"/>
        </w:rPr>
        <w:t>tų vykti išplėstinio formato Euro grupės posėdžiuose.</w:t>
      </w:r>
    </w:p>
    <w:p w:rsidR="006E0687" w:rsidRPr="00045371" w:rsidRDefault="006E068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highlight w:val="yellow"/>
          <w:u w:color="000000"/>
          <w:bdr w:val="none" w:sz="0" w:space="0" w:color="auto"/>
          <w:lang w:val="lt-LT"/>
        </w:rPr>
      </w:pPr>
    </w:p>
    <w:p w:rsidR="001C7484" w:rsidRPr="00045371"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045371">
        <w:rPr>
          <w:b/>
          <w:color w:val="000000"/>
          <w:u w:color="000000"/>
          <w:bdr w:val="none" w:sz="0" w:space="0" w:color="auto"/>
          <w:lang w:val="lt-LT"/>
        </w:rPr>
        <w:t xml:space="preserve">4. </w:t>
      </w:r>
      <w:r w:rsidR="001C7484" w:rsidRPr="00045371">
        <w:rPr>
          <w:b/>
          <w:color w:val="000000"/>
          <w:u w:color="000000"/>
          <w:bdr w:val="none" w:sz="0" w:space="0" w:color="auto"/>
          <w:lang w:val="lt-LT"/>
        </w:rPr>
        <w:t>TVF IV str. misija euro zonai</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b/>
          <w:color w:val="000000"/>
          <w:u w:val="single"/>
          <w:bdr w:val="none" w:sz="0" w:space="0" w:color="auto"/>
          <w:lang w:val="lt-LT"/>
        </w:rPr>
        <w:t>Klausimo esmė:</w:t>
      </w:r>
      <w:r w:rsidRPr="004620E7">
        <w:rPr>
          <w:b/>
          <w:color w:val="000000"/>
          <w:bdr w:val="none" w:sz="0" w:space="0" w:color="auto"/>
          <w:lang w:val="lt-LT"/>
        </w:rPr>
        <w:t xml:space="preserve"> </w:t>
      </w:r>
      <w:r w:rsidRPr="00045371">
        <w:rPr>
          <w:color w:val="000000"/>
          <w:bdr w:val="none" w:sz="0" w:space="0" w:color="auto"/>
          <w:lang w:val="lt-LT"/>
        </w:rPr>
        <w:t>Posėdžio dalyviams bus pristatytos pagrindinės TVF steigimo sutarties IV str. misijos euro zonoje išvados. Pagrindiniai išvadų akcentai:</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color w:val="000000"/>
          <w:bdr w:val="none" w:sz="0" w:space="0" w:color="auto"/>
          <w:lang w:val="lt-LT"/>
        </w:rPr>
        <w:t>- TVF nuomone, euro zonos ekonomika sparčiai atsigauna, tačiau ketvirtas ketvirtis, tikėtina, dėl pasi</w:t>
      </w:r>
      <w:r w:rsidRPr="00045371">
        <w:rPr>
          <w:color w:val="000000"/>
          <w:bdr w:val="none" w:sz="0" w:space="0" w:color="auto"/>
          <w:lang w:val="lt-LT"/>
        </w:rPr>
        <w:t>ū</w:t>
      </w:r>
      <w:r w:rsidRPr="00045371">
        <w:rPr>
          <w:color w:val="000000"/>
          <w:bdr w:val="none" w:sz="0" w:space="0" w:color="auto"/>
          <w:lang w:val="lt-LT"/>
        </w:rPr>
        <w:t xml:space="preserve">los sutrikimų bus kiek silpnesnis nei tikėtasi. </w:t>
      </w:r>
      <w:r w:rsidR="004D3164" w:rsidRPr="00045371">
        <w:rPr>
          <w:color w:val="000000"/>
          <w:bdr w:val="none" w:sz="0" w:space="0" w:color="auto"/>
          <w:lang w:val="lt-LT"/>
        </w:rPr>
        <w:t>I</w:t>
      </w:r>
      <w:r w:rsidRPr="00045371">
        <w:rPr>
          <w:color w:val="000000"/>
          <w:bdr w:val="none" w:sz="0" w:space="0" w:color="auto"/>
          <w:lang w:val="lt-LT"/>
        </w:rPr>
        <w:t>ki šių metų pabaigos euro zonos ekonomika turėtų pasie</w:t>
      </w:r>
      <w:r w:rsidRPr="00045371">
        <w:rPr>
          <w:color w:val="000000"/>
          <w:bdr w:val="none" w:sz="0" w:space="0" w:color="auto"/>
          <w:lang w:val="lt-LT"/>
        </w:rPr>
        <w:t>k</w:t>
      </w:r>
      <w:r w:rsidRPr="00045371">
        <w:rPr>
          <w:color w:val="000000"/>
          <w:bdr w:val="none" w:sz="0" w:space="0" w:color="auto"/>
          <w:lang w:val="lt-LT"/>
        </w:rPr>
        <w:t>ti prieš COVID-19 pandemiją buvusį lygį.</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color w:val="000000"/>
          <w:bdr w:val="none" w:sz="0" w:space="0" w:color="auto"/>
          <w:lang w:val="lt-LT"/>
        </w:rPr>
        <w:t>- Dabartinis infliacijos tempas yra laikinas. Kai kurie pereinamieji veiksmai gali tęstis ir 2022 m., tačiau vidutiniu laikotarpiu jie išsisklaidys ir infliacija mažės bei išliks mažesnė nei 2 proc. Darbo rinkoje i</w:t>
      </w:r>
      <w:r w:rsidRPr="00045371">
        <w:rPr>
          <w:color w:val="000000"/>
          <w:bdr w:val="none" w:sz="0" w:space="0" w:color="auto"/>
          <w:lang w:val="lt-LT"/>
        </w:rPr>
        <w:t>š</w:t>
      </w:r>
      <w:r w:rsidRPr="00045371">
        <w:rPr>
          <w:color w:val="000000"/>
          <w:bdr w:val="none" w:sz="0" w:space="0" w:color="auto"/>
          <w:lang w:val="lt-LT"/>
        </w:rPr>
        <w:t>lieka laisvumas, o tai turėtų sumažinti galimą antrinį poveikį.</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color w:val="000000"/>
          <w:bdr w:val="none" w:sz="0" w:space="0" w:color="auto"/>
          <w:lang w:val="lt-LT"/>
        </w:rPr>
        <w:t>- ECB turėtų įveikti laikiną infliacijos spaudimą ir išlaikyti lanksčią pinigų politiką. Vertinant projekc</w:t>
      </w:r>
      <w:r w:rsidRPr="00045371">
        <w:rPr>
          <w:color w:val="000000"/>
          <w:bdr w:val="none" w:sz="0" w:space="0" w:color="auto"/>
          <w:lang w:val="lt-LT"/>
        </w:rPr>
        <w:t>i</w:t>
      </w:r>
      <w:r w:rsidRPr="00045371">
        <w:rPr>
          <w:color w:val="000000"/>
          <w:bdr w:val="none" w:sz="0" w:space="0" w:color="auto"/>
          <w:lang w:val="lt-LT"/>
        </w:rPr>
        <w:t>jas, kad infliacija nesieks 2 proc., vidutiniu laikotarpiu ir toliau bus reikalinga skatinamoji pinigų polit</w:t>
      </w:r>
      <w:r w:rsidRPr="00045371">
        <w:rPr>
          <w:color w:val="000000"/>
          <w:bdr w:val="none" w:sz="0" w:space="0" w:color="auto"/>
          <w:lang w:val="lt-LT"/>
        </w:rPr>
        <w:t>i</w:t>
      </w:r>
      <w:r w:rsidRPr="00045371">
        <w:rPr>
          <w:color w:val="000000"/>
          <w:bdr w:val="none" w:sz="0" w:space="0" w:color="auto"/>
          <w:lang w:val="lt-LT"/>
        </w:rPr>
        <w:t xml:space="preserve">ka. Atsižvelgiant į tai, ECB turėtų komunikuoti, kaip išlikti lankstiems, kai bus palaipsniui panaikinta Specialioji pandeminė pirkimo programa (angl. </w:t>
      </w:r>
      <w:proofErr w:type="spellStart"/>
      <w:r w:rsidRPr="00045371">
        <w:rPr>
          <w:color w:val="000000"/>
          <w:bdr w:val="none" w:sz="0" w:space="0" w:color="auto"/>
          <w:lang w:val="lt-LT"/>
        </w:rPr>
        <w:t>Pandemic</w:t>
      </w:r>
      <w:proofErr w:type="spellEnd"/>
      <w:r w:rsidRPr="00045371">
        <w:rPr>
          <w:color w:val="000000"/>
          <w:bdr w:val="none" w:sz="0" w:space="0" w:color="auto"/>
          <w:lang w:val="lt-LT"/>
        </w:rPr>
        <w:t xml:space="preserve"> </w:t>
      </w:r>
      <w:proofErr w:type="spellStart"/>
      <w:r w:rsidRPr="00045371">
        <w:rPr>
          <w:color w:val="000000"/>
          <w:bdr w:val="none" w:sz="0" w:space="0" w:color="auto"/>
          <w:lang w:val="lt-LT"/>
        </w:rPr>
        <w:t>emergency</w:t>
      </w:r>
      <w:proofErr w:type="spellEnd"/>
      <w:r w:rsidRPr="00045371">
        <w:rPr>
          <w:color w:val="000000"/>
          <w:bdr w:val="none" w:sz="0" w:space="0" w:color="auto"/>
          <w:lang w:val="lt-LT"/>
        </w:rPr>
        <w:t xml:space="preserve"> </w:t>
      </w:r>
      <w:proofErr w:type="spellStart"/>
      <w:r w:rsidRPr="00045371">
        <w:rPr>
          <w:color w:val="000000"/>
          <w:bdr w:val="none" w:sz="0" w:space="0" w:color="auto"/>
          <w:lang w:val="lt-LT"/>
        </w:rPr>
        <w:t>purchase</w:t>
      </w:r>
      <w:proofErr w:type="spellEnd"/>
      <w:r w:rsidRPr="00045371">
        <w:rPr>
          <w:color w:val="000000"/>
          <w:bdr w:val="none" w:sz="0" w:space="0" w:color="auto"/>
          <w:lang w:val="lt-LT"/>
        </w:rPr>
        <w:t xml:space="preserve"> </w:t>
      </w:r>
      <w:proofErr w:type="spellStart"/>
      <w:r w:rsidRPr="00045371">
        <w:rPr>
          <w:color w:val="000000"/>
          <w:bdr w:val="none" w:sz="0" w:space="0" w:color="auto"/>
          <w:lang w:val="lt-LT"/>
        </w:rPr>
        <w:t>programm</w:t>
      </w:r>
      <w:proofErr w:type="spellEnd"/>
      <w:r w:rsidRPr="00045371">
        <w:rPr>
          <w:color w:val="000000"/>
          <w:bdr w:val="none" w:sz="0" w:space="0" w:color="auto"/>
          <w:lang w:val="lt-LT"/>
        </w:rPr>
        <w:t xml:space="preserve">, PEPP) ir Tikslinės ilgesnės trukmės refinansavimo operacijos (angl. </w:t>
      </w:r>
      <w:proofErr w:type="spellStart"/>
      <w:r w:rsidRPr="00045371">
        <w:rPr>
          <w:color w:val="000000"/>
          <w:bdr w:val="none" w:sz="0" w:space="0" w:color="auto"/>
          <w:lang w:val="lt-LT"/>
        </w:rPr>
        <w:t>Targeted</w:t>
      </w:r>
      <w:proofErr w:type="spellEnd"/>
      <w:r w:rsidRPr="00045371">
        <w:rPr>
          <w:color w:val="000000"/>
          <w:bdr w:val="none" w:sz="0" w:space="0" w:color="auto"/>
          <w:lang w:val="lt-LT"/>
        </w:rPr>
        <w:t xml:space="preserve"> </w:t>
      </w:r>
      <w:proofErr w:type="spellStart"/>
      <w:r w:rsidRPr="00045371">
        <w:rPr>
          <w:color w:val="000000"/>
          <w:bdr w:val="none" w:sz="0" w:space="0" w:color="auto"/>
          <w:lang w:val="lt-LT"/>
        </w:rPr>
        <w:t>longer-term</w:t>
      </w:r>
      <w:proofErr w:type="spellEnd"/>
      <w:r w:rsidRPr="00045371">
        <w:rPr>
          <w:color w:val="000000"/>
          <w:bdr w:val="none" w:sz="0" w:space="0" w:color="auto"/>
          <w:lang w:val="lt-LT"/>
        </w:rPr>
        <w:t xml:space="preserve"> </w:t>
      </w:r>
      <w:proofErr w:type="spellStart"/>
      <w:r w:rsidRPr="00045371">
        <w:rPr>
          <w:color w:val="000000"/>
          <w:bdr w:val="none" w:sz="0" w:space="0" w:color="auto"/>
          <w:lang w:val="lt-LT"/>
        </w:rPr>
        <w:t>refinancing</w:t>
      </w:r>
      <w:proofErr w:type="spellEnd"/>
      <w:r w:rsidRPr="00045371">
        <w:rPr>
          <w:color w:val="000000"/>
          <w:bdr w:val="none" w:sz="0" w:space="0" w:color="auto"/>
          <w:lang w:val="lt-LT"/>
        </w:rPr>
        <w:t xml:space="preserve"> </w:t>
      </w:r>
      <w:proofErr w:type="spellStart"/>
      <w:r w:rsidRPr="00045371">
        <w:rPr>
          <w:color w:val="000000"/>
          <w:bdr w:val="none" w:sz="0" w:space="0" w:color="auto"/>
          <w:lang w:val="lt-LT"/>
        </w:rPr>
        <w:t>operations</w:t>
      </w:r>
      <w:proofErr w:type="spellEnd"/>
      <w:r w:rsidRPr="00045371">
        <w:rPr>
          <w:color w:val="000000"/>
          <w:bdr w:val="none" w:sz="0" w:space="0" w:color="auto"/>
          <w:lang w:val="lt-LT"/>
        </w:rPr>
        <w:t>, TLTRO). Tačiau ECB turėtų būti pasirengęs imtis veiksmų, jei atsirastų reikšmingas antrinis poveikis.</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color w:val="000000"/>
          <w:bdr w:val="none" w:sz="0" w:space="0" w:color="auto"/>
          <w:lang w:val="lt-LT"/>
        </w:rPr>
        <w:t>- 2022 m. reikėtų laikytis lanksčios fiskalinės politikos, tačiau dėmesys turėtų būti nukreiptas į tiksli</w:t>
      </w:r>
      <w:r w:rsidRPr="00045371">
        <w:rPr>
          <w:color w:val="000000"/>
          <w:bdr w:val="none" w:sz="0" w:space="0" w:color="auto"/>
          <w:lang w:val="lt-LT"/>
        </w:rPr>
        <w:t>n</w:t>
      </w:r>
      <w:r w:rsidRPr="00045371">
        <w:rPr>
          <w:color w:val="000000"/>
          <w:bdr w:val="none" w:sz="0" w:space="0" w:color="auto"/>
          <w:lang w:val="lt-LT"/>
        </w:rPr>
        <w:t>gesnę paramą. Fiskalinės erdvės atkūrimas turėtų prasidėti tik tada, kai būtų aiškiai matomas atsigav</w:t>
      </w:r>
      <w:r w:rsidRPr="00045371">
        <w:rPr>
          <w:color w:val="000000"/>
          <w:bdr w:val="none" w:sz="0" w:space="0" w:color="auto"/>
          <w:lang w:val="lt-LT"/>
        </w:rPr>
        <w:t>i</w:t>
      </w:r>
      <w:r w:rsidRPr="00045371">
        <w:rPr>
          <w:color w:val="000000"/>
          <w:bdr w:val="none" w:sz="0" w:space="0" w:color="auto"/>
          <w:lang w:val="lt-LT"/>
        </w:rPr>
        <w:t>mas. Tačiau, siekiant stiprinti rinkos pasitikėjimą, valdžios institucijoms rekomenduojama jau dabar prevenciškai pateikti vidutinės trukmės konsolidavimo planus.</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color w:val="000000"/>
          <w:bdr w:val="none" w:sz="0" w:space="0" w:color="auto"/>
          <w:lang w:val="lt-LT"/>
        </w:rPr>
        <w:t xml:space="preserve">- Euro zonos fiskalinių taisyklių sistema turėtų būti peržiūrėta ir reformuota, kadangi dabartinių taisyklių taikymas būtų </w:t>
      </w:r>
      <w:proofErr w:type="spellStart"/>
      <w:r w:rsidRPr="00045371">
        <w:rPr>
          <w:color w:val="000000"/>
          <w:bdr w:val="none" w:sz="0" w:space="0" w:color="auto"/>
          <w:lang w:val="lt-LT"/>
        </w:rPr>
        <w:t>kontrproduktyvus</w:t>
      </w:r>
      <w:proofErr w:type="spellEnd"/>
      <w:r w:rsidRPr="00045371">
        <w:rPr>
          <w:color w:val="000000"/>
          <w:bdr w:val="none" w:sz="0" w:space="0" w:color="auto"/>
          <w:lang w:val="lt-LT"/>
        </w:rPr>
        <w:t xml:space="preserve">. TVF nuomone, skolos mažinimo taisyklė yra problematiška, skolą būtų galima valdyti pasinaudojant išlaidų taisykle. </w:t>
      </w:r>
    </w:p>
    <w:p w:rsidR="00AA2659"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color w:val="000000"/>
          <w:bdr w:val="none" w:sz="0" w:space="0" w:color="auto"/>
          <w:lang w:val="lt-LT"/>
        </w:rPr>
        <w:t>- TVF pritartų žaliajai centrinei fiskalinio pajėgumo idėjai, tačiau nesutinka su žaliąja auksine taisykle, pagal kurią žaliosios išlaidos nebūtų įtraukiamos į valdžios sektoriaus deficitą. Pasienio anglies dioksido koregavimo mechanizmą TVF palaikytų, tačiau jį būtina suderinti su Pasaulio prekybos organizacijos taisyklėmis.</w:t>
      </w:r>
    </w:p>
    <w:p w:rsidR="001C7484" w:rsidRPr="00045371" w:rsidRDefault="00AA2659" w:rsidP="00AA265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bdr w:val="none" w:sz="0" w:space="0" w:color="auto"/>
          <w:lang w:val="lt-LT"/>
        </w:rPr>
      </w:pPr>
      <w:r w:rsidRPr="00045371">
        <w:rPr>
          <w:color w:val="000000"/>
          <w:bdr w:val="none" w:sz="0" w:space="0" w:color="auto"/>
          <w:lang w:val="lt-LT"/>
        </w:rPr>
        <w:lastRenderedPageBreak/>
        <w:t>- TVF palaiko Ekonominės ir pinigų sąjungos gilinimą (angl. Economic and Monetary Union, EMU). Kapitalo rinkų sąjungos, taip pat Bankų sąjungos, įskaitant Europos indėlių draudimo sistemą, užbaig</w:t>
      </w:r>
      <w:r w:rsidRPr="00045371">
        <w:rPr>
          <w:color w:val="000000"/>
          <w:bdr w:val="none" w:sz="0" w:space="0" w:color="auto"/>
          <w:lang w:val="lt-LT"/>
        </w:rPr>
        <w:t>i</w:t>
      </w:r>
      <w:r w:rsidRPr="00045371">
        <w:rPr>
          <w:color w:val="000000"/>
          <w:bdr w:val="none" w:sz="0" w:space="0" w:color="auto"/>
          <w:lang w:val="lt-LT"/>
        </w:rPr>
        <w:t>mas išlieka prioritetu.</w:t>
      </w:r>
    </w:p>
    <w:p w:rsidR="001C7484" w:rsidRPr="00045371" w:rsidRDefault="001C748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45371">
        <w:rPr>
          <w:b/>
          <w:color w:val="000000"/>
          <w:u w:val="single"/>
          <w:bdr w:val="none" w:sz="0" w:space="0" w:color="auto"/>
          <w:lang w:val="lt-LT"/>
        </w:rPr>
        <w:t>Lietuvos pozicija:</w:t>
      </w:r>
      <w:r w:rsidRPr="00045371">
        <w:rPr>
          <w:lang w:val="lt-LT"/>
        </w:rPr>
        <w:t xml:space="preserve"> </w:t>
      </w:r>
      <w:r w:rsidR="004D3164" w:rsidRPr="00045371">
        <w:rPr>
          <w:lang w:val="lt-LT"/>
        </w:rPr>
        <w:t>Išklausyti informaciją.</w:t>
      </w:r>
    </w:p>
    <w:p w:rsidR="001C7484" w:rsidRPr="00045371" w:rsidRDefault="001C748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p>
    <w:p w:rsidR="001C7484" w:rsidRPr="00045371" w:rsidRDefault="001C7484"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045371">
        <w:rPr>
          <w:b/>
          <w:color w:val="000000"/>
          <w:u w:color="000000"/>
          <w:bdr w:val="none" w:sz="0" w:space="0" w:color="auto"/>
          <w:lang w:val="lt-LT"/>
        </w:rPr>
        <w:t>5. Euro zonos rekomendacijos</w:t>
      </w:r>
    </w:p>
    <w:p w:rsidR="00DB10B2" w:rsidRPr="00045371" w:rsidRDefault="001C7484" w:rsidP="00DB10B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DB10B2" w:rsidRPr="00045371">
        <w:rPr>
          <w:bdr w:val="none" w:sz="0" w:space="0" w:color="auto"/>
          <w:lang w:val="lt-LT"/>
        </w:rPr>
        <w:t>Rekomendacijų euro zonai pagrindinės žinutės:</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045371">
        <w:rPr>
          <w:bdr w:val="none" w:sz="0" w:space="0" w:color="auto"/>
          <w:lang w:val="lt-LT"/>
        </w:rPr>
        <w:t>•</w:t>
      </w:r>
      <w:r w:rsidRPr="00045371">
        <w:rPr>
          <w:bdr w:val="none" w:sz="0" w:space="0" w:color="auto"/>
          <w:lang w:val="lt-LT"/>
        </w:rPr>
        <w:tab/>
        <w:t>2022 m. euro zona turėtų išlaikyti nuosaikiai remiančią fiskalinę politiką atsižvelgiant ir į RRF fina</w:t>
      </w:r>
      <w:r w:rsidRPr="00045371">
        <w:rPr>
          <w:bdr w:val="none" w:sz="0" w:space="0" w:color="auto"/>
          <w:lang w:val="lt-LT"/>
        </w:rPr>
        <w:t>n</w:t>
      </w:r>
      <w:r w:rsidRPr="00045371">
        <w:rPr>
          <w:bdr w:val="none" w:sz="0" w:space="0" w:color="auto"/>
          <w:lang w:val="lt-LT"/>
        </w:rPr>
        <w:t xml:space="preserve">savimą. Paramos priemonės turi būti tikslinės. </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045371">
        <w:rPr>
          <w:bdr w:val="none" w:sz="0" w:space="0" w:color="auto"/>
          <w:lang w:val="lt-LT"/>
        </w:rPr>
        <w:t>•</w:t>
      </w:r>
      <w:r w:rsidRPr="00045371">
        <w:rPr>
          <w:bdr w:val="none" w:sz="0" w:space="0" w:color="auto"/>
          <w:lang w:val="lt-LT"/>
        </w:rPr>
        <w:tab/>
        <w:t>Remti politikas, kurios kovoja su agresyviu mokesčių planavimu, mokesčių slėpimu bei skatina sąž</w:t>
      </w:r>
      <w:r w:rsidRPr="00045371">
        <w:rPr>
          <w:bdr w:val="none" w:sz="0" w:space="0" w:color="auto"/>
          <w:lang w:val="lt-LT"/>
        </w:rPr>
        <w:t>i</w:t>
      </w:r>
      <w:r w:rsidRPr="00045371">
        <w:rPr>
          <w:bdr w:val="none" w:sz="0" w:space="0" w:color="auto"/>
          <w:lang w:val="lt-LT"/>
        </w:rPr>
        <w:t xml:space="preserve">ningas ir veiksmingas mokesčių sistemas. </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045371">
        <w:rPr>
          <w:bdr w:val="none" w:sz="0" w:space="0" w:color="auto"/>
          <w:lang w:val="lt-LT"/>
        </w:rPr>
        <w:t>•</w:t>
      </w:r>
      <w:r w:rsidRPr="00045371">
        <w:rPr>
          <w:bdr w:val="none" w:sz="0" w:space="0" w:color="auto"/>
          <w:lang w:val="lt-LT"/>
        </w:rPr>
        <w:tab/>
        <w:t>Vyriausybės turėtų palaipsniui nukreipti fiskalines priemones į investicijas, skatinančias atsparų ir tvarų augimą bei atkreipti dėmesį į šių priemonių kokybę.</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045371">
        <w:rPr>
          <w:bdr w:val="none" w:sz="0" w:space="0" w:color="auto"/>
          <w:lang w:val="lt-LT"/>
        </w:rPr>
        <w:t>•</w:t>
      </w:r>
      <w:r w:rsidRPr="00045371">
        <w:rPr>
          <w:bdr w:val="none" w:sz="0" w:space="0" w:color="auto"/>
          <w:lang w:val="lt-LT"/>
        </w:rPr>
        <w:tab/>
        <w:t>Fiskalinės politikos turi būti lanksčios, kad galėtų greitai reaguoti kitos krizės akivaizdoje, o euro zonoje diferencijuotos atsižvelgiant į atsigavimo ir fiskalinio tvarumo situaciją.</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045371">
        <w:rPr>
          <w:bdr w:val="none" w:sz="0" w:space="0" w:color="auto"/>
          <w:lang w:val="lt-LT"/>
        </w:rPr>
        <w:t>•</w:t>
      </w:r>
      <w:r w:rsidRPr="00045371">
        <w:rPr>
          <w:bdr w:val="none" w:sz="0" w:space="0" w:color="auto"/>
          <w:lang w:val="lt-LT"/>
        </w:rPr>
        <w:tab/>
        <w:t xml:space="preserve">Kai tik ekonominės sąlygos leis, euro zonos VN turėtų vykdyti fiskalinę politiką, kuria būtų siekiama užtikrinti skolos tvarumą kartu didinant investicijas. </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045371">
        <w:rPr>
          <w:bdr w:val="none" w:sz="0" w:space="0" w:color="auto"/>
          <w:lang w:val="lt-LT"/>
        </w:rPr>
        <w:t>•</w:t>
      </w:r>
      <w:r w:rsidRPr="00045371">
        <w:rPr>
          <w:bdr w:val="none" w:sz="0" w:space="0" w:color="auto"/>
          <w:lang w:val="lt-LT"/>
        </w:rPr>
        <w:tab/>
        <w:t>Vyriausybės turėtų remti darbo vietų keitimą, konkrečiai, nukreiptą į žaliąją ir skaitmeninę ekonom</w:t>
      </w:r>
      <w:r w:rsidRPr="00045371">
        <w:rPr>
          <w:bdr w:val="none" w:sz="0" w:space="0" w:color="auto"/>
          <w:lang w:val="lt-LT"/>
        </w:rPr>
        <w:t>i</w:t>
      </w:r>
      <w:r w:rsidRPr="00045371">
        <w:rPr>
          <w:bdr w:val="none" w:sz="0" w:space="0" w:color="auto"/>
          <w:lang w:val="lt-LT"/>
        </w:rPr>
        <w:t>ką bei spręsti įgūdžių trūkumo problemas. Turi būti vystomos ir adaptuojamos socialinės paramos si</w:t>
      </w:r>
      <w:r w:rsidRPr="00045371">
        <w:rPr>
          <w:bdr w:val="none" w:sz="0" w:space="0" w:color="auto"/>
          <w:lang w:val="lt-LT"/>
        </w:rPr>
        <w:t>s</w:t>
      </w:r>
      <w:r w:rsidRPr="00045371">
        <w:rPr>
          <w:bdr w:val="none" w:sz="0" w:space="0" w:color="auto"/>
          <w:lang w:val="lt-LT"/>
        </w:rPr>
        <w:t>temos siekiant atitikimo ateities iššūkiams. Taip pat dėmesys ir paramos paketai turi būti skirti gyvybi</w:t>
      </w:r>
      <w:r w:rsidRPr="00045371">
        <w:rPr>
          <w:bdr w:val="none" w:sz="0" w:space="0" w:color="auto"/>
          <w:lang w:val="lt-LT"/>
        </w:rPr>
        <w:t>n</w:t>
      </w:r>
      <w:r w:rsidRPr="00045371">
        <w:rPr>
          <w:bdr w:val="none" w:sz="0" w:space="0" w:color="auto"/>
          <w:lang w:val="lt-LT"/>
        </w:rPr>
        <w:t xml:space="preserve">gų įmonių, kurios pandemijos metu nukentėjo, mokumui. </w:t>
      </w:r>
    </w:p>
    <w:p w:rsidR="001C7484"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rFonts w:eastAsia="Calibri"/>
          <w:bdr w:val="none" w:sz="0" w:space="0" w:color="auto"/>
          <w:lang w:val="lt-LT"/>
        </w:rPr>
      </w:pPr>
      <w:r w:rsidRPr="00045371">
        <w:rPr>
          <w:bdr w:val="none" w:sz="0" w:space="0" w:color="auto"/>
          <w:lang w:val="lt-LT"/>
        </w:rPr>
        <w:t>•</w:t>
      </w:r>
      <w:r w:rsidRPr="00045371">
        <w:rPr>
          <w:bdr w:val="none" w:sz="0" w:space="0" w:color="auto"/>
          <w:lang w:val="lt-LT"/>
        </w:rPr>
        <w:tab/>
        <w:t>Rekomendacijose taip pat raginama toliau kurti Bankų sąjungą, Kapitalo rinkų sąjungą, stiprinti tar</w:t>
      </w:r>
      <w:r w:rsidRPr="00045371">
        <w:rPr>
          <w:bdr w:val="none" w:sz="0" w:space="0" w:color="auto"/>
          <w:lang w:val="lt-LT"/>
        </w:rPr>
        <w:t>p</w:t>
      </w:r>
      <w:r w:rsidRPr="00045371">
        <w:rPr>
          <w:bdr w:val="none" w:sz="0" w:space="0" w:color="auto"/>
          <w:lang w:val="lt-LT"/>
        </w:rPr>
        <w:t>tautinį euro vaidmenį ir remti skaitmeninio euro kūrimo procesą.</w:t>
      </w:r>
    </w:p>
    <w:p w:rsidR="00202AB9" w:rsidRPr="00045371"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EA7709" w:rsidRPr="00045371"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045371">
        <w:rPr>
          <w:b/>
          <w:u w:val="single"/>
          <w:bdr w:val="none" w:sz="0" w:space="0" w:color="auto"/>
          <w:lang w:val="lt-LT"/>
        </w:rPr>
        <w:t>Lietuvos pozicija.</w:t>
      </w:r>
      <w:r w:rsidRPr="00045371">
        <w:rPr>
          <w:color w:val="000000"/>
          <w:u w:color="000000"/>
          <w:bdr w:val="none" w:sz="0" w:space="0" w:color="auto"/>
          <w:lang w:val="lt-LT"/>
        </w:rPr>
        <w:t xml:space="preserve"> </w:t>
      </w:r>
      <w:r w:rsidR="00DB10B2" w:rsidRPr="00045371">
        <w:rPr>
          <w:color w:val="000000"/>
          <w:u w:color="000000"/>
          <w:bdr w:val="none" w:sz="0" w:space="0" w:color="auto"/>
          <w:lang w:val="lt-LT"/>
        </w:rPr>
        <w:t>Atsižvelgiant į tai, kad Euro grupės posėdyje numatomas tik pirminis rekomendacijų pristatymas, siūlome išklausyti informaciją. Detalesnis rekomendacijų euro zonai ir Tarybos išvadų d</w:t>
      </w:r>
      <w:r w:rsidR="00DB10B2" w:rsidRPr="00045371">
        <w:rPr>
          <w:color w:val="000000"/>
          <w:u w:color="000000"/>
          <w:bdr w:val="none" w:sz="0" w:space="0" w:color="auto"/>
          <w:lang w:val="lt-LT"/>
        </w:rPr>
        <w:t>e</w:t>
      </w:r>
      <w:r w:rsidR="00DB10B2" w:rsidRPr="00045371">
        <w:rPr>
          <w:color w:val="000000"/>
          <w:u w:color="000000"/>
          <w:bdr w:val="none" w:sz="0" w:space="0" w:color="auto"/>
          <w:lang w:val="lt-LT"/>
        </w:rPr>
        <w:t>rinimas turėtų vykti vėlesniuose posėdžiuose.</w:t>
      </w:r>
    </w:p>
    <w:p w:rsidR="001C7484" w:rsidRPr="00045371" w:rsidRDefault="001C7484"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1C7484" w:rsidRPr="00045371" w:rsidRDefault="001C7484"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045371">
        <w:rPr>
          <w:b/>
          <w:color w:val="000000"/>
          <w:u w:color="000000"/>
          <w:bdr w:val="none" w:sz="0" w:space="0" w:color="auto"/>
          <w:lang w:val="lt-LT"/>
        </w:rPr>
        <w:t>6. Euro zonos šalių biudžeto planų vertinimas</w:t>
      </w:r>
    </w:p>
    <w:p w:rsidR="003D37FE" w:rsidRPr="00045371" w:rsidRDefault="001C7484" w:rsidP="003D37FE">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3D37FE" w:rsidRPr="00045371">
        <w:rPr>
          <w:bdr w:val="none" w:sz="0" w:space="0" w:color="auto"/>
          <w:lang w:val="lt-LT"/>
        </w:rPr>
        <w:t>EK vertino ES šalių 2021 m. spalio mėn. pateiktus 2022 metų biudžetų planus. Vert</w:t>
      </w:r>
      <w:r w:rsidR="003D37FE" w:rsidRPr="00045371">
        <w:rPr>
          <w:bdr w:val="none" w:sz="0" w:space="0" w:color="auto"/>
          <w:lang w:val="lt-LT"/>
        </w:rPr>
        <w:t>i</w:t>
      </w:r>
      <w:r w:rsidR="003D37FE" w:rsidRPr="00045371">
        <w:rPr>
          <w:bdr w:val="none" w:sz="0" w:space="0" w:color="auto"/>
          <w:lang w:val="lt-LT"/>
        </w:rPr>
        <w:t xml:space="preserve">nimas atliktas atsižvelgiant į atsigaunančias po COVID-19 krizės ekonomikas, 2021 m. birželio mėn. Tarybos rekomendacijas šalims, vis dar galiojančią bendrąją SAP išimtį. </w:t>
      </w:r>
    </w:p>
    <w:p w:rsidR="001C7484" w:rsidRPr="00045371" w:rsidRDefault="003D37FE" w:rsidP="003D37FE">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dr w:val="none" w:sz="0" w:space="0" w:color="auto"/>
          <w:lang w:val="lt-LT"/>
        </w:rPr>
        <w:t>Mažų ir vidutinių skolų šalims buvo rekomenduota kontroliuoti einamąsias išlaidas, išlaikant paramą investicijoms. Didelių skolų šalims buvo rekomenduota riboti einamąsias išlaidas išlaikant paramą i</w:t>
      </w:r>
      <w:r w:rsidRPr="00045371">
        <w:rPr>
          <w:bdr w:val="none" w:sz="0" w:space="0" w:color="auto"/>
          <w:lang w:val="lt-LT"/>
        </w:rPr>
        <w:t>n</w:t>
      </w:r>
      <w:r w:rsidRPr="00045371">
        <w:rPr>
          <w:bdr w:val="none" w:sz="0" w:space="0" w:color="auto"/>
          <w:lang w:val="lt-LT"/>
        </w:rPr>
        <w:t>vesticijoms. Visos šalys turėtų vykdyti ekonomikos atsigavimą remiančią fiskalinę politiką.</w:t>
      </w:r>
      <w:r w:rsidR="003C3E6E" w:rsidRPr="00045371">
        <w:rPr>
          <w:bdr w:val="none" w:sz="0" w:space="0" w:color="auto"/>
          <w:lang w:val="lt-LT"/>
        </w:rPr>
        <w:t xml:space="preserve"> Latvijai ir Lietuvai buvo rekomenduota valdyti nacionalinėmis lėšomis finansuojamas einamąsias, naujomis paj</w:t>
      </w:r>
      <w:r w:rsidR="003C3E6E" w:rsidRPr="00045371">
        <w:rPr>
          <w:bdr w:val="none" w:sz="0" w:space="0" w:color="auto"/>
          <w:lang w:val="lt-LT"/>
        </w:rPr>
        <w:t>a</w:t>
      </w:r>
      <w:r w:rsidR="003C3E6E" w:rsidRPr="00045371">
        <w:rPr>
          <w:bdr w:val="none" w:sz="0" w:space="0" w:color="auto"/>
          <w:lang w:val="lt-LT"/>
        </w:rPr>
        <w:t>mų priemonėmis neatsvertas, išlaidas. Konstatuojama, kad šios dvi šalys nepakankamai įgyvendina šią Tarybos rekomendaciją.</w:t>
      </w:r>
    </w:p>
    <w:p w:rsidR="001C7484" w:rsidRPr="00045371" w:rsidRDefault="001C748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highlight w:val="yellow"/>
          <w:bdr w:val="none" w:sz="0" w:space="0" w:color="auto"/>
          <w:lang w:val="lt-LT"/>
        </w:rPr>
      </w:pPr>
    </w:p>
    <w:p w:rsidR="003C3E6E" w:rsidRPr="00045371" w:rsidRDefault="001C7484" w:rsidP="003C3E6E">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045371">
        <w:rPr>
          <w:b/>
          <w:u w:val="single"/>
          <w:bdr w:val="none" w:sz="0" w:space="0" w:color="auto"/>
          <w:lang w:val="lt-LT"/>
        </w:rPr>
        <w:t>Lietuvos pozicija.</w:t>
      </w:r>
      <w:r w:rsidRPr="00045371">
        <w:rPr>
          <w:color w:val="000000"/>
          <w:u w:color="000000"/>
          <w:bdr w:val="none" w:sz="0" w:space="0" w:color="auto"/>
          <w:lang w:val="lt-LT"/>
        </w:rPr>
        <w:t xml:space="preserve"> </w:t>
      </w:r>
      <w:r w:rsidR="003C3E6E" w:rsidRPr="00045371">
        <w:rPr>
          <w:color w:val="000000"/>
          <w:u w:color="000000"/>
          <w:bdr w:val="none" w:sz="0" w:space="0" w:color="auto"/>
          <w:lang w:val="lt-LT"/>
        </w:rPr>
        <w:t xml:space="preserve">Nors ES ekonomika grįžta į augimo kelią ir investicijos didėja, tačiau bendras skolos lygis ir skola kai kuriose valstybėse narėse kelia susirūpinimą. Turime užtikrinti finansų tvarumą, kad nepraleistumėme tinkamo momento pasiekti </w:t>
      </w:r>
      <w:r w:rsidR="00260980">
        <w:rPr>
          <w:color w:val="000000"/>
          <w:u w:color="000000"/>
          <w:bdr w:val="none" w:sz="0" w:space="0" w:color="auto"/>
          <w:lang w:val="lt-LT"/>
        </w:rPr>
        <w:t>tvarias</w:t>
      </w:r>
      <w:r w:rsidR="003C3E6E" w:rsidRPr="00045371">
        <w:rPr>
          <w:color w:val="000000"/>
          <w:u w:color="000000"/>
          <w:bdr w:val="none" w:sz="0" w:space="0" w:color="auto"/>
          <w:lang w:val="lt-LT"/>
        </w:rPr>
        <w:t xml:space="preserve"> fiskalines pozicijas. </w:t>
      </w:r>
    </w:p>
    <w:p w:rsidR="003C3E6E" w:rsidRPr="00045371" w:rsidRDefault="00260980" w:rsidP="003C3E6E">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Pr>
          <w:color w:val="000000"/>
          <w:u w:color="000000"/>
          <w:bdr w:val="none" w:sz="0" w:space="0" w:color="auto"/>
          <w:lang w:val="lt-LT"/>
        </w:rPr>
        <w:t>S</w:t>
      </w:r>
      <w:r w:rsidRPr="00260980">
        <w:rPr>
          <w:color w:val="000000"/>
          <w:u w:color="000000"/>
          <w:bdr w:val="none" w:sz="0" w:space="0" w:color="auto"/>
          <w:lang w:val="lt-LT"/>
        </w:rPr>
        <w:t>utinka</w:t>
      </w:r>
      <w:r>
        <w:rPr>
          <w:color w:val="000000"/>
          <w:u w:color="000000"/>
          <w:bdr w:val="none" w:sz="0" w:space="0" w:color="auto"/>
          <w:lang w:val="lt-LT"/>
        </w:rPr>
        <w:t>me</w:t>
      </w:r>
      <w:r w:rsidRPr="00260980">
        <w:rPr>
          <w:color w:val="000000"/>
          <w:u w:color="000000"/>
          <w:bdr w:val="none" w:sz="0" w:space="0" w:color="auto"/>
          <w:lang w:val="lt-LT"/>
        </w:rPr>
        <w:t xml:space="preserve"> su EK pastaba, kad einamosios iš</w:t>
      </w:r>
      <w:r>
        <w:rPr>
          <w:color w:val="000000"/>
          <w:u w:color="000000"/>
          <w:bdr w:val="none" w:sz="0" w:space="0" w:color="auto"/>
          <w:lang w:val="lt-LT"/>
        </w:rPr>
        <w:t xml:space="preserve">laidos šalyje didėja sparčiau negu </w:t>
      </w:r>
      <w:r w:rsidRPr="00260980">
        <w:rPr>
          <w:color w:val="000000"/>
          <w:u w:color="000000"/>
          <w:bdr w:val="none" w:sz="0" w:space="0" w:color="auto"/>
          <w:lang w:val="lt-LT"/>
        </w:rPr>
        <w:t>vidutinio laikotarpio p</w:t>
      </w:r>
      <w:r w:rsidRPr="00260980">
        <w:rPr>
          <w:color w:val="000000"/>
          <w:u w:color="000000"/>
          <w:bdr w:val="none" w:sz="0" w:space="0" w:color="auto"/>
          <w:lang w:val="lt-LT"/>
        </w:rPr>
        <w:t>o</w:t>
      </w:r>
      <w:r w:rsidRPr="00260980">
        <w:rPr>
          <w:color w:val="000000"/>
          <w:u w:color="000000"/>
          <w:bdr w:val="none" w:sz="0" w:space="0" w:color="auto"/>
          <w:lang w:val="lt-LT"/>
        </w:rPr>
        <w:t xml:space="preserve">tencialus augimas. </w:t>
      </w:r>
      <w:r>
        <w:rPr>
          <w:color w:val="000000"/>
          <w:u w:color="000000"/>
          <w:bdr w:val="none" w:sz="0" w:space="0" w:color="auto"/>
          <w:lang w:val="lt-LT"/>
        </w:rPr>
        <w:t>Pažymėtina, kad s</w:t>
      </w:r>
      <w:r w:rsidRPr="00260980">
        <w:rPr>
          <w:color w:val="000000"/>
          <w:u w:color="000000"/>
          <w:bdr w:val="none" w:sz="0" w:space="0" w:color="auto"/>
          <w:lang w:val="lt-LT"/>
        </w:rPr>
        <w:t xml:space="preserve">prendimai dėl einamųjų išlaidų atliepia problemines šalies vietas, į kurių sprendimo poreikį EK atkreipia dėmesį </w:t>
      </w:r>
      <w:r>
        <w:rPr>
          <w:color w:val="000000"/>
          <w:u w:color="000000"/>
          <w:bdr w:val="none" w:sz="0" w:space="0" w:color="auto"/>
          <w:lang w:val="lt-LT"/>
        </w:rPr>
        <w:t xml:space="preserve">kasmet teikdama rekomendacijas </w:t>
      </w:r>
      <w:r w:rsidRPr="00260980">
        <w:rPr>
          <w:color w:val="000000"/>
          <w:u w:color="000000"/>
          <w:bdr w:val="none" w:sz="0" w:space="0" w:color="auto"/>
          <w:lang w:val="lt-LT"/>
        </w:rPr>
        <w:t>(</w:t>
      </w:r>
      <w:proofErr w:type="spellStart"/>
      <w:r w:rsidRPr="00260980">
        <w:rPr>
          <w:color w:val="000000"/>
          <w:u w:color="000000"/>
          <w:bdr w:val="none" w:sz="0" w:space="0" w:color="auto"/>
          <w:lang w:val="lt-LT"/>
        </w:rPr>
        <w:t>CSRs</w:t>
      </w:r>
      <w:proofErr w:type="spellEnd"/>
      <w:r w:rsidRPr="00260980">
        <w:rPr>
          <w:color w:val="000000"/>
          <w:u w:color="000000"/>
          <w:bdr w:val="none" w:sz="0" w:space="0" w:color="auto"/>
          <w:lang w:val="lt-LT"/>
        </w:rPr>
        <w:t xml:space="preserve">) – pvz., poreikis didinti senatvės pensijų adekvatumą. </w:t>
      </w:r>
      <w:r>
        <w:rPr>
          <w:color w:val="000000"/>
          <w:u w:color="000000"/>
          <w:bdr w:val="none" w:sz="0" w:space="0" w:color="auto"/>
          <w:lang w:val="lt-LT"/>
        </w:rPr>
        <w:t xml:space="preserve">Taip pat Lietuva euro zonos </w:t>
      </w:r>
      <w:r w:rsidRPr="00260980">
        <w:rPr>
          <w:color w:val="000000"/>
          <w:u w:color="000000"/>
          <w:bdr w:val="none" w:sz="0" w:space="0" w:color="auto"/>
          <w:lang w:val="lt-LT"/>
        </w:rPr>
        <w:t xml:space="preserve">kontekste </w:t>
      </w:r>
      <w:r>
        <w:rPr>
          <w:color w:val="000000"/>
          <w:u w:color="000000"/>
          <w:bdr w:val="none" w:sz="0" w:space="0" w:color="auto"/>
          <w:lang w:val="lt-LT"/>
        </w:rPr>
        <w:t xml:space="preserve">turi </w:t>
      </w:r>
      <w:r w:rsidRPr="00260980">
        <w:rPr>
          <w:color w:val="000000"/>
          <w:u w:color="000000"/>
          <w:bdr w:val="none" w:sz="0" w:space="0" w:color="auto"/>
          <w:lang w:val="lt-LT"/>
        </w:rPr>
        <w:t>sąlyginai žemą skolos lygi – dėl to, skirtin</w:t>
      </w:r>
      <w:r>
        <w:rPr>
          <w:color w:val="000000"/>
          <w:u w:color="000000"/>
          <w:bdr w:val="none" w:sz="0" w:space="0" w:color="auto"/>
          <w:lang w:val="lt-LT"/>
        </w:rPr>
        <w:t>gai negu labiau įsiskolinusioms šalims (pvz. Italijai),</w:t>
      </w:r>
      <w:r w:rsidRPr="00260980">
        <w:rPr>
          <w:color w:val="000000"/>
          <w:u w:color="000000"/>
          <w:bdr w:val="none" w:sz="0" w:space="0" w:color="auto"/>
          <w:lang w:val="lt-LT"/>
        </w:rPr>
        <w:t xml:space="preserve"> akcentuojamas poreikis kontr</w:t>
      </w:r>
      <w:r w:rsidRPr="00260980">
        <w:rPr>
          <w:color w:val="000000"/>
          <w:u w:color="000000"/>
          <w:bdr w:val="none" w:sz="0" w:space="0" w:color="auto"/>
          <w:lang w:val="lt-LT"/>
        </w:rPr>
        <w:t>o</w:t>
      </w:r>
      <w:r w:rsidRPr="00260980">
        <w:rPr>
          <w:color w:val="000000"/>
          <w:u w:color="000000"/>
          <w:bdr w:val="none" w:sz="0" w:space="0" w:color="auto"/>
          <w:lang w:val="lt-LT"/>
        </w:rPr>
        <w:t>liuoti einamųjų išlaidų augimą, o ne jas riboti.</w:t>
      </w:r>
      <w:r w:rsidR="003C3E6E" w:rsidRPr="00045371">
        <w:rPr>
          <w:color w:val="000000"/>
          <w:u w:color="000000"/>
          <w:bdr w:val="none" w:sz="0" w:space="0" w:color="auto"/>
          <w:lang w:val="lt-LT"/>
        </w:rPr>
        <w:t xml:space="preserve"> Pripažindama, kad ilgalaikiai įsipareigojimai turi būti padengti struktūrinėmis pajamomis, Vyriausybė šiuo metu peržiūri mokesčių sistemą. </w:t>
      </w:r>
    </w:p>
    <w:p w:rsidR="001C7484" w:rsidRPr="00045371" w:rsidRDefault="003C3E6E" w:rsidP="003C3E6E">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045371">
        <w:rPr>
          <w:color w:val="000000"/>
          <w:u w:color="000000"/>
          <w:bdr w:val="none" w:sz="0" w:space="0" w:color="auto"/>
          <w:lang w:val="lt-LT"/>
        </w:rPr>
        <w:t>Dėkojame EK už pasidalintą skaidrumo failą (</w:t>
      </w:r>
      <w:proofErr w:type="spellStart"/>
      <w:r w:rsidRPr="00045371">
        <w:rPr>
          <w:color w:val="000000"/>
          <w:u w:color="000000"/>
          <w:bdr w:val="none" w:sz="0" w:space="0" w:color="auto"/>
          <w:lang w:val="lt-LT"/>
        </w:rPr>
        <w:t>transparency</w:t>
      </w:r>
      <w:proofErr w:type="spellEnd"/>
      <w:r w:rsidRPr="00045371">
        <w:rPr>
          <w:color w:val="000000"/>
          <w:u w:color="000000"/>
          <w:bdr w:val="none" w:sz="0" w:space="0" w:color="auto"/>
          <w:lang w:val="lt-LT"/>
        </w:rPr>
        <w:t xml:space="preserve"> </w:t>
      </w:r>
      <w:proofErr w:type="spellStart"/>
      <w:r w:rsidRPr="00045371">
        <w:rPr>
          <w:color w:val="000000"/>
          <w:u w:color="000000"/>
          <w:bdr w:val="none" w:sz="0" w:space="0" w:color="auto"/>
          <w:lang w:val="lt-LT"/>
        </w:rPr>
        <w:t>file</w:t>
      </w:r>
      <w:proofErr w:type="spellEnd"/>
      <w:r w:rsidRPr="00045371">
        <w:rPr>
          <w:color w:val="000000"/>
          <w:u w:color="000000"/>
          <w:bdr w:val="none" w:sz="0" w:space="0" w:color="auto"/>
          <w:lang w:val="lt-LT"/>
        </w:rPr>
        <w:t>), tačiau manome, kad yra labai sudėtinga pakartoti atliktą EK vertinimą (assessment). Nepaisant pateiktų diskrecinių pajamų, išlaidų priemonių (laikinųjų ir nelaikinųjų) sąvokų apibrėžčių, vis dar neaišku, kaip tiksliai EK taiko šias apibrėžtis vert</w:t>
      </w:r>
      <w:r w:rsidRPr="00045371">
        <w:rPr>
          <w:color w:val="000000"/>
          <w:u w:color="000000"/>
          <w:bdr w:val="none" w:sz="0" w:space="0" w:color="auto"/>
          <w:lang w:val="lt-LT"/>
        </w:rPr>
        <w:t>i</w:t>
      </w:r>
      <w:r w:rsidRPr="00045371">
        <w:rPr>
          <w:color w:val="000000"/>
          <w:u w:color="000000"/>
          <w:bdr w:val="none" w:sz="0" w:space="0" w:color="auto"/>
          <w:lang w:val="lt-LT"/>
        </w:rPr>
        <w:t>nime. Jei norime geresnio nukreipimo (</w:t>
      </w:r>
      <w:proofErr w:type="spellStart"/>
      <w:r w:rsidRPr="00045371">
        <w:rPr>
          <w:color w:val="000000"/>
          <w:u w:color="000000"/>
          <w:bdr w:val="none" w:sz="0" w:space="0" w:color="auto"/>
          <w:lang w:val="lt-LT"/>
        </w:rPr>
        <w:t>targeting</w:t>
      </w:r>
      <w:proofErr w:type="spellEnd"/>
      <w:r w:rsidRPr="00045371">
        <w:rPr>
          <w:color w:val="000000"/>
          <w:u w:color="000000"/>
          <w:bdr w:val="none" w:sz="0" w:space="0" w:color="auto"/>
          <w:lang w:val="lt-LT"/>
        </w:rPr>
        <w:t xml:space="preserve">) </w:t>
      </w:r>
      <w:proofErr w:type="spellStart"/>
      <w:r w:rsidRPr="00045371">
        <w:rPr>
          <w:i/>
          <w:color w:val="000000"/>
          <w:u w:color="000000"/>
          <w:bdr w:val="none" w:sz="0" w:space="0" w:color="auto"/>
          <w:lang w:val="lt-LT"/>
        </w:rPr>
        <w:t>ex-ante</w:t>
      </w:r>
      <w:proofErr w:type="spellEnd"/>
      <w:r w:rsidRPr="00045371">
        <w:rPr>
          <w:color w:val="000000"/>
          <w:u w:color="000000"/>
          <w:bdr w:val="none" w:sz="0" w:space="0" w:color="auto"/>
          <w:lang w:val="lt-LT"/>
        </w:rPr>
        <w:t xml:space="preserve"> etape, didesnės atsakomybės už fiskalines ta</w:t>
      </w:r>
      <w:r w:rsidRPr="00045371">
        <w:rPr>
          <w:color w:val="000000"/>
          <w:u w:color="000000"/>
          <w:bdr w:val="none" w:sz="0" w:space="0" w:color="auto"/>
          <w:lang w:val="lt-LT"/>
        </w:rPr>
        <w:t>i</w:t>
      </w:r>
      <w:r w:rsidRPr="00045371">
        <w:rPr>
          <w:color w:val="000000"/>
          <w:u w:color="000000"/>
          <w:bdr w:val="none" w:sz="0" w:space="0" w:color="auto"/>
          <w:lang w:val="lt-LT"/>
        </w:rPr>
        <w:lastRenderedPageBreak/>
        <w:t>sykles, geresnio Tarybos rekomendacijų įgyvendinimo, labai svarbu, kad techniniai procesai būtų kuo skaidresni. Priešingu atveju rizikuojame suklaidinti save ir sukompromituoti valstybių narių palygin</w:t>
      </w:r>
      <w:r w:rsidRPr="00045371">
        <w:rPr>
          <w:color w:val="000000"/>
          <w:u w:color="000000"/>
          <w:bdr w:val="none" w:sz="0" w:space="0" w:color="auto"/>
          <w:lang w:val="lt-LT"/>
        </w:rPr>
        <w:t>a</w:t>
      </w:r>
      <w:r w:rsidRPr="00045371">
        <w:rPr>
          <w:color w:val="000000"/>
          <w:u w:color="000000"/>
          <w:bdr w:val="none" w:sz="0" w:space="0" w:color="auto"/>
          <w:lang w:val="lt-LT"/>
        </w:rPr>
        <w:t>mumo ir vienodo traktavimo principus. Esame tikri, kad tai galioja tiek dabartinėms fiskalinėms taisy</w:t>
      </w:r>
      <w:r w:rsidRPr="00045371">
        <w:rPr>
          <w:color w:val="000000"/>
          <w:u w:color="000000"/>
          <w:bdr w:val="none" w:sz="0" w:space="0" w:color="auto"/>
          <w:lang w:val="lt-LT"/>
        </w:rPr>
        <w:t>k</w:t>
      </w:r>
      <w:r w:rsidRPr="00045371">
        <w:rPr>
          <w:color w:val="000000"/>
          <w:u w:color="000000"/>
          <w:bdr w:val="none" w:sz="0" w:space="0" w:color="auto"/>
          <w:lang w:val="lt-LT"/>
        </w:rPr>
        <w:t>lėms ir jų įgyvendinimo priežiūrai, tiek peržiūrėtoms, kai tik jas turėsime.</w:t>
      </w:r>
    </w:p>
    <w:p w:rsidR="001C7484" w:rsidRPr="00045371" w:rsidRDefault="001C7484"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1C7484" w:rsidRPr="00045371" w:rsidRDefault="001C7484"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045371">
        <w:rPr>
          <w:b/>
          <w:color w:val="000000"/>
          <w:u w:color="000000"/>
          <w:bdr w:val="none" w:sz="0" w:space="0" w:color="auto"/>
          <w:lang w:val="lt-LT"/>
        </w:rPr>
        <w:t>7. Tematinės diskusijos dėl verslo pažeidžiamumo ir struktūrinių pokyčių po COVID-19</w:t>
      </w:r>
    </w:p>
    <w:p w:rsidR="001C7484" w:rsidRPr="00045371" w:rsidRDefault="001C748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CE3A1E" w:rsidRPr="00045371">
        <w:rPr>
          <w:bdr w:val="none" w:sz="0" w:space="0" w:color="auto"/>
          <w:lang w:val="lt-LT"/>
        </w:rPr>
        <w:t>Europos Komisijos atliktoje analizėje akcentuojama, kad ekonominis atsigavimas yra stipresnis nei tikėtasi. Bankrotų skaičius krito prasidėjus pandemijai dėl paramos priemonių, tačiau d</w:t>
      </w:r>
      <w:r w:rsidR="00CE3A1E" w:rsidRPr="00045371">
        <w:rPr>
          <w:bdr w:val="none" w:sz="0" w:space="0" w:color="auto"/>
          <w:lang w:val="lt-LT"/>
        </w:rPr>
        <w:t>a</w:t>
      </w:r>
      <w:r w:rsidR="00CE3A1E" w:rsidRPr="00045371">
        <w:rPr>
          <w:bdr w:val="none" w:sz="0" w:space="0" w:color="auto"/>
          <w:lang w:val="lt-LT"/>
        </w:rPr>
        <w:t>bar bankrotų skaičius jau pakilo, labiausiai paveiktuose sektoriuose jis jau viršija ikipandeminį lygį.</w:t>
      </w:r>
    </w:p>
    <w:p w:rsidR="005F5DA4" w:rsidRPr="00045371" w:rsidRDefault="005F5DA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dr w:val="none" w:sz="0" w:space="0" w:color="auto"/>
          <w:lang w:val="lt-LT"/>
        </w:rPr>
      </w:pPr>
      <w:r w:rsidRPr="00045371">
        <w:rPr>
          <w:rFonts w:eastAsia="Calibri"/>
          <w:bdr w:val="none" w:sz="0" w:space="0" w:color="auto"/>
          <w:lang w:val="lt-LT"/>
        </w:rPr>
        <w:t xml:space="preserve">Privačios investicijos krito pandemijos pradžioje, tačiau po truputį atsigauna, nors </w:t>
      </w:r>
      <w:r w:rsidR="006C4BD2" w:rsidRPr="00045371">
        <w:rPr>
          <w:rFonts w:eastAsia="Calibri"/>
          <w:bdr w:val="none" w:sz="0" w:space="0" w:color="auto"/>
          <w:lang w:val="lt-LT"/>
        </w:rPr>
        <w:t xml:space="preserve">padėtis išlieka </w:t>
      </w:r>
      <w:r w:rsidRPr="00045371">
        <w:rPr>
          <w:rFonts w:eastAsia="Calibri"/>
          <w:bdr w:val="none" w:sz="0" w:space="0" w:color="auto"/>
          <w:lang w:val="lt-LT"/>
        </w:rPr>
        <w:t>sunki labiau</w:t>
      </w:r>
      <w:r w:rsidR="006C4BD2" w:rsidRPr="00045371">
        <w:rPr>
          <w:rFonts w:eastAsia="Calibri"/>
          <w:bdr w:val="none" w:sz="0" w:space="0" w:color="auto"/>
          <w:lang w:val="lt-LT"/>
        </w:rPr>
        <w:t>siai paveiktuose sektoriuose</w:t>
      </w:r>
      <w:r w:rsidRPr="00045371">
        <w:rPr>
          <w:rFonts w:eastAsia="Calibri"/>
          <w:bdr w:val="none" w:sz="0" w:space="0" w:color="auto"/>
          <w:lang w:val="lt-LT"/>
        </w:rPr>
        <w:t>.</w:t>
      </w:r>
      <w:r w:rsidRPr="00045371">
        <w:rPr>
          <w:lang w:val="lt-LT"/>
        </w:rPr>
        <w:t xml:space="preserve"> </w:t>
      </w:r>
      <w:r w:rsidRPr="00045371">
        <w:rPr>
          <w:rFonts w:eastAsia="Calibri"/>
          <w:bdr w:val="none" w:sz="0" w:space="0" w:color="auto"/>
          <w:lang w:val="lt-LT"/>
        </w:rPr>
        <w:t>P</w:t>
      </w:r>
      <w:r w:rsidR="006C4BD2" w:rsidRPr="00045371">
        <w:rPr>
          <w:rFonts w:eastAsia="Calibri"/>
          <w:bdr w:val="none" w:sz="0" w:space="0" w:color="auto"/>
          <w:lang w:val="lt-LT"/>
        </w:rPr>
        <w:t>ažymima, kad p</w:t>
      </w:r>
      <w:r w:rsidRPr="00045371">
        <w:rPr>
          <w:rFonts w:eastAsia="Calibri"/>
          <w:bdr w:val="none" w:sz="0" w:space="0" w:color="auto"/>
          <w:lang w:val="lt-LT"/>
        </w:rPr>
        <w:t xml:space="preserve">aramos priemonės sušvelnino neigiamą poveikį darbo rinkai. </w:t>
      </w:r>
    </w:p>
    <w:p w:rsidR="006C4BD2" w:rsidRPr="00045371" w:rsidRDefault="006C4BD2" w:rsidP="006C4BD2">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u w:val="single"/>
          <w:bdr w:val="none" w:sz="0" w:space="0" w:color="auto"/>
          <w:lang w:val="lt-LT"/>
        </w:rPr>
      </w:pPr>
      <w:r w:rsidRPr="00045371">
        <w:rPr>
          <w:rFonts w:eastAsia="Calibri"/>
          <w:u w:val="single"/>
          <w:bdr w:val="none" w:sz="0" w:space="0" w:color="auto"/>
          <w:lang w:val="lt-LT"/>
        </w:rPr>
        <w:t xml:space="preserve">EK pateikė keletą rekomendacijų atsižvelgiant į dabartinę situaciją: </w:t>
      </w:r>
    </w:p>
    <w:p w:rsidR="006C4BD2" w:rsidRPr="00045371" w:rsidRDefault="003C3E6E" w:rsidP="006C4BD2">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dr w:val="none" w:sz="0" w:space="0" w:color="auto"/>
          <w:lang w:val="lt-LT"/>
        </w:rPr>
      </w:pPr>
      <w:r w:rsidRPr="00045371">
        <w:rPr>
          <w:rFonts w:eastAsia="Calibri"/>
          <w:bdr w:val="none" w:sz="0" w:space="0" w:color="auto"/>
          <w:lang w:val="lt-LT"/>
        </w:rPr>
        <w:t xml:space="preserve">- </w:t>
      </w:r>
      <w:r w:rsidR="006C4BD2" w:rsidRPr="00045371">
        <w:rPr>
          <w:rFonts w:eastAsia="Calibri"/>
          <w:bdr w:val="none" w:sz="0" w:space="0" w:color="auto"/>
          <w:lang w:val="lt-LT"/>
        </w:rPr>
        <w:t xml:space="preserve">Siūlo mažinti plačią paramą, pereiti prie labiau tikslinių paramos priemonių, o jų atitraukimas turi būti palaipsnis; </w:t>
      </w:r>
    </w:p>
    <w:p w:rsidR="006C4BD2" w:rsidRPr="00045371" w:rsidRDefault="003C3E6E" w:rsidP="006C4BD2">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dr w:val="none" w:sz="0" w:space="0" w:color="auto"/>
          <w:lang w:val="lt-LT"/>
        </w:rPr>
      </w:pPr>
      <w:r w:rsidRPr="00045371">
        <w:rPr>
          <w:rFonts w:eastAsia="Calibri"/>
          <w:bdr w:val="none" w:sz="0" w:space="0" w:color="auto"/>
          <w:lang w:val="lt-LT"/>
        </w:rPr>
        <w:t xml:space="preserve">- </w:t>
      </w:r>
      <w:r w:rsidR="006C4BD2" w:rsidRPr="00045371">
        <w:rPr>
          <w:rFonts w:eastAsia="Calibri"/>
          <w:bdr w:val="none" w:sz="0" w:space="0" w:color="auto"/>
          <w:lang w:val="lt-LT"/>
        </w:rPr>
        <w:t>Paramos priemonės turėtų daugiau remtis ne skolos instrumentais, valstybinė parama neturi būti 100 procentinė, o tik dalinė, kad privatus sektorius irgi prisidėtų, tai padėtų atsijoti neperspektyvias įmones</w:t>
      </w:r>
      <w:r w:rsidR="004826E6" w:rsidRPr="00045371">
        <w:rPr>
          <w:rFonts w:eastAsia="Calibri"/>
          <w:bdr w:val="none" w:sz="0" w:space="0" w:color="auto"/>
          <w:lang w:val="lt-LT"/>
        </w:rPr>
        <w:t xml:space="preserve">; </w:t>
      </w:r>
      <w:r w:rsidRPr="00045371">
        <w:rPr>
          <w:rFonts w:eastAsia="Calibri"/>
          <w:bdr w:val="none" w:sz="0" w:space="0" w:color="auto"/>
          <w:lang w:val="lt-LT"/>
        </w:rPr>
        <w:t xml:space="preserve">- </w:t>
      </w:r>
      <w:r w:rsidR="004826E6" w:rsidRPr="00045371">
        <w:rPr>
          <w:rFonts w:eastAsia="Calibri"/>
          <w:bdr w:val="none" w:sz="0" w:space="0" w:color="auto"/>
          <w:lang w:val="lt-LT"/>
        </w:rPr>
        <w:t>D</w:t>
      </w:r>
      <w:r w:rsidR="006C4BD2" w:rsidRPr="00045371">
        <w:rPr>
          <w:rFonts w:eastAsia="Calibri"/>
          <w:bdr w:val="none" w:sz="0" w:space="0" w:color="auto"/>
          <w:lang w:val="lt-LT"/>
        </w:rPr>
        <w:t>ėl pastebimo darbo rinkos vangumo ir darbuotojų trūkumo reikėtų daugiau investuoti į kvalifikacijų kėlimą ir perkvalifikavimą. Taip pat reikia adaptuoti socialinės apsaugos sistemas, siekiant išvengti ne</w:t>
      </w:r>
      <w:r w:rsidR="006C4BD2" w:rsidRPr="00045371">
        <w:rPr>
          <w:rFonts w:eastAsia="Calibri"/>
          <w:bdr w:val="none" w:sz="0" w:space="0" w:color="auto"/>
          <w:lang w:val="lt-LT"/>
        </w:rPr>
        <w:t>i</w:t>
      </w:r>
      <w:r w:rsidR="006C4BD2" w:rsidRPr="00045371">
        <w:rPr>
          <w:rFonts w:eastAsia="Calibri"/>
          <w:bdr w:val="none" w:sz="0" w:space="0" w:color="auto"/>
          <w:lang w:val="lt-LT"/>
        </w:rPr>
        <w:t xml:space="preserve">giamo struktūrinės transformacijos poveikio nelygybei. </w:t>
      </w:r>
    </w:p>
    <w:p w:rsidR="004826E6" w:rsidRPr="00045371" w:rsidRDefault="003C3E6E" w:rsidP="006C4BD2">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dr w:val="none" w:sz="0" w:space="0" w:color="auto"/>
          <w:lang w:val="lt-LT"/>
        </w:rPr>
      </w:pPr>
      <w:r w:rsidRPr="00045371">
        <w:rPr>
          <w:rFonts w:eastAsia="Calibri"/>
          <w:bdr w:val="none" w:sz="0" w:space="0" w:color="auto"/>
          <w:lang w:val="lt-LT"/>
        </w:rPr>
        <w:t xml:space="preserve">- </w:t>
      </w:r>
      <w:r w:rsidR="006C4BD2" w:rsidRPr="00045371">
        <w:rPr>
          <w:rFonts w:eastAsia="Calibri"/>
          <w:bdr w:val="none" w:sz="0" w:space="0" w:color="auto"/>
          <w:lang w:val="lt-LT"/>
        </w:rPr>
        <w:t>Reikia užpildyti investicijų trūkumą ten, kur yra rinkos nepakankamumas, ypač skaitmeninės ir žali</w:t>
      </w:r>
      <w:r w:rsidR="006C4BD2" w:rsidRPr="00045371">
        <w:rPr>
          <w:rFonts w:eastAsia="Calibri"/>
          <w:bdr w:val="none" w:sz="0" w:space="0" w:color="auto"/>
          <w:lang w:val="lt-LT"/>
        </w:rPr>
        <w:t>o</w:t>
      </w:r>
      <w:r w:rsidR="006C4BD2" w:rsidRPr="00045371">
        <w:rPr>
          <w:rFonts w:eastAsia="Calibri"/>
          <w:bdr w:val="none" w:sz="0" w:space="0" w:color="auto"/>
          <w:lang w:val="lt-LT"/>
        </w:rPr>
        <w:t xml:space="preserve">sios transformacijos kontekste. </w:t>
      </w:r>
    </w:p>
    <w:p w:rsidR="006C4BD2" w:rsidRPr="00045371" w:rsidRDefault="003C3E6E" w:rsidP="006C4BD2">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dr w:val="none" w:sz="0" w:space="0" w:color="auto"/>
          <w:lang w:val="lt-LT"/>
        </w:rPr>
      </w:pPr>
      <w:r w:rsidRPr="00045371">
        <w:rPr>
          <w:rFonts w:eastAsia="Calibri"/>
          <w:bdr w:val="none" w:sz="0" w:space="0" w:color="auto"/>
          <w:lang w:val="lt-LT"/>
        </w:rPr>
        <w:t xml:space="preserve">- </w:t>
      </w:r>
      <w:r w:rsidR="006C4BD2" w:rsidRPr="00045371">
        <w:rPr>
          <w:rFonts w:eastAsia="Calibri"/>
          <w:bdr w:val="none" w:sz="0" w:space="0" w:color="auto"/>
          <w:lang w:val="lt-LT"/>
        </w:rPr>
        <w:t>Nemokumo sistemos turi būti tobulinamos ir pritaikomos paramos atitraukimui tiek pajėgumų, tiek perspektyvių įmonių identifikavimo prasme.</w:t>
      </w:r>
    </w:p>
    <w:p w:rsidR="001C7484" w:rsidRPr="00045371" w:rsidRDefault="001C748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1C7484" w:rsidRPr="00045371" w:rsidRDefault="001C7484"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045371">
        <w:rPr>
          <w:b/>
          <w:u w:val="single"/>
          <w:bdr w:val="none" w:sz="0" w:space="0" w:color="auto"/>
          <w:lang w:val="lt-LT"/>
        </w:rPr>
        <w:t>Lietuvos pozicija.</w:t>
      </w:r>
      <w:r w:rsidRPr="00045371">
        <w:rPr>
          <w:color w:val="000000"/>
          <w:u w:color="000000"/>
          <w:bdr w:val="none" w:sz="0" w:space="0" w:color="auto"/>
          <w:lang w:val="lt-LT"/>
        </w:rPr>
        <w:t xml:space="preserve"> </w:t>
      </w:r>
      <w:r w:rsidR="00DE1A38" w:rsidRPr="00045371">
        <w:rPr>
          <w:color w:val="000000"/>
          <w:u w:color="000000"/>
          <w:bdr w:val="none" w:sz="0" w:space="0" w:color="auto"/>
          <w:lang w:val="lt-LT"/>
        </w:rPr>
        <w:t>Iš esmės sutinkame su EK atlikta analize. Mano</w:t>
      </w:r>
      <w:r w:rsidR="003C3E6E" w:rsidRPr="00045371">
        <w:rPr>
          <w:color w:val="000000"/>
          <w:u w:color="000000"/>
          <w:bdr w:val="none" w:sz="0" w:space="0" w:color="auto"/>
          <w:lang w:val="lt-LT"/>
        </w:rPr>
        <w:t>me, kad iš siūlomų priemonių esm</w:t>
      </w:r>
      <w:r w:rsidR="003C3E6E" w:rsidRPr="00045371">
        <w:rPr>
          <w:color w:val="000000"/>
          <w:u w:color="000000"/>
          <w:bdr w:val="none" w:sz="0" w:space="0" w:color="auto"/>
          <w:lang w:val="lt-LT"/>
        </w:rPr>
        <w:t>i</w:t>
      </w:r>
      <w:r w:rsidR="003C3E6E" w:rsidRPr="00045371">
        <w:rPr>
          <w:color w:val="000000"/>
          <w:u w:color="000000"/>
          <w:bdr w:val="none" w:sz="0" w:space="0" w:color="auto"/>
          <w:lang w:val="lt-LT"/>
        </w:rPr>
        <w:t>nės</w:t>
      </w:r>
      <w:r w:rsidR="00DE1A38" w:rsidRPr="00045371">
        <w:rPr>
          <w:color w:val="000000"/>
          <w:u w:color="000000"/>
          <w:bdr w:val="none" w:sz="0" w:space="0" w:color="auto"/>
          <w:lang w:val="lt-LT"/>
        </w:rPr>
        <w:t xml:space="preserve"> yra susijusios su darbo rinka ir nemokumo sistemomis. Jos yra svarbios ne tik kaip atsakas į dabart</w:t>
      </w:r>
      <w:r w:rsidR="00DE1A38" w:rsidRPr="00045371">
        <w:rPr>
          <w:color w:val="000000"/>
          <w:u w:color="000000"/>
          <w:bdr w:val="none" w:sz="0" w:space="0" w:color="auto"/>
          <w:lang w:val="lt-LT"/>
        </w:rPr>
        <w:t>i</w:t>
      </w:r>
      <w:r w:rsidR="00DE1A38" w:rsidRPr="00045371">
        <w:rPr>
          <w:color w:val="000000"/>
          <w:u w:color="000000"/>
          <w:bdr w:val="none" w:sz="0" w:space="0" w:color="auto"/>
          <w:lang w:val="lt-LT"/>
        </w:rPr>
        <w:t xml:space="preserve">nę krizę, bet tuo pačiu prisidėtų ir prie žaliosios bei skaitmeninės transformacijų. </w:t>
      </w:r>
      <w:r w:rsidR="00643536" w:rsidRPr="00045371">
        <w:rPr>
          <w:color w:val="000000"/>
          <w:u w:color="000000"/>
          <w:bdr w:val="none" w:sz="0" w:space="0" w:color="auto"/>
          <w:lang w:val="lt-LT"/>
        </w:rPr>
        <w:t>Svarbu kuo labiau sk</w:t>
      </w:r>
      <w:r w:rsidR="00643536" w:rsidRPr="00045371">
        <w:rPr>
          <w:color w:val="000000"/>
          <w:u w:color="000000"/>
          <w:bdr w:val="none" w:sz="0" w:space="0" w:color="auto"/>
          <w:lang w:val="lt-LT"/>
        </w:rPr>
        <w:t>a</w:t>
      </w:r>
      <w:r w:rsidR="00643536" w:rsidRPr="00045371">
        <w:rPr>
          <w:color w:val="000000"/>
          <w:u w:color="000000"/>
          <w:bdr w:val="none" w:sz="0" w:space="0" w:color="auto"/>
          <w:lang w:val="lt-LT"/>
        </w:rPr>
        <w:t>tinti gy</w:t>
      </w:r>
      <w:r w:rsidR="003C3E6E" w:rsidRPr="00045371">
        <w:rPr>
          <w:color w:val="000000"/>
          <w:u w:color="000000"/>
          <w:bdr w:val="none" w:sz="0" w:space="0" w:color="auto"/>
          <w:lang w:val="lt-LT"/>
        </w:rPr>
        <w:t>ventojų dalyvavimą darbo rinkoje</w:t>
      </w:r>
      <w:r w:rsidR="00643536" w:rsidRPr="00045371">
        <w:rPr>
          <w:color w:val="000000"/>
          <w:u w:color="000000"/>
          <w:bdr w:val="none" w:sz="0" w:space="0" w:color="auto"/>
          <w:lang w:val="lt-LT"/>
        </w:rPr>
        <w:t xml:space="preserve"> per švietimą, perkvalifikavimą ir įgūdžių gerinimą, ypač tose srityse, kuriose egzistuoja darbo jėgos trūkumas.</w:t>
      </w:r>
      <w:r w:rsidR="00C54515" w:rsidRPr="00045371">
        <w:rPr>
          <w:color w:val="000000"/>
          <w:u w:color="000000"/>
          <w:bdr w:val="none" w:sz="0" w:space="0" w:color="auto"/>
          <w:lang w:val="lt-LT"/>
        </w:rPr>
        <w:t xml:space="preserve"> Ne mažiau svarbu yra tobulinti nacionalines nemok</w:t>
      </w:r>
      <w:r w:rsidR="00C54515" w:rsidRPr="00045371">
        <w:rPr>
          <w:color w:val="000000"/>
          <w:u w:color="000000"/>
          <w:bdr w:val="none" w:sz="0" w:space="0" w:color="auto"/>
          <w:lang w:val="lt-LT"/>
        </w:rPr>
        <w:t>u</w:t>
      </w:r>
      <w:r w:rsidR="00C54515" w:rsidRPr="00045371">
        <w:rPr>
          <w:color w:val="000000"/>
          <w:u w:color="000000"/>
          <w:bdr w:val="none" w:sz="0" w:space="0" w:color="auto"/>
          <w:lang w:val="lt-LT"/>
        </w:rPr>
        <w:t>mo sistemas ir jas harmonizuoti, siekiant išvystytos Kapitalo rinkų sąjungos.</w:t>
      </w:r>
    </w:p>
    <w:p w:rsidR="001C7484" w:rsidRPr="00045371" w:rsidRDefault="001C7484"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DB10B2" w:rsidRPr="00045371" w:rsidRDefault="00DB10B2"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lang w:val="lt-LT"/>
        </w:rPr>
      </w:pPr>
      <w:r w:rsidRPr="00045371">
        <w:rPr>
          <w:b/>
          <w:lang w:val="lt-LT"/>
        </w:rPr>
        <w:t>Įtraukios sudėties Euro grupės posėdyje bus aptariamas pasirengimas Euro zonos viršūnių susit</w:t>
      </w:r>
      <w:r w:rsidRPr="00045371">
        <w:rPr>
          <w:b/>
          <w:lang w:val="lt-LT"/>
        </w:rPr>
        <w:t>i</w:t>
      </w:r>
      <w:r w:rsidRPr="00045371">
        <w:rPr>
          <w:b/>
          <w:lang w:val="lt-LT"/>
        </w:rPr>
        <w:t>kimui.</w:t>
      </w:r>
    </w:p>
    <w:p w:rsidR="00CD2110" w:rsidRPr="00045371" w:rsidRDefault="00DB10B2" w:rsidP="00CD2110">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45371">
        <w:rPr>
          <w:b/>
          <w:u w:val="single"/>
          <w:lang w:val="lt-LT"/>
        </w:rPr>
        <w:t>Klausimo esmė:</w:t>
      </w:r>
      <w:r w:rsidR="00CD2110" w:rsidRPr="00045371">
        <w:rPr>
          <w:lang w:val="lt-LT"/>
        </w:rPr>
        <w:t xml:space="preserve"> Euro zonos viršūnių susitikimo darbotvarkėje numatomi trys klausimai: ekonominės situacijos aptarimas, Bankų sąjungos (BU) progreso aptarimas bei Kapitalo rinkų sąjunga (CMU). </w:t>
      </w:r>
    </w:p>
    <w:p w:rsidR="00DB10B2" w:rsidRPr="00045371" w:rsidRDefault="00CD2110" w:rsidP="00CD2110">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45371">
        <w:rPr>
          <w:lang w:val="lt-LT"/>
        </w:rPr>
        <w:t>Dėl ekonominės situacijos aptarimo - planuojamas ECB prezidentės Ch. Lagarde pristatymas apie ek</w:t>
      </w:r>
      <w:r w:rsidRPr="00045371">
        <w:rPr>
          <w:lang w:val="lt-LT"/>
        </w:rPr>
        <w:t>o</w:t>
      </w:r>
      <w:r w:rsidRPr="00045371">
        <w:rPr>
          <w:lang w:val="lt-LT"/>
        </w:rPr>
        <w:t>nominę situaciją euro zonoje. Dėl Bankų sąjungos progreso: Slovėnijos pirmininkavimo metu šis kla</w:t>
      </w:r>
      <w:r w:rsidRPr="00045371">
        <w:rPr>
          <w:lang w:val="lt-LT"/>
        </w:rPr>
        <w:t>u</w:t>
      </w:r>
      <w:r w:rsidRPr="00045371">
        <w:rPr>
          <w:lang w:val="lt-LT"/>
        </w:rPr>
        <w:t>simas buvo aptariamas Tarybos aukšto lygio darbo grupėje dėmesį skiriant krizės valdymo ir indėlių draudimo elementams. Dėl Kapitalo rinkų sąjungos:</w:t>
      </w:r>
      <w:r w:rsidR="00464AC8" w:rsidRPr="00045371">
        <w:rPr>
          <w:lang w:val="lt-LT"/>
        </w:rPr>
        <w:t xml:space="preserve"> š</w:t>
      </w:r>
      <w:r w:rsidRPr="00045371">
        <w:rPr>
          <w:lang w:val="lt-LT"/>
        </w:rPr>
        <w:t>. m. lapkričio 25 d. Europos Komisija paskelbė teisinių pasiūlymų paketą, kuriuo siekiama pagerinti įmonių galimybes pritraukti kapitalo visoje ES ir užtikrinti, kad piliečiams būtų prieinami geriausi taupymo ir investavimo sandoriai.</w:t>
      </w:r>
    </w:p>
    <w:p w:rsidR="00DB10B2" w:rsidRPr="00045371" w:rsidRDefault="00DB10B2"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lang w:val="lt-LT"/>
        </w:rPr>
      </w:pP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45371">
        <w:rPr>
          <w:b/>
          <w:u w:val="single"/>
          <w:lang w:val="lt-LT"/>
        </w:rPr>
        <w:t>Lietuvos pozicija:</w:t>
      </w:r>
      <w:r w:rsidRPr="00045371">
        <w:rPr>
          <w:lang w:val="lt-LT"/>
        </w:rPr>
        <w:t xml:space="preserve"> Manome, kad Kapitalo rinkų sąjunga padės sustiprinti Europos finansų sistemą, p</w:t>
      </w:r>
      <w:r w:rsidRPr="00045371">
        <w:rPr>
          <w:lang w:val="lt-LT"/>
        </w:rPr>
        <w:t>a</w:t>
      </w:r>
      <w:r w:rsidRPr="00045371">
        <w:rPr>
          <w:lang w:val="lt-LT"/>
        </w:rPr>
        <w:t>skatins ekonomikos plėtrą bei didins ES konkurencingumą globaliu mastu. Ypač palaikome siekį pad</w:t>
      </w:r>
      <w:r w:rsidRPr="00045371">
        <w:rPr>
          <w:lang w:val="lt-LT"/>
        </w:rPr>
        <w:t>i</w:t>
      </w:r>
      <w:r w:rsidRPr="00045371">
        <w:rPr>
          <w:lang w:val="lt-LT"/>
        </w:rPr>
        <w:t xml:space="preserve">dinti smulkių ir vidutinių įmonių prieigą prie visos ES kapitalo rinkos ir paskatinti ilgalaikes institucinių investuotojų (draudimo įmonių ir bankų) investicijas į ES įmones. </w:t>
      </w:r>
    </w:p>
    <w:p w:rsidR="00DB10B2" w:rsidRPr="00045371" w:rsidRDefault="00DB10B2" w:rsidP="00DB10B2">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045371">
        <w:rPr>
          <w:lang w:val="lt-LT"/>
        </w:rPr>
        <w:t>Lietuva nuosekliai laikosi pozicijos, kad Bankų sąjunga nebus užbaigta, kol neturėsime III Bankų sąju</w:t>
      </w:r>
      <w:r w:rsidRPr="00045371">
        <w:rPr>
          <w:lang w:val="lt-LT"/>
        </w:rPr>
        <w:t>n</w:t>
      </w:r>
      <w:r w:rsidRPr="00045371">
        <w:rPr>
          <w:lang w:val="lt-LT"/>
        </w:rPr>
        <w:t>gos ramsčio – EDIS. EK pirminis pasiūlymas dėl EDIS turėtų būti siekiamas tikslas, prie kurio reikia eiti mažais, bet užtikrintas žingsniais. Pozicija bus tikslinama gavus su svarstomu klausimu susijusius dokumentus.</w:t>
      </w:r>
    </w:p>
    <w:p w:rsidR="00BD6C27" w:rsidRPr="00045371"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sectPr w:rsidR="00BD6C27" w:rsidRPr="00045371" w:rsidSect="004564E8">
      <w:headerReference w:type="default" r:id="rId9"/>
      <w:footerReference w:type="default" r:id="rId10"/>
      <w:headerReference w:type="first" r:id="rId11"/>
      <w:pgSz w:w="11900" w:h="16840"/>
      <w:pgMar w:top="992" w:right="701" w:bottom="567"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18" w:rsidRDefault="00C36718">
      <w:r>
        <w:separator/>
      </w:r>
    </w:p>
  </w:endnote>
  <w:endnote w:type="continuationSeparator" w:id="0">
    <w:p w:rsidR="00C36718" w:rsidRDefault="00C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973B76" w:rsidRDefault="00973B76">
        <w:pPr>
          <w:pStyle w:val="Porat"/>
          <w:jc w:val="right"/>
        </w:pPr>
        <w:r>
          <w:fldChar w:fldCharType="begin"/>
        </w:r>
        <w:r>
          <w:instrText>PAGE   \* MERGEFORMAT</w:instrText>
        </w:r>
        <w:r>
          <w:fldChar w:fldCharType="separate"/>
        </w:r>
        <w:r w:rsidR="005B1655" w:rsidRPr="005B1655">
          <w:rPr>
            <w:noProof/>
            <w:lang w:val="lt-LT"/>
          </w:rPr>
          <w:t>8</w:t>
        </w:r>
        <w:r>
          <w:fldChar w:fldCharType="end"/>
        </w:r>
      </w:p>
    </w:sdtContent>
  </w:sdt>
  <w:p w:rsidR="00973B76" w:rsidRDefault="00973B76">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18" w:rsidRDefault="00C36718">
      <w:r>
        <w:separator/>
      </w:r>
    </w:p>
  </w:footnote>
  <w:footnote w:type="continuationSeparator" w:id="0">
    <w:p w:rsidR="00C36718" w:rsidRDefault="00C36718">
      <w:r>
        <w:continuationSeparator/>
      </w:r>
    </w:p>
  </w:footnote>
  <w:footnote w:id="1">
    <w:p w:rsidR="0083179C" w:rsidRPr="0083179C" w:rsidRDefault="0083179C">
      <w:pPr>
        <w:pStyle w:val="Puslapioinaostekstas"/>
        <w:rPr>
          <w:lang w:val="lt-LT"/>
        </w:rPr>
      </w:pPr>
      <w:r>
        <w:rPr>
          <w:rStyle w:val="Puslapioinaosnuoroda"/>
        </w:rPr>
        <w:footnoteRef/>
      </w:r>
      <w:r>
        <w:t xml:space="preserve"> </w:t>
      </w:r>
      <w:r>
        <w:rPr>
          <w:lang w:val="lt-LT"/>
        </w:rPr>
        <w:t>Sprendimas bus priimtas gruodžio 7 d. ECOFIN posėdyje.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76" w:rsidRDefault="00973B76"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76" w:rsidRPr="0032625D" w:rsidRDefault="00973B76"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973B76" w:rsidRPr="002677AA" w:rsidRDefault="00973B76" w:rsidP="00B03FB8">
    <w:pPr>
      <w:pStyle w:val="BodyA"/>
      <w:tabs>
        <w:tab w:val="center" w:pos="4153"/>
        <w:tab w:val="right" w:pos="8306"/>
      </w:tabs>
      <w:jc w:val="right"/>
      <w:rPr>
        <w:rFonts w:hAnsi="Times New Roman" w:cs="Times New Roman"/>
        <w:i/>
        <w:iCs/>
      </w:rPr>
    </w:pPr>
    <w:r>
      <w:rPr>
        <w:rFonts w:hAnsi="Times New Roman" w:cs="Times New Roman"/>
        <w:i/>
        <w:iCs/>
      </w:rPr>
      <w:t>2021-11-29</w:t>
    </w:r>
  </w:p>
  <w:p w:rsidR="00973B76" w:rsidRDefault="00973B76"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BE7107"/>
    <w:multiLevelType w:val="hybridMultilevel"/>
    <w:tmpl w:val="B0566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5E3D56"/>
    <w:multiLevelType w:val="hybridMultilevel"/>
    <w:tmpl w:val="00C833C4"/>
    <w:lvl w:ilvl="0" w:tplc="08090017">
      <w:start w:val="3"/>
      <w:numFmt w:val="lowerLetter"/>
      <w:lvlText w:val="%1)"/>
      <w:lvlJc w:val="left"/>
      <w:pPr>
        <w:ind w:left="1920" w:hanging="360"/>
      </w:pPr>
      <w:rPr>
        <w:rFonts w:ascii="Times New Roman" w:hAnsi="Times New Roman" w:cs="Times New Roman"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nsid w:val="1E5F555F"/>
    <w:multiLevelType w:val="hybridMultilevel"/>
    <w:tmpl w:val="20C0BE2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2">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nsid w:val="2D1A71B7"/>
    <w:multiLevelType w:val="multilevel"/>
    <w:tmpl w:val="8416B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8531B"/>
    <w:multiLevelType w:val="hybridMultilevel"/>
    <w:tmpl w:val="F4EA69F2"/>
    <w:lvl w:ilvl="0" w:tplc="FD985B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733BB"/>
    <w:multiLevelType w:val="hybridMultilevel"/>
    <w:tmpl w:val="83C8F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9">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0">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3">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4">
    <w:nsid w:val="4A335DF8"/>
    <w:multiLevelType w:val="hybridMultilevel"/>
    <w:tmpl w:val="044ACB24"/>
    <w:lvl w:ilvl="0" w:tplc="0C96469A">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9DC1A83"/>
    <w:multiLevelType w:val="hybridMultilevel"/>
    <w:tmpl w:val="DCFC30F2"/>
    <w:lvl w:ilvl="0" w:tplc="A2E8255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nsid w:val="5E135733"/>
    <w:multiLevelType w:val="hybridMultilevel"/>
    <w:tmpl w:val="03F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0974EC9"/>
    <w:multiLevelType w:val="hybridMultilevel"/>
    <w:tmpl w:val="9944690C"/>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2D9631B"/>
    <w:multiLevelType w:val="multilevel"/>
    <w:tmpl w:val="A29606E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9">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1">
    <w:nsid w:val="6BA7447C"/>
    <w:multiLevelType w:val="hybridMultilevel"/>
    <w:tmpl w:val="2C144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18E307D"/>
    <w:multiLevelType w:val="hybridMultilevel"/>
    <w:tmpl w:val="AC2C8B90"/>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B5E0DBD"/>
    <w:multiLevelType w:val="hybridMultilevel"/>
    <w:tmpl w:val="99F24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7"/>
  </w:num>
  <w:num w:numId="4">
    <w:abstractNumId w:val="19"/>
  </w:num>
  <w:num w:numId="5">
    <w:abstractNumId w:val="22"/>
  </w:num>
  <w:num w:numId="6">
    <w:abstractNumId w:val="23"/>
  </w:num>
  <w:num w:numId="7">
    <w:abstractNumId w:val="5"/>
  </w:num>
  <w:num w:numId="8">
    <w:abstractNumId w:val="1"/>
  </w:num>
  <w:num w:numId="9">
    <w:abstractNumId w:val="2"/>
  </w:num>
  <w:num w:numId="10">
    <w:abstractNumId w:val="18"/>
  </w:num>
  <w:num w:numId="11">
    <w:abstractNumId w:val="12"/>
  </w:num>
  <w:num w:numId="12">
    <w:abstractNumId w:val="30"/>
  </w:num>
  <w:num w:numId="13">
    <w:abstractNumId w:val="11"/>
  </w:num>
  <w:num w:numId="14">
    <w:abstractNumId w:val="20"/>
  </w:num>
  <w:num w:numId="15">
    <w:abstractNumId w:val="29"/>
  </w:num>
  <w:num w:numId="16">
    <w:abstractNumId w:val="0"/>
  </w:num>
  <w:num w:numId="17">
    <w:abstractNumId w:val="4"/>
  </w:num>
  <w:num w:numId="18">
    <w:abstractNumId w:val="6"/>
  </w:num>
  <w:num w:numId="19">
    <w:abstractNumId w:val="3"/>
  </w:num>
  <w:num w:numId="20">
    <w:abstractNumId w:val="21"/>
  </w:num>
  <w:num w:numId="21">
    <w:abstractNumId w:val="33"/>
  </w:num>
  <w:num w:numId="22">
    <w:abstractNumId w:val="32"/>
  </w:num>
  <w:num w:numId="23">
    <w:abstractNumId w:val="15"/>
  </w:num>
  <w:num w:numId="24">
    <w:abstractNumId w:val="27"/>
  </w:num>
  <w:num w:numId="25">
    <w:abstractNumId w:val="16"/>
  </w:num>
  <w:num w:numId="26">
    <w:abstractNumId w:val="14"/>
  </w:num>
  <w:num w:numId="27">
    <w:abstractNumId w:val="28"/>
  </w:num>
  <w:num w:numId="28">
    <w:abstractNumId w:val="25"/>
  </w:num>
  <w:num w:numId="29">
    <w:abstractNumId w:val="24"/>
  </w:num>
  <w:num w:numId="30">
    <w:abstractNumId w:val="7"/>
  </w:num>
  <w:num w:numId="31">
    <w:abstractNumId w:val="8"/>
  </w:num>
  <w:num w:numId="32">
    <w:abstractNumId w:val="26"/>
  </w:num>
  <w:num w:numId="33">
    <w:abstractNumId w:val="31"/>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1539"/>
    <w:rsid w:val="00004B94"/>
    <w:rsid w:val="00007F46"/>
    <w:rsid w:val="00013CD2"/>
    <w:rsid w:val="00013E03"/>
    <w:rsid w:val="0002395C"/>
    <w:rsid w:val="000344E8"/>
    <w:rsid w:val="000355E8"/>
    <w:rsid w:val="000372A7"/>
    <w:rsid w:val="00042697"/>
    <w:rsid w:val="00043E24"/>
    <w:rsid w:val="00045371"/>
    <w:rsid w:val="00046AE0"/>
    <w:rsid w:val="00052A62"/>
    <w:rsid w:val="00056B3C"/>
    <w:rsid w:val="000573E9"/>
    <w:rsid w:val="0007211E"/>
    <w:rsid w:val="00072EDE"/>
    <w:rsid w:val="000742B3"/>
    <w:rsid w:val="00085F32"/>
    <w:rsid w:val="00091F65"/>
    <w:rsid w:val="000B1D35"/>
    <w:rsid w:val="000B28F9"/>
    <w:rsid w:val="000B653F"/>
    <w:rsid w:val="000C1D6B"/>
    <w:rsid w:val="000C1EFA"/>
    <w:rsid w:val="000D6DCF"/>
    <w:rsid w:val="000E1AFB"/>
    <w:rsid w:val="000E685F"/>
    <w:rsid w:val="000F05F0"/>
    <w:rsid w:val="00103467"/>
    <w:rsid w:val="00103D35"/>
    <w:rsid w:val="00105437"/>
    <w:rsid w:val="00106963"/>
    <w:rsid w:val="00117121"/>
    <w:rsid w:val="00125FDD"/>
    <w:rsid w:val="0014282B"/>
    <w:rsid w:val="00151828"/>
    <w:rsid w:val="001546C1"/>
    <w:rsid w:val="00155D7C"/>
    <w:rsid w:val="0015792A"/>
    <w:rsid w:val="00160063"/>
    <w:rsid w:val="00161D1D"/>
    <w:rsid w:val="00162D47"/>
    <w:rsid w:val="00175DFA"/>
    <w:rsid w:val="00177F7C"/>
    <w:rsid w:val="0018542E"/>
    <w:rsid w:val="00185FD2"/>
    <w:rsid w:val="001911B9"/>
    <w:rsid w:val="00191C42"/>
    <w:rsid w:val="00193BC3"/>
    <w:rsid w:val="00195B59"/>
    <w:rsid w:val="00195F60"/>
    <w:rsid w:val="001974E6"/>
    <w:rsid w:val="001A5199"/>
    <w:rsid w:val="001B199F"/>
    <w:rsid w:val="001B387D"/>
    <w:rsid w:val="001B6C4D"/>
    <w:rsid w:val="001B7FB9"/>
    <w:rsid w:val="001C1DFB"/>
    <w:rsid w:val="001C48BB"/>
    <w:rsid w:val="001C7484"/>
    <w:rsid w:val="001D0192"/>
    <w:rsid w:val="001D4843"/>
    <w:rsid w:val="001D54D3"/>
    <w:rsid w:val="001E5D73"/>
    <w:rsid w:val="001F4EB7"/>
    <w:rsid w:val="001F6FB2"/>
    <w:rsid w:val="002023B1"/>
    <w:rsid w:val="00202AB9"/>
    <w:rsid w:val="00204492"/>
    <w:rsid w:val="002064C1"/>
    <w:rsid w:val="00206969"/>
    <w:rsid w:val="0021420F"/>
    <w:rsid w:val="0022359E"/>
    <w:rsid w:val="00223A8C"/>
    <w:rsid w:val="00225CBA"/>
    <w:rsid w:val="00230167"/>
    <w:rsid w:val="00231801"/>
    <w:rsid w:val="002446DC"/>
    <w:rsid w:val="00246A52"/>
    <w:rsid w:val="002471F9"/>
    <w:rsid w:val="00252CC5"/>
    <w:rsid w:val="00260980"/>
    <w:rsid w:val="00265A54"/>
    <w:rsid w:val="002677AA"/>
    <w:rsid w:val="0027305F"/>
    <w:rsid w:val="00273F0F"/>
    <w:rsid w:val="00274F66"/>
    <w:rsid w:val="00286F86"/>
    <w:rsid w:val="00293151"/>
    <w:rsid w:val="00293998"/>
    <w:rsid w:val="00296AC0"/>
    <w:rsid w:val="002A0B19"/>
    <w:rsid w:val="002A483F"/>
    <w:rsid w:val="002A7046"/>
    <w:rsid w:val="002B0C7E"/>
    <w:rsid w:val="002B4A83"/>
    <w:rsid w:val="002C15B7"/>
    <w:rsid w:val="002C1B25"/>
    <w:rsid w:val="002D0C37"/>
    <w:rsid w:val="002D4E19"/>
    <w:rsid w:val="002E12C0"/>
    <w:rsid w:val="002F05FC"/>
    <w:rsid w:val="002F39D0"/>
    <w:rsid w:val="00310122"/>
    <w:rsid w:val="00312DD1"/>
    <w:rsid w:val="0031328A"/>
    <w:rsid w:val="00314CC7"/>
    <w:rsid w:val="00322DEB"/>
    <w:rsid w:val="0032625D"/>
    <w:rsid w:val="00326924"/>
    <w:rsid w:val="00330DCD"/>
    <w:rsid w:val="003339B9"/>
    <w:rsid w:val="00333A2E"/>
    <w:rsid w:val="00333A70"/>
    <w:rsid w:val="00334450"/>
    <w:rsid w:val="003346D0"/>
    <w:rsid w:val="00335ED8"/>
    <w:rsid w:val="00336353"/>
    <w:rsid w:val="00345657"/>
    <w:rsid w:val="00350671"/>
    <w:rsid w:val="0035318E"/>
    <w:rsid w:val="00357286"/>
    <w:rsid w:val="00371E7A"/>
    <w:rsid w:val="00373BAD"/>
    <w:rsid w:val="003743EB"/>
    <w:rsid w:val="00392437"/>
    <w:rsid w:val="0039254C"/>
    <w:rsid w:val="00395A7A"/>
    <w:rsid w:val="003A19FE"/>
    <w:rsid w:val="003A34D7"/>
    <w:rsid w:val="003A3602"/>
    <w:rsid w:val="003B37F3"/>
    <w:rsid w:val="003B616C"/>
    <w:rsid w:val="003C3E6E"/>
    <w:rsid w:val="003C6810"/>
    <w:rsid w:val="003D37FE"/>
    <w:rsid w:val="003E1173"/>
    <w:rsid w:val="003E215F"/>
    <w:rsid w:val="003E2F37"/>
    <w:rsid w:val="003E7D0A"/>
    <w:rsid w:val="003F3A8E"/>
    <w:rsid w:val="003F4233"/>
    <w:rsid w:val="003F4CE0"/>
    <w:rsid w:val="003F58E0"/>
    <w:rsid w:val="00400A9A"/>
    <w:rsid w:val="00402FF8"/>
    <w:rsid w:val="004040C8"/>
    <w:rsid w:val="004053CB"/>
    <w:rsid w:val="00406FB1"/>
    <w:rsid w:val="00410B36"/>
    <w:rsid w:val="00412EE2"/>
    <w:rsid w:val="00415C08"/>
    <w:rsid w:val="00415EE1"/>
    <w:rsid w:val="004226F1"/>
    <w:rsid w:val="00426EF5"/>
    <w:rsid w:val="00427247"/>
    <w:rsid w:val="004339F6"/>
    <w:rsid w:val="0043443E"/>
    <w:rsid w:val="00435181"/>
    <w:rsid w:val="00441440"/>
    <w:rsid w:val="004450FB"/>
    <w:rsid w:val="0044636B"/>
    <w:rsid w:val="00452B2A"/>
    <w:rsid w:val="00453627"/>
    <w:rsid w:val="004564E8"/>
    <w:rsid w:val="004620E7"/>
    <w:rsid w:val="00464AC8"/>
    <w:rsid w:val="00466E3A"/>
    <w:rsid w:val="00477DE6"/>
    <w:rsid w:val="00481C41"/>
    <w:rsid w:val="004826E6"/>
    <w:rsid w:val="00486404"/>
    <w:rsid w:val="00487239"/>
    <w:rsid w:val="004900E0"/>
    <w:rsid w:val="0049509B"/>
    <w:rsid w:val="00495B70"/>
    <w:rsid w:val="004A0199"/>
    <w:rsid w:val="004A21F3"/>
    <w:rsid w:val="004A3298"/>
    <w:rsid w:val="004B0780"/>
    <w:rsid w:val="004B14B1"/>
    <w:rsid w:val="004B217F"/>
    <w:rsid w:val="004B3A64"/>
    <w:rsid w:val="004B5739"/>
    <w:rsid w:val="004B745F"/>
    <w:rsid w:val="004C1051"/>
    <w:rsid w:val="004C2FDC"/>
    <w:rsid w:val="004C5342"/>
    <w:rsid w:val="004D0CA6"/>
    <w:rsid w:val="004D2D5B"/>
    <w:rsid w:val="004D3164"/>
    <w:rsid w:val="004D4A0C"/>
    <w:rsid w:val="004D5797"/>
    <w:rsid w:val="004E41BB"/>
    <w:rsid w:val="004F1EEE"/>
    <w:rsid w:val="004F4076"/>
    <w:rsid w:val="00500E5C"/>
    <w:rsid w:val="00501186"/>
    <w:rsid w:val="00501CE5"/>
    <w:rsid w:val="005107B8"/>
    <w:rsid w:val="0051792A"/>
    <w:rsid w:val="00517C6F"/>
    <w:rsid w:val="00526A83"/>
    <w:rsid w:val="00530736"/>
    <w:rsid w:val="00543C22"/>
    <w:rsid w:val="005454C6"/>
    <w:rsid w:val="0054616A"/>
    <w:rsid w:val="005515EF"/>
    <w:rsid w:val="00552CF7"/>
    <w:rsid w:val="00555975"/>
    <w:rsid w:val="00557D5B"/>
    <w:rsid w:val="00561886"/>
    <w:rsid w:val="00562659"/>
    <w:rsid w:val="005721A0"/>
    <w:rsid w:val="0058519B"/>
    <w:rsid w:val="00585312"/>
    <w:rsid w:val="00587B54"/>
    <w:rsid w:val="00592806"/>
    <w:rsid w:val="00592A92"/>
    <w:rsid w:val="00592EE3"/>
    <w:rsid w:val="0059354C"/>
    <w:rsid w:val="005A5C3B"/>
    <w:rsid w:val="005A71D9"/>
    <w:rsid w:val="005A72B9"/>
    <w:rsid w:val="005B1655"/>
    <w:rsid w:val="005B3FB0"/>
    <w:rsid w:val="005D2460"/>
    <w:rsid w:val="005D3625"/>
    <w:rsid w:val="005D3A86"/>
    <w:rsid w:val="005E025B"/>
    <w:rsid w:val="005E152A"/>
    <w:rsid w:val="005E1990"/>
    <w:rsid w:val="005E2479"/>
    <w:rsid w:val="005E3C27"/>
    <w:rsid w:val="005E52A5"/>
    <w:rsid w:val="005F2600"/>
    <w:rsid w:val="005F59B2"/>
    <w:rsid w:val="005F5DA4"/>
    <w:rsid w:val="00604E4D"/>
    <w:rsid w:val="00614DBA"/>
    <w:rsid w:val="0062431D"/>
    <w:rsid w:val="00625288"/>
    <w:rsid w:val="00627C8B"/>
    <w:rsid w:val="006314EB"/>
    <w:rsid w:val="00632D15"/>
    <w:rsid w:val="00633095"/>
    <w:rsid w:val="00633882"/>
    <w:rsid w:val="006404C7"/>
    <w:rsid w:val="00643536"/>
    <w:rsid w:val="00643B1A"/>
    <w:rsid w:val="0064515B"/>
    <w:rsid w:val="0064611F"/>
    <w:rsid w:val="00646F02"/>
    <w:rsid w:val="006471C4"/>
    <w:rsid w:val="0064735F"/>
    <w:rsid w:val="00651ACB"/>
    <w:rsid w:val="0065356B"/>
    <w:rsid w:val="00661618"/>
    <w:rsid w:val="00664A68"/>
    <w:rsid w:val="00665736"/>
    <w:rsid w:val="006717E4"/>
    <w:rsid w:val="00672A7F"/>
    <w:rsid w:val="00675DEA"/>
    <w:rsid w:val="00682188"/>
    <w:rsid w:val="00682368"/>
    <w:rsid w:val="00682383"/>
    <w:rsid w:val="00690882"/>
    <w:rsid w:val="0069629B"/>
    <w:rsid w:val="006A44FA"/>
    <w:rsid w:val="006A4BF2"/>
    <w:rsid w:val="006B1294"/>
    <w:rsid w:val="006B5BA9"/>
    <w:rsid w:val="006B7251"/>
    <w:rsid w:val="006C4BD2"/>
    <w:rsid w:val="006D01D0"/>
    <w:rsid w:val="006D3067"/>
    <w:rsid w:val="006D35C9"/>
    <w:rsid w:val="006D395F"/>
    <w:rsid w:val="006D53C3"/>
    <w:rsid w:val="006E0687"/>
    <w:rsid w:val="006E6FE9"/>
    <w:rsid w:val="007043A1"/>
    <w:rsid w:val="00704C38"/>
    <w:rsid w:val="00704CBF"/>
    <w:rsid w:val="00710ADC"/>
    <w:rsid w:val="00711AF9"/>
    <w:rsid w:val="00721D4B"/>
    <w:rsid w:val="00724748"/>
    <w:rsid w:val="00724D05"/>
    <w:rsid w:val="00731227"/>
    <w:rsid w:val="007327EE"/>
    <w:rsid w:val="00734DFA"/>
    <w:rsid w:val="00743EDA"/>
    <w:rsid w:val="00752F42"/>
    <w:rsid w:val="00757E6B"/>
    <w:rsid w:val="0076574D"/>
    <w:rsid w:val="00772A9F"/>
    <w:rsid w:val="0077723B"/>
    <w:rsid w:val="007852FE"/>
    <w:rsid w:val="007867D8"/>
    <w:rsid w:val="00790FF5"/>
    <w:rsid w:val="00794FFB"/>
    <w:rsid w:val="00795E46"/>
    <w:rsid w:val="00796238"/>
    <w:rsid w:val="007A0061"/>
    <w:rsid w:val="007A2008"/>
    <w:rsid w:val="007A362E"/>
    <w:rsid w:val="007B0CBF"/>
    <w:rsid w:val="007B14DC"/>
    <w:rsid w:val="007B6B80"/>
    <w:rsid w:val="007B6FDE"/>
    <w:rsid w:val="007C0E1D"/>
    <w:rsid w:val="007C16E0"/>
    <w:rsid w:val="007C752A"/>
    <w:rsid w:val="007D2553"/>
    <w:rsid w:val="007D2C2B"/>
    <w:rsid w:val="007D724A"/>
    <w:rsid w:val="007D7FCE"/>
    <w:rsid w:val="007F27FA"/>
    <w:rsid w:val="007F5B19"/>
    <w:rsid w:val="00807D69"/>
    <w:rsid w:val="00810730"/>
    <w:rsid w:val="00811E87"/>
    <w:rsid w:val="0081679C"/>
    <w:rsid w:val="00816959"/>
    <w:rsid w:val="0082066C"/>
    <w:rsid w:val="00824D30"/>
    <w:rsid w:val="008251D0"/>
    <w:rsid w:val="00825E43"/>
    <w:rsid w:val="00827730"/>
    <w:rsid w:val="00830485"/>
    <w:rsid w:val="0083179C"/>
    <w:rsid w:val="00836630"/>
    <w:rsid w:val="00840B13"/>
    <w:rsid w:val="008419A6"/>
    <w:rsid w:val="00843EAA"/>
    <w:rsid w:val="00844B61"/>
    <w:rsid w:val="0085129B"/>
    <w:rsid w:val="0085316D"/>
    <w:rsid w:val="00856CFA"/>
    <w:rsid w:val="008618CC"/>
    <w:rsid w:val="00862572"/>
    <w:rsid w:val="00864AF3"/>
    <w:rsid w:val="00870012"/>
    <w:rsid w:val="00872C2A"/>
    <w:rsid w:val="00876E32"/>
    <w:rsid w:val="008927D7"/>
    <w:rsid w:val="00895BBA"/>
    <w:rsid w:val="00897D86"/>
    <w:rsid w:val="008B2D75"/>
    <w:rsid w:val="008B6A7B"/>
    <w:rsid w:val="008C07C3"/>
    <w:rsid w:val="008C2331"/>
    <w:rsid w:val="008C3531"/>
    <w:rsid w:val="008C41CD"/>
    <w:rsid w:val="008D674A"/>
    <w:rsid w:val="008D79D4"/>
    <w:rsid w:val="008E3D5A"/>
    <w:rsid w:val="008E4ECC"/>
    <w:rsid w:val="008E5A20"/>
    <w:rsid w:val="008F3873"/>
    <w:rsid w:val="008F726D"/>
    <w:rsid w:val="00901AF5"/>
    <w:rsid w:val="009029E5"/>
    <w:rsid w:val="00902CF9"/>
    <w:rsid w:val="00907CB4"/>
    <w:rsid w:val="0091393B"/>
    <w:rsid w:val="00925EB4"/>
    <w:rsid w:val="009329D1"/>
    <w:rsid w:val="00934773"/>
    <w:rsid w:val="00937DF4"/>
    <w:rsid w:val="009421E7"/>
    <w:rsid w:val="009469ED"/>
    <w:rsid w:val="009518B5"/>
    <w:rsid w:val="00956D02"/>
    <w:rsid w:val="00956EC2"/>
    <w:rsid w:val="00957A35"/>
    <w:rsid w:val="00957F3F"/>
    <w:rsid w:val="0096216E"/>
    <w:rsid w:val="009646B3"/>
    <w:rsid w:val="0096658E"/>
    <w:rsid w:val="00970FB0"/>
    <w:rsid w:val="00973B76"/>
    <w:rsid w:val="0098163A"/>
    <w:rsid w:val="009852AB"/>
    <w:rsid w:val="00987B6A"/>
    <w:rsid w:val="00992EA2"/>
    <w:rsid w:val="00994D2A"/>
    <w:rsid w:val="0099655E"/>
    <w:rsid w:val="0099668A"/>
    <w:rsid w:val="00997764"/>
    <w:rsid w:val="009A0353"/>
    <w:rsid w:val="009A0A41"/>
    <w:rsid w:val="009A1AD9"/>
    <w:rsid w:val="009A52A2"/>
    <w:rsid w:val="009A66CC"/>
    <w:rsid w:val="009A7FD0"/>
    <w:rsid w:val="009B0378"/>
    <w:rsid w:val="009B2048"/>
    <w:rsid w:val="009C14C5"/>
    <w:rsid w:val="009C42AC"/>
    <w:rsid w:val="009C4F5C"/>
    <w:rsid w:val="009C6662"/>
    <w:rsid w:val="009D2464"/>
    <w:rsid w:val="009D446E"/>
    <w:rsid w:val="009E0BC7"/>
    <w:rsid w:val="009E659A"/>
    <w:rsid w:val="009E6C26"/>
    <w:rsid w:val="009F1D77"/>
    <w:rsid w:val="009F3E8B"/>
    <w:rsid w:val="00A01382"/>
    <w:rsid w:val="00A021AC"/>
    <w:rsid w:val="00A0588B"/>
    <w:rsid w:val="00A06580"/>
    <w:rsid w:val="00A15DF7"/>
    <w:rsid w:val="00A31D02"/>
    <w:rsid w:val="00A32B88"/>
    <w:rsid w:val="00A33567"/>
    <w:rsid w:val="00A43544"/>
    <w:rsid w:val="00A44441"/>
    <w:rsid w:val="00A45218"/>
    <w:rsid w:val="00A45CF8"/>
    <w:rsid w:val="00A46E6E"/>
    <w:rsid w:val="00A47BB8"/>
    <w:rsid w:val="00A600FE"/>
    <w:rsid w:val="00A61189"/>
    <w:rsid w:val="00A63AD0"/>
    <w:rsid w:val="00A65258"/>
    <w:rsid w:val="00A70677"/>
    <w:rsid w:val="00A84354"/>
    <w:rsid w:val="00A93E92"/>
    <w:rsid w:val="00AA2659"/>
    <w:rsid w:val="00AA492E"/>
    <w:rsid w:val="00AB07FA"/>
    <w:rsid w:val="00AC2110"/>
    <w:rsid w:val="00AD70B1"/>
    <w:rsid w:val="00AD7E3A"/>
    <w:rsid w:val="00AE4846"/>
    <w:rsid w:val="00AE7F1E"/>
    <w:rsid w:val="00AF16A9"/>
    <w:rsid w:val="00AF1B36"/>
    <w:rsid w:val="00AF7A2A"/>
    <w:rsid w:val="00B03FB8"/>
    <w:rsid w:val="00B0541A"/>
    <w:rsid w:val="00B15B78"/>
    <w:rsid w:val="00B22A5E"/>
    <w:rsid w:val="00B260BC"/>
    <w:rsid w:val="00B51EE3"/>
    <w:rsid w:val="00B521BE"/>
    <w:rsid w:val="00B54308"/>
    <w:rsid w:val="00B57724"/>
    <w:rsid w:val="00B60006"/>
    <w:rsid w:val="00B6006E"/>
    <w:rsid w:val="00B67F14"/>
    <w:rsid w:val="00B70894"/>
    <w:rsid w:val="00B734F9"/>
    <w:rsid w:val="00B736E4"/>
    <w:rsid w:val="00B80982"/>
    <w:rsid w:val="00B841E3"/>
    <w:rsid w:val="00B869E8"/>
    <w:rsid w:val="00B90C15"/>
    <w:rsid w:val="00B9215C"/>
    <w:rsid w:val="00B94E3A"/>
    <w:rsid w:val="00BA186A"/>
    <w:rsid w:val="00BB528B"/>
    <w:rsid w:val="00BB73F2"/>
    <w:rsid w:val="00BD14EF"/>
    <w:rsid w:val="00BD168E"/>
    <w:rsid w:val="00BD2968"/>
    <w:rsid w:val="00BD3FF3"/>
    <w:rsid w:val="00BD4688"/>
    <w:rsid w:val="00BD6C27"/>
    <w:rsid w:val="00BE1AD4"/>
    <w:rsid w:val="00BE299C"/>
    <w:rsid w:val="00BE594D"/>
    <w:rsid w:val="00BF1071"/>
    <w:rsid w:val="00BF4A3E"/>
    <w:rsid w:val="00BF5A28"/>
    <w:rsid w:val="00BF701E"/>
    <w:rsid w:val="00C05559"/>
    <w:rsid w:val="00C132DF"/>
    <w:rsid w:val="00C201F5"/>
    <w:rsid w:val="00C22532"/>
    <w:rsid w:val="00C23CD5"/>
    <w:rsid w:val="00C24B3F"/>
    <w:rsid w:val="00C2568C"/>
    <w:rsid w:val="00C31389"/>
    <w:rsid w:val="00C33F60"/>
    <w:rsid w:val="00C36718"/>
    <w:rsid w:val="00C4623F"/>
    <w:rsid w:val="00C52BEC"/>
    <w:rsid w:val="00C54515"/>
    <w:rsid w:val="00C56B43"/>
    <w:rsid w:val="00C56C82"/>
    <w:rsid w:val="00C61052"/>
    <w:rsid w:val="00C648AF"/>
    <w:rsid w:val="00C65A66"/>
    <w:rsid w:val="00C70241"/>
    <w:rsid w:val="00C70F7A"/>
    <w:rsid w:val="00C72D3C"/>
    <w:rsid w:val="00C842BA"/>
    <w:rsid w:val="00C90D76"/>
    <w:rsid w:val="00C94C3C"/>
    <w:rsid w:val="00CA1F7E"/>
    <w:rsid w:val="00CB3F37"/>
    <w:rsid w:val="00CC48F1"/>
    <w:rsid w:val="00CC7175"/>
    <w:rsid w:val="00CD1F1F"/>
    <w:rsid w:val="00CD2110"/>
    <w:rsid w:val="00CD6507"/>
    <w:rsid w:val="00CE3A1E"/>
    <w:rsid w:val="00CE45B0"/>
    <w:rsid w:val="00CE71D0"/>
    <w:rsid w:val="00CF2346"/>
    <w:rsid w:val="00CF6326"/>
    <w:rsid w:val="00D06073"/>
    <w:rsid w:val="00D06EF6"/>
    <w:rsid w:val="00D07E6A"/>
    <w:rsid w:val="00D20000"/>
    <w:rsid w:val="00D24447"/>
    <w:rsid w:val="00D2769F"/>
    <w:rsid w:val="00D30124"/>
    <w:rsid w:val="00D315D6"/>
    <w:rsid w:val="00D33BCF"/>
    <w:rsid w:val="00D34348"/>
    <w:rsid w:val="00D43CED"/>
    <w:rsid w:val="00D465B8"/>
    <w:rsid w:val="00D534F5"/>
    <w:rsid w:val="00D57067"/>
    <w:rsid w:val="00D652D9"/>
    <w:rsid w:val="00D65D3A"/>
    <w:rsid w:val="00D67DDF"/>
    <w:rsid w:val="00D70147"/>
    <w:rsid w:val="00D73DC0"/>
    <w:rsid w:val="00D767B6"/>
    <w:rsid w:val="00D8006B"/>
    <w:rsid w:val="00D80DED"/>
    <w:rsid w:val="00D9296E"/>
    <w:rsid w:val="00D961D3"/>
    <w:rsid w:val="00DB00C5"/>
    <w:rsid w:val="00DB10B2"/>
    <w:rsid w:val="00DB4E6F"/>
    <w:rsid w:val="00DC1F4E"/>
    <w:rsid w:val="00DC6502"/>
    <w:rsid w:val="00DD2F9F"/>
    <w:rsid w:val="00DE1A38"/>
    <w:rsid w:val="00DE4D5E"/>
    <w:rsid w:val="00DE6884"/>
    <w:rsid w:val="00DF2CDB"/>
    <w:rsid w:val="00DF5114"/>
    <w:rsid w:val="00DF5C7C"/>
    <w:rsid w:val="00E03B47"/>
    <w:rsid w:val="00E0474B"/>
    <w:rsid w:val="00E1240D"/>
    <w:rsid w:val="00E17C1D"/>
    <w:rsid w:val="00E24F35"/>
    <w:rsid w:val="00E45C2F"/>
    <w:rsid w:val="00E47362"/>
    <w:rsid w:val="00E50056"/>
    <w:rsid w:val="00E52328"/>
    <w:rsid w:val="00E55B50"/>
    <w:rsid w:val="00E612E0"/>
    <w:rsid w:val="00E66528"/>
    <w:rsid w:val="00E70A31"/>
    <w:rsid w:val="00E84E3C"/>
    <w:rsid w:val="00E8517B"/>
    <w:rsid w:val="00E87C6E"/>
    <w:rsid w:val="00E91FEC"/>
    <w:rsid w:val="00E949DE"/>
    <w:rsid w:val="00EA3DB2"/>
    <w:rsid w:val="00EA7709"/>
    <w:rsid w:val="00EB5F90"/>
    <w:rsid w:val="00EB6A16"/>
    <w:rsid w:val="00EC2021"/>
    <w:rsid w:val="00ED2869"/>
    <w:rsid w:val="00ED523A"/>
    <w:rsid w:val="00ED5B56"/>
    <w:rsid w:val="00EE02FE"/>
    <w:rsid w:val="00EE0782"/>
    <w:rsid w:val="00EE0A8F"/>
    <w:rsid w:val="00EE1216"/>
    <w:rsid w:val="00EF0DF3"/>
    <w:rsid w:val="00EF3536"/>
    <w:rsid w:val="00EF39C4"/>
    <w:rsid w:val="00F0025C"/>
    <w:rsid w:val="00F017FA"/>
    <w:rsid w:val="00F06A46"/>
    <w:rsid w:val="00F13EFA"/>
    <w:rsid w:val="00F1429B"/>
    <w:rsid w:val="00F1580F"/>
    <w:rsid w:val="00F15F69"/>
    <w:rsid w:val="00F225D5"/>
    <w:rsid w:val="00F23079"/>
    <w:rsid w:val="00F40E6E"/>
    <w:rsid w:val="00F54874"/>
    <w:rsid w:val="00F56596"/>
    <w:rsid w:val="00F631C4"/>
    <w:rsid w:val="00F6555B"/>
    <w:rsid w:val="00F67B44"/>
    <w:rsid w:val="00F73B42"/>
    <w:rsid w:val="00F85FA9"/>
    <w:rsid w:val="00F95313"/>
    <w:rsid w:val="00F97DFD"/>
    <w:rsid w:val="00FA14A7"/>
    <w:rsid w:val="00FB0EDF"/>
    <w:rsid w:val="00FB366D"/>
    <w:rsid w:val="00FB3B4C"/>
    <w:rsid w:val="00FB5FC9"/>
    <w:rsid w:val="00FC00D9"/>
    <w:rsid w:val="00FC3B44"/>
    <w:rsid w:val="00FC6C35"/>
    <w:rsid w:val="00FD20F3"/>
    <w:rsid w:val="00FD34ED"/>
    <w:rsid w:val="00FD429F"/>
    <w:rsid w:val="00FD757A"/>
    <w:rsid w:val="00FE389A"/>
    <w:rsid w:val="00FE4C59"/>
    <w:rsid w:val="00FE5121"/>
    <w:rsid w:val="00FF138C"/>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1C7484"/>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列出段落"/>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 w:type="character" w:customStyle="1" w:styleId="jlqj4b">
    <w:name w:val="jlqj4b"/>
    <w:basedOn w:val="Numatytasispastraiposriftas"/>
    <w:rsid w:val="00973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1C7484"/>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列出段落"/>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 w:type="character" w:customStyle="1" w:styleId="jlqj4b">
    <w:name w:val="jlqj4b"/>
    <w:basedOn w:val="Numatytasispastraiposriftas"/>
    <w:rsid w:val="0097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4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67E4-2684-49B5-890B-BA7CE9F2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23315</Words>
  <Characters>13290</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2</cp:revision>
  <dcterms:created xsi:type="dcterms:W3CDTF">2021-11-29T14:59:00Z</dcterms:created>
  <dcterms:modified xsi:type="dcterms:W3CDTF">2021-11-29T14:59:00Z</dcterms:modified>
</cp:coreProperties>
</file>