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71" w:rsidRDefault="00B161E5" w:rsidP="00B161E5">
      <w:pPr>
        <w:tabs>
          <w:tab w:val="left" w:pos="524"/>
          <w:tab w:val="center" w:pos="7568"/>
        </w:tabs>
        <w:spacing w:after="0" w:line="240" w:lineRule="auto"/>
        <w:jc w:val="center"/>
        <w:rPr>
          <w:b/>
        </w:rPr>
      </w:pPr>
      <w:r>
        <w:rPr>
          <w:rFonts w:cs="Times New Roman"/>
          <w:b/>
          <w:szCs w:val="24"/>
        </w:rPr>
        <w:t>LIETUVOS RESPUBLIKOS FINANSŲ MINISTERIJA</w:t>
      </w:r>
    </w:p>
    <w:p w:rsidR="00483643" w:rsidRDefault="00483643" w:rsidP="00B161E5">
      <w:pPr>
        <w:tabs>
          <w:tab w:val="left" w:pos="524"/>
          <w:tab w:val="center" w:pos="7568"/>
        </w:tabs>
        <w:spacing w:after="0" w:line="240" w:lineRule="auto"/>
        <w:jc w:val="center"/>
        <w:rPr>
          <w:b/>
        </w:rPr>
      </w:pPr>
    </w:p>
    <w:p w:rsidR="00DC2471" w:rsidRDefault="00DC2471" w:rsidP="000F2CF3">
      <w:pPr>
        <w:tabs>
          <w:tab w:val="left" w:pos="524"/>
          <w:tab w:val="center" w:pos="7568"/>
        </w:tabs>
        <w:spacing w:after="0" w:line="240" w:lineRule="auto"/>
        <w:jc w:val="center"/>
        <w:rPr>
          <w:b/>
        </w:rPr>
      </w:pPr>
      <w:r w:rsidRPr="00F80347">
        <w:rPr>
          <w:b/>
        </w:rPr>
        <w:t>2020 M. PRIEMONIŲ FINANSINIŲ TECHNOLOGIJŲ (FINTECH) INDUSTRIJOS PLĖTRAI LIETUVOJE SKATINTI PLAN</w:t>
      </w:r>
      <w:r w:rsidR="00983FFE">
        <w:rPr>
          <w:b/>
        </w:rPr>
        <w:t xml:space="preserve">O </w:t>
      </w:r>
      <w:r w:rsidR="007D5407">
        <w:rPr>
          <w:b/>
        </w:rPr>
        <w:t>ĮGYVENDINIMO ATASKAITA</w:t>
      </w:r>
    </w:p>
    <w:p w:rsidR="0012416D" w:rsidRDefault="0012416D" w:rsidP="00B161E5">
      <w:pPr>
        <w:spacing w:after="0" w:line="240" w:lineRule="auto"/>
        <w:jc w:val="center"/>
        <w:rPr>
          <w:b/>
        </w:rPr>
      </w:pPr>
    </w:p>
    <w:p w:rsidR="0012416D" w:rsidRPr="000F2CF3" w:rsidRDefault="0012416D" w:rsidP="000F2CF3">
      <w:pPr>
        <w:spacing w:after="0" w:line="240" w:lineRule="auto"/>
        <w:jc w:val="center"/>
      </w:pPr>
      <w:r w:rsidRPr="000F2CF3">
        <w:t xml:space="preserve">2021 m. </w:t>
      </w:r>
      <w:r w:rsidR="000F2CF3">
        <w:t>kovo</w:t>
      </w:r>
      <w:r w:rsidRPr="000F2CF3">
        <w:t xml:space="preserve"> </w:t>
      </w:r>
      <w:r w:rsidR="000F2CF3">
        <w:t>2</w:t>
      </w:r>
      <w:r w:rsidR="001C3998">
        <w:t>5</w:t>
      </w:r>
      <w:r w:rsidR="000F2CF3">
        <w:t xml:space="preserve"> </w:t>
      </w:r>
      <w:r w:rsidRPr="000F2CF3">
        <w:t>d. Nr.</w:t>
      </w:r>
    </w:p>
    <w:p w:rsidR="0012416D" w:rsidRPr="00B161E5" w:rsidRDefault="0012416D" w:rsidP="000F2CF3">
      <w:pPr>
        <w:spacing w:after="0" w:line="240" w:lineRule="auto"/>
        <w:jc w:val="center"/>
      </w:pPr>
      <w:r w:rsidRPr="00B161E5">
        <w:t>Vilnius</w:t>
      </w:r>
    </w:p>
    <w:p w:rsidR="0012416D" w:rsidRPr="00B161E5" w:rsidRDefault="0012416D" w:rsidP="000F2CF3">
      <w:pPr>
        <w:spacing w:after="0" w:line="240" w:lineRule="auto"/>
        <w:jc w:val="center"/>
        <w:rPr>
          <w:b/>
          <w:lang w:val="en-US"/>
        </w:rPr>
      </w:pPr>
    </w:p>
    <w:tbl>
      <w:tblPr>
        <w:tblStyle w:val="Lentelstinklelis"/>
        <w:tblW w:w="14601" w:type="dxa"/>
        <w:tblLayout w:type="fixed"/>
        <w:tblLook w:val="04A0" w:firstRow="1" w:lastRow="0" w:firstColumn="1" w:lastColumn="0" w:noHBand="0" w:noVBand="1"/>
      </w:tblPr>
      <w:tblGrid>
        <w:gridCol w:w="3402"/>
        <w:gridCol w:w="2694"/>
        <w:gridCol w:w="1559"/>
        <w:gridCol w:w="2234"/>
        <w:gridCol w:w="4712"/>
      </w:tblGrid>
      <w:tr w:rsidR="00DC2471" w:rsidRPr="00C77F16" w:rsidTr="00C77F16">
        <w:trPr>
          <w:trHeight w:val="300"/>
        </w:trPr>
        <w:tc>
          <w:tcPr>
            <w:tcW w:w="3402" w:type="dxa"/>
            <w:shd w:val="clear" w:color="auto" w:fill="BFBFBF" w:themeFill="background1" w:themeFillShade="BF"/>
            <w:vAlign w:val="center"/>
            <w:hideMark/>
          </w:tcPr>
          <w:p w:rsidR="00DC2471" w:rsidRPr="00C77F16" w:rsidRDefault="00DC2471" w:rsidP="00DC2471">
            <w:pPr>
              <w:jc w:val="center"/>
              <w:rPr>
                <w:rFonts w:eastAsia="Times New Roman" w:cs="Times New Roman"/>
                <w:b/>
                <w:bCs/>
                <w:color w:val="000000"/>
                <w:sz w:val="22"/>
                <w:lang w:eastAsia="lt-LT"/>
              </w:rPr>
            </w:pPr>
            <w:r w:rsidRPr="00C77F16">
              <w:rPr>
                <w:rFonts w:eastAsia="Times New Roman" w:cs="Times New Roman"/>
                <w:b/>
                <w:bCs/>
                <w:color w:val="000000"/>
                <w:sz w:val="22"/>
                <w:lang w:eastAsia="lt-LT"/>
              </w:rPr>
              <w:t>Priemonė</w:t>
            </w:r>
          </w:p>
        </w:tc>
        <w:tc>
          <w:tcPr>
            <w:tcW w:w="2694" w:type="dxa"/>
            <w:shd w:val="clear" w:color="auto" w:fill="BFBFBF" w:themeFill="background1" w:themeFillShade="BF"/>
            <w:vAlign w:val="center"/>
            <w:hideMark/>
          </w:tcPr>
          <w:p w:rsidR="00DC2471" w:rsidRPr="00C77F16" w:rsidRDefault="00DC2471" w:rsidP="00DC2471">
            <w:pPr>
              <w:jc w:val="center"/>
              <w:rPr>
                <w:rFonts w:eastAsia="Times New Roman" w:cs="Times New Roman"/>
                <w:b/>
                <w:bCs/>
                <w:color w:val="000000"/>
                <w:sz w:val="22"/>
                <w:lang w:eastAsia="lt-LT"/>
              </w:rPr>
            </w:pPr>
            <w:r w:rsidRPr="00C77F16">
              <w:rPr>
                <w:rFonts w:eastAsia="Times New Roman" w:cs="Times New Roman"/>
                <w:b/>
                <w:bCs/>
                <w:color w:val="000000"/>
                <w:sz w:val="22"/>
                <w:lang w:eastAsia="lt-LT"/>
              </w:rPr>
              <w:t>Sudėtinis priemonės darbas</w:t>
            </w:r>
          </w:p>
        </w:tc>
        <w:tc>
          <w:tcPr>
            <w:tcW w:w="1559" w:type="dxa"/>
            <w:shd w:val="clear" w:color="auto" w:fill="BFBFBF" w:themeFill="background1" w:themeFillShade="BF"/>
            <w:vAlign w:val="center"/>
            <w:hideMark/>
          </w:tcPr>
          <w:p w:rsidR="00DC2471" w:rsidRPr="00C77F16" w:rsidRDefault="00DC2471" w:rsidP="00DC2471">
            <w:pPr>
              <w:jc w:val="center"/>
              <w:rPr>
                <w:rFonts w:eastAsia="Times New Roman" w:cs="Times New Roman"/>
                <w:b/>
                <w:bCs/>
                <w:color w:val="000000"/>
                <w:sz w:val="22"/>
                <w:lang w:eastAsia="lt-LT"/>
              </w:rPr>
            </w:pPr>
            <w:r w:rsidRPr="00C77F16">
              <w:rPr>
                <w:rFonts w:eastAsia="Times New Roman" w:cs="Times New Roman"/>
                <w:b/>
                <w:bCs/>
                <w:color w:val="000000"/>
                <w:sz w:val="22"/>
                <w:lang w:eastAsia="lt-LT"/>
              </w:rPr>
              <w:t>Įgyvendinimo terminas</w:t>
            </w:r>
          </w:p>
        </w:tc>
        <w:tc>
          <w:tcPr>
            <w:tcW w:w="2234" w:type="dxa"/>
            <w:shd w:val="clear" w:color="auto" w:fill="BFBFBF" w:themeFill="background1" w:themeFillShade="BF"/>
            <w:vAlign w:val="center"/>
            <w:hideMark/>
          </w:tcPr>
          <w:p w:rsidR="00DC2471" w:rsidRPr="00C77F16" w:rsidRDefault="00DC2471" w:rsidP="00DC2471">
            <w:pPr>
              <w:jc w:val="center"/>
              <w:rPr>
                <w:rFonts w:eastAsia="Times New Roman" w:cs="Times New Roman"/>
                <w:b/>
                <w:bCs/>
                <w:color w:val="000000"/>
                <w:sz w:val="22"/>
                <w:lang w:eastAsia="lt-LT"/>
              </w:rPr>
            </w:pPr>
            <w:r w:rsidRPr="00C77F16">
              <w:rPr>
                <w:rFonts w:eastAsia="Times New Roman" w:cs="Times New Roman"/>
                <w:b/>
                <w:bCs/>
                <w:color w:val="000000"/>
                <w:sz w:val="22"/>
                <w:lang w:eastAsia="lt-LT"/>
              </w:rPr>
              <w:t>Atsakingos institucijos</w:t>
            </w:r>
          </w:p>
        </w:tc>
        <w:tc>
          <w:tcPr>
            <w:tcW w:w="4712" w:type="dxa"/>
            <w:shd w:val="clear" w:color="auto" w:fill="BFBFBF" w:themeFill="background1" w:themeFillShade="BF"/>
            <w:vAlign w:val="center"/>
            <w:hideMark/>
          </w:tcPr>
          <w:p w:rsidR="00DC2471" w:rsidRPr="00C77F16" w:rsidRDefault="00DC2471" w:rsidP="00C77F16">
            <w:pPr>
              <w:jc w:val="center"/>
              <w:rPr>
                <w:rFonts w:eastAsia="Times New Roman" w:cs="Times New Roman"/>
                <w:b/>
                <w:bCs/>
                <w:color w:val="000000"/>
                <w:sz w:val="22"/>
                <w:lang w:eastAsia="lt-LT"/>
              </w:rPr>
            </w:pPr>
            <w:r w:rsidRPr="00C77F16">
              <w:rPr>
                <w:rFonts w:eastAsia="Times New Roman" w:cs="Times New Roman"/>
                <w:b/>
                <w:bCs/>
                <w:color w:val="000000"/>
                <w:sz w:val="22"/>
                <w:lang w:eastAsia="lt-LT"/>
              </w:rPr>
              <w:t>Įgyvendinimas</w:t>
            </w:r>
          </w:p>
        </w:tc>
      </w:tr>
      <w:tr w:rsidR="00DC2471" w:rsidRPr="00C77F16" w:rsidTr="00C77F16">
        <w:trPr>
          <w:trHeight w:val="510"/>
        </w:trPr>
        <w:tc>
          <w:tcPr>
            <w:tcW w:w="14601" w:type="dxa"/>
            <w:gridSpan w:val="5"/>
            <w:shd w:val="clear" w:color="auto" w:fill="D9D9D9" w:themeFill="background1" w:themeFillShade="D9"/>
            <w:vAlign w:val="center"/>
            <w:hideMark/>
          </w:tcPr>
          <w:p w:rsidR="00DC2471" w:rsidRPr="00C77F16" w:rsidRDefault="00DC2471" w:rsidP="00C77F16">
            <w:pPr>
              <w:jc w:val="center"/>
              <w:rPr>
                <w:rFonts w:eastAsia="Times New Roman" w:cs="Times New Roman"/>
                <w:b/>
                <w:bCs/>
                <w:i/>
                <w:iCs/>
                <w:color w:val="000000"/>
                <w:sz w:val="22"/>
                <w:lang w:eastAsia="lt-LT"/>
              </w:rPr>
            </w:pPr>
            <w:r w:rsidRPr="00C77F16">
              <w:rPr>
                <w:rFonts w:eastAsia="Times New Roman" w:cs="Times New Roman"/>
                <w:b/>
                <w:bCs/>
                <w:i/>
                <w:iCs/>
                <w:color w:val="000000"/>
                <w:sz w:val="22"/>
                <w:lang w:eastAsia="lt-LT"/>
              </w:rPr>
              <w:t>1 užduotis. Sutelkti institucijų veiksmus, siekiant plėtoti FINTECH įmonėms palankią aplinką</w:t>
            </w:r>
          </w:p>
        </w:tc>
      </w:tr>
      <w:tr w:rsidR="00DC2471" w:rsidRPr="00C77F16" w:rsidTr="0073531F">
        <w:trPr>
          <w:trHeight w:val="3465"/>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t>1.1. Dalyvauti Seimo posėdžiuose ir rengti visą reikalingą informaciją, kol bus priimtas Lietuvos Respublikos pinigų plovimo ir teroristų finansavimo prevencijos įstatymo Nr. VIII-275 10 ir 11 straipsnių pakeitimo įstatymo projektas, kuriuo siekiama numatyti galimybę finansų įstaigoms ir kitiems įpareigotiems subjektams naudoti Europos ekonominės erdvės valstybėje išduotą vairuotojo pažymėjimą ir jame esančius duomenis nustatant kliento tapatybę pagal Pinigų plovimo ir teroristų finansavimo prevencijos įstatymą</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Pagal poreikį</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Finansų ministerija, Lietuvos bankas, Finansinių nusikaltimų tyrimo tarnyba prie Vidaus reikalų ministerijos, Vidaus reikalų ministerija</w:t>
            </w:r>
          </w:p>
        </w:tc>
        <w:tc>
          <w:tcPr>
            <w:tcW w:w="4712" w:type="dxa"/>
            <w:hideMark/>
          </w:tcPr>
          <w:p w:rsidR="00DC2471" w:rsidRPr="00C77F16" w:rsidRDefault="00DC2471" w:rsidP="0073531F">
            <w:pPr>
              <w:jc w:val="both"/>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Pr="00C77F16">
              <w:rPr>
                <w:rFonts w:eastAsia="Times New Roman" w:cs="Times New Roman"/>
                <w:color w:val="000000"/>
                <w:sz w:val="22"/>
                <w:lang w:eastAsia="lt-LT"/>
              </w:rPr>
              <w:br/>
            </w:r>
            <w:r w:rsidR="00716F89" w:rsidRPr="00C77F16">
              <w:rPr>
                <w:rFonts w:eastAsia="Times New Roman" w:cs="Times New Roman"/>
                <w:color w:val="000000"/>
                <w:sz w:val="22"/>
                <w:lang w:eastAsia="lt-LT"/>
              </w:rPr>
              <w:t>2020-12-10 priimtas Lietuvos Respublikos pinigų plovimo ir teroristų finansavimo prevencijos įstatymo Nr. VIII-275 10 ir 11 straipsnių pakeitimo įstatymas</w:t>
            </w:r>
            <w:r w:rsidR="006352AE">
              <w:rPr>
                <w:rFonts w:eastAsia="Times New Roman" w:cs="Times New Roman"/>
                <w:color w:val="000000"/>
                <w:sz w:val="22"/>
                <w:lang w:eastAsia="lt-LT"/>
              </w:rPr>
              <w:t xml:space="preserve"> (</w:t>
            </w:r>
            <w:hyperlink r:id="rId7" w:history="1">
              <w:r w:rsidR="006352AE" w:rsidRPr="00C77F16">
                <w:rPr>
                  <w:rStyle w:val="Hipersaitas"/>
                  <w:rFonts w:eastAsia="Times New Roman" w:cs="Times New Roman"/>
                  <w:sz w:val="22"/>
                  <w:lang w:eastAsia="lt-LT"/>
                </w:rPr>
                <w:t>https://www.e-tar.lt/portal/lt/legalAct/4269a430406b11eb8d9fe110e148c770</w:t>
              </w:r>
            </w:hyperlink>
            <w:r w:rsidR="006352AE">
              <w:rPr>
                <w:rStyle w:val="Hipersaitas"/>
                <w:rFonts w:eastAsia="Times New Roman" w:cs="Times New Roman"/>
                <w:sz w:val="22"/>
                <w:lang w:eastAsia="lt-LT"/>
              </w:rPr>
              <w:t>)</w:t>
            </w:r>
            <w:r w:rsidR="00716F89" w:rsidRPr="00C77F16">
              <w:rPr>
                <w:rFonts w:eastAsia="Times New Roman" w:cs="Times New Roman"/>
                <w:color w:val="000000"/>
                <w:sz w:val="22"/>
                <w:lang w:eastAsia="lt-LT"/>
              </w:rPr>
              <w:t>, kuriuo f</w:t>
            </w:r>
            <w:r w:rsidRPr="00C77F16">
              <w:rPr>
                <w:rFonts w:eastAsia="Times New Roman" w:cs="Times New Roman"/>
                <w:color w:val="000000"/>
                <w:sz w:val="22"/>
                <w:lang w:eastAsia="lt-LT"/>
              </w:rPr>
              <w:t>inansų įstaigoms ir kitiems įpareigotie</w:t>
            </w:r>
            <w:r w:rsidR="00716F89" w:rsidRPr="00C77F16">
              <w:rPr>
                <w:rFonts w:eastAsia="Times New Roman" w:cs="Times New Roman"/>
                <w:color w:val="000000"/>
                <w:sz w:val="22"/>
                <w:lang w:eastAsia="lt-LT"/>
              </w:rPr>
              <w:t>sie</w:t>
            </w:r>
            <w:r w:rsidRPr="00C77F16">
              <w:rPr>
                <w:rFonts w:eastAsia="Times New Roman" w:cs="Times New Roman"/>
                <w:color w:val="000000"/>
                <w:sz w:val="22"/>
                <w:lang w:eastAsia="lt-LT"/>
              </w:rPr>
              <w:t xml:space="preserve">ms subjektams </w:t>
            </w:r>
            <w:r w:rsidR="00716F89" w:rsidRPr="00C77F16">
              <w:rPr>
                <w:rFonts w:eastAsia="Times New Roman" w:cs="Times New Roman"/>
                <w:color w:val="000000"/>
                <w:sz w:val="22"/>
                <w:lang w:eastAsia="lt-LT"/>
              </w:rPr>
              <w:t xml:space="preserve">sudarytos galimybės kliento tapatybei nustatyti </w:t>
            </w:r>
            <w:r w:rsidRPr="00C77F16">
              <w:rPr>
                <w:rFonts w:eastAsia="Times New Roman" w:cs="Times New Roman"/>
                <w:color w:val="000000"/>
                <w:sz w:val="22"/>
                <w:lang w:eastAsia="lt-LT"/>
              </w:rPr>
              <w:t>naudoti 2006 m. gruodžio 20 d. Europos Parlamento ir Tarybos direktyvos 2006/126/EB dėl vairuotojo pažymėjimų I priede nustatytus reikalavimus atitinkantį Europos ekonominės erdvės valstybėje išduotą vairuotojo pažymėjimą</w:t>
            </w:r>
            <w:r w:rsidR="00716F89" w:rsidRPr="00C77F16">
              <w:rPr>
                <w:rFonts w:eastAsia="Times New Roman" w:cs="Times New Roman"/>
                <w:color w:val="000000"/>
                <w:sz w:val="22"/>
                <w:lang w:eastAsia="lt-LT"/>
              </w:rPr>
              <w:t xml:space="preserve">. </w:t>
            </w:r>
          </w:p>
        </w:tc>
      </w:tr>
      <w:tr w:rsidR="00DC2471" w:rsidRPr="00C77F16" w:rsidTr="0073531F">
        <w:trPr>
          <w:trHeight w:val="1965"/>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t>1.2. Dalyvauti Seimo posėdžiuose ir rengti visą reikalingą informaciją, kol bus priimtas Lietuvos Respublikos vartojimo kredito įstatymo Nr. XI-1253 2 straipsnio pakeitimo įstatymo projektas, kuris leistų teikti paskolas juridiniams asmenims naudojantis tarpusavio skolinimo platformos operatorių paslaugomis</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Pagal poreikį</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Finansų ministerija, Lietuvos bankas</w:t>
            </w:r>
          </w:p>
        </w:tc>
        <w:tc>
          <w:tcPr>
            <w:tcW w:w="4712" w:type="dxa"/>
            <w:hideMark/>
          </w:tcPr>
          <w:p w:rsidR="00D7552E" w:rsidRPr="00C77F16" w:rsidRDefault="00DC2471" w:rsidP="0073531F">
            <w:pPr>
              <w:jc w:val="both"/>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Pr="00C77F16">
              <w:rPr>
                <w:rFonts w:eastAsia="Times New Roman" w:cs="Times New Roman"/>
                <w:color w:val="000000"/>
                <w:sz w:val="22"/>
                <w:lang w:eastAsia="lt-LT"/>
              </w:rPr>
              <w:br/>
            </w:r>
            <w:r w:rsidR="00D7552E" w:rsidRPr="00C77F16">
              <w:rPr>
                <w:rFonts w:eastAsia="Times New Roman" w:cs="Times New Roman"/>
                <w:color w:val="000000"/>
                <w:sz w:val="22"/>
                <w:lang w:eastAsia="lt-LT"/>
              </w:rPr>
              <w:t>2020-12-15 priimtas</w:t>
            </w:r>
            <w:r w:rsidRPr="00C77F16">
              <w:rPr>
                <w:rFonts w:eastAsia="Times New Roman" w:cs="Times New Roman"/>
                <w:color w:val="000000"/>
                <w:sz w:val="22"/>
                <w:lang w:eastAsia="lt-LT"/>
              </w:rPr>
              <w:t xml:space="preserve"> Lietuvos Respublikos vartojimo kredito įstatymo Nr. XI-1253 2 straipsn</w:t>
            </w:r>
            <w:r w:rsidR="00D7552E" w:rsidRPr="00C77F16">
              <w:rPr>
                <w:rFonts w:eastAsia="Times New Roman" w:cs="Times New Roman"/>
                <w:color w:val="000000"/>
                <w:sz w:val="22"/>
                <w:lang w:eastAsia="lt-LT"/>
              </w:rPr>
              <w:t>io pakeitimo įstatymas</w:t>
            </w:r>
            <w:r w:rsidR="006352AE">
              <w:rPr>
                <w:rFonts w:eastAsia="Times New Roman" w:cs="Times New Roman"/>
                <w:color w:val="000000"/>
                <w:sz w:val="22"/>
                <w:lang w:eastAsia="lt-LT"/>
              </w:rPr>
              <w:t xml:space="preserve"> (</w:t>
            </w:r>
            <w:hyperlink r:id="rId8" w:history="1">
              <w:r w:rsidR="006352AE" w:rsidRPr="00C77F16">
                <w:rPr>
                  <w:rStyle w:val="Hipersaitas"/>
                  <w:rFonts w:eastAsia="Times New Roman" w:cs="Times New Roman"/>
                  <w:sz w:val="22"/>
                  <w:lang w:eastAsia="lt-LT"/>
                </w:rPr>
                <w:t>https://www.e-tar.lt/portal/lt/legalAct/b3d1d860443d11eb8d9fe110e148c770</w:t>
              </w:r>
            </w:hyperlink>
            <w:r w:rsidR="006352AE">
              <w:rPr>
                <w:rStyle w:val="Hipersaitas"/>
                <w:rFonts w:eastAsia="Times New Roman" w:cs="Times New Roman"/>
                <w:sz w:val="22"/>
                <w:lang w:eastAsia="lt-LT"/>
              </w:rPr>
              <w:t>)</w:t>
            </w:r>
            <w:r w:rsidR="00D7552E" w:rsidRPr="00C77F16">
              <w:rPr>
                <w:rFonts w:eastAsia="Times New Roman" w:cs="Times New Roman"/>
                <w:color w:val="000000"/>
                <w:sz w:val="22"/>
                <w:lang w:eastAsia="lt-LT"/>
              </w:rPr>
              <w:t>, kuriuo panaikintas apribojimas juridiniams asmenims skolinti per tarpusavio skolinimo platformas.</w:t>
            </w:r>
          </w:p>
          <w:p w:rsidR="00D7552E" w:rsidRPr="00C77F16" w:rsidRDefault="00D7552E" w:rsidP="0073531F">
            <w:pPr>
              <w:jc w:val="both"/>
              <w:rPr>
                <w:rFonts w:eastAsia="Times New Roman" w:cs="Times New Roman"/>
                <w:color w:val="000000"/>
                <w:sz w:val="22"/>
                <w:lang w:eastAsia="lt-LT"/>
              </w:rPr>
            </w:pPr>
          </w:p>
          <w:p w:rsidR="00DC2471" w:rsidRPr="00C77F16" w:rsidRDefault="00DC2471" w:rsidP="0073531F">
            <w:pPr>
              <w:jc w:val="both"/>
              <w:rPr>
                <w:rFonts w:eastAsia="Times New Roman" w:cs="Times New Roman"/>
                <w:color w:val="000000"/>
                <w:sz w:val="22"/>
                <w:lang w:eastAsia="lt-LT"/>
              </w:rPr>
            </w:pPr>
          </w:p>
        </w:tc>
      </w:tr>
      <w:tr w:rsidR="00DC2471" w:rsidRPr="00C77F16" w:rsidTr="0073531F">
        <w:trPr>
          <w:trHeight w:val="1125"/>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lastRenderedPageBreak/>
              <w:t>1.3. Siūlyti Lietuvos bankui parengti poziciją dėl elektroninių pinigų ir mokėjimų įstaigų teisės naudotis kredito įstaigose atidarytomis mokėjimo sąskaitomis</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IV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Lietuvos bankas</w:t>
            </w:r>
          </w:p>
        </w:tc>
        <w:tc>
          <w:tcPr>
            <w:tcW w:w="4712" w:type="dxa"/>
            <w:hideMark/>
          </w:tcPr>
          <w:p w:rsidR="00DC2471" w:rsidRPr="00C77F16" w:rsidRDefault="00DC2471" w:rsidP="0073531F">
            <w:pPr>
              <w:jc w:val="both"/>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Pr="00C77F16">
              <w:rPr>
                <w:rFonts w:eastAsia="Times New Roman" w:cs="Times New Roman"/>
                <w:color w:val="000000"/>
                <w:sz w:val="22"/>
                <w:lang w:eastAsia="lt-LT"/>
              </w:rPr>
              <w:br/>
              <w:t xml:space="preserve">Lietuvos bankas 2020 m. gegužės 25 d. parengė ir patvirtino poziciją dėl elektroninių pinigų įstaigų ir mokėjimo įstaigų teisės naudotis kredito įstaigose atidarytomis banko sąskaitomis. Pozicija: </w:t>
            </w:r>
            <w:hyperlink r:id="rId9" w:history="1">
              <w:r w:rsidRPr="00C77F16">
                <w:rPr>
                  <w:rStyle w:val="Hipersaitas"/>
                  <w:rFonts w:eastAsia="Times New Roman" w:cs="Times New Roman"/>
                  <w:sz w:val="22"/>
                  <w:lang w:eastAsia="lt-LT"/>
                </w:rPr>
                <w:t>https://www.lb.lt/lt/naujienos/bankams-gaires-del-saskaitu-elektroniniu-pinigu-ir-mokejimo-istaigoms-atidarymo</w:t>
              </w:r>
            </w:hyperlink>
            <w:r w:rsidR="00B6158F">
              <w:rPr>
                <w:rStyle w:val="Hipersaitas"/>
                <w:rFonts w:eastAsia="Times New Roman" w:cs="Times New Roman"/>
                <w:sz w:val="22"/>
                <w:lang w:eastAsia="lt-LT"/>
              </w:rPr>
              <w:t>.</w:t>
            </w:r>
          </w:p>
        </w:tc>
      </w:tr>
      <w:tr w:rsidR="00DC2471" w:rsidRPr="00C77F16" w:rsidTr="0073531F">
        <w:trPr>
          <w:trHeight w:val="1185"/>
        </w:trPr>
        <w:tc>
          <w:tcPr>
            <w:tcW w:w="3402" w:type="dxa"/>
            <w:vMerge w:val="restart"/>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t>1.4. Įvertinti galimybes tobulinti kliento pažinimo procesą</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1.4.1. Tobulinti Gyventojų registrą sukuriant bandomąjį technologinį sprendimą, paremtą biometrinių duomenų naudojimu</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III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VĮ Registrų centras</w:t>
            </w:r>
          </w:p>
        </w:tc>
        <w:tc>
          <w:tcPr>
            <w:tcW w:w="4712" w:type="dxa"/>
            <w:hideMark/>
          </w:tcPr>
          <w:p w:rsidR="00DC2471" w:rsidRPr="00C77F16" w:rsidRDefault="00DC2471" w:rsidP="0073531F">
            <w:pPr>
              <w:rPr>
                <w:rFonts w:eastAsia="Times New Roman" w:cs="Times New Roman"/>
                <w:b/>
                <w:bCs/>
                <w:sz w:val="22"/>
                <w:lang w:eastAsia="lt-LT"/>
              </w:rPr>
            </w:pPr>
            <w:r w:rsidRPr="00C77F16">
              <w:rPr>
                <w:rFonts w:eastAsia="Times New Roman" w:cs="Times New Roman"/>
                <w:b/>
                <w:bCs/>
                <w:sz w:val="22"/>
                <w:lang w:eastAsia="lt-LT"/>
              </w:rPr>
              <w:t xml:space="preserve">Neįgyvendinta. </w:t>
            </w:r>
            <w:r w:rsidRPr="00C77F16">
              <w:rPr>
                <w:rFonts w:eastAsia="Times New Roman" w:cs="Times New Roman"/>
                <w:b/>
                <w:bCs/>
                <w:sz w:val="22"/>
                <w:lang w:eastAsia="lt-LT"/>
              </w:rPr>
              <w:br/>
            </w:r>
            <w:r w:rsidR="00B34B12">
              <w:rPr>
                <w:rFonts w:eastAsia="Times New Roman" w:cs="Times New Roman"/>
                <w:sz w:val="22"/>
                <w:lang w:eastAsia="lt-LT"/>
              </w:rPr>
              <w:t>Būtinos detalios diskusijos dėl p</w:t>
            </w:r>
            <w:r w:rsidRPr="00C77F16">
              <w:rPr>
                <w:rFonts w:eastAsia="Times New Roman" w:cs="Times New Roman"/>
                <w:sz w:val="22"/>
                <w:lang w:eastAsia="lt-LT"/>
              </w:rPr>
              <w:t>riemonės darbų įgyvendinim</w:t>
            </w:r>
            <w:r w:rsidR="00B34B12">
              <w:rPr>
                <w:rFonts w:eastAsia="Times New Roman" w:cs="Times New Roman"/>
                <w:sz w:val="22"/>
                <w:lang w:eastAsia="lt-LT"/>
              </w:rPr>
              <w:t>o</w:t>
            </w:r>
            <w:r w:rsidR="008D548E" w:rsidRPr="00C77F16">
              <w:rPr>
                <w:rFonts w:eastAsia="Times New Roman" w:cs="Times New Roman"/>
                <w:sz w:val="22"/>
                <w:lang w:eastAsia="lt-LT"/>
              </w:rPr>
              <w:t>.</w:t>
            </w:r>
          </w:p>
        </w:tc>
      </w:tr>
      <w:tr w:rsidR="00DC2471" w:rsidRPr="00C77F16" w:rsidTr="00C77F16">
        <w:trPr>
          <w:trHeight w:val="3563"/>
        </w:trPr>
        <w:tc>
          <w:tcPr>
            <w:tcW w:w="3402" w:type="dxa"/>
            <w:vMerge/>
            <w:hideMark/>
          </w:tcPr>
          <w:p w:rsidR="00DC2471" w:rsidRPr="00C77F16" w:rsidRDefault="00DC2471" w:rsidP="00DC2471">
            <w:pPr>
              <w:jc w:val="both"/>
              <w:rPr>
                <w:rFonts w:eastAsia="Times New Roman" w:cs="Times New Roman"/>
                <w:color w:val="000000"/>
                <w:sz w:val="22"/>
                <w:lang w:eastAsia="lt-LT"/>
              </w:rPr>
            </w:pP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1.4.2. Įvertinti galimybes išplėsti nuotolinio tapatybės nustatymo būdų sąrašą ir peržiūrėti supaprastinto klientų tapatybės nustatymo sąlygas (pavyzdžiui, padidinant šiuo metu nustatytą 1 000 eurų bendrai per kalendorinius metus įvykdytų operacijų vertės ribą)</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III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Finansų ministerija, Finansinių nusikaltimų tyrimo tarnyba prie Vidaus reikalų ministerijos</w:t>
            </w:r>
          </w:p>
        </w:tc>
        <w:tc>
          <w:tcPr>
            <w:tcW w:w="4712" w:type="dxa"/>
            <w:vAlign w:val="center"/>
            <w:hideMark/>
          </w:tcPr>
          <w:p w:rsidR="00DC2471" w:rsidRPr="00C77F16" w:rsidRDefault="00DC2471" w:rsidP="00DE78CF">
            <w:pPr>
              <w:jc w:val="both"/>
              <w:rPr>
                <w:rFonts w:eastAsia="Times New Roman" w:cs="Times New Roman"/>
                <w:b/>
                <w:bCs/>
                <w:color w:val="000000"/>
                <w:sz w:val="22"/>
                <w:lang w:eastAsia="lt-LT"/>
              </w:rPr>
            </w:pPr>
            <w:r w:rsidRPr="00C77F16">
              <w:rPr>
                <w:rFonts w:eastAsia="Times New Roman" w:cs="Times New Roman"/>
                <w:b/>
                <w:bCs/>
                <w:color w:val="000000"/>
                <w:sz w:val="22"/>
                <w:lang w:eastAsia="lt-LT"/>
              </w:rPr>
              <w:t>Įgyvendinta iš dalies</w:t>
            </w:r>
            <w:r w:rsidR="0073531F">
              <w:rPr>
                <w:rFonts w:eastAsia="Times New Roman" w:cs="Times New Roman"/>
                <w:b/>
                <w:bCs/>
                <w:color w:val="000000"/>
                <w:sz w:val="22"/>
                <w:lang w:eastAsia="lt-LT"/>
              </w:rPr>
              <w:t xml:space="preserve">.                                            </w:t>
            </w:r>
            <w:r w:rsidRPr="0073531F">
              <w:rPr>
                <w:rFonts w:eastAsia="Times New Roman" w:cs="Times New Roman"/>
                <w:b/>
                <w:bCs/>
                <w:color w:val="FFFFFF" w:themeColor="background1"/>
                <w:sz w:val="22"/>
                <w:lang w:eastAsia="lt-LT"/>
              </w:rPr>
              <w:t>.</w:t>
            </w:r>
            <w:r w:rsidRPr="00C77F16">
              <w:rPr>
                <w:rFonts w:eastAsia="Times New Roman" w:cs="Times New Roman"/>
                <w:color w:val="000000"/>
                <w:sz w:val="22"/>
                <w:lang w:eastAsia="lt-LT"/>
              </w:rPr>
              <w:br/>
              <w:t xml:space="preserve">Kartu su Finansinių nusikaltimų tyrimo tarnyba </w:t>
            </w:r>
            <w:r w:rsidR="00B34B12" w:rsidRPr="00C77F16">
              <w:rPr>
                <w:rFonts w:eastAsia="Times New Roman" w:cs="Times New Roman"/>
                <w:color w:val="000000"/>
                <w:sz w:val="22"/>
                <w:lang w:eastAsia="lt-LT"/>
              </w:rPr>
              <w:t xml:space="preserve">prie Vidaus reikalų ministerijos </w:t>
            </w:r>
            <w:r w:rsidRPr="00C77F16">
              <w:rPr>
                <w:rFonts w:eastAsia="Times New Roman" w:cs="Times New Roman"/>
                <w:color w:val="000000"/>
                <w:sz w:val="22"/>
                <w:lang w:eastAsia="lt-LT"/>
              </w:rPr>
              <w:t xml:space="preserve">ir Lietuvos banku išnagrinėti siūlymai keisti </w:t>
            </w:r>
            <w:r w:rsidR="00B34B12" w:rsidRPr="00C77F16">
              <w:rPr>
                <w:rFonts w:eastAsia="Times New Roman" w:cs="Times New Roman"/>
                <w:color w:val="000000"/>
                <w:sz w:val="22"/>
                <w:lang w:eastAsia="lt-LT"/>
              </w:rPr>
              <w:t xml:space="preserve">Lietuvos Respublikos </w:t>
            </w:r>
            <w:r w:rsidR="00823E77">
              <w:rPr>
                <w:rFonts w:eastAsia="Times New Roman" w:cs="Times New Roman"/>
                <w:color w:val="000000"/>
                <w:sz w:val="22"/>
                <w:lang w:eastAsia="lt-LT"/>
              </w:rPr>
              <w:t>p</w:t>
            </w:r>
            <w:r w:rsidRPr="00C77F16">
              <w:rPr>
                <w:rFonts w:eastAsia="Times New Roman" w:cs="Times New Roman"/>
                <w:color w:val="000000"/>
                <w:sz w:val="22"/>
                <w:lang w:eastAsia="lt-LT"/>
              </w:rPr>
              <w:t xml:space="preserve">inigų plovimo ir teroristų finansavimo prevencijos įstatymą išplečiant nuotolinio tapatybės nustatymo būdų sąrašą (nereikalaujant </w:t>
            </w:r>
            <w:r w:rsidR="00823E77">
              <w:rPr>
                <w:rFonts w:eastAsia="Times New Roman" w:cs="Times New Roman"/>
                <w:color w:val="000000"/>
                <w:sz w:val="22"/>
                <w:lang w:eastAsia="lt-LT"/>
              </w:rPr>
              <w:t xml:space="preserve">pateikti </w:t>
            </w:r>
            <w:r w:rsidRPr="00C77F16">
              <w:rPr>
                <w:rFonts w:eastAsia="Times New Roman" w:cs="Times New Roman"/>
                <w:color w:val="000000"/>
                <w:sz w:val="22"/>
                <w:lang w:eastAsia="lt-LT"/>
              </w:rPr>
              <w:t>asmens dokument</w:t>
            </w:r>
            <w:r w:rsidR="00823E77">
              <w:rPr>
                <w:rFonts w:eastAsia="Times New Roman" w:cs="Times New Roman"/>
                <w:color w:val="000000"/>
                <w:sz w:val="22"/>
                <w:lang w:eastAsia="lt-LT"/>
              </w:rPr>
              <w:t>ą</w:t>
            </w:r>
            <w:r w:rsidRPr="00C77F16">
              <w:rPr>
                <w:rFonts w:eastAsia="Times New Roman" w:cs="Times New Roman"/>
                <w:color w:val="000000"/>
                <w:sz w:val="22"/>
                <w:lang w:eastAsia="lt-LT"/>
              </w:rPr>
              <w:t xml:space="preserve"> nustatant tapatybę asmeniui fiziškai nedalyvaujant, bet sutikrinant duomenų teisingumą dviejuose skirtinguose šaltiniuose) i</w:t>
            </w:r>
            <w:r w:rsidR="008D548E" w:rsidRPr="00C77F16">
              <w:rPr>
                <w:rFonts w:eastAsia="Times New Roman" w:cs="Times New Roman"/>
                <w:color w:val="000000"/>
                <w:sz w:val="22"/>
                <w:lang w:eastAsia="lt-LT"/>
              </w:rPr>
              <w:t>r nuspręsta nepritarti pateiktiems</w:t>
            </w:r>
            <w:r w:rsidRPr="00C77F16">
              <w:rPr>
                <w:rFonts w:eastAsia="Times New Roman" w:cs="Times New Roman"/>
                <w:color w:val="000000"/>
                <w:sz w:val="22"/>
                <w:lang w:eastAsia="lt-LT"/>
              </w:rPr>
              <w:t xml:space="preserve"> siūlymams.</w:t>
            </w:r>
            <w:r w:rsidRPr="00C77F16">
              <w:rPr>
                <w:rFonts w:eastAsia="Times New Roman" w:cs="Times New Roman"/>
                <w:color w:val="000000"/>
                <w:sz w:val="22"/>
                <w:lang w:eastAsia="lt-LT"/>
              </w:rPr>
              <w:br/>
              <w:t>Diskusija dė</w:t>
            </w:r>
            <w:r w:rsidR="008D548E" w:rsidRPr="00C77F16">
              <w:rPr>
                <w:rFonts w:eastAsia="Times New Roman" w:cs="Times New Roman"/>
                <w:sz w:val="22"/>
                <w:lang w:eastAsia="lt-LT"/>
              </w:rPr>
              <w:t xml:space="preserve">l </w:t>
            </w:r>
            <w:r w:rsidRPr="00C77F16">
              <w:rPr>
                <w:rFonts w:eastAsia="Times New Roman" w:cs="Times New Roman"/>
                <w:sz w:val="22"/>
                <w:lang w:eastAsia="lt-LT"/>
              </w:rPr>
              <w:t xml:space="preserve">galimybės supaprastinti </w:t>
            </w:r>
            <w:r w:rsidR="008D548E" w:rsidRPr="00C77F16">
              <w:rPr>
                <w:rFonts w:eastAsia="Times New Roman" w:cs="Times New Roman"/>
                <w:sz w:val="22"/>
                <w:lang w:eastAsia="lt-LT"/>
              </w:rPr>
              <w:t>klientų tapatybės nustatymo sąly</w:t>
            </w:r>
            <w:r w:rsidRPr="00C77F16">
              <w:rPr>
                <w:rFonts w:eastAsia="Times New Roman" w:cs="Times New Roman"/>
                <w:sz w:val="22"/>
                <w:lang w:eastAsia="lt-LT"/>
              </w:rPr>
              <w:t xml:space="preserve">gas (padidinant šiuo metu nustatytą 1000 eurų bendrai per kalendorinius metus įvykdytų operacijų vertės ribą) dar nepasibaigusi, todėl </w:t>
            </w:r>
            <w:r w:rsidR="00823E77">
              <w:rPr>
                <w:rFonts w:eastAsia="Times New Roman" w:cs="Times New Roman"/>
                <w:sz w:val="22"/>
                <w:lang w:eastAsia="lt-LT"/>
              </w:rPr>
              <w:t xml:space="preserve">priemonė </w:t>
            </w:r>
            <w:r w:rsidRPr="00C77F16">
              <w:rPr>
                <w:rFonts w:eastAsia="Times New Roman" w:cs="Times New Roman"/>
                <w:sz w:val="22"/>
                <w:lang w:eastAsia="lt-LT"/>
              </w:rPr>
              <w:t>perkeliama</w:t>
            </w:r>
            <w:r w:rsidR="00DE78CF">
              <w:rPr>
                <w:rFonts w:eastAsia="Times New Roman" w:cs="Times New Roman"/>
                <w:sz w:val="22"/>
                <w:lang w:eastAsia="lt-LT"/>
              </w:rPr>
              <w:t xml:space="preserve"> į </w:t>
            </w:r>
            <w:r w:rsidR="00DE78CF" w:rsidRPr="00DE78CF">
              <w:rPr>
                <w:rFonts w:eastAsia="Times New Roman" w:cs="Times New Roman"/>
                <w:sz w:val="22"/>
                <w:lang w:eastAsia="lt-LT"/>
              </w:rPr>
              <w:t>2021 m. priemonių finansinių technologijų (</w:t>
            </w:r>
            <w:r w:rsidR="00DE78CF">
              <w:rPr>
                <w:rFonts w:eastAsia="Times New Roman" w:cs="Times New Roman"/>
                <w:sz w:val="22"/>
                <w:lang w:eastAsia="lt-LT"/>
              </w:rPr>
              <w:t>FINTECH) industrijos plėtrai L</w:t>
            </w:r>
            <w:r w:rsidR="00DE78CF" w:rsidRPr="00DE78CF">
              <w:rPr>
                <w:rFonts w:eastAsia="Times New Roman" w:cs="Times New Roman"/>
                <w:sz w:val="22"/>
                <w:lang w:eastAsia="lt-LT"/>
              </w:rPr>
              <w:t>ietuvoje skatinti plan</w:t>
            </w:r>
            <w:r w:rsidR="00DE78CF">
              <w:rPr>
                <w:rFonts w:eastAsia="Times New Roman" w:cs="Times New Roman"/>
                <w:sz w:val="22"/>
                <w:lang w:eastAsia="lt-LT"/>
              </w:rPr>
              <w:t>ą.</w:t>
            </w:r>
            <w:r w:rsidR="00DE78CF" w:rsidRPr="00C77F16">
              <w:rPr>
                <w:rFonts w:eastAsia="Times New Roman" w:cs="Times New Roman"/>
                <w:sz w:val="22"/>
                <w:lang w:eastAsia="lt-LT"/>
              </w:rPr>
              <w:t xml:space="preserve"> </w:t>
            </w:r>
          </w:p>
        </w:tc>
      </w:tr>
      <w:tr w:rsidR="00DC2471" w:rsidRPr="00C77F16" w:rsidTr="00C77F16">
        <w:trPr>
          <w:trHeight w:val="687"/>
        </w:trPr>
        <w:tc>
          <w:tcPr>
            <w:tcW w:w="3402" w:type="dxa"/>
            <w:vMerge/>
            <w:hideMark/>
          </w:tcPr>
          <w:p w:rsidR="00DC2471" w:rsidRPr="00C77F16" w:rsidRDefault="00DC2471" w:rsidP="00DC2471">
            <w:pPr>
              <w:jc w:val="both"/>
              <w:rPr>
                <w:rFonts w:eastAsia="Times New Roman" w:cs="Times New Roman"/>
                <w:color w:val="000000"/>
                <w:sz w:val="22"/>
                <w:lang w:eastAsia="lt-LT"/>
              </w:rPr>
            </w:pPr>
          </w:p>
        </w:tc>
        <w:tc>
          <w:tcPr>
            <w:tcW w:w="2694" w:type="dxa"/>
            <w:hideMark/>
          </w:tcPr>
          <w:p w:rsidR="00DC2471" w:rsidRPr="00C77F16" w:rsidRDefault="00DC2471" w:rsidP="00823E77">
            <w:pPr>
              <w:rPr>
                <w:rFonts w:eastAsia="Times New Roman" w:cs="Times New Roman"/>
                <w:color w:val="000000"/>
                <w:sz w:val="22"/>
                <w:lang w:eastAsia="lt-LT"/>
              </w:rPr>
            </w:pPr>
            <w:r w:rsidRPr="00C77F16">
              <w:rPr>
                <w:rFonts w:eastAsia="Times New Roman" w:cs="Times New Roman"/>
                <w:color w:val="000000"/>
                <w:sz w:val="22"/>
                <w:lang w:eastAsia="lt-LT"/>
              </w:rPr>
              <w:t xml:space="preserve">1.4.3. Kartu su rinkos dalyviais įvertinti galimybes įgyvendinti vieno langelio principą naudojant centralizuotą </w:t>
            </w:r>
            <w:r w:rsidRPr="00C77F16">
              <w:rPr>
                <w:rFonts w:eastAsia="Times New Roman" w:cs="Times New Roman"/>
                <w:color w:val="000000"/>
                <w:sz w:val="22"/>
                <w:lang w:eastAsia="lt-LT"/>
              </w:rPr>
              <w:lastRenderedPageBreak/>
              <w:t>„</w:t>
            </w:r>
            <w:r w:rsidR="00823E77">
              <w:rPr>
                <w:rFonts w:eastAsia="Times New Roman" w:cs="Times New Roman"/>
                <w:color w:val="000000"/>
                <w:sz w:val="22"/>
                <w:lang w:eastAsia="lt-LT"/>
              </w:rPr>
              <w:t>p</w:t>
            </w:r>
            <w:r w:rsidRPr="00C77F16">
              <w:rPr>
                <w:rFonts w:eastAsia="Times New Roman" w:cs="Times New Roman"/>
                <w:color w:val="000000"/>
                <w:sz w:val="22"/>
                <w:lang w:eastAsia="lt-LT"/>
              </w:rPr>
              <w:t>ažink savo klientą“ principo API platformą</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lastRenderedPageBreak/>
              <w:t xml:space="preserve">2020 m. IV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VĮ Registrų centras, Ekonomikos ir inovacijų ministerija, Finansinių nusikaltimų tyrimo </w:t>
            </w:r>
            <w:r w:rsidRPr="00C77F16">
              <w:rPr>
                <w:rFonts w:eastAsia="Times New Roman" w:cs="Times New Roman"/>
                <w:color w:val="000000"/>
                <w:sz w:val="22"/>
                <w:lang w:eastAsia="lt-LT"/>
              </w:rPr>
              <w:lastRenderedPageBreak/>
              <w:t>tarnyba prie Vidaus reikalų ministerijos</w:t>
            </w:r>
          </w:p>
        </w:tc>
        <w:tc>
          <w:tcPr>
            <w:tcW w:w="4712" w:type="dxa"/>
            <w:vAlign w:val="center"/>
            <w:hideMark/>
          </w:tcPr>
          <w:p w:rsidR="00DC2471" w:rsidRPr="00C77F16" w:rsidRDefault="00DC2471" w:rsidP="00C04F99">
            <w:pPr>
              <w:jc w:val="both"/>
              <w:rPr>
                <w:rFonts w:eastAsia="Times New Roman" w:cs="Times New Roman"/>
                <w:b/>
                <w:bCs/>
                <w:color w:val="000000"/>
                <w:sz w:val="22"/>
                <w:lang w:eastAsia="lt-LT"/>
              </w:rPr>
            </w:pPr>
            <w:r w:rsidRPr="00C77F16">
              <w:rPr>
                <w:rFonts w:eastAsia="Times New Roman" w:cs="Times New Roman"/>
                <w:b/>
                <w:bCs/>
                <w:color w:val="000000"/>
                <w:sz w:val="22"/>
                <w:lang w:eastAsia="lt-LT"/>
              </w:rPr>
              <w:lastRenderedPageBreak/>
              <w:t xml:space="preserve">Neįgyvendinta. </w:t>
            </w:r>
            <w:r w:rsidRPr="00C77F16">
              <w:rPr>
                <w:rFonts w:eastAsia="Times New Roman" w:cs="Times New Roman"/>
                <w:b/>
                <w:bCs/>
                <w:color w:val="000000"/>
                <w:sz w:val="22"/>
                <w:lang w:eastAsia="lt-LT"/>
              </w:rPr>
              <w:br/>
            </w:r>
            <w:r w:rsidR="008D548E" w:rsidRPr="00C77F16">
              <w:rPr>
                <w:rFonts w:eastAsia="Times New Roman" w:cs="Times New Roman"/>
                <w:color w:val="000000"/>
                <w:sz w:val="22"/>
                <w:lang w:eastAsia="lt-LT"/>
              </w:rPr>
              <w:t>Priemonę bus siekiama įgyvendinti vykdant</w:t>
            </w:r>
            <w:r w:rsidR="00DE78CF">
              <w:rPr>
                <w:rFonts w:eastAsia="Times New Roman" w:cs="Times New Roman"/>
                <w:color w:val="000000"/>
                <w:sz w:val="22"/>
                <w:lang w:eastAsia="lt-LT"/>
              </w:rPr>
              <w:t xml:space="preserve"> </w:t>
            </w:r>
            <w:r w:rsidR="00DE78CF" w:rsidRPr="00DE78CF">
              <w:rPr>
                <w:rFonts w:eastAsia="Times New Roman" w:cs="Times New Roman"/>
                <w:color w:val="000000"/>
                <w:sz w:val="22"/>
                <w:lang w:eastAsia="lt-LT"/>
              </w:rPr>
              <w:t>2021 m. priemonių finansinių technologijų (FINTECH) industrijos plėtrai Lietuvoje skatinti plan</w:t>
            </w:r>
            <w:r w:rsidR="00DE78CF">
              <w:rPr>
                <w:rFonts w:eastAsia="Times New Roman" w:cs="Times New Roman"/>
                <w:color w:val="000000"/>
                <w:sz w:val="22"/>
                <w:lang w:eastAsia="lt-LT"/>
              </w:rPr>
              <w:t xml:space="preserve">o </w:t>
            </w:r>
            <w:r w:rsidR="008D548E" w:rsidRPr="00C77F16">
              <w:rPr>
                <w:rFonts w:eastAsia="Times New Roman" w:cs="Times New Roman"/>
                <w:color w:val="000000"/>
                <w:sz w:val="22"/>
                <w:lang w:eastAsia="lt-LT"/>
              </w:rPr>
              <w:t>1.15</w:t>
            </w:r>
            <w:r w:rsidR="004B3B0C" w:rsidRPr="00C77F16">
              <w:rPr>
                <w:rFonts w:eastAsia="Times New Roman" w:cs="Times New Roman"/>
                <w:color w:val="000000"/>
                <w:sz w:val="22"/>
                <w:lang w:eastAsia="lt-LT"/>
              </w:rPr>
              <w:t xml:space="preserve"> priemonę</w:t>
            </w:r>
            <w:r w:rsidR="00DE78CF">
              <w:rPr>
                <w:rFonts w:eastAsia="Times New Roman" w:cs="Times New Roman"/>
                <w:color w:val="000000"/>
                <w:sz w:val="22"/>
                <w:lang w:eastAsia="lt-LT"/>
              </w:rPr>
              <w:t xml:space="preserve"> </w:t>
            </w:r>
            <w:r w:rsidR="000F2CF3">
              <w:rPr>
                <w:rFonts w:eastAsia="Times New Roman" w:cs="Times New Roman"/>
                <w:color w:val="000000"/>
                <w:sz w:val="22"/>
                <w:lang w:eastAsia="lt-LT"/>
              </w:rPr>
              <w:t>„</w:t>
            </w:r>
            <w:r w:rsidR="000F2CF3" w:rsidRPr="000F2CF3">
              <w:rPr>
                <w:rFonts w:eastAsia="Times New Roman" w:cs="Times New Roman"/>
                <w:color w:val="000000"/>
                <w:sz w:val="22"/>
                <w:lang w:eastAsia="lt-LT"/>
              </w:rPr>
              <w:t xml:space="preserve">Remiantis Mokėjimų tarybos </w:t>
            </w:r>
            <w:r w:rsidR="000F2CF3" w:rsidRPr="000F2CF3">
              <w:rPr>
                <w:rFonts w:eastAsia="Times New Roman" w:cs="Times New Roman"/>
                <w:color w:val="000000"/>
                <w:sz w:val="22"/>
                <w:lang w:eastAsia="lt-LT"/>
              </w:rPr>
              <w:lastRenderedPageBreak/>
              <w:t xml:space="preserve">ataskaitoje „Kliento pažinimo proceso optimizavimo galimybės“ pateiktomis rekomendacijomis išanalizuoti galimybes sukurti rinkos dalyviams prieigą prie valstybės institucijų turimų individualių fizinių ir juridinių asmenų duomenų, kuri būtų naudojama </w:t>
            </w:r>
            <w:r w:rsidR="000F2CF3" w:rsidRPr="00EB4028">
              <w:rPr>
                <w:rFonts w:eastAsia="Times New Roman" w:cs="Times New Roman"/>
                <w:i/>
                <w:color w:val="000000"/>
                <w:sz w:val="22"/>
                <w:lang w:eastAsia="lt-LT"/>
              </w:rPr>
              <w:t>pažink savo klientą</w:t>
            </w:r>
            <w:r w:rsidR="000F2CF3" w:rsidRPr="000F2CF3">
              <w:rPr>
                <w:rFonts w:eastAsia="Times New Roman" w:cs="Times New Roman"/>
                <w:color w:val="000000"/>
                <w:sz w:val="22"/>
                <w:lang w:eastAsia="lt-LT"/>
              </w:rPr>
              <w:t xml:space="preserve"> tikslais ir veiktų vieno langelio principu, ir pateikti pasiūlymą dėl tokios prieigos sukūrimo, valdymo ir techninio įgyvendinimo</w:t>
            </w:r>
            <w:r w:rsidR="000F2CF3">
              <w:rPr>
                <w:rFonts w:eastAsia="Times New Roman" w:cs="Times New Roman"/>
                <w:color w:val="000000"/>
                <w:sz w:val="22"/>
                <w:lang w:eastAsia="lt-LT"/>
              </w:rPr>
              <w:t>“</w:t>
            </w:r>
            <w:r w:rsidR="008D548E" w:rsidRPr="00C77F16">
              <w:rPr>
                <w:rFonts w:eastAsia="Times New Roman" w:cs="Times New Roman"/>
                <w:color w:val="000000"/>
                <w:sz w:val="22"/>
                <w:lang w:eastAsia="lt-LT"/>
              </w:rPr>
              <w:t>.</w:t>
            </w:r>
          </w:p>
        </w:tc>
      </w:tr>
      <w:tr w:rsidR="00DC2471" w:rsidRPr="00C77F16" w:rsidTr="00C77F16">
        <w:trPr>
          <w:trHeight w:val="404"/>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lastRenderedPageBreak/>
              <w:t>1.5. Sukurti Juridinių asmenų elektroninės paslaugos (JAREP) funkcines galimybes, leidžiančias klientams anglų kalba teikti duomenis dėl naujo juridinio asmens steigimo ar laikino juridinio asmens pavadinimo įrašymo į Juridinių asmenų registrą</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IV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VĮ Registrų centras, Teisingumo ministerija</w:t>
            </w:r>
          </w:p>
        </w:tc>
        <w:tc>
          <w:tcPr>
            <w:tcW w:w="4712" w:type="dxa"/>
            <w:vAlign w:val="center"/>
            <w:hideMark/>
          </w:tcPr>
          <w:p w:rsidR="00DC2471" w:rsidRPr="00C77F16" w:rsidRDefault="00DC2471" w:rsidP="00B52439">
            <w:pPr>
              <w:jc w:val="both"/>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Pr="00C77F16">
              <w:rPr>
                <w:rFonts w:eastAsia="Times New Roman" w:cs="Times New Roman"/>
                <w:color w:val="000000"/>
                <w:sz w:val="22"/>
                <w:lang w:eastAsia="lt-LT"/>
              </w:rPr>
              <w:br/>
            </w:r>
            <w:r w:rsidRPr="00991D23">
              <w:rPr>
                <w:rFonts w:eastAsia="Times New Roman" w:cs="Times New Roman"/>
                <w:color w:val="000000"/>
                <w:sz w:val="22"/>
                <w:lang w:eastAsia="lt-LT"/>
              </w:rPr>
              <w:t>2020 m. lapkričio mėn. įdiegti JAREP funkci</w:t>
            </w:r>
            <w:r w:rsidR="00991D23">
              <w:rPr>
                <w:rFonts w:eastAsia="Times New Roman" w:cs="Times New Roman"/>
                <w:color w:val="000000"/>
                <w:sz w:val="22"/>
                <w:lang w:eastAsia="lt-LT"/>
              </w:rPr>
              <w:t>nių galimybių</w:t>
            </w:r>
            <w:r w:rsidRPr="00991D23">
              <w:rPr>
                <w:rFonts w:eastAsia="Times New Roman" w:cs="Times New Roman"/>
                <w:color w:val="000000"/>
                <w:sz w:val="22"/>
                <w:lang w:eastAsia="lt-LT"/>
              </w:rPr>
              <w:t xml:space="preserve"> pakeitimai, </w:t>
            </w:r>
            <w:r w:rsidR="00991D23">
              <w:rPr>
                <w:rFonts w:eastAsia="Times New Roman" w:cs="Times New Roman"/>
                <w:color w:val="000000"/>
                <w:sz w:val="22"/>
                <w:lang w:eastAsia="lt-LT"/>
              </w:rPr>
              <w:t xml:space="preserve">todėl </w:t>
            </w:r>
            <w:r w:rsidRPr="00991D23">
              <w:rPr>
                <w:rFonts w:eastAsia="Times New Roman" w:cs="Times New Roman"/>
                <w:color w:val="000000"/>
                <w:sz w:val="22"/>
                <w:lang w:eastAsia="lt-LT"/>
              </w:rPr>
              <w:t>asmen</w:t>
            </w:r>
            <w:r w:rsidR="00991D23">
              <w:rPr>
                <w:rFonts w:eastAsia="Times New Roman" w:cs="Times New Roman"/>
                <w:color w:val="000000"/>
                <w:sz w:val="22"/>
                <w:lang w:eastAsia="lt-LT"/>
              </w:rPr>
              <w:t>y</w:t>
            </w:r>
            <w:r w:rsidRPr="00991D23">
              <w:rPr>
                <w:rFonts w:eastAsia="Times New Roman" w:cs="Times New Roman"/>
                <w:color w:val="000000"/>
                <w:sz w:val="22"/>
                <w:lang w:eastAsia="lt-LT"/>
              </w:rPr>
              <w:t xml:space="preserve">s </w:t>
            </w:r>
            <w:r w:rsidR="00991D23">
              <w:rPr>
                <w:rFonts w:eastAsia="Times New Roman" w:cs="Times New Roman"/>
                <w:color w:val="000000"/>
                <w:sz w:val="22"/>
                <w:lang w:eastAsia="lt-LT"/>
              </w:rPr>
              <w:t xml:space="preserve">gali </w:t>
            </w:r>
            <w:r w:rsidRPr="00991D23">
              <w:rPr>
                <w:rFonts w:eastAsia="Times New Roman" w:cs="Times New Roman"/>
                <w:color w:val="000000"/>
                <w:sz w:val="22"/>
                <w:lang w:eastAsia="lt-LT"/>
              </w:rPr>
              <w:t>naudotis angliška JAREP vartotojo sąsaja, steig</w:t>
            </w:r>
            <w:r w:rsidR="00991D23">
              <w:rPr>
                <w:rFonts w:eastAsia="Times New Roman" w:cs="Times New Roman"/>
                <w:color w:val="000000"/>
                <w:sz w:val="22"/>
                <w:lang w:eastAsia="lt-LT"/>
              </w:rPr>
              <w:t>dami</w:t>
            </w:r>
            <w:r w:rsidRPr="00991D23">
              <w:rPr>
                <w:rFonts w:eastAsia="Times New Roman" w:cs="Times New Roman"/>
                <w:color w:val="000000"/>
                <w:sz w:val="22"/>
                <w:lang w:eastAsia="lt-LT"/>
              </w:rPr>
              <w:t xml:space="preserve"> naują juridinį</w:t>
            </w:r>
            <w:r w:rsidRPr="00C77F16">
              <w:rPr>
                <w:rFonts w:eastAsia="Times New Roman" w:cs="Times New Roman"/>
                <w:color w:val="000000"/>
                <w:sz w:val="22"/>
                <w:lang w:eastAsia="lt-LT"/>
              </w:rPr>
              <w:t xml:space="preserve"> asmenį (šešių populiariausių teisinių formų – uždarąją akcinę bendrovę, mažąją bendriją, individualią įmonę, viešąją įstaigą, asociaciją bei labdaros ir paramos fondą)</w:t>
            </w:r>
            <w:r w:rsidR="00991D23">
              <w:rPr>
                <w:rFonts w:eastAsia="Times New Roman" w:cs="Times New Roman"/>
                <w:color w:val="000000"/>
                <w:sz w:val="22"/>
                <w:lang w:eastAsia="lt-LT"/>
              </w:rPr>
              <w:t>,</w:t>
            </w:r>
            <w:r w:rsidRPr="00C77F16">
              <w:rPr>
                <w:rFonts w:eastAsia="Times New Roman" w:cs="Times New Roman"/>
                <w:color w:val="000000"/>
                <w:sz w:val="22"/>
                <w:lang w:eastAsia="lt-LT"/>
              </w:rPr>
              <w:t xml:space="preserve"> taip pat teik</w:t>
            </w:r>
            <w:r w:rsidR="00991D23">
              <w:rPr>
                <w:rFonts w:eastAsia="Times New Roman" w:cs="Times New Roman"/>
                <w:color w:val="000000"/>
                <w:sz w:val="22"/>
                <w:lang w:eastAsia="lt-LT"/>
              </w:rPr>
              <w:t>dami</w:t>
            </w:r>
            <w:r w:rsidRPr="00C77F16">
              <w:rPr>
                <w:rFonts w:eastAsia="Times New Roman" w:cs="Times New Roman"/>
                <w:color w:val="000000"/>
                <w:sz w:val="22"/>
                <w:lang w:eastAsia="lt-LT"/>
              </w:rPr>
              <w:t xml:space="preserve"> prašymą laikinai įrašyti juridinio asmens pavadinimą į Juridinių asmenų registrą. Užpildžius būtinus duomenis, automatiškai – pagal teisės aktais patvirtintas pavyzdines formas – lietuvių ir anglų kalbomis generuojami nustatyti dokumentai – steigimo aktas, steigimo sutartis, įstatai, nuostatai i</w:t>
            </w:r>
            <w:r w:rsidR="00991D23">
              <w:rPr>
                <w:rFonts w:eastAsia="Times New Roman" w:cs="Times New Roman"/>
                <w:color w:val="000000"/>
                <w:sz w:val="22"/>
                <w:lang w:eastAsia="lt-LT"/>
              </w:rPr>
              <w:t>r</w:t>
            </w:r>
            <w:r w:rsidRPr="00C77F16">
              <w:rPr>
                <w:rFonts w:eastAsia="Times New Roman" w:cs="Times New Roman"/>
                <w:color w:val="000000"/>
                <w:sz w:val="22"/>
                <w:lang w:eastAsia="lt-LT"/>
              </w:rPr>
              <w:t xml:space="preserve"> prašymas registruoti Juridinių asmenų registre arba prašymas laikinai įrašyti laikiną juridinio asmens pavadinimą. </w:t>
            </w:r>
            <w:r w:rsidRPr="00C77F16">
              <w:rPr>
                <w:rFonts w:eastAsia="Times New Roman" w:cs="Times New Roman"/>
                <w:color w:val="000000"/>
                <w:sz w:val="22"/>
                <w:lang w:eastAsia="lt-LT"/>
              </w:rPr>
              <w:br/>
              <w:t>Šiuo metu dar nėra realizuota galimybė per šią vartotojo sąsają Juridinių asmenų registro tvarkytojui teikti prašymą dėl juridinio asmens pakeistų duomenų ir dokumentų įregistravimo.</w:t>
            </w:r>
            <w:r w:rsidR="00C77F16" w:rsidRPr="00C77F16">
              <w:rPr>
                <w:rFonts w:eastAsia="Times New Roman" w:cs="Times New Roman"/>
                <w:color w:val="000000"/>
                <w:sz w:val="22"/>
                <w:lang w:eastAsia="lt-LT"/>
              </w:rPr>
              <w:t xml:space="preserve"> Šio </w:t>
            </w:r>
            <w:r w:rsidR="005B061F">
              <w:rPr>
                <w:rFonts w:eastAsia="Times New Roman" w:cs="Times New Roman"/>
                <w:color w:val="000000"/>
                <w:sz w:val="22"/>
                <w:lang w:eastAsia="lt-LT"/>
              </w:rPr>
              <w:t xml:space="preserve">darbo tolesnis </w:t>
            </w:r>
            <w:r w:rsidR="00C77F16" w:rsidRPr="00C77F16">
              <w:rPr>
                <w:rFonts w:eastAsia="Times New Roman" w:cs="Times New Roman"/>
                <w:color w:val="000000"/>
                <w:sz w:val="22"/>
                <w:lang w:eastAsia="lt-LT"/>
              </w:rPr>
              <w:t xml:space="preserve">įgyvendinimas </w:t>
            </w:r>
            <w:r w:rsidR="005B061F">
              <w:rPr>
                <w:rFonts w:eastAsia="Times New Roman" w:cs="Times New Roman"/>
                <w:color w:val="000000"/>
                <w:sz w:val="22"/>
                <w:lang w:eastAsia="lt-LT"/>
              </w:rPr>
              <w:t>įtrauktas į</w:t>
            </w:r>
            <w:r w:rsidR="00DE78CF">
              <w:rPr>
                <w:rFonts w:eastAsia="Times New Roman" w:cs="Times New Roman"/>
                <w:color w:val="000000"/>
                <w:sz w:val="22"/>
                <w:lang w:eastAsia="lt-LT"/>
              </w:rPr>
              <w:t xml:space="preserve"> </w:t>
            </w:r>
            <w:r w:rsidR="00DE78CF" w:rsidRPr="00DE78CF">
              <w:rPr>
                <w:rFonts w:eastAsia="Times New Roman" w:cs="Times New Roman"/>
                <w:color w:val="000000"/>
                <w:sz w:val="22"/>
                <w:lang w:eastAsia="lt-LT"/>
              </w:rPr>
              <w:t>2021 m. priemonių finansinių technologijų (FINTECH) industrijos plėtrai Lietuvoje skatinti planą</w:t>
            </w:r>
            <w:r w:rsidR="00DE78CF">
              <w:rPr>
                <w:rFonts w:eastAsia="Times New Roman" w:cs="Times New Roman"/>
                <w:color w:val="000000"/>
                <w:sz w:val="22"/>
                <w:lang w:eastAsia="lt-LT"/>
              </w:rPr>
              <w:t>.</w:t>
            </w:r>
          </w:p>
        </w:tc>
      </w:tr>
      <w:tr w:rsidR="00DC2471" w:rsidRPr="00C77F16" w:rsidTr="00C77F16">
        <w:trPr>
          <w:trHeight w:val="404"/>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t>1.6. Sudaryti galimybę įmonėms iš VĮ Registrų centro gauti išrašus anglų kalba arba lietuvių ir anglų kalbomis</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III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VĮ Registrų centras</w:t>
            </w:r>
          </w:p>
        </w:tc>
        <w:tc>
          <w:tcPr>
            <w:tcW w:w="4712" w:type="dxa"/>
            <w:vAlign w:val="center"/>
            <w:hideMark/>
          </w:tcPr>
          <w:p w:rsidR="005B061F" w:rsidRDefault="00DC2471" w:rsidP="00C04F99">
            <w:pPr>
              <w:jc w:val="both"/>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Pr="00C77F16">
              <w:rPr>
                <w:rFonts w:eastAsia="Times New Roman" w:cs="Times New Roman"/>
                <w:color w:val="000000"/>
                <w:sz w:val="22"/>
                <w:lang w:eastAsia="lt-LT"/>
              </w:rPr>
              <w:br/>
              <w:t xml:space="preserve">Klientai turi galimybę per </w:t>
            </w:r>
            <w:r w:rsidR="005B061F">
              <w:rPr>
                <w:rFonts w:eastAsia="Times New Roman" w:cs="Times New Roman"/>
                <w:color w:val="000000"/>
                <w:sz w:val="22"/>
                <w:lang w:eastAsia="lt-LT"/>
              </w:rPr>
              <w:t xml:space="preserve">VĮ </w:t>
            </w:r>
            <w:r w:rsidRPr="00C77F16">
              <w:rPr>
                <w:rFonts w:eastAsia="Times New Roman" w:cs="Times New Roman"/>
                <w:color w:val="000000"/>
                <w:sz w:val="22"/>
                <w:lang w:eastAsia="lt-LT"/>
              </w:rPr>
              <w:t xml:space="preserve">Registrų centro savitarną gauti Juridinių asmenų registro pagrindinių duomenų išrašą. Šiame išraše nurodoma esminė informacija apie juridinį </w:t>
            </w:r>
            <w:r w:rsidRPr="00C77F16">
              <w:rPr>
                <w:rFonts w:eastAsia="Times New Roman" w:cs="Times New Roman"/>
                <w:color w:val="000000"/>
                <w:sz w:val="22"/>
                <w:lang w:eastAsia="lt-LT"/>
              </w:rPr>
              <w:lastRenderedPageBreak/>
              <w:t xml:space="preserve">asmenį, t. y.: </w:t>
            </w:r>
          </w:p>
          <w:p w:rsidR="000F2CF3"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1. pavadinimas;</w:t>
            </w:r>
          </w:p>
          <w:p w:rsidR="000F2CF3"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2. kodas;</w:t>
            </w:r>
          </w:p>
          <w:p w:rsidR="005B061F"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3. teisinė forma;</w:t>
            </w:r>
          </w:p>
          <w:p w:rsidR="005B061F"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4. teisinis statusas;</w:t>
            </w:r>
          </w:p>
          <w:p w:rsidR="005B061F"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5. buveinė (adresas);</w:t>
            </w:r>
          </w:p>
          <w:p w:rsidR="005B061F"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6. vadovo vardas ir pavardė; jei nustatytos, vadovo teisių ribos;</w:t>
            </w:r>
          </w:p>
          <w:p w:rsidR="005B061F"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7. įsteigimo data;</w:t>
            </w:r>
          </w:p>
          <w:p w:rsidR="005B061F"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8. įregistravimo data;</w:t>
            </w:r>
          </w:p>
          <w:p w:rsidR="005B061F"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9. išregistravimo data;</w:t>
            </w:r>
          </w:p>
          <w:p w:rsidR="005B061F"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10. kontaktinė informacija (telefono ryšio numeris, faksimilinio telefono ryšio numeris, elektroninio pašto adresas, interneto svetainės adresas);</w:t>
            </w:r>
          </w:p>
          <w:p w:rsidR="005B061F"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11. duomenys apie valdymo organų narius (vardas, pavardė), taip pat nurodant valdymo organo pirmininką, valdymo organų narių teisių ribos, jei tokios nustatytos;</w:t>
            </w:r>
          </w:p>
          <w:p w:rsidR="005B061F"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12. duomenys apie asmenis, turinčius teisę juridinio asmens vardu sudaryti sandorius;</w:t>
            </w:r>
          </w:p>
          <w:p w:rsidR="005B061F"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13. taisyklė, pagal kurią asmenys veikia juridinio asmens vardu;</w:t>
            </w:r>
          </w:p>
          <w:p w:rsidR="00B161E5"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14. paramos gavėjo statuso suteikimo data;</w:t>
            </w:r>
          </w:p>
          <w:p w:rsidR="005B061F"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15. veiklos apribojimai;</w:t>
            </w:r>
          </w:p>
          <w:p w:rsidR="005B061F"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16. įstatinio kapitalo dydis;</w:t>
            </w:r>
          </w:p>
          <w:p w:rsidR="005B061F" w:rsidRDefault="00DC2471" w:rsidP="000F2CF3">
            <w:pPr>
              <w:jc w:val="both"/>
              <w:rPr>
                <w:rFonts w:eastAsia="Times New Roman" w:cs="Times New Roman"/>
                <w:color w:val="000000"/>
                <w:sz w:val="22"/>
                <w:lang w:eastAsia="lt-LT"/>
              </w:rPr>
            </w:pPr>
            <w:r w:rsidRPr="00C77F16">
              <w:rPr>
                <w:rFonts w:eastAsia="Times New Roman" w:cs="Times New Roman"/>
                <w:color w:val="000000"/>
                <w:sz w:val="22"/>
                <w:lang w:eastAsia="lt-LT"/>
              </w:rPr>
              <w:t>17. duomenys apie asmenis, kuriems suteikta teisė juridinio asmens vardu naudotis elektroninėmis paslaugomis.</w:t>
            </w:r>
          </w:p>
          <w:p w:rsidR="00DC2471" w:rsidRPr="00C77F16" w:rsidRDefault="00716F89" w:rsidP="00C04F99">
            <w:pPr>
              <w:jc w:val="both"/>
              <w:rPr>
                <w:rFonts w:eastAsia="Times New Roman" w:cs="Times New Roman"/>
                <w:color w:val="000000"/>
                <w:sz w:val="22"/>
                <w:lang w:eastAsia="lt-LT"/>
              </w:rPr>
            </w:pPr>
            <w:r w:rsidRPr="00C77F16">
              <w:rPr>
                <w:rFonts w:eastAsia="Times New Roman" w:cs="Times New Roman"/>
                <w:color w:val="000000"/>
                <w:sz w:val="22"/>
                <w:lang w:eastAsia="lt-LT"/>
              </w:rPr>
              <w:t xml:space="preserve">Per </w:t>
            </w:r>
            <w:r w:rsidR="00DC2471" w:rsidRPr="00C77F16">
              <w:rPr>
                <w:rFonts w:eastAsia="Times New Roman" w:cs="Times New Roman"/>
                <w:color w:val="000000"/>
                <w:sz w:val="22"/>
                <w:lang w:eastAsia="lt-LT"/>
              </w:rPr>
              <w:t xml:space="preserve">2020 m. išduota 38 387 Juridinių asmenų registro pagrindinių duomenų išrašai, iš jų 6 411 </w:t>
            </w:r>
            <w:r w:rsidR="00B6158F">
              <w:rPr>
                <w:rFonts w:eastAsia="Times New Roman" w:cs="Times New Roman"/>
                <w:color w:val="000000"/>
                <w:sz w:val="22"/>
                <w:lang w:eastAsia="lt-LT"/>
              </w:rPr>
              <w:t xml:space="preserve">– </w:t>
            </w:r>
            <w:r w:rsidR="00DC2471" w:rsidRPr="00C77F16">
              <w:rPr>
                <w:rFonts w:eastAsia="Times New Roman" w:cs="Times New Roman"/>
                <w:color w:val="000000"/>
                <w:sz w:val="22"/>
                <w:lang w:eastAsia="lt-LT"/>
              </w:rPr>
              <w:t>anglų kalba.</w:t>
            </w:r>
          </w:p>
        </w:tc>
      </w:tr>
      <w:tr w:rsidR="00DC2471" w:rsidRPr="00C77F16" w:rsidTr="00B161E5">
        <w:trPr>
          <w:trHeight w:val="293"/>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lastRenderedPageBreak/>
              <w:t>1.7. Atlikti kompleksinę visų galiojančių taupymo lengvatų analizę ir įvertinti galimybes sukurti gyventojų asmeninės taupymo sąskaitos teisinį reguliavimą</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III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Finansų ministerija</w:t>
            </w:r>
          </w:p>
        </w:tc>
        <w:tc>
          <w:tcPr>
            <w:tcW w:w="4712" w:type="dxa"/>
            <w:vAlign w:val="center"/>
            <w:hideMark/>
          </w:tcPr>
          <w:p w:rsidR="00DC2471" w:rsidRPr="00C77F16" w:rsidRDefault="00DC2471" w:rsidP="00DE78CF">
            <w:pPr>
              <w:jc w:val="both"/>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00401566">
              <w:rPr>
                <w:rFonts w:eastAsia="Times New Roman" w:cs="Times New Roman"/>
                <w:b/>
                <w:bCs/>
                <w:color w:val="000000"/>
                <w:sz w:val="22"/>
                <w:lang w:eastAsia="lt-LT"/>
              </w:rPr>
              <w:t xml:space="preserve"> iš dalies</w:t>
            </w:r>
            <w:r w:rsidR="0060099A" w:rsidRPr="0060099A">
              <w:rPr>
                <w:rFonts w:eastAsia="Times New Roman" w:cs="Times New Roman"/>
                <w:b/>
                <w:bCs/>
                <w:sz w:val="22"/>
                <w:lang w:eastAsia="lt-LT"/>
              </w:rPr>
              <w:t>.</w:t>
            </w:r>
            <w:r w:rsidR="00401566" w:rsidRPr="00401566">
              <w:rPr>
                <w:rFonts w:eastAsia="Times New Roman" w:cs="Times New Roman"/>
                <w:b/>
                <w:bCs/>
                <w:color w:val="FFFFFF" w:themeColor="background1"/>
                <w:sz w:val="22"/>
                <w:lang w:eastAsia="lt-LT"/>
              </w:rPr>
              <w:t xml:space="preserve">                   </w:t>
            </w:r>
            <w:bookmarkStart w:id="0" w:name="_GoBack"/>
            <w:bookmarkEnd w:id="0"/>
            <w:r w:rsidR="00401566" w:rsidRPr="00401566">
              <w:rPr>
                <w:rFonts w:eastAsia="Times New Roman" w:cs="Times New Roman"/>
                <w:b/>
                <w:bCs/>
                <w:color w:val="FFFFFF" w:themeColor="background1"/>
                <w:sz w:val="22"/>
                <w:lang w:eastAsia="lt-LT"/>
              </w:rPr>
              <w:t xml:space="preserve">                         </w:t>
            </w:r>
            <w:r w:rsidRPr="00401566">
              <w:rPr>
                <w:rFonts w:eastAsia="Times New Roman" w:cs="Times New Roman"/>
                <w:b/>
                <w:bCs/>
                <w:color w:val="FFFFFF" w:themeColor="background1"/>
                <w:sz w:val="22"/>
                <w:lang w:eastAsia="lt-LT"/>
              </w:rPr>
              <w:t>.</w:t>
            </w:r>
            <w:r w:rsidRPr="00C77F16">
              <w:rPr>
                <w:rFonts w:eastAsia="Times New Roman" w:cs="Times New Roman"/>
                <w:color w:val="000000"/>
                <w:sz w:val="22"/>
                <w:lang w:eastAsia="lt-LT"/>
              </w:rPr>
              <w:br/>
            </w:r>
            <w:r w:rsidR="00B6158F">
              <w:rPr>
                <w:rFonts w:eastAsia="Times New Roman" w:cs="Times New Roman"/>
                <w:color w:val="000000"/>
                <w:sz w:val="22"/>
                <w:lang w:eastAsia="lt-LT"/>
              </w:rPr>
              <w:t>I</w:t>
            </w:r>
            <w:r w:rsidRPr="00C77F16">
              <w:rPr>
                <w:rFonts w:eastAsia="Times New Roman" w:cs="Times New Roman"/>
                <w:color w:val="000000"/>
                <w:sz w:val="22"/>
                <w:lang w:eastAsia="lt-LT"/>
              </w:rPr>
              <w:t xml:space="preserve">šanalizuotos galiojančios mokestinės taupymo lengvatos, vertinti galimi teisinio reguliavimo pokyčiai, siekiant sukurti gyventojų asmeninę taupymo sąskaitą. </w:t>
            </w:r>
            <w:r w:rsidR="00D7552E" w:rsidRPr="00C77F16">
              <w:rPr>
                <w:rFonts w:eastAsia="Times New Roman" w:cs="Times New Roman"/>
                <w:color w:val="000000"/>
                <w:sz w:val="22"/>
                <w:lang w:eastAsia="lt-LT"/>
              </w:rPr>
              <w:t>Priemonė toliau bus tęsiama ir perkelta į</w:t>
            </w:r>
            <w:r w:rsidR="00DE78CF">
              <w:rPr>
                <w:rFonts w:eastAsia="Times New Roman" w:cs="Times New Roman"/>
                <w:color w:val="000000"/>
                <w:sz w:val="22"/>
                <w:lang w:eastAsia="lt-LT"/>
              </w:rPr>
              <w:t xml:space="preserve"> </w:t>
            </w:r>
            <w:r w:rsidR="00DE78CF" w:rsidRPr="00DE78CF">
              <w:rPr>
                <w:rFonts w:eastAsia="Times New Roman" w:cs="Times New Roman"/>
                <w:color w:val="000000"/>
                <w:sz w:val="22"/>
                <w:lang w:eastAsia="lt-LT"/>
              </w:rPr>
              <w:t xml:space="preserve">2021 m. priemonių finansinių technologijų (FINTECH) industrijos plėtrai </w:t>
            </w:r>
            <w:r w:rsidR="00DE78CF" w:rsidRPr="00DE78CF">
              <w:rPr>
                <w:rFonts w:eastAsia="Times New Roman" w:cs="Times New Roman"/>
                <w:color w:val="000000"/>
                <w:sz w:val="22"/>
                <w:lang w:eastAsia="lt-LT"/>
              </w:rPr>
              <w:lastRenderedPageBreak/>
              <w:t>Lietuvoje skatinti planą</w:t>
            </w:r>
            <w:r w:rsidR="00DE78CF">
              <w:rPr>
                <w:rFonts w:eastAsia="Times New Roman" w:cs="Times New Roman"/>
                <w:color w:val="000000"/>
                <w:sz w:val="22"/>
                <w:lang w:eastAsia="lt-LT"/>
              </w:rPr>
              <w:t>.</w:t>
            </w:r>
            <w:r w:rsidR="00D7552E" w:rsidRPr="00C77F16">
              <w:rPr>
                <w:rFonts w:eastAsia="Times New Roman" w:cs="Times New Roman"/>
                <w:color w:val="000000"/>
                <w:sz w:val="22"/>
                <w:lang w:eastAsia="lt-LT"/>
              </w:rPr>
              <w:t xml:space="preserve"> </w:t>
            </w:r>
          </w:p>
        </w:tc>
      </w:tr>
      <w:tr w:rsidR="00DC2471" w:rsidRPr="00C77F16" w:rsidTr="00C77F16">
        <w:trPr>
          <w:trHeight w:val="1500"/>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lastRenderedPageBreak/>
              <w:t>1.8. Išanalizuoti ir įvertinti galimybes aiškiau apibrėžti galimo pinigų plovimo ir įtartinų piniginių operacijų ar sandorių atpažinimo kriterijus ir, esant poreikiui, šiuos kriterijus patikslinti bei papildyti</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Finansinių nusikaltimų tyrimo tarnyba prie Vidaus reikalų ministerijos</w:t>
            </w:r>
          </w:p>
        </w:tc>
        <w:tc>
          <w:tcPr>
            <w:tcW w:w="4712" w:type="dxa"/>
            <w:vAlign w:val="center"/>
            <w:hideMark/>
          </w:tcPr>
          <w:p w:rsidR="00DC2471" w:rsidRPr="00C77F16" w:rsidRDefault="00DC2471" w:rsidP="00B6158F">
            <w:pPr>
              <w:jc w:val="both"/>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Pr="00C77F16">
              <w:rPr>
                <w:rFonts w:eastAsia="Times New Roman" w:cs="Times New Roman"/>
                <w:color w:val="000000"/>
                <w:sz w:val="22"/>
                <w:lang w:eastAsia="lt-LT"/>
              </w:rPr>
              <w:br/>
              <w:t xml:space="preserve">Galimo pinigų plovimo ir įtartinų piniginių operacijų ar sandorių atpažinimo kriterijai </w:t>
            </w:r>
            <w:r w:rsidR="00DE78CF">
              <w:rPr>
                <w:rFonts w:eastAsia="Times New Roman" w:cs="Times New Roman"/>
                <w:color w:val="000000"/>
                <w:sz w:val="22"/>
                <w:lang w:eastAsia="lt-LT"/>
              </w:rPr>
              <w:t>(</w:t>
            </w:r>
            <w:hyperlink r:id="rId10" w:history="1">
              <w:r w:rsidR="00DE78CF" w:rsidRPr="00DE78CF">
                <w:rPr>
                  <w:rStyle w:val="Hipersaitas"/>
                  <w:rFonts w:eastAsia="Times New Roman" w:cs="Times New Roman"/>
                  <w:sz w:val="22"/>
                  <w:lang w:eastAsia="lt-LT"/>
                </w:rPr>
                <w:t>https://www.e-tar.lt/portal/lt/legalAct/a664b2107ecd11e4bc68a1493830b8b9/asr</w:t>
              </w:r>
            </w:hyperlink>
            <w:r w:rsidR="00DE78CF">
              <w:rPr>
                <w:rFonts w:eastAsia="Times New Roman" w:cs="Times New Roman"/>
                <w:sz w:val="22"/>
                <w:lang w:eastAsia="lt-LT"/>
              </w:rPr>
              <w:t xml:space="preserve">) </w:t>
            </w:r>
            <w:r w:rsidRPr="00C77F16">
              <w:rPr>
                <w:rFonts w:eastAsia="Times New Roman" w:cs="Times New Roman"/>
                <w:color w:val="000000"/>
                <w:sz w:val="22"/>
                <w:lang w:eastAsia="lt-LT"/>
              </w:rPr>
              <w:t>papildyti 2020</w:t>
            </w:r>
            <w:r w:rsidR="00B6158F">
              <w:rPr>
                <w:rFonts w:eastAsia="Times New Roman" w:cs="Times New Roman"/>
                <w:color w:val="000000"/>
                <w:sz w:val="22"/>
                <w:lang w:eastAsia="lt-LT"/>
              </w:rPr>
              <w:t xml:space="preserve"> m. sausio </w:t>
            </w:r>
            <w:r w:rsidRPr="00C77F16">
              <w:rPr>
                <w:rFonts w:eastAsia="Times New Roman" w:cs="Times New Roman"/>
                <w:color w:val="000000"/>
                <w:sz w:val="22"/>
                <w:lang w:eastAsia="lt-LT"/>
              </w:rPr>
              <w:t>10</w:t>
            </w:r>
            <w:r w:rsidR="00B6158F">
              <w:rPr>
                <w:rFonts w:eastAsia="Times New Roman" w:cs="Times New Roman"/>
                <w:color w:val="000000"/>
                <w:sz w:val="22"/>
                <w:lang w:eastAsia="lt-LT"/>
              </w:rPr>
              <w:t xml:space="preserve"> d.</w:t>
            </w:r>
            <w:r w:rsidRPr="00C77F16">
              <w:rPr>
                <w:rFonts w:eastAsia="Times New Roman" w:cs="Times New Roman"/>
                <w:color w:val="000000"/>
                <w:sz w:val="22"/>
                <w:lang w:eastAsia="lt-LT"/>
              </w:rPr>
              <w:t xml:space="preserve"> ir 2020</w:t>
            </w:r>
            <w:r w:rsidR="00B6158F">
              <w:rPr>
                <w:rFonts w:eastAsia="Times New Roman" w:cs="Times New Roman"/>
                <w:color w:val="000000"/>
                <w:sz w:val="22"/>
                <w:lang w:eastAsia="lt-LT"/>
              </w:rPr>
              <w:t xml:space="preserve"> m. birželio </w:t>
            </w:r>
            <w:r w:rsidRPr="00C77F16">
              <w:rPr>
                <w:rFonts w:eastAsia="Times New Roman" w:cs="Times New Roman"/>
                <w:color w:val="000000"/>
                <w:sz w:val="22"/>
                <w:lang w:eastAsia="lt-LT"/>
              </w:rPr>
              <w:t>22</w:t>
            </w:r>
            <w:r w:rsidR="00B6158F">
              <w:rPr>
                <w:rFonts w:eastAsia="Times New Roman" w:cs="Times New Roman"/>
                <w:color w:val="000000"/>
                <w:sz w:val="22"/>
                <w:lang w:eastAsia="lt-LT"/>
              </w:rPr>
              <w:t xml:space="preserve"> d.</w:t>
            </w:r>
          </w:p>
        </w:tc>
      </w:tr>
      <w:tr w:rsidR="00DC2471" w:rsidRPr="00C77F16" w:rsidTr="0073531F">
        <w:trPr>
          <w:trHeight w:val="1500"/>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t>1.9. Parengti rekomendacijas dėl atvirosios bankininkystės principo taikymo Lietuvoje</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II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Mokėjimų taryba</w:t>
            </w:r>
          </w:p>
        </w:tc>
        <w:tc>
          <w:tcPr>
            <w:tcW w:w="4712" w:type="dxa"/>
            <w:hideMark/>
          </w:tcPr>
          <w:p w:rsidR="00DC2471" w:rsidRPr="00C77F16" w:rsidRDefault="00DC2471" w:rsidP="0073531F">
            <w:pPr>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Pr="00C77F16">
              <w:rPr>
                <w:rFonts w:eastAsia="Times New Roman" w:cs="Times New Roman"/>
                <w:color w:val="000000"/>
                <w:sz w:val="22"/>
                <w:lang w:eastAsia="lt-LT"/>
              </w:rPr>
              <w:br/>
              <w:t>Rekomend</w:t>
            </w:r>
            <w:r w:rsidR="008D548E" w:rsidRPr="00C77F16">
              <w:rPr>
                <w:rFonts w:eastAsia="Times New Roman" w:cs="Times New Roman"/>
                <w:color w:val="000000"/>
                <w:sz w:val="22"/>
                <w:lang w:eastAsia="lt-LT"/>
              </w:rPr>
              <w:t>a</w:t>
            </w:r>
            <w:r w:rsidRPr="00C77F16">
              <w:rPr>
                <w:rFonts w:eastAsia="Times New Roman" w:cs="Times New Roman"/>
                <w:color w:val="000000"/>
                <w:sz w:val="22"/>
                <w:lang w:eastAsia="lt-LT"/>
              </w:rPr>
              <w:t xml:space="preserve">cijos parengtos: </w:t>
            </w:r>
            <w:hyperlink r:id="rId11" w:history="1">
              <w:r w:rsidRPr="00C77F16">
                <w:rPr>
                  <w:rStyle w:val="Hipersaitas"/>
                  <w:rFonts w:eastAsia="Times New Roman" w:cs="Times New Roman"/>
                  <w:sz w:val="22"/>
                  <w:lang w:eastAsia="lt-LT"/>
                </w:rPr>
                <w:t>http://finmin.lrv.lt/uploads/finmin/documents/files/Atvirosios%20bankininkystes%20UG%20ataskaita_final.pdf</w:t>
              </w:r>
            </w:hyperlink>
            <w:r w:rsidR="00B6158F">
              <w:rPr>
                <w:rStyle w:val="Hipersaitas"/>
                <w:rFonts w:eastAsia="Times New Roman" w:cs="Times New Roman"/>
                <w:sz w:val="22"/>
                <w:lang w:eastAsia="lt-LT"/>
              </w:rPr>
              <w:t>.</w:t>
            </w:r>
          </w:p>
        </w:tc>
      </w:tr>
      <w:tr w:rsidR="00DC2471" w:rsidRPr="00C77F16" w:rsidTr="00C77F16">
        <w:trPr>
          <w:trHeight w:val="404"/>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t>1.10. Įsteigti viešojo ir privataus sektorių bendradarbiavimo pagrindu veikiantį pinigų plovimo prevencijos kompetencijos centrą</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IV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Finansų ministerija kartu su Lietuvos banku ir Vidaus reikalų ministerija</w:t>
            </w:r>
          </w:p>
        </w:tc>
        <w:tc>
          <w:tcPr>
            <w:tcW w:w="4712" w:type="dxa"/>
            <w:vAlign w:val="center"/>
            <w:hideMark/>
          </w:tcPr>
          <w:p w:rsidR="003B0118" w:rsidRPr="00C77F16" w:rsidRDefault="00DC2471" w:rsidP="00B52439">
            <w:pPr>
              <w:jc w:val="both"/>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Pr="00C77F16">
              <w:rPr>
                <w:rFonts w:eastAsia="Times New Roman" w:cs="Times New Roman"/>
                <w:color w:val="000000"/>
                <w:sz w:val="22"/>
                <w:lang w:eastAsia="lt-LT"/>
              </w:rPr>
              <w:br/>
            </w:r>
            <w:r w:rsidR="003B0118" w:rsidRPr="00C77F16">
              <w:rPr>
                <w:rFonts w:eastAsia="Times New Roman" w:cs="Times New Roman"/>
                <w:color w:val="000000"/>
                <w:sz w:val="22"/>
                <w:lang w:eastAsia="lt-LT"/>
              </w:rPr>
              <w:t xml:space="preserve">Lietuvos Respublikos </w:t>
            </w:r>
            <w:r w:rsidRPr="00C77F16">
              <w:rPr>
                <w:rFonts w:eastAsia="Times New Roman" w:cs="Times New Roman"/>
                <w:color w:val="000000"/>
                <w:sz w:val="22"/>
                <w:lang w:eastAsia="lt-LT"/>
              </w:rPr>
              <w:t xml:space="preserve">Vyriausybė </w:t>
            </w:r>
            <w:r w:rsidR="003B0118" w:rsidRPr="00C77F16">
              <w:rPr>
                <w:rFonts w:eastAsia="Times New Roman" w:cs="Times New Roman"/>
                <w:color w:val="000000"/>
                <w:sz w:val="22"/>
                <w:lang w:eastAsia="lt-LT"/>
              </w:rPr>
              <w:t>2020 m. spalio 28 d. nutarimu Nr. 1197</w:t>
            </w:r>
            <w:r w:rsidR="000E4B21">
              <w:t xml:space="preserve"> „</w:t>
            </w:r>
            <w:r w:rsidR="000E4B21">
              <w:rPr>
                <w:rFonts w:eastAsia="Times New Roman" w:cs="Times New Roman"/>
                <w:color w:val="000000"/>
                <w:sz w:val="22"/>
                <w:lang w:eastAsia="lt-LT"/>
              </w:rPr>
              <w:t>D</w:t>
            </w:r>
            <w:r w:rsidR="000E4B21" w:rsidRPr="000E4B21">
              <w:rPr>
                <w:rFonts w:eastAsia="Times New Roman" w:cs="Times New Roman"/>
                <w:color w:val="000000"/>
                <w:sz w:val="22"/>
                <w:lang w:eastAsia="lt-LT"/>
              </w:rPr>
              <w:t xml:space="preserve">ėl viešosios įstaigos </w:t>
            </w:r>
            <w:r w:rsidR="00B52439">
              <w:rPr>
                <w:rFonts w:eastAsia="Times New Roman" w:cs="Times New Roman"/>
                <w:color w:val="000000"/>
                <w:sz w:val="22"/>
                <w:lang w:eastAsia="lt-LT"/>
              </w:rPr>
              <w:t>P</w:t>
            </w:r>
            <w:r w:rsidR="000E4B21" w:rsidRPr="000E4B21">
              <w:rPr>
                <w:rFonts w:eastAsia="Times New Roman" w:cs="Times New Roman"/>
                <w:color w:val="000000"/>
                <w:sz w:val="22"/>
                <w:lang w:eastAsia="lt-LT"/>
              </w:rPr>
              <w:t>inigų plovimo prevencijos kompetencijų centro steigimo ir valstybės turto investavimo</w:t>
            </w:r>
            <w:r w:rsidR="000E4B21">
              <w:rPr>
                <w:rFonts w:eastAsia="Times New Roman" w:cs="Times New Roman"/>
                <w:color w:val="000000"/>
                <w:sz w:val="22"/>
                <w:lang w:eastAsia="lt-LT"/>
              </w:rPr>
              <w:t>“ (</w:t>
            </w:r>
            <w:hyperlink r:id="rId12" w:history="1">
              <w:r w:rsidR="000E4B21" w:rsidRPr="005D0A19">
                <w:rPr>
                  <w:rStyle w:val="Hipersaitas"/>
                  <w:rFonts w:eastAsia="Times New Roman" w:cs="Times New Roman"/>
                  <w:sz w:val="22"/>
                  <w:lang w:eastAsia="lt-LT"/>
                </w:rPr>
                <w:t>https://www.e-tar.lt/portal/lt/legalAct/317ce3e019dc11ebb0038a8cd8ff585f</w:t>
              </w:r>
            </w:hyperlink>
            <w:r w:rsidR="000E4B21">
              <w:rPr>
                <w:rFonts w:eastAsia="Times New Roman" w:cs="Times New Roman"/>
                <w:color w:val="000000"/>
                <w:sz w:val="22"/>
                <w:lang w:eastAsia="lt-LT"/>
              </w:rPr>
              <w:t>)</w:t>
            </w:r>
            <w:r w:rsidR="003B0118" w:rsidRPr="00C77F16">
              <w:rPr>
                <w:rFonts w:cs="Times New Roman"/>
                <w:sz w:val="22"/>
              </w:rPr>
              <w:t xml:space="preserve"> </w:t>
            </w:r>
            <w:r w:rsidR="003B0118" w:rsidRPr="00C77F16">
              <w:rPr>
                <w:rFonts w:eastAsia="Times New Roman" w:cs="Times New Roman"/>
                <w:color w:val="000000"/>
                <w:sz w:val="22"/>
                <w:lang w:eastAsia="lt-LT"/>
              </w:rPr>
              <w:t>priėmė</w:t>
            </w:r>
            <w:r w:rsidRPr="00C77F16">
              <w:rPr>
                <w:rFonts w:eastAsia="Times New Roman" w:cs="Times New Roman"/>
                <w:color w:val="000000"/>
                <w:sz w:val="22"/>
                <w:lang w:eastAsia="lt-LT"/>
              </w:rPr>
              <w:t xml:space="preserve"> sprendim</w:t>
            </w:r>
            <w:r w:rsidR="003B0118" w:rsidRPr="00C77F16">
              <w:rPr>
                <w:rFonts w:eastAsia="Times New Roman" w:cs="Times New Roman"/>
                <w:color w:val="000000"/>
                <w:sz w:val="22"/>
                <w:lang w:eastAsia="lt-LT"/>
              </w:rPr>
              <w:t>ą</w:t>
            </w:r>
            <w:r w:rsidRPr="00C77F16">
              <w:rPr>
                <w:rFonts w:eastAsia="Times New Roman" w:cs="Times New Roman"/>
                <w:color w:val="000000"/>
                <w:sz w:val="22"/>
                <w:lang w:eastAsia="lt-LT"/>
              </w:rPr>
              <w:t xml:space="preserve"> steigti Pinigų plovimo prevencijos kompetencijų centrą (toliau – Centras). Centro tikslas – užtikrinti viešojo ir privataus sektorių bendradarbiavimą, koordinuojant pinigų plovimo ir terorizmo finansavimo prevencijos priemonių įgyvendinimą ir rizik</w:t>
            </w:r>
            <w:r w:rsidR="0073531F">
              <w:rPr>
                <w:rFonts w:eastAsia="Times New Roman" w:cs="Times New Roman"/>
                <w:color w:val="000000"/>
                <w:sz w:val="22"/>
                <w:lang w:eastAsia="lt-LT"/>
              </w:rPr>
              <w:t>os</w:t>
            </w:r>
            <w:r w:rsidRPr="00C77F16">
              <w:rPr>
                <w:rFonts w:eastAsia="Times New Roman" w:cs="Times New Roman"/>
                <w:color w:val="000000"/>
                <w:sz w:val="22"/>
                <w:lang w:eastAsia="lt-LT"/>
              </w:rPr>
              <w:t xml:space="preserve"> valdymą. Centro steigėjai yra Finansų ministerija, Lietuvos bankas, komerciniai bankai. Į jos veiklą taip pat bus įtraukta Finansinių nusikaltimų tyrimo tarnyba</w:t>
            </w:r>
            <w:r w:rsidR="007F0DCF" w:rsidRPr="00C77F16">
              <w:rPr>
                <w:rFonts w:eastAsia="Times New Roman" w:cs="Times New Roman"/>
                <w:color w:val="000000"/>
                <w:sz w:val="22"/>
                <w:lang w:eastAsia="lt-LT"/>
              </w:rPr>
              <w:t xml:space="preserve"> prie Vidaus reikalų ministerijos</w:t>
            </w:r>
            <w:r w:rsidRPr="00C77F16">
              <w:rPr>
                <w:rFonts w:eastAsia="Times New Roman" w:cs="Times New Roman"/>
                <w:color w:val="000000"/>
                <w:sz w:val="22"/>
                <w:lang w:eastAsia="lt-LT"/>
              </w:rPr>
              <w:t xml:space="preserve">. Centras kurs ir administruos viešojo ir privataus sektorių bendradarbiavimo ir dalijimosi informacija pinigų plovimo ir terorizmo finansavimo prevencijos srityje platformą; atliks tyrimus, vertinimus ir analizes, rengs gerosios praktikos apibendrinimus ir pasiūlymus dėl jos </w:t>
            </w:r>
            <w:r w:rsidRPr="00C77F16">
              <w:rPr>
                <w:rFonts w:eastAsia="Times New Roman" w:cs="Times New Roman"/>
                <w:color w:val="000000"/>
                <w:sz w:val="22"/>
                <w:lang w:eastAsia="lt-LT"/>
              </w:rPr>
              <w:lastRenderedPageBreak/>
              <w:t>taikymo privataus sektoriaus subjektams atliekant pinigų plovimo ir terorizmo finansavimo prevencijos vidaus rizikos vertinimą. Taip pat valstybės politiką pinigų plovimo prevencijos srityje formuojančioms institucijoms teiks ekspertinę nuomonę (išvadas ar pasiūlymus) dėl teisinio reguliavimo tobulinimo bei ugdys viešojo ir privataus sektorių subjektų ir jų darbuotojų kompetenciją pinigų plovimo ir terorizmo finansavimo prevencijos srityje. Centras bus įsteigtas 2021 m.</w:t>
            </w:r>
          </w:p>
        </w:tc>
      </w:tr>
      <w:tr w:rsidR="00DC2471" w:rsidRPr="00C77F16" w:rsidTr="00C77F16">
        <w:trPr>
          <w:trHeight w:val="1200"/>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lastRenderedPageBreak/>
              <w:t>1.11. Atlikti FINTECH sektoriui šiuo metu ir ateinantiems 5 metams reikalingų kompetencijų analizę</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IV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proofErr w:type="spellStart"/>
            <w:r w:rsidRPr="00C77F16">
              <w:rPr>
                <w:rFonts w:eastAsia="Times New Roman" w:cs="Times New Roman"/>
                <w:color w:val="000000"/>
                <w:sz w:val="22"/>
                <w:lang w:eastAsia="lt-LT"/>
              </w:rPr>
              <w:t>VšĮ</w:t>
            </w:r>
            <w:proofErr w:type="spellEnd"/>
            <w:r w:rsidRPr="00C77F16">
              <w:rPr>
                <w:rFonts w:eastAsia="Times New Roman" w:cs="Times New Roman"/>
                <w:color w:val="000000"/>
                <w:sz w:val="22"/>
                <w:lang w:eastAsia="lt-LT"/>
              </w:rPr>
              <w:t xml:space="preserve"> „Investuok Lietuvoje“</w:t>
            </w:r>
          </w:p>
        </w:tc>
        <w:tc>
          <w:tcPr>
            <w:tcW w:w="4712" w:type="dxa"/>
            <w:vAlign w:val="center"/>
            <w:hideMark/>
          </w:tcPr>
          <w:p w:rsidR="00DC2471" w:rsidRPr="00C77F16" w:rsidRDefault="00DC2471" w:rsidP="007F0DCF">
            <w:pPr>
              <w:jc w:val="both"/>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Pr="00C77F16">
              <w:rPr>
                <w:rFonts w:eastAsia="Times New Roman" w:cs="Times New Roman"/>
                <w:color w:val="000000"/>
                <w:sz w:val="22"/>
                <w:lang w:eastAsia="lt-LT"/>
              </w:rPr>
              <w:br/>
              <w:t>F</w:t>
            </w:r>
            <w:r w:rsidR="007F0DCF">
              <w:rPr>
                <w:rFonts w:eastAsia="Times New Roman" w:cs="Times New Roman"/>
                <w:color w:val="000000"/>
                <w:sz w:val="22"/>
                <w:lang w:eastAsia="lt-LT"/>
              </w:rPr>
              <w:t>INTECH</w:t>
            </w:r>
            <w:r w:rsidRPr="00C77F16">
              <w:rPr>
                <w:rFonts w:eastAsia="Times New Roman" w:cs="Times New Roman"/>
                <w:color w:val="000000"/>
                <w:sz w:val="22"/>
                <w:lang w:eastAsia="lt-LT"/>
              </w:rPr>
              <w:t xml:space="preserve"> sektoriui reikalingų kompetencijų analizė atlikta 2020</w:t>
            </w:r>
            <w:r w:rsidR="008D548E" w:rsidRPr="00C77F16">
              <w:rPr>
                <w:rFonts w:eastAsia="Times New Roman" w:cs="Times New Roman"/>
                <w:color w:val="000000"/>
                <w:sz w:val="22"/>
                <w:lang w:eastAsia="lt-LT"/>
              </w:rPr>
              <w:t xml:space="preserve"> </w:t>
            </w:r>
            <w:r w:rsidRPr="00C77F16">
              <w:rPr>
                <w:rFonts w:eastAsia="Times New Roman" w:cs="Times New Roman"/>
                <w:color w:val="000000"/>
                <w:sz w:val="22"/>
                <w:lang w:eastAsia="lt-LT"/>
              </w:rPr>
              <w:t xml:space="preserve">m. IV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 apklausiant F</w:t>
            </w:r>
            <w:r w:rsidR="007F0DCF">
              <w:rPr>
                <w:rFonts w:eastAsia="Times New Roman" w:cs="Times New Roman"/>
                <w:color w:val="000000"/>
                <w:sz w:val="22"/>
                <w:lang w:eastAsia="lt-LT"/>
              </w:rPr>
              <w:t>INTECH</w:t>
            </w:r>
            <w:r w:rsidRPr="00C77F16">
              <w:rPr>
                <w:rFonts w:eastAsia="Times New Roman" w:cs="Times New Roman"/>
                <w:color w:val="000000"/>
                <w:sz w:val="22"/>
                <w:lang w:eastAsia="lt-LT"/>
              </w:rPr>
              <w:t xml:space="preserve"> rinkos dalyvius bei apibendrinant statistin</w:t>
            </w:r>
            <w:r w:rsidR="008D548E" w:rsidRPr="00C77F16">
              <w:rPr>
                <w:rFonts w:eastAsia="Times New Roman" w:cs="Times New Roman"/>
                <w:color w:val="000000"/>
                <w:sz w:val="22"/>
                <w:lang w:eastAsia="lt-LT"/>
              </w:rPr>
              <w:t>ius duomenis. Analizės duomenys pateikiami F</w:t>
            </w:r>
            <w:r w:rsidR="007F0DCF">
              <w:rPr>
                <w:rFonts w:eastAsia="Times New Roman" w:cs="Times New Roman"/>
                <w:color w:val="000000"/>
                <w:sz w:val="22"/>
                <w:lang w:eastAsia="lt-LT"/>
              </w:rPr>
              <w:t>INTECH</w:t>
            </w:r>
            <w:r w:rsidR="008D548E" w:rsidRPr="00C77F16">
              <w:rPr>
                <w:rFonts w:eastAsia="Times New Roman" w:cs="Times New Roman"/>
                <w:color w:val="000000"/>
                <w:sz w:val="22"/>
                <w:lang w:eastAsia="lt-LT"/>
              </w:rPr>
              <w:t xml:space="preserve"> sektoriaus 2020–2021 m. apžvalgoje: </w:t>
            </w:r>
            <w:hyperlink r:id="rId13" w:history="1">
              <w:r w:rsidR="008D548E" w:rsidRPr="00C77F16">
                <w:rPr>
                  <w:rStyle w:val="Hipersaitas"/>
                  <w:rFonts w:eastAsia="Times New Roman" w:cs="Times New Roman"/>
                  <w:sz w:val="22"/>
                  <w:lang w:eastAsia="lt-LT"/>
                </w:rPr>
                <w:t>https://investlithuania.com/downloads/</w:t>
              </w:r>
            </w:hyperlink>
            <w:r w:rsidR="007F0DCF">
              <w:rPr>
                <w:rStyle w:val="Hipersaitas"/>
                <w:rFonts w:eastAsia="Times New Roman" w:cs="Times New Roman"/>
                <w:sz w:val="22"/>
                <w:lang w:eastAsia="lt-LT"/>
              </w:rPr>
              <w:t>.</w:t>
            </w:r>
          </w:p>
        </w:tc>
      </w:tr>
      <w:tr w:rsidR="00DC2471" w:rsidRPr="00C77F16" w:rsidTr="0073531F">
        <w:trPr>
          <w:trHeight w:val="2100"/>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t>1.12. Skatinant realaus laiko ekonomikos vystymąsi, aktyviai įsitraukti į tarptautinės patirties dalijimosi struktūras, sekti ir skatinti finansų sektoriui aktualių teisinių, veiklos ir technologinių standartų ir sprendimų įgyvendinimo galimybes, konsultuojantis su rinkos dalyviais, valstybės institucijomis ir tarptautiniais partneriais</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Nuolat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Ekonomikos ir inovacijų ministerija</w:t>
            </w:r>
          </w:p>
        </w:tc>
        <w:tc>
          <w:tcPr>
            <w:tcW w:w="4712" w:type="dxa"/>
            <w:hideMark/>
          </w:tcPr>
          <w:p w:rsidR="00DC2471" w:rsidRPr="00C77F16" w:rsidRDefault="00DC2471" w:rsidP="0073531F">
            <w:pPr>
              <w:jc w:val="both"/>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Pr="00C77F16">
              <w:rPr>
                <w:rFonts w:eastAsia="Times New Roman" w:cs="Times New Roman"/>
                <w:color w:val="000000"/>
                <w:sz w:val="22"/>
                <w:lang w:eastAsia="lt-LT"/>
              </w:rPr>
              <w:br/>
            </w:r>
            <w:r w:rsidR="007F0DCF">
              <w:rPr>
                <w:rFonts w:eastAsia="Times New Roman" w:cs="Times New Roman"/>
                <w:color w:val="000000"/>
                <w:sz w:val="22"/>
                <w:lang w:eastAsia="lt-LT"/>
              </w:rPr>
              <w:t>2020 m. l</w:t>
            </w:r>
            <w:r w:rsidRPr="00C77F16">
              <w:rPr>
                <w:rFonts w:eastAsia="Times New Roman" w:cs="Times New Roman"/>
                <w:color w:val="000000"/>
                <w:sz w:val="22"/>
                <w:lang w:eastAsia="lt-LT"/>
              </w:rPr>
              <w:t xml:space="preserve">apkričio mėnesį </w:t>
            </w:r>
            <w:r w:rsidR="007F0DCF">
              <w:rPr>
                <w:rFonts w:eastAsia="Times New Roman" w:cs="Times New Roman"/>
                <w:color w:val="000000"/>
                <w:sz w:val="22"/>
                <w:lang w:eastAsia="lt-LT"/>
              </w:rPr>
              <w:t xml:space="preserve">vykusiame </w:t>
            </w:r>
            <w:r w:rsidRPr="00C77F16">
              <w:rPr>
                <w:rFonts w:eastAsia="Times New Roman" w:cs="Times New Roman"/>
                <w:color w:val="000000"/>
                <w:sz w:val="22"/>
                <w:lang w:eastAsia="lt-LT"/>
              </w:rPr>
              <w:t>virtual</w:t>
            </w:r>
            <w:r w:rsidR="007F0DCF">
              <w:rPr>
                <w:rFonts w:eastAsia="Times New Roman" w:cs="Times New Roman"/>
                <w:color w:val="000000"/>
                <w:sz w:val="22"/>
                <w:lang w:eastAsia="lt-LT"/>
              </w:rPr>
              <w:t>iajame</w:t>
            </w:r>
            <w:r w:rsidRPr="00C77F16">
              <w:rPr>
                <w:rFonts w:eastAsia="Times New Roman" w:cs="Times New Roman"/>
                <w:color w:val="000000"/>
                <w:sz w:val="22"/>
                <w:lang w:eastAsia="lt-LT"/>
              </w:rPr>
              <w:t xml:space="preserve"> susitikim</w:t>
            </w:r>
            <w:r w:rsidR="007F0DCF">
              <w:rPr>
                <w:rFonts w:eastAsia="Times New Roman" w:cs="Times New Roman"/>
                <w:color w:val="000000"/>
                <w:sz w:val="22"/>
                <w:lang w:eastAsia="lt-LT"/>
              </w:rPr>
              <w:t>e,</w:t>
            </w:r>
            <w:r w:rsidRPr="00C77F16">
              <w:rPr>
                <w:rFonts w:eastAsia="Times New Roman" w:cs="Times New Roman"/>
                <w:color w:val="000000"/>
                <w:sz w:val="22"/>
                <w:lang w:eastAsia="lt-LT"/>
              </w:rPr>
              <w:t xml:space="preserve"> kuriame dalyvavo Estijos, Lietuvos ir Suomijos atstovai, aptarta esama situacija šalyse ir pasir</w:t>
            </w:r>
            <w:r w:rsidR="007F0DCF">
              <w:rPr>
                <w:rFonts w:eastAsia="Times New Roman" w:cs="Times New Roman"/>
                <w:color w:val="000000"/>
                <w:sz w:val="22"/>
                <w:lang w:eastAsia="lt-LT"/>
              </w:rPr>
              <w:t>eng</w:t>
            </w:r>
            <w:r w:rsidRPr="00C77F16">
              <w:rPr>
                <w:rFonts w:eastAsia="Times New Roman" w:cs="Times New Roman"/>
                <w:color w:val="000000"/>
                <w:sz w:val="22"/>
                <w:lang w:eastAsia="lt-LT"/>
              </w:rPr>
              <w:t>imo bei brandos lygis. Lietuva pateikė užpildytą savo vertinimo klausimyną. Lietuva gruodžio mėn</w:t>
            </w:r>
            <w:r w:rsidR="00C77F16">
              <w:rPr>
                <w:rFonts w:eastAsia="Times New Roman" w:cs="Times New Roman"/>
                <w:color w:val="000000"/>
                <w:sz w:val="22"/>
                <w:lang w:eastAsia="lt-LT"/>
              </w:rPr>
              <w:t>.</w:t>
            </w:r>
            <w:r w:rsidRPr="00C77F16">
              <w:rPr>
                <w:rFonts w:eastAsia="Times New Roman" w:cs="Times New Roman"/>
                <w:color w:val="000000"/>
                <w:sz w:val="22"/>
                <w:lang w:eastAsia="lt-LT"/>
              </w:rPr>
              <w:t xml:space="preserve"> pasirašė ir išsiuntė ketinimo prisijungti prie Baltijos regiono kuriamos realaus laiko ekonomikos skatinimo iniciatyvos (</w:t>
            </w:r>
            <w:r w:rsidR="00C535E8">
              <w:rPr>
                <w:rFonts w:eastAsia="Times New Roman" w:cs="Times New Roman"/>
                <w:color w:val="000000"/>
                <w:sz w:val="22"/>
                <w:lang w:eastAsia="lt-LT"/>
              </w:rPr>
              <w:t xml:space="preserve">angl. </w:t>
            </w:r>
            <w:proofErr w:type="spellStart"/>
            <w:r w:rsidRPr="00C77F16">
              <w:rPr>
                <w:rFonts w:eastAsia="Times New Roman" w:cs="Times New Roman"/>
                <w:i/>
                <w:color w:val="000000"/>
                <w:sz w:val="22"/>
                <w:lang w:eastAsia="lt-LT"/>
              </w:rPr>
              <w:t>Real</w:t>
            </w:r>
            <w:proofErr w:type="spellEnd"/>
            <w:r w:rsidRPr="00C77F16">
              <w:rPr>
                <w:rFonts w:eastAsia="Times New Roman" w:cs="Times New Roman"/>
                <w:i/>
                <w:color w:val="000000"/>
                <w:sz w:val="22"/>
                <w:lang w:eastAsia="lt-LT"/>
              </w:rPr>
              <w:t xml:space="preserve"> </w:t>
            </w:r>
            <w:proofErr w:type="spellStart"/>
            <w:r w:rsidRPr="00C77F16">
              <w:rPr>
                <w:rFonts w:eastAsia="Times New Roman" w:cs="Times New Roman"/>
                <w:i/>
                <w:color w:val="000000"/>
                <w:sz w:val="22"/>
                <w:lang w:eastAsia="lt-LT"/>
              </w:rPr>
              <w:t>time</w:t>
            </w:r>
            <w:proofErr w:type="spellEnd"/>
            <w:r w:rsidRPr="00C77F16">
              <w:rPr>
                <w:rFonts w:eastAsia="Times New Roman" w:cs="Times New Roman"/>
                <w:i/>
                <w:color w:val="000000"/>
                <w:sz w:val="22"/>
                <w:lang w:eastAsia="lt-LT"/>
              </w:rPr>
              <w:t xml:space="preserve"> </w:t>
            </w:r>
            <w:proofErr w:type="spellStart"/>
            <w:r w:rsidRPr="00C77F16">
              <w:rPr>
                <w:rFonts w:eastAsia="Times New Roman" w:cs="Times New Roman"/>
                <w:i/>
                <w:color w:val="000000"/>
                <w:sz w:val="22"/>
                <w:lang w:eastAsia="lt-LT"/>
              </w:rPr>
              <w:t>economy</w:t>
            </w:r>
            <w:proofErr w:type="spellEnd"/>
            <w:r w:rsidRPr="00C77F16">
              <w:rPr>
                <w:rFonts w:eastAsia="Times New Roman" w:cs="Times New Roman"/>
                <w:i/>
                <w:color w:val="000000"/>
                <w:sz w:val="22"/>
                <w:lang w:eastAsia="lt-LT"/>
              </w:rPr>
              <w:t xml:space="preserve"> </w:t>
            </w:r>
            <w:proofErr w:type="spellStart"/>
            <w:r w:rsidRPr="00C77F16">
              <w:rPr>
                <w:rFonts w:eastAsia="Times New Roman" w:cs="Times New Roman"/>
                <w:i/>
                <w:color w:val="000000"/>
                <w:sz w:val="22"/>
                <w:lang w:eastAsia="lt-LT"/>
              </w:rPr>
              <w:t>flagship</w:t>
            </w:r>
            <w:proofErr w:type="spellEnd"/>
            <w:r w:rsidRPr="00C77F16">
              <w:rPr>
                <w:rFonts w:eastAsia="Times New Roman" w:cs="Times New Roman"/>
                <w:color w:val="000000"/>
                <w:sz w:val="22"/>
                <w:lang w:eastAsia="lt-LT"/>
              </w:rPr>
              <w:t>) laišką.</w:t>
            </w:r>
          </w:p>
        </w:tc>
      </w:tr>
      <w:tr w:rsidR="00DC2471" w:rsidRPr="00C77F16" w:rsidTr="00B161E5">
        <w:trPr>
          <w:trHeight w:val="577"/>
        </w:trPr>
        <w:tc>
          <w:tcPr>
            <w:tcW w:w="3402" w:type="dxa"/>
            <w:hideMark/>
          </w:tcPr>
          <w:p w:rsidR="00DC2471" w:rsidRPr="00C77F16" w:rsidRDefault="00DC2471" w:rsidP="0012416D">
            <w:pPr>
              <w:jc w:val="both"/>
              <w:rPr>
                <w:rFonts w:eastAsia="Times New Roman" w:cs="Times New Roman"/>
                <w:color w:val="000000"/>
                <w:sz w:val="22"/>
                <w:lang w:eastAsia="lt-LT"/>
              </w:rPr>
            </w:pPr>
            <w:r w:rsidRPr="00C77F16">
              <w:rPr>
                <w:rFonts w:eastAsia="Times New Roman" w:cs="Times New Roman"/>
                <w:color w:val="000000"/>
                <w:sz w:val="22"/>
                <w:lang w:eastAsia="lt-LT"/>
              </w:rPr>
              <w:t xml:space="preserve">1.13. Išanalizuoti galimybes mokesčių administravimo priemonėmis, nekeičiant apmokestinimo taisyklių, automatizuoti labai mažų įmonių ir individualią veiklą vykdančių asmenų mokesčių surinkimą ir įvertinti reikalingų teisės aktų </w:t>
            </w:r>
            <w:r w:rsidRPr="00C77F16">
              <w:rPr>
                <w:rFonts w:eastAsia="Times New Roman" w:cs="Times New Roman"/>
                <w:color w:val="000000"/>
                <w:sz w:val="22"/>
                <w:lang w:eastAsia="lt-LT"/>
              </w:rPr>
              <w:lastRenderedPageBreak/>
              <w:t>pakeitimų poreikį</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lastRenderedPageBreak/>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IV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Valstybinė mokesčių inspekcija, Finansų ministerija</w:t>
            </w:r>
          </w:p>
        </w:tc>
        <w:tc>
          <w:tcPr>
            <w:tcW w:w="4712" w:type="dxa"/>
            <w:vAlign w:val="center"/>
            <w:hideMark/>
          </w:tcPr>
          <w:p w:rsidR="00DC2471" w:rsidRPr="00C77F16" w:rsidRDefault="00DC2471" w:rsidP="00C535E8">
            <w:pPr>
              <w:jc w:val="both"/>
              <w:rPr>
                <w:rFonts w:eastAsia="Times New Roman" w:cs="Times New Roman"/>
                <w:color w:val="000000"/>
                <w:sz w:val="22"/>
                <w:lang w:eastAsia="lt-LT"/>
              </w:rPr>
            </w:pPr>
            <w:r w:rsidRPr="00C77F16">
              <w:rPr>
                <w:rFonts w:eastAsia="Times New Roman" w:cs="Times New Roman"/>
                <w:b/>
                <w:bCs/>
                <w:color w:val="000000"/>
                <w:sz w:val="22"/>
                <w:lang w:eastAsia="lt-LT"/>
              </w:rPr>
              <w:t xml:space="preserve">Įgyvendinta. </w:t>
            </w:r>
            <w:r w:rsidRPr="00C77F16">
              <w:rPr>
                <w:rFonts w:eastAsia="Times New Roman" w:cs="Times New Roman"/>
                <w:color w:val="000000"/>
                <w:sz w:val="22"/>
                <w:lang w:eastAsia="lt-LT"/>
              </w:rPr>
              <w:br/>
            </w:r>
            <w:r w:rsidR="00C535E8" w:rsidRPr="00C77F16">
              <w:rPr>
                <w:rFonts w:eastAsia="Times New Roman" w:cs="Times New Roman"/>
                <w:color w:val="000000"/>
                <w:sz w:val="22"/>
                <w:lang w:eastAsia="lt-LT"/>
              </w:rPr>
              <w:t xml:space="preserve">Valstybinė mokesčių inspekcija </w:t>
            </w:r>
            <w:r w:rsidRPr="00C77F16">
              <w:rPr>
                <w:rFonts w:eastAsia="Times New Roman" w:cs="Times New Roman"/>
                <w:color w:val="000000"/>
                <w:sz w:val="22"/>
                <w:lang w:eastAsia="lt-LT"/>
              </w:rPr>
              <w:t xml:space="preserve">nustatė, </w:t>
            </w:r>
            <w:r w:rsidR="00C535E8">
              <w:rPr>
                <w:rFonts w:eastAsia="Times New Roman" w:cs="Times New Roman"/>
                <w:color w:val="000000"/>
                <w:sz w:val="22"/>
                <w:lang w:eastAsia="lt-LT"/>
              </w:rPr>
              <w:t>kad p</w:t>
            </w:r>
            <w:r w:rsidRPr="00C77F16">
              <w:rPr>
                <w:rFonts w:eastAsia="Times New Roman" w:cs="Times New Roman"/>
                <w:color w:val="000000"/>
                <w:sz w:val="22"/>
                <w:lang w:eastAsia="lt-LT"/>
              </w:rPr>
              <w:t xml:space="preserve">riemonę galima įgyvendinti naudojant </w:t>
            </w:r>
            <w:r w:rsidR="00C535E8">
              <w:rPr>
                <w:rFonts w:eastAsia="Times New Roman" w:cs="Times New Roman"/>
                <w:color w:val="000000"/>
                <w:sz w:val="22"/>
                <w:lang w:eastAsia="lt-LT"/>
              </w:rPr>
              <w:t xml:space="preserve">prašymo pervesti lėšas (angl. </w:t>
            </w:r>
            <w:proofErr w:type="spellStart"/>
            <w:r w:rsidR="00C535E8" w:rsidRPr="00C04F99">
              <w:rPr>
                <w:rFonts w:eastAsia="Times New Roman" w:cs="Times New Roman"/>
                <w:i/>
                <w:color w:val="000000"/>
                <w:sz w:val="22"/>
                <w:lang w:eastAsia="lt-LT"/>
              </w:rPr>
              <w:t>r</w:t>
            </w:r>
            <w:r w:rsidRPr="00C04F99">
              <w:rPr>
                <w:rFonts w:eastAsia="Times New Roman" w:cs="Times New Roman"/>
                <w:i/>
                <w:color w:val="000000"/>
                <w:sz w:val="22"/>
                <w:lang w:eastAsia="lt-LT"/>
              </w:rPr>
              <w:t>equest-to-pay</w:t>
            </w:r>
            <w:r w:rsidR="00C535E8">
              <w:rPr>
                <w:rFonts w:eastAsia="Times New Roman" w:cs="Times New Roman"/>
                <w:color w:val="000000"/>
                <w:sz w:val="22"/>
                <w:lang w:eastAsia="lt-LT"/>
              </w:rPr>
              <w:t>)</w:t>
            </w:r>
            <w:proofErr w:type="spellEnd"/>
            <w:r w:rsidRPr="00C77F16">
              <w:rPr>
                <w:rFonts w:eastAsia="Times New Roman" w:cs="Times New Roman"/>
                <w:color w:val="000000"/>
                <w:sz w:val="22"/>
                <w:lang w:eastAsia="lt-LT"/>
              </w:rPr>
              <w:t xml:space="preserve"> technologijas ar elektroninės sąskaitos modelį arba sukuriant bei atidarant mokesčiams mokėti skirtą individualią sąskaitą. Taip pat siūloma automatizuotam gyventojų pajamų mokesčiui ir </w:t>
            </w:r>
            <w:r w:rsidR="00C535E8">
              <w:rPr>
                <w:rFonts w:eastAsia="Times New Roman" w:cs="Times New Roman"/>
                <w:color w:val="000000"/>
                <w:sz w:val="22"/>
                <w:lang w:eastAsia="lt-LT"/>
              </w:rPr>
              <w:t>„</w:t>
            </w:r>
            <w:r w:rsidRPr="00C77F16">
              <w:rPr>
                <w:rFonts w:eastAsia="Times New Roman" w:cs="Times New Roman"/>
                <w:color w:val="000000"/>
                <w:sz w:val="22"/>
                <w:lang w:eastAsia="lt-LT"/>
              </w:rPr>
              <w:t>Sodros</w:t>
            </w:r>
            <w:r w:rsidR="00C535E8">
              <w:rPr>
                <w:rFonts w:eastAsia="Times New Roman" w:cs="Times New Roman"/>
                <w:color w:val="000000"/>
                <w:sz w:val="22"/>
                <w:lang w:eastAsia="lt-LT"/>
              </w:rPr>
              <w:t>“</w:t>
            </w:r>
            <w:r w:rsidRPr="00C77F16">
              <w:rPr>
                <w:rFonts w:eastAsia="Times New Roman" w:cs="Times New Roman"/>
                <w:color w:val="000000"/>
                <w:sz w:val="22"/>
                <w:lang w:eastAsia="lt-LT"/>
              </w:rPr>
              <w:t xml:space="preserve"> įmokoms </w:t>
            </w:r>
            <w:r w:rsidRPr="00C77F16">
              <w:rPr>
                <w:rFonts w:eastAsia="Times New Roman" w:cs="Times New Roman"/>
                <w:color w:val="000000"/>
                <w:sz w:val="22"/>
                <w:lang w:eastAsia="lt-LT"/>
              </w:rPr>
              <w:lastRenderedPageBreak/>
              <w:t xml:space="preserve">surinkti pritaikyti </w:t>
            </w:r>
            <w:r w:rsidR="00C535E8">
              <w:rPr>
                <w:rFonts w:eastAsia="Times New Roman" w:cs="Times New Roman"/>
                <w:color w:val="000000"/>
                <w:sz w:val="22"/>
                <w:lang w:eastAsia="lt-LT"/>
              </w:rPr>
              <w:t>m</w:t>
            </w:r>
            <w:r w:rsidRPr="00C77F16">
              <w:rPr>
                <w:rFonts w:eastAsia="Times New Roman" w:cs="Times New Roman"/>
                <w:color w:val="000000"/>
                <w:sz w:val="22"/>
                <w:lang w:eastAsia="lt-LT"/>
              </w:rPr>
              <w:t>etin</w:t>
            </w:r>
            <w:r w:rsidR="00C535E8">
              <w:rPr>
                <w:rFonts w:eastAsia="Times New Roman" w:cs="Times New Roman"/>
                <w:color w:val="000000"/>
                <w:sz w:val="22"/>
                <w:lang w:eastAsia="lt-LT"/>
              </w:rPr>
              <w:t>ės</w:t>
            </w:r>
            <w:r w:rsidRPr="00C77F16">
              <w:rPr>
                <w:rFonts w:eastAsia="Times New Roman" w:cs="Times New Roman"/>
                <w:color w:val="000000"/>
                <w:sz w:val="22"/>
                <w:lang w:eastAsia="lt-LT"/>
              </w:rPr>
              <w:t xml:space="preserve"> pajamų mokesčio deklaracijos GPM311 formą.</w:t>
            </w:r>
          </w:p>
        </w:tc>
      </w:tr>
      <w:tr w:rsidR="00DC2471" w:rsidRPr="00C77F16" w:rsidTr="00C77F16">
        <w:trPr>
          <w:trHeight w:val="510"/>
        </w:trPr>
        <w:tc>
          <w:tcPr>
            <w:tcW w:w="14601" w:type="dxa"/>
            <w:gridSpan w:val="5"/>
            <w:shd w:val="clear" w:color="auto" w:fill="D9D9D9" w:themeFill="background1" w:themeFillShade="D9"/>
            <w:vAlign w:val="center"/>
            <w:hideMark/>
          </w:tcPr>
          <w:p w:rsidR="00DC2471" w:rsidRPr="00C77F16" w:rsidRDefault="00DC2471" w:rsidP="00C77F16">
            <w:pPr>
              <w:jc w:val="center"/>
              <w:rPr>
                <w:rFonts w:eastAsia="Times New Roman" w:cs="Times New Roman"/>
                <w:b/>
                <w:bCs/>
                <w:i/>
                <w:iCs/>
                <w:color w:val="000000"/>
                <w:sz w:val="22"/>
                <w:lang w:eastAsia="lt-LT"/>
              </w:rPr>
            </w:pPr>
            <w:r w:rsidRPr="00C77F16">
              <w:rPr>
                <w:rFonts w:eastAsia="Times New Roman" w:cs="Times New Roman"/>
                <w:b/>
                <w:bCs/>
                <w:i/>
                <w:iCs/>
                <w:color w:val="000000"/>
                <w:sz w:val="22"/>
                <w:lang w:eastAsia="lt-LT"/>
              </w:rPr>
              <w:lastRenderedPageBreak/>
              <w:t>2 užduotis. Populiarinti Lietuvos jurisdikciją tikslinėse rinkose ir sudaryti užsienio įmonių veikimo sąlygas</w:t>
            </w:r>
          </w:p>
        </w:tc>
      </w:tr>
      <w:tr w:rsidR="00DC2471" w:rsidRPr="00C77F16" w:rsidTr="00C77F16">
        <w:trPr>
          <w:trHeight w:val="600"/>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t>2.1. Skatinti tarptautinių FINTECH renginių organizavimą Lietuvoje. Siektinas rodiklis – 2 vnt.</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IV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proofErr w:type="spellStart"/>
            <w:r w:rsidRPr="00C77F16">
              <w:rPr>
                <w:rFonts w:eastAsia="Times New Roman" w:cs="Times New Roman"/>
                <w:color w:val="000000"/>
                <w:sz w:val="22"/>
                <w:lang w:eastAsia="lt-LT"/>
              </w:rPr>
              <w:t>VšĮ</w:t>
            </w:r>
            <w:proofErr w:type="spellEnd"/>
            <w:r w:rsidRPr="00C77F16">
              <w:rPr>
                <w:rFonts w:eastAsia="Times New Roman" w:cs="Times New Roman"/>
                <w:color w:val="000000"/>
                <w:sz w:val="22"/>
                <w:lang w:eastAsia="lt-LT"/>
              </w:rPr>
              <w:t xml:space="preserve"> „Investuok Lietuvoje“, </w:t>
            </w:r>
            <w:proofErr w:type="spellStart"/>
            <w:r w:rsidRPr="00C77F16">
              <w:rPr>
                <w:rFonts w:eastAsia="Times New Roman" w:cs="Times New Roman"/>
                <w:color w:val="000000"/>
                <w:sz w:val="22"/>
                <w:lang w:eastAsia="lt-LT"/>
              </w:rPr>
              <w:t>VšĮ</w:t>
            </w:r>
            <w:proofErr w:type="spellEnd"/>
            <w:r w:rsidRPr="00C77F16">
              <w:rPr>
                <w:rFonts w:eastAsia="Times New Roman" w:cs="Times New Roman"/>
                <w:color w:val="000000"/>
                <w:sz w:val="22"/>
                <w:lang w:eastAsia="lt-LT"/>
              </w:rPr>
              <w:t xml:space="preserve"> „GO Vilnius“</w:t>
            </w:r>
          </w:p>
        </w:tc>
        <w:tc>
          <w:tcPr>
            <w:tcW w:w="4712" w:type="dxa"/>
            <w:vAlign w:val="center"/>
            <w:hideMark/>
          </w:tcPr>
          <w:p w:rsidR="00DC2471" w:rsidRPr="00C77F16" w:rsidRDefault="00DC2471" w:rsidP="00C535E8">
            <w:pPr>
              <w:jc w:val="both"/>
              <w:rPr>
                <w:rFonts w:eastAsia="Times New Roman" w:cs="Times New Roman"/>
                <w:color w:val="000000"/>
                <w:sz w:val="22"/>
                <w:lang w:eastAsia="lt-LT"/>
              </w:rPr>
            </w:pPr>
            <w:r w:rsidRPr="00C77F16">
              <w:rPr>
                <w:rFonts w:eastAsia="Times New Roman" w:cs="Times New Roman"/>
                <w:b/>
                <w:bCs/>
                <w:color w:val="000000"/>
                <w:sz w:val="22"/>
                <w:lang w:eastAsia="lt-LT"/>
              </w:rPr>
              <w:t>Neįgyvendinta dėl COVID-19</w:t>
            </w:r>
            <w:r w:rsidR="00C535E8">
              <w:rPr>
                <w:rFonts w:eastAsia="Times New Roman" w:cs="Times New Roman"/>
                <w:b/>
                <w:bCs/>
                <w:color w:val="000000"/>
                <w:sz w:val="22"/>
                <w:lang w:eastAsia="lt-LT"/>
              </w:rPr>
              <w:t xml:space="preserve"> pandemijos</w:t>
            </w:r>
            <w:r w:rsidRPr="00C77F16">
              <w:rPr>
                <w:rFonts w:eastAsia="Times New Roman" w:cs="Times New Roman"/>
                <w:b/>
                <w:bCs/>
                <w:color w:val="000000"/>
                <w:sz w:val="22"/>
                <w:lang w:eastAsia="lt-LT"/>
              </w:rPr>
              <w:t>.</w:t>
            </w:r>
            <w:r w:rsidRPr="00C77F16">
              <w:rPr>
                <w:rFonts w:eastAsia="Times New Roman" w:cs="Times New Roman"/>
                <w:color w:val="000000"/>
                <w:sz w:val="22"/>
                <w:lang w:eastAsia="lt-LT"/>
              </w:rPr>
              <w:br/>
              <w:t>Dėl C</w:t>
            </w:r>
            <w:r w:rsidR="00C535E8">
              <w:rPr>
                <w:rFonts w:eastAsia="Times New Roman" w:cs="Times New Roman"/>
                <w:color w:val="000000"/>
                <w:sz w:val="22"/>
                <w:lang w:eastAsia="lt-LT"/>
              </w:rPr>
              <w:t>OVID</w:t>
            </w:r>
            <w:r w:rsidRPr="00C77F16">
              <w:rPr>
                <w:rFonts w:eastAsia="Times New Roman" w:cs="Times New Roman"/>
                <w:color w:val="000000"/>
                <w:sz w:val="22"/>
                <w:lang w:eastAsia="lt-LT"/>
              </w:rPr>
              <w:t xml:space="preserve">-19 </w:t>
            </w:r>
            <w:r w:rsidR="00C535E8">
              <w:rPr>
                <w:rFonts w:eastAsia="Times New Roman" w:cs="Times New Roman"/>
                <w:color w:val="000000"/>
                <w:sz w:val="22"/>
                <w:lang w:eastAsia="lt-LT"/>
              </w:rPr>
              <w:t xml:space="preserve">pandemijos </w:t>
            </w:r>
            <w:r w:rsidRPr="00C77F16">
              <w:rPr>
                <w:rFonts w:eastAsia="Times New Roman" w:cs="Times New Roman"/>
                <w:color w:val="000000"/>
                <w:sz w:val="22"/>
                <w:lang w:eastAsia="lt-LT"/>
              </w:rPr>
              <w:t>fiziniai renginiai vykti negalėjo.</w:t>
            </w:r>
          </w:p>
        </w:tc>
      </w:tr>
      <w:tr w:rsidR="00DC2471" w:rsidRPr="00C77F16" w:rsidTr="00C77F16">
        <w:trPr>
          <w:trHeight w:val="1396"/>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t>2.2. Nustatyti 250 užsienyje veikiančių FINTECH įmonių, kurių veiklos pritraukimas į Lietuvą laikytinas prioritetiniu, ir parengti šioms įmonėms pritraukti reikalingus pasiūlymus</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Ekonomikos ir inovacijų ministerija, </w:t>
            </w:r>
            <w:proofErr w:type="spellStart"/>
            <w:r w:rsidRPr="00C77F16">
              <w:rPr>
                <w:rFonts w:eastAsia="Times New Roman" w:cs="Times New Roman"/>
                <w:color w:val="000000"/>
                <w:sz w:val="22"/>
                <w:lang w:eastAsia="lt-LT"/>
              </w:rPr>
              <w:t>VšĮ</w:t>
            </w:r>
            <w:proofErr w:type="spellEnd"/>
            <w:r w:rsidRPr="00C77F16">
              <w:rPr>
                <w:rFonts w:eastAsia="Times New Roman" w:cs="Times New Roman"/>
                <w:color w:val="000000"/>
                <w:sz w:val="22"/>
                <w:lang w:eastAsia="lt-LT"/>
              </w:rPr>
              <w:t xml:space="preserve"> „Investuok Lietuvoje“</w:t>
            </w:r>
          </w:p>
        </w:tc>
        <w:tc>
          <w:tcPr>
            <w:tcW w:w="4712" w:type="dxa"/>
            <w:vAlign w:val="center"/>
            <w:hideMark/>
          </w:tcPr>
          <w:p w:rsidR="00DC2471" w:rsidRPr="00C77F16" w:rsidRDefault="00DC2471" w:rsidP="00EA47E3">
            <w:pPr>
              <w:jc w:val="both"/>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Pr="00C77F16">
              <w:rPr>
                <w:rFonts w:eastAsia="Times New Roman" w:cs="Times New Roman"/>
                <w:color w:val="000000"/>
                <w:sz w:val="22"/>
                <w:lang w:eastAsia="lt-LT"/>
              </w:rPr>
              <w:br/>
              <w:t>Šiuo metu sudaryti du sąrašai:</w:t>
            </w:r>
            <w:r w:rsidRPr="00C77F16">
              <w:rPr>
                <w:rFonts w:eastAsia="Times New Roman" w:cs="Times New Roman"/>
                <w:color w:val="000000"/>
                <w:sz w:val="22"/>
                <w:lang w:eastAsia="lt-LT"/>
              </w:rPr>
              <w:br/>
              <w:t>1. T</w:t>
            </w:r>
            <w:r w:rsidR="00C535E8">
              <w:rPr>
                <w:rFonts w:eastAsia="Times New Roman" w:cs="Times New Roman"/>
                <w:color w:val="000000"/>
                <w:sz w:val="22"/>
                <w:lang w:eastAsia="lt-LT"/>
              </w:rPr>
              <w:t>OP</w:t>
            </w:r>
            <w:r w:rsidRPr="00C77F16">
              <w:rPr>
                <w:rFonts w:eastAsia="Times New Roman" w:cs="Times New Roman"/>
                <w:color w:val="000000"/>
                <w:sz w:val="22"/>
                <w:lang w:eastAsia="lt-LT"/>
              </w:rPr>
              <w:t xml:space="preserve"> 100 F</w:t>
            </w:r>
            <w:r w:rsidR="00C535E8">
              <w:rPr>
                <w:rFonts w:eastAsia="Times New Roman" w:cs="Times New Roman"/>
                <w:color w:val="000000"/>
                <w:sz w:val="22"/>
                <w:lang w:eastAsia="lt-LT"/>
              </w:rPr>
              <w:t>INTECH</w:t>
            </w:r>
            <w:r w:rsidRPr="00C77F16">
              <w:rPr>
                <w:rFonts w:eastAsia="Times New Roman" w:cs="Times New Roman"/>
                <w:color w:val="000000"/>
                <w:sz w:val="22"/>
                <w:lang w:eastAsia="lt-LT"/>
              </w:rPr>
              <w:t xml:space="preserve"> įmon</w:t>
            </w:r>
            <w:r w:rsidR="00C535E8">
              <w:rPr>
                <w:rFonts w:eastAsia="Times New Roman" w:cs="Times New Roman"/>
                <w:color w:val="000000"/>
                <w:sz w:val="22"/>
                <w:lang w:eastAsia="lt-LT"/>
              </w:rPr>
              <w:t>ių</w:t>
            </w:r>
            <w:r w:rsidRPr="00C77F16">
              <w:rPr>
                <w:rFonts w:eastAsia="Times New Roman" w:cs="Times New Roman"/>
                <w:color w:val="000000"/>
                <w:sz w:val="22"/>
                <w:lang w:eastAsia="lt-LT"/>
              </w:rPr>
              <w:t xml:space="preserve"> </w:t>
            </w:r>
            <w:r w:rsidR="002261CF">
              <w:rPr>
                <w:rFonts w:eastAsia="Times New Roman" w:cs="Times New Roman"/>
                <w:color w:val="000000"/>
                <w:sz w:val="22"/>
                <w:lang w:eastAsia="lt-LT"/>
              </w:rPr>
              <w:t>–</w:t>
            </w:r>
            <w:r w:rsidRPr="00C77F16">
              <w:rPr>
                <w:rFonts w:eastAsia="Times New Roman" w:cs="Times New Roman"/>
                <w:color w:val="000000"/>
                <w:sz w:val="22"/>
                <w:lang w:eastAsia="lt-LT"/>
              </w:rPr>
              <w:t xml:space="preserve"> globalios, visame pasaulyje pripažintos įmonės, kurios vykdo veiklą bent dviejuose</w:t>
            </w:r>
            <w:r w:rsidR="002261CF">
              <w:rPr>
                <w:rFonts w:eastAsia="Times New Roman" w:cs="Times New Roman"/>
                <w:color w:val="000000"/>
                <w:sz w:val="22"/>
                <w:lang w:eastAsia="lt-LT"/>
              </w:rPr>
              <w:t xml:space="preserve"> žemynuose</w:t>
            </w:r>
            <w:r w:rsidRPr="00C77F16">
              <w:rPr>
                <w:rFonts w:eastAsia="Times New Roman" w:cs="Times New Roman"/>
                <w:color w:val="000000"/>
                <w:sz w:val="22"/>
                <w:lang w:eastAsia="lt-LT"/>
              </w:rPr>
              <w:t xml:space="preserve">, turi bent 200 </w:t>
            </w:r>
            <w:r w:rsidR="003B0118" w:rsidRPr="00C77F16">
              <w:rPr>
                <w:rFonts w:eastAsia="Times New Roman" w:cs="Times New Roman"/>
                <w:color w:val="000000"/>
                <w:sz w:val="22"/>
                <w:lang w:eastAsia="lt-LT"/>
              </w:rPr>
              <w:t>darbuotojų</w:t>
            </w:r>
            <w:r w:rsidRPr="00C77F16">
              <w:rPr>
                <w:rFonts w:eastAsia="Times New Roman" w:cs="Times New Roman"/>
                <w:color w:val="000000"/>
                <w:sz w:val="22"/>
                <w:lang w:eastAsia="lt-LT"/>
              </w:rPr>
              <w:t>. Šių įmonių pritraukimas Lietuvai b</w:t>
            </w:r>
            <w:r w:rsidR="00C77F16">
              <w:rPr>
                <w:rFonts w:eastAsia="Times New Roman" w:cs="Times New Roman"/>
                <w:color w:val="000000"/>
                <w:sz w:val="22"/>
                <w:lang w:eastAsia="lt-LT"/>
              </w:rPr>
              <w:t>ūtų naudingas tiek dėl jų sukur</w:t>
            </w:r>
            <w:r w:rsidRPr="00C77F16">
              <w:rPr>
                <w:rFonts w:eastAsia="Times New Roman" w:cs="Times New Roman"/>
                <w:color w:val="000000"/>
                <w:sz w:val="22"/>
                <w:lang w:eastAsia="lt-LT"/>
              </w:rPr>
              <w:t>iamų darbo vietų skaičiaus, tiek dėl Lietuvos jurisdikcijos įvaizdžio gerinimo.</w:t>
            </w:r>
            <w:r w:rsidRPr="00C77F16">
              <w:rPr>
                <w:rFonts w:eastAsia="Times New Roman" w:cs="Times New Roman"/>
                <w:color w:val="000000"/>
                <w:sz w:val="22"/>
                <w:lang w:eastAsia="lt-LT"/>
              </w:rPr>
              <w:br/>
              <w:t xml:space="preserve">2. </w:t>
            </w:r>
            <w:r w:rsidR="002261CF">
              <w:rPr>
                <w:rFonts w:eastAsia="Times New Roman" w:cs="Times New Roman"/>
                <w:color w:val="000000"/>
                <w:sz w:val="22"/>
                <w:lang w:eastAsia="lt-LT"/>
              </w:rPr>
              <w:t>„</w:t>
            </w:r>
            <w:proofErr w:type="spellStart"/>
            <w:r w:rsidRPr="00C77F16">
              <w:rPr>
                <w:rFonts w:eastAsia="Times New Roman" w:cs="Times New Roman"/>
                <w:color w:val="000000"/>
                <w:sz w:val="22"/>
                <w:lang w:eastAsia="lt-LT"/>
              </w:rPr>
              <w:t>High</w:t>
            </w:r>
            <w:proofErr w:type="spellEnd"/>
            <w:r w:rsidRPr="00C77F16">
              <w:rPr>
                <w:rFonts w:eastAsia="Times New Roman" w:cs="Times New Roman"/>
                <w:color w:val="000000"/>
                <w:sz w:val="22"/>
                <w:lang w:eastAsia="lt-LT"/>
              </w:rPr>
              <w:t xml:space="preserve"> </w:t>
            </w:r>
            <w:proofErr w:type="spellStart"/>
            <w:r w:rsidRPr="00C77F16">
              <w:rPr>
                <w:rFonts w:eastAsia="Times New Roman" w:cs="Times New Roman"/>
                <w:color w:val="000000"/>
                <w:sz w:val="22"/>
                <w:lang w:eastAsia="lt-LT"/>
              </w:rPr>
              <w:t>growth</w:t>
            </w:r>
            <w:proofErr w:type="spellEnd"/>
            <w:r w:rsidR="002261CF">
              <w:rPr>
                <w:rFonts w:eastAsia="Times New Roman" w:cs="Times New Roman"/>
                <w:color w:val="000000"/>
                <w:sz w:val="22"/>
                <w:lang w:eastAsia="lt-LT"/>
              </w:rPr>
              <w:t>“</w:t>
            </w:r>
            <w:r w:rsidRPr="00C77F16">
              <w:rPr>
                <w:rFonts w:eastAsia="Times New Roman" w:cs="Times New Roman"/>
                <w:color w:val="000000"/>
                <w:sz w:val="22"/>
                <w:lang w:eastAsia="lt-LT"/>
              </w:rPr>
              <w:t xml:space="preserve"> sąrašas (virš 100 įmonių) </w:t>
            </w:r>
            <w:r w:rsidR="002261CF">
              <w:rPr>
                <w:rFonts w:eastAsia="Times New Roman" w:cs="Times New Roman"/>
                <w:color w:val="000000"/>
                <w:sz w:val="22"/>
                <w:lang w:eastAsia="lt-LT"/>
              </w:rPr>
              <w:t>–</w:t>
            </w:r>
            <w:r w:rsidRPr="00C77F16">
              <w:rPr>
                <w:rFonts w:eastAsia="Times New Roman" w:cs="Times New Roman"/>
                <w:color w:val="000000"/>
                <w:sz w:val="22"/>
                <w:lang w:eastAsia="lt-LT"/>
              </w:rPr>
              <w:t xml:space="preserve"> labai greitai augančios</w:t>
            </w:r>
            <w:r w:rsidR="00C77F16">
              <w:rPr>
                <w:rFonts w:eastAsia="Times New Roman" w:cs="Times New Roman"/>
                <w:color w:val="000000"/>
                <w:sz w:val="22"/>
                <w:lang w:eastAsia="lt-LT"/>
              </w:rPr>
              <w:t>, didelį potencialią turinčios F</w:t>
            </w:r>
            <w:r w:rsidR="002261CF">
              <w:rPr>
                <w:rFonts w:eastAsia="Times New Roman" w:cs="Times New Roman"/>
                <w:color w:val="000000"/>
                <w:sz w:val="22"/>
                <w:lang w:eastAsia="lt-LT"/>
              </w:rPr>
              <w:t>INTECH</w:t>
            </w:r>
            <w:r w:rsidRPr="00C77F16">
              <w:rPr>
                <w:rFonts w:eastAsia="Times New Roman" w:cs="Times New Roman"/>
                <w:color w:val="000000"/>
                <w:sz w:val="22"/>
                <w:lang w:eastAsia="lt-LT"/>
              </w:rPr>
              <w:t xml:space="preserve"> įmonės (sąrašas sudarytas remiantis keliais globaliais reitingais). Jų pritraukimas Lietuvai galėtų atnešti </w:t>
            </w:r>
            <w:r w:rsidR="003B0118" w:rsidRPr="00C77F16">
              <w:rPr>
                <w:rFonts w:eastAsia="Times New Roman" w:cs="Times New Roman"/>
                <w:color w:val="000000"/>
                <w:sz w:val="22"/>
                <w:lang w:eastAsia="lt-LT"/>
              </w:rPr>
              <w:t>ypa</w:t>
            </w:r>
            <w:r w:rsidR="002261CF">
              <w:rPr>
                <w:rFonts w:eastAsia="Times New Roman" w:cs="Times New Roman"/>
                <w:color w:val="000000"/>
                <w:sz w:val="22"/>
                <w:lang w:eastAsia="lt-LT"/>
              </w:rPr>
              <w:t>č</w:t>
            </w:r>
            <w:r w:rsidRPr="00C77F16">
              <w:rPr>
                <w:rFonts w:eastAsia="Times New Roman" w:cs="Times New Roman"/>
                <w:color w:val="000000"/>
                <w:sz w:val="22"/>
                <w:lang w:eastAsia="lt-LT"/>
              </w:rPr>
              <w:t xml:space="preserve"> daug naudos, nes Lietuva turi galimybę tapti viena iš jų pagrindinių</w:t>
            </w:r>
            <w:r w:rsidR="00EA47E3">
              <w:rPr>
                <w:rFonts w:eastAsia="Times New Roman" w:cs="Times New Roman"/>
                <w:color w:val="000000"/>
                <w:sz w:val="22"/>
                <w:lang w:eastAsia="lt-LT"/>
              </w:rPr>
              <w:t xml:space="preserve"> biurų</w:t>
            </w:r>
            <w:r w:rsidRPr="00C77F16">
              <w:rPr>
                <w:rFonts w:eastAsia="Times New Roman" w:cs="Times New Roman"/>
                <w:color w:val="000000"/>
                <w:sz w:val="22"/>
                <w:lang w:eastAsia="lt-LT"/>
              </w:rPr>
              <w:t>.</w:t>
            </w:r>
            <w:r w:rsidR="00C77F16">
              <w:rPr>
                <w:rFonts w:eastAsia="Times New Roman" w:cs="Times New Roman"/>
                <w:color w:val="000000"/>
                <w:sz w:val="22"/>
                <w:lang w:eastAsia="lt-LT"/>
              </w:rPr>
              <w:t xml:space="preserve">  </w:t>
            </w:r>
            <w:r w:rsidRPr="00C77F16">
              <w:rPr>
                <w:rFonts w:eastAsia="Times New Roman" w:cs="Times New Roman"/>
                <w:color w:val="000000"/>
                <w:sz w:val="22"/>
                <w:lang w:eastAsia="lt-LT"/>
              </w:rPr>
              <w:br/>
            </w:r>
            <w:r w:rsidRPr="00C77F16">
              <w:rPr>
                <w:rFonts w:eastAsia="Times New Roman" w:cs="Times New Roman"/>
                <w:color w:val="000000"/>
                <w:sz w:val="22"/>
                <w:lang w:eastAsia="lt-LT"/>
              </w:rPr>
              <w:br/>
              <w:t xml:space="preserve">Šiuo metu </w:t>
            </w:r>
            <w:r w:rsidR="00EA47E3">
              <w:rPr>
                <w:rFonts w:eastAsia="Times New Roman" w:cs="Times New Roman"/>
                <w:color w:val="000000"/>
                <w:sz w:val="22"/>
                <w:lang w:eastAsia="lt-LT"/>
              </w:rPr>
              <w:t xml:space="preserve">parengta </w:t>
            </w:r>
            <w:r w:rsidRPr="00C77F16">
              <w:rPr>
                <w:rFonts w:eastAsia="Times New Roman" w:cs="Times New Roman"/>
                <w:color w:val="000000"/>
                <w:sz w:val="22"/>
                <w:lang w:eastAsia="lt-LT"/>
              </w:rPr>
              <w:t xml:space="preserve">komunikacijos </w:t>
            </w:r>
            <w:r w:rsidR="00EA47E3">
              <w:rPr>
                <w:rFonts w:eastAsia="Times New Roman" w:cs="Times New Roman"/>
                <w:color w:val="000000"/>
                <w:sz w:val="22"/>
                <w:lang w:eastAsia="lt-LT"/>
              </w:rPr>
              <w:t xml:space="preserve">su šiomis įmonėmis </w:t>
            </w:r>
            <w:r w:rsidRPr="00C77F16">
              <w:rPr>
                <w:rFonts w:eastAsia="Times New Roman" w:cs="Times New Roman"/>
                <w:color w:val="000000"/>
                <w:sz w:val="22"/>
                <w:lang w:eastAsia="lt-LT"/>
              </w:rPr>
              <w:t>strategija (pasitelkiant L</w:t>
            </w:r>
            <w:r w:rsidR="00EA47E3">
              <w:rPr>
                <w:rFonts w:eastAsia="Times New Roman" w:cs="Times New Roman"/>
                <w:color w:val="000000"/>
                <w:sz w:val="22"/>
                <w:lang w:eastAsia="lt-LT"/>
              </w:rPr>
              <w:t>ietuvos banko</w:t>
            </w:r>
            <w:r w:rsidRPr="00C77F16">
              <w:rPr>
                <w:rFonts w:eastAsia="Times New Roman" w:cs="Times New Roman"/>
                <w:color w:val="000000"/>
                <w:sz w:val="22"/>
                <w:lang w:eastAsia="lt-LT"/>
              </w:rPr>
              <w:t>, ambasadų pagalbą). Taip pat kuriamas skaitmenin</w:t>
            </w:r>
            <w:r w:rsidR="00EA47E3">
              <w:rPr>
                <w:rFonts w:eastAsia="Times New Roman" w:cs="Times New Roman"/>
                <w:color w:val="000000"/>
                <w:sz w:val="22"/>
                <w:lang w:eastAsia="lt-LT"/>
              </w:rPr>
              <w:t>ės</w:t>
            </w:r>
            <w:r w:rsidRPr="00C77F16">
              <w:rPr>
                <w:rFonts w:eastAsia="Times New Roman" w:cs="Times New Roman"/>
                <w:color w:val="000000"/>
                <w:sz w:val="22"/>
                <w:lang w:eastAsia="lt-LT"/>
              </w:rPr>
              <w:t xml:space="preserve"> </w:t>
            </w:r>
            <w:r w:rsidR="00EA47E3">
              <w:rPr>
                <w:rFonts w:eastAsia="Times New Roman" w:cs="Times New Roman"/>
                <w:color w:val="000000"/>
                <w:sz w:val="22"/>
                <w:lang w:eastAsia="lt-LT"/>
              </w:rPr>
              <w:t xml:space="preserve">rinkodaros </w:t>
            </w:r>
            <w:r w:rsidRPr="00C77F16">
              <w:rPr>
                <w:rFonts w:eastAsia="Times New Roman" w:cs="Times New Roman"/>
                <w:color w:val="000000"/>
                <w:sz w:val="22"/>
                <w:lang w:eastAsia="lt-LT"/>
              </w:rPr>
              <w:t>veiksmų planas, kuris padėtų atkreipti šių įmonių atstovų dėmesį į Lietuvos jurisdikciją.</w:t>
            </w:r>
          </w:p>
        </w:tc>
      </w:tr>
      <w:tr w:rsidR="00DC2471" w:rsidRPr="00C77F16" w:rsidTr="0073531F">
        <w:trPr>
          <w:trHeight w:val="1200"/>
        </w:trPr>
        <w:tc>
          <w:tcPr>
            <w:tcW w:w="3402" w:type="dxa"/>
            <w:hideMark/>
          </w:tcPr>
          <w:p w:rsidR="00DC2471" w:rsidRPr="00C77F16" w:rsidRDefault="00DC2471" w:rsidP="00DC2471">
            <w:pPr>
              <w:jc w:val="both"/>
              <w:rPr>
                <w:rFonts w:eastAsia="Times New Roman" w:cs="Times New Roman"/>
                <w:sz w:val="22"/>
                <w:lang w:eastAsia="lt-LT"/>
              </w:rPr>
            </w:pPr>
            <w:r w:rsidRPr="00C77F16">
              <w:rPr>
                <w:rFonts w:eastAsia="Times New Roman" w:cs="Times New Roman"/>
                <w:sz w:val="22"/>
                <w:lang w:eastAsia="lt-LT"/>
              </w:rPr>
              <w:t>2.3. Atlikti analizę, kuri leistų numatyti priemones, reikalingas užtikrinti, kad Lietuva išlaikytų arba pagerintų užimamas pozicijas tarptautinių reitingų agentūrų sudaromuose finansiniuose reitinguose</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II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proofErr w:type="spellStart"/>
            <w:r w:rsidRPr="00C77F16">
              <w:rPr>
                <w:rFonts w:eastAsia="Times New Roman" w:cs="Times New Roman"/>
                <w:color w:val="000000"/>
                <w:sz w:val="22"/>
                <w:lang w:eastAsia="lt-LT"/>
              </w:rPr>
              <w:t>VšĮ</w:t>
            </w:r>
            <w:proofErr w:type="spellEnd"/>
            <w:r w:rsidRPr="00C77F16">
              <w:rPr>
                <w:rFonts w:eastAsia="Times New Roman" w:cs="Times New Roman"/>
                <w:color w:val="000000"/>
                <w:sz w:val="22"/>
                <w:lang w:eastAsia="lt-LT"/>
              </w:rPr>
              <w:t xml:space="preserve"> „GO Vilnius“</w:t>
            </w:r>
          </w:p>
        </w:tc>
        <w:tc>
          <w:tcPr>
            <w:tcW w:w="4712" w:type="dxa"/>
            <w:hideMark/>
          </w:tcPr>
          <w:p w:rsidR="00EA47E3" w:rsidRDefault="00DC2471" w:rsidP="0073531F">
            <w:pPr>
              <w:jc w:val="both"/>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Pr="00C77F16">
              <w:rPr>
                <w:rFonts w:eastAsia="Times New Roman" w:cs="Times New Roman"/>
                <w:color w:val="000000"/>
                <w:sz w:val="22"/>
                <w:lang w:eastAsia="lt-LT"/>
              </w:rPr>
              <w:br/>
              <w:t>Numatyta siekti išlaikyti</w:t>
            </w:r>
            <w:r w:rsidR="00EA47E3">
              <w:rPr>
                <w:rFonts w:eastAsia="Times New Roman" w:cs="Times New Roman"/>
                <w:color w:val="000000"/>
                <w:sz w:val="22"/>
                <w:lang w:eastAsia="lt-LT"/>
              </w:rPr>
              <w:t xml:space="preserve"> ar </w:t>
            </w:r>
            <w:r w:rsidRPr="00C77F16">
              <w:rPr>
                <w:rFonts w:eastAsia="Times New Roman" w:cs="Times New Roman"/>
                <w:color w:val="000000"/>
                <w:sz w:val="22"/>
                <w:lang w:eastAsia="lt-LT"/>
              </w:rPr>
              <w:t>gerinti Vilniaus užimamas pozicijas dviejuose reitinguose:</w:t>
            </w:r>
            <w:r w:rsidRPr="00C77F16">
              <w:rPr>
                <w:rFonts w:eastAsia="Times New Roman" w:cs="Times New Roman"/>
                <w:color w:val="000000"/>
                <w:sz w:val="22"/>
                <w:lang w:eastAsia="lt-LT"/>
              </w:rPr>
              <w:br/>
            </w:r>
            <w:r w:rsidR="0073531F">
              <w:rPr>
                <w:rFonts w:eastAsia="Times New Roman" w:cs="Times New Roman"/>
                <w:color w:val="000000"/>
                <w:sz w:val="22"/>
                <w:lang w:eastAsia="lt-LT"/>
              </w:rPr>
              <w:t xml:space="preserve">1. </w:t>
            </w:r>
            <w:proofErr w:type="spellStart"/>
            <w:r w:rsidRPr="00C04F99">
              <w:rPr>
                <w:rFonts w:eastAsia="Times New Roman" w:cs="Times New Roman"/>
                <w:i/>
                <w:color w:val="000000"/>
                <w:sz w:val="22"/>
                <w:lang w:eastAsia="lt-LT"/>
              </w:rPr>
              <w:t>Global</w:t>
            </w:r>
            <w:proofErr w:type="spellEnd"/>
            <w:r w:rsidRPr="00C04F99">
              <w:rPr>
                <w:rFonts w:eastAsia="Times New Roman" w:cs="Times New Roman"/>
                <w:i/>
                <w:color w:val="000000"/>
                <w:sz w:val="22"/>
                <w:lang w:eastAsia="lt-LT"/>
              </w:rPr>
              <w:t xml:space="preserve"> </w:t>
            </w:r>
            <w:proofErr w:type="spellStart"/>
            <w:r w:rsidRPr="00C04F99">
              <w:rPr>
                <w:rFonts w:eastAsia="Times New Roman" w:cs="Times New Roman"/>
                <w:i/>
                <w:color w:val="000000"/>
                <w:sz w:val="22"/>
                <w:lang w:eastAsia="lt-LT"/>
              </w:rPr>
              <w:t>Fintech</w:t>
            </w:r>
            <w:proofErr w:type="spellEnd"/>
            <w:r w:rsidRPr="00C04F99">
              <w:rPr>
                <w:rFonts w:eastAsia="Times New Roman" w:cs="Times New Roman"/>
                <w:i/>
                <w:color w:val="000000"/>
                <w:sz w:val="22"/>
                <w:lang w:eastAsia="lt-LT"/>
              </w:rPr>
              <w:t xml:space="preserve"> </w:t>
            </w:r>
            <w:proofErr w:type="spellStart"/>
            <w:r w:rsidRPr="00C04F99">
              <w:rPr>
                <w:rFonts w:eastAsia="Times New Roman" w:cs="Times New Roman"/>
                <w:i/>
                <w:color w:val="000000"/>
                <w:sz w:val="22"/>
                <w:lang w:eastAsia="lt-LT"/>
              </w:rPr>
              <w:t>Index</w:t>
            </w:r>
            <w:proofErr w:type="spellEnd"/>
            <w:r w:rsidRPr="00C04F99">
              <w:rPr>
                <w:rFonts w:eastAsia="Times New Roman" w:cs="Times New Roman"/>
                <w:i/>
                <w:color w:val="000000"/>
                <w:sz w:val="22"/>
                <w:lang w:eastAsia="lt-LT"/>
              </w:rPr>
              <w:t xml:space="preserve"> </w:t>
            </w:r>
            <w:proofErr w:type="spellStart"/>
            <w:r w:rsidRPr="00C04F99">
              <w:rPr>
                <w:rFonts w:eastAsia="Times New Roman" w:cs="Times New Roman"/>
                <w:i/>
                <w:color w:val="000000"/>
                <w:sz w:val="22"/>
                <w:lang w:eastAsia="lt-LT"/>
              </w:rPr>
              <w:t>by</w:t>
            </w:r>
            <w:proofErr w:type="spellEnd"/>
            <w:r w:rsidRPr="00C04F99">
              <w:rPr>
                <w:rFonts w:eastAsia="Times New Roman" w:cs="Times New Roman"/>
                <w:i/>
                <w:color w:val="000000"/>
                <w:sz w:val="22"/>
                <w:lang w:eastAsia="lt-LT"/>
              </w:rPr>
              <w:t xml:space="preserve"> </w:t>
            </w:r>
            <w:proofErr w:type="spellStart"/>
            <w:r w:rsidRPr="00C04F99">
              <w:rPr>
                <w:rFonts w:eastAsia="Times New Roman" w:cs="Times New Roman"/>
                <w:i/>
                <w:color w:val="000000"/>
                <w:sz w:val="22"/>
                <w:lang w:eastAsia="lt-LT"/>
              </w:rPr>
              <w:t>findexable</w:t>
            </w:r>
            <w:proofErr w:type="spellEnd"/>
            <w:r w:rsidR="00EA47E3">
              <w:rPr>
                <w:rFonts w:eastAsia="Times New Roman" w:cs="Times New Roman"/>
                <w:color w:val="000000"/>
                <w:sz w:val="22"/>
                <w:lang w:eastAsia="lt-LT"/>
              </w:rPr>
              <w:t>;</w:t>
            </w:r>
          </w:p>
          <w:p w:rsidR="00DC2471" w:rsidRPr="00C77F16" w:rsidRDefault="0073531F" w:rsidP="0073531F">
            <w:pPr>
              <w:tabs>
                <w:tab w:val="left" w:pos="176"/>
              </w:tabs>
              <w:jc w:val="both"/>
              <w:rPr>
                <w:rFonts w:eastAsia="Times New Roman" w:cs="Times New Roman"/>
                <w:color w:val="000000"/>
                <w:sz w:val="22"/>
                <w:lang w:eastAsia="lt-LT"/>
              </w:rPr>
            </w:pPr>
            <w:r>
              <w:rPr>
                <w:rFonts w:eastAsia="Times New Roman" w:cs="Times New Roman"/>
                <w:color w:val="000000"/>
                <w:sz w:val="22"/>
                <w:lang w:eastAsia="lt-LT"/>
              </w:rPr>
              <w:t xml:space="preserve">2. </w:t>
            </w:r>
            <w:proofErr w:type="spellStart"/>
            <w:r w:rsidR="00DC2471" w:rsidRPr="00C04F99">
              <w:rPr>
                <w:rFonts w:eastAsia="Times New Roman" w:cs="Times New Roman"/>
                <w:i/>
                <w:color w:val="000000"/>
                <w:sz w:val="22"/>
                <w:lang w:eastAsia="lt-LT"/>
              </w:rPr>
              <w:t>Global</w:t>
            </w:r>
            <w:proofErr w:type="spellEnd"/>
            <w:r w:rsidR="00DC2471" w:rsidRPr="00C04F99">
              <w:rPr>
                <w:rFonts w:eastAsia="Times New Roman" w:cs="Times New Roman"/>
                <w:i/>
                <w:color w:val="000000"/>
                <w:sz w:val="22"/>
                <w:lang w:eastAsia="lt-LT"/>
              </w:rPr>
              <w:t xml:space="preserve"> </w:t>
            </w:r>
            <w:proofErr w:type="spellStart"/>
            <w:r w:rsidR="00DC2471" w:rsidRPr="00C04F99">
              <w:rPr>
                <w:rFonts w:eastAsia="Times New Roman" w:cs="Times New Roman"/>
                <w:i/>
                <w:color w:val="000000"/>
                <w:sz w:val="22"/>
                <w:lang w:eastAsia="lt-LT"/>
              </w:rPr>
              <w:t>Financial</w:t>
            </w:r>
            <w:proofErr w:type="spellEnd"/>
            <w:r w:rsidR="00DC2471" w:rsidRPr="00C04F99">
              <w:rPr>
                <w:rFonts w:eastAsia="Times New Roman" w:cs="Times New Roman"/>
                <w:i/>
                <w:color w:val="000000"/>
                <w:sz w:val="22"/>
                <w:lang w:eastAsia="lt-LT"/>
              </w:rPr>
              <w:t xml:space="preserve"> </w:t>
            </w:r>
            <w:proofErr w:type="spellStart"/>
            <w:r w:rsidR="00DC2471" w:rsidRPr="00C04F99">
              <w:rPr>
                <w:rFonts w:eastAsia="Times New Roman" w:cs="Times New Roman"/>
                <w:i/>
                <w:color w:val="000000"/>
                <w:sz w:val="22"/>
                <w:lang w:eastAsia="lt-LT"/>
              </w:rPr>
              <w:t>Centers</w:t>
            </w:r>
            <w:proofErr w:type="spellEnd"/>
            <w:r w:rsidR="00DC2471" w:rsidRPr="00C04F99">
              <w:rPr>
                <w:rFonts w:eastAsia="Times New Roman" w:cs="Times New Roman"/>
                <w:i/>
                <w:color w:val="000000"/>
                <w:sz w:val="22"/>
                <w:lang w:eastAsia="lt-LT"/>
              </w:rPr>
              <w:t xml:space="preserve"> </w:t>
            </w:r>
            <w:proofErr w:type="spellStart"/>
            <w:r w:rsidR="00DC2471" w:rsidRPr="00C04F99">
              <w:rPr>
                <w:rFonts w:eastAsia="Times New Roman" w:cs="Times New Roman"/>
                <w:i/>
                <w:color w:val="000000"/>
                <w:sz w:val="22"/>
                <w:lang w:eastAsia="lt-LT"/>
              </w:rPr>
              <w:t>index</w:t>
            </w:r>
            <w:proofErr w:type="spellEnd"/>
            <w:r w:rsidR="00DC2471" w:rsidRPr="00C04F99">
              <w:rPr>
                <w:rFonts w:eastAsia="Times New Roman" w:cs="Times New Roman"/>
                <w:i/>
                <w:color w:val="000000"/>
                <w:sz w:val="22"/>
                <w:lang w:eastAsia="lt-LT"/>
              </w:rPr>
              <w:t xml:space="preserve"> </w:t>
            </w:r>
            <w:proofErr w:type="spellStart"/>
            <w:r w:rsidR="00DC2471" w:rsidRPr="00C04F99">
              <w:rPr>
                <w:rFonts w:eastAsia="Times New Roman" w:cs="Times New Roman"/>
                <w:i/>
                <w:color w:val="000000"/>
                <w:sz w:val="22"/>
                <w:lang w:eastAsia="lt-LT"/>
              </w:rPr>
              <w:t>by</w:t>
            </w:r>
            <w:proofErr w:type="spellEnd"/>
            <w:r w:rsidR="00DC2471" w:rsidRPr="00C04F99">
              <w:rPr>
                <w:rFonts w:eastAsia="Times New Roman" w:cs="Times New Roman"/>
                <w:i/>
                <w:color w:val="000000"/>
                <w:sz w:val="22"/>
                <w:lang w:eastAsia="lt-LT"/>
              </w:rPr>
              <w:t xml:space="preserve"> ZYEN (GFCI 29)</w:t>
            </w:r>
            <w:r w:rsidR="008266A3" w:rsidRPr="00C04F99">
              <w:rPr>
                <w:rFonts w:eastAsia="Times New Roman" w:cs="Times New Roman"/>
                <w:color w:val="000000"/>
                <w:sz w:val="22"/>
                <w:lang w:eastAsia="lt-LT"/>
              </w:rPr>
              <w:t>.</w:t>
            </w:r>
          </w:p>
        </w:tc>
      </w:tr>
      <w:tr w:rsidR="00DC2471" w:rsidRPr="00C77F16" w:rsidTr="00C77F16">
        <w:trPr>
          <w:trHeight w:val="1500"/>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lastRenderedPageBreak/>
              <w:t>2.4. Nustatyti ir įgyvendinti priemones, kurios didintų Vilniaus, kaip FINTECH sektoriui patrauklios vietos, žinomumą</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Priemonių nustatymas – 2020 m. II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 xml:space="preserve">., priemonių įgyvendinimas – 2020 m. IV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proofErr w:type="spellStart"/>
            <w:r w:rsidRPr="00C77F16">
              <w:rPr>
                <w:rFonts w:eastAsia="Times New Roman" w:cs="Times New Roman"/>
                <w:color w:val="000000"/>
                <w:sz w:val="22"/>
                <w:lang w:eastAsia="lt-LT"/>
              </w:rPr>
              <w:t>VšĮ</w:t>
            </w:r>
            <w:proofErr w:type="spellEnd"/>
            <w:r w:rsidRPr="00C77F16">
              <w:rPr>
                <w:rFonts w:eastAsia="Times New Roman" w:cs="Times New Roman"/>
                <w:color w:val="000000"/>
                <w:sz w:val="22"/>
                <w:lang w:eastAsia="lt-LT"/>
              </w:rPr>
              <w:t xml:space="preserve"> „GO Vilnius“</w:t>
            </w:r>
          </w:p>
        </w:tc>
        <w:tc>
          <w:tcPr>
            <w:tcW w:w="4712" w:type="dxa"/>
            <w:vAlign w:val="center"/>
            <w:hideMark/>
          </w:tcPr>
          <w:p w:rsidR="00DC2471" w:rsidRPr="00C77F16" w:rsidRDefault="00DC2471" w:rsidP="004D0019">
            <w:pPr>
              <w:jc w:val="both"/>
              <w:rPr>
                <w:rFonts w:eastAsia="Times New Roman" w:cs="Times New Roman"/>
                <w:color w:val="000000"/>
                <w:sz w:val="22"/>
                <w:lang w:eastAsia="lt-LT"/>
              </w:rPr>
            </w:pPr>
            <w:r w:rsidRPr="00C77F16">
              <w:rPr>
                <w:rFonts w:eastAsia="Times New Roman" w:cs="Times New Roman"/>
                <w:b/>
                <w:bCs/>
                <w:color w:val="000000"/>
                <w:sz w:val="22"/>
                <w:lang w:eastAsia="lt-LT"/>
              </w:rPr>
              <w:t>Neįgyvendinta dėl COVID-19</w:t>
            </w:r>
            <w:r w:rsidR="004D0019">
              <w:rPr>
                <w:rFonts w:eastAsia="Times New Roman" w:cs="Times New Roman"/>
                <w:b/>
                <w:bCs/>
                <w:color w:val="000000"/>
                <w:sz w:val="22"/>
                <w:lang w:eastAsia="lt-LT"/>
              </w:rPr>
              <w:t xml:space="preserve"> pandemijos</w:t>
            </w:r>
            <w:r w:rsidRPr="00C77F16">
              <w:rPr>
                <w:rFonts w:eastAsia="Times New Roman" w:cs="Times New Roman"/>
                <w:b/>
                <w:bCs/>
                <w:color w:val="000000"/>
                <w:sz w:val="22"/>
                <w:lang w:eastAsia="lt-LT"/>
              </w:rPr>
              <w:t>.</w:t>
            </w:r>
            <w:r w:rsidRPr="00C77F16">
              <w:rPr>
                <w:rFonts w:eastAsia="Times New Roman" w:cs="Times New Roman"/>
                <w:color w:val="000000"/>
                <w:sz w:val="22"/>
                <w:lang w:eastAsia="lt-LT"/>
              </w:rPr>
              <w:br/>
              <w:t xml:space="preserve">Buvo numatyta įgyvendinti </w:t>
            </w:r>
            <w:r w:rsidR="004D0019">
              <w:rPr>
                <w:rFonts w:eastAsia="Times New Roman" w:cs="Times New Roman"/>
                <w:color w:val="000000"/>
                <w:sz w:val="22"/>
                <w:lang w:eastAsia="lt-LT"/>
              </w:rPr>
              <w:t>„</w:t>
            </w:r>
            <w:proofErr w:type="spellStart"/>
            <w:r w:rsidRPr="00C77F16">
              <w:rPr>
                <w:rFonts w:eastAsia="Times New Roman" w:cs="Times New Roman"/>
                <w:color w:val="000000"/>
                <w:sz w:val="22"/>
                <w:lang w:eastAsia="lt-LT"/>
              </w:rPr>
              <w:t>Workation</w:t>
            </w:r>
            <w:proofErr w:type="spellEnd"/>
            <w:r w:rsidR="004D0019">
              <w:rPr>
                <w:rFonts w:eastAsia="Times New Roman" w:cs="Times New Roman"/>
                <w:color w:val="000000"/>
                <w:sz w:val="22"/>
                <w:lang w:eastAsia="lt-LT"/>
              </w:rPr>
              <w:t>“</w:t>
            </w:r>
            <w:r w:rsidRPr="00C77F16">
              <w:rPr>
                <w:rFonts w:eastAsia="Times New Roman" w:cs="Times New Roman"/>
                <w:color w:val="000000"/>
                <w:sz w:val="22"/>
                <w:lang w:eastAsia="lt-LT"/>
              </w:rPr>
              <w:t xml:space="preserve"> programą, ją viešinti Europos </w:t>
            </w:r>
            <w:r w:rsidR="004D0019">
              <w:rPr>
                <w:rFonts w:eastAsia="Times New Roman" w:cs="Times New Roman"/>
                <w:color w:val="000000"/>
                <w:sz w:val="22"/>
                <w:lang w:eastAsia="lt-LT"/>
              </w:rPr>
              <w:t xml:space="preserve">FINTECH </w:t>
            </w:r>
            <w:r w:rsidRPr="00C77F16">
              <w:rPr>
                <w:rFonts w:eastAsia="Times New Roman" w:cs="Times New Roman"/>
                <w:color w:val="000000"/>
                <w:sz w:val="22"/>
                <w:lang w:eastAsia="lt-LT"/>
              </w:rPr>
              <w:t>bendruomenės</w:t>
            </w:r>
            <w:r w:rsidR="004D0019">
              <w:rPr>
                <w:rFonts w:eastAsia="Times New Roman" w:cs="Times New Roman"/>
                <w:color w:val="000000"/>
                <w:sz w:val="22"/>
                <w:lang w:eastAsia="lt-LT"/>
              </w:rPr>
              <w:t>e</w:t>
            </w:r>
            <w:r w:rsidRPr="00C77F16">
              <w:rPr>
                <w:rFonts w:eastAsia="Times New Roman" w:cs="Times New Roman"/>
                <w:color w:val="000000"/>
                <w:sz w:val="22"/>
                <w:lang w:eastAsia="lt-LT"/>
              </w:rPr>
              <w:t xml:space="preserve"> ir pritraukti joje dalyvauti </w:t>
            </w:r>
            <w:r w:rsidR="004D0019">
              <w:rPr>
                <w:rFonts w:eastAsia="Times New Roman" w:cs="Times New Roman"/>
                <w:color w:val="000000"/>
                <w:sz w:val="22"/>
                <w:lang w:eastAsia="lt-LT"/>
              </w:rPr>
              <w:t xml:space="preserve">FINTECH </w:t>
            </w:r>
            <w:r w:rsidRPr="00C77F16">
              <w:rPr>
                <w:rFonts w:eastAsia="Times New Roman" w:cs="Times New Roman"/>
                <w:color w:val="000000"/>
                <w:sz w:val="22"/>
                <w:lang w:eastAsia="lt-LT"/>
              </w:rPr>
              <w:t xml:space="preserve">įmonių atstovus. Dėl </w:t>
            </w:r>
            <w:r w:rsidR="004D0019">
              <w:rPr>
                <w:rFonts w:eastAsia="Times New Roman" w:cs="Times New Roman"/>
                <w:color w:val="000000"/>
                <w:sz w:val="22"/>
                <w:lang w:eastAsia="lt-LT"/>
              </w:rPr>
              <w:t xml:space="preserve">COVID-19 </w:t>
            </w:r>
            <w:r w:rsidRPr="00C77F16">
              <w:rPr>
                <w:rFonts w:eastAsia="Times New Roman" w:cs="Times New Roman"/>
                <w:color w:val="000000"/>
                <w:sz w:val="22"/>
                <w:lang w:eastAsia="lt-LT"/>
              </w:rPr>
              <w:t xml:space="preserve">pandemijos </w:t>
            </w:r>
            <w:r w:rsidR="004D0019">
              <w:rPr>
                <w:rFonts w:eastAsia="Times New Roman" w:cs="Times New Roman"/>
                <w:color w:val="000000"/>
                <w:sz w:val="22"/>
                <w:lang w:eastAsia="lt-LT"/>
              </w:rPr>
              <w:t>„</w:t>
            </w:r>
            <w:proofErr w:type="spellStart"/>
            <w:r w:rsidRPr="00C77F16">
              <w:rPr>
                <w:rFonts w:eastAsia="Times New Roman" w:cs="Times New Roman"/>
                <w:color w:val="000000"/>
                <w:sz w:val="22"/>
                <w:lang w:eastAsia="lt-LT"/>
              </w:rPr>
              <w:t>Workation</w:t>
            </w:r>
            <w:proofErr w:type="spellEnd"/>
            <w:r w:rsidR="004D0019">
              <w:rPr>
                <w:rFonts w:eastAsia="Times New Roman" w:cs="Times New Roman"/>
                <w:color w:val="000000"/>
                <w:sz w:val="22"/>
                <w:lang w:eastAsia="lt-LT"/>
              </w:rPr>
              <w:t>“</w:t>
            </w:r>
            <w:r w:rsidRPr="00C77F16">
              <w:rPr>
                <w:rFonts w:eastAsia="Times New Roman" w:cs="Times New Roman"/>
                <w:color w:val="000000"/>
                <w:sz w:val="22"/>
                <w:lang w:eastAsia="lt-LT"/>
              </w:rPr>
              <w:t xml:space="preserve"> programos nebuvo įmanoma organizuoti. Planuojama </w:t>
            </w:r>
            <w:r w:rsidR="004D0019">
              <w:rPr>
                <w:rFonts w:eastAsia="Times New Roman" w:cs="Times New Roman"/>
                <w:color w:val="000000"/>
                <w:sz w:val="22"/>
                <w:lang w:eastAsia="lt-LT"/>
              </w:rPr>
              <w:t xml:space="preserve">programą </w:t>
            </w:r>
            <w:r w:rsidRPr="00C77F16">
              <w:rPr>
                <w:rFonts w:eastAsia="Times New Roman" w:cs="Times New Roman"/>
                <w:color w:val="000000"/>
                <w:sz w:val="22"/>
                <w:lang w:eastAsia="lt-LT"/>
              </w:rPr>
              <w:t>organizuoti</w:t>
            </w:r>
            <w:r w:rsidR="004D0019">
              <w:rPr>
                <w:rFonts w:eastAsia="Times New Roman" w:cs="Times New Roman"/>
                <w:color w:val="000000"/>
                <w:sz w:val="22"/>
                <w:lang w:eastAsia="lt-LT"/>
              </w:rPr>
              <w:t>,</w:t>
            </w:r>
            <w:r w:rsidRPr="00C77F16">
              <w:rPr>
                <w:rFonts w:eastAsia="Times New Roman" w:cs="Times New Roman"/>
                <w:color w:val="000000"/>
                <w:sz w:val="22"/>
                <w:lang w:eastAsia="lt-LT"/>
              </w:rPr>
              <w:t xml:space="preserve"> kai neliks </w:t>
            </w:r>
            <w:r w:rsidR="004D0019">
              <w:rPr>
                <w:rFonts w:eastAsia="Times New Roman" w:cs="Times New Roman"/>
                <w:color w:val="000000"/>
                <w:sz w:val="22"/>
                <w:lang w:eastAsia="lt-LT"/>
              </w:rPr>
              <w:t xml:space="preserve">su COVID-19 </w:t>
            </w:r>
            <w:r w:rsidRPr="00C77F16">
              <w:rPr>
                <w:rFonts w:eastAsia="Times New Roman" w:cs="Times New Roman"/>
                <w:color w:val="000000"/>
                <w:sz w:val="22"/>
                <w:lang w:eastAsia="lt-LT"/>
              </w:rPr>
              <w:t>pandemij</w:t>
            </w:r>
            <w:r w:rsidR="004D0019">
              <w:rPr>
                <w:rFonts w:eastAsia="Times New Roman" w:cs="Times New Roman"/>
                <w:color w:val="000000"/>
                <w:sz w:val="22"/>
                <w:lang w:eastAsia="lt-LT"/>
              </w:rPr>
              <w:t>a susijusių</w:t>
            </w:r>
            <w:r w:rsidRPr="00C77F16">
              <w:rPr>
                <w:rFonts w:eastAsia="Times New Roman" w:cs="Times New Roman"/>
                <w:color w:val="000000"/>
                <w:sz w:val="22"/>
                <w:lang w:eastAsia="lt-LT"/>
              </w:rPr>
              <w:t xml:space="preserve"> apribojimų ir </w:t>
            </w:r>
            <w:r w:rsidR="004D0019">
              <w:rPr>
                <w:rFonts w:eastAsia="Times New Roman" w:cs="Times New Roman"/>
                <w:color w:val="000000"/>
                <w:sz w:val="22"/>
                <w:lang w:eastAsia="lt-LT"/>
              </w:rPr>
              <w:t xml:space="preserve">nebus </w:t>
            </w:r>
            <w:r w:rsidRPr="00C77F16">
              <w:rPr>
                <w:rFonts w:eastAsia="Times New Roman" w:cs="Times New Roman"/>
                <w:color w:val="000000"/>
                <w:sz w:val="22"/>
                <w:lang w:eastAsia="lt-LT"/>
              </w:rPr>
              <w:t>rizikos dalyvių sveikatai.</w:t>
            </w:r>
          </w:p>
        </w:tc>
      </w:tr>
      <w:tr w:rsidR="00DC2471" w:rsidRPr="00C77F16" w:rsidTr="00C77F16">
        <w:trPr>
          <w:trHeight w:val="900"/>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t>2.5. Siūlyti Lietuvos bankui plėsti bendradarbiavimą su kitomis priežiūros institucijomis tikslinėse rinkose, pasirašant su jomis memorandumus</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Nuolat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Lietuvos bankas, Užsienio reikalų ministerija</w:t>
            </w:r>
          </w:p>
        </w:tc>
        <w:tc>
          <w:tcPr>
            <w:tcW w:w="4712" w:type="dxa"/>
            <w:vAlign w:val="center"/>
            <w:hideMark/>
          </w:tcPr>
          <w:p w:rsidR="00DC2471" w:rsidRPr="00C77F16" w:rsidRDefault="00DC2471" w:rsidP="00BC4DB6">
            <w:pPr>
              <w:jc w:val="both"/>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Pr="00C77F16">
              <w:rPr>
                <w:rFonts w:eastAsia="Times New Roman" w:cs="Times New Roman"/>
                <w:color w:val="000000"/>
                <w:sz w:val="22"/>
                <w:lang w:eastAsia="lt-LT"/>
              </w:rPr>
              <w:br/>
            </w:r>
            <w:r w:rsidR="00B161E5">
              <w:rPr>
                <w:rFonts w:eastAsia="Times New Roman" w:cs="Times New Roman"/>
                <w:color w:val="000000"/>
                <w:sz w:val="22"/>
                <w:lang w:eastAsia="lt-LT"/>
              </w:rPr>
              <w:t xml:space="preserve">Memorandumas pasirašytas dėl darbo grupės veiklos pinigų plovimo ir teroristų finansavimo prevencijos srityje su Šiaurės ir Baltijos valstybėmis (Islandija, Danija, Norvegija, Švedija, Suomija, Estija, Latvija). </w:t>
            </w:r>
          </w:p>
        </w:tc>
      </w:tr>
      <w:tr w:rsidR="00DC2471" w:rsidRPr="00C77F16" w:rsidTr="00C77F16">
        <w:trPr>
          <w:trHeight w:val="300"/>
        </w:trPr>
        <w:tc>
          <w:tcPr>
            <w:tcW w:w="14601" w:type="dxa"/>
            <w:gridSpan w:val="5"/>
            <w:shd w:val="clear" w:color="auto" w:fill="D9D9D9" w:themeFill="background1" w:themeFillShade="D9"/>
            <w:vAlign w:val="center"/>
            <w:hideMark/>
          </w:tcPr>
          <w:p w:rsidR="00DC2471" w:rsidRPr="00C77F16" w:rsidRDefault="00DC2471" w:rsidP="00C77F16">
            <w:pPr>
              <w:jc w:val="center"/>
              <w:rPr>
                <w:rFonts w:eastAsia="Times New Roman" w:cs="Times New Roman"/>
                <w:b/>
                <w:bCs/>
                <w:i/>
                <w:iCs/>
                <w:color w:val="000000"/>
                <w:sz w:val="22"/>
                <w:lang w:eastAsia="lt-LT"/>
              </w:rPr>
            </w:pPr>
            <w:r w:rsidRPr="00C77F16">
              <w:rPr>
                <w:rFonts w:eastAsia="Times New Roman" w:cs="Times New Roman"/>
                <w:b/>
                <w:bCs/>
                <w:i/>
                <w:iCs/>
                <w:color w:val="000000"/>
                <w:sz w:val="22"/>
                <w:lang w:eastAsia="lt-LT"/>
              </w:rPr>
              <w:t>3 užduotis. Didinti FINTECH žinomumą ir naudojimą</w:t>
            </w:r>
          </w:p>
        </w:tc>
      </w:tr>
      <w:tr w:rsidR="00DC2471" w:rsidRPr="00C77F16" w:rsidTr="00C77F16">
        <w:trPr>
          <w:trHeight w:val="645"/>
        </w:trPr>
        <w:tc>
          <w:tcPr>
            <w:tcW w:w="3402" w:type="dxa"/>
            <w:vMerge w:val="restart"/>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t>3.1. Įgyvendinti FINTECH LT projektą</w:t>
            </w:r>
          </w:p>
        </w:tc>
        <w:tc>
          <w:tcPr>
            <w:tcW w:w="2694" w:type="dxa"/>
            <w:hideMark/>
          </w:tcPr>
          <w:p w:rsidR="00DC2471" w:rsidRPr="00C77F16" w:rsidRDefault="00DC2471" w:rsidP="00BC4DB6">
            <w:pPr>
              <w:rPr>
                <w:rFonts w:eastAsia="Times New Roman" w:cs="Times New Roman"/>
                <w:color w:val="000000"/>
                <w:sz w:val="22"/>
                <w:lang w:eastAsia="lt-LT"/>
              </w:rPr>
            </w:pPr>
            <w:r w:rsidRPr="00C77F16">
              <w:rPr>
                <w:rFonts w:eastAsia="Times New Roman" w:cs="Times New Roman"/>
                <w:color w:val="000000"/>
                <w:sz w:val="22"/>
                <w:lang w:eastAsia="lt-LT"/>
              </w:rPr>
              <w:t>3.1.1. Suorganizuoti tarptautinę „F</w:t>
            </w:r>
            <w:r w:rsidR="00BC4DB6">
              <w:rPr>
                <w:rFonts w:eastAsia="Times New Roman" w:cs="Times New Roman"/>
                <w:color w:val="000000"/>
                <w:sz w:val="22"/>
                <w:lang w:eastAsia="lt-LT"/>
              </w:rPr>
              <w:t>INTECH</w:t>
            </w:r>
            <w:r w:rsidRPr="00C77F16">
              <w:rPr>
                <w:rFonts w:eastAsia="Times New Roman" w:cs="Times New Roman"/>
                <w:color w:val="000000"/>
                <w:sz w:val="22"/>
                <w:lang w:eastAsia="lt-LT"/>
              </w:rPr>
              <w:t xml:space="preserve"> </w:t>
            </w:r>
            <w:proofErr w:type="spellStart"/>
            <w:r w:rsidRPr="00C77F16">
              <w:rPr>
                <w:rFonts w:eastAsia="Times New Roman" w:cs="Times New Roman"/>
                <w:color w:val="000000"/>
                <w:sz w:val="22"/>
                <w:lang w:eastAsia="lt-LT"/>
              </w:rPr>
              <w:t>Inn</w:t>
            </w:r>
            <w:proofErr w:type="spellEnd"/>
            <w:r w:rsidRPr="00C77F16">
              <w:rPr>
                <w:rFonts w:eastAsia="Times New Roman" w:cs="Times New Roman"/>
                <w:color w:val="000000"/>
                <w:sz w:val="22"/>
                <w:lang w:eastAsia="lt-LT"/>
              </w:rPr>
              <w:t xml:space="preserve"> 2020“ konferenciją</w:t>
            </w:r>
          </w:p>
        </w:tc>
        <w:tc>
          <w:tcPr>
            <w:tcW w:w="1559" w:type="dxa"/>
            <w:vMerge w:val="restart"/>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2021 m. I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Merge w:val="restart"/>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Ekonomikos ir inovacijų ministerija, Mokslo, inovacijų ir technologijų agentūra, konsultuojantis su Finansų ministerija, Lietuvos banku, Užsienio reikalų ministerija, </w:t>
            </w:r>
            <w:proofErr w:type="spellStart"/>
            <w:r w:rsidRPr="00C77F16">
              <w:rPr>
                <w:rFonts w:eastAsia="Times New Roman" w:cs="Times New Roman"/>
                <w:color w:val="000000"/>
                <w:sz w:val="22"/>
                <w:lang w:eastAsia="lt-LT"/>
              </w:rPr>
              <w:t>VšĮ</w:t>
            </w:r>
            <w:proofErr w:type="spellEnd"/>
            <w:r w:rsidRPr="00C77F16">
              <w:rPr>
                <w:rFonts w:eastAsia="Times New Roman" w:cs="Times New Roman"/>
                <w:color w:val="000000"/>
                <w:sz w:val="22"/>
                <w:lang w:eastAsia="lt-LT"/>
              </w:rPr>
              <w:t xml:space="preserve"> „Investuok Lietuvoje“ ir </w:t>
            </w:r>
            <w:proofErr w:type="spellStart"/>
            <w:r w:rsidRPr="00C77F16">
              <w:rPr>
                <w:rFonts w:eastAsia="Times New Roman" w:cs="Times New Roman"/>
                <w:color w:val="000000"/>
                <w:sz w:val="22"/>
                <w:lang w:eastAsia="lt-LT"/>
              </w:rPr>
              <w:t>VšĮ</w:t>
            </w:r>
            <w:proofErr w:type="spellEnd"/>
            <w:r w:rsidRPr="00C77F16">
              <w:rPr>
                <w:rFonts w:eastAsia="Times New Roman" w:cs="Times New Roman"/>
                <w:color w:val="000000"/>
                <w:sz w:val="22"/>
                <w:lang w:eastAsia="lt-LT"/>
              </w:rPr>
              <w:t xml:space="preserve"> „Versli Lietuva“ padalinio „</w:t>
            </w:r>
            <w:proofErr w:type="spellStart"/>
            <w:r w:rsidRPr="00C77F16">
              <w:rPr>
                <w:rFonts w:eastAsia="Times New Roman" w:cs="Times New Roman"/>
                <w:color w:val="000000"/>
                <w:sz w:val="22"/>
                <w:lang w:eastAsia="lt-LT"/>
              </w:rPr>
              <w:t>Startup</w:t>
            </w:r>
            <w:proofErr w:type="spellEnd"/>
            <w:r w:rsidRPr="00C77F16">
              <w:rPr>
                <w:rFonts w:eastAsia="Times New Roman" w:cs="Times New Roman"/>
                <w:color w:val="000000"/>
                <w:sz w:val="22"/>
                <w:lang w:eastAsia="lt-LT"/>
              </w:rPr>
              <w:t xml:space="preserve"> </w:t>
            </w:r>
            <w:proofErr w:type="spellStart"/>
            <w:r w:rsidRPr="00C77F16">
              <w:rPr>
                <w:rFonts w:eastAsia="Times New Roman" w:cs="Times New Roman"/>
                <w:color w:val="000000"/>
                <w:sz w:val="22"/>
                <w:lang w:eastAsia="lt-LT"/>
              </w:rPr>
              <w:t>Lithuania</w:t>
            </w:r>
            <w:proofErr w:type="spellEnd"/>
            <w:r w:rsidRPr="00C77F16">
              <w:rPr>
                <w:rFonts w:eastAsia="Times New Roman" w:cs="Times New Roman"/>
                <w:color w:val="000000"/>
                <w:sz w:val="22"/>
                <w:lang w:eastAsia="lt-LT"/>
              </w:rPr>
              <w:t>“ komanda</w:t>
            </w:r>
          </w:p>
        </w:tc>
        <w:tc>
          <w:tcPr>
            <w:tcW w:w="4712" w:type="dxa"/>
            <w:vAlign w:val="center"/>
            <w:hideMark/>
          </w:tcPr>
          <w:p w:rsidR="00DC2471" w:rsidRPr="00C77F16" w:rsidRDefault="00DC2471" w:rsidP="00BC4DB6">
            <w:pPr>
              <w:jc w:val="both"/>
              <w:rPr>
                <w:rFonts w:eastAsia="Times New Roman" w:cs="Times New Roman"/>
                <w:color w:val="000000"/>
                <w:sz w:val="22"/>
                <w:lang w:eastAsia="lt-LT"/>
              </w:rPr>
            </w:pPr>
            <w:r w:rsidRPr="00C77F16">
              <w:rPr>
                <w:rFonts w:eastAsia="Times New Roman" w:cs="Times New Roman"/>
                <w:color w:val="000000"/>
                <w:sz w:val="22"/>
                <w:lang w:eastAsia="lt-LT"/>
              </w:rPr>
              <w:t xml:space="preserve">Vietoj </w:t>
            </w:r>
            <w:r w:rsidR="004D0019">
              <w:rPr>
                <w:rFonts w:eastAsia="Times New Roman" w:cs="Times New Roman"/>
                <w:color w:val="000000"/>
                <w:sz w:val="22"/>
                <w:lang w:eastAsia="lt-LT"/>
              </w:rPr>
              <w:t>konferencijos „</w:t>
            </w:r>
            <w:r w:rsidR="0073531F" w:rsidRPr="00C77F16">
              <w:rPr>
                <w:rFonts w:eastAsia="Times New Roman" w:cs="Times New Roman"/>
                <w:color w:val="000000"/>
                <w:sz w:val="22"/>
                <w:lang w:eastAsia="lt-LT"/>
              </w:rPr>
              <w:t>F</w:t>
            </w:r>
            <w:r w:rsidR="0073531F">
              <w:rPr>
                <w:rFonts w:eastAsia="Times New Roman" w:cs="Times New Roman"/>
                <w:color w:val="000000"/>
                <w:sz w:val="22"/>
                <w:lang w:eastAsia="lt-LT"/>
              </w:rPr>
              <w:t>INTECH</w:t>
            </w:r>
            <w:r w:rsidR="0073531F" w:rsidRPr="00C77F16">
              <w:rPr>
                <w:rFonts w:eastAsia="Times New Roman" w:cs="Times New Roman"/>
                <w:color w:val="000000"/>
                <w:sz w:val="22"/>
                <w:lang w:eastAsia="lt-LT"/>
              </w:rPr>
              <w:t xml:space="preserve"> </w:t>
            </w:r>
            <w:proofErr w:type="spellStart"/>
            <w:r w:rsidRPr="00C77F16">
              <w:rPr>
                <w:rFonts w:eastAsia="Times New Roman" w:cs="Times New Roman"/>
                <w:color w:val="000000"/>
                <w:sz w:val="22"/>
                <w:lang w:eastAsia="lt-LT"/>
              </w:rPr>
              <w:t>Inn</w:t>
            </w:r>
            <w:proofErr w:type="spellEnd"/>
            <w:r w:rsidR="004D0019">
              <w:rPr>
                <w:rFonts w:eastAsia="Times New Roman" w:cs="Times New Roman"/>
                <w:color w:val="000000"/>
                <w:sz w:val="22"/>
                <w:lang w:eastAsia="lt-LT"/>
              </w:rPr>
              <w:t xml:space="preserve"> 2020“</w:t>
            </w:r>
            <w:r w:rsidRPr="00C77F16">
              <w:rPr>
                <w:rFonts w:eastAsia="Times New Roman" w:cs="Times New Roman"/>
                <w:color w:val="000000"/>
                <w:sz w:val="22"/>
                <w:lang w:eastAsia="lt-LT"/>
              </w:rPr>
              <w:t xml:space="preserve"> dėl COVID</w:t>
            </w:r>
            <w:r w:rsidR="004D0019">
              <w:rPr>
                <w:rFonts w:eastAsia="Times New Roman" w:cs="Times New Roman"/>
                <w:color w:val="000000"/>
                <w:sz w:val="22"/>
                <w:lang w:eastAsia="lt-LT"/>
              </w:rPr>
              <w:t>-19 pandemijos</w:t>
            </w:r>
            <w:r w:rsidRPr="00C77F16">
              <w:rPr>
                <w:rFonts w:eastAsia="Times New Roman" w:cs="Times New Roman"/>
                <w:color w:val="000000"/>
                <w:sz w:val="22"/>
                <w:lang w:eastAsia="lt-LT"/>
              </w:rPr>
              <w:t xml:space="preserve"> suorganizuota 4 dienų nuotolinė </w:t>
            </w:r>
            <w:r w:rsidR="00B97DCA" w:rsidRPr="00C77F16">
              <w:rPr>
                <w:rFonts w:eastAsia="Times New Roman" w:cs="Times New Roman"/>
                <w:color w:val="000000"/>
                <w:sz w:val="22"/>
                <w:lang w:eastAsia="lt-LT"/>
              </w:rPr>
              <w:t xml:space="preserve">konferencija </w:t>
            </w:r>
            <w:r w:rsidR="00B97DCA">
              <w:rPr>
                <w:rFonts w:eastAsia="Times New Roman" w:cs="Times New Roman"/>
                <w:color w:val="000000"/>
                <w:sz w:val="22"/>
                <w:lang w:eastAsia="lt-LT"/>
              </w:rPr>
              <w:t>„</w:t>
            </w:r>
            <w:r w:rsidRPr="00C77F16">
              <w:rPr>
                <w:rFonts w:eastAsia="Times New Roman" w:cs="Times New Roman"/>
                <w:color w:val="000000"/>
                <w:sz w:val="22"/>
                <w:lang w:eastAsia="lt-LT"/>
              </w:rPr>
              <w:t>F</w:t>
            </w:r>
            <w:r w:rsidR="0073531F">
              <w:rPr>
                <w:rFonts w:eastAsia="Times New Roman" w:cs="Times New Roman"/>
                <w:color w:val="000000"/>
                <w:sz w:val="22"/>
                <w:lang w:eastAsia="lt-LT"/>
              </w:rPr>
              <w:t>INTECH</w:t>
            </w:r>
            <w:r w:rsidRPr="00C77F16">
              <w:rPr>
                <w:rFonts w:eastAsia="Times New Roman" w:cs="Times New Roman"/>
                <w:color w:val="000000"/>
                <w:sz w:val="22"/>
                <w:lang w:eastAsia="lt-LT"/>
              </w:rPr>
              <w:t xml:space="preserve"> </w:t>
            </w:r>
            <w:proofErr w:type="spellStart"/>
            <w:r w:rsidRPr="00C77F16">
              <w:rPr>
                <w:rFonts w:eastAsia="Times New Roman" w:cs="Times New Roman"/>
                <w:color w:val="000000"/>
                <w:sz w:val="22"/>
                <w:lang w:eastAsia="lt-LT"/>
              </w:rPr>
              <w:t>Week</w:t>
            </w:r>
            <w:proofErr w:type="spellEnd"/>
            <w:r w:rsidRPr="00C77F16">
              <w:rPr>
                <w:rFonts w:eastAsia="Times New Roman" w:cs="Times New Roman"/>
                <w:color w:val="000000"/>
                <w:sz w:val="22"/>
                <w:lang w:eastAsia="lt-LT"/>
              </w:rPr>
              <w:t xml:space="preserve"> </w:t>
            </w:r>
            <w:proofErr w:type="spellStart"/>
            <w:r w:rsidRPr="00C77F16">
              <w:rPr>
                <w:rFonts w:eastAsia="Times New Roman" w:cs="Times New Roman"/>
                <w:color w:val="000000"/>
                <w:sz w:val="22"/>
                <w:lang w:eastAsia="lt-LT"/>
              </w:rPr>
              <w:t>Lithuania</w:t>
            </w:r>
            <w:proofErr w:type="spellEnd"/>
            <w:r w:rsidR="00B97DCA">
              <w:rPr>
                <w:rFonts w:eastAsia="Times New Roman" w:cs="Times New Roman"/>
                <w:color w:val="000000"/>
                <w:sz w:val="22"/>
                <w:lang w:eastAsia="lt-LT"/>
              </w:rPr>
              <w:t>“.</w:t>
            </w:r>
            <w:r w:rsidRPr="00C77F16">
              <w:rPr>
                <w:rFonts w:eastAsia="Times New Roman" w:cs="Times New Roman"/>
                <w:color w:val="000000"/>
                <w:sz w:val="22"/>
                <w:lang w:eastAsia="lt-LT"/>
              </w:rPr>
              <w:t xml:space="preserve"> </w:t>
            </w:r>
          </w:p>
        </w:tc>
      </w:tr>
      <w:tr w:rsidR="008D548E" w:rsidRPr="00C77F16" w:rsidTr="00C77F16">
        <w:trPr>
          <w:trHeight w:val="300"/>
        </w:trPr>
        <w:tc>
          <w:tcPr>
            <w:tcW w:w="3402" w:type="dxa"/>
            <w:vMerge/>
            <w:hideMark/>
          </w:tcPr>
          <w:p w:rsidR="008D548E" w:rsidRPr="00C77F16" w:rsidRDefault="008D548E" w:rsidP="00DC2471">
            <w:pPr>
              <w:jc w:val="both"/>
              <w:rPr>
                <w:rFonts w:eastAsia="Times New Roman" w:cs="Times New Roman"/>
                <w:color w:val="000000"/>
                <w:sz w:val="22"/>
                <w:lang w:eastAsia="lt-LT"/>
              </w:rPr>
            </w:pPr>
          </w:p>
        </w:tc>
        <w:tc>
          <w:tcPr>
            <w:tcW w:w="2694" w:type="dxa"/>
            <w:hideMark/>
          </w:tcPr>
          <w:p w:rsidR="008D548E" w:rsidRPr="00C77F16" w:rsidRDefault="008D548E" w:rsidP="004D0019">
            <w:pPr>
              <w:rPr>
                <w:rFonts w:eastAsia="Times New Roman" w:cs="Times New Roman"/>
                <w:color w:val="000000"/>
                <w:sz w:val="22"/>
                <w:lang w:eastAsia="lt-LT"/>
              </w:rPr>
            </w:pPr>
            <w:r w:rsidRPr="00C77F16">
              <w:rPr>
                <w:rFonts w:eastAsia="Times New Roman" w:cs="Times New Roman"/>
                <w:color w:val="000000"/>
                <w:sz w:val="22"/>
                <w:lang w:eastAsia="lt-LT"/>
              </w:rPr>
              <w:t>3.1.2. Suorganizuoti 22 renginius užsienyje</w:t>
            </w:r>
          </w:p>
        </w:tc>
        <w:tc>
          <w:tcPr>
            <w:tcW w:w="1559" w:type="dxa"/>
            <w:vMerge/>
            <w:vAlign w:val="center"/>
            <w:hideMark/>
          </w:tcPr>
          <w:p w:rsidR="008D548E" w:rsidRPr="00C77F16" w:rsidRDefault="008D548E" w:rsidP="00DC2471">
            <w:pPr>
              <w:jc w:val="center"/>
              <w:rPr>
                <w:rFonts w:eastAsia="Times New Roman" w:cs="Times New Roman"/>
                <w:color w:val="000000"/>
                <w:sz w:val="22"/>
                <w:lang w:eastAsia="lt-LT"/>
              </w:rPr>
            </w:pPr>
          </w:p>
        </w:tc>
        <w:tc>
          <w:tcPr>
            <w:tcW w:w="2234" w:type="dxa"/>
            <w:vMerge/>
            <w:vAlign w:val="center"/>
            <w:hideMark/>
          </w:tcPr>
          <w:p w:rsidR="008D548E" w:rsidRPr="00C77F16" w:rsidRDefault="008D548E" w:rsidP="00DC2471">
            <w:pPr>
              <w:jc w:val="center"/>
              <w:rPr>
                <w:rFonts w:eastAsia="Times New Roman" w:cs="Times New Roman"/>
                <w:color w:val="000000"/>
                <w:sz w:val="22"/>
                <w:lang w:eastAsia="lt-LT"/>
              </w:rPr>
            </w:pPr>
          </w:p>
        </w:tc>
        <w:tc>
          <w:tcPr>
            <w:tcW w:w="4712" w:type="dxa"/>
            <w:vAlign w:val="center"/>
            <w:hideMark/>
          </w:tcPr>
          <w:p w:rsidR="008D548E" w:rsidRPr="00C77F16" w:rsidRDefault="008D548E" w:rsidP="00B97DCA">
            <w:pPr>
              <w:jc w:val="both"/>
              <w:rPr>
                <w:rFonts w:cs="Times New Roman"/>
                <w:sz w:val="22"/>
              </w:rPr>
            </w:pPr>
            <w:r w:rsidRPr="00C77F16">
              <w:rPr>
                <w:rFonts w:cs="Times New Roman"/>
                <w:sz w:val="22"/>
              </w:rPr>
              <w:t>Suorganizuoti 8 renginiai (rodiklis nepasiektas dėl COVID-19</w:t>
            </w:r>
            <w:r w:rsidR="00B97DCA">
              <w:rPr>
                <w:rFonts w:cs="Times New Roman"/>
                <w:sz w:val="22"/>
              </w:rPr>
              <w:t xml:space="preserve"> pandemijos</w:t>
            </w:r>
            <w:r w:rsidRPr="00C77F16">
              <w:rPr>
                <w:rFonts w:cs="Times New Roman"/>
                <w:sz w:val="22"/>
              </w:rPr>
              <w:t>)</w:t>
            </w:r>
            <w:r w:rsidR="00B97DCA">
              <w:rPr>
                <w:rFonts w:cs="Times New Roman"/>
                <w:sz w:val="22"/>
              </w:rPr>
              <w:t>.</w:t>
            </w:r>
          </w:p>
        </w:tc>
      </w:tr>
      <w:tr w:rsidR="008D548E" w:rsidRPr="00C77F16" w:rsidTr="00C77F16">
        <w:trPr>
          <w:trHeight w:val="300"/>
        </w:trPr>
        <w:tc>
          <w:tcPr>
            <w:tcW w:w="3402" w:type="dxa"/>
            <w:vMerge/>
            <w:hideMark/>
          </w:tcPr>
          <w:p w:rsidR="008D548E" w:rsidRPr="00C77F16" w:rsidRDefault="008D548E" w:rsidP="00DC2471">
            <w:pPr>
              <w:jc w:val="both"/>
              <w:rPr>
                <w:rFonts w:eastAsia="Times New Roman" w:cs="Times New Roman"/>
                <w:color w:val="000000"/>
                <w:sz w:val="22"/>
                <w:lang w:eastAsia="lt-LT"/>
              </w:rPr>
            </w:pPr>
          </w:p>
        </w:tc>
        <w:tc>
          <w:tcPr>
            <w:tcW w:w="2694" w:type="dxa"/>
            <w:hideMark/>
          </w:tcPr>
          <w:p w:rsidR="008D548E" w:rsidRPr="00C77F16" w:rsidRDefault="008D548E" w:rsidP="004D0019">
            <w:pPr>
              <w:rPr>
                <w:rFonts w:eastAsia="Times New Roman" w:cs="Times New Roman"/>
                <w:color w:val="000000"/>
                <w:sz w:val="22"/>
                <w:lang w:eastAsia="lt-LT"/>
              </w:rPr>
            </w:pPr>
            <w:r w:rsidRPr="00C77F16">
              <w:rPr>
                <w:rFonts w:eastAsia="Times New Roman" w:cs="Times New Roman"/>
                <w:color w:val="000000"/>
                <w:sz w:val="22"/>
                <w:lang w:eastAsia="lt-LT"/>
              </w:rPr>
              <w:t>3.1.3. Suorganizuoti 13 renginių Lietuvoje</w:t>
            </w:r>
          </w:p>
        </w:tc>
        <w:tc>
          <w:tcPr>
            <w:tcW w:w="1559" w:type="dxa"/>
            <w:vMerge/>
            <w:vAlign w:val="center"/>
            <w:hideMark/>
          </w:tcPr>
          <w:p w:rsidR="008D548E" w:rsidRPr="00C77F16" w:rsidRDefault="008D548E" w:rsidP="00DC2471">
            <w:pPr>
              <w:jc w:val="center"/>
              <w:rPr>
                <w:rFonts w:eastAsia="Times New Roman" w:cs="Times New Roman"/>
                <w:color w:val="000000"/>
                <w:sz w:val="22"/>
                <w:lang w:eastAsia="lt-LT"/>
              </w:rPr>
            </w:pPr>
          </w:p>
        </w:tc>
        <w:tc>
          <w:tcPr>
            <w:tcW w:w="2234" w:type="dxa"/>
            <w:vMerge/>
            <w:vAlign w:val="center"/>
            <w:hideMark/>
          </w:tcPr>
          <w:p w:rsidR="008D548E" w:rsidRPr="00C77F16" w:rsidRDefault="008D548E" w:rsidP="00DC2471">
            <w:pPr>
              <w:jc w:val="center"/>
              <w:rPr>
                <w:rFonts w:eastAsia="Times New Roman" w:cs="Times New Roman"/>
                <w:color w:val="000000"/>
                <w:sz w:val="22"/>
                <w:lang w:eastAsia="lt-LT"/>
              </w:rPr>
            </w:pPr>
          </w:p>
        </w:tc>
        <w:tc>
          <w:tcPr>
            <w:tcW w:w="4712" w:type="dxa"/>
            <w:vAlign w:val="center"/>
            <w:hideMark/>
          </w:tcPr>
          <w:p w:rsidR="008D548E" w:rsidRPr="00C77F16" w:rsidRDefault="00B97DCA" w:rsidP="00B97DCA">
            <w:pPr>
              <w:jc w:val="both"/>
              <w:rPr>
                <w:rFonts w:cs="Times New Roman"/>
                <w:sz w:val="22"/>
              </w:rPr>
            </w:pPr>
            <w:r w:rsidRPr="00C77F16">
              <w:rPr>
                <w:rFonts w:cs="Times New Roman"/>
                <w:sz w:val="22"/>
              </w:rPr>
              <w:t xml:space="preserve">Suorganizuoti </w:t>
            </w:r>
            <w:r w:rsidR="008D548E" w:rsidRPr="00C77F16">
              <w:rPr>
                <w:rFonts w:cs="Times New Roman"/>
                <w:sz w:val="22"/>
              </w:rPr>
              <w:t>3 renginiai (rodiklis nepasiektas dėl COVID-19</w:t>
            </w:r>
            <w:r>
              <w:rPr>
                <w:rFonts w:cs="Times New Roman"/>
                <w:sz w:val="22"/>
              </w:rPr>
              <w:t xml:space="preserve"> pandemijos</w:t>
            </w:r>
            <w:r w:rsidR="008D548E" w:rsidRPr="00C77F16">
              <w:rPr>
                <w:rFonts w:cs="Times New Roman"/>
                <w:sz w:val="22"/>
              </w:rPr>
              <w:t>)</w:t>
            </w:r>
            <w:r>
              <w:rPr>
                <w:rFonts w:cs="Times New Roman"/>
                <w:sz w:val="22"/>
              </w:rPr>
              <w:t>.</w:t>
            </w:r>
          </w:p>
        </w:tc>
      </w:tr>
      <w:tr w:rsidR="008D548E" w:rsidRPr="00C77F16" w:rsidTr="00C77F16">
        <w:trPr>
          <w:trHeight w:val="300"/>
        </w:trPr>
        <w:tc>
          <w:tcPr>
            <w:tcW w:w="3402" w:type="dxa"/>
            <w:vMerge/>
            <w:hideMark/>
          </w:tcPr>
          <w:p w:rsidR="008D548E" w:rsidRPr="00C77F16" w:rsidRDefault="008D548E" w:rsidP="00DC2471">
            <w:pPr>
              <w:jc w:val="both"/>
              <w:rPr>
                <w:rFonts w:eastAsia="Times New Roman" w:cs="Times New Roman"/>
                <w:color w:val="000000"/>
                <w:sz w:val="22"/>
                <w:lang w:eastAsia="lt-LT"/>
              </w:rPr>
            </w:pPr>
          </w:p>
        </w:tc>
        <w:tc>
          <w:tcPr>
            <w:tcW w:w="2694" w:type="dxa"/>
            <w:hideMark/>
          </w:tcPr>
          <w:p w:rsidR="008D548E" w:rsidRPr="00C77F16" w:rsidRDefault="008D548E" w:rsidP="004D0019">
            <w:pPr>
              <w:rPr>
                <w:rFonts w:eastAsia="Times New Roman" w:cs="Times New Roman"/>
                <w:color w:val="000000"/>
                <w:sz w:val="22"/>
                <w:lang w:eastAsia="lt-LT"/>
              </w:rPr>
            </w:pPr>
            <w:r w:rsidRPr="00C77F16">
              <w:rPr>
                <w:rFonts w:eastAsia="Times New Roman" w:cs="Times New Roman"/>
                <w:color w:val="000000"/>
                <w:sz w:val="22"/>
                <w:lang w:eastAsia="lt-LT"/>
              </w:rPr>
              <w:t>3.1.4. Parengti ir publikuoti 10 vaizdinių publikacijų</w:t>
            </w:r>
          </w:p>
        </w:tc>
        <w:tc>
          <w:tcPr>
            <w:tcW w:w="1559" w:type="dxa"/>
            <w:vMerge/>
            <w:vAlign w:val="center"/>
            <w:hideMark/>
          </w:tcPr>
          <w:p w:rsidR="008D548E" w:rsidRPr="00C77F16" w:rsidRDefault="008D548E" w:rsidP="00DC2471">
            <w:pPr>
              <w:jc w:val="center"/>
              <w:rPr>
                <w:rFonts w:eastAsia="Times New Roman" w:cs="Times New Roman"/>
                <w:color w:val="000000"/>
                <w:sz w:val="22"/>
                <w:lang w:eastAsia="lt-LT"/>
              </w:rPr>
            </w:pPr>
          </w:p>
        </w:tc>
        <w:tc>
          <w:tcPr>
            <w:tcW w:w="2234" w:type="dxa"/>
            <w:vMerge/>
            <w:vAlign w:val="center"/>
            <w:hideMark/>
          </w:tcPr>
          <w:p w:rsidR="008D548E" w:rsidRPr="00C77F16" w:rsidRDefault="008D548E" w:rsidP="00DC2471">
            <w:pPr>
              <w:jc w:val="center"/>
              <w:rPr>
                <w:rFonts w:eastAsia="Times New Roman" w:cs="Times New Roman"/>
                <w:color w:val="000000"/>
                <w:sz w:val="22"/>
                <w:lang w:eastAsia="lt-LT"/>
              </w:rPr>
            </w:pPr>
          </w:p>
        </w:tc>
        <w:tc>
          <w:tcPr>
            <w:tcW w:w="4712" w:type="dxa"/>
            <w:vAlign w:val="center"/>
            <w:hideMark/>
          </w:tcPr>
          <w:p w:rsidR="008D548E" w:rsidRPr="00C77F16" w:rsidRDefault="00B97DCA" w:rsidP="00B97DCA">
            <w:pPr>
              <w:jc w:val="both"/>
              <w:rPr>
                <w:rFonts w:cs="Times New Roman"/>
                <w:sz w:val="22"/>
              </w:rPr>
            </w:pPr>
            <w:r>
              <w:rPr>
                <w:rFonts w:cs="Times New Roman"/>
                <w:sz w:val="22"/>
              </w:rPr>
              <w:t xml:space="preserve">Parengtos </w:t>
            </w:r>
            <w:r w:rsidR="008D548E" w:rsidRPr="00C77F16">
              <w:rPr>
                <w:rFonts w:cs="Times New Roman"/>
                <w:sz w:val="22"/>
              </w:rPr>
              <w:t>5 vaizdo publikacijos (rodiklis nepasiektas dėl COVID-19</w:t>
            </w:r>
            <w:r>
              <w:rPr>
                <w:rFonts w:cs="Times New Roman"/>
                <w:sz w:val="22"/>
              </w:rPr>
              <w:t xml:space="preserve"> pandemijos</w:t>
            </w:r>
            <w:r w:rsidR="008D548E" w:rsidRPr="00C77F16">
              <w:rPr>
                <w:rFonts w:cs="Times New Roman"/>
                <w:sz w:val="22"/>
              </w:rPr>
              <w:t>)</w:t>
            </w:r>
            <w:r>
              <w:rPr>
                <w:rFonts w:cs="Times New Roman"/>
                <w:sz w:val="22"/>
              </w:rPr>
              <w:t>.</w:t>
            </w:r>
          </w:p>
        </w:tc>
      </w:tr>
      <w:tr w:rsidR="008D548E" w:rsidRPr="00C77F16" w:rsidTr="00C77F16">
        <w:trPr>
          <w:trHeight w:val="300"/>
        </w:trPr>
        <w:tc>
          <w:tcPr>
            <w:tcW w:w="3402" w:type="dxa"/>
            <w:vMerge/>
            <w:hideMark/>
          </w:tcPr>
          <w:p w:rsidR="008D548E" w:rsidRPr="00C77F16" w:rsidRDefault="008D548E" w:rsidP="00DC2471">
            <w:pPr>
              <w:jc w:val="both"/>
              <w:rPr>
                <w:rFonts w:eastAsia="Times New Roman" w:cs="Times New Roman"/>
                <w:color w:val="000000"/>
                <w:sz w:val="22"/>
                <w:lang w:eastAsia="lt-LT"/>
              </w:rPr>
            </w:pPr>
          </w:p>
        </w:tc>
        <w:tc>
          <w:tcPr>
            <w:tcW w:w="2694" w:type="dxa"/>
            <w:hideMark/>
          </w:tcPr>
          <w:p w:rsidR="008D548E" w:rsidRPr="00C77F16" w:rsidRDefault="008D548E" w:rsidP="004D0019">
            <w:pPr>
              <w:rPr>
                <w:rFonts w:eastAsia="Times New Roman" w:cs="Times New Roman"/>
                <w:color w:val="000000"/>
                <w:sz w:val="22"/>
                <w:lang w:eastAsia="lt-LT"/>
              </w:rPr>
            </w:pPr>
            <w:r w:rsidRPr="00C77F16">
              <w:rPr>
                <w:rFonts w:eastAsia="Times New Roman" w:cs="Times New Roman"/>
                <w:color w:val="000000"/>
                <w:sz w:val="22"/>
                <w:lang w:eastAsia="lt-LT"/>
              </w:rPr>
              <w:t>3.1.5. Inicijuoti ir publikuoti 17 straipsnių užsienio žiniasklaidoje</w:t>
            </w:r>
          </w:p>
        </w:tc>
        <w:tc>
          <w:tcPr>
            <w:tcW w:w="1559" w:type="dxa"/>
            <w:vMerge/>
            <w:vAlign w:val="center"/>
            <w:hideMark/>
          </w:tcPr>
          <w:p w:rsidR="008D548E" w:rsidRPr="00C77F16" w:rsidRDefault="008D548E" w:rsidP="00DC2471">
            <w:pPr>
              <w:jc w:val="center"/>
              <w:rPr>
                <w:rFonts w:eastAsia="Times New Roman" w:cs="Times New Roman"/>
                <w:color w:val="000000"/>
                <w:sz w:val="22"/>
                <w:lang w:eastAsia="lt-LT"/>
              </w:rPr>
            </w:pPr>
          </w:p>
        </w:tc>
        <w:tc>
          <w:tcPr>
            <w:tcW w:w="2234" w:type="dxa"/>
            <w:vMerge/>
            <w:vAlign w:val="center"/>
            <w:hideMark/>
          </w:tcPr>
          <w:p w:rsidR="008D548E" w:rsidRPr="00C77F16" w:rsidRDefault="008D548E" w:rsidP="00DC2471">
            <w:pPr>
              <w:jc w:val="center"/>
              <w:rPr>
                <w:rFonts w:eastAsia="Times New Roman" w:cs="Times New Roman"/>
                <w:color w:val="000000"/>
                <w:sz w:val="22"/>
                <w:lang w:eastAsia="lt-LT"/>
              </w:rPr>
            </w:pPr>
          </w:p>
        </w:tc>
        <w:tc>
          <w:tcPr>
            <w:tcW w:w="4712" w:type="dxa"/>
            <w:vAlign w:val="center"/>
            <w:hideMark/>
          </w:tcPr>
          <w:p w:rsidR="008D548E" w:rsidRPr="00C77F16" w:rsidRDefault="008D548E" w:rsidP="00B97DCA">
            <w:pPr>
              <w:jc w:val="both"/>
              <w:rPr>
                <w:rFonts w:cs="Times New Roman"/>
                <w:sz w:val="22"/>
              </w:rPr>
            </w:pPr>
            <w:r w:rsidRPr="00C77F16">
              <w:rPr>
                <w:rFonts w:cs="Times New Roman"/>
                <w:sz w:val="22"/>
              </w:rPr>
              <w:t>I</w:t>
            </w:r>
            <w:r w:rsidR="00B97DCA">
              <w:rPr>
                <w:rFonts w:cs="Times New Roman"/>
                <w:sz w:val="22"/>
              </w:rPr>
              <w:t>–</w:t>
            </w:r>
            <w:r w:rsidRPr="00C77F16">
              <w:rPr>
                <w:rFonts w:cs="Times New Roman"/>
                <w:sz w:val="22"/>
              </w:rPr>
              <w:t xml:space="preserve">II </w:t>
            </w:r>
            <w:proofErr w:type="spellStart"/>
            <w:r w:rsidRPr="00C77F16">
              <w:rPr>
                <w:rFonts w:cs="Times New Roman"/>
                <w:sz w:val="22"/>
              </w:rPr>
              <w:t>ketv</w:t>
            </w:r>
            <w:proofErr w:type="spellEnd"/>
            <w:r w:rsidR="00B97DCA">
              <w:rPr>
                <w:rFonts w:cs="Times New Roman"/>
                <w:sz w:val="22"/>
              </w:rPr>
              <w:t>.</w:t>
            </w:r>
            <w:r w:rsidRPr="00C77F16">
              <w:rPr>
                <w:rFonts w:cs="Times New Roman"/>
                <w:sz w:val="22"/>
              </w:rPr>
              <w:t xml:space="preserve"> </w:t>
            </w:r>
            <w:r w:rsidR="00B97DCA">
              <w:rPr>
                <w:rFonts w:cs="Times New Roman"/>
                <w:sz w:val="22"/>
              </w:rPr>
              <w:t>publikuota</w:t>
            </w:r>
            <w:r w:rsidRPr="00C77F16">
              <w:rPr>
                <w:rFonts w:cs="Times New Roman"/>
                <w:sz w:val="22"/>
              </w:rPr>
              <w:t xml:space="preserve"> 24 straipsnių užsienio žiniasklaidoje</w:t>
            </w:r>
            <w:r w:rsidR="00B97DCA">
              <w:rPr>
                <w:rFonts w:cs="Times New Roman"/>
                <w:sz w:val="22"/>
              </w:rPr>
              <w:t>.</w:t>
            </w:r>
          </w:p>
        </w:tc>
      </w:tr>
      <w:tr w:rsidR="008D548E" w:rsidRPr="00C77F16" w:rsidTr="00C77F16">
        <w:trPr>
          <w:trHeight w:val="300"/>
        </w:trPr>
        <w:tc>
          <w:tcPr>
            <w:tcW w:w="3402" w:type="dxa"/>
            <w:vMerge/>
            <w:hideMark/>
          </w:tcPr>
          <w:p w:rsidR="008D548E" w:rsidRPr="00C77F16" w:rsidRDefault="008D548E" w:rsidP="00DC2471">
            <w:pPr>
              <w:jc w:val="both"/>
              <w:rPr>
                <w:rFonts w:eastAsia="Times New Roman" w:cs="Times New Roman"/>
                <w:color w:val="000000"/>
                <w:sz w:val="22"/>
                <w:lang w:eastAsia="lt-LT"/>
              </w:rPr>
            </w:pPr>
          </w:p>
        </w:tc>
        <w:tc>
          <w:tcPr>
            <w:tcW w:w="2694" w:type="dxa"/>
            <w:hideMark/>
          </w:tcPr>
          <w:p w:rsidR="008D548E" w:rsidRPr="00C77F16" w:rsidRDefault="008D548E" w:rsidP="004D0019">
            <w:pPr>
              <w:rPr>
                <w:rFonts w:eastAsia="Times New Roman" w:cs="Times New Roman"/>
                <w:color w:val="000000"/>
                <w:sz w:val="22"/>
                <w:lang w:eastAsia="lt-LT"/>
              </w:rPr>
            </w:pPr>
            <w:r w:rsidRPr="00C77F16">
              <w:rPr>
                <w:rFonts w:eastAsia="Times New Roman" w:cs="Times New Roman"/>
                <w:color w:val="000000"/>
                <w:sz w:val="22"/>
                <w:lang w:eastAsia="lt-LT"/>
              </w:rPr>
              <w:t>3.1.6. Inicijuoti ir publikuoti 7 straipsnius Lietuvos žiniasklaidoje</w:t>
            </w:r>
          </w:p>
        </w:tc>
        <w:tc>
          <w:tcPr>
            <w:tcW w:w="1559" w:type="dxa"/>
            <w:vMerge/>
            <w:vAlign w:val="center"/>
            <w:hideMark/>
          </w:tcPr>
          <w:p w:rsidR="008D548E" w:rsidRPr="00C77F16" w:rsidRDefault="008D548E" w:rsidP="00DC2471">
            <w:pPr>
              <w:jc w:val="center"/>
              <w:rPr>
                <w:rFonts w:eastAsia="Times New Roman" w:cs="Times New Roman"/>
                <w:color w:val="000000"/>
                <w:sz w:val="22"/>
                <w:lang w:eastAsia="lt-LT"/>
              </w:rPr>
            </w:pPr>
          </w:p>
        </w:tc>
        <w:tc>
          <w:tcPr>
            <w:tcW w:w="2234" w:type="dxa"/>
            <w:vMerge/>
            <w:vAlign w:val="center"/>
            <w:hideMark/>
          </w:tcPr>
          <w:p w:rsidR="008D548E" w:rsidRPr="00C77F16" w:rsidRDefault="008D548E" w:rsidP="00DC2471">
            <w:pPr>
              <w:jc w:val="center"/>
              <w:rPr>
                <w:rFonts w:eastAsia="Times New Roman" w:cs="Times New Roman"/>
                <w:color w:val="000000"/>
                <w:sz w:val="22"/>
                <w:lang w:eastAsia="lt-LT"/>
              </w:rPr>
            </w:pPr>
          </w:p>
        </w:tc>
        <w:tc>
          <w:tcPr>
            <w:tcW w:w="4712" w:type="dxa"/>
            <w:vAlign w:val="center"/>
            <w:hideMark/>
          </w:tcPr>
          <w:p w:rsidR="008D548E" w:rsidRPr="00C77F16" w:rsidRDefault="008D548E" w:rsidP="00B97DCA">
            <w:pPr>
              <w:jc w:val="both"/>
              <w:rPr>
                <w:rFonts w:cs="Times New Roman"/>
                <w:sz w:val="22"/>
              </w:rPr>
            </w:pPr>
            <w:r w:rsidRPr="00C77F16">
              <w:rPr>
                <w:rFonts w:cs="Times New Roman"/>
                <w:sz w:val="22"/>
              </w:rPr>
              <w:t>I</w:t>
            </w:r>
            <w:r w:rsidR="00B97DCA">
              <w:rPr>
                <w:rFonts w:cs="Times New Roman"/>
                <w:sz w:val="22"/>
              </w:rPr>
              <w:t>–</w:t>
            </w:r>
            <w:r w:rsidRPr="00C77F16">
              <w:rPr>
                <w:rFonts w:cs="Times New Roman"/>
                <w:sz w:val="22"/>
              </w:rPr>
              <w:t xml:space="preserve">II </w:t>
            </w:r>
            <w:proofErr w:type="spellStart"/>
            <w:r w:rsidRPr="00C77F16">
              <w:rPr>
                <w:rFonts w:cs="Times New Roman"/>
                <w:sz w:val="22"/>
              </w:rPr>
              <w:t>ketv</w:t>
            </w:r>
            <w:proofErr w:type="spellEnd"/>
            <w:r w:rsidR="00B97DCA">
              <w:rPr>
                <w:rFonts w:cs="Times New Roman"/>
                <w:sz w:val="22"/>
              </w:rPr>
              <w:t>.</w:t>
            </w:r>
            <w:r w:rsidRPr="00C77F16">
              <w:rPr>
                <w:rFonts w:cs="Times New Roman"/>
                <w:sz w:val="22"/>
              </w:rPr>
              <w:t xml:space="preserve"> </w:t>
            </w:r>
            <w:r w:rsidR="00B97DCA">
              <w:rPr>
                <w:rFonts w:cs="Times New Roman"/>
                <w:sz w:val="22"/>
              </w:rPr>
              <w:t>publikuota</w:t>
            </w:r>
            <w:r w:rsidRPr="00C77F16">
              <w:rPr>
                <w:rFonts w:cs="Times New Roman"/>
                <w:sz w:val="22"/>
              </w:rPr>
              <w:t xml:space="preserve"> 15 straipsnių Lietuvos žiniasklaidoje</w:t>
            </w:r>
            <w:r w:rsidR="00B97DCA">
              <w:rPr>
                <w:rFonts w:cs="Times New Roman"/>
                <w:sz w:val="22"/>
              </w:rPr>
              <w:t>.</w:t>
            </w:r>
          </w:p>
        </w:tc>
      </w:tr>
      <w:tr w:rsidR="00DC2471" w:rsidRPr="00C77F16" w:rsidTr="0073531F">
        <w:trPr>
          <w:trHeight w:val="1500"/>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lastRenderedPageBreak/>
              <w:t>3.2. Parengti rekomendacijas dėl atsiskaitymo negrynaisiais pinigais ugdymo įstaigose aplinkos suformavimo ir skatinimo</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II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Mokėjimų taryba</w:t>
            </w:r>
          </w:p>
        </w:tc>
        <w:tc>
          <w:tcPr>
            <w:tcW w:w="4712" w:type="dxa"/>
            <w:hideMark/>
          </w:tcPr>
          <w:p w:rsidR="00DC2471" w:rsidRPr="00C77F16" w:rsidRDefault="00DC2471" w:rsidP="0073531F">
            <w:pPr>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Pr="00C77F16">
              <w:rPr>
                <w:rFonts w:eastAsia="Times New Roman" w:cs="Times New Roman"/>
                <w:color w:val="000000"/>
                <w:sz w:val="22"/>
                <w:lang w:eastAsia="lt-LT"/>
              </w:rPr>
              <w:br/>
            </w:r>
            <w:r w:rsidR="00B97DCA">
              <w:rPr>
                <w:rFonts w:eastAsia="Times New Roman" w:cs="Times New Roman"/>
                <w:color w:val="000000"/>
                <w:sz w:val="22"/>
                <w:lang w:eastAsia="lt-LT"/>
              </w:rPr>
              <w:t>P</w:t>
            </w:r>
            <w:r w:rsidR="00B97DCA" w:rsidRPr="00C77F16">
              <w:rPr>
                <w:rFonts w:eastAsia="Times New Roman" w:cs="Times New Roman"/>
                <w:color w:val="000000"/>
                <w:sz w:val="22"/>
                <w:lang w:eastAsia="lt-LT"/>
              </w:rPr>
              <w:t xml:space="preserve">arengtos </w:t>
            </w:r>
            <w:r w:rsidR="00B97DCA">
              <w:rPr>
                <w:rFonts w:eastAsia="Times New Roman" w:cs="Times New Roman"/>
                <w:color w:val="000000"/>
                <w:sz w:val="22"/>
                <w:lang w:eastAsia="lt-LT"/>
              </w:rPr>
              <w:t>r</w:t>
            </w:r>
            <w:r w:rsidRPr="00C77F16">
              <w:rPr>
                <w:rFonts w:eastAsia="Times New Roman" w:cs="Times New Roman"/>
                <w:color w:val="000000"/>
                <w:sz w:val="22"/>
                <w:lang w:eastAsia="lt-LT"/>
              </w:rPr>
              <w:t>ekomendacijos</w:t>
            </w:r>
            <w:r w:rsidR="00C77F16">
              <w:rPr>
                <w:rFonts w:eastAsia="Times New Roman" w:cs="Times New Roman"/>
                <w:color w:val="000000"/>
                <w:sz w:val="22"/>
                <w:lang w:eastAsia="lt-LT"/>
              </w:rPr>
              <w:t xml:space="preserve">: </w:t>
            </w:r>
            <w:hyperlink r:id="rId14" w:history="1">
              <w:r w:rsidR="008D548E" w:rsidRPr="00C77F16">
                <w:rPr>
                  <w:rStyle w:val="Hipersaitas"/>
                  <w:rFonts w:eastAsia="Times New Roman" w:cs="Times New Roman"/>
                  <w:sz w:val="22"/>
                  <w:lang w:eastAsia="lt-LT"/>
                </w:rPr>
                <w:t>http://finmin.lrv.lt/uploads/finmin/documents/files/Atsiskaitymu%20negrynaisiais%20mokyklose%20ataskaita_final.pdf</w:t>
              </w:r>
            </w:hyperlink>
            <w:r w:rsidR="00B97DCA">
              <w:rPr>
                <w:rStyle w:val="Hipersaitas"/>
                <w:rFonts w:eastAsia="Times New Roman" w:cs="Times New Roman"/>
                <w:sz w:val="22"/>
                <w:lang w:eastAsia="lt-LT"/>
              </w:rPr>
              <w:t>.</w:t>
            </w:r>
          </w:p>
        </w:tc>
      </w:tr>
      <w:tr w:rsidR="00DC2471" w:rsidRPr="00C77F16" w:rsidTr="00C77F16">
        <w:trPr>
          <w:trHeight w:val="450"/>
        </w:trPr>
        <w:tc>
          <w:tcPr>
            <w:tcW w:w="14601" w:type="dxa"/>
            <w:gridSpan w:val="5"/>
            <w:shd w:val="clear" w:color="auto" w:fill="D9D9D9" w:themeFill="background1" w:themeFillShade="D9"/>
            <w:vAlign w:val="center"/>
            <w:hideMark/>
          </w:tcPr>
          <w:p w:rsidR="00DC2471" w:rsidRPr="00C77F16" w:rsidRDefault="00DC2471" w:rsidP="00C77F16">
            <w:pPr>
              <w:jc w:val="center"/>
              <w:rPr>
                <w:rFonts w:eastAsia="Times New Roman" w:cs="Times New Roman"/>
                <w:b/>
                <w:bCs/>
                <w:i/>
                <w:iCs/>
                <w:color w:val="000000"/>
                <w:sz w:val="22"/>
                <w:lang w:eastAsia="lt-LT"/>
              </w:rPr>
            </w:pPr>
            <w:r w:rsidRPr="00C77F16">
              <w:rPr>
                <w:rFonts w:eastAsia="Times New Roman" w:cs="Times New Roman"/>
                <w:b/>
                <w:bCs/>
                <w:i/>
                <w:iCs/>
                <w:color w:val="000000"/>
                <w:sz w:val="22"/>
                <w:lang w:eastAsia="lt-LT"/>
              </w:rPr>
              <w:t>4 užduotis. Skatinti Lietuvoje įsikūrusių FINTECH sektoriaus įmonių paslaugų ir prekių eksportą į užsienio rinkas</w:t>
            </w:r>
          </w:p>
        </w:tc>
      </w:tr>
      <w:tr w:rsidR="00DC2471" w:rsidRPr="00C77F16" w:rsidTr="00C77F16">
        <w:trPr>
          <w:trHeight w:val="1245"/>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t>4.1. Parengti 2021 metų renginių užsienyje, kuriuose kartu su bendradarbiaujančiomis institucijomis galėtų dalyvauti ir FINTECH įmonės, sąrašą</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III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proofErr w:type="spellStart"/>
            <w:r w:rsidRPr="00C77F16">
              <w:rPr>
                <w:rFonts w:eastAsia="Times New Roman" w:cs="Times New Roman"/>
                <w:color w:val="000000"/>
                <w:sz w:val="22"/>
                <w:lang w:eastAsia="lt-LT"/>
              </w:rPr>
              <w:t>VšĮ</w:t>
            </w:r>
            <w:proofErr w:type="spellEnd"/>
            <w:r w:rsidRPr="00C77F16">
              <w:rPr>
                <w:rFonts w:eastAsia="Times New Roman" w:cs="Times New Roman"/>
                <w:color w:val="000000"/>
                <w:sz w:val="22"/>
                <w:lang w:eastAsia="lt-LT"/>
              </w:rPr>
              <w:t xml:space="preserve"> „Versli Lietuva“, </w:t>
            </w:r>
            <w:proofErr w:type="spellStart"/>
            <w:r w:rsidRPr="00C77F16">
              <w:rPr>
                <w:rFonts w:eastAsia="Times New Roman" w:cs="Times New Roman"/>
                <w:color w:val="000000"/>
                <w:sz w:val="22"/>
                <w:lang w:eastAsia="lt-LT"/>
              </w:rPr>
              <w:t>VšĮ</w:t>
            </w:r>
            <w:proofErr w:type="spellEnd"/>
            <w:r w:rsidRPr="00C77F16">
              <w:rPr>
                <w:rFonts w:eastAsia="Times New Roman" w:cs="Times New Roman"/>
                <w:color w:val="000000"/>
                <w:sz w:val="22"/>
                <w:lang w:eastAsia="lt-LT"/>
              </w:rPr>
              <w:t xml:space="preserve"> „Investuok Lietuvoje“, Ekonomikos ir inovacijų ministerija</w:t>
            </w:r>
          </w:p>
        </w:tc>
        <w:tc>
          <w:tcPr>
            <w:tcW w:w="4712" w:type="dxa"/>
            <w:vAlign w:val="center"/>
            <w:hideMark/>
          </w:tcPr>
          <w:p w:rsidR="00DC2471" w:rsidRPr="00C77F16" w:rsidRDefault="00DC2471" w:rsidP="001746A8">
            <w:pPr>
              <w:jc w:val="both"/>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Pr="00C77F16">
              <w:rPr>
                <w:rFonts w:eastAsia="Times New Roman" w:cs="Times New Roman"/>
                <w:color w:val="000000"/>
                <w:sz w:val="22"/>
                <w:lang w:eastAsia="lt-LT"/>
              </w:rPr>
              <w:br/>
            </w:r>
            <w:proofErr w:type="spellStart"/>
            <w:r w:rsidR="00074071">
              <w:rPr>
                <w:rFonts w:eastAsia="Times New Roman" w:cs="Times New Roman"/>
                <w:color w:val="000000"/>
                <w:sz w:val="22"/>
                <w:lang w:eastAsia="lt-LT"/>
              </w:rPr>
              <w:t>VšĮ</w:t>
            </w:r>
            <w:proofErr w:type="spellEnd"/>
            <w:r w:rsidR="00074071">
              <w:rPr>
                <w:rFonts w:eastAsia="Times New Roman" w:cs="Times New Roman"/>
                <w:color w:val="000000"/>
                <w:sz w:val="22"/>
                <w:lang w:eastAsia="lt-LT"/>
              </w:rPr>
              <w:t xml:space="preserve"> „</w:t>
            </w:r>
            <w:r w:rsidRPr="00C77F16">
              <w:rPr>
                <w:rFonts w:eastAsia="Times New Roman" w:cs="Times New Roman"/>
                <w:color w:val="000000"/>
                <w:sz w:val="22"/>
                <w:lang w:eastAsia="lt-LT"/>
              </w:rPr>
              <w:t>Investuok Lietuvoje</w:t>
            </w:r>
            <w:r w:rsidR="00074071">
              <w:rPr>
                <w:rFonts w:eastAsia="Times New Roman" w:cs="Times New Roman"/>
                <w:color w:val="000000"/>
                <w:sz w:val="22"/>
                <w:lang w:eastAsia="lt-LT"/>
              </w:rPr>
              <w:t>“</w:t>
            </w:r>
            <w:r w:rsidRPr="00C77F16">
              <w:rPr>
                <w:rFonts w:eastAsia="Times New Roman" w:cs="Times New Roman"/>
                <w:color w:val="000000"/>
                <w:sz w:val="22"/>
                <w:lang w:eastAsia="lt-LT"/>
              </w:rPr>
              <w:t xml:space="preserve"> parengė svarbiausių tarptautinių F</w:t>
            </w:r>
            <w:r w:rsidR="00074071">
              <w:rPr>
                <w:rFonts w:eastAsia="Times New Roman" w:cs="Times New Roman"/>
                <w:color w:val="000000"/>
                <w:sz w:val="22"/>
                <w:lang w:eastAsia="lt-LT"/>
              </w:rPr>
              <w:t>INTECH</w:t>
            </w:r>
            <w:r w:rsidRPr="00C77F16">
              <w:rPr>
                <w:rFonts w:eastAsia="Times New Roman" w:cs="Times New Roman"/>
                <w:color w:val="000000"/>
                <w:sz w:val="22"/>
                <w:lang w:eastAsia="lt-LT"/>
              </w:rPr>
              <w:t xml:space="preserve"> renginių sąrašą ir jį periodiškai atnaujina, nes dėl C</w:t>
            </w:r>
            <w:r w:rsidR="00074071">
              <w:rPr>
                <w:rFonts w:eastAsia="Times New Roman" w:cs="Times New Roman"/>
                <w:color w:val="000000"/>
                <w:sz w:val="22"/>
                <w:lang w:eastAsia="lt-LT"/>
              </w:rPr>
              <w:t>OVID</w:t>
            </w:r>
            <w:r w:rsidRPr="00C77F16">
              <w:rPr>
                <w:rFonts w:eastAsia="Times New Roman" w:cs="Times New Roman"/>
                <w:color w:val="000000"/>
                <w:sz w:val="22"/>
                <w:lang w:eastAsia="lt-LT"/>
              </w:rPr>
              <w:t xml:space="preserve">-19 </w:t>
            </w:r>
            <w:r w:rsidR="00074071">
              <w:rPr>
                <w:rFonts w:eastAsia="Times New Roman" w:cs="Times New Roman"/>
                <w:color w:val="000000"/>
                <w:sz w:val="22"/>
                <w:lang w:eastAsia="lt-LT"/>
              </w:rPr>
              <w:t xml:space="preserve">pandemijos </w:t>
            </w:r>
            <w:r w:rsidRPr="00C77F16">
              <w:rPr>
                <w:rFonts w:eastAsia="Times New Roman" w:cs="Times New Roman"/>
                <w:color w:val="000000"/>
                <w:sz w:val="22"/>
                <w:lang w:eastAsia="lt-LT"/>
              </w:rPr>
              <w:t>dauguma planuotų renginių arba atšaukt</w:t>
            </w:r>
            <w:r w:rsidR="001746A8">
              <w:rPr>
                <w:rFonts w:eastAsia="Times New Roman" w:cs="Times New Roman"/>
                <w:color w:val="000000"/>
                <w:sz w:val="22"/>
                <w:lang w:eastAsia="lt-LT"/>
              </w:rPr>
              <w:t>a</w:t>
            </w:r>
            <w:r w:rsidRPr="00C77F16">
              <w:rPr>
                <w:rFonts w:eastAsia="Times New Roman" w:cs="Times New Roman"/>
                <w:color w:val="000000"/>
                <w:sz w:val="22"/>
                <w:lang w:eastAsia="lt-LT"/>
              </w:rPr>
              <w:t>, arba perkelt</w:t>
            </w:r>
            <w:r w:rsidR="001746A8">
              <w:rPr>
                <w:rFonts w:eastAsia="Times New Roman" w:cs="Times New Roman"/>
                <w:color w:val="000000"/>
                <w:sz w:val="22"/>
                <w:lang w:eastAsia="lt-LT"/>
              </w:rPr>
              <w:t>a</w:t>
            </w:r>
            <w:r w:rsidRPr="00C77F16">
              <w:rPr>
                <w:rFonts w:eastAsia="Times New Roman" w:cs="Times New Roman"/>
                <w:color w:val="000000"/>
                <w:sz w:val="22"/>
                <w:lang w:eastAsia="lt-LT"/>
              </w:rPr>
              <w:t xml:space="preserve"> į skaitmeninę erdvę ir vyks virtualiai.</w:t>
            </w:r>
          </w:p>
        </w:tc>
      </w:tr>
      <w:tr w:rsidR="00DC2471" w:rsidRPr="00C77F16" w:rsidTr="00C77F16">
        <w:trPr>
          <w:trHeight w:val="600"/>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t>4.2. Finansuoti bent 5 Lietuvoje įsikūrusių įmonių išvykas į užsienyje vykstančius FINTECH renginius</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2021 m. I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 pradžia</w:t>
            </w:r>
          </w:p>
        </w:tc>
        <w:tc>
          <w:tcPr>
            <w:tcW w:w="2234" w:type="dxa"/>
            <w:vAlign w:val="center"/>
            <w:hideMark/>
          </w:tcPr>
          <w:p w:rsidR="00DC2471" w:rsidRPr="00C77F16" w:rsidRDefault="00DC2471" w:rsidP="00074071">
            <w:pPr>
              <w:jc w:val="center"/>
              <w:rPr>
                <w:rFonts w:eastAsia="Times New Roman" w:cs="Times New Roman"/>
                <w:color w:val="000000"/>
                <w:sz w:val="22"/>
                <w:lang w:eastAsia="lt-LT"/>
              </w:rPr>
            </w:pPr>
            <w:r w:rsidRPr="00C77F16">
              <w:rPr>
                <w:rFonts w:eastAsia="Times New Roman" w:cs="Times New Roman"/>
                <w:color w:val="000000"/>
                <w:sz w:val="22"/>
                <w:lang w:eastAsia="lt-LT"/>
              </w:rPr>
              <w:t>Mokslo, inovacijų ir technologijų agentūra, konsultuojantis su Lietuvos banku</w:t>
            </w:r>
          </w:p>
        </w:tc>
        <w:tc>
          <w:tcPr>
            <w:tcW w:w="4712" w:type="dxa"/>
            <w:vAlign w:val="center"/>
            <w:hideMark/>
          </w:tcPr>
          <w:p w:rsidR="0073531F" w:rsidRPr="0073531F" w:rsidRDefault="0073531F" w:rsidP="00C77F16">
            <w:pPr>
              <w:jc w:val="both"/>
              <w:rPr>
                <w:rFonts w:eastAsia="Times New Roman" w:cs="Times New Roman"/>
                <w:b/>
                <w:color w:val="000000"/>
                <w:sz w:val="22"/>
                <w:lang w:eastAsia="lt-LT"/>
              </w:rPr>
            </w:pPr>
            <w:r w:rsidRPr="0073531F">
              <w:rPr>
                <w:rFonts w:eastAsia="Times New Roman" w:cs="Times New Roman"/>
                <w:b/>
                <w:color w:val="000000"/>
                <w:sz w:val="22"/>
                <w:lang w:eastAsia="lt-LT"/>
              </w:rPr>
              <w:t>Įgyvendinta</w:t>
            </w:r>
            <w:r>
              <w:rPr>
                <w:rFonts w:eastAsia="Times New Roman" w:cs="Times New Roman"/>
                <w:b/>
                <w:color w:val="000000"/>
                <w:sz w:val="22"/>
                <w:lang w:eastAsia="lt-LT"/>
              </w:rPr>
              <w:t xml:space="preserve"> iš dalies</w:t>
            </w:r>
            <w:r w:rsidRPr="0073531F">
              <w:rPr>
                <w:rFonts w:eastAsia="Times New Roman" w:cs="Times New Roman"/>
                <w:b/>
                <w:color w:val="000000"/>
                <w:sz w:val="22"/>
                <w:lang w:eastAsia="lt-LT"/>
              </w:rPr>
              <w:t>.</w:t>
            </w:r>
          </w:p>
          <w:p w:rsidR="008D548E" w:rsidRPr="00C77F16" w:rsidRDefault="008D548E" w:rsidP="00C77F16">
            <w:pPr>
              <w:jc w:val="both"/>
              <w:rPr>
                <w:rFonts w:eastAsia="Times New Roman" w:cs="Times New Roman"/>
                <w:color w:val="000000"/>
                <w:sz w:val="22"/>
                <w:lang w:eastAsia="lt-LT"/>
              </w:rPr>
            </w:pPr>
            <w:r w:rsidRPr="00C77F16">
              <w:rPr>
                <w:rFonts w:eastAsia="Times New Roman" w:cs="Times New Roman"/>
                <w:color w:val="000000"/>
                <w:sz w:val="22"/>
                <w:lang w:eastAsia="lt-LT"/>
              </w:rPr>
              <w:t>2020 m. suorganizuotas dviejų F</w:t>
            </w:r>
            <w:r w:rsidR="00F169F0">
              <w:rPr>
                <w:rFonts w:eastAsia="Times New Roman" w:cs="Times New Roman"/>
                <w:color w:val="000000"/>
                <w:sz w:val="22"/>
                <w:lang w:eastAsia="lt-LT"/>
              </w:rPr>
              <w:t>INTECH</w:t>
            </w:r>
            <w:r w:rsidRPr="00C77F16">
              <w:rPr>
                <w:rFonts w:eastAsia="Times New Roman" w:cs="Times New Roman"/>
                <w:color w:val="000000"/>
                <w:sz w:val="22"/>
                <w:lang w:eastAsia="lt-LT"/>
              </w:rPr>
              <w:t xml:space="preserve"> asociacijų (F</w:t>
            </w:r>
            <w:r w:rsidR="00F169F0">
              <w:rPr>
                <w:rFonts w:eastAsia="Times New Roman" w:cs="Times New Roman"/>
                <w:color w:val="000000"/>
                <w:sz w:val="22"/>
                <w:lang w:eastAsia="lt-LT"/>
              </w:rPr>
              <w:t>INTECH</w:t>
            </w:r>
            <w:r w:rsidRPr="00C77F16">
              <w:rPr>
                <w:rFonts w:eastAsia="Times New Roman" w:cs="Times New Roman"/>
                <w:color w:val="000000"/>
                <w:sz w:val="22"/>
                <w:lang w:eastAsia="lt-LT"/>
              </w:rPr>
              <w:t xml:space="preserve"> H</w:t>
            </w:r>
            <w:r w:rsidR="00F169F0">
              <w:rPr>
                <w:rFonts w:eastAsia="Times New Roman" w:cs="Times New Roman"/>
                <w:color w:val="000000"/>
                <w:sz w:val="22"/>
                <w:lang w:eastAsia="lt-LT"/>
              </w:rPr>
              <w:t>UB LT</w:t>
            </w:r>
            <w:r w:rsidRPr="00C77F16">
              <w:rPr>
                <w:rFonts w:eastAsia="Times New Roman" w:cs="Times New Roman"/>
                <w:color w:val="000000"/>
                <w:sz w:val="22"/>
                <w:lang w:eastAsia="lt-LT"/>
              </w:rPr>
              <w:t xml:space="preserve"> ir F</w:t>
            </w:r>
            <w:r w:rsidR="00F169F0">
              <w:rPr>
                <w:rFonts w:eastAsia="Times New Roman" w:cs="Times New Roman"/>
                <w:color w:val="000000"/>
                <w:sz w:val="22"/>
                <w:lang w:eastAsia="lt-LT"/>
              </w:rPr>
              <w:t>INTECH</w:t>
            </w:r>
            <w:r w:rsidRPr="00C77F16">
              <w:rPr>
                <w:rFonts w:eastAsia="Times New Roman" w:cs="Times New Roman"/>
                <w:color w:val="000000"/>
                <w:sz w:val="22"/>
                <w:lang w:eastAsia="lt-LT"/>
              </w:rPr>
              <w:t xml:space="preserve"> L</w:t>
            </w:r>
            <w:r w:rsidR="00F169F0">
              <w:rPr>
                <w:rFonts w:eastAsia="Times New Roman" w:cs="Times New Roman"/>
                <w:color w:val="000000"/>
                <w:sz w:val="22"/>
                <w:lang w:eastAsia="lt-LT"/>
              </w:rPr>
              <w:t>ITHUANIA</w:t>
            </w:r>
            <w:r w:rsidRPr="00C77F16">
              <w:rPr>
                <w:rFonts w:eastAsia="Times New Roman" w:cs="Times New Roman"/>
                <w:color w:val="000000"/>
                <w:sz w:val="22"/>
                <w:lang w:eastAsia="lt-LT"/>
              </w:rPr>
              <w:t>) i</w:t>
            </w:r>
            <w:r w:rsidR="001746A8">
              <w:rPr>
                <w:rFonts w:eastAsia="Times New Roman" w:cs="Times New Roman"/>
                <w:color w:val="000000"/>
                <w:sz w:val="22"/>
                <w:lang w:eastAsia="lt-LT"/>
              </w:rPr>
              <w:t>r</w:t>
            </w:r>
            <w:r w:rsidRPr="00C77F16">
              <w:rPr>
                <w:rFonts w:eastAsia="Times New Roman" w:cs="Times New Roman"/>
                <w:color w:val="000000"/>
                <w:sz w:val="22"/>
                <w:lang w:eastAsia="lt-LT"/>
              </w:rPr>
              <w:t xml:space="preserve"> BCCS klasterio narių dalyvavimas tarptautiniame renginyje Singapūre. </w:t>
            </w:r>
            <w:r w:rsidR="003B0118" w:rsidRPr="00C77F16">
              <w:rPr>
                <w:rFonts w:eastAsia="Times New Roman" w:cs="Times New Roman"/>
                <w:color w:val="000000"/>
                <w:sz w:val="22"/>
                <w:lang w:eastAsia="lt-LT"/>
              </w:rPr>
              <w:t>Iš v</w:t>
            </w:r>
            <w:r w:rsidRPr="00C77F16">
              <w:rPr>
                <w:rFonts w:eastAsia="Times New Roman" w:cs="Times New Roman"/>
                <w:color w:val="000000"/>
                <w:sz w:val="22"/>
                <w:lang w:eastAsia="lt-LT"/>
              </w:rPr>
              <w:t>iso renginyje dalyvavo 10 Lietuvos F</w:t>
            </w:r>
            <w:r w:rsidR="00F169F0">
              <w:rPr>
                <w:rFonts w:eastAsia="Times New Roman" w:cs="Times New Roman"/>
                <w:color w:val="000000"/>
                <w:sz w:val="22"/>
                <w:lang w:eastAsia="lt-LT"/>
              </w:rPr>
              <w:t>INTECH</w:t>
            </w:r>
            <w:r w:rsidRPr="00C77F16">
              <w:rPr>
                <w:rFonts w:eastAsia="Times New Roman" w:cs="Times New Roman"/>
                <w:color w:val="000000"/>
                <w:sz w:val="22"/>
                <w:lang w:eastAsia="lt-LT"/>
              </w:rPr>
              <w:t xml:space="preserve"> įmonių, o </w:t>
            </w:r>
            <w:r w:rsidR="00F169F0">
              <w:rPr>
                <w:rFonts w:eastAsia="Times New Roman" w:cs="Times New Roman"/>
                <w:color w:val="000000"/>
                <w:sz w:val="22"/>
                <w:lang w:eastAsia="lt-LT"/>
              </w:rPr>
              <w:t>kit</w:t>
            </w:r>
            <w:r w:rsidRPr="00C77F16">
              <w:rPr>
                <w:rFonts w:eastAsia="Times New Roman" w:cs="Times New Roman"/>
                <w:color w:val="000000"/>
                <w:sz w:val="22"/>
                <w:lang w:eastAsia="lt-LT"/>
              </w:rPr>
              <w:t xml:space="preserve">oms įmonėms atstovavo </w:t>
            </w:r>
            <w:r w:rsidR="001746A8">
              <w:rPr>
                <w:rFonts w:eastAsia="Times New Roman" w:cs="Times New Roman"/>
                <w:color w:val="000000"/>
                <w:sz w:val="22"/>
                <w:lang w:eastAsia="lt-LT"/>
              </w:rPr>
              <w:t>šios</w:t>
            </w:r>
            <w:r w:rsidR="001746A8" w:rsidRPr="00C77F16">
              <w:rPr>
                <w:rFonts w:eastAsia="Times New Roman" w:cs="Times New Roman"/>
                <w:color w:val="000000"/>
                <w:sz w:val="22"/>
                <w:lang w:eastAsia="lt-LT"/>
              </w:rPr>
              <w:t xml:space="preserve"> </w:t>
            </w:r>
            <w:r w:rsidRPr="00C77F16">
              <w:rPr>
                <w:rFonts w:eastAsia="Times New Roman" w:cs="Times New Roman"/>
                <w:color w:val="000000"/>
                <w:sz w:val="22"/>
                <w:lang w:eastAsia="lt-LT"/>
              </w:rPr>
              <w:t>asociacijos ir klasteris.</w:t>
            </w:r>
          </w:p>
          <w:p w:rsidR="00DC2471" w:rsidRPr="00C77F16" w:rsidRDefault="008D548E" w:rsidP="00F169F0">
            <w:pPr>
              <w:jc w:val="both"/>
              <w:rPr>
                <w:rFonts w:eastAsia="Times New Roman" w:cs="Times New Roman"/>
                <w:color w:val="000000"/>
                <w:sz w:val="22"/>
                <w:lang w:eastAsia="lt-LT"/>
              </w:rPr>
            </w:pPr>
            <w:r w:rsidRPr="00C77F16">
              <w:rPr>
                <w:rFonts w:eastAsia="Times New Roman" w:cs="Times New Roman"/>
                <w:color w:val="000000"/>
                <w:sz w:val="22"/>
                <w:lang w:eastAsia="lt-LT"/>
              </w:rPr>
              <w:t>Atskirų įmonių fizinis dalyvavimas užsienio renginiuose buvo neįmanomas dėl COVID-19</w:t>
            </w:r>
            <w:r w:rsidR="00F169F0">
              <w:rPr>
                <w:rFonts w:eastAsia="Times New Roman" w:cs="Times New Roman"/>
                <w:color w:val="000000"/>
                <w:sz w:val="22"/>
                <w:lang w:eastAsia="lt-LT"/>
              </w:rPr>
              <w:t xml:space="preserve"> pandemijos</w:t>
            </w:r>
            <w:r w:rsidRPr="00C77F16">
              <w:rPr>
                <w:rFonts w:eastAsia="Times New Roman" w:cs="Times New Roman"/>
                <w:color w:val="000000"/>
                <w:sz w:val="22"/>
                <w:lang w:eastAsia="lt-LT"/>
              </w:rPr>
              <w:t xml:space="preserve">, </w:t>
            </w:r>
            <w:r w:rsidR="00F169F0">
              <w:rPr>
                <w:rFonts w:eastAsia="Times New Roman" w:cs="Times New Roman"/>
                <w:color w:val="000000"/>
                <w:sz w:val="22"/>
                <w:lang w:eastAsia="lt-LT"/>
              </w:rPr>
              <w:t xml:space="preserve">nes </w:t>
            </w:r>
            <w:r w:rsidRPr="00C77F16">
              <w:rPr>
                <w:rFonts w:eastAsia="Times New Roman" w:cs="Times New Roman"/>
                <w:color w:val="000000"/>
                <w:sz w:val="22"/>
                <w:lang w:eastAsia="lt-LT"/>
              </w:rPr>
              <w:t xml:space="preserve">daugelis </w:t>
            </w:r>
            <w:r w:rsidR="00F169F0">
              <w:rPr>
                <w:rFonts w:eastAsia="Times New Roman" w:cs="Times New Roman"/>
                <w:color w:val="000000"/>
                <w:sz w:val="22"/>
                <w:lang w:eastAsia="lt-LT"/>
              </w:rPr>
              <w:t xml:space="preserve">planuotų </w:t>
            </w:r>
            <w:r w:rsidRPr="00C77F16">
              <w:rPr>
                <w:rFonts w:eastAsia="Times New Roman" w:cs="Times New Roman"/>
                <w:color w:val="000000"/>
                <w:sz w:val="22"/>
                <w:lang w:eastAsia="lt-LT"/>
              </w:rPr>
              <w:t>renginių arba atšaukt</w:t>
            </w:r>
            <w:r w:rsidR="00F169F0">
              <w:rPr>
                <w:rFonts w:eastAsia="Times New Roman" w:cs="Times New Roman"/>
                <w:color w:val="000000"/>
                <w:sz w:val="22"/>
                <w:lang w:eastAsia="lt-LT"/>
              </w:rPr>
              <w:t>a</w:t>
            </w:r>
            <w:r w:rsidRPr="00C77F16">
              <w:rPr>
                <w:rFonts w:eastAsia="Times New Roman" w:cs="Times New Roman"/>
                <w:color w:val="000000"/>
                <w:sz w:val="22"/>
                <w:lang w:eastAsia="lt-LT"/>
              </w:rPr>
              <w:t>, arba perkelt</w:t>
            </w:r>
            <w:r w:rsidR="00F169F0">
              <w:rPr>
                <w:rFonts w:eastAsia="Times New Roman" w:cs="Times New Roman"/>
                <w:color w:val="000000"/>
                <w:sz w:val="22"/>
                <w:lang w:eastAsia="lt-LT"/>
              </w:rPr>
              <w:t>a</w:t>
            </w:r>
            <w:r w:rsidRPr="00C77F16">
              <w:rPr>
                <w:rFonts w:eastAsia="Times New Roman" w:cs="Times New Roman"/>
                <w:color w:val="000000"/>
                <w:sz w:val="22"/>
                <w:lang w:eastAsia="lt-LT"/>
              </w:rPr>
              <w:t xml:space="preserve"> į 2021 ar vėlesnius metus</w:t>
            </w:r>
            <w:r w:rsidR="00A7114C">
              <w:rPr>
                <w:rFonts w:eastAsia="Times New Roman" w:cs="Times New Roman"/>
                <w:color w:val="000000"/>
                <w:sz w:val="22"/>
                <w:lang w:eastAsia="lt-LT"/>
              </w:rPr>
              <w:t>.</w:t>
            </w:r>
          </w:p>
        </w:tc>
      </w:tr>
      <w:tr w:rsidR="00DC2471" w:rsidRPr="00C77F16" w:rsidTr="00C77F16">
        <w:trPr>
          <w:trHeight w:val="4965"/>
        </w:trPr>
        <w:tc>
          <w:tcPr>
            <w:tcW w:w="3402" w:type="dxa"/>
            <w:hideMark/>
          </w:tcPr>
          <w:p w:rsidR="00DC2471" w:rsidRPr="00C77F16" w:rsidRDefault="00DC2471" w:rsidP="00DC2471">
            <w:pPr>
              <w:jc w:val="both"/>
              <w:rPr>
                <w:rFonts w:eastAsia="Times New Roman" w:cs="Times New Roman"/>
                <w:color w:val="000000"/>
                <w:sz w:val="22"/>
                <w:lang w:eastAsia="lt-LT"/>
              </w:rPr>
            </w:pPr>
            <w:r w:rsidRPr="00C77F16">
              <w:rPr>
                <w:rFonts w:eastAsia="Times New Roman" w:cs="Times New Roman"/>
                <w:color w:val="000000"/>
                <w:sz w:val="22"/>
                <w:lang w:eastAsia="lt-LT"/>
              </w:rPr>
              <w:lastRenderedPageBreak/>
              <w:t>4.3. Konsultuojantis su valstybės institucijomis ir FINTECH sektoriaus asocijuotomis struktūromis, parengti užduočių ekonominiams diplomatams, dirbantiems tikslinėse FINTECH srities rinkose, sąrašą</w:t>
            </w:r>
          </w:p>
        </w:tc>
        <w:tc>
          <w:tcPr>
            <w:tcW w:w="2694" w:type="dxa"/>
            <w:hideMark/>
          </w:tcPr>
          <w:p w:rsidR="00DC2471" w:rsidRPr="00C77F16" w:rsidRDefault="00DC2471" w:rsidP="001746A8">
            <w:pPr>
              <w:rPr>
                <w:rFonts w:eastAsia="Times New Roman" w:cs="Times New Roman"/>
                <w:color w:val="000000"/>
                <w:sz w:val="22"/>
                <w:lang w:eastAsia="lt-LT"/>
              </w:rPr>
            </w:pPr>
            <w:r w:rsidRPr="00C77F16">
              <w:rPr>
                <w:rFonts w:eastAsia="Times New Roman" w:cs="Times New Roman"/>
                <w:color w:val="000000"/>
                <w:sz w:val="22"/>
                <w:lang w:eastAsia="lt-LT"/>
              </w:rPr>
              <w:t> </w:t>
            </w:r>
          </w:p>
        </w:tc>
        <w:tc>
          <w:tcPr>
            <w:tcW w:w="1559"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2020 m. III </w:t>
            </w:r>
            <w:proofErr w:type="spellStart"/>
            <w:r w:rsidRPr="00C77F16">
              <w:rPr>
                <w:rFonts w:eastAsia="Times New Roman" w:cs="Times New Roman"/>
                <w:color w:val="000000"/>
                <w:sz w:val="22"/>
                <w:lang w:eastAsia="lt-LT"/>
              </w:rPr>
              <w:t>ketv</w:t>
            </w:r>
            <w:proofErr w:type="spellEnd"/>
            <w:r w:rsidRPr="00C77F16">
              <w:rPr>
                <w:rFonts w:eastAsia="Times New Roman" w:cs="Times New Roman"/>
                <w:color w:val="000000"/>
                <w:sz w:val="22"/>
                <w:lang w:eastAsia="lt-LT"/>
              </w:rPr>
              <w:t>.</w:t>
            </w:r>
          </w:p>
        </w:tc>
        <w:tc>
          <w:tcPr>
            <w:tcW w:w="2234" w:type="dxa"/>
            <w:vAlign w:val="center"/>
            <w:hideMark/>
          </w:tcPr>
          <w:p w:rsidR="00DC2471" w:rsidRPr="00C77F16" w:rsidRDefault="00DC2471" w:rsidP="00DC2471">
            <w:pPr>
              <w:jc w:val="center"/>
              <w:rPr>
                <w:rFonts w:eastAsia="Times New Roman" w:cs="Times New Roman"/>
                <w:color w:val="000000"/>
                <w:sz w:val="22"/>
                <w:lang w:eastAsia="lt-LT"/>
              </w:rPr>
            </w:pPr>
            <w:r w:rsidRPr="00C77F16">
              <w:rPr>
                <w:rFonts w:eastAsia="Times New Roman" w:cs="Times New Roman"/>
                <w:color w:val="000000"/>
                <w:sz w:val="22"/>
                <w:lang w:eastAsia="lt-LT"/>
              </w:rPr>
              <w:t xml:space="preserve">Užsienio reikalų ministerija, </w:t>
            </w:r>
            <w:proofErr w:type="spellStart"/>
            <w:r w:rsidRPr="00C77F16">
              <w:rPr>
                <w:rFonts w:eastAsia="Times New Roman" w:cs="Times New Roman"/>
                <w:color w:val="000000"/>
                <w:sz w:val="22"/>
                <w:lang w:eastAsia="lt-LT"/>
              </w:rPr>
              <w:t>VšĮ</w:t>
            </w:r>
            <w:proofErr w:type="spellEnd"/>
            <w:r w:rsidRPr="00C77F16">
              <w:rPr>
                <w:rFonts w:eastAsia="Times New Roman" w:cs="Times New Roman"/>
                <w:color w:val="000000"/>
                <w:sz w:val="22"/>
                <w:lang w:eastAsia="lt-LT"/>
              </w:rPr>
              <w:t xml:space="preserve"> „Versli Lietuva“, Mokslo, inovacijų ir technologijų agentūra</w:t>
            </w:r>
          </w:p>
        </w:tc>
        <w:tc>
          <w:tcPr>
            <w:tcW w:w="4712" w:type="dxa"/>
            <w:vAlign w:val="center"/>
            <w:hideMark/>
          </w:tcPr>
          <w:p w:rsidR="00DC2471" w:rsidRPr="00C77F16" w:rsidRDefault="00DC2471" w:rsidP="00A7114C">
            <w:pPr>
              <w:jc w:val="both"/>
              <w:rPr>
                <w:rFonts w:eastAsia="Times New Roman" w:cs="Times New Roman"/>
                <w:color w:val="000000"/>
                <w:sz w:val="22"/>
                <w:lang w:eastAsia="lt-LT"/>
              </w:rPr>
            </w:pPr>
            <w:r w:rsidRPr="00C77F16">
              <w:rPr>
                <w:rFonts w:eastAsia="Times New Roman" w:cs="Times New Roman"/>
                <w:b/>
                <w:bCs/>
                <w:color w:val="000000"/>
                <w:sz w:val="22"/>
                <w:lang w:eastAsia="lt-LT"/>
              </w:rPr>
              <w:t>Įgyvendinta.</w:t>
            </w:r>
            <w:r w:rsidRPr="00C77F16">
              <w:rPr>
                <w:rFonts w:eastAsia="Times New Roman" w:cs="Times New Roman"/>
                <w:color w:val="000000"/>
                <w:sz w:val="22"/>
                <w:lang w:eastAsia="lt-LT"/>
              </w:rPr>
              <w:br/>
              <w:t>Užduočių sąrašas ekonominiams diplomatams, dirbantiems tikslinėse FINTECH srities rinkose, parengtas ir iki karantino buvo vykdomas pagal planą: 2020</w:t>
            </w:r>
            <w:r w:rsidR="001746A8">
              <w:rPr>
                <w:rFonts w:eastAsia="Times New Roman" w:cs="Times New Roman"/>
                <w:color w:val="000000"/>
                <w:sz w:val="22"/>
                <w:lang w:eastAsia="lt-LT"/>
              </w:rPr>
              <w:t xml:space="preserve"> m. sausį</w:t>
            </w:r>
            <w:r w:rsidRPr="00C77F16">
              <w:rPr>
                <w:rFonts w:eastAsia="Times New Roman" w:cs="Times New Roman"/>
                <w:color w:val="000000"/>
                <w:sz w:val="22"/>
                <w:lang w:eastAsia="lt-LT"/>
              </w:rPr>
              <w:t xml:space="preserve"> surengtas L</w:t>
            </w:r>
            <w:r w:rsidR="001746A8">
              <w:rPr>
                <w:rFonts w:eastAsia="Times New Roman" w:cs="Times New Roman"/>
                <w:color w:val="000000"/>
                <w:sz w:val="22"/>
                <w:lang w:eastAsia="lt-LT"/>
              </w:rPr>
              <w:t xml:space="preserve">ietuvos </w:t>
            </w:r>
            <w:r w:rsidRPr="00C77F16">
              <w:rPr>
                <w:rFonts w:eastAsia="Times New Roman" w:cs="Times New Roman"/>
                <w:color w:val="000000"/>
                <w:sz w:val="22"/>
                <w:lang w:eastAsia="lt-LT"/>
              </w:rPr>
              <w:t>R</w:t>
            </w:r>
            <w:r w:rsidR="001746A8">
              <w:rPr>
                <w:rFonts w:eastAsia="Times New Roman" w:cs="Times New Roman"/>
                <w:color w:val="000000"/>
                <w:sz w:val="22"/>
                <w:lang w:eastAsia="lt-LT"/>
              </w:rPr>
              <w:t>espublikos</w:t>
            </w:r>
            <w:r w:rsidRPr="00C77F16">
              <w:rPr>
                <w:rFonts w:eastAsia="Times New Roman" w:cs="Times New Roman"/>
                <w:color w:val="000000"/>
                <w:sz w:val="22"/>
                <w:lang w:eastAsia="lt-LT"/>
              </w:rPr>
              <w:t xml:space="preserve"> finansų ministro vizitas Paryžiuje (dalyvavimas </w:t>
            </w:r>
            <w:r w:rsidR="001746A8">
              <w:rPr>
                <w:rFonts w:eastAsia="Times New Roman" w:cs="Times New Roman"/>
                <w:color w:val="000000"/>
                <w:sz w:val="22"/>
                <w:lang w:eastAsia="lt-LT"/>
              </w:rPr>
              <w:t xml:space="preserve">forume </w:t>
            </w:r>
            <w:r w:rsidRPr="00C77F16">
              <w:rPr>
                <w:rFonts w:eastAsia="Times New Roman" w:cs="Times New Roman"/>
                <w:color w:val="000000"/>
                <w:sz w:val="22"/>
                <w:lang w:eastAsia="lt-LT"/>
              </w:rPr>
              <w:t xml:space="preserve">„Paris </w:t>
            </w:r>
            <w:proofErr w:type="spellStart"/>
            <w:r w:rsidR="001746A8">
              <w:rPr>
                <w:rFonts w:eastAsia="Times New Roman" w:cs="Times New Roman"/>
                <w:color w:val="000000"/>
                <w:sz w:val="22"/>
                <w:lang w:eastAsia="lt-LT"/>
              </w:rPr>
              <w:t>F</w:t>
            </w:r>
            <w:r w:rsidRPr="00C77F16">
              <w:rPr>
                <w:rFonts w:eastAsia="Times New Roman" w:cs="Times New Roman"/>
                <w:color w:val="000000"/>
                <w:sz w:val="22"/>
                <w:lang w:eastAsia="lt-LT"/>
              </w:rPr>
              <w:t>intech</w:t>
            </w:r>
            <w:proofErr w:type="spellEnd"/>
            <w:r w:rsidRPr="00C77F16">
              <w:rPr>
                <w:rFonts w:eastAsia="Times New Roman" w:cs="Times New Roman"/>
                <w:color w:val="000000"/>
                <w:sz w:val="22"/>
                <w:lang w:eastAsia="lt-LT"/>
              </w:rPr>
              <w:t xml:space="preserve"> </w:t>
            </w:r>
            <w:proofErr w:type="spellStart"/>
            <w:r w:rsidR="001746A8">
              <w:rPr>
                <w:rFonts w:eastAsia="Times New Roman" w:cs="Times New Roman"/>
                <w:color w:val="000000"/>
                <w:sz w:val="22"/>
                <w:lang w:eastAsia="lt-LT"/>
              </w:rPr>
              <w:t>F</w:t>
            </w:r>
            <w:r w:rsidRPr="00C77F16">
              <w:rPr>
                <w:rFonts w:eastAsia="Times New Roman" w:cs="Times New Roman"/>
                <w:color w:val="000000"/>
                <w:sz w:val="22"/>
                <w:lang w:eastAsia="lt-LT"/>
              </w:rPr>
              <w:t>orum</w:t>
            </w:r>
            <w:proofErr w:type="spellEnd"/>
            <w:r w:rsidRPr="00C77F16">
              <w:rPr>
                <w:rFonts w:eastAsia="Times New Roman" w:cs="Times New Roman"/>
                <w:color w:val="000000"/>
                <w:sz w:val="22"/>
                <w:lang w:eastAsia="lt-LT"/>
              </w:rPr>
              <w:t xml:space="preserve"> 2020“, susitikimai su </w:t>
            </w:r>
            <w:r w:rsidR="001746A8">
              <w:rPr>
                <w:rFonts w:eastAsia="Times New Roman" w:cs="Times New Roman"/>
                <w:color w:val="000000"/>
                <w:sz w:val="22"/>
                <w:lang w:eastAsia="lt-LT"/>
              </w:rPr>
              <w:t xml:space="preserve">FINTECH </w:t>
            </w:r>
            <w:r w:rsidRPr="00C77F16">
              <w:rPr>
                <w:rFonts w:eastAsia="Times New Roman" w:cs="Times New Roman"/>
                <w:color w:val="000000"/>
                <w:sz w:val="22"/>
                <w:lang w:eastAsia="lt-LT"/>
              </w:rPr>
              <w:t>įmonių ir asociacijų atstovais), 2020</w:t>
            </w:r>
            <w:r w:rsidR="001746A8">
              <w:rPr>
                <w:rFonts w:eastAsia="Times New Roman" w:cs="Times New Roman"/>
                <w:color w:val="000000"/>
                <w:sz w:val="22"/>
                <w:lang w:eastAsia="lt-LT"/>
              </w:rPr>
              <w:t xml:space="preserve"> m. vasarį</w:t>
            </w:r>
            <w:r w:rsidRPr="00C77F16">
              <w:rPr>
                <w:rFonts w:eastAsia="Times New Roman" w:cs="Times New Roman"/>
                <w:color w:val="000000"/>
                <w:sz w:val="22"/>
                <w:lang w:eastAsia="lt-LT"/>
              </w:rPr>
              <w:t xml:space="preserve"> </w:t>
            </w:r>
            <w:r w:rsidR="001746A8">
              <w:rPr>
                <w:rFonts w:eastAsia="Times New Roman" w:cs="Times New Roman"/>
                <w:color w:val="000000"/>
                <w:sz w:val="22"/>
                <w:lang w:eastAsia="lt-LT"/>
              </w:rPr>
              <w:t>su</w:t>
            </w:r>
            <w:r w:rsidRPr="00C77F16">
              <w:rPr>
                <w:rFonts w:eastAsia="Times New Roman" w:cs="Times New Roman"/>
                <w:color w:val="000000"/>
                <w:sz w:val="22"/>
                <w:lang w:eastAsia="lt-LT"/>
              </w:rPr>
              <w:t xml:space="preserve">organizuotas Lietuvos banko ir </w:t>
            </w:r>
            <w:proofErr w:type="spellStart"/>
            <w:r w:rsidR="001746A8">
              <w:rPr>
                <w:rFonts w:eastAsia="Times New Roman" w:cs="Times New Roman"/>
                <w:color w:val="000000"/>
                <w:sz w:val="22"/>
                <w:lang w:eastAsia="lt-LT"/>
              </w:rPr>
              <w:t>VšĮ</w:t>
            </w:r>
            <w:proofErr w:type="spellEnd"/>
            <w:r w:rsidR="001746A8">
              <w:rPr>
                <w:rFonts w:eastAsia="Times New Roman" w:cs="Times New Roman"/>
                <w:color w:val="000000"/>
                <w:sz w:val="22"/>
                <w:lang w:eastAsia="lt-LT"/>
              </w:rPr>
              <w:t xml:space="preserve"> </w:t>
            </w:r>
            <w:r w:rsidRPr="00C77F16">
              <w:rPr>
                <w:rFonts w:eastAsia="Times New Roman" w:cs="Times New Roman"/>
                <w:color w:val="000000"/>
                <w:sz w:val="22"/>
                <w:lang w:eastAsia="lt-LT"/>
              </w:rPr>
              <w:t xml:space="preserve">„Investuok Lietuvoje“ susitikimas su Izraelio banko vadovu, surengti Lietuvos </w:t>
            </w:r>
            <w:r w:rsidR="001746A8">
              <w:rPr>
                <w:rFonts w:eastAsia="Times New Roman" w:cs="Times New Roman"/>
                <w:color w:val="000000"/>
                <w:sz w:val="22"/>
                <w:lang w:eastAsia="lt-LT"/>
              </w:rPr>
              <w:t xml:space="preserve">FINTECH </w:t>
            </w:r>
            <w:r w:rsidRPr="00C77F16">
              <w:rPr>
                <w:rFonts w:eastAsia="Times New Roman" w:cs="Times New Roman"/>
                <w:color w:val="000000"/>
                <w:sz w:val="22"/>
                <w:lang w:eastAsia="lt-LT"/>
              </w:rPr>
              <w:t>sistemos pristatymai „</w:t>
            </w:r>
            <w:proofErr w:type="spellStart"/>
            <w:r w:rsidRPr="00C77F16">
              <w:rPr>
                <w:rFonts w:eastAsia="Times New Roman" w:cs="Times New Roman"/>
                <w:color w:val="000000"/>
                <w:sz w:val="22"/>
                <w:lang w:eastAsia="lt-LT"/>
              </w:rPr>
              <w:t>Fintech</w:t>
            </w:r>
            <w:proofErr w:type="spellEnd"/>
            <w:r w:rsidRPr="00C77F16">
              <w:rPr>
                <w:rFonts w:eastAsia="Times New Roman" w:cs="Times New Roman"/>
                <w:color w:val="000000"/>
                <w:sz w:val="22"/>
                <w:lang w:eastAsia="lt-LT"/>
              </w:rPr>
              <w:t xml:space="preserve"> </w:t>
            </w:r>
            <w:proofErr w:type="spellStart"/>
            <w:r w:rsidRPr="00C77F16">
              <w:rPr>
                <w:rFonts w:eastAsia="Times New Roman" w:cs="Times New Roman"/>
                <w:color w:val="000000"/>
                <w:sz w:val="22"/>
                <w:lang w:eastAsia="lt-LT"/>
              </w:rPr>
              <w:t>week</w:t>
            </w:r>
            <w:proofErr w:type="spellEnd"/>
            <w:r w:rsidRPr="00C77F16">
              <w:rPr>
                <w:rFonts w:eastAsia="Times New Roman" w:cs="Times New Roman"/>
                <w:color w:val="000000"/>
                <w:sz w:val="22"/>
                <w:lang w:eastAsia="lt-LT"/>
              </w:rPr>
              <w:t xml:space="preserve"> Tel </w:t>
            </w:r>
            <w:proofErr w:type="spellStart"/>
            <w:r w:rsidRPr="00C77F16">
              <w:rPr>
                <w:rFonts w:eastAsia="Times New Roman" w:cs="Times New Roman"/>
                <w:color w:val="000000"/>
                <w:sz w:val="22"/>
                <w:lang w:eastAsia="lt-LT"/>
              </w:rPr>
              <w:t>Aviv</w:t>
            </w:r>
            <w:proofErr w:type="spellEnd"/>
            <w:r w:rsidRPr="00C77F16">
              <w:rPr>
                <w:rFonts w:eastAsia="Times New Roman" w:cs="Times New Roman"/>
                <w:color w:val="000000"/>
                <w:sz w:val="22"/>
                <w:lang w:eastAsia="lt-LT"/>
              </w:rPr>
              <w:t xml:space="preserve">“, </w:t>
            </w:r>
            <w:r w:rsidR="001746A8">
              <w:rPr>
                <w:rFonts w:eastAsia="Times New Roman" w:cs="Times New Roman"/>
                <w:color w:val="000000"/>
                <w:sz w:val="22"/>
                <w:lang w:eastAsia="lt-LT"/>
              </w:rPr>
              <w:t xml:space="preserve">FINTECH </w:t>
            </w:r>
            <w:r w:rsidRPr="00C77F16">
              <w:rPr>
                <w:rFonts w:eastAsia="Times New Roman" w:cs="Times New Roman"/>
                <w:color w:val="000000"/>
                <w:sz w:val="22"/>
                <w:lang w:eastAsia="lt-LT"/>
              </w:rPr>
              <w:t xml:space="preserve">verslo įmonių ir asociacijų atstovai buvo kviečiami dalyvauti tarptautinėje </w:t>
            </w:r>
            <w:r w:rsidR="001746A8">
              <w:rPr>
                <w:rFonts w:eastAsia="Times New Roman" w:cs="Times New Roman"/>
                <w:color w:val="000000"/>
                <w:sz w:val="22"/>
                <w:lang w:eastAsia="lt-LT"/>
              </w:rPr>
              <w:t xml:space="preserve">FINTECH </w:t>
            </w:r>
            <w:r w:rsidRPr="00C77F16">
              <w:rPr>
                <w:rFonts w:eastAsia="Times New Roman" w:cs="Times New Roman"/>
                <w:color w:val="000000"/>
                <w:sz w:val="22"/>
                <w:lang w:eastAsia="lt-LT"/>
              </w:rPr>
              <w:t>parodoje „</w:t>
            </w:r>
            <w:proofErr w:type="spellStart"/>
            <w:r w:rsidRPr="00C77F16">
              <w:rPr>
                <w:rFonts w:eastAsia="Times New Roman" w:cs="Times New Roman"/>
                <w:color w:val="000000"/>
                <w:sz w:val="22"/>
                <w:lang w:eastAsia="lt-LT"/>
              </w:rPr>
              <w:t>Fintech</w:t>
            </w:r>
            <w:proofErr w:type="spellEnd"/>
            <w:r w:rsidRPr="00C77F16">
              <w:rPr>
                <w:rFonts w:eastAsia="Times New Roman" w:cs="Times New Roman"/>
                <w:color w:val="000000"/>
                <w:sz w:val="22"/>
                <w:lang w:eastAsia="lt-LT"/>
              </w:rPr>
              <w:t xml:space="preserve"> </w:t>
            </w:r>
            <w:proofErr w:type="spellStart"/>
            <w:r w:rsidRPr="00C77F16">
              <w:rPr>
                <w:rFonts w:eastAsia="Times New Roman" w:cs="Times New Roman"/>
                <w:color w:val="000000"/>
                <w:sz w:val="22"/>
                <w:lang w:eastAsia="lt-LT"/>
              </w:rPr>
              <w:t>Inn</w:t>
            </w:r>
            <w:proofErr w:type="spellEnd"/>
            <w:r w:rsidRPr="00C77F16">
              <w:rPr>
                <w:rFonts w:eastAsia="Times New Roman" w:cs="Times New Roman"/>
                <w:color w:val="000000"/>
                <w:sz w:val="22"/>
                <w:lang w:eastAsia="lt-LT"/>
              </w:rPr>
              <w:t xml:space="preserve"> 2020“, organizuojam</w:t>
            </w:r>
            <w:r w:rsidR="001746A8">
              <w:rPr>
                <w:rFonts w:eastAsia="Times New Roman" w:cs="Times New Roman"/>
                <w:color w:val="000000"/>
                <w:sz w:val="22"/>
                <w:lang w:eastAsia="lt-LT"/>
              </w:rPr>
              <w:t>i</w:t>
            </w:r>
            <w:r w:rsidRPr="00C77F16">
              <w:rPr>
                <w:rFonts w:eastAsia="Times New Roman" w:cs="Times New Roman"/>
                <w:color w:val="000000"/>
                <w:sz w:val="22"/>
                <w:lang w:eastAsia="lt-LT"/>
              </w:rPr>
              <w:t xml:space="preserve"> verslo delegacij</w:t>
            </w:r>
            <w:r w:rsidR="001746A8">
              <w:rPr>
                <w:rFonts w:eastAsia="Times New Roman" w:cs="Times New Roman"/>
                <w:color w:val="000000"/>
                <w:sz w:val="22"/>
                <w:lang w:eastAsia="lt-LT"/>
              </w:rPr>
              <w:t>ų vizitai</w:t>
            </w:r>
            <w:r w:rsidRPr="00C77F16">
              <w:rPr>
                <w:rFonts w:eastAsia="Times New Roman" w:cs="Times New Roman"/>
                <w:color w:val="000000"/>
                <w:sz w:val="22"/>
                <w:lang w:eastAsia="lt-LT"/>
              </w:rPr>
              <w:t>. Diplomatai platino informaciją apie 2020</w:t>
            </w:r>
            <w:r w:rsidR="001746A8">
              <w:rPr>
                <w:rFonts w:eastAsia="Times New Roman" w:cs="Times New Roman"/>
                <w:color w:val="000000"/>
                <w:sz w:val="22"/>
                <w:lang w:eastAsia="lt-LT"/>
              </w:rPr>
              <w:t xml:space="preserve"> m. birželį vykusią </w:t>
            </w:r>
            <w:r w:rsidRPr="00C77F16">
              <w:rPr>
                <w:rFonts w:eastAsia="Times New Roman" w:cs="Times New Roman"/>
                <w:color w:val="000000"/>
                <w:sz w:val="22"/>
                <w:lang w:eastAsia="lt-LT"/>
              </w:rPr>
              <w:t>konferenciją „</w:t>
            </w:r>
            <w:proofErr w:type="spellStart"/>
            <w:r w:rsidRPr="00C77F16">
              <w:rPr>
                <w:rFonts w:eastAsia="Times New Roman" w:cs="Times New Roman"/>
                <w:color w:val="000000"/>
                <w:sz w:val="22"/>
                <w:lang w:eastAsia="lt-LT"/>
              </w:rPr>
              <w:t>Fintech</w:t>
            </w:r>
            <w:proofErr w:type="spellEnd"/>
            <w:r w:rsidRPr="00C77F16">
              <w:rPr>
                <w:rFonts w:eastAsia="Times New Roman" w:cs="Times New Roman"/>
                <w:color w:val="000000"/>
                <w:sz w:val="22"/>
                <w:lang w:eastAsia="lt-LT"/>
              </w:rPr>
              <w:t xml:space="preserve"> </w:t>
            </w:r>
            <w:proofErr w:type="spellStart"/>
            <w:r w:rsidRPr="00C77F16">
              <w:rPr>
                <w:rFonts w:eastAsia="Times New Roman" w:cs="Times New Roman"/>
                <w:color w:val="000000"/>
                <w:sz w:val="22"/>
                <w:lang w:eastAsia="lt-LT"/>
              </w:rPr>
              <w:t>Week</w:t>
            </w:r>
            <w:proofErr w:type="spellEnd"/>
            <w:r w:rsidRPr="00C77F16">
              <w:rPr>
                <w:rFonts w:eastAsia="Times New Roman" w:cs="Times New Roman"/>
                <w:color w:val="000000"/>
                <w:sz w:val="22"/>
                <w:lang w:eastAsia="lt-LT"/>
              </w:rPr>
              <w:t xml:space="preserve"> </w:t>
            </w:r>
            <w:proofErr w:type="spellStart"/>
            <w:r w:rsidRPr="00C77F16">
              <w:rPr>
                <w:rFonts w:eastAsia="Times New Roman" w:cs="Times New Roman"/>
                <w:color w:val="000000"/>
                <w:sz w:val="22"/>
                <w:lang w:eastAsia="lt-LT"/>
              </w:rPr>
              <w:t>Lithuania</w:t>
            </w:r>
            <w:proofErr w:type="spellEnd"/>
            <w:r w:rsidRPr="00C77F16">
              <w:rPr>
                <w:rFonts w:eastAsia="Times New Roman" w:cs="Times New Roman"/>
                <w:color w:val="000000"/>
                <w:sz w:val="22"/>
                <w:lang w:eastAsia="lt-LT"/>
              </w:rPr>
              <w:t xml:space="preserve"> 2020“, kvietė dalyvius, pranešėjus ir verslo delegacijas (pritraukta įmonių iš Kinijos ir Honkongo, </w:t>
            </w:r>
            <w:r w:rsidR="001746A8">
              <w:rPr>
                <w:rFonts w:eastAsia="Times New Roman" w:cs="Times New Roman"/>
                <w:color w:val="000000"/>
                <w:sz w:val="22"/>
                <w:lang w:eastAsia="lt-LT"/>
              </w:rPr>
              <w:t>Pietų Afrikos Respublikos</w:t>
            </w:r>
            <w:r w:rsidRPr="00C77F16">
              <w:rPr>
                <w:rFonts w:eastAsia="Times New Roman" w:cs="Times New Roman"/>
                <w:color w:val="000000"/>
                <w:sz w:val="22"/>
                <w:lang w:eastAsia="lt-LT"/>
              </w:rPr>
              <w:t>, renginys sulaukė dalyvių iš Nyderlandų, Izraelio, Baltarusijos ir kt.</w:t>
            </w:r>
            <w:r w:rsidR="001746A8">
              <w:rPr>
                <w:rFonts w:eastAsia="Times New Roman" w:cs="Times New Roman"/>
                <w:color w:val="000000"/>
                <w:sz w:val="22"/>
                <w:lang w:eastAsia="lt-LT"/>
              </w:rPr>
              <w:t xml:space="preserve"> </w:t>
            </w:r>
            <w:r w:rsidR="001746A8" w:rsidRPr="00C77F16">
              <w:rPr>
                <w:rFonts w:eastAsia="Times New Roman" w:cs="Times New Roman"/>
                <w:color w:val="000000"/>
                <w:sz w:val="22"/>
                <w:lang w:eastAsia="lt-LT"/>
              </w:rPr>
              <w:t>susidomėjimo</w:t>
            </w:r>
            <w:r w:rsidRPr="00C77F16">
              <w:rPr>
                <w:rFonts w:eastAsia="Times New Roman" w:cs="Times New Roman"/>
                <w:color w:val="000000"/>
                <w:sz w:val="22"/>
                <w:lang w:eastAsia="lt-LT"/>
              </w:rPr>
              <w:t>). Dėl C</w:t>
            </w:r>
            <w:r w:rsidR="00A7114C">
              <w:rPr>
                <w:rFonts w:eastAsia="Times New Roman" w:cs="Times New Roman"/>
                <w:color w:val="000000"/>
                <w:sz w:val="22"/>
                <w:lang w:eastAsia="lt-LT"/>
              </w:rPr>
              <w:t>OVID</w:t>
            </w:r>
            <w:r w:rsidRPr="00C77F16">
              <w:rPr>
                <w:rFonts w:eastAsia="Times New Roman" w:cs="Times New Roman"/>
                <w:color w:val="000000"/>
                <w:sz w:val="22"/>
                <w:lang w:eastAsia="lt-LT"/>
              </w:rPr>
              <w:t xml:space="preserve">-19 </w:t>
            </w:r>
            <w:r w:rsidR="00A7114C">
              <w:rPr>
                <w:rFonts w:eastAsia="Times New Roman" w:cs="Times New Roman"/>
                <w:color w:val="000000"/>
                <w:sz w:val="22"/>
                <w:lang w:eastAsia="lt-LT"/>
              </w:rPr>
              <w:t xml:space="preserve">pandemijos </w:t>
            </w:r>
            <w:r w:rsidRPr="00C77F16">
              <w:rPr>
                <w:rFonts w:eastAsia="Times New Roman" w:cs="Times New Roman"/>
                <w:color w:val="000000"/>
                <w:sz w:val="22"/>
                <w:lang w:eastAsia="lt-LT"/>
              </w:rPr>
              <w:t>daug planuotų vizitų ir renginių teko perkelti į virtualią erdvę arba atšaukti.</w:t>
            </w:r>
          </w:p>
        </w:tc>
      </w:tr>
    </w:tbl>
    <w:p w:rsidR="00DC2471" w:rsidRDefault="00DC2471"/>
    <w:p w:rsidR="00E41B75" w:rsidRDefault="00B161E5">
      <w:r>
        <w:t>Finansų viceministrė</w:t>
      </w:r>
      <w:r>
        <w:tab/>
      </w:r>
      <w:r>
        <w:tab/>
      </w:r>
      <w:r>
        <w:tab/>
      </w:r>
      <w:r>
        <w:tab/>
      </w:r>
      <w:r>
        <w:tab/>
      </w:r>
      <w:r>
        <w:tab/>
      </w:r>
      <w:r>
        <w:tab/>
      </w:r>
      <w:r>
        <w:tab/>
      </w:r>
      <w:r w:rsidR="0073531F">
        <w:t xml:space="preserve">            </w:t>
      </w:r>
      <w:r>
        <w:t xml:space="preserve">Vaida </w:t>
      </w:r>
      <w:proofErr w:type="spellStart"/>
      <w:r>
        <w:t>Česnulevičiūtė</w:t>
      </w:r>
      <w:proofErr w:type="spellEnd"/>
    </w:p>
    <w:sectPr w:rsidR="00E41B75" w:rsidSect="00C04F99">
      <w:headerReference w:type="default" r:id="rId15"/>
      <w:footerReference w:type="default" r:id="rId16"/>
      <w:pgSz w:w="16838" w:h="11906" w:orient="landscape"/>
      <w:pgMar w:top="851"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6A8" w:rsidRDefault="001746A8" w:rsidP="00DC2471">
      <w:pPr>
        <w:spacing w:after="0" w:line="240" w:lineRule="auto"/>
      </w:pPr>
      <w:r>
        <w:separator/>
      </w:r>
    </w:p>
  </w:endnote>
  <w:endnote w:type="continuationSeparator" w:id="0">
    <w:p w:rsidR="001746A8" w:rsidRDefault="001746A8" w:rsidP="00DC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6A8" w:rsidRDefault="001746A8">
    <w:pPr>
      <w:pStyle w:val="Porat"/>
      <w:jc w:val="right"/>
    </w:pPr>
  </w:p>
  <w:p w:rsidR="001746A8" w:rsidRDefault="001746A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6A8" w:rsidRDefault="001746A8" w:rsidP="00DC2471">
      <w:pPr>
        <w:spacing w:after="0" w:line="240" w:lineRule="auto"/>
      </w:pPr>
      <w:r>
        <w:separator/>
      </w:r>
    </w:p>
  </w:footnote>
  <w:footnote w:type="continuationSeparator" w:id="0">
    <w:p w:rsidR="001746A8" w:rsidRDefault="001746A8" w:rsidP="00DC2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299304"/>
      <w:docPartObj>
        <w:docPartGallery w:val="Page Numbers (Top of Page)"/>
        <w:docPartUnique/>
      </w:docPartObj>
    </w:sdtPr>
    <w:sdtEndPr/>
    <w:sdtContent>
      <w:p w:rsidR="001746A8" w:rsidRDefault="001746A8">
        <w:pPr>
          <w:pStyle w:val="Antrats"/>
          <w:jc w:val="center"/>
        </w:pPr>
        <w:r>
          <w:fldChar w:fldCharType="begin"/>
        </w:r>
        <w:r>
          <w:instrText>PAGE   \* MERGEFORMAT</w:instrText>
        </w:r>
        <w:r>
          <w:fldChar w:fldCharType="separate"/>
        </w:r>
        <w:r w:rsidR="0060099A">
          <w:rPr>
            <w:noProof/>
          </w:rPr>
          <w:t>4</w:t>
        </w:r>
        <w:r>
          <w:fldChar w:fldCharType="end"/>
        </w:r>
      </w:p>
    </w:sdtContent>
  </w:sdt>
  <w:p w:rsidR="001746A8" w:rsidRDefault="001746A8" w:rsidP="00DC2471">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71"/>
    <w:rsid w:val="00074071"/>
    <w:rsid w:val="000D4B3A"/>
    <w:rsid w:val="000E4B21"/>
    <w:rsid w:val="000F2CF3"/>
    <w:rsid w:val="0012416D"/>
    <w:rsid w:val="001746A8"/>
    <w:rsid w:val="001C3998"/>
    <w:rsid w:val="002261CF"/>
    <w:rsid w:val="002748AB"/>
    <w:rsid w:val="002E4E09"/>
    <w:rsid w:val="0032741A"/>
    <w:rsid w:val="003B0118"/>
    <w:rsid w:val="00401566"/>
    <w:rsid w:val="00406CD2"/>
    <w:rsid w:val="00483643"/>
    <w:rsid w:val="004B3B0C"/>
    <w:rsid w:val="004D0019"/>
    <w:rsid w:val="005B061F"/>
    <w:rsid w:val="0060099A"/>
    <w:rsid w:val="006352AE"/>
    <w:rsid w:val="00716F89"/>
    <w:rsid w:val="0073531F"/>
    <w:rsid w:val="00745F9E"/>
    <w:rsid w:val="0076096C"/>
    <w:rsid w:val="007D5407"/>
    <w:rsid w:val="007F0DCF"/>
    <w:rsid w:val="00823E77"/>
    <w:rsid w:val="008266A3"/>
    <w:rsid w:val="00845441"/>
    <w:rsid w:val="008707B6"/>
    <w:rsid w:val="008727DD"/>
    <w:rsid w:val="008D548E"/>
    <w:rsid w:val="00983FFE"/>
    <w:rsid w:val="00991D23"/>
    <w:rsid w:val="00A472DD"/>
    <w:rsid w:val="00A7114C"/>
    <w:rsid w:val="00B161E5"/>
    <w:rsid w:val="00B34B12"/>
    <w:rsid w:val="00B52439"/>
    <w:rsid w:val="00B6158F"/>
    <w:rsid w:val="00B97DCA"/>
    <w:rsid w:val="00BC4DB6"/>
    <w:rsid w:val="00C04F99"/>
    <w:rsid w:val="00C535E8"/>
    <w:rsid w:val="00C77F16"/>
    <w:rsid w:val="00CD34F8"/>
    <w:rsid w:val="00D7552E"/>
    <w:rsid w:val="00DC2471"/>
    <w:rsid w:val="00DE78CF"/>
    <w:rsid w:val="00E41B75"/>
    <w:rsid w:val="00EA47E3"/>
    <w:rsid w:val="00EB4028"/>
    <w:rsid w:val="00F169F0"/>
    <w:rsid w:val="00F27EE8"/>
    <w:rsid w:val="00FA5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24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C2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C2471"/>
    <w:rPr>
      <w:color w:val="0000FF" w:themeColor="hyperlink"/>
      <w:u w:val="single"/>
    </w:rPr>
  </w:style>
  <w:style w:type="paragraph" w:styleId="Antrats">
    <w:name w:val="header"/>
    <w:basedOn w:val="prastasis"/>
    <w:link w:val="AntratsDiagrama"/>
    <w:uiPriority w:val="99"/>
    <w:unhideWhenUsed/>
    <w:rsid w:val="00DC24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2471"/>
  </w:style>
  <w:style w:type="paragraph" w:styleId="Porat">
    <w:name w:val="footer"/>
    <w:basedOn w:val="prastasis"/>
    <w:link w:val="PoratDiagrama"/>
    <w:uiPriority w:val="99"/>
    <w:unhideWhenUsed/>
    <w:rsid w:val="00DC247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2471"/>
  </w:style>
  <w:style w:type="paragraph" w:styleId="Debesliotekstas">
    <w:name w:val="Balloon Text"/>
    <w:basedOn w:val="prastasis"/>
    <w:link w:val="DebesliotekstasDiagrama"/>
    <w:uiPriority w:val="99"/>
    <w:semiHidden/>
    <w:unhideWhenUsed/>
    <w:rsid w:val="00D755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7552E"/>
    <w:rPr>
      <w:rFonts w:ascii="Tahoma" w:hAnsi="Tahoma" w:cs="Tahoma"/>
      <w:sz w:val="16"/>
      <w:szCs w:val="16"/>
    </w:rPr>
  </w:style>
  <w:style w:type="character" w:styleId="Komentaronuoroda">
    <w:name w:val="annotation reference"/>
    <w:basedOn w:val="Numatytasispastraiposriftas"/>
    <w:uiPriority w:val="99"/>
    <w:semiHidden/>
    <w:unhideWhenUsed/>
    <w:rsid w:val="002E4E09"/>
    <w:rPr>
      <w:sz w:val="16"/>
      <w:szCs w:val="16"/>
    </w:rPr>
  </w:style>
  <w:style w:type="paragraph" w:styleId="Komentarotekstas">
    <w:name w:val="annotation text"/>
    <w:basedOn w:val="prastasis"/>
    <w:link w:val="KomentarotekstasDiagrama"/>
    <w:uiPriority w:val="99"/>
    <w:semiHidden/>
    <w:unhideWhenUsed/>
    <w:rsid w:val="002E4E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E4E09"/>
    <w:rPr>
      <w:sz w:val="20"/>
      <w:szCs w:val="20"/>
    </w:rPr>
  </w:style>
  <w:style w:type="paragraph" w:styleId="Komentarotema">
    <w:name w:val="annotation subject"/>
    <w:basedOn w:val="Komentarotekstas"/>
    <w:next w:val="Komentarotekstas"/>
    <w:link w:val="KomentarotemaDiagrama"/>
    <w:uiPriority w:val="99"/>
    <w:semiHidden/>
    <w:unhideWhenUsed/>
    <w:rsid w:val="002E4E09"/>
    <w:rPr>
      <w:b/>
      <w:bCs/>
    </w:rPr>
  </w:style>
  <w:style w:type="character" w:customStyle="1" w:styleId="KomentarotemaDiagrama">
    <w:name w:val="Komentaro tema Diagrama"/>
    <w:basedOn w:val="KomentarotekstasDiagrama"/>
    <w:link w:val="Komentarotema"/>
    <w:uiPriority w:val="99"/>
    <w:semiHidden/>
    <w:rsid w:val="002E4E09"/>
    <w:rPr>
      <w:b/>
      <w:bCs/>
      <w:sz w:val="20"/>
      <w:szCs w:val="20"/>
    </w:rPr>
  </w:style>
  <w:style w:type="paragraph" w:styleId="Sraopastraipa">
    <w:name w:val="List Paragraph"/>
    <w:basedOn w:val="prastasis"/>
    <w:uiPriority w:val="34"/>
    <w:qFormat/>
    <w:rsid w:val="005B06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24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C2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C2471"/>
    <w:rPr>
      <w:color w:val="0000FF" w:themeColor="hyperlink"/>
      <w:u w:val="single"/>
    </w:rPr>
  </w:style>
  <w:style w:type="paragraph" w:styleId="Antrats">
    <w:name w:val="header"/>
    <w:basedOn w:val="prastasis"/>
    <w:link w:val="AntratsDiagrama"/>
    <w:uiPriority w:val="99"/>
    <w:unhideWhenUsed/>
    <w:rsid w:val="00DC24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2471"/>
  </w:style>
  <w:style w:type="paragraph" w:styleId="Porat">
    <w:name w:val="footer"/>
    <w:basedOn w:val="prastasis"/>
    <w:link w:val="PoratDiagrama"/>
    <w:uiPriority w:val="99"/>
    <w:unhideWhenUsed/>
    <w:rsid w:val="00DC247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2471"/>
  </w:style>
  <w:style w:type="paragraph" w:styleId="Debesliotekstas">
    <w:name w:val="Balloon Text"/>
    <w:basedOn w:val="prastasis"/>
    <w:link w:val="DebesliotekstasDiagrama"/>
    <w:uiPriority w:val="99"/>
    <w:semiHidden/>
    <w:unhideWhenUsed/>
    <w:rsid w:val="00D755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7552E"/>
    <w:rPr>
      <w:rFonts w:ascii="Tahoma" w:hAnsi="Tahoma" w:cs="Tahoma"/>
      <w:sz w:val="16"/>
      <w:szCs w:val="16"/>
    </w:rPr>
  </w:style>
  <w:style w:type="character" w:styleId="Komentaronuoroda">
    <w:name w:val="annotation reference"/>
    <w:basedOn w:val="Numatytasispastraiposriftas"/>
    <w:uiPriority w:val="99"/>
    <w:semiHidden/>
    <w:unhideWhenUsed/>
    <w:rsid w:val="002E4E09"/>
    <w:rPr>
      <w:sz w:val="16"/>
      <w:szCs w:val="16"/>
    </w:rPr>
  </w:style>
  <w:style w:type="paragraph" w:styleId="Komentarotekstas">
    <w:name w:val="annotation text"/>
    <w:basedOn w:val="prastasis"/>
    <w:link w:val="KomentarotekstasDiagrama"/>
    <w:uiPriority w:val="99"/>
    <w:semiHidden/>
    <w:unhideWhenUsed/>
    <w:rsid w:val="002E4E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E4E09"/>
    <w:rPr>
      <w:sz w:val="20"/>
      <w:szCs w:val="20"/>
    </w:rPr>
  </w:style>
  <w:style w:type="paragraph" w:styleId="Komentarotema">
    <w:name w:val="annotation subject"/>
    <w:basedOn w:val="Komentarotekstas"/>
    <w:next w:val="Komentarotekstas"/>
    <w:link w:val="KomentarotemaDiagrama"/>
    <w:uiPriority w:val="99"/>
    <w:semiHidden/>
    <w:unhideWhenUsed/>
    <w:rsid w:val="002E4E09"/>
    <w:rPr>
      <w:b/>
      <w:bCs/>
    </w:rPr>
  </w:style>
  <w:style w:type="character" w:customStyle="1" w:styleId="KomentarotemaDiagrama">
    <w:name w:val="Komentaro tema Diagrama"/>
    <w:basedOn w:val="KomentarotekstasDiagrama"/>
    <w:link w:val="Komentarotema"/>
    <w:uiPriority w:val="99"/>
    <w:semiHidden/>
    <w:rsid w:val="002E4E09"/>
    <w:rPr>
      <w:b/>
      <w:bCs/>
      <w:sz w:val="20"/>
      <w:szCs w:val="20"/>
    </w:rPr>
  </w:style>
  <w:style w:type="paragraph" w:styleId="Sraopastraipa">
    <w:name w:val="List Paragraph"/>
    <w:basedOn w:val="prastasis"/>
    <w:uiPriority w:val="34"/>
    <w:qFormat/>
    <w:rsid w:val="005B0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b3d1d860443d11eb8d9fe110e148c770" TargetMode="External"/><Relationship Id="rId13" Type="http://schemas.openxmlformats.org/officeDocument/2006/relationships/hyperlink" Target="https://investlithuania.com/download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269a430406b11eb8d9fe110e148c770" TargetMode="External"/><Relationship Id="rId12" Type="http://schemas.openxmlformats.org/officeDocument/2006/relationships/hyperlink" Target="https://www.e-tar.lt/portal/lt/legalAct/317ce3e019dc11ebb0038a8cd8ff585f"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finmin.lrv.lt/uploads/finmin/documents/files/Atvirosios%20bankininkystes%20UG%20ataskaita_final.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t/legalAct/a664b2107ecd11e4bc68a1493830b8b9/asr" TargetMode="External"/><Relationship Id="rId4" Type="http://schemas.openxmlformats.org/officeDocument/2006/relationships/webSettings" Target="webSettings.xml"/><Relationship Id="rId9" Type="http://schemas.openxmlformats.org/officeDocument/2006/relationships/hyperlink" Target="https://www.lb.lt/lt/naujienos/bankams-gaires-del-saskaitu-elektroniniu-pinigu-ir-mokejimo-istaigoms-atidarymo" TargetMode="External"/><Relationship Id="rId14" Type="http://schemas.openxmlformats.org/officeDocument/2006/relationships/hyperlink" Target="http://finmin.lrv.lt/uploads/finmin/documents/files/Atsiskaitymu%20negrynaisiais%20mokyklose%20ataskaita_final.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13460</Words>
  <Characters>7673</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Ranonytė</dc:creator>
  <cp:lastModifiedBy>Greta Ranonytė</cp:lastModifiedBy>
  <cp:revision>6</cp:revision>
  <dcterms:created xsi:type="dcterms:W3CDTF">2021-03-25T12:33:00Z</dcterms:created>
  <dcterms:modified xsi:type="dcterms:W3CDTF">2021-03-31T09:18:00Z</dcterms:modified>
</cp:coreProperties>
</file>