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178B" w14:textId="77777777" w:rsidR="00360D92" w:rsidRDefault="00360D92" w:rsidP="00360D92">
      <w:pPr>
        <w:jc w:val="center"/>
        <w:rPr>
          <w:b/>
          <w:bCs/>
          <w:caps/>
          <w:lang w:val="lt-LT"/>
        </w:rPr>
      </w:pPr>
    </w:p>
    <w:p w14:paraId="3520CA32" w14:textId="77777777" w:rsidR="009B650D" w:rsidRPr="004A3ECE" w:rsidRDefault="009B650D" w:rsidP="009B650D">
      <w:pPr>
        <w:jc w:val="center"/>
        <w:rPr>
          <w:b/>
          <w:bCs/>
        </w:rPr>
      </w:pPr>
      <w:r w:rsidRPr="008C2B08">
        <w:rPr>
          <w:b/>
          <w:bCs/>
        </w:rPr>
        <w:t>PAŽYMA</w:t>
      </w:r>
    </w:p>
    <w:p w14:paraId="45F9B9B4" w14:textId="5529EB32" w:rsidR="009B650D" w:rsidRPr="008C2B08" w:rsidRDefault="009B650D" w:rsidP="009B650D">
      <w:pPr>
        <w:jc w:val="center"/>
        <w:rPr>
          <w:b/>
          <w:bCs/>
          <w:caps/>
        </w:rPr>
      </w:pPr>
      <w:r>
        <w:rPr>
          <w:b/>
          <w:bCs/>
          <w:caps/>
        </w:rPr>
        <w:t xml:space="preserve">DĖL </w:t>
      </w:r>
      <w:r w:rsidRPr="008C2B08">
        <w:rPr>
          <w:b/>
          <w:bCs/>
          <w:caps/>
        </w:rPr>
        <w:t>Lietuvos Respublikos pozicij</w:t>
      </w:r>
      <w:r w:rsidR="00385838">
        <w:rPr>
          <w:b/>
          <w:bCs/>
          <w:caps/>
          <w:lang w:val="lt-LT"/>
        </w:rPr>
        <w:t>ų</w:t>
      </w:r>
      <w:r w:rsidRPr="008C2B08">
        <w:rPr>
          <w:b/>
          <w:bCs/>
          <w:caps/>
        </w:rPr>
        <w:t xml:space="preserve"> </w:t>
      </w:r>
      <w:r>
        <w:rPr>
          <w:b/>
          <w:bCs/>
          <w:caps/>
        </w:rPr>
        <w:t xml:space="preserve"> </w:t>
      </w:r>
      <w:r w:rsidRPr="008C2B08">
        <w:rPr>
          <w:b/>
          <w:bCs/>
          <w:caps/>
        </w:rPr>
        <w:t xml:space="preserve">2021 m. </w:t>
      </w:r>
      <w:r>
        <w:rPr>
          <w:b/>
          <w:bCs/>
          <w:caps/>
        </w:rPr>
        <w:t>gruodžio 2</w:t>
      </w:r>
      <w:r w:rsidRPr="008C2B08">
        <w:rPr>
          <w:b/>
          <w:bCs/>
          <w:caps/>
        </w:rPr>
        <w:t xml:space="preserve"> d. ES transporto, telekomunikacijų ir </w:t>
      </w:r>
      <w:r w:rsidRPr="008C2B08">
        <w:rPr>
          <w:b/>
          <w:bCs/>
          <w:caps/>
          <w:u w:val="single"/>
        </w:rPr>
        <w:t>ENERGETIKOS</w:t>
      </w:r>
      <w:r w:rsidRPr="008C2B08">
        <w:rPr>
          <w:b/>
          <w:bCs/>
          <w:caps/>
        </w:rPr>
        <w:t xml:space="preserve"> (TTE) Taryboje</w:t>
      </w:r>
      <w:r>
        <w:rPr>
          <w:b/>
          <w:bCs/>
          <w:caps/>
        </w:rPr>
        <w:t xml:space="preserve"> </w:t>
      </w:r>
      <w:r w:rsidRPr="008C2B08">
        <w:rPr>
          <w:b/>
          <w:bCs/>
          <w:caps/>
        </w:rPr>
        <w:t>svarstomais klausimais</w:t>
      </w:r>
    </w:p>
    <w:p w14:paraId="571F46F9" w14:textId="77777777" w:rsidR="00360D92" w:rsidRDefault="00360D92" w:rsidP="00360D92">
      <w:pPr>
        <w:jc w:val="center"/>
        <w:rPr>
          <w:b/>
          <w:bCs/>
          <w:caps/>
          <w:lang w:val="lt-LT"/>
        </w:rPr>
      </w:pPr>
    </w:p>
    <w:p w14:paraId="08806D66" w14:textId="77777777" w:rsidR="00360D92" w:rsidRDefault="00360D92" w:rsidP="00360D92">
      <w:pPr>
        <w:jc w:val="both"/>
        <w:rPr>
          <w:b/>
          <w:bCs/>
          <w:caps/>
          <w:lang w:val="lt-LT"/>
        </w:rPr>
      </w:pPr>
    </w:p>
    <w:p w14:paraId="0F316BD3" w14:textId="6C376EE4" w:rsidR="00360D92" w:rsidRDefault="00360D92" w:rsidP="00360D92">
      <w:pPr>
        <w:jc w:val="both"/>
        <w:rPr>
          <w:lang w:val="lt-LT"/>
        </w:rPr>
      </w:pPr>
      <w:r w:rsidRPr="00C23E51">
        <w:rPr>
          <w:lang w:val="lt-LT"/>
        </w:rPr>
        <w:t xml:space="preserve">Transporto, telekomunikacijų ir energetikos taryba </w:t>
      </w:r>
      <w:r w:rsidRPr="00C23E51">
        <w:rPr>
          <w:u w:val="single"/>
          <w:lang w:val="lt-LT"/>
        </w:rPr>
        <w:t>energetikos</w:t>
      </w:r>
      <w:r>
        <w:rPr>
          <w:lang w:val="lt-LT"/>
        </w:rPr>
        <w:t xml:space="preserve"> klausimais vyks gruodžio 2 d. Briuselyje</w:t>
      </w:r>
      <w:r w:rsidR="009B650D">
        <w:rPr>
          <w:lang w:val="lt-LT"/>
        </w:rPr>
        <w:t xml:space="preserve"> (Belgijos Karalystė)</w:t>
      </w:r>
      <w:r>
        <w:rPr>
          <w:lang w:val="lt-LT"/>
        </w:rPr>
        <w:t>. Taryboje Lietuvai atstovaus energetikos ministras Dainius Kreivys.</w:t>
      </w:r>
    </w:p>
    <w:p w14:paraId="7602376B" w14:textId="77777777" w:rsidR="00360D92" w:rsidRDefault="00360D92" w:rsidP="00360D92">
      <w:pPr>
        <w:jc w:val="both"/>
        <w:rPr>
          <w:lang w:val="lt-LT"/>
        </w:rPr>
      </w:pPr>
    </w:p>
    <w:p w14:paraId="4E1505CC" w14:textId="0EFA5248" w:rsidR="00360D92" w:rsidRDefault="00360D92" w:rsidP="00360D92">
      <w:pPr>
        <w:jc w:val="both"/>
        <w:rPr>
          <w:b/>
          <w:bCs/>
          <w:lang w:val="lt-LT"/>
        </w:rPr>
      </w:pPr>
      <w:r w:rsidRPr="000E3CAF">
        <w:rPr>
          <w:b/>
          <w:bCs/>
          <w:lang w:val="lt-LT"/>
        </w:rPr>
        <w:t>Darbotvarkė:</w:t>
      </w:r>
    </w:p>
    <w:p w14:paraId="34333AF8" w14:textId="2C6A1962" w:rsidR="00A245E6" w:rsidRDefault="00A245E6" w:rsidP="00360D92">
      <w:pPr>
        <w:jc w:val="both"/>
        <w:rPr>
          <w:b/>
          <w:bCs/>
          <w:lang w:val="lt-LT"/>
        </w:rPr>
      </w:pPr>
    </w:p>
    <w:p w14:paraId="7D5C7D8B" w14:textId="2011257D" w:rsidR="00A245E6" w:rsidRPr="00A245E6" w:rsidRDefault="00A245E6" w:rsidP="00360D92">
      <w:pPr>
        <w:jc w:val="both"/>
        <w:rPr>
          <w:b/>
          <w:bCs/>
          <w:u w:val="single"/>
        </w:rPr>
      </w:pPr>
      <w:proofErr w:type="spellStart"/>
      <w:r w:rsidRPr="00A245E6">
        <w:rPr>
          <w:b/>
          <w:bCs/>
          <w:u w:val="single"/>
        </w:rPr>
        <w:t>Teisėkūros</w:t>
      </w:r>
      <w:proofErr w:type="spellEnd"/>
      <w:r w:rsidRPr="00A245E6">
        <w:rPr>
          <w:b/>
          <w:bCs/>
          <w:u w:val="single"/>
        </w:rPr>
        <w:t xml:space="preserve"> </w:t>
      </w:r>
      <w:proofErr w:type="spellStart"/>
      <w:r w:rsidRPr="00A245E6">
        <w:rPr>
          <w:b/>
          <w:bCs/>
          <w:u w:val="single"/>
        </w:rPr>
        <w:t>procedūra</w:t>
      </w:r>
      <w:proofErr w:type="spellEnd"/>
      <w:r w:rsidRPr="00A245E6">
        <w:rPr>
          <w:b/>
          <w:bCs/>
          <w:u w:val="single"/>
        </w:rPr>
        <w:t xml:space="preserve"> </w:t>
      </w:r>
      <w:proofErr w:type="spellStart"/>
      <w:r w:rsidRPr="00A245E6">
        <w:rPr>
          <w:b/>
          <w:bCs/>
          <w:u w:val="single"/>
        </w:rPr>
        <w:t>priimamų</w:t>
      </w:r>
      <w:proofErr w:type="spellEnd"/>
      <w:r w:rsidRPr="00A245E6">
        <w:rPr>
          <w:b/>
          <w:bCs/>
          <w:u w:val="single"/>
        </w:rPr>
        <w:t xml:space="preserve"> </w:t>
      </w:r>
      <w:proofErr w:type="spellStart"/>
      <w:r w:rsidRPr="00A245E6">
        <w:rPr>
          <w:b/>
          <w:bCs/>
          <w:u w:val="single"/>
        </w:rPr>
        <w:t>aktų</w:t>
      </w:r>
      <w:proofErr w:type="spellEnd"/>
      <w:r w:rsidRPr="00A245E6">
        <w:rPr>
          <w:b/>
          <w:bCs/>
          <w:u w:val="single"/>
        </w:rPr>
        <w:t xml:space="preserve"> </w:t>
      </w:r>
      <w:proofErr w:type="spellStart"/>
      <w:r w:rsidRPr="00A245E6">
        <w:rPr>
          <w:b/>
          <w:bCs/>
          <w:u w:val="single"/>
        </w:rPr>
        <w:t>svarstymas</w:t>
      </w:r>
      <w:proofErr w:type="spellEnd"/>
    </w:p>
    <w:p w14:paraId="4CD7F2EB" w14:textId="138EF84A" w:rsidR="00A245E6" w:rsidRDefault="00A245E6" w:rsidP="00360D92">
      <w:pPr>
        <w:jc w:val="both"/>
      </w:pPr>
    </w:p>
    <w:p w14:paraId="6ED7FD55" w14:textId="4FE06FC5" w:rsidR="00A245E6" w:rsidRPr="00A245E6" w:rsidRDefault="00A245E6" w:rsidP="00A245E6">
      <w:pPr>
        <w:pStyle w:val="ListParagraph"/>
        <w:numPr>
          <w:ilvl w:val="0"/>
          <w:numId w:val="1"/>
        </w:numPr>
        <w:jc w:val="both"/>
        <w:rPr>
          <w:lang w:val="lt-LT"/>
        </w:rPr>
      </w:pPr>
      <w:r w:rsidRPr="00A245E6">
        <w:rPr>
          <w:lang w:val="lt-LT"/>
        </w:rPr>
        <w:t>55 % tikslo priemonių rinkinys (teisėkūros iniciatyvos atnaujintam 2030 m. klimato srities tikslui įgyvendinti):</w:t>
      </w:r>
    </w:p>
    <w:p w14:paraId="702CB0C1" w14:textId="7FB8AD75" w:rsidR="00A245E6" w:rsidRPr="00A245E6" w:rsidRDefault="00A245E6" w:rsidP="00A245E6">
      <w:pPr>
        <w:pStyle w:val="ListParagraph"/>
        <w:numPr>
          <w:ilvl w:val="1"/>
          <w:numId w:val="1"/>
        </w:numPr>
        <w:jc w:val="both"/>
        <w:rPr>
          <w:lang w:val="lt-LT"/>
        </w:rPr>
      </w:pPr>
      <w:r w:rsidRPr="00A245E6">
        <w:rPr>
          <w:lang w:val="lt-LT"/>
        </w:rPr>
        <w:t xml:space="preserve">55 % tikslo priemonių rinkinio apžvalga – </w:t>
      </w:r>
      <w:r w:rsidRPr="00A245E6">
        <w:rPr>
          <w:i/>
          <w:iCs/>
          <w:lang w:val="lt-LT"/>
        </w:rPr>
        <w:t>pažangos ataskaita</w:t>
      </w:r>
    </w:p>
    <w:p w14:paraId="6AE35989" w14:textId="36A8E9BA" w:rsidR="00A245E6" w:rsidRPr="00A245E6" w:rsidRDefault="00A245E6" w:rsidP="00A245E6">
      <w:pPr>
        <w:pStyle w:val="ListParagraph"/>
        <w:numPr>
          <w:ilvl w:val="1"/>
          <w:numId w:val="1"/>
        </w:numPr>
        <w:jc w:val="both"/>
        <w:rPr>
          <w:lang w:val="lt-LT"/>
        </w:rPr>
      </w:pPr>
      <w:r w:rsidRPr="00A245E6">
        <w:rPr>
          <w:lang w:val="lt-LT"/>
        </w:rPr>
        <w:t xml:space="preserve">Direktyva 2012/27/ES dėl energijos vartojimo efektyvumo siekiant naujojo 2030 m. klimato srities tikslo užmojo (nauja redakcija) – </w:t>
      </w:r>
      <w:r w:rsidRPr="00A245E6">
        <w:rPr>
          <w:i/>
          <w:iCs/>
          <w:lang w:val="lt-LT"/>
        </w:rPr>
        <w:t>pažangos ataskaita</w:t>
      </w:r>
    </w:p>
    <w:p w14:paraId="091B5413" w14:textId="65C3454B" w:rsidR="00A245E6" w:rsidRPr="00A245E6" w:rsidRDefault="00A245E6" w:rsidP="00A245E6">
      <w:pPr>
        <w:pStyle w:val="ListParagraph"/>
        <w:numPr>
          <w:ilvl w:val="1"/>
          <w:numId w:val="1"/>
        </w:numPr>
        <w:jc w:val="both"/>
        <w:rPr>
          <w:i/>
          <w:iCs/>
          <w:lang w:val="lt-LT"/>
        </w:rPr>
      </w:pPr>
      <w:r w:rsidRPr="00A245E6">
        <w:rPr>
          <w:lang w:val="lt-LT"/>
        </w:rPr>
        <w:t xml:space="preserve">Direktyvos (ES) 2018/2001 dėl skatinimo naudoti atsinaujinančiųjų išteklių energiją pakeitimas siekiant įgyvendinti naujojo 2030 m. klimato srities tikslo užmojo – </w:t>
      </w:r>
      <w:r w:rsidRPr="00A245E6">
        <w:rPr>
          <w:i/>
          <w:iCs/>
          <w:lang w:val="lt-LT"/>
        </w:rPr>
        <w:t>pažangos ataskaita</w:t>
      </w:r>
    </w:p>
    <w:p w14:paraId="0F463833" w14:textId="192E9DAC" w:rsidR="00A245E6" w:rsidRPr="00A245E6" w:rsidRDefault="00A245E6" w:rsidP="00A245E6">
      <w:pPr>
        <w:pStyle w:val="ListParagraph"/>
        <w:numPr>
          <w:ilvl w:val="0"/>
          <w:numId w:val="2"/>
        </w:numPr>
        <w:jc w:val="both"/>
        <w:rPr>
          <w:i/>
          <w:iCs/>
          <w:lang w:val="lt-LT"/>
        </w:rPr>
      </w:pPr>
      <w:r w:rsidRPr="00A245E6">
        <w:rPr>
          <w:i/>
          <w:iCs/>
          <w:lang w:val="lt-LT"/>
        </w:rPr>
        <w:t>Politiniai debatai</w:t>
      </w:r>
    </w:p>
    <w:p w14:paraId="6EC1421D" w14:textId="6055BE9F" w:rsidR="00A245E6" w:rsidRDefault="00A245E6" w:rsidP="00A245E6">
      <w:pPr>
        <w:jc w:val="both"/>
        <w:rPr>
          <w:lang w:val="lt-LT"/>
        </w:rPr>
      </w:pPr>
    </w:p>
    <w:p w14:paraId="3CA8673C" w14:textId="7DB253D7" w:rsidR="00A245E6" w:rsidRDefault="00A245E6" w:rsidP="00A245E6">
      <w:pPr>
        <w:jc w:val="both"/>
        <w:rPr>
          <w:b/>
          <w:bCs/>
          <w:u w:val="single"/>
        </w:rPr>
      </w:pPr>
      <w:proofErr w:type="spellStart"/>
      <w:r w:rsidRPr="00A245E6">
        <w:rPr>
          <w:b/>
          <w:bCs/>
          <w:u w:val="single"/>
        </w:rPr>
        <w:t>Su</w:t>
      </w:r>
      <w:proofErr w:type="spellEnd"/>
      <w:r w:rsidRPr="00A245E6">
        <w:rPr>
          <w:b/>
          <w:bCs/>
          <w:u w:val="single"/>
        </w:rPr>
        <w:t xml:space="preserve"> </w:t>
      </w:r>
      <w:proofErr w:type="spellStart"/>
      <w:r w:rsidRPr="00A245E6">
        <w:rPr>
          <w:b/>
          <w:bCs/>
          <w:u w:val="single"/>
        </w:rPr>
        <w:t>teisėkūros</w:t>
      </w:r>
      <w:proofErr w:type="spellEnd"/>
      <w:r w:rsidRPr="00A245E6">
        <w:rPr>
          <w:b/>
          <w:bCs/>
          <w:u w:val="single"/>
        </w:rPr>
        <w:t xml:space="preserve"> </w:t>
      </w:r>
      <w:proofErr w:type="spellStart"/>
      <w:r w:rsidRPr="00A245E6">
        <w:rPr>
          <w:b/>
          <w:bCs/>
          <w:u w:val="single"/>
        </w:rPr>
        <w:t>procedūra</w:t>
      </w:r>
      <w:proofErr w:type="spellEnd"/>
      <w:r w:rsidRPr="00A245E6">
        <w:rPr>
          <w:b/>
          <w:bCs/>
          <w:u w:val="single"/>
        </w:rPr>
        <w:t xml:space="preserve"> </w:t>
      </w:r>
      <w:proofErr w:type="spellStart"/>
      <w:r w:rsidRPr="00A245E6">
        <w:rPr>
          <w:b/>
          <w:bCs/>
          <w:u w:val="single"/>
        </w:rPr>
        <w:t>nesusijusi</w:t>
      </w:r>
      <w:proofErr w:type="spellEnd"/>
      <w:r w:rsidRPr="00A245E6">
        <w:rPr>
          <w:b/>
          <w:bCs/>
          <w:u w:val="single"/>
        </w:rPr>
        <w:t xml:space="preserve"> </w:t>
      </w:r>
      <w:proofErr w:type="spellStart"/>
      <w:r w:rsidRPr="00A245E6">
        <w:rPr>
          <w:b/>
          <w:bCs/>
          <w:u w:val="single"/>
        </w:rPr>
        <w:t>veikla</w:t>
      </w:r>
      <w:proofErr w:type="spellEnd"/>
    </w:p>
    <w:p w14:paraId="3D475797" w14:textId="77777777" w:rsidR="00A245E6" w:rsidRPr="0041317E" w:rsidRDefault="00A245E6" w:rsidP="00A245E6">
      <w:pPr>
        <w:jc w:val="both"/>
        <w:rPr>
          <w:b/>
          <w:bCs/>
          <w:u w:val="single"/>
          <w:lang w:val="lt-LT"/>
        </w:rPr>
      </w:pPr>
    </w:p>
    <w:p w14:paraId="1EEEE810" w14:textId="77777777" w:rsidR="00A245E6" w:rsidRPr="0041317E" w:rsidRDefault="00A245E6" w:rsidP="00A245E6">
      <w:pPr>
        <w:pStyle w:val="ListParagraph"/>
        <w:numPr>
          <w:ilvl w:val="0"/>
          <w:numId w:val="1"/>
        </w:numPr>
        <w:jc w:val="both"/>
        <w:rPr>
          <w:lang w:val="lt-LT"/>
        </w:rPr>
      </w:pPr>
      <w:r w:rsidRPr="0041317E">
        <w:rPr>
          <w:lang w:val="lt-LT"/>
        </w:rPr>
        <w:t xml:space="preserve">Augančių energijos kainų problemos sprendimas </w:t>
      </w:r>
    </w:p>
    <w:p w14:paraId="4A12E765" w14:textId="5D872986" w:rsidR="00A245E6" w:rsidRPr="0041317E" w:rsidRDefault="00AD14EB" w:rsidP="00A245E6">
      <w:pPr>
        <w:pStyle w:val="ListParagraph"/>
        <w:numPr>
          <w:ilvl w:val="0"/>
          <w:numId w:val="2"/>
        </w:numPr>
        <w:jc w:val="both"/>
        <w:rPr>
          <w:lang w:val="lt-LT"/>
        </w:rPr>
      </w:pPr>
      <w:r>
        <w:rPr>
          <w:i/>
          <w:iCs/>
          <w:lang w:val="lt-LT"/>
        </w:rPr>
        <w:t>Apsikeitimas</w:t>
      </w:r>
      <w:r w:rsidR="00A245E6" w:rsidRPr="0041317E">
        <w:rPr>
          <w:i/>
          <w:iCs/>
          <w:lang w:val="lt-LT"/>
        </w:rPr>
        <w:t xml:space="preserve"> nuomonėmis</w:t>
      </w:r>
    </w:p>
    <w:p w14:paraId="0FBA793D" w14:textId="13D1F9B5" w:rsidR="00A245E6" w:rsidRPr="0041317E" w:rsidRDefault="00A245E6" w:rsidP="005969BC">
      <w:pPr>
        <w:jc w:val="both"/>
        <w:rPr>
          <w:lang w:val="lt-LT"/>
        </w:rPr>
      </w:pPr>
    </w:p>
    <w:p w14:paraId="796546F4" w14:textId="129C5568" w:rsidR="005969BC" w:rsidRPr="0041317E" w:rsidRDefault="005969BC" w:rsidP="005969BC">
      <w:pPr>
        <w:jc w:val="both"/>
        <w:rPr>
          <w:b/>
          <w:bCs/>
          <w:u w:val="single"/>
          <w:lang w:val="lt-LT"/>
        </w:rPr>
      </w:pPr>
      <w:r w:rsidRPr="0041317E">
        <w:rPr>
          <w:b/>
          <w:bCs/>
          <w:u w:val="single"/>
          <w:lang w:val="lt-LT"/>
        </w:rPr>
        <w:t>Kiti klausimai</w:t>
      </w:r>
    </w:p>
    <w:p w14:paraId="12852B3C" w14:textId="19D855F8" w:rsidR="005969BC" w:rsidRPr="0041317E" w:rsidRDefault="005969BC" w:rsidP="005969BC">
      <w:pPr>
        <w:jc w:val="both"/>
        <w:rPr>
          <w:b/>
          <w:bCs/>
          <w:u w:val="single"/>
          <w:lang w:val="lt-LT"/>
        </w:rPr>
      </w:pPr>
    </w:p>
    <w:p w14:paraId="700C12E8" w14:textId="2F701369" w:rsidR="005969BC" w:rsidRPr="0041317E" w:rsidRDefault="005969BC" w:rsidP="005969BC">
      <w:pPr>
        <w:pStyle w:val="ListParagraph"/>
        <w:numPr>
          <w:ilvl w:val="0"/>
          <w:numId w:val="2"/>
        </w:numPr>
        <w:jc w:val="both"/>
        <w:rPr>
          <w:lang w:val="lt-LT"/>
        </w:rPr>
      </w:pPr>
      <w:r w:rsidRPr="0041317E">
        <w:rPr>
          <w:lang w:val="lt-LT"/>
        </w:rPr>
        <w:t xml:space="preserve">Dabartiniai pasiūlymai dėl teisėkūros procedūra priimamų aktų, TEN-E reglamento peržiūra - </w:t>
      </w:r>
      <w:r w:rsidRPr="0041317E">
        <w:rPr>
          <w:i/>
          <w:iCs/>
          <w:lang w:val="lt-LT"/>
        </w:rPr>
        <w:t>Pirmininkaujančios valstybės narės informacija</w:t>
      </w:r>
      <w:r w:rsidR="000177A1">
        <w:rPr>
          <w:lang w:val="lt-LT"/>
        </w:rPr>
        <w:t>.</w:t>
      </w:r>
    </w:p>
    <w:p w14:paraId="64D74B26" w14:textId="77777777" w:rsidR="005969BC" w:rsidRPr="0041317E" w:rsidRDefault="005969BC" w:rsidP="005969BC">
      <w:pPr>
        <w:pStyle w:val="ListParagraph"/>
        <w:numPr>
          <w:ilvl w:val="0"/>
          <w:numId w:val="2"/>
        </w:numPr>
        <w:jc w:val="both"/>
        <w:rPr>
          <w:b/>
          <w:bCs/>
          <w:u w:val="single"/>
          <w:lang w:val="lt-LT"/>
        </w:rPr>
      </w:pPr>
      <w:r w:rsidRPr="0041317E">
        <w:rPr>
          <w:lang w:val="lt-LT"/>
        </w:rPr>
        <w:t xml:space="preserve">Naujausi pokyčiai, susiję su išorės santykiais energetikos srityje -  </w:t>
      </w:r>
      <w:r w:rsidRPr="0041317E">
        <w:rPr>
          <w:i/>
          <w:iCs/>
          <w:lang w:val="lt-LT"/>
        </w:rPr>
        <w:t>Komisijos informacija</w:t>
      </w:r>
      <w:r w:rsidRPr="0041317E">
        <w:rPr>
          <w:lang w:val="lt-LT"/>
        </w:rPr>
        <w:t xml:space="preserve"> </w:t>
      </w:r>
    </w:p>
    <w:p w14:paraId="2F1D8154" w14:textId="33B529CD" w:rsidR="005969BC" w:rsidRPr="0041317E" w:rsidRDefault="005969BC" w:rsidP="005969BC">
      <w:pPr>
        <w:pStyle w:val="ListParagraph"/>
        <w:numPr>
          <w:ilvl w:val="0"/>
          <w:numId w:val="2"/>
        </w:numPr>
        <w:jc w:val="both"/>
        <w:rPr>
          <w:b/>
          <w:bCs/>
          <w:u w:val="single"/>
          <w:lang w:val="lt-LT"/>
        </w:rPr>
      </w:pPr>
      <w:r w:rsidRPr="0041317E">
        <w:rPr>
          <w:lang w:val="lt-LT"/>
        </w:rPr>
        <w:t xml:space="preserve">Pranešimas apie energetikos sąjungos padėtį - </w:t>
      </w:r>
      <w:r w:rsidRPr="0041317E">
        <w:rPr>
          <w:i/>
          <w:iCs/>
          <w:lang w:val="lt-LT"/>
        </w:rPr>
        <w:t>Komisijos informacija</w:t>
      </w:r>
      <w:r w:rsidR="000177A1">
        <w:rPr>
          <w:i/>
          <w:iCs/>
          <w:lang w:val="lt-LT"/>
        </w:rPr>
        <w:t>.</w:t>
      </w:r>
      <w:r w:rsidRPr="0041317E">
        <w:rPr>
          <w:lang w:val="lt-LT"/>
        </w:rPr>
        <w:t xml:space="preserve"> </w:t>
      </w:r>
    </w:p>
    <w:p w14:paraId="11743441" w14:textId="4FFDC025" w:rsidR="0041317E" w:rsidRPr="0041317E" w:rsidRDefault="005969BC" w:rsidP="005969BC">
      <w:pPr>
        <w:pStyle w:val="ListParagraph"/>
        <w:numPr>
          <w:ilvl w:val="0"/>
          <w:numId w:val="2"/>
        </w:numPr>
        <w:jc w:val="both"/>
        <w:rPr>
          <w:b/>
          <w:bCs/>
          <w:i/>
          <w:iCs/>
          <w:u w:val="single"/>
          <w:lang w:val="lt-LT"/>
        </w:rPr>
      </w:pPr>
      <w:r w:rsidRPr="0041317E">
        <w:rPr>
          <w:lang w:val="lt-LT"/>
        </w:rPr>
        <w:t xml:space="preserve">Atsinaujinančiųjų išteklių energijos ir biologinės įvairovės sambūvis </w:t>
      </w:r>
      <w:r w:rsidR="0041317E" w:rsidRPr="0041317E">
        <w:rPr>
          <w:lang w:val="lt-LT"/>
        </w:rPr>
        <w:t xml:space="preserve">- </w:t>
      </w:r>
      <w:r w:rsidRPr="0041317E">
        <w:rPr>
          <w:i/>
          <w:iCs/>
          <w:lang w:val="lt-LT"/>
        </w:rPr>
        <w:t>Danijos delegacijos informacija</w:t>
      </w:r>
      <w:r w:rsidR="0041317E" w:rsidRPr="0041317E">
        <w:rPr>
          <w:i/>
          <w:iCs/>
          <w:lang w:val="lt-LT"/>
        </w:rPr>
        <w:t>.</w:t>
      </w:r>
    </w:p>
    <w:p w14:paraId="220031B7" w14:textId="1C1B3599" w:rsidR="0041317E" w:rsidRPr="0041317E" w:rsidRDefault="0041317E" w:rsidP="005969BC">
      <w:pPr>
        <w:pStyle w:val="ListParagraph"/>
        <w:numPr>
          <w:ilvl w:val="0"/>
          <w:numId w:val="2"/>
        </w:numPr>
        <w:jc w:val="both"/>
        <w:rPr>
          <w:b/>
          <w:bCs/>
          <w:u w:val="single"/>
          <w:lang w:val="lt-LT"/>
        </w:rPr>
      </w:pPr>
      <w:r w:rsidRPr="0041317E">
        <w:rPr>
          <w:u w:val="single"/>
          <w:lang w:val="lt-LT"/>
        </w:rPr>
        <w:t>B</w:t>
      </w:r>
      <w:r w:rsidR="005969BC" w:rsidRPr="0041317E">
        <w:rPr>
          <w:u w:val="single"/>
          <w:lang w:val="lt-LT"/>
        </w:rPr>
        <w:t xml:space="preserve">altarusijos AE branduolinės saugos užtikrinimo pagal ES </w:t>
      </w:r>
      <w:r w:rsidRPr="0041317E">
        <w:rPr>
          <w:u w:val="single"/>
          <w:lang w:val="lt-LT"/>
        </w:rPr>
        <w:t>lygio standartus</w:t>
      </w:r>
      <w:r w:rsidR="005969BC" w:rsidRPr="0041317E">
        <w:rPr>
          <w:u w:val="single"/>
          <w:lang w:val="lt-LT"/>
        </w:rPr>
        <w:t xml:space="preserve"> svarba </w:t>
      </w:r>
      <w:r w:rsidRPr="0041317E">
        <w:rPr>
          <w:u w:val="single"/>
          <w:lang w:val="lt-LT"/>
        </w:rPr>
        <w:t xml:space="preserve">- </w:t>
      </w:r>
      <w:r w:rsidR="005969BC" w:rsidRPr="0041317E">
        <w:rPr>
          <w:i/>
          <w:iCs/>
          <w:u w:val="single"/>
          <w:lang w:val="lt-LT"/>
        </w:rPr>
        <w:t>Lietuvos delegacijos informacija</w:t>
      </w:r>
      <w:r w:rsidRPr="0041317E">
        <w:rPr>
          <w:u w:val="single"/>
          <w:lang w:val="lt-LT"/>
        </w:rPr>
        <w:t>.</w:t>
      </w:r>
    </w:p>
    <w:p w14:paraId="1B66D546" w14:textId="619BDA01" w:rsidR="005969BC" w:rsidRPr="0041317E" w:rsidRDefault="005969BC" w:rsidP="005969BC">
      <w:pPr>
        <w:pStyle w:val="ListParagraph"/>
        <w:numPr>
          <w:ilvl w:val="0"/>
          <w:numId w:val="2"/>
        </w:numPr>
        <w:jc w:val="both"/>
        <w:rPr>
          <w:b/>
          <w:bCs/>
          <w:u w:val="single"/>
          <w:lang w:val="lt-LT"/>
        </w:rPr>
      </w:pPr>
      <w:r w:rsidRPr="0041317E">
        <w:rPr>
          <w:lang w:val="lt-LT"/>
        </w:rPr>
        <w:t>Pirmininkausiančios valstybės narės darbo programa</w:t>
      </w:r>
      <w:r w:rsidR="0041317E" w:rsidRPr="0041317E">
        <w:rPr>
          <w:lang w:val="lt-LT"/>
        </w:rPr>
        <w:t xml:space="preserve"> - </w:t>
      </w:r>
      <w:r w:rsidRPr="0041317E">
        <w:rPr>
          <w:i/>
          <w:iCs/>
          <w:lang w:val="lt-LT"/>
        </w:rPr>
        <w:t>Prancūzijos delegacijos informacija</w:t>
      </w:r>
      <w:r w:rsidR="0041317E" w:rsidRPr="0041317E">
        <w:rPr>
          <w:i/>
          <w:iCs/>
          <w:lang w:val="lt-LT"/>
        </w:rPr>
        <w:t>.</w:t>
      </w:r>
    </w:p>
    <w:p w14:paraId="690B7C55" w14:textId="4F428851" w:rsidR="00C408DB" w:rsidRDefault="00C408DB"/>
    <w:p w14:paraId="46746B09" w14:textId="7B3B096A" w:rsidR="0041317E" w:rsidRDefault="0041317E"/>
    <w:p w14:paraId="22E51CD9" w14:textId="7F385BCE" w:rsidR="0041317E" w:rsidRPr="000177A1" w:rsidRDefault="000177A1" w:rsidP="000177A1">
      <w:pPr>
        <w:pStyle w:val="ListParagraph"/>
        <w:numPr>
          <w:ilvl w:val="0"/>
          <w:numId w:val="3"/>
        </w:numPr>
        <w:rPr>
          <w:b/>
          <w:bCs/>
        </w:rPr>
      </w:pPr>
      <w:r w:rsidRPr="000177A1">
        <w:rPr>
          <w:b/>
          <w:bCs/>
          <w:lang w:val="lt-LT"/>
        </w:rPr>
        <w:t xml:space="preserve">55 % tikslo priemonių rinkinio, Atsinaujinančių energijos išteklių ir Energinio efektyvumo direktyvų pažangos ataskaitos. </w:t>
      </w:r>
    </w:p>
    <w:p w14:paraId="3026E1D4" w14:textId="344A77F0" w:rsidR="000177A1" w:rsidRDefault="000177A1" w:rsidP="000177A1">
      <w:pPr>
        <w:rPr>
          <w:b/>
          <w:bCs/>
        </w:rPr>
      </w:pPr>
    </w:p>
    <w:p w14:paraId="27E7FFF7" w14:textId="0693E88E" w:rsidR="000177A1" w:rsidRDefault="00B040F7" w:rsidP="00720D07">
      <w:pPr>
        <w:jc w:val="both"/>
        <w:rPr>
          <w:lang w:val="lt-LT"/>
        </w:rPr>
      </w:pPr>
      <w:r w:rsidRPr="00B040F7">
        <w:rPr>
          <w:b/>
          <w:bCs/>
          <w:u w:val="single"/>
          <w:lang w:val="lt-LT"/>
        </w:rPr>
        <w:t>Klausimo aprašymas:</w:t>
      </w:r>
      <w:r w:rsidRPr="00B040F7">
        <w:rPr>
          <w:lang w:val="lt-LT"/>
        </w:rPr>
        <w:t xml:space="preserve"> </w:t>
      </w:r>
      <w:r w:rsidR="000177A1" w:rsidRPr="00720D07">
        <w:rPr>
          <w:lang w:val="lt-LT"/>
        </w:rPr>
        <w:t xml:space="preserve">Gruodžio 2 d. ministrų Tarybos posėdžiui Pirmininkaujanti Slovėnija pateikė bendrą </w:t>
      </w:r>
      <w:r w:rsidR="00720D07" w:rsidRPr="00720D07">
        <w:rPr>
          <w:lang w:val="lt-LT"/>
        </w:rPr>
        <w:t xml:space="preserve">55 % tikslo priemonių rinkinio pažangos apžvalgą ir išsamias atnaujinamų Atsinaujinančių energijos išteklių ir Energinio efektyvumo direktyvų pažangos ataskaitas. </w:t>
      </w:r>
      <w:r w:rsidR="00720D07">
        <w:rPr>
          <w:lang w:val="lt-LT"/>
        </w:rPr>
        <w:t>Šiuose dokumentuose apžvelgiami Valstybių narių diskusijose kelti klausimai ir preliminarūs direktyvose siūlymų nuostatų vertinimai. Ataskaitose pabrėžiama, kad nors iš esmės visos valstybės palaiko bendras ES ambicijas</w:t>
      </w:r>
      <w:r w:rsidR="00942D82">
        <w:rPr>
          <w:lang w:val="lt-LT"/>
        </w:rPr>
        <w:t xml:space="preserve"> (tiek atsinaujinančių energijos išteklių dalies tiek energinio efektyvumo)</w:t>
      </w:r>
      <w:r w:rsidR="00720D07">
        <w:rPr>
          <w:lang w:val="lt-LT"/>
        </w:rPr>
        <w:t xml:space="preserve"> siekiant ambicingų tikslų, </w:t>
      </w:r>
      <w:r w:rsidR="00942D82">
        <w:rPr>
          <w:lang w:val="lt-LT"/>
        </w:rPr>
        <w:t xml:space="preserve">daugelis prašo didesnio lankstumo pasirenkant nacionaliniu lygiu tinkamiausias priemones šiems tikslams siekti. Ministrų diskusijoms taip pat išplatintas diskusinis dokumentas, </w:t>
      </w:r>
      <w:r w:rsidR="002C128E">
        <w:rPr>
          <w:lang w:val="lt-LT"/>
        </w:rPr>
        <w:t xml:space="preserve">kuriame klausiama, </w:t>
      </w:r>
      <w:r w:rsidR="00267D7D">
        <w:rPr>
          <w:lang w:val="lt-LT"/>
        </w:rPr>
        <w:t xml:space="preserve">ar esamuose direktyvų </w:t>
      </w:r>
      <w:r w:rsidR="00267D7D">
        <w:rPr>
          <w:lang w:val="lt-LT"/>
        </w:rPr>
        <w:lastRenderedPageBreak/>
        <w:t xml:space="preserve">atnaujinimo pasiūlymuose tinkamai išlaikoma pusiausvyra tarp įpareigojimų valstybėms narėms ir galimybių įgyvendinant tikslus </w:t>
      </w:r>
      <w:r w:rsidR="0012482A">
        <w:rPr>
          <w:lang w:val="lt-LT"/>
        </w:rPr>
        <w:t>pakankamai atsižvelgiant</w:t>
      </w:r>
      <w:r w:rsidR="00267D7D">
        <w:rPr>
          <w:lang w:val="lt-LT"/>
        </w:rPr>
        <w:t xml:space="preserve"> į nacionalines aplinkybes. </w:t>
      </w:r>
    </w:p>
    <w:p w14:paraId="0A09DDB5" w14:textId="378B1197" w:rsidR="00267D7D" w:rsidRDefault="00267D7D" w:rsidP="00720D07">
      <w:pPr>
        <w:jc w:val="both"/>
        <w:rPr>
          <w:lang w:val="lt-LT"/>
        </w:rPr>
      </w:pPr>
    </w:p>
    <w:p w14:paraId="6B738878" w14:textId="1483E1C5" w:rsidR="00787816" w:rsidRDefault="00267D7D" w:rsidP="00720D07">
      <w:pPr>
        <w:jc w:val="both"/>
        <w:rPr>
          <w:lang w:val="lt-LT"/>
        </w:rPr>
      </w:pPr>
      <w:r w:rsidRPr="00267D7D">
        <w:rPr>
          <w:b/>
          <w:bCs/>
          <w:u w:val="single"/>
          <w:lang w:val="lt-LT"/>
        </w:rPr>
        <w:t>Lietuvos pozicija</w:t>
      </w:r>
      <w:r w:rsidR="00AD14EB">
        <w:rPr>
          <w:b/>
          <w:bCs/>
          <w:u w:val="single"/>
          <w:lang w:val="lt-LT"/>
        </w:rPr>
        <w:t>:</w:t>
      </w:r>
      <w:r w:rsidR="00AD14EB" w:rsidRPr="00AD14EB">
        <w:rPr>
          <w:b/>
          <w:bCs/>
          <w:lang w:val="lt-LT"/>
        </w:rPr>
        <w:t xml:space="preserve"> </w:t>
      </w:r>
      <w:r w:rsidR="00787816" w:rsidRPr="00787816">
        <w:rPr>
          <w:lang w:val="lt-LT"/>
        </w:rPr>
        <w:t>Lie</w:t>
      </w:r>
      <w:r w:rsidR="00787816">
        <w:rPr>
          <w:lang w:val="lt-LT"/>
        </w:rPr>
        <w:t>tuva dėkoja Pirmininkavimą baigiančiai Slov</w:t>
      </w:r>
      <w:r w:rsidR="0028056B">
        <w:rPr>
          <w:lang w:val="lt-LT"/>
        </w:rPr>
        <w:t>ėnijai</w:t>
      </w:r>
      <w:r w:rsidR="00787816">
        <w:rPr>
          <w:lang w:val="lt-LT"/>
        </w:rPr>
        <w:t xml:space="preserve"> už </w:t>
      </w:r>
      <w:r w:rsidR="007C3451">
        <w:rPr>
          <w:lang w:val="lt-LT"/>
        </w:rPr>
        <w:t xml:space="preserve">intensyvias ir produktyvias diskusijas dėl Atsinaujinančių energijos išteklių ir </w:t>
      </w:r>
      <w:r w:rsidR="00787816">
        <w:rPr>
          <w:lang w:val="lt-LT"/>
        </w:rPr>
        <w:t xml:space="preserve"> </w:t>
      </w:r>
      <w:r w:rsidR="0028056B">
        <w:rPr>
          <w:lang w:val="lt-LT"/>
        </w:rPr>
        <w:t xml:space="preserve">Energinio efektyvumo direktyvų atnaujinimo. </w:t>
      </w:r>
      <w:r w:rsidR="00793C7C">
        <w:rPr>
          <w:lang w:val="lt-LT"/>
        </w:rPr>
        <w:t>Teigiamai vertiname tai</w:t>
      </w:r>
      <w:r w:rsidR="0028056B">
        <w:rPr>
          <w:lang w:val="lt-LT"/>
        </w:rPr>
        <w:t xml:space="preserve">, kad kartu su direktyvų pažangos ataskaitomis parengta ir bendra </w:t>
      </w:r>
      <w:r w:rsidR="0028056B" w:rsidRPr="0028056B">
        <w:rPr>
          <w:lang w:val="lt-LT"/>
        </w:rPr>
        <w:t>55 % tikslo priemonių rinkinio</w:t>
      </w:r>
      <w:r w:rsidR="0028056B">
        <w:rPr>
          <w:lang w:val="lt-LT"/>
        </w:rPr>
        <w:t xml:space="preserve"> derybų apžvalga. Daugelis teisės aktų yra tarpusavyje glaudžiai susiję, todėl svarbu, kad nuostatos būtų suderinamos ir svarstomos paraleliai. </w:t>
      </w:r>
    </w:p>
    <w:p w14:paraId="22790B8C" w14:textId="77777777" w:rsidR="00793C7C" w:rsidRPr="00AD14EB" w:rsidRDefault="00793C7C" w:rsidP="00720D07">
      <w:pPr>
        <w:jc w:val="both"/>
        <w:rPr>
          <w:b/>
          <w:bCs/>
          <w:u w:val="single"/>
          <w:lang w:val="lt-LT"/>
        </w:rPr>
      </w:pPr>
    </w:p>
    <w:p w14:paraId="784F76FA" w14:textId="18BCD08E" w:rsidR="0012482A" w:rsidRDefault="0028056B" w:rsidP="00720D07">
      <w:pPr>
        <w:jc w:val="both"/>
        <w:rPr>
          <w:lang w:val="lt-LT"/>
        </w:rPr>
      </w:pPr>
      <w:r>
        <w:rPr>
          <w:lang w:val="lt-LT"/>
        </w:rPr>
        <w:t>Manome, kad pateiktose pažangos ataskaitose tinkamai atspindėtas diskusijų turinys ir identifikuoti probleminiai klausimai</w:t>
      </w:r>
      <w:r w:rsidR="0012482A">
        <w:rPr>
          <w:lang w:val="lt-LT"/>
        </w:rPr>
        <w:t xml:space="preserve">, kurie turės būti išspręsti tolimesniuose derybų etapuose. </w:t>
      </w:r>
    </w:p>
    <w:p w14:paraId="1E999122" w14:textId="77777777" w:rsidR="00793C7C" w:rsidRDefault="00793C7C" w:rsidP="00720D07">
      <w:pPr>
        <w:jc w:val="both"/>
        <w:rPr>
          <w:lang w:val="lt-LT"/>
        </w:rPr>
      </w:pPr>
    </w:p>
    <w:p w14:paraId="757CD457" w14:textId="65866BA6" w:rsidR="00267D7D" w:rsidRDefault="0012482A" w:rsidP="00720D07">
      <w:pPr>
        <w:jc w:val="both"/>
        <w:rPr>
          <w:lang w:val="lt-LT"/>
        </w:rPr>
      </w:pPr>
      <w:r w:rsidRPr="0012482A">
        <w:rPr>
          <w:i/>
          <w:iCs/>
          <w:lang w:val="lt-LT"/>
        </w:rPr>
        <w:t>Atsakant į diskusijai užduotus klausimus</w:t>
      </w:r>
      <w:r>
        <w:rPr>
          <w:lang w:val="lt-LT"/>
        </w:rPr>
        <w:t>, kaip yra identifikuota Pažangos ataskaitose, Lietuva, kaip ir daugelis valstybių narių, palaiko būtinybę siekti ambicingų tikslų</w:t>
      </w:r>
      <w:r w:rsidR="00AD14EB">
        <w:rPr>
          <w:lang w:val="lt-LT"/>
        </w:rPr>
        <w:t>. Taip pat</w:t>
      </w:r>
      <w:r w:rsidR="00793C7C">
        <w:rPr>
          <w:lang w:val="lt-LT"/>
        </w:rPr>
        <w:t>,</w:t>
      </w:r>
      <w:r w:rsidR="00AD14EB">
        <w:rPr>
          <w:lang w:val="lt-LT"/>
        </w:rPr>
        <w:t xml:space="preserve"> kaip ir daugelis kitų valstybių laikomės nuomonės</w:t>
      </w:r>
      <w:r>
        <w:rPr>
          <w:lang w:val="lt-LT"/>
        </w:rPr>
        <w:t xml:space="preserve">, kad valstybėms narėms turi būti palikta daugiau lankstumo atskirų sektorinių tikslų siekti </w:t>
      </w:r>
      <w:r w:rsidR="00AD14EB">
        <w:rPr>
          <w:lang w:val="lt-LT"/>
        </w:rPr>
        <w:t xml:space="preserve">nacionaliniu lygiu efektyviausiomis </w:t>
      </w:r>
      <w:r>
        <w:rPr>
          <w:lang w:val="lt-LT"/>
        </w:rPr>
        <w:t>priemonėmis</w:t>
      </w:r>
      <w:r w:rsidR="00AD14EB">
        <w:rPr>
          <w:lang w:val="lt-LT"/>
        </w:rPr>
        <w:t>.</w:t>
      </w:r>
    </w:p>
    <w:p w14:paraId="70DC9E3C" w14:textId="77777777" w:rsidR="00793C7C" w:rsidRDefault="00793C7C" w:rsidP="00720D07">
      <w:pPr>
        <w:jc w:val="both"/>
        <w:rPr>
          <w:lang w:val="lt-LT"/>
        </w:rPr>
      </w:pPr>
    </w:p>
    <w:p w14:paraId="61C059E4" w14:textId="615B6C3D" w:rsidR="00704CDD" w:rsidRDefault="00704CDD" w:rsidP="00704CDD">
      <w:pPr>
        <w:jc w:val="both"/>
        <w:rPr>
          <w:lang w:val="lt-LT"/>
        </w:rPr>
      </w:pPr>
      <w:r w:rsidRPr="00704CDD">
        <w:rPr>
          <w:lang w:val="lt-LT"/>
        </w:rPr>
        <w:t>Dėl abiejų energetikos srities direktyvų, Lietuvos  manymu, svarbu atkreipti dėmesį:</w:t>
      </w:r>
    </w:p>
    <w:p w14:paraId="0B5445B1" w14:textId="77777777" w:rsidR="00704CDD" w:rsidRPr="00704CDD" w:rsidRDefault="00704CDD" w:rsidP="00704CDD">
      <w:pPr>
        <w:jc w:val="both"/>
        <w:rPr>
          <w:lang w:val="lt-LT"/>
        </w:rPr>
      </w:pPr>
    </w:p>
    <w:p w14:paraId="2B45764B" w14:textId="19AA67F0" w:rsidR="00704CDD" w:rsidRPr="00704CDD" w:rsidRDefault="00704CDD" w:rsidP="00704CDD">
      <w:pPr>
        <w:jc w:val="both"/>
        <w:rPr>
          <w:lang w:val="lt-LT"/>
        </w:rPr>
      </w:pPr>
      <w:r w:rsidRPr="00704CDD">
        <w:rPr>
          <w:b/>
          <w:bCs/>
          <w:lang w:val="lt-LT"/>
        </w:rPr>
        <w:t>Dėl Atsinaujinančių energijos išteklių skatinimo direktyvos</w:t>
      </w:r>
      <w:r w:rsidRPr="00704CDD">
        <w:rPr>
          <w:lang w:val="lt-LT"/>
        </w:rPr>
        <w:t xml:space="preserve"> – svarbu atsakyti į visus dar likusius klausimus dėl atskiriems sektoriams (kaip pramonė, transportas ir pastatai) nustatytų tikslų, nes techninės detalės yra labai svarbios, ir siekti, kad valstybės narės būtų pajėgios šiuos tikslus pasiekti atsižvelgiant nacionalines aplinkybes. Lietuvai, be kita ko, labai svarbu, kad griežtinami biokuro kriterijai būtų atidžiai įvertinti siekiant neužkirsti kelio šio itin svarbaus atsinaujinančio energijos ištekliaus, kuris jau pagal dabar nustatytus kriterijus yra naudojamas tvariai, naudojimo skatinimui. </w:t>
      </w:r>
    </w:p>
    <w:p w14:paraId="22D7D564" w14:textId="1E369926" w:rsidR="00704CDD" w:rsidRPr="00704CDD" w:rsidRDefault="00704CDD" w:rsidP="00704CDD">
      <w:pPr>
        <w:jc w:val="both"/>
        <w:rPr>
          <w:lang w:val="lt-LT"/>
        </w:rPr>
      </w:pPr>
      <w:r w:rsidRPr="00704CDD">
        <w:rPr>
          <w:lang w:val="lt-LT"/>
        </w:rPr>
        <w:t>Alternatyvūs degalai turės būti sertifikuoti pagal Atsinaujinančių energijos išteklių skatinimo direktyvą (RED). Imperatyvu apsibrėžti ES lygiu kokia bus pozicija dėl degalų sertifikavimo trečiosiose šalyse. Šioje stadijoje RED numato savanorišką trečiųjų šalių kuro tiekėjų sertifikavimąsi, tačiau kyla klausimų dėl pakankamos pasiūlos sukūrimo. Svarbu neatsidurti tokioje situacijoje, kuomet, pavyzdžiui, laivybos kompanijos gali rasti tinkamą, bet brangesnį, kurą tik Europos Sąjungoje, o nevykdant reikalavimų, jos būtų baudžiamos. Tai gali paveikti ne tik konkurencingumą, bet ir bendras įmonės galimybes veikti.</w:t>
      </w:r>
    </w:p>
    <w:p w14:paraId="34664166" w14:textId="62DE2C8C" w:rsidR="00704CDD" w:rsidRPr="00704CDD" w:rsidRDefault="00704CDD" w:rsidP="00704CDD">
      <w:pPr>
        <w:jc w:val="both"/>
        <w:rPr>
          <w:lang w:val="lt-LT"/>
        </w:rPr>
      </w:pPr>
      <w:r w:rsidRPr="00704CDD">
        <w:rPr>
          <w:lang w:val="lt-LT"/>
        </w:rPr>
        <w:t xml:space="preserve">Labai svarbu, kad atsinaujinanti ir mažai anglies dioksido į aplinką išskirianti energija būtų pigesnė ir </w:t>
      </w:r>
      <w:proofErr w:type="spellStart"/>
      <w:r w:rsidRPr="00704CDD">
        <w:rPr>
          <w:lang w:val="lt-LT"/>
        </w:rPr>
        <w:t>prieinamesnė</w:t>
      </w:r>
      <w:proofErr w:type="spellEnd"/>
      <w:r w:rsidRPr="00704CDD">
        <w:rPr>
          <w:lang w:val="lt-LT"/>
        </w:rPr>
        <w:t>. Dar reikia išsiaiškinti, ar atsinaujinančios energijos vartojimo pramonėje tikslai, kaip siūloma atsinaujinančios energijos direktyvoje, atitinka Lietuvos pramonės lūkesčius ir užtikrina konkurencingumą. Palaikome dėmesį paspartintiems leidimų išdavimo procesams, tarpvalstybiniam bendradarbiavimui ir elektros energijos pirkimo sutartims.</w:t>
      </w:r>
    </w:p>
    <w:p w14:paraId="6FC4DBB4" w14:textId="77777777" w:rsidR="00704CDD" w:rsidRPr="00704CDD" w:rsidRDefault="00704CDD" w:rsidP="00704CDD">
      <w:pPr>
        <w:pStyle w:val="ListParagraph"/>
        <w:jc w:val="both"/>
        <w:rPr>
          <w:lang w:val="lt-LT"/>
        </w:rPr>
      </w:pPr>
    </w:p>
    <w:p w14:paraId="51E7AF42" w14:textId="1ECBAEAA" w:rsidR="00704CDD" w:rsidRPr="00704CDD" w:rsidRDefault="00704CDD" w:rsidP="00704CDD">
      <w:pPr>
        <w:jc w:val="both"/>
        <w:rPr>
          <w:lang w:val="lt-LT"/>
        </w:rPr>
      </w:pPr>
      <w:r w:rsidRPr="00704CDD">
        <w:rPr>
          <w:b/>
          <w:bCs/>
          <w:lang w:val="lt-LT"/>
        </w:rPr>
        <w:t>Dėl Energinio efektyvumo direktyvos</w:t>
      </w:r>
      <w:r w:rsidRPr="00704CDD">
        <w:rPr>
          <w:lang w:val="lt-LT"/>
        </w:rPr>
        <w:t xml:space="preserve"> – nustatomi tikslai yra labai ambicingi, kai kurie atskiri tikslai, pvz. viešajam sektoriui, išauga daugiau nei dvigubai. Svarbu įvertinti, kaip valstybės narės sugebės pasiekti šiuos tikslus atsižvelgiant į kol kas ribotus techninius ir administracinius pajėgumus, pramonės ir statybų sektoriaus galimybes. Būtina, kad ambicijos būtų pagrįstos adekvačiais finansiniais resursais. </w:t>
      </w:r>
    </w:p>
    <w:p w14:paraId="088ABC0B" w14:textId="3A9B8BA5" w:rsidR="00D87948" w:rsidRPr="00704CDD" w:rsidRDefault="00704CDD" w:rsidP="00704CDD">
      <w:pPr>
        <w:jc w:val="both"/>
        <w:rPr>
          <w:lang w:val="lt-LT"/>
        </w:rPr>
      </w:pPr>
      <w:r w:rsidRPr="00704CDD">
        <w:rPr>
          <w:lang w:val="lt-LT"/>
        </w:rPr>
        <w:t xml:space="preserve">Energijos vartojimo efektyvumo direktyvoje pagrindinis dėmesys turėtų būti skiriamas energijos vartojimo intensyvumui, o ne apriboti energijos suvartojimą, nes tai gali apriboti pramonės </w:t>
      </w:r>
      <w:proofErr w:type="spellStart"/>
      <w:r w:rsidRPr="00704CDD">
        <w:rPr>
          <w:lang w:val="lt-LT"/>
        </w:rPr>
        <w:t>dekarbonizacijos</w:t>
      </w:r>
      <w:proofErr w:type="spellEnd"/>
      <w:r w:rsidRPr="00704CDD">
        <w:rPr>
          <w:lang w:val="lt-LT"/>
        </w:rPr>
        <w:t xml:space="preserve"> potencialą. Naujoviškos </w:t>
      </w:r>
      <w:proofErr w:type="spellStart"/>
      <w:r w:rsidRPr="00704CDD">
        <w:rPr>
          <w:lang w:val="lt-LT"/>
        </w:rPr>
        <w:t>dekarbonizacijos</w:t>
      </w:r>
      <w:proofErr w:type="spellEnd"/>
      <w:r w:rsidRPr="00704CDD">
        <w:rPr>
          <w:lang w:val="lt-LT"/>
        </w:rPr>
        <w:t xml:space="preserve"> technologijos gali pareikalauti labai daug energijos. Pagal direktyvą privalomi auditai neturėtų būti susieti su ES ATLPS nuostatomis.</w:t>
      </w:r>
    </w:p>
    <w:p w14:paraId="07305610" w14:textId="77777777" w:rsidR="00704CDD" w:rsidRDefault="00704CDD" w:rsidP="00704CDD">
      <w:pPr>
        <w:pStyle w:val="ListParagraph"/>
        <w:jc w:val="both"/>
        <w:rPr>
          <w:b/>
          <w:bCs/>
          <w:u w:val="single"/>
          <w:lang w:val="lt-LT"/>
        </w:rPr>
      </w:pPr>
    </w:p>
    <w:p w14:paraId="118A11E5" w14:textId="1496EA17" w:rsidR="00267D7D" w:rsidRPr="0062731C" w:rsidRDefault="00267D7D" w:rsidP="00267D7D">
      <w:pPr>
        <w:pStyle w:val="ListParagraph"/>
        <w:numPr>
          <w:ilvl w:val="0"/>
          <w:numId w:val="3"/>
        </w:numPr>
        <w:jc w:val="both"/>
        <w:rPr>
          <w:b/>
          <w:bCs/>
          <w:lang w:val="lt-LT"/>
        </w:rPr>
      </w:pPr>
      <w:r w:rsidRPr="0062731C">
        <w:rPr>
          <w:b/>
          <w:bCs/>
          <w:lang w:val="lt-LT"/>
        </w:rPr>
        <w:t xml:space="preserve">Augančių energijos kainų problemos sprendimas </w:t>
      </w:r>
    </w:p>
    <w:p w14:paraId="36848556" w14:textId="17B97034" w:rsidR="00267D7D" w:rsidRDefault="00267D7D" w:rsidP="00267D7D">
      <w:pPr>
        <w:jc w:val="both"/>
        <w:rPr>
          <w:b/>
          <w:bCs/>
          <w:u w:val="single"/>
          <w:lang w:val="lt-LT"/>
        </w:rPr>
      </w:pPr>
    </w:p>
    <w:p w14:paraId="2F2ADE92" w14:textId="590F27F4" w:rsidR="00A20D70" w:rsidRPr="00A20D70" w:rsidRDefault="00A20D70" w:rsidP="00A20D70">
      <w:pPr>
        <w:jc w:val="both"/>
        <w:rPr>
          <w:lang w:val="lt-LT"/>
        </w:rPr>
      </w:pPr>
      <w:r w:rsidRPr="00B040F7">
        <w:rPr>
          <w:b/>
          <w:bCs/>
          <w:u w:val="single"/>
          <w:lang w:val="lt-LT"/>
        </w:rPr>
        <w:t>Klausimo aprašymas:</w:t>
      </w:r>
      <w:r>
        <w:rPr>
          <w:lang w:val="lt-LT"/>
        </w:rPr>
        <w:t xml:space="preserve"> </w:t>
      </w:r>
      <w:r w:rsidRPr="00A20D70">
        <w:rPr>
          <w:lang w:val="lt-LT"/>
        </w:rPr>
        <w:t xml:space="preserve">Pastarojo laikotarpio energijos kainų šuolio klausimas Slovėnijos pirmininkavimo laikotarpiu buvo išsamiai aptartas spalio 22 d. Europos Vadovų Tarybos susitikime ir spalio 26 d. neeiliniame Energetikos tarybos posėdyje. Siekdama pasiūlyti valstybėms narėms priemones, kurios padėtų suvaldyti kainų poveikį vartotojams, spalio 13 d. Europos Komisija paskelbė komunikatą ir pavedė Europos Sąjungos energetikos reguliavimo institucijų bendradarbiavimo agentūrai (ACER) parengti dabartinės </w:t>
      </w:r>
      <w:r w:rsidRPr="00A20D70">
        <w:rPr>
          <w:lang w:val="lt-LT"/>
        </w:rPr>
        <w:lastRenderedPageBreak/>
        <w:t xml:space="preserve">didmeninės elektros energijos rinkos struktūros įvertinimą. Atitinkamai lapkričio 15 d. ACER pateikė savo preliminarų Europos aukštų energijos kainų ir dabartinės didmeninės elektros energijos rinkos struktūros įvertinimą. Šis preliminarus įvertinimas yra svarbus rengiant galutinę ACER ataskaitą, kurią tikimasi paskelbti 2022 m. balandžio mėn. </w:t>
      </w:r>
    </w:p>
    <w:p w14:paraId="1AA95FD5" w14:textId="77777777" w:rsidR="00A20D70" w:rsidRPr="00A20D70" w:rsidRDefault="00A20D70" w:rsidP="00A20D70">
      <w:pPr>
        <w:jc w:val="both"/>
        <w:rPr>
          <w:lang w:val="lt-LT"/>
        </w:rPr>
      </w:pPr>
      <w:r w:rsidRPr="00A20D70">
        <w:rPr>
          <w:lang w:val="lt-LT"/>
        </w:rPr>
        <w:t xml:space="preserve">ACER ataskaitoje teigiama, kad esminė energijos kainų šuolio priežastis yra išaugusi globali dujų paklausa ir kaina bei kiti veiksniai,  tokie kaip padidėjęs energijos poreikis ekonomikai atsigaunant po COVID-19 pandemijos, nepalankios oro sąlygos (neįprastai karšta vasara reikalavusi daugiau vėsumos energijos ir numatoma šalta žiema), padidėjusi akmens anglies kaina, sumažėjusi atsinaujinančios energijos gamyba iš vėjo jėgainių </w:t>
      </w:r>
      <w:r w:rsidRPr="00B040F7">
        <w:rPr>
          <w:i/>
          <w:iCs/>
          <w:lang w:val="lt-LT"/>
        </w:rPr>
        <w:t xml:space="preserve">(-10% </w:t>
      </w:r>
      <w:proofErr w:type="spellStart"/>
      <w:r w:rsidRPr="00B040F7">
        <w:rPr>
          <w:i/>
          <w:iCs/>
          <w:lang w:val="lt-LT"/>
        </w:rPr>
        <w:t>year-over-year</w:t>
      </w:r>
      <w:proofErr w:type="spellEnd"/>
      <w:r w:rsidRPr="00A20D70">
        <w:rPr>
          <w:lang w:val="lt-LT"/>
        </w:rPr>
        <w:t xml:space="preserve">), sumažėjusi vidaus gamtinių dujų gavyba </w:t>
      </w:r>
      <w:r w:rsidRPr="00B040F7">
        <w:rPr>
          <w:i/>
          <w:iCs/>
          <w:lang w:val="lt-LT"/>
        </w:rPr>
        <w:t xml:space="preserve">(-10% </w:t>
      </w:r>
      <w:proofErr w:type="spellStart"/>
      <w:r w:rsidRPr="00B040F7">
        <w:rPr>
          <w:i/>
          <w:iCs/>
          <w:lang w:val="lt-LT"/>
        </w:rPr>
        <w:t>year-over-year</w:t>
      </w:r>
      <w:proofErr w:type="spellEnd"/>
      <w:r w:rsidRPr="00B040F7">
        <w:rPr>
          <w:i/>
          <w:iCs/>
          <w:lang w:val="lt-LT"/>
        </w:rPr>
        <w:t>)</w:t>
      </w:r>
      <w:r w:rsidRPr="00A20D70">
        <w:rPr>
          <w:lang w:val="lt-LT"/>
        </w:rPr>
        <w:t xml:space="preserve">, dujų tiekimo suvaržymai dėl dujotiekio remonto darbų ir sumažėjusių investicijų į gamtinių gavybos pajėgumus, pakilusi apyvartinių taršos leidimų už CO2 emisijas kaina. Preliminariame įvertinime paaiškinama, kodėl pagrindiniai Europos didmeninės elektros energijos rinkos struktūros ypatumai yra aktualūs dabartiniuose politiniuose debatuose. ACER teigimu, Europos integracija elektros energijos rinkos srityje mažina kainų svyravimą ir optimizuoja išteklių naudojimą visoje Europoje. </w:t>
      </w:r>
    </w:p>
    <w:p w14:paraId="74D954AA" w14:textId="0E98ADB9" w:rsidR="00AD14EB" w:rsidRDefault="00A20D70" w:rsidP="00A20D70">
      <w:pPr>
        <w:jc w:val="both"/>
        <w:rPr>
          <w:lang w:val="lt-LT"/>
        </w:rPr>
      </w:pPr>
      <w:r w:rsidRPr="00A20D70">
        <w:rPr>
          <w:lang w:val="lt-LT"/>
        </w:rPr>
        <w:t>Ministrų diskusijai išplatintame dokumente valstybių narių prašoma pasisakyti pateikiamais klausimais:</w:t>
      </w:r>
    </w:p>
    <w:p w14:paraId="509205FA" w14:textId="77777777" w:rsidR="00AD14EB" w:rsidRPr="0062731C" w:rsidRDefault="00AD14EB" w:rsidP="00AD14EB">
      <w:pPr>
        <w:jc w:val="both"/>
        <w:rPr>
          <w:i/>
          <w:iCs/>
          <w:lang w:val="lt-LT"/>
        </w:rPr>
      </w:pPr>
      <w:r w:rsidRPr="0062731C">
        <w:rPr>
          <w:i/>
          <w:iCs/>
          <w:lang w:val="lt-LT"/>
        </w:rPr>
        <w:t xml:space="preserve">1. Kokia jūsų patirtis pasirenkant priemones, pasiūlytas Komisijos priemonių rinkinyje, ir  koks jų poveikis energijos kainoms ir vartotojų atsakui? </w:t>
      </w:r>
    </w:p>
    <w:p w14:paraId="0CFC2A5B" w14:textId="77777777" w:rsidR="00AD14EB" w:rsidRDefault="00AD14EB" w:rsidP="00AD14EB">
      <w:pPr>
        <w:jc w:val="both"/>
        <w:rPr>
          <w:i/>
          <w:iCs/>
          <w:lang w:val="lt-LT"/>
        </w:rPr>
      </w:pPr>
      <w:r w:rsidRPr="0062731C">
        <w:rPr>
          <w:i/>
          <w:iCs/>
          <w:lang w:val="lt-LT"/>
        </w:rPr>
        <w:t>2. Kokia jūsų reakcija į ACER pateiktą preliminarų įvertinimą ir kokie jūsų siūlymai  dėl papildomų aspektų, kuriuos būtų naudinga išnagrinėti galutinėje ataskaitoje?</w:t>
      </w:r>
    </w:p>
    <w:p w14:paraId="40F19311" w14:textId="77777777" w:rsidR="00AD14EB" w:rsidRDefault="00AD14EB" w:rsidP="00AD14EB">
      <w:pPr>
        <w:jc w:val="both"/>
        <w:rPr>
          <w:i/>
          <w:iCs/>
          <w:lang w:val="lt-LT"/>
        </w:rPr>
      </w:pPr>
    </w:p>
    <w:p w14:paraId="0E385F7A" w14:textId="6DD549EC" w:rsidR="00AD14EB" w:rsidRPr="00AD14EB" w:rsidRDefault="00AD14EB" w:rsidP="00AD14EB">
      <w:pPr>
        <w:jc w:val="both"/>
        <w:rPr>
          <w:b/>
          <w:bCs/>
          <w:lang w:val="lt-LT"/>
        </w:rPr>
      </w:pPr>
      <w:r w:rsidRPr="00AD14EB">
        <w:rPr>
          <w:b/>
          <w:bCs/>
          <w:u w:val="single"/>
          <w:lang w:val="lt-LT"/>
        </w:rPr>
        <w:t>Lietuvos pozicija:</w:t>
      </w:r>
      <w:r>
        <w:rPr>
          <w:b/>
          <w:bCs/>
          <w:lang w:val="lt-LT"/>
        </w:rPr>
        <w:t xml:space="preserve"> </w:t>
      </w:r>
      <w:r w:rsidRPr="00BC7FF4">
        <w:rPr>
          <w:lang w:val="lt-LT"/>
        </w:rPr>
        <w:t xml:space="preserve">Lietuva dėkoja Europos Komisijai ir ACER už pastangas ieškoti priemonių, kurios padėtų sumažinti augančių energijos kainų poveikį ES </w:t>
      </w:r>
      <w:r>
        <w:rPr>
          <w:lang w:val="lt-LT"/>
        </w:rPr>
        <w:t xml:space="preserve">verslui ir </w:t>
      </w:r>
      <w:r w:rsidRPr="00BC7FF4">
        <w:rPr>
          <w:lang w:val="lt-LT"/>
        </w:rPr>
        <w:t xml:space="preserve">vartotojams. </w:t>
      </w:r>
    </w:p>
    <w:p w14:paraId="23B38B9C" w14:textId="77777777" w:rsidR="00AD14EB" w:rsidRPr="00BC7FF4" w:rsidRDefault="00AD14EB" w:rsidP="00AD14EB">
      <w:pPr>
        <w:jc w:val="both"/>
        <w:rPr>
          <w:lang w:val="lt-LT"/>
        </w:rPr>
      </w:pPr>
      <w:r w:rsidRPr="00BC7FF4">
        <w:rPr>
          <w:lang w:val="lt-LT"/>
        </w:rPr>
        <w:t xml:space="preserve">Reaguodama į kainų šuolį, Lietuva operatyviai ėmėsi </w:t>
      </w:r>
      <w:r w:rsidRPr="00BC7FF4">
        <w:rPr>
          <w:i/>
          <w:iCs/>
          <w:lang w:val="lt-LT"/>
        </w:rPr>
        <w:t>nacionalinio lygmens priemonių</w:t>
      </w:r>
      <w:r w:rsidRPr="00BC7FF4">
        <w:rPr>
          <w:lang w:val="lt-LT"/>
        </w:rPr>
        <w:t>, kurios iš esmės atitinka EK komunikato pasiūlymus</w:t>
      </w:r>
      <w:r>
        <w:rPr>
          <w:lang w:val="lt-LT"/>
        </w:rPr>
        <w:t xml:space="preserve"> ir padės sušvelninti energijos sąskaitų šuolį</w:t>
      </w:r>
      <w:r w:rsidRPr="00BC7FF4">
        <w:rPr>
          <w:lang w:val="lt-LT"/>
        </w:rPr>
        <w:t>:</w:t>
      </w:r>
    </w:p>
    <w:p w14:paraId="39FFB3AB" w14:textId="77777777" w:rsidR="00AD14EB" w:rsidRPr="00BC7FF4" w:rsidRDefault="00AD14EB" w:rsidP="00AD14EB">
      <w:pPr>
        <w:pStyle w:val="xmsolistparagraph"/>
        <w:numPr>
          <w:ilvl w:val="0"/>
          <w:numId w:val="7"/>
        </w:numPr>
        <w:jc w:val="both"/>
        <w:rPr>
          <w:rFonts w:eastAsia="Times New Roman"/>
          <w:sz w:val="24"/>
          <w:szCs w:val="24"/>
        </w:rPr>
      </w:pPr>
      <w:r w:rsidRPr="00BC7FF4">
        <w:rPr>
          <w:rFonts w:ascii="Times New Roman" w:eastAsia="Times New Roman" w:hAnsi="Times New Roman" w:cs="Times New Roman"/>
          <w:sz w:val="24"/>
          <w:szCs w:val="24"/>
        </w:rPr>
        <w:t>Priimti atitinkami teisės aktai leidžiantys reguliuojamos elektros ir dujų kainos dalies padidėjimą vartotojams išdėstyti per tam tikrą laikotarpį</w:t>
      </w:r>
      <w:r>
        <w:rPr>
          <w:rFonts w:ascii="Times New Roman" w:eastAsia="Times New Roman" w:hAnsi="Times New Roman" w:cs="Times New Roman"/>
          <w:sz w:val="24"/>
          <w:szCs w:val="24"/>
        </w:rPr>
        <w:t>.</w:t>
      </w:r>
    </w:p>
    <w:p w14:paraId="219C725A" w14:textId="77777777" w:rsidR="00AD14EB" w:rsidRPr="00BC7FF4" w:rsidRDefault="00AD14EB" w:rsidP="00AD14EB">
      <w:pPr>
        <w:pStyle w:val="xmsolistparagraph"/>
        <w:numPr>
          <w:ilvl w:val="0"/>
          <w:numId w:val="7"/>
        </w:numPr>
        <w:jc w:val="both"/>
        <w:rPr>
          <w:rFonts w:eastAsia="Times New Roman"/>
          <w:sz w:val="24"/>
          <w:szCs w:val="24"/>
        </w:rPr>
      </w:pPr>
      <w:r w:rsidRPr="00BC7FF4">
        <w:rPr>
          <w:rFonts w:ascii="Times New Roman" w:eastAsia="Times New Roman" w:hAnsi="Times New Roman" w:cs="Times New Roman"/>
          <w:sz w:val="24"/>
          <w:szCs w:val="24"/>
        </w:rPr>
        <w:t>Išplėstas asmenų, galinčių gauti paramą šildymui ratas</w:t>
      </w:r>
      <w:r>
        <w:rPr>
          <w:rFonts w:ascii="Times New Roman" w:eastAsia="Times New Roman" w:hAnsi="Times New Roman" w:cs="Times New Roman"/>
          <w:sz w:val="24"/>
          <w:szCs w:val="24"/>
        </w:rPr>
        <w:t>.</w:t>
      </w:r>
    </w:p>
    <w:p w14:paraId="09DBA843" w14:textId="77777777" w:rsidR="00AD14EB" w:rsidRPr="00BC7FF4" w:rsidRDefault="00AD14EB" w:rsidP="00AD14EB">
      <w:pPr>
        <w:pStyle w:val="xmsolistparagraph"/>
        <w:numPr>
          <w:ilvl w:val="0"/>
          <w:numId w:val="7"/>
        </w:numPr>
        <w:jc w:val="both"/>
        <w:rPr>
          <w:rFonts w:eastAsia="Times New Roman"/>
          <w:sz w:val="24"/>
          <w:szCs w:val="24"/>
        </w:rPr>
      </w:pPr>
      <w:r>
        <w:rPr>
          <w:rFonts w:ascii="Times New Roman" w:eastAsia="Times New Roman" w:hAnsi="Times New Roman" w:cs="Times New Roman"/>
          <w:sz w:val="24"/>
          <w:szCs w:val="24"/>
        </w:rPr>
        <w:t xml:space="preserve">Bus skatinamos investicijos į energinio efektyvumo priemones šildymo sektoriuje ir aktyvesnę atsinaujinančių energijos išteklių plėtrą. </w:t>
      </w:r>
    </w:p>
    <w:p w14:paraId="4AD2C358" w14:textId="6F5C60A7" w:rsidR="00AD14EB" w:rsidRPr="00BC7FF4" w:rsidRDefault="00AD14EB" w:rsidP="00AD14EB">
      <w:pPr>
        <w:pStyle w:val="xmsolistparagraph"/>
        <w:numPr>
          <w:ilvl w:val="0"/>
          <w:numId w:val="7"/>
        </w:numPr>
        <w:jc w:val="both"/>
        <w:rPr>
          <w:rFonts w:eastAsia="Times New Roman"/>
          <w:sz w:val="24"/>
          <w:szCs w:val="24"/>
        </w:rPr>
      </w:pPr>
      <w:r>
        <w:rPr>
          <w:rFonts w:ascii="Times New Roman" w:eastAsia="Times New Roman" w:hAnsi="Times New Roman" w:cs="Times New Roman"/>
          <w:sz w:val="24"/>
          <w:szCs w:val="24"/>
        </w:rPr>
        <w:t xml:space="preserve">Lietuvoje taip pat jau </w:t>
      </w:r>
      <w:r w:rsidR="00A46715">
        <w:rPr>
          <w:rFonts w:ascii="Times New Roman" w:eastAsia="Times New Roman" w:hAnsi="Times New Roman" w:cs="Times New Roman"/>
          <w:sz w:val="24"/>
          <w:szCs w:val="24"/>
        </w:rPr>
        <w:t>yra</w:t>
      </w:r>
      <w:r>
        <w:rPr>
          <w:rFonts w:ascii="Times New Roman" w:eastAsia="Times New Roman" w:hAnsi="Times New Roman" w:cs="Times New Roman"/>
          <w:sz w:val="24"/>
          <w:szCs w:val="24"/>
        </w:rPr>
        <w:t xml:space="preserve"> taikomos</w:t>
      </w:r>
      <w:r w:rsidRPr="00BC7FF4">
        <w:rPr>
          <w:rFonts w:ascii="Times New Roman" w:eastAsia="Times New Roman" w:hAnsi="Times New Roman" w:cs="Times New Roman"/>
          <w:sz w:val="24"/>
          <w:szCs w:val="24"/>
        </w:rPr>
        <w:t xml:space="preserve"> PVM lengvatos centralizuotai tiekiama</w:t>
      </w:r>
      <w:r>
        <w:rPr>
          <w:rFonts w:ascii="Times New Roman" w:eastAsia="Times New Roman" w:hAnsi="Times New Roman" w:cs="Times New Roman"/>
          <w:sz w:val="24"/>
          <w:szCs w:val="24"/>
        </w:rPr>
        <w:t>i</w:t>
      </w:r>
      <w:r w:rsidRPr="00BC7F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šilumai. </w:t>
      </w:r>
    </w:p>
    <w:p w14:paraId="129CD8DE" w14:textId="77777777" w:rsidR="00AD14EB" w:rsidRDefault="00AD14EB" w:rsidP="00AD14EB">
      <w:pPr>
        <w:pStyle w:val="xmsolistparagraph"/>
        <w:ind w:left="0"/>
        <w:jc w:val="both"/>
        <w:rPr>
          <w:rFonts w:ascii="Times New Roman" w:eastAsia="Times New Roman" w:hAnsi="Times New Roman" w:cs="Times New Roman"/>
          <w:i/>
          <w:iCs/>
          <w:sz w:val="24"/>
          <w:szCs w:val="24"/>
        </w:rPr>
      </w:pPr>
    </w:p>
    <w:p w14:paraId="26388495" w14:textId="77777777" w:rsidR="00AD14EB" w:rsidRDefault="00AD14EB" w:rsidP="00AD14EB">
      <w:pPr>
        <w:pStyle w:val="xmsolistparagraph"/>
        <w:ind w:left="0"/>
        <w:jc w:val="both"/>
        <w:rPr>
          <w:rFonts w:ascii="Times New Roman" w:eastAsia="Times New Roman" w:hAnsi="Times New Roman" w:cs="Times New Roman"/>
          <w:sz w:val="24"/>
          <w:szCs w:val="24"/>
        </w:rPr>
      </w:pPr>
      <w:r w:rsidRPr="00BC7FF4">
        <w:rPr>
          <w:rFonts w:ascii="Times New Roman" w:eastAsia="Times New Roman" w:hAnsi="Times New Roman" w:cs="Times New Roman"/>
          <w:i/>
          <w:iCs/>
          <w:sz w:val="24"/>
          <w:szCs w:val="24"/>
        </w:rPr>
        <w:t>Atsakant į antrą klausimą</w:t>
      </w:r>
      <w:r>
        <w:rPr>
          <w:rFonts w:ascii="Times New Roman" w:eastAsia="Times New Roman" w:hAnsi="Times New Roman" w:cs="Times New Roman"/>
          <w:sz w:val="24"/>
          <w:szCs w:val="24"/>
        </w:rPr>
        <w:t xml:space="preserve">, labai svarbu, kad galutinės ACER ir </w:t>
      </w:r>
      <w:r w:rsidRPr="003E209F">
        <w:rPr>
          <w:rFonts w:ascii="Times New Roman" w:eastAsia="Times New Roman" w:hAnsi="Times New Roman" w:cs="Times New Roman"/>
          <w:sz w:val="24"/>
          <w:szCs w:val="24"/>
        </w:rPr>
        <w:t>Europos vertybinių popierių ir rinkų institucij</w:t>
      </w:r>
      <w:r>
        <w:rPr>
          <w:rFonts w:ascii="Times New Roman" w:eastAsia="Times New Roman" w:hAnsi="Times New Roman" w:cs="Times New Roman"/>
          <w:sz w:val="24"/>
          <w:szCs w:val="24"/>
        </w:rPr>
        <w:t>os (</w:t>
      </w:r>
      <w:proofErr w:type="spellStart"/>
      <w:r w:rsidRPr="00903E74">
        <w:rPr>
          <w:rFonts w:ascii="Times New Roman" w:eastAsia="Times New Roman" w:hAnsi="Times New Roman" w:cs="Times New Roman"/>
          <w:i/>
          <w:iCs/>
          <w:sz w:val="24"/>
          <w:szCs w:val="24"/>
        </w:rPr>
        <w:t>European</w:t>
      </w:r>
      <w:proofErr w:type="spellEnd"/>
      <w:r w:rsidRPr="00903E74">
        <w:rPr>
          <w:rFonts w:ascii="Times New Roman" w:eastAsia="Times New Roman" w:hAnsi="Times New Roman" w:cs="Times New Roman"/>
          <w:i/>
          <w:iCs/>
          <w:sz w:val="24"/>
          <w:szCs w:val="24"/>
        </w:rPr>
        <w:t xml:space="preserve"> </w:t>
      </w:r>
      <w:proofErr w:type="spellStart"/>
      <w:r w:rsidRPr="00903E74">
        <w:rPr>
          <w:rFonts w:ascii="Times New Roman" w:eastAsia="Times New Roman" w:hAnsi="Times New Roman" w:cs="Times New Roman"/>
          <w:i/>
          <w:iCs/>
          <w:sz w:val="24"/>
          <w:szCs w:val="24"/>
        </w:rPr>
        <w:t>Securities</w:t>
      </w:r>
      <w:proofErr w:type="spellEnd"/>
      <w:r w:rsidRPr="00903E74">
        <w:rPr>
          <w:rFonts w:ascii="Times New Roman" w:eastAsia="Times New Roman" w:hAnsi="Times New Roman" w:cs="Times New Roman"/>
          <w:i/>
          <w:iCs/>
          <w:sz w:val="24"/>
          <w:szCs w:val="24"/>
        </w:rPr>
        <w:t xml:space="preserve"> </w:t>
      </w:r>
      <w:proofErr w:type="spellStart"/>
      <w:r w:rsidRPr="00903E74">
        <w:rPr>
          <w:rFonts w:ascii="Times New Roman" w:eastAsia="Times New Roman" w:hAnsi="Times New Roman" w:cs="Times New Roman"/>
          <w:i/>
          <w:iCs/>
          <w:sz w:val="24"/>
          <w:szCs w:val="24"/>
        </w:rPr>
        <w:t>and</w:t>
      </w:r>
      <w:proofErr w:type="spellEnd"/>
      <w:r w:rsidRPr="00903E74">
        <w:rPr>
          <w:rFonts w:ascii="Times New Roman" w:eastAsia="Times New Roman" w:hAnsi="Times New Roman" w:cs="Times New Roman"/>
          <w:i/>
          <w:iCs/>
          <w:sz w:val="24"/>
          <w:szCs w:val="24"/>
        </w:rPr>
        <w:t xml:space="preserve"> </w:t>
      </w:r>
      <w:proofErr w:type="spellStart"/>
      <w:r w:rsidRPr="00903E74">
        <w:rPr>
          <w:rFonts w:ascii="Times New Roman" w:eastAsia="Times New Roman" w:hAnsi="Times New Roman" w:cs="Times New Roman"/>
          <w:i/>
          <w:iCs/>
          <w:sz w:val="24"/>
          <w:szCs w:val="24"/>
        </w:rPr>
        <w:t>Markets</w:t>
      </w:r>
      <w:proofErr w:type="spellEnd"/>
      <w:r w:rsidRPr="00903E74">
        <w:rPr>
          <w:rFonts w:ascii="Times New Roman" w:eastAsia="Times New Roman" w:hAnsi="Times New Roman" w:cs="Times New Roman"/>
          <w:i/>
          <w:iCs/>
          <w:sz w:val="24"/>
          <w:szCs w:val="24"/>
        </w:rPr>
        <w:t xml:space="preserve"> </w:t>
      </w:r>
      <w:proofErr w:type="spellStart"/>
      <w:r w:rsidRPr="00903E74">
        <w:rPr>
          <w:rFonts w:ascii="Times New Roman" w:eastAsia="Times New Roman" w:hAnsi="Times New Roman" w:cs="Times New Roman"/>
          <w:i/>
          <w:iCs/>
          <w:sz w:val="24"/>
          <w:szCs w:val="24"/>
        </w:rPr>
        <w:t>Authority</w:t>
      </w:r>
      <w:proofErr w:type="spellEnd"/>
      <w:r>
        <w:rPr>
          <w:rFonts w:ascii="Times New Roman" w:eastAsia="Times New Roman" w:hAnsi="Times New Roman" w:cs="Times New Roman"/>
          <w:sz w:val="24"/>
          <w:szCs w:val="24"/>
        </w:rPr>
        <w:t xml:space="preserve">, ESMA) ataskaitos tinkamai įgyvendintų spalio 22 d. Europos Vadovų Tarybos išvados iškeltus uždavinius. </w:t>
      </w:r>
    </w:p>
    <w:p w14:paraId="614309FD" w14:textId="77777777" w:rsidR="00AD14EB" w:rsidRDefault="00AD14EB" w:rsidP="00AD14EB">
      <w:pPr>
        <w:pStyle w:val="xmso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Pritariame, kad tolesnė ES vidaus energijos rinkos integracija yra geriausias ilgalaikis sprendimas ir ši kryptis turi būti išlaikyta kartu ieškant lanksčių sprendimų energijos kainų šuoliams suvaldyti.</w:t>
      </w:r>
    </w:p>
    <w:p w14:paraId="63E32226" w14:textId="6DA7A1EF" w:rsidR="00AD14EB" w:rsidRDefault="00AD14EB" w:rsidP="00AD14EB">
      <w:pPr>
        <w:pStyle w:val="xmso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Tikimės, kad galutinė ACER ataskaita pateiks tiek išsamią galimybių analizę, tiek pasiūlymus dėl konkrečių naujų priemonių, kaip suvaldyti </w:t>
      </w:r>
      <w:r w:rsidR="00B040F7">
        <w:rPr>
          <w:rFonts w:ascii="Times New Roman" w:eastAsia="Times New Roman" w:hAnsi="Times New Roman" w:cs="Times New Roman"/>
          <w:sz w:val="24"/>
          <w:szCs w:val="24"/>
        </w:rPr>
        <w:t xml:space="preserve">energijos </w:t>
      </w:r>
      <w:r>
        <w:rPr>
          <w:rFonts w:ascii="Times New Roman" w:eastAsia="Times New Roman" w:hAnsi="Times New Roman" w:cs="Times New Roman"/>
          <w:sz w:val="24"/>
          <w:szCs w:val="24"/>
        </w:rPr>
        <w:t xml:space="preserve">kainų svyravimus, taip užtikrinant ES verslo globalų konkurencingumą ir sukuriant palankias sąlygas žaliajam energetikos perėjimui. </w:t>
      </w:r>
    </w:p>
    <w:p w14:paraId="1BA1F395" w14:textId="77777777" w:rsidR="00AD14EB" w:rsidRDefault="00AD14EB" w:rsidP="00AD14EB">
      <w:pPr>
        <w:pStyle w:val="xmso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Taip pat tikimės, kad tiek ACER tiek ESMA ataskaitos išsklaidys visas abejones dėl galimų manipuliacijų rinkose arba </w:t>
      </w:r>
      <w:r w:rsidRPr="003E209F">
        <w:rPr>
          <w:rFonts w:ascii="Times New Roman" w:eastAsia="Times New Roman" w:hAnsi="Times New Roman" w:cs="Times New Roman"/>
          <w:sz w:val="24"/>
          <w:szCs w:val="24"/>
        </w:rPr>
        <w:t xml:space="preserve">pasiūlys </w:t>
      </w:r>
      <w:r>
        <w:rPr>
          <w:rFonts w:ascii="Times New Roman" w:eastAsia="Times New Roman" w:hAnsi="Times New Roman" w:cs="Times New Roman"/>
          <w:sz w:val="24"/>
          <w:szCs w:val="24"/>
        </w:rPr>
        <w:t>tinkamus</w:t>
      </w:r>
      <w:r w:rsidRPr="003E209F">
        <w:rPr>
          <w:rFonts w:ascii="Times New Roman" w:eastAsia="Times New Roman" w:hAnsi="Times New Roman" w:cs="Times New Roman"/>
          <w:sz w:val="24"/>
          <w:szCs w:val="24"/>
        </w:rPr>
        <w:t xml:space="preserve"> reguliacinius sprendimus siekiant ateityje </w:t>
      </w:r>
      <w:r>
        <w:rPr>
          <w:rFonts w:ascii="Times New Roman" w:eastAsia="Times New Roman" w:hAnsi="Times New Roman" w:cs="Times New Roman"/>
          <w:sz w:val="24"/>
          <w:szCs w:val="24"/>
        </w:rPr>
        <w:t xml:space="preserve">užtikrinti skaidrumą ir didesnį kainų nuspėjamumą. </w:t>
      </w:r>
    </w:p>
    <w:p w14:paraId="22719642" w14:textId="7A9E3762" w:rsidR="00787816" w:rsidRDefault="00787816" w:rsidP="00BC7FF4">
      <w:pPr>
        <w:pStyle w:val="xmsolistparagraph"/>
        <w:ind w:left="0"/>
        <w:jc w:val="both"/>
        <w:rPr>
          <w:rFonts w:ascii="Times New Roman" w:eastAsia="Times New Roman" w:hAnsi="Times New Roman" w:cs="Times New Roman"/>
          <w:sz w:val="24"/>
          <w:szCs w:val="24"/>
        </w:rPr>
      </w:pPr>
    </w:p>
    <w:p w14:paraId="22BF9E41" w14:textId="7882ADE4" w:rsidR="00787816" w:rsidRDefault="00787816" w:rsidP="00787816">
      <w:pPr>
        <w:pStyle w:val="ListParagraph"/>
        <w:numPr>
          <w:ilvl w:val="0"/>
          <w:numId w:val="3"/>
        </w:numPr>
        <w:jc w:val="both"/>
        <w:rPr>
          <w:rFonts w:eastAsia="Times New Roman"/>
          <w:bdr w:val="none" w:sz="0" w:space="0" w:color="auto"/>
          <w:lang w:val="lt-LT" w:eastAsia="lt-LT"/>
        </w:rPr>
      </w:pPr>
      <w:proofErr w:type="spellStart"/>
      <w:r w:rsidRPr="00787816">
        <w:rPr>
          <w:rFonts w:eastAsia="Times New Roman"/>
          <w:b/>
          <w:bCs/>
        </w:rPr>
        <w:t>Kiti</w:t>
      </w:r>
      <w:proofErr w:type="spellEnd"/>
      <w:r w:rsidRPr="00787816">
        <w:rPr>
          <w:rFonts w:eastAsia="Times New Roman"/>
          <w:b/>
          <w:bCs/>
        </w:rPr>
        <w:t xml:space="preserve"> </w:t>
      </w:r>
      <w:proofErr w:type="spellStart"/>
      <w:r w:rsidRPr="00787816">
        <w:rPr>
          <w:rFonts w:eastAsia="Times New Roman"/>
          <w:b/>
          <w:bCs/>
        </w:rPr>
        <w:t>klausimai</w:t>
      </w:r>
      <w:proofErr w:type="spellEnd"/>
      <w:r w:rsidRPr="00787816">
        <w:rPr>
          <w:rFonts w:eastAsia="Times New Roman"/>
          <w:b/>
          <w:bCs/>
        </w:rPr>
        <w:t xml:space="preserve">: </w:t>
      </w:r>
      <w:r w:rsidRPr="00AD14EB">
        <w:rPr>
          <w:rFonts w:eastAsia="Times New Roman"/>
          <w:i/>
          <w:iCs/>
          <w:bdr w:val="none" w:sz="0" w:space="0" w:color="auto"/>
          <w:lang w:val="lt-LT" w:eastAsia="lt-LT"/>
        </w:rPr>
        <w:t>Baltarusijos AE branduolinės saugos užtikrinimo pagal ES lygio standartus svarba</w:t>
      </w:r>
      <w:r w:rsidRPr="00787816">
        <w:rPr>
          <w:rFonts w:eastAsia="Times New Roman"/>
          <w:bdr w:val="none" w:sz="0" w:space="0" w:color="auto"/>
          <w:lang w:val="lt-LT" w:eastAsia="lt-LT"/>
        </w:rPr>
        <w:t xml:space="preserve"> </w:t>
      </w:r>
    </w:p>
    <w:p w14:paraId="7F496EA0" w14:textId="6FB79B7D" w:rsidR="00787816" w:rsidRDefault="00787816" w:rsidP="00A46715">
      <w:pPr>
        <w:jc w:val="both"/>
        <w:rPr>
          <w:rFonts w:eastAsia="Times New Roman"/>
          <w:bdr w:val="none" w:sz="0" w:space="0" w:color="auto"/>
          <w:lang w:val="lt-LT" w:eastAsia="lt-LT"/>
        </w:rPr>
      </w:pPr>
    </w:p>
    <w:p w14:paraId="71D4ED76" w14:textId="4C23DFBB" w:rsidR="00AD537F" w:rsidRDefault="00AD537F" w:rsidP="00A46715">
      <w:pPr>
        <w:jc w:val="both"/>
        <w:rPr>
          <w:rFonts w:eastAsia="Times New Roman"/>
          <w:bdr w:val="none" w:sz="0" w:space="0" w:color="auto"/>
          <w:lang w:val="lt-LT" w:eastAsia="lt-LT"/>
        </w:rPr>
      </w:pPr>
      <w:r>
        <w:rPr>
          <w:rFonts w:eastAsia="Times New Roman"/>
          <w:bdr w:val="none" w:sz="0" w:space="0" w:color="auto"/>
          <w:lang w:val="lt-LT" w:eastAsia="lt-LT"/>
        </w:rPr>
        <w:t xml:space="preserve">Ministrų Taryboje Lietuvos prašymu prie „Kitų klausimų“ buvo įtrauktas Lietuvos delegacijos pranešimas dėl saugumo problematikos </w:t>
      </w:r>
      <w:r w:rsidR="00801FCC">
        <w:rPr>
          <w:rFonts w:eastAsia="Times New Roman"/>
          <w:bdr w:val="none" w:sz="0" w:space="0" w:color="auto"/>
          <w:lang w:val="lt-LT" w:eastAsia="lt-LT"/>
        </w:rPr>
        <w:t xml:space="preserve">Baltarusijos </w:t>
      </w:r>
      <w:r>
        <w:rPr>
          <w:rFonts w:eastAsia="Times New Roman"/>
          <w:bdr w:val="none" w:sz="0" w:space="0" w:color="auto"/>
          <w:lang w:val="lt-LT" w:eastAsia="lt-LT"/>
        </w:rPr>
        <w:t xml:space="preserve">Astravo branduolinėje elektrinėje. </w:t>
      </w:r>
      <w:r w:rsidR="00801FCC">
        <w:rPr>
          <w:rFonts w:eastAsia="Times New Roman"/>
          <w:bdr w:val="none" w:sz="0" w:space="0" w:color="auto"/>
          <w:lang w:val="lt-LT" w:eastAsia="lt-LT"/>
        </w:rPr>
        <w:t>Šiuo klausimu Lietuva išplatino informacinį pranešimą Europos Komisijai ir Valstybėms narėms</w:t>
      </w:r>
      <w:r w:rsidR="00A46715">
        <w:rPr>
          <w:rFonts w:eastAsia="Times New Roman"/>
          <w:bdr w:val="none" w:sz="0" w:space="0" w:color="auto"/>
          <w:lang w:val="lt-LT" w:eastAsia="lt-LT"/>
        </w:rPr>
        <w:t>.</w:t>
      </w:r>
    </w:p>
    <w:p w14:paraId="3F245488" w14:textId="77777777" w:rsidR="00787816" w:rsidRPr="00787816" w:rsidRDefault="00787816" w:rsidP="00A46715">
      <w:pPr>
        <w:jc w:val="both"/>
        <w:rPr>
          <w:rFonts w:eastAsia="Times New Roman"/>
          <w:bdr w:val="none" w:sz="0" w:space="0" w:color="auto"/>
          <w:lang w:val="lt-LT" w:eastAsia="lt-LT"/>
        </w:rPr>
      </w:pPr>
    </w:p>
    <w:p w14:paraId="7978C181" w14:textId="7F20346C" w:rsidR="00787816" w:rsidRDefault="00787816" w:rsidP="00787816">
      <w:pPr>
        <w:rPr>
          <w:rFonts w:eastAsia="Times New Roman"/>
          <w:b/>
          <w:bCs/>
          <w:bdr w:val="none" w:sz="0" w:space="0" w:color="auto"/>
          <w:lang w:val="lt-LT" w:eastAsia="lt-LT"/>
        </w:rPr>
      </w:pPr>
    </w:p>
    <w:p w14:paraId="11880CD9" w14:textId="77777777" w:rsidR="00787816" w:rsidRPr="00787816" w:rsidRDefault="00787816" w:rsidP="00787816">
      <w:pPr>
        <w:rPr>
          <w:rFonts w:eastAsia="Times New Roman"/>
          <w:b/>
          <w:bCs/>
          <w:bdr w:val="none" w:sz="0" w:space="0" w:color="auto"/>
          <w:lang w:val="lt-LT" w:eastAsia="lt-LT"/>
        </w:rPr>
      </w:pPr>
    </w:p>
    <w:sectPr w:rsidR="00787816" w:rsidRPr="00787816" w:rsidSect="009B650D">
      <w:pgSz w:w="11906" w:h="16838"/>
      <w:pgMar w:top="568" w:right="707" w:bottom="1440"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0C4"/>
    <w:multiLevelType w:val="hybridMultilevel"/>
    <w:tmpl w:val="EC369476"/>
    <w:lvl w:ilvl="0" w:tplc="0427000F">
      <w:start w:val="1"/>
      <w:numFmt w:val="decimal"/>
      <w:lvlText w:val="%1."/>
      <w:lvlJc w:val="left"/>
      <w:pPr>
        <w:ind w:left="720" w:hanging="360"/>
      </w:pPr>
      <w:rPr>
        <w:rFonts w:hint="default"/>
      </w:rPr>
    </w:lvl>
    <w:lvl w:ilvl="1" w:tplc="E6503406">
      <w:start w:val="1"/>
      <w:numFmt w:val="lowerLetter"/>
      <w:lvlText w:val="%2."/>
      <w:lvlJc w:val="left"/>
      <w:pPr>
        <w:ind w:left="1440" w:hanging="360"/>
      </w:pPr>
      <w:rPr>
        <w:i w:val="0"/>
        <w:i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D6E41"/>
    <w:multiLevelType w:val="hybridMultilevel"/>
    <w:tmpl w:val="86143D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EE17ED"/>
    <w:multiLevelType w:val="hybridMultilevel"/>
    <w:tmpl w:val="3EF00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711D0B"/>
    <w:multiLevelType w:val="hybridMultilevel"/>
    <w:tmpl w:val="E9ACEFB2"/>
    <w:lvl w:ilvl="0" w:tplc="62E206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27A650D"/>
    <w:multiLevelType w:val="multilevel"/>
    <w:tmpl w:val="CD8E7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9A0D2F"/>
    <w:multiLevelType w:val="hybridMultilevel"/>
    <w:tmpl w:val="0AFE03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8DC5867"/>
    <w:multiLevelType w:val="hybridMultilevel"/>
    <w:tmpl w:val="EC3694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E0"/>
    <w:rsid w:val="000177A1"/>
    <w:rsid w:val="0012482A"/>
    <w:rsid w:val="00216B22"/>
    <w:rsid w:val="00267D7D"/>
    <w:rsid w:val="0028056B"/>
    <w:rsid w:val="002C128E"/>
    <w:rsid w:val="00360D92"/>
    <w:rsid w:val="00385838"/>
    <w:rsid w:val="003B34E7"/>
    <w:rsid w:val="003E209F"/>
    <w:rsid w:val="0041317E"/>
    <w:rsid w:val="0052251E"/>
    <w:rsid w:val="005969BC"/>
    <w:rsid w:val="0062731C"/>
    <w:rsid w:val="006B64F7"/>
    <w:rsid w:val="006C6E38"/>
    <w:rsid w:val="006F44E0"/>
    <w:rsid w:val="00704CDD"/>
    <w:rsid w:val="00720D07"/>
    <w:rsid w:val="00787816"/>
    <w:rsid w:val="00793C7C"/>
    <w:rsid w:val="007C3451"/>
    <w:rsid w:val="00801FCC"/>
    <w:rsid w:val="00900D9D"/>
    <w:rsid w:val="00942D82"/>
    <w:rsid w:val="009B650D"/>
    <w:rsid w:val="009C3619"/>
    <w:rsid w:val="00A20D70"/>
    <w:rsid w:val="00A245E6"/>
    <w:rsid w:val="00A46715"/>
    <w:rsid w:val="00AD14EB"/>
    <w:rsid w:val="00AD537F"/>
    <w:rsid w:val="00B040F7"/>
    <w:rsid w:val="00BC7FF4"/>
    <w:rsid w:val="00C408DB"/>
    <w:rsid w:val="00D87948"/>
    <w:rsid w:val="00E531E7"/>
    <w:rsid w:val="00E802E0"/>
    <w:rsid w:val="00EE14C3"/>
    <w:rsid w:val="00FC7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6C35"/>
  <w15:chartTrackingRefBased/>
  <w15:docId w15:val="{AFC6F4B1-470E-4D5E-B353-EF14F3FF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0D9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D92"/>
    <w:pPr>
      <w:ind w:left="720"/>
      <w:contextualSpacing/>
    </w:pPr>
  </w:style>
  <w:style w:type="paragraph" w:customStyle="1" w:styleId="xmsolistparagraph">
    <w:name w:val="x_msolistparagraph"/>
    <w:basedOn w:val="Normal"/>
    <w:rsid w:val="00900D9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61489">
      <w:bodyDiv w:val="1"/>
      <w:marLeft w:val="0"/>
      <w:marRight w:val="0"/>
      <w:marTop w:val="0"/>
      <w:marBottom w:val="0"/>
      <w:divBdr>
        <w:top w:val="none" w:sz="0" w:space="0" w:color="auto"/>
        <w:left w:val="none" w:sz="0" w:space="0" w:color="auto"/>
        <w:bottom w:val="none" w:sz="0" w:space="0" w:color="auto"/>
        <w:right w:val="none" w:sz="0" w:space="0" w:color="auto"/>
      </w:divBdr>
    </w:div>
    <w:div w:id="19187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3</Pages>
  <Words>6911</Words>
  <Characters>3940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Matulevičienė</dc:creator>
  <cp:keywords/>
  <dc:description/>
  <cp:lastModifiedBy>Donata Matulevičienė</cp:lastModifiedBy>
  <cp:revision>5</cp:revision>
  <dcterms:created xsi:type="dcterms:W3CDTF">2021-11-26T09:10:00Z</dcterms:created>
  <dcterms:modified xsi:type="dcterms:W3CDTF">2021-11-30T13:32:00Z</dcterms:modified>
</cp:coreProperties>
</file>