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8BB02" w14:textId="77777777" w:rsidR="0057531B" w:rsidRPr="0057531B" w:rsidRDefault="0057531B" w:rsidP="0057531B">
      <w:pPr>
        <w:jc w:val="center"/>
        <w:outlineLvl w:val="0"/>
        <w:rPr>
          <w:b/>
        </w:rPr>
      </w:pPr>
      <w:bookmarkStart w:id="0" w:name="_GoBack"/>
      <w:bookmarkEnd w:id="0"/>
      <w:r w:rsidRPr="0057531B">
        <w:rPr>
          <w:b/>
        </w:rPr>
        <w:t>LIETUVOS RESPUBLIKOS</w:t>
      </w:r>
    </w:p>
    <w:p w14:paraId="186AEF5B" w14:textId="3DB5A447" w:rsidR="0057531B" w:rsidRPr="0057531B" w:rsidRDefault="00220974" w:rsidP="0057531B">
      <w:pPr>
        <w:jc w:val="center"/>
        <w:outlineLvl w:val="0"/>
        <w:rPr>
          <w:b/>
        </w:rPr>
      </w:pPr>
      <w:r>
        <w:rPr>
          <w:b/>
        </w:rPr>
        <w:t>ADMINISTRACINIŲ BYLŲ TEISENOS ĮSTATYMO NR.</w:t>
      </w:r>
      <w:r w:rsidR="002C1BE4">
        <w:rPr>
          <w:b/>
        </w:rPr>
        <w:t>VIII-1029</w:t>
      </w:r>
      <w:r>
        <w:rPr>
          <w:b/>
        </w:rPr>
        <w:t xml:space="preserve"> 112 STRAIPSNIO</w:t>
      </w:r>
      <w:r w:rsidR="0057531B" w:rsidRPr="0057531B">
        <w:rPr>
          <w:b/>
        </w:rPr>
        <w:t xml:space="preserve"> PAKEITIMO</w:t>
      </w:r>
    </w:p>
    <w:p w14:paraId="79992805" w14:textId="77777777" w:rsidR="0057531B" w:rsidRDefault="00126408" w:rsidP="0057531B">
      <w:pPr>
        <w:jc w:val="center"/>
        <w:outlineLvl w:val="0"/>
        <w:rPr>
          <w:b/>
        </w:rPr>
      </w:pPr>
      <w:r>
        <w:rPr>
          <w:b/>
        </w:rPr>
        <w:t xml:space="preserve">ĮSTATYMO PROJEKTO </w:t>
      </w:r>
    </w:p>
    <w:p w14:paraId="7BAAC44D" w14:textId="03A132E5" w:rsidR="00126408" w:rsidRDefault="00126408" w:rsidP="0057531B">
      <w:pPr>
        <w:jc w:val="center"/>
        <w:outlineLvl w:val="0"/>
        <w:rPr>
          <w:b/>
        </w:rPr>
      </w:pPr>
      <w:r>
        <w:rPr>
          <w:b/>
        </w:rPr>
        <w:t>AIŠKINAMASIS RAŠTAS</w:t>
      </w:r>
    </w:p>
    <w:p w14:paraId="7BAAC44E" w14:textId="77777777" w:rsidR="00126408" w:rsidRDefault="00126408" w:rsidP="00126408">
      <w:pPr>
        <w:tabs>
          <w:tab w:val="left" w:pos="720"/>
          <w:tab w:val="left" w:pos="1080"/>
        </w:tabs>
        <w:rPr>
          <w:b/>
        </w:rPr>
      </w:pPr>
    </w:p>
    <w:p w14:paraId="7BAAC44F" w14:textId="77777777" w:rsidR="00126408" w:rsidRDefault="00126408" w:rsidP="00126408">
      <w:pPr>
        <w:tabs>
          <w:tab w:val="left" w:pos="720"/>
          <w:tab w:val="left" w:pos="1080"/>
        </w:tabs>
      </w:pPr>
    </w:p>
    <w:p w14:paraId="7BAAC450" w14:textId="47BDDDFF" w:rsidR="00126408" w:rsidRDefault="00126408" w:rsidP="00126408">
      <w:pPr>
        <w:tabs>
          <w:tab w:val="left" w:pos="851"/>
          <w:tab w:val="left" w:pos="1080"/>
        </w:tabs>
        <w:ind w:firstLine="720"/>
        <w:jc w:val="both"/>
        <w:rPr>
          <w:bCs/>
        </w:rPr>
      </w:pPr>
      <w:r>
        <w:rPr>
          <w:b/>
        </w:rPr>
        <w:t xml:space="preserve">1. </w:t>
      </w:r>
      <w:r w:rsidR="009F71BB">
        <w:rPr>
          <w:b/>
          <w:color w:val="000000" w:themeColor="text1"/>
        </w:rPr>
        <w:t>Įstatymo</w:t>
      </w:r>
      <w:r w:rsidR="009F71BB" w:rsidRPr="002B1E1E">
        <w:rPr>
          <w:b/>
          <w:color w:val="000000" w:themeColor="text1"/>
        </w:rPr>
        <w:t xml:space="preserve"> projekt</w:t>
      </w:r>
      <w:r w:rsidR="009F71BB">
        <w:rPr>
          <w:b/>
          <w:color w:val="000000" w:themeColor="text1"/>
        </w:rPr>
        <w:t>o</w:t>
      </w:r>
      <w:r w:rsidR="009F71BB" w:rsidRPr="002B1E1E">
        <w:rPr>
          <w:b/>
          <w:color w:val="000000" w:themeColor="text1"/>
        </w:rPr>
        <w:t xml:space="preserve"> </w:t>
      </w:r>
      <w:r w:rsidR="00196E34" w:rsidRPr="002B1E1E">
        <w:rPr>
          <w:b/>
          <w:color w:val="000000" w:themeColor="text1"/>
        </w:rPr>
        <w:t>rengimą paskatinusios priežastys, parengt</w:t>
      </w:r>
      <w:r w:rsidR="00196E34">
        <w:rPr>
          <w:b/>
          <w:color w:val="000000" w:themeColor="text1"/>
        </w:rPr>
        <w:t>ų</w:t>
      </w:r>
      <w:r w:rsidR="00196E34" w:rsidRPr="002B1E1E">
        <w:rPr>
          <w:b/>
          <w:color w:val="000000" w:themeColor="text1"/>
        </w:rPr>
        <w:t xml:space="preserve"> projekt</w:t>
      </w:r>
      <w:r w:rsidR="00196E34">
        <w:rPr>
          <w:b/>
          <w:color w:val="000000" w:themeColor="text1"/>
        </w:rPr>
        <w:t>ų</w:t>
      </w:r>
      <w:r w:rsidR="00196E34" w:rsidRPr="002B1E1E">
        <w:rPr>
          <w:b/>
          <w:color w:val="000000" w:themeColor="text1"/>
        </w:rPr>
        <w:t xml:space="preserve"> tikslai ir uždaviniai</w:t>
      </w:r>
    </w:p>
    <w:p w14:paraId="608F7D97" w14:textId="6AE13CD1" w:rsidR="00941217" w:rsidRDefault="00263124" w:rsidP="00126408">
      <w:pPr>
        <w:autoSpaceDE w:val="0"/>
        <w:autoSpaceDN w:val="0"/>
        <w:adjustRightInd w:val="0"/>
        <w:ind w:firstLine="709"/>
        <w:jc w:val="both"/>
      </w:pPr>
      <w:r>
        <w:t>Europos Sąjungos sutarties 19 straipsnio 1 dalyje nustatyta, kad „valstybės narės numato teisių gynimo priemones, būtinas užtikrinant veiksmingą teisminę apsaugą Sąjungos teisei priklausančiose srityse“, Pagrindinių teisių chartijos 47 straipsnyje nurodoma, jog kiekvienas asmuo, kurio teisės ir laisvės, garantuojamos Sąjungos teisės, yra pažeistos, turi teisę į veiksmingą jų gynybą teisme. Prie Europos Sąjungos</w:t>
      </w:r>
      <w:r w:rsidR="00914961">
        <w:t xml:space="preserve"> (toliau – ES)</w:t>
      </w:r>
      <w:r>
        <w:t xml:space="preserve"> teisės priskirtin</w:t>
      </w:r>
      <w:r w:rsidR="00914961">
        <w:t>i</w:t>
      </w:r>
      <w:r>
        <w:t xml:space="preserve"> ir ES sudaryti tarptautiniai susitarimai. </w:t>
      </w:r>
      <w:r w:rsidR="00220974">
        <w:t xml:space="preserve">Konvencijos dėl teisės gauti informaciją, visuomenės dalyvavimo priimant sprendimus ir teisės kreiptis į teismus aplinkosaugos klausimais, kuri ratifikuota </w:t>
      </w:r>
      <w:r w:rsidR="00FB1183" w:rsidRPr="00FB1183">
        <w:t xml:space="preserve">2005 m. vasario 17 d. </w:t>
      </w:r>
      <w:r w:rsidR="00220974">
        <w:t>Tarybos sprendimu 2005/370/EB</w:t>
      </w:r>
      <w:r w:rsidR="00780247">
        <w:t xml:space="preserve"> (toliau – </w:t>
      </w:r>
      <w:proofErr w:type="spellStart"/>
      <w:r w:rsidR="00780247">
        <w:t>Orhuso</w:t>
      </w:r>
      <w:proofErr w:type="spellEnd"/>
      <w:r w:rsidR="00780247">
        <w:t xml:space="preserve"> konvencija)</w:t>
      </w:r>
      <w:r w:rsidR="00220974">
        <w:t>, 9 straipsnio 3 dalyje, nustatyta, kad „(...) kiekviena Šalis užtikrina, kad visuomenės atstovai, atitinkantys nacionaliniuose įstatymuose numatytus kriterijus, jeigu tokie yra, galėtų administracine arba teismo tvarka kreiptis dėl privačių asmenų arba valstybės institucijų, pažeidžiančių nacionalinių įstatymų nuostatas, susijusias su aplinkosauga, veiksmų ar neveikimo užginčijimo.“</w:t>
      </w:r>
    </w:p>
    <w:p w14:paraId="11CA897A" w14:textId="5A822F42" w:rsidR="00263124" w:rsidRDefault="00263124" w:rsidP="00126408">
      <w:pPr>
        <w:autoSpaceDE w:val="0"/>
        <w:autoSpaceDN w:val="0"/>
        <w:adjustRightInd w:val="0"/>
        <w:ind w:firstLine="709"/>
        <w:jc w:val="both"/>
      </w:pPr>
      <w:r>
        <w:t xml:space="preserve">Europos Sąjungos Teisingumo Teismas (toliau – ESTT) yra konstatavęs, jog </w:t>
      </w:r>
      <w:proofErr w:type="spellStart"/>
      <w:r>
        <w:t>Orhuso</w:t>
      </w:r>
      <w:proofErr w:type="spellEnd"/>
      <w:r>
        <w:t xml:space="preserve"> konvencijos 9 straipsnio 3 dalis ES teisėje neveikia tiesiogiai, bet </w:t>
      </w:r>
      <w:proofErr w:type="spellStart"/>
      <w:r>
        <w:t>Orhuso</w:t>
      </w:r>
      <w:proofErr w:type="spellEnd"/>
      <w:r>
        <w:t xml:space="preserve"> konvencija yra privaloma ES valstybėms narėms (</w:t>
      </w:r>
      <w:r w:rsidR="00DC679D">
        <w:t>S</w:t>
      </w:r>
      <w:r>
        <w:t xml:space="preserve">prendimas </w:t>
      </w:r>
      <w:proofErr w:type="spellStart"/>
      <w:r w:rsidRPr="00A3488C">
        <w:rPr>
          <w:i/>
        </w:rPr>
        <w:t>Lesoochranarske</w:t>
      </w:r>
      <w:proofErr w:type="spellEnd"/>
      <w:r w:rsidRPr="00A3488C">
        <w:rPr>
          <w:i/>
        </w:rPr>
        <w:t xml:space="preserve"> </w:t>
      </w:r>
      <w:proofErr w:type="spellStart"/>
      <w:r w:rsidRPr="00A3488C">
        <w:rPr>
          <w:i/>
        </w:rPr>
        <w:t>zoskupenie</w:t>
      </w:r>
      <w:proofErr w:type="spellEnd"/>
      <w:r w:rsidR="00DC679D">
        <w:rPr>
          <w:i/>
        </w:rPr>
        <w:t>,</w:t>
      </w:r>
      <w:r>
        <w:t xml:space="preserve"> C-240/09</w:t>
      </w:r>
      <w:r w:rsidR="00DC679D">
        <w:t xml:space="preserve">, </w:t>
      </w:r>
      <w:r w:rsidR="00DC679D">
        <w:rPr>
          <w:rStyle w:val="outputecliaff"/>
        </w:rPr>
        <w:t>EU:C:2011:125</w:t>
      </w:r>
      <w:r w:rsidR="00DC679D">
        <w:t xml:space="preserve"> </w:t>
      </w:r>
      <w:r>
        <w:t xml:space="preserve">). ESTT yra taip pat nurodęs, jog </w:t>
      </w:r>
      <w:proofErr w:type="spellStart"/>
      <w:r>
        <w:t>Orhuso</w:t>
      </w:r>
      <w:proofErr w:type="spellEnd"/>
      <w:r>
        <w:t xml:space="preserve"> konvencijos 9 straipsnio 3 dalis ir Pagrindinių teisių chartijos 47 straipsnis turi būti aiškinami kartu, taip, kad „valstybės narės </w:t>
      </w:r>
      <w:r w:rsidR="005D2688">
        <w:t>įpareigojamos</w:t>
      </w:r>
      <w:r>
        <w:t xml:space="preserve"> užtikrinti veiksmingą Sąjungos teisės, visų pirma aplinkos teisės nuostatų, suteiktų teisių teisminę apsaugą.“</w:t>
      </w:r>
    </w:p>
    <w:p w14:paraId="30FA021E" w14:textId="4F5BE86B" w:rsidR="005D2688" w:rsidRDefault="005D2688" w:rsidP="00126408">
      <w:pPr>
        <w:autoSpaceDE w:val="0"/>
        <w:autoSpaceDN w:val="0"/>
        <w:adjustRightInd w:val="0"/>
        <w:ind w:firstLine="709"/>
        <w:jc w:val="both"/>
      </w:pPr>
      <w:r>
        <w:t>ESTT taip pat padarė išvadą, kad „</w:t>
      </w:r>
      <w:proofErr w:type="spellStart"/>
      <w:r>
        <w:t>Orhuso</w:t>
      </w:r>
      <w:proofErr w:type="spellEnd"/>
      <w:r>
        <w:t xml:space="preserve"> konvencijos 9 straipsnio 3 dalyje numatyta teisė apskųsti būtų neveiksminga, netgi prarastų prasmę, jeigu reikėtų pripažinti, kad, nustačius tokius kriterijus, tam tikroms „visuomenės atstovų“, juo labiau „suinteresuotos visuomenės atstovų“, kaip aplinkos apsaugos organizacijos, kategorijoms, atitinkančioms </w:t>
      </w:r>
      <w:proofErr w:type="spellStart"/>
      <w:r>
        <w:t>Orhuso</w:t>
      </w:r>
      <w:proofErr w:type="spellEnd"/>
      <w:r>
        <w:t xml:space="preserve"> konvencijos 2 straipsnio 5 dalies reikalavimus, būtų nesuteikta jokios teisės apskųsti“ (Sprendimas, </w:t>
      </w:r>
      <w:proofErr w:type="spellStart"/>
      <w:r w:rsidRPr="00A3488C">
        <w:rPr>
          <w:i/>
        </w:rPr>
        <w:t>Wasserleitungsvernad</w:t>
      </w:r>
      <w:proofErr w:type="spellEnd"/>
      <w:r w:rsidRPr="00A3488C">
        <w:rPr>
          <w:i/>
        </w:rPr>
        <w:t xml:space="preserve"> </w:t>
      </w:r>
      <w:proofErr w:type="spellStart"/>
      <w:r w:rsidRPr="00A3488C">
        <w:rPr>
          <w:i/>
        </w:rPr>
        <w:t>Nordliches</w:t>
      </w:r>
      <w:proofErr w:type="spellEnd"/>
      <w:r w:rsidRPr="00A3488C">
        <w:rPr>
          <w:i/>
        </w:rPr>
        <w:t xml:space="preserve"> </w:t>
      </w:r>
      <w:proofErr w:type="spellStart"/>
      <w:r w:rsidRPr="00A3488C">
        <w:rPr>
          <w:i/>
        </w:rPr>
        <w:t>Burgenland</w:t>
      </w:r>
      <w:proofErr w:type="spellEnd"/>
      <w:r w:rsidR="00DC679D">
        <w:t xml:space="preserve">, C-197/18, </w:t>
      </w:r>
      <w:r w:rsidR="00DC679D" w:rsidRPr="00DC679D">
        <w:t>EU:C:2019:824</w:t>
      </w:r>
      <w:r>
        <w:t xml:space="preserve">). Taigi, nors </w:t>
      </w:r>
      <w:proofErr w:type="spellStart"/>
      <w:r>
        <w:t>Orhuso</w:t>
      </w:r>
      <w:proofErr w:type="spellEnd"/>
      <w:r>
        <w:t xml:space="preserve"> </w:t>
      </w:r>
      <w:proofErr w:type="spellStart"/>
      <w:r>
        <w:t>konevencijos</w:t>
      </w:r>
      <w:proofErr w:type="spellEnd"/>
      <w:r>
        <w:t xml:space="preserve"> 9 straipsnio 3 dalyje suteikta galimybė nacionalinėse teisės aktuose </w:t>
      </w:r>
      <w:r w:rsidR="00931DB6">
        <w:t>numatyti</w:t>
      </w:r>
      <w:r>
        <w:t xml:space="preserve"> ieškinio pareiškimui taikomus kriterijus, neleidžiama nustatyti tokių kriterijų, kad aplinkosaugos organizacijos ar kiti pareiškėjai faktiškai negalėtų ginčyti veiksmų ar neveikimo, </w:t>
      </w:r>
      <w:r w:rsidR="00931DB6">
        <w:t>kuriais</w:t>
      </w:r>
      <w:r>
        <w:t xml:space="preserve"> pažeidžiamos ES aplinkos teisės nuostatos.</w:t>
      </w:r>
    </w:p>
    <w:p w14:paraId="273F2BB4" w14:textId="1AE7CE93" w:rsidR="00220974" w:rsidRDefault="00220974" w:rsidP="00126408">
      <w:pPr>
        <w:autoSpaceDE w:val="0"/>
        <w:autoSpaceDN w:val="0"/>
        <w:adjustRightInd w:val="0"/>
        <w:ind w:firstLine="709"/>
        <w:jc w:val="both"/>
      </w:pPr>
      <w:r>
        <w:t>Lietuvos nevyriausybinės organizacijos, veikiančios aplinkosaugos srityje, atkreipia dėmesį į tai, kad neturi teisės teismo tvarka kreiptis dėl valdžios institucijų veiksmų ir neveikimo aplinkos apsaugos srityje nuginčijimo tais atvejais, kai toks sprendimas priimamas kaip norminis administracinis aktas.</w:t>
      </w:r>
      <w:r w:rsidR="005D2688">
        <w:t xml:space="preserve"> Lietuvos Respublikos administracinių bylų teisenos įstatymas</w:t>
      </w:r>
      <w:r w:rsidR="00931DB6">
        <w:t xml:space="preserve"> nustato, kad administraciniam teismui </w:t>
      </w:r>
      <w:r w:rsidR="00E30D95">
        <w:t>pareiškimą</w:t>
      </w:r>
      <w:r w:rsidR="00931DB6">
        <w:t xml:space="preserve"> (prašymą) </w:t>
      </w:r>
      <w:r w:rsidR="00E30D95">
        <w:t>ištirti</w:t>
      </w:r>
      <w:r w:rsidR="00931DB6">
        <w:t xml:space="preserve"> norminio administracinio akto teisėtumą gali pateikti labai ribota ir griežtai apibrėžta asmenų grupė. Įstatymas</w:t>
      </w:r>
      <w:r w:rsidR="005D2688">
        <w:t xml:space="preserve"> nesuteikia teisės fiziniams</w:t>
      </w:r>
      <w:r w:rsidR="00931DB6">
        <w:t>, kurių teisės kyla iš aplinkosaugos srities Sąjungos teisės,</w:t>
      </w:r>
      <w:r w:rsidR="005D2688">
        <w:t xml:space="preserve"> ir juridiniams asmenims</w:t>
      </w:r>
      <w:r w:rsidR="00931DB6">
        <w:t>, veikiantiems aplinkos apsaugos srityje,</w:t>
      </w:r>
      <w:r w:rsidR="005D2688">
        <w:t xml:space="preserve"> tiesiogiai teikti abstraktų pareiškimą ištirti norminio </w:t>
      </w:r>
      <w:r w:rsidR="00931DB6">
        <w:t xml:space="preserve">administracinio akto teisėtumą, išskyrus atvejus, kai teisme yra </w:t>
      </w:r>
      <w:r w:rsidR="00EE07FD">
        <w:t>nagrinėjama</w:t>
      </w:r>
      <w:r w:rsidR="00931DB6">
        <w:t xml:space="preserve"> konkreti byla dėl jų teisių pažeidimo. Lietuvos vyriausiojo administracinio teismo praktika šiuo aspektu yra aiški: ta sąsaja turi būti tiesioginė, ginčijamas norminis</w:t>
      </w:r>
      <w:r w:rsidR="00E85BD6">
        <w:t xml:space="preserve"> administracinis</w:t>
      </w:r>
      <w:r w:rsidR="00931DB6">
        <w:t xml:space="preserve"> aktas turi būti taikytinas sprendžiant konkretų individualų ginčą (Lietuvos vyriausiojo administracinio teismo biuletenis Nr. 23). Lietuvos vyriausiasis administracinis teismas taip pat </w:t>
      </w:r>
      <w:r w:rsidR="001C733A">
        <w:t>konstatavo</w:t>
      </w:r>
      <w:r w:rsidR="00931DB6">
        <w:t xml:space="preserve">, kad „tam, jog būtų pradėta norminio administracinio akto teisėtumo patikros byla, turi būti nustatyta, kad šis norminis teisės aktas realiai buvo pritaikytas ir tokiu būdu </w:t>
      </w:r>
      <w:r w:rsidR="00931DB6">
        <w:lastRenderedPageBreak/>
        <w:t>nulėmė realų ar tariamą asmens teisių pažeidimą. Taigi ir asmens teisių pažeidimas turi būti siejamas su teisės akte numatytų elgesio taisyklių realiu pritaikomumu, o ne vien su teisės akto b</w:t>
      </w:r>
      <w:r w:rsidR="00C86CDE">
        <w:t>u</w:t>
      </w:r>
      <w:r w:rsidR="00931DB6">
        <w:t>vimu</w:t>
      </w:r>
      <w:r w:rsidR="000234B1">
        <w:t>.“</w:t>
      </w:r>
    </w:p>
    <w:p w14:paraId="5480F07A" w14:textId="27DED66A" w:rsidR="00220974" w:rsidRDefault="00220974" w:rsidP="00126408">
      <w:pPr>
        <w:autoSpaceDE w:val="0"/>
        <w:autoSpaceDN w:val="0"/>
        <w:adjustRightInd w:val="0"/>
        <w:ind w:firstLine="709"/>
        <w:jc w:val="both"/>
      </w:pPr>
      <w:r>
        <w:t>Europos Komisija, išanalizavus</w:t>
      </w:r>
      <w:r w:rsidR="00DC679D">
        <w:t>i</w:t>
      </w:r>
      <w:r>
        <w:t xml:space="preserve"> Lietuvos teisę, padarė išvadą, kad apribojimai taikomi ne tik nevyriausybinėms organizacijoms, bet ir kitiems pareiškėjams, o sąlygos kreiptis į teismą dėl aplinkos apsaugos klausimų yra labai apsunkintos </w:t>
      </w:r>
      <w:r w:rsidR="00263124">
        <w:t xml:space="preserve">tais atvejais, kai skundžiamas sprendimas yra norminis administracinis aktas. </w:t>
      </w:r>
      <w:r w:rsidR="000234B1">
        <w:t xml:space="preserve">Todėl Europos Komisija laikosi nuomonės, jog Lietuva pažeidė </w:t>
      </w:r>
      <w:proofErr w:type="spellStart"/>
      <w:r w:rsidR="000234B1">
        <w:t>Orhuso</w:t>
      </w:r>
      <w:proofErr w:type="spellEnd"/>
      <w:r w:rsidR="000234B1">
        <w:t xml:space="preserve"> konvencijos 9 straipsnio 3 dalies nuostatas (skaitant kartu su ES sutarties 4 straipsnio 3 dalimi bei 19 straipsnio 1 dalimi ir Pagrindinių teisių chartijos </w:t>
      </w:r>
      <w:r w:rsidR="000234B1" w:rsidRPr="004F1DCD">
        <w:t xml:space="preserve">47 straipsniu bei </w:t>
      </w:r>
      <w:r w:rsidR="004F1DCD" w:rsidRPr="00B63253">
        <w:rPr>
          <w:rFonts w:cs="Arial"/>
        </w:rPr>
        <w:t xml:space="preserve">1992 m. gegužės 21 d. Tarybos direktyvos 92/43/EEB dėl natūralių buveinių ir laukinės faunos bei floros apsaugos (toliau – </w:t>
      </w:r>
      <w:r w:rsidR="000234B1" w:rsidRPr="004F1DCD">
        <w:t>Buveinių</w:t>
      </w:r>
      <w:r w:rsidR="004F1DCD" w:rsidRPr="004F1DCD">
        <w:t xml:space="preserve"> </w:t>
      </w:r>
      <w:r w:rsidR="000234B1" w:rsidRPr="00BB376A">
        <w:t xml:space="preserve"> direktyv</w:t>
      </w:r>
      <w:r w:rsidR="004F1DCD" w:rsidRPr="00D13A50">
        <w:t>a)</w:t>
      </w:r>
      <w:r w:rsidR="000234B1" w:rsidRPr="00D13A50">
        <w:t xml:space="preserve"> 14, 15 ir 16 straipsniais)</w:t>
      </w:r>
      <w:r w:rsidR="00DC679D" w:rsidRPr="00D13A50">
        <w:t xml:space="preserve"> ir pradėjo prieš Lietuvą </w:t>
      </w:r>
      <w:r w:rsidR="002A75DB">
        <w:t>ES</w:t>
      </w:r>
      <w:r w:rsidR="00DC679D">
        <w:t xml:space="preserve"> teisės pažeidimo </w:t>
      </w:r>
      <w:r w:rsidR="00D13A50">
        <w:t xml:space="preserve">nagrinėjimo </w:t>
      </w:r>
      <w:r w:rsidR="00DC679D">
        <w:t xml:space="preserve">procedūrą Nr. </w:t>
      </w:r>
      <w:r w:rsidR="00DC679D" w:rsidRPr="00DC679D">
        <w:t>2020/4026</w:t>
      </w:r>
      <w:r w:rsidR="004F1DCD">
        <w:t>.</w:t>
      </w:r>
    </w:p>
    <w:p w14:paraId="0FA29030" w14:textId="7024817D" w:rsidR="000234B1" w:rsidRDefault="000234B1" w:rsidP="00126408">
      <w:pPr>
        <w:autoSpaceDE w:val="0"/>
        <w:autoSpaceDN w:val="0"/>
        <w:adjustRightInd w:val="0"/>
        <w:ind w:firstLine="709"/>
        <w:jc w:val="both"/>
      </w:pPr>
      <w:r>
        <w:t xml:space="preserve">Įstatymo projekto tikslas – užtikrinti tinkamą </w:t>
      </w:r>
      <w:proofErr w:type="spellStart"/>
      <w:r>
        <w:t>Orhuso</w:t>
      </w:r>
      <w:proofErr w:type="spellEnd"/>
      <w:r>
        <w:t xml:space="preserve"> konvencijos 9 straipsnio 3 dalies nuostatų įgyvendinimą bei panaikinti</w:t>
      </w:r>
      <w:r w:rsidR="00DC679D">
        <w:t xml:space="preserve"> pradėtą</w:t>
      </w:r>
      <w:r>
        <w:t xml:space="preserve"> </w:t>
      </w:r>
      <w:r w:rsidR="002A75DB">
        <w:t>ES</w:t>
      </w:r>
      <w:r w:rsidR="00DC679D">
        <w:t xml:space="preserve"> </w:t>
      </w:r>
      <w:r>
        <w:t>teisės pažeidim</w:t>
      </w:r>
      <w:r w:rsidR="00DC679D">
        <w:t xml:space="preserve">o </w:t>
      </w:r>
      <w:r w:rsidR="00D13A50">
        <w:t xml:space="preserve">nagrinėjimo </w:t>
      </w:r>
      <w:r w:rsidR="00DC679D">
        <w:t xml:space="preserve">procedūrą Nr. </w:t>
      </w:r>
      <w:r w:rsidR="00DC679D" w:rsidRPr="00DC679D">
        <w:t>2020/4026</w:t>
      </w:r>
      <w:r>
        <w:t>.</w:t>
      </w:r>
      <w:r w:rsidR="006E5F3C">
        <w:t xml:space="preserve"> </w:t>
      </w:r>
      <w:r w:rsidR="006E5F3C" w:rsidRPr="006E5F3C">
        <w:t xml:space="preserve">Kadangi Įstatymo projektu tiesiogiai įgyvendinamos tik </w:t>
      </w:r>
      <w:proofErr w:type="spellStart"/>
      <w:r w:rsidR="006E5F3C" w:rsidRPr="006E5F3C">
        <w:t>Orhuso</w:t>
      </w:r>
      <w:proofErr w:type="spellEnd"/>
      <w:r w:rsidR="006E5F3C" w:rsidRPr="006E5F3C">
        <w:t xml:space="preserve"> konvencijos nuostatos, Buveinių direktyvos ir Įstatymo projekto atitikties lentelė nerengiama.</w:t>
      </w:r>
    </w:p>
    <w:p w14:paraId="12D7DCBE" w14:textId="6593A769" w:rsidR="000234B1" w:rsidRDefault="000234B1" w:rsidP="00126408">
      <w:pPr>
        <w:autoSpaceDE w:val="0"/>
        <w:autoSpaceDN w:val="0"/>
        <w:adjustRightInd w:val="0"/>
        <w:ind w:firstLine="709"/>
        <w:jc w:val="both"/>
      </w:pPr>
      <w:r>
        <w:t>Įstatymo projekto uždavinys – patikslinti Administracinių bylų teisenos įstatymo 112 straipsnį</w:t>
      </w:r>
      <w:r w:rsidR="006A6C7F">
        <w:t xml:space="preserve"> –</w:t>
      </w:r>
      <w:r>
        <w:t xml:space="preserve"> praplėsti subjektų, kurie gali kreiptis į administracinį teismą dėl norminio administracinio akto teisėtumo patikros, ratą ir suteikti tokią teisę suinteresuotos visuomenės, kaip ji apibrėžt</w:t>
      </w:r>
      <w:r w:rsidR="001F5C99">
        <w:t>a</w:t>
      </w:r>
      <w:r>
        <w:t xml:space="preserve"> Lietuvos Respublikos aplinkos apsaugos įstatyme, atstovams.</w:t>
      </w:r>
    </w:p>
    <w:p w14:paraId="7BAAC455" w14:textId="51B24483" w:rsidR="00126408" w:rsidRDefault="00126408" w:rsidP="00941217">
      <w:pPr>
        <w:autoSpaceDE w:val="0"/>
        <w:autoSpaceDN w:val="0"/>
        <w:adjustRightInd w:val="0"/>
        <w:ind w:firstLine="709"/>
        <w:jc w:val="both"/>
        <w:rPr>
          <w:bCs/>
        </w:rPr>
      </w:pPr>
      <w:r>
        <w:tab/>
      </w:r>
    </w:p>
    <w:p w14:paraId="7BAAC456" w14:textId="508772F5" w:rsidR="00126408" w:rsidRDefault="00126408" w:rsidP="00126408">
      <w:pPr>
        <w:tabs>
          <w:tab w:val="left" w:pos="720"/>
          <w:tab w:val="left" w:pos="1080"/>
        </w:tabs>
        <w:jc w:val="both"/>
        <w:rPr>
          <w:b/>
        </w:rPr>
      </w:pPr>
      <w:r>
        <w:rPr>
          <w:bCs/>
        </w:rPr>
        <w:tab/>
      </w:r>
      <w:r>
        <w:rPr>
          <w:b/>
          <w:bCs/>
        </w:rPr>
        <w:t xml:space="preserve">2. </w:t>
      </w:r>
      <w:r>
        <w:rPr>
          <w:b/>
        </w:rPr>
        <w:t>Įstatym</w:t>
      </w:r>
      <w:r w:rsidR="00E401CB">
        <w:rPr>
          <w:b/>
        </w:rPr>
        <w:t>o</w:t>
      </w:r>
      <w:r>
        <w:rPr>
          <w:b/>
        </w:rPr>
        <w:t xml:space="preserve"> projekt</w:t>
      </w:r>
      <w:r w:rsidR="00E401CB">
        <w:rPr>
          <w:b/>
        </w:rPr>
        <w:t>o</w:t>
      </w:r>
      <w:r>
        <w:rPr>
          <w:b/>
        </w:rPr>
        <w:t xml:space="preserve">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14:paraId="7BAAC457" w14:textId="72FEE487" w:rsidR="00126408" w:rsidRDefault="00126408" w:rsidP="00126408">
      <w:pPr>
        <w:tabs>
          <w:tab w:val="left" w:pos="720"/>
          <w:tab w:val="left" w:pos="1080"/>
        </w:tabs>
        <w:jc w:val="both"/>
        <w:rPr>
          <w:bCs/>
        </w:rPr>
      </w:pPr>
      <w:r>
        <w:rPr>
          <w:bCs/>
        </w:rPr>
        <w:tab/>
      </w:r>
      <w:r>
        <w:t xml:space="preserve">Įstatymo </w:t>
      </w:r>
      <w:r>
        <w:rPr>
          <w:bCs/>
        </w:rPr>
        <w:t>projekt</w:t>
      </w:r>
      <w:r w:rsidR="00941217">
        <w:rPr>
          <w:bCs/>
        </w:rPr>
        <w:t>ą</w:t>
      </w:r>
      <w:r>
        <w:rPr>
          <w:bCs/>
        </w:rPr>
        <w:t xml:space="preserve"> inicijavo</w:t>
      </w:r>
      <w:r w:rsidR="001C733A">
        <w:rPr>
          <w:bCs/>
        </w:rPr>
        <w:t xml:space="preserve"> ir</w:t>
      </w:r>
      <w:r>
        <w:rPr>
          <w:bCs/>
        </w:rPr>
        <w:t xml:space="preserve"> parengė Lietuvos Respublikos </w:t>
      </w:r>
      <w:r w:rsidR="00A3488C">
        <w:rPr>
          <w:bCs/>
        </w:rPr>
        <w:t xml:space="preserve">teisingumo </w:t>
      </w:r>
      <w:r>
        <w:rPr>
          <w:bCs/>
        </w:rPr>
        <w:t xml:space="preserve">ministerija. </w:t>
      </w:r>
    </w:p>
    <w:p w14:paraId="7BAAC459" w14:textId="77777777" w:rsidR="00126408" w:rsidRDefault="00126408" w:rsidP="00126408">
      <w:pPr>
        <w:tabs>
          <w:tab w:val="left" w:pos="720"/>
          <w:tab w:val="left" w:pos="1080"/>
        </w:tabs>
        <w:jc w:val="both"/>
        <w:rPr>
          <w:bCs/>
        </w:rPr>
      </w:pPr>
    </w:p>
    <w:p w14:paraId="3B0B8900" w14:textId="77777777" w:rsidR="002C1BE4" w:rsidRDefault="00126408" w:rsidP="002C1BE4">
      <w:pPr>
        <w:tabs>
          <w:tab w:val="left" w:pos="720"/>
          <w:tab w:val="left" w:pos="1080"/>
        </w:tabs>
        <w:jc w:val="both"/>
        <w:rPr>
          <w:b/>
        </w:rPr>
      </w:pPr>
      <w:r>
        <w:rPr>
          <w:bCs/>
        </w:rPr>
        <w:tab/>
      </w:r>
      <w:r>
        <w:rPr>
          <w:b/>
          <w:bCs/>
        </w:rPr>
        <w:t>3.</w:t>
      </w:r>
      <w:r>
        <w:rPr>
          <w:bCs/>
        </w:rPr>
        <w:t xml:space="preserve"> </w:t>
      </w:r>
      <w:r>
        <w:rPr>
          <w:b/>
          <w:bCs/>
        </w:rPr>
        <w:t xml:space="preserve">Kaip šiuo metu yra reguliuojami </w:t>
      </w:r>
      <w:r w:rsidR="00196E34">
        <w:rPr>
          <w:b/>
          <w:bCs/>
        </w:rPr>
        <w:t>į</w:t>
      </w:r>
      <w:r>
        <w:rPr>
          <w:b/>
          <w:bCs/>
        </w:rPr>
        <w:t>statym</w:t>
      </w:r>
      <w:r w:rsidR="00E401CB">
        <w:rPr>
          <w:b/>
          <w:bCs/>
        </w:rPr>
        <w:t>o projekt</w:t>
      </w:r>
      <w:r w:rsidR="00B35C4D">
        <w:rPr>
          <w:b/>
          <w:bCs/>
        </w:rPr>
        <w:t>e aptarti teisiniai santykiai</w:t>
      </w:r>
    </w:p>
    <w:p w14:paraId="3BD8640F" w14:textId="503646CC" w:rsidR="002C1BE4" w:rsidRDefault="002C1BE4" w:rsidP="002C1BE4">
      <w:pPr>
        <w:tabs>
          <w:tab w:val="left" w:pos="720"/>
          <w:tab w:val="left" w:pos="1080"/>
        </w:tabs>
        <w:jc w:val="both"/>
        <w:rPr>
          <w:b/>
        </w:rPr>
      </w:pPr>
      <w:r>
        <w:rPr>
          <w:b/>
        </w:rPr>
        <w:tab/>
      </w:r>
      <w:r w:rsidR="000234B1">
        <w:rPr>
          <w:bCs/>
        </w:rPr>
        <w:t>Šiuo metu galiojančio Administracinių bylų teisenos įstatymo</w:t>
      </w:r>
      <w:r w:rsidR="001C733A">
        <w:rPr>
          <w:bCs/>
        </w:rPr>
        <w:t xml:space="preserve"> </w:t>
      </w:r>
      <w:r w:rsidR="000234B1">
        <w:rPr>
          <w:bCs/>
        </w:rPr>
        <w:t>112 straipsnio 1 dalyje nustatyta, kad k</w:t>
      </w:r>
      <w:r w:rsidR="000234B1" w:rsidRPr="000234B1">
        <w:rPr>
          <w:bCs/>
        </w:rPr>
        <w:t xml:space="preserve">reiptis į administracinį teismą prašydami ištirti, ar norminis administracinis aktas (ar jo dalis) atitinka įstatymą ar Vyriausybės norminį teisės aktą, turi teisę Seimo nariai, Seimo kontrolieriai, vaiko teisių apsaugos kontrolierius, lygių galimybių kontrolierius, Lietuvos Respublikos valstybės kontrolės pareigūnai, bendrosios kompetencijos ir specializuoti teismai, prokurorai ir profesinės savivaldos asociacijos, įsteigtos pagal įstatymą vykdyti viešąsias funkcijas. Nurodyti subjektai taip pat turi teisę kreiptis į administracinį teismą prašydami ištirti konkrečios bendrijos, politinės partijos, politinės organizacijos ar asociacijos priimto bendro pobūdžio teisės akto teisėtumą. </w:t>
      </w:r>
    </w:p>
    <w:p w14:paraId="2A3E4D86" w14:textId="05B45C33" w:rsidR="000234B1" w:rsidRPr="002C1BE4" w:rsidRDefault="002C1BE4" w:rsidP="002C1BE4">
      <w:pPr>
        <w:tabs>
          <w:tab w:val="left" w:pos="720"/>
          <w:tab w:val="left" w:pos="1080"/>
        </w:tabs>
        <w:jc w:val="both"/>
        <w:rPr>
          <w:b/>
        </w:rPr>
      </w:pPr>
      <w:r>
        <w:rPr>
          <w:b/>
        </w:rPr>
        <w:tab/>
      </w:r>
      <w:r w:rsidR="000234B1">
        <w:rPr>
          <w:bCs/>
        </w:rPr>
        <w:t>Taip pat p</w:t>
      </w:r>
      <w:r w:rsidR="000234B1" w:rsidRPr="000234B1">
        <w:rPr>
          <w:bCs/>
        </w:rPr>
        <w:t xml:space="preserve">rašyti administracinio teismo pradėti tyrimą, ar norminis administracinis aktas (ar jo dalis) atitinka įstatymą ar Vyriausybės norminį teisės aktą, turi teisę </w:t>
      </w:r>
      <w:r w:rsidRPr="002C1BE4">
        <w:rPr>
          <w:bCs/>
        </w:rPr>
        <w:t>asmenys, taip pat kiti viešojo administravimo subjektai, įskaitant valstybės tarnautojus ir pareigūnus, kai jie mano, kad jų teisės ar įstatymų saugomi interesai yra pažeisti</w:t>
      </w:r>
      <w:r w:rsidR="000234B1" w:rsidRPr="000234B1">
        <w:rPr>
          <w:bCs/>
        </w:rPr>
        <w:t>, kai tame teisme yra nagrinėjama konkre</w:t>
      </w:r>
      <w:r w:rsidR="000234B1">
        <w:rPr>
          <w:bCs/>
        </w:rPr>
        <w:t>ti byla dėl jų teisių pažeidimo (Administracinių bylų teisenos įstatymo 113 straipsnio 1 dalis).</w:t>
      </w:r>
    </w:p>
    <w:p w14:paraId="7BAAC45C" w14:textId="77777777" w:rsidR="00126408" w:rsidRDefault="00126408" w:rsidP="00126408">
      <w:pPr>
        <w:tabs>
          <w:tab w:val="left" w:pos="709"/>
        </w:tabs>
        <w:ind w:firstLine="709"/>
        <w:jc w:val="both"/>
        <w:rPr>
          <w:b/>
        </w:rPr>
      </w:pPr>
    </w:p>
    <w:p w14:paraId="17F35681" w14:textId="77777777" w:rsidR="002C1BE4" w:rsidRDefault="00126408" w:rsidP="002C1BE4">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14:paraId="20E4FDA7" w14:textId="77777777" w:rsidR="002C1BE4" w:rsidRDefault="002C1BE4" w:rsidP="002C1BE4">
      <w:pPr>
        <w:tabs>
          <w:tab w:val="left" w:pos="709"/>
        </w:tabs>
        <w:ind w:firstLine="709"/>
        <w:jc w:val="both"/>
        <w:rPr>
          <w:b/>
        </w:rPr>
      </w:pPr>
      <w:r>
        <w:t xml:space="preserve">Įstatymo projektu siūloma papildyti Administracinių bylų teisenos įstatymo 112 straipsnio 1 dalį ir numatyti, kad </w:t>
      </w:r>
      <w:r w:rsidRPr="002C1BE4">
        <w:t xml:space="preserve">kreiptis į administracinį teismą prašydami ištirti, ar norminis administracinis aktas (ar jo dalis) atitinka įstatymą ar Vyriausybės norminį teisės aktą, </w:t>
      </w:r>
      <w:r>
        <w:t xml:space="preserve">taip pat </w:t>
      </w:r>
      <w:r w:rsidRPr="002C1BE4">
        <w:t>turi teisę</w:t>
      </w:r>
      <w:r>
        <w:t xml:space="preserve"> suinteresuotos visuomenės, kaip ji apibrėžta Aplinkos apsaugos įstatyme, atstovai. Pažymėtina, kad pagal Aplinkos apsaugos įstatymo 1 straipsnio 22 punktą </w:t>
      </w:r>
      <w:r w:rsidRPr="002C1BE4">
        <w:t xml:space="preserve">suinteresuota visuomenė – </w:t>
      </w:r>
      <w:r>
        <w:t xml:space="preserve">tai </w:t>
      </w:r>
      <w:r w:rsidRPr="002C1BE4">
        <w:t xml:space="preserve">vienas arba daugiau fizinių ar juridinių asmenų, kuriems daro arba gali daryti poveikį sprendimai, veiksmai ar neveikimas aplinkos ir jos apsaugos bei gamtos išteklių naudojimo srityje arba kurie yra suinteresuoti šių sprendimų procesu. Pagal šią apibrėžtį asociacijos ir kiti viešieji juridiniai asmenys (išskyrus </w:t>
      </w:r>
      <w:r w:rsidRPr="002C1BE4">
        <w:lastRenderedPageBreak/>
        <w:t>valstybės ar savivaldybės, jų institucijų įsteigtus juridinius asmenis), kurie įsteigti teisės aktų nustatyta tvarka ir skatina aplinkos apsaugą, visais atvejais laikomi suinteresuotais asmenimis.</w:t>
      </w:r>
    </w:p>
    <w:p w14:paraId="4D46E5F0" w14:textId="77777777" w:rsidR="001C733A" w:rsidRDefault="002C1BE4" w:rsidP="002C1BE4">
      <w:pPr>
        <w:tabs>
          <w:tab w:val="left" w:pos="709"/>
        </w:tabs>
        <w:ind w:firstLine="709"/>
        <w:jc w:val="both"/>
      </w:pPr>
      <w:r>
        <w:t xml:space="preserve">Taigi pagal siūlomą teisinį reguliavimą teisę kreiptis į administracinį teismą dėl norminio administracinio akto teisėtumo patikrinimo įgytų </w:t>
      </w:r>
      <w:r w:rsidRPr="002C1BE4">
        <w:t>viešieji juridiniai asmenys (išskyrus valstybės ar savivaldybės, jų institucijų įsteigtus juridinius asmenis), kurie įsteigti teisės aktų nustatyta tvarka ir skatina aplinkos apsaugą</w:t>
      </w:r>
      <w:r>
        <w:t xml:space="preserve"> bei kiti asmenys, </w:t>
      </w:r>
      <w:r w:rsidRPr="002C1BE4">
        <w:t>kuriems daro arba gali daryti poveikį sprendimai, veiksmai ar neveikimas aplinkos ir jos apsaugos bei gamtos išteklių naudojimo srityje arba kurie yra suinteresuoti šių sprendimų procesu</w:t>
      </w:r>
      <w:r>
        <w:t xml:space="preserve">. </w:t>
      </w:r>
    </w:p>
    <w:p w14:paraId="1F6088A4" w14:textId="6C8A5164" w:rsidR="002C1BE4" w:rsidRPr="002C1BE4" w:rsidRDefault="002C1BE4" w:rsidP="002C1BE4">
      <w:pPr>
        <w:tabs>
          <w:tab w:val="left" w:pos="709"/>
        </w:tabs>
        <w:ind w:firstLine="709"/>
        <w:jc w:val="both"/>
        <w:rPr>
          <w:b/>
        </w:rPr>
      </w:pPr>
      <w:r>
        <w:t xml:space="preserve">Toks teisinis reguliavimas pilnai atitiks </w:t>
      </w:r>
      <w:proofErr w:type="spellStart"/>
      <w:r>
        <w:t>Orhuso</w:t>
      </w:r>
      <w:proofErr w:type="spellEnd"/>
      <w:r>
        <w:t xml:space="preserve"> konvencijos 9 straipsnio 3 dalies nuostatas </w:t>
      </w:r>
      <w:r w:rsidR="000B7E5C">
        <w:t>–</w:t>
      </w:r>
      <w:r>
        <w:t xml:space="preserve"> </w:t>
      </w:r>
      <w:r w:rsidRPr="002C1BE4">
        <w:t xml:space="preserve">visuomenės atstovai, atitinkantys </w:t>
      </w:r>
      <w:r>
        <w:t>įstatym</w:t>
      </w:r>
      <w:r w:rsidRPr="002C1BE4">
        <w:t>e numatytus kriterijus, galėtų teismo tvarka kreiptis dėl valstybės institucijų, pažeidžiančių įstatymų nuostatas, susijusias su aplinkosauga, veiksmų ar neveikimo užginčijimo</w:t>
      </w:r>
      <w:r>
        <w:t>.</w:t>
      </w:r>
    </w:p>
    <w:p w14:paraId="7BAAC460" w14:textId="77777777" w:rsidR="00126408" w:rsidRDefault="00126408" w:rsidP="00126408">
      <w:pPr>
        <w:pStyle w:val="Sraopastraipa"/>
        <w:tabs>
          <w:tab w:val="left" w:pos="0"/>
          <w:tab w:val="left" w:pos="720"/>
          <w:tab w:val="left" w:pos="960"/>
          <w:tab w:val="left" w:pos="993"/>
          <w:tab w:val="left" w:pos="1080"/>
        </w:tabs>
        <w:ind w:left="0" w:firstLine="720"/>
        <w:jc w:val="both"/>
      </w:pPr>
    </w:p>
    <w:p w14:paraId="7BAAC461" w14:textId="54C412F9"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AD3D8A">
        <w:rPr>
          <w:b/>
          <w:color w:val="000000" w:themeColor="text1"/>
        </w:rPr>
        <w:t>o</w:t>
      </w:r>
      <w:r w:rsidR="00735B32" w:rsidRPr="002B1E1E">
        <w:rPr>
          <w:b/>
          <w:color w:val="000000" w:themeColor="text1"/>
        </w:rPr>
        <w:t xml:space="preserve"> projekt</w:t>
      </w:r>
      <w:r w:rsidR="00AD3D8A">
        <w:rPr>
          <w:b/>
          <w:color w:val="000000" w:themeColor="text1"/>
        </w:rPr>
        <w:t>ą</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14:paraId="7BAAC462" w14:textId="23CA0790" w:rsidR="00126408" w:rsidRDefault="00126408" w:rsidP="00126408">
      <w:pPr>
        <w:ind w:firstLine="720"/>
        <w:jc w:val="both"/>
      </w:pPr>
      <w:r>
        <w:t>Priėmus Įstatym</w:t>
      </w:r>
      <w:r w:rsidR="00941217">
        <w:t>o projektą</w:t>
      </w:r>
      <w:r>
        <w:t>, neigiamų pasekmių nenumatoma.</w:t>
      </w:r>
    </w:p>
    <w:p w14:paraId="7BAAC463" w14:textId="77777777" w:rsidR="00126408" w:rsidRDefault="00126408" w:rsidP="00126408">
      <w:pPr>
        <w:pStyle w:val="HTMLiankstoformatuotas"/>
        <w:ind w:firstLine="720"/>
        <w:jc w:val="both"/>
        <w:rPr>
          <w:rFonts w:ascii="Times New Roman" w:hAnsi="Times New Roman" w:cs="Times New Roman"/>
          <w:sz w:val="24"/>
          <w:szCs w:val="24"/>
        </w:rPr>
      </w:pPr>
    </w:p>
    <w:p w14:paraId="7BAAC464" w14:textId="738316B4"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w:t>
      </w:r>
      <w:r w:rsidR="00AD3D8A">
        <w:rPr>
          <w:rFonts w:ascii="Times New Roman" w:hAnsi="Times New Roman"/>
          <w:b/>
          <w:bCs/>
          <w:sz w:val="24"/>
          <w:szCs w:val="24"/>
          <w:lang w:eastAsia="en-GB"/>
        </w:rPr>
        <w:t>as</w:t>
      </w:r>
      <w:r w:rsidR="001C66A7" w:rsidRPr="00A82A8F">
        <w:rPr>
          <w:rFonts w:ascii="Times New Roman" w:hAnsi="Times New Roman"/>
          <w:b/>
          <w:bCs/>
          <w:sz w:val="24"/>
          <w:szCs w:val="24"/>
          <w:lang w:eastAsia="en-GB"/>
        </w:rPr>
        <w:t xml:space="preserve"> įstatyma</w:t>
      </w:r>
      <w:r w:rsidR="00AD3D8A">
        <w:rPr>
          <w:rFonts w:ascii="Times New Roman" w:hAnsi="Times New Roman"/>
          <w:b/>
          <w:bCs/>
          <w:sz w:val="24"/>
          <w:szCs w:val="24"/>
          <w:lang w:eastAsia="en-GB"/>
        </w:rPr>
        <w:t>s</w:t>
      </w:r>
      <w:r w:rsidR="001C66A7" w:rsidRPr="00A82A8F">
        <w:rPr>
          <w:rFonts w:ascii="Times New Roman" w:hAnsi="Times New Roman"/>
          <w:b/>
          <w:bCs/>
          <w:sz w:val="24"/>
          <w:szCs w:val="24"/>
          <w:lang w:eastAsia="en-GB"/>
        </w:rPr>
        <w:t xml:space="preserve"> turės kriminogeninei situacijai, korupcijai</w:t>
      </w:r>
      <w:r w:rsidR="001C66A7">
        <w:rPr>
          <w:rFonts w:ascii="Times New Roman" w:hAnsi="Times New Roman" w:cs="Times New Roman"/>
          <w:b/>
          <w:sz w:val="24"/>
          <w:szCs w:val="24"/>
        </w:rPr>
        <w:t xml:space="preserve"> </w:t>
      </w:r>
    </w:p>
    <w:p w14:paraId="7BAAC465" w14:textId="2577F82E" w:rsidR="00126408" w:rsidRDefault="00941217"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Priimtas</w:t>
      </w:r>
      <w:r w:rsidR="00126408">
        <w:rPr>
          <w:rFonts w:ascii="Times New Roman" w:hAnsi="Times New Roman" w:cs="Times New Roman"/>
          <w:sz w:val="24"/>
          <w:szCs w:val="24"/>
        </w:rPr>
        <w:t xml:space="preserve"> Įstatyma</w:t>
      </w:r>
      <w:r>
        <w:rPr>
          <w:rFonts w:ascii="Times New Roman" w:hAnsi="Times New Roman" w:cs="Times New Roman"/>
          <w:sz w:val="24"/>
          <w:szCs w:val="24"/>
        </w:rPr>
        <w:t>s</w:t>
      </w:r>
      <w:r w:rsidR="00126408">
        <w:rPr>
          <w:rFonts w:ascii="Times New Roman" w:hAnsi="Times New Roman" w:cs="Times New Roman"/>
          <w:sz w:val="24"/>
          <w:szCs w:val="24"/>
        </w:rPr>
        <w:t xml:space="preserve"> neturės įtakos kriminogeninei situacijai, </w:t>
      </w:r>
      <w:r w:rsidR="00126408" w:rsidRPr="00384FB2">
        <w:rPr>
          <w:rFonts w:ascii="Times New Roman" w:hAnsi="Times New Roman" w:cs="Times New Roman"/>
          <w:sz w:val="24"/>
          <w:szCs w:val="24"/>
        </w:rPr>
        <w:t>korupcijai</w:t>
      </w:r>
      <w:r w:rsidR="00126408">
        <w:rPr>
          <w:rFonts w:ascii="Times New Roman" w:hAnsi="Times New Roman" w:cs="Times New Roman"/>
          <w:sz w:val="24"/>
          <w:szCs w:val="24"/>
        </w:rPr>
        <w:t xml:space="preserve">. </w:t>
      </w:r>
    </w:p>
    <w:p w14:paraId="7BAAC466" w14:textId="77777777" w:rsidR="00126408" w:rsidRDefault="00126408" w:rsidP="00126408">
      <w:pPr>
        <w:pStyle w:val="HTMLiankstoformatuotas"/>
        <w:ind w:firstLine="720"/>
        <w:jc w:val="both"/>
        <w:rPr>
          <w:rFonts w:ascii="Times New Roman" w:hAnsi="Times New Roman" w:cs="Times New Roman"/>
          <w:sz w:val="24"/>
          <w:szCs w:val="24"/>
        </w:rPr>
      </w:pPr>
    </w:p>
    <w:p w14:paraId="7BAAC467" w14:textId="48F1E92D" w:rsidR="00126408" w:rsidRDefault="00126408" w:rsidP="00126408">
      <w:pPr>
        <w:tabs>
          <w:tab w:val="left" w:pos="960"/>
          <w:tab w:val="left" w:pos="1080"/>
        </w:tabs>
        <w:ind w:left="709"/>
        <w:jc w:val="both"/>
        <w:rPr>
          <w:b/>
        </w:rPr>
      </w:pPr>
      <w:r>
        <w:rPr>
          <w:b/>
        </w:rPr>
        <w:t xml:space="preserve">7. </w:t>
      </w:r>
      <w:r w:rsidR="00772F42">
        <w:rPr>
          <w:b/>
          <w:color w:val="000000" w:themeColor="text1"/>
        </w:rPr>
        <w:t>Kaip įstatym</w:t>
      </w:r>
      <w:r w:rsidR="00AD3D8A">
        <w:rPr>
          <w:b/>
          <w:color w:val="000000" w:themeColor="text1"/>
        </w:rPr>
        <w:t>o</w:t>
      </w:r>
      <w:r w:rsidR="00772F42">
        <w:rPr>
          <w:b/>
          <w:color w:val="000000" w:themeColor="text1"/>
        </w:rPr>
        <w:t xml:space="preserve">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14:paraId="7BAAC468" w14:textId="2F6A9E85"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B1E1E">
        <w:rPr>
          <w:color w:val="000000" w:themeColor="text1"/>
        </w:rPr>
        <w:t>Priimt</w:t>
      </w:r>
      <w:r w:rsidR="00941217">
        <w:rPr>
          <w:color w:val="000000" w:themeColor="text1"/>
        </w:rPr>
        <w:t>as Įstatymas</w:t>
      </w:r>
      <w:r w:rsidRPr="002B1E1E">
        <w:rPr>
          <w:color w:val="000000" w:themeColor="text1"/>
        </w:rPr>
        <w:t xml:space="preserve"> neturės įtakos verslo sąlygoms ir jo plėtrai</w:t>
      </w:r>
      <w:r w:rsidR="00E3426E">
        <w:rPr>
          <w:color w:val="000000" w:themeColor="text1"/>
        </w:rPr>
        <w:t>.</w:t>
      </w:r>
    </w:p>
    <w:p w14:paraId="7BAAC469" w14:textId="77777777"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6A" w14:textId="0E7DDA36" w:rsidR="00126408" w:rsidRDefault="00126408" w:rsidP="00126408">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8. Įstatym</w:t>
      </w:r>
      <w:r w:rsidR="00AD3D8A">
        <w:rPr>
          <w:b/>
        </w:rPr>
        <w:t>o</w:t>
      </w:r>
      <w:r>
        <w:rPr>
          <w:b/>
        </w:rPr>
        <w:t xml:space="preserve"> inkorporavimas į teisinę sistemą, kokius teisės aktus būtina priimti, kokius galiojančius teisės aktus reikia pakeisti ar pripažinti netekusiais galios</w:t>
      </w:r>
    </w:p>
    <w:p w14:paraId="7BAAC46B" w14:textId="6455D632" w:rsidR="00126408" w:rsidRDefault="00126408" w:rsidP="00126408">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E3426E" w:rsidRPr="002B1E1E">
        <w:rPr>
          <w:rFonts w:ascii="Times New Roman" w:hAnsi="Times New Roman"/>
          <w:color w:val="000000" w:themeColor="text1"/>
          <w:sz w:val="24"/>
          <w:szCs w:val="24"/>
        </w:rPr>
        <w:t>Priėmus įstatym</w:t>
      </w:r>
      <w:r w:rsidR="00941217">
        <w:rPr>
          <w:rFonts w:ascii="Times New Roman" w:hAnsi="Times New Roman"/>
          <w:color w:val="000000" w:themeColor="text1"/>
          <w:sz w:val="24"/>
          <w:szCs w:val="24"/>
        </w:rPr>
        <w:t>ą</w:t>
      </w:r>
      <w:r w:rsidR="00E3426E" w:rsidRPr="002B1E1E">
        <w:rPr>
          <w:rFonts w:ascii="Times New Roman" w:hAnsi="Times New Roman"/>
          <w:color w:val="000000" w:themeColor="text1"/>
          <w:sz w:val="24"/>
          <w:szCs w:val="24"/>
        </w:rPr>
        <w:t>,</w:t>
      </w:r>
      <w:r w:rsidR="00E3426E" w:rsidRPr="002B1E1E">
        <w:rPr>
          <w:rFonts w:ascii="Times New Roman" w:hAnsi="Times New Roman"/>
          <w:bCs/>
          <w:color w:val="000000" w:themeColor="text1"/>
          <w:sz w:val="24"/>
          <w:szCs w:val="24"/>
          <w:lang w:eastAsia="en-GB"/>
        </w:rPr>
        <w:t xml:space="preserve"> priimti naujų įstatymų, keisti ar pripažinti netekusiais galios</w:t>
      </w:r>
      <w:r w:rsidR="00E3426E" w:rsidRPr="002B1E1E">
        <w:rPr>
          <w:rFonts w:ascii="Times New Roman" w:hAnsi="Times New Roman"/>
          <w:color w:val="000000" w:themeColor="text1"/>
          <w:sz w:val="24"/>
          <w:szCs w:val="24"/>
        </w:rPr>
        <w:t xml:space="preserve"> </w:t>
      </w:r>
      <w:r w:rsidR="00E3426E">
        <w:rPr>
          <w:rFonts w:ascii="Times New Roman" w:hAnsi="Times New Roman"/>
          <w:color w:val="000000" w:themeColor="text1"/>
          <w:sz w:val="24"/>
          <w:szCs w:val="24"/>
        </w:rPr>
        <w:t xml:space="preserve">jau </w:t>
      </w:r>
      <w:r w:rsidR="00E3426E" w:rsidRPr="002B1E1E">
        <w:rPr>
          <w:rFonts w:ascii="Times New Roman" w:hAnsi="Times New Roman"/>
          <w:bCs/>
          <w:color w:val="000000" w:themeColor="text1"/>
          <w:sz w:val="24"/>
          <w:szCs w:val="24"/>
          <w:lang w:eastAsia="en-GB"/>
        </w:rPr>
        <w:t xml:space="preserve">galiojančių įstatymų </w:t>
      </w:r>
      <w:r w:rsidR="00E3426E" w:rsidRPr="002B1E1E">
        <w:rPr>
          <w:rFonts w:ascii="Times New Roman" w:hAnsi="Times New Roman"/>
          <w:color w:val="000000" w:themeColor="text1"/>
          <w:sz w:val="24"/>
          <w:szCs w:val="24"/>
        </w:rPr>
        <w:t>nereikės</w:t>
      </w:r>
      <w:r>
        <w:rPr>
          <w:rFonts w:ascii="Times New Roman" w:hAnsi="Times New Roman" w:cs="Times New Roman"/>
          <w:sz w:val="24"/>
          <w:szCs w:val="24"/>
        </w:rPr>
        <w:t xml:space="preserve">. </w:t>
      </w:r>
    </w:p>
    <w:p w14:paraId="7BAAC46C" w14:textId="77777777" w:rsidR="00126408" w:rsidRDefault="00126408" w:rsidP="00126408">
      <w:pPr>
        <w:pStyle w:val="HTMLiankstoformatuotas"/>
        <w:jc w:val="both"/>
        <w:rPr>
          <w:rFonts w:ascii="Times New Roman" w:hAnsi="Times New Roman" w:cs="Times New Roman"/>
          <w:sz w:val="24"/>
          <w:szCs w:val="24"/>
        </w:rPr>
      </w:pPr>
    </w:p>
    <w:p w14:paraId="7BAAC46D" w14:textId="4B211560" w:rsidR="00126408" w:rsidRDefault="00126408" w:rsidP="00126408">
      <w:pPr>
        <w:tabs>
          <w:tab w:val="left" w:pos="0"/>
          <w:tab w:val="left" w:pos="993"/>
        </w:tabs>
        <w:ind w:firstLine="709"/>
        <w:jc w:val="both"/>
        <w:rPr>
          <w:b/>
        </w:rPr>
      </w:pPr>
      <w:r>
        <w:rPr>
          <w:b/>
        </w:rPr>
        <w:t xml:space="preserve">9. </w:t>
      </w:r>
      <w:r w:rsidR="00B35C4D">
        <w:rPr>
          <w:b/>
          <w:color w:val="000000" w:themeColor="text1"/>
        </w:rPr>
        <w:t>Ar į</w:t>
      </w:r>
      <w:r w:rsidR="00B35C4D" w:rsidRPr="002B1E1E">
        <w:rPr>
          <w:b/>
          <w:color w:val="000000" w:themeColor="text1"/>
        </w:rPr>
        <w:t>statym</w:t>
      </w:r>
      <w:r w:rsidR="00AD3D8A">
        <w:rPr>
          <w:b/>
          <w:color w:val="000000" w:themeColor="text1"/>
        </w:rPr>
        <w:t>o</w:t>
      </w:r>
      <w:r w:rsidR="00B35C4D">
        <w:rPr>
          <w:b/>
          <w:color w:val="000000" w:themeColor="text1"/>
        </w:rPr>
        <w:t xml:space="preserve"> projekt</w:t>
      </w:r>
      <w:r w:rsidR="00196E34">
        <w:rPr>
          <w:b/>
          <w:color w:val="000000" w:themeColor="text1"/>
        </w:rPr>
        <w:t>a</w:t>
      </w:r>
      <w:r w:rsidR="00AD3D8A">
        <w:rPr>
          <w:b/>
          <w:color w:val="000000" w:themeColor="text1"/>
        </w:rPr>
        <w:t>s</w:t>
      </w:r>
      <w:r w:rsidR="00B35C4D">
        <w:rPr>
          <w:b/>
          <w:color w:val="000000" w:themeColor="text1"/>
        </w:rPr>
        <w:t xml:space="preserve"> parengt</w:t>
      </w:r>
      <w:r w:rsidR="00AD3D8A">
        <w:rPr>
          <w:b/>
          <w:color w:val="000000" w:themeColor="text1"/>
        </w:rPr>
        <w:t>as</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i Terminų banko įstatymo ir jo įgyvendinamųjų teisės aktų nustatyta tvarka</w:t>
      </w:r>
      <w:r>
        <w:rPr>
          <w:b/>
        </w:rPr>
        <w:t xml:space="preserve"> </w:t>
      </w:r>
    </w:p>
    <w:p w14:paraId="0FC470EB" w14:textId="206FD4A4" w:rsidR="00647578" w:rsidRDefault="00941217" w:rsidP="00647578">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Įstatymo projektas</w:t>
      </w:r>
      <w:r w:rsidR="00126408">
        <w:rPr>
          <w:rFonts w:ascii="Times New Roman" w:hAnsi="Times New Roman" w:cs="Times New Roman"/>
          <w:sz w:val="24"/>
          <w:szCs w:val="24"/>
        </w:rPr>
        <w:t xml:space="preserve"> atitinka Lietuvos Respublikos valstybinės kalbos įstatymo ir Lietuvos Respublikos teisėkūros pagrindų įstatymo reikalavimus. </w:t>
      </w:r>
      <w:r w:rsidR="00647578">
        <w:rPr>
          <w:rFonts w:ascii="Times New Roman" w:hAnsi="Times New Roman" w:cs="Times New Roman"/>
          <w:sz w:val="24"/>
          <w:szCs w:val="24"/>
        </w:rPr>
        <w:t>Įstatymo projekte neapibrėžiamos naujos ir nekeičiamos esamos sąvokos ir terminai.</w:t>
      </w:r>
    </w:p>
    <w:p w14:paraId="7BAAC46E" w14:textId="213F6A61" w:rsidR="00126408" w:rsidRDefault="00126408" w:rsidP="00126408">
      <w:pPr>
        <w:pStyle w:val="HTMLiankstoformatuotas"/>
        <w:ind w:firstLine="709"/>
        <w:jc w:val="both"/>
        <w:rPr>
          <w:rFonts w:ascii="Times New Roman" w:hAnsi="Times New Roman" w:cs="Times New Roman"/>
          <w:sz w:val="24"/>
          <w:szCs w:val="24"/>
        </w:rPr>
      </w:pPr>
    </w:p>
    <w:p w14:paraId="7BAAC46F" w14:textId="77777777" w:rsidR="00126408" w:rsidRDefault="00126408" w:rsidP="00126408">
      <w:pPr>
        <w:pStyle w:val="HTMLiankstoformatuotas"/>
        <w:ind w:firstLine="709"/>
        <w:jc w:val="both"/>
        <w:rPr>
          <w:rFonts w:ascii="Times New Roman" w:hAnsi="Times New Roman" w:cs="Times New Roman"/>
          <w:sz w:val="24"/>
          <w:szCs w:val="24"/>
        </w:rPr>
      </w:pPr>
    </w:p>
    <w:p w14:paraId="7BAAC470" w14:textId="03EB1EED" w:rsidR="00126408" w:rsidRDefault="00126408" w:rsidP="00126408">
      <w:pPr>
        <w:tabs>
          <w:tab w:val="left" w:pos="0"/>
          <w:tab w:val="left" w:pos="1080"/>
        </w:tabs>
        <w:ind w:firstLine="720"/>
        <w:jc w:val="both"/>
        <w:rPr>
          <w:b/>
        </w:rPr>
      </w:pPr>
      <w:r>
        <w:rPr>
          <w:b/>
        </w:rPr>
        <w:t xml:space="preserve">10. </w:t>
      </w:r>
      <w:r w:rsidR="00196E34">
        <w:rPr>
          <w:b/>
          <w:color w:val="000000" w:themeColor="text1"/>
        </w:rPr>
        <w:t>Ar į</w:t>
      </w:r>
      <w:r w:rsidR="00196E34" w:rsidRPr="002B1E1E">
        <w:rPr>
          <w:b/>
          <w:color w:val="000000" w:themeColor="text1"/>
        </w:rPr>
        <w:t>statym</w:t>
      </w:r>
      <w:r w:rsidR="00AD3D8A">
        <w:rPr>
          <w:b/>
          <w:color w:val="000000" w:themeColor="text1"/>
        </w:rPr>
        <w:t>o</w:t>
      </w:r>
      <w:r w:rsidR="00196E34" w:rsidRPr="002B1E1E">
        <w:rPr>
          <w:b/>
          <w:color w:val="000000" w:themeColor="text1"/>
        </w:rPr>
        <w:t xml:space="preserve"> projekt</w:t>
      </w:r>
      <w:r w:rsidR="00196E34">
        <w:rPr>
          <w:b/>
          <w:color w:val="000000" w:themeColor="text1"/>
        </w:rPr>
        <w:t>a</w:t>
      </w:r>
      <w:r w:rsidR="00AD3D8A">
        <w:rPr>
          <w:b/>
          <w:color w:val="000000" w:themeColor="text1"/>
        </w:rPr>
        <w:t>s</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14:paraId="7BAAC471" w14:textId="5F1E1008" w:rsidR="00126408" w:rsidRDefault="00126408" w:rsidP="00126408">
      <w:pPr>
        <w:tabs>
          <w:tab w:val="left" w:pos="0"/>
          <w:tab w:val="left" w:pos="1080"/>
        </w:tabs>
        <w:ind w:firstLine="720"/>
        <w:jc w:val="both"/>
      </w:pPr>
      <w:r>
        <w:t>Įstatym</w:t>
      </w:r>
      <w:r w:rsidR="00941217">
        <w:t>o projektas</w:t>
      </w:r>
      <w:r>
        <w:t xml:space="preserve"> atitinka Žmogaus teisių ir pagrindinių laisvių apsaugos konvencijos nuostatas ir Europos Sąjungos dokumentus. </w:t>
      </w:r>
    </w:p>
    <w:p w14:paraId="7BAAC472" w14:textId="77777777" w:rsidR="00126408" w:rsidRDefault="00126408" w:rsidP="00126408">
      <w:pPr>
        <w:pStyle w:val="HTMLiankstoformatuotas"/>
        <w:ind w:firstLine="720"/>
        <w:jc w:val="both"/>
        <w:rPr>
          <w:rFonts w:ascii="Times New Roman" w:hAnsi="Times New Roman" w:cs="Times New Roman"/>
          <w:sz w:val="24"/>
          <w:szCs w:val="24"/>
        </w:rPr>
      </w:pPr>
    </w:p>
    <w:p w14:paraId="7BAAC473" w14:textId="2DB12C2A" w:rsidR="00126408" w:rsidRPr="003B5938" w:rsidRDefault="00126408" w:rsidP="00126408">
      <w:pPr>
        <w:pStyle w:val="HTMLiankstoformatuotas"/>
        <w:ind w:firstLine="720"/>
        <w:jc w:val="both"/>
        <w:rPr>
          <w:rFonts w:ascii="Times New Roman" w:hAnsi="Times New Roman" w:cs="Times New Roman"/>
          <w:b/>
          <w:sz w:val="24"/>
          <w:szCs w:val="24"/>
        </w:rPr>
      </w:pPr>
      <w:r w:rsidRPr="003B5938">
        <w:rPr>
          <w:rFonts w:ascii="Times New Roman" w:hAnsi="Times New Roman" w:cs="Times New Roman"/>
          <w:b/>
          <w:sz w:val="24"/>
          <w:szCs w:val="24"/>
        </w:rPr>
        <w:t xml:space="preserve">11. </w:t>
      </w:r>
      <w:r w:rsidR="00196E34" w:rsidRPr="003B5938">
        <w:rPr>
          <w:rFonts w:ascii="Times New Roman" w:hAnsi="Times New Roman" w:cs="Times New Roman"/>
          <w:b/>
          <w:color w:val="000000" w:themeColor="text1"/>
          <w:sz w:val="24"/>
          <w:szCs w:val="24"/>
        </w:rPr>
        <w:t>Jeigu įstatym</w:t>
      </w:r>
      <w:r w:rsidR="00AD3D8A">
        <w:rPr>
          <w:rFonts w:ascii="Times New Roman" w:hAnsi="Times New Roman" w:cs="Times New Roman"/>
          <w:b/>
          <w:color w:val="000000" w:themeColor="text1"/>
          <w:sz w:val="24"/>
          <w:szCs w:val="24"/>
        </w:rPr>
        <w:t>ui</w:t>
      </w:r>
      <w:r w:rsidR="00196E34" w:rsidRPr="003B5938">
        <w:rPr>
          <w:rFonts w:ascii="Times New Roman" w:hAnsi="Times New Roman" w:cs="Times New Roman"/>
          <w:b/>
          <w:color w:val="000000" w:themeColor="text1"/>
          <w:sz w:val="24"/>
          <w:szCs w:val="24"/>
        </w:rPr>
        <w:t xml:space="preserve"> įgyvendinti reikia įgyvendinamųjų teisės aktų, – kas ir kada juos turėtų priimti</w:t>
      </w:r>
    </w:p>
    <w:p w14:paraId="7BAAC474" w14:textId="513D4C4C" w:rsidR="00126408" w:rsidRPr="003B5938" w:rsidRDefault="003B593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Priėmus Į</w:t>
      </w:r>
      <w:r w:rsidRPr="003B5938">
        <w:rPr>
          <w:rFonts w:ascii="Times New Roman" w:hAnsi="Times New Roman" w:cs="Times New Roman"/>
          <w:sz w:val="24"/>
          <w:szCs w:val="24"/>
        </w:rPr>
        <w:t>statym</w:t>
      </w:r>
      <w:r w:rsidR="00AD3D8A">
        <w:rPr>
          <w:rFonts w:ascii="Times New Roman" w:hAnsi="Times New Roman" w:cs="Times New Roman"/>
          <w:sz w:val="24"/>
          <w:szCs w:val="24"/>
        </w:rPr>
        <w:t>o projektą</w:t>
      </w:r>
      <w:r w:rsidRPr="003B5938">
        <w:rPr>
          <w:rFonts w:ascii="Times New Roman" w:hAnsi="Times New Roman" w:cs="Times New Roman"/>
          <w:sz w:val="24"/>
          <w:szCs w:val="24"/>
        </w:rPr>
        <w:t xml:space="preserve"> </w:t>
      </w:r>
      <w:r w:rsidR="00806198">
        <w:rPr>
          <w:rFonts w:ascii="Times New Roman" w:hAnsi="Times New Roman" w:cs="Times New Roman"/>
          <w:sz w:val="24"/>
          <w:szCs w:val="24"/>
        </w:rPr>
        <w:t>įgyvendinamųjų teisės aktų</w:t>
      </w:r>
      <w:r w:rsidR="002C1BE4">
        <w:rPr>
          <w:rFonts w:ascii="Times New Roman" w:hAnsi="Times New Roman" w:cs="Times New Roman"/>
          <w:sz w:val="24"/>
          <w:szCs w:val="24"/>
        </w:rPr>
        <w:t xml:space="preserve"> priimti nereikės</w:t>
      </w:r>
      <w:r>
        <w:rPr>
          <w:rFonts w:ascii="Times New Roman" w:hAnsi="Times New Roman" w:cs="Times New Roman"/>
          <w:sz w:val="24"/>
          <w:szCs w:val="24"/>
        </w:rPr>
        <w:t>.</w:t>
      </w:r>
    </w:p>
    <w:p w14:paraId="7BAAC475" w14:textId="77777777" w:rsidR="00126408" w:rsidRDefault="00126408" w:rsidP="00126408">
      <w:pPr>
        <w:tabs>
          <w:tab w:val="left" w:pos="960"/>
          <w:tab w:val="left" w:pos="1080"/>
        </w:tabs>
        <w:jc w:val="both"/>
      </w:pPr>
      <w:r>
        <w:tab/>
      </w:r>
    </w:p>
    <w:p w14:paraId="7BAAC476" w14:textId="77777777" w:rsidR="00126408" w:rsidRDefault="00126408" w:rsidP="00126408">
      <w:pPr>
        <w:tabs>
          <w:tab w:val="left" w:pos="709"/>
          <w:tab w:val="left" w:pos="1080"/>
        </w:tabs>
        <w:jc w:val="both"/>
        <w:rPr>
          <w:b/>
        </w:rPr>
      </w:pPr>
      <w:r>
        <w:tab/>
      </w:r>
      <w:r>
        <w:rPr>
          <w:b/>
        </w:rPr>
        <w:t xml:space="preserve">12. </w:t>
      </w:r>
      <w:r w:rsidR="006E2119">
        <w:rPr>
          <w:b/>
          <w:color w:val="000000" w:themeColor="text1"/>
        </w:rPr>
        <w:t>Kiek v</w:t>
      </w:r>
      <w:r w:rsidR="006E2119" w:rsidRPr="002B1E1E">
        <w:rPr>
          <w:b/>
          <w:color w:val="000000" w:themeColor="text1"/>
        </w:rPr>
        <w:t>alstybės,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14:paraId="7BAAC477" w14:textId="4B0AFE09" w:rsidR="00126408" w:rsidRDefault="00126408" w:rsidP="00126408">
      <w:pPr>
        <w:tabs>
          <w:tab w:val="left" w:pos="960"/>
          <w:tab w:val="left" w:pos="1080"/>
        </w:tabs>
        <w:ind w:firstLine="709"/>
        <w:jc w:val="both"/>
      </w:pPr>
      <w:r>
        <w:lastRenderedPageBreak/>
        <w:t>Įstatym</w:t>
      </w:r>
      <w:r w:rsidR="00941217">
        <w:t>o projekt</w:t>
      </w:r>
      <w:r>
        <w:t>e numatytoms nuostatoms įgyvendinti neprireiks valstybės, savivaldybių biudžetų ar kitų valstybės įsteigtų fondų lėšų.</w:t>
      </w:r>
    </w:p>
    <w:p w14:paraId="7BAAC478" w14:textId="77777777" w:rsidR="00126408" w:rsidRDefault="00126408" w:rsidP="00126408">
      <w:pPr>
        <w:tabs>
          <w:tab w:val="left" w:pos="960"/>
          <w:tab w:val="left" w:pos="1080"/>
        </w:tabs>
        <w:jc w:val="both"/>
      </w:pPr>
    </w:p>
    <w:p w14:paraId="7BAAC479"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Įstatymų projektų rengimo metu gauti specialistų vertinimai ir išvados</w:t>
      </w:r>
    </w:p>
    <w:p w14:paraId="7BAAC47A" w14:textId="301C76F9"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w:t>
      </w:r>
      <w:r w:rsidR="00941217">
        <w:t>o</w:t>
      </w:r>
      <w:r>
        <w:t xml:space="preserve"> projekt</w:t>
      </w:r>
      <w:r w:rsidR="00941217">
        <w:t>o</w:t>
      </w:r>
      <w:r>
        <w:t xml:space="preserve"> rengimo metu specialistų vertinimų ir išvadų nebuvo gauta.</w:t>
      </w:r>
    </w:p>
    <w:p w14:paraId="7BAAC47B" w14:textId="77777777"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7C"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14.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w:t>
      </w:r>
      <w:proofErr w:type="spellStart"/>
      <w:r>
        <w:rPr>
          <w:rFonts w:ascii="Times New Roman" w:hAnsi="Times New Roman" w:cs="Times New Roman"/>
          <w:b/>
          <w:sz w:val="24"/>
          <w:szCs w:val="24"/>
        </w:rPr>
        <w:t>Euro</w:t>
      </w:r>
      <w:r w:rsidR="00E94E4F">
        <w:rPr>
          <w:rFonts w:ascii="Times New Roman" w:hAnsi="Times New Roman" w:cs="Times New Roman"/>
          <w:b/>
          <w:sz w:val="24"/>
          <w:szCs w:val="24"/>
        </w:rPr>
        <w:t>voc</w:t>
      </w:r>
      <w:proofErr w:type="spellEnd"/>
      <w:r w:rsidR="00E94E4F">
        <w:rPr>
          <w:rFonts w:ascii="Times New Roman" w:hAnsi="Times New Roman" w:cs="Times New Roman"/>
          <w:b/>
          <w:sz w:val="24"/>
          <w:szCs w:val="24"/>
        </w:rPr>
        <w:t>“ terminus, temas bei sritis</w:t>
      </w:r>
    </w:p>
    <w:p w14:paraId="7BAAC47D" w14:textId="02C8672D" w:rsidR="00126408" w:rsidRDefault="00384FB2"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sz w:val="24"/>
          <w:szCs w:val="24"/>
        </w:rPr>
        <w:t>„</w:t>
      </w:r>
      <w:r w:rsidR="002C1BE4">
        <w:rPr>
          <w:rFonts w:ascii="Times New Roman" w:hAnsi="Times New Roman" w:cs="Times New Roman"/>
          <w:sz w:val="24"/>
          <w:szCs w:val="24"/>
        </w:rPr>
        <w:t>Aplinkos apsauga</w:t>
      </w:r>
      <w:r w:rsidR="00126408">
        <w:rPr>
          <w:rFonts w:ascii="Times New Roman" w:hAnsi="Times New Roman" w:cs="Times New Roman"/>
          <w:sz w:val="24"/>
          <w:szCs w:val="24"/>
        </w:rPr>
        <w:t>“</w:t>
      </w:r>
      <w:r w:rsidR="00941217">
        <w:rPr>
          <w:rFonts w:ascii="Times New Roman" w:hAnsi="Times New Roman" w:cs="Times New Roman"/>
          <w:sz w:val="24"/>
          <w:szCs w:val="24"/>
        </w:rPr>
        <w:t>, „</w:t>
      </w:r>
      <w:r w:rsidR="002C1BE4">
        <w:rPr>
          <w:rFonts w:ascii="Times New Roman" w:hAnsi="Times New Roman" w:cs="Times New Roman"/>
          <w:sz w:val="24"/>
          <w:szCs w:val="24"/>
        </w:rPr>
        <w:t>administracinis teismas</w:t>
      </w:r>
      <w:r w:rsidR="00941217">
        <w:rPr>
          <w:rFonts w:ascii="Times New Roman" w:hAnsi="Times New Roman" w:cs="Times New Roman"/>
          <w:sz w:val="24"/>
          <w:szCs w:val="24"/>
        </w:rPr>
        <w:t>“</w:t>
      </w:r>
      <w:r w:rsidR="002C1BE4">
        <w:rPr>
          <w:rFonts w:ascii="Times New Roman" w:hAnsi="Times New Roman" w:cs="Times New Roman"/>
          <w:sz w:val="24"/>
          <w:szCs w:val="24"/>
        </w:rPr>
        <w:t>, „norminis administracinis aktas“, „suinteresuota visuomenė“</w:t>
      </w:r>
      <w:r w:rsidR="00126408">
        <w:rPr>
          <w:rFonts w:ascii="Times New Roman" w:hAnsi="Times New Roman" w:cs="Times New Roman"/>
          <w:sz w:val="24"/>
          <w:szCs w:val="24"/>
        </w:rPr>
        <w:t>.</w:t>
      </w:r>
    </w:p>
    <w:p w14:paraId="7BAAC47E" w14:textId="77777777" w:rsidR="00126408" w:rsidRDefault="00126408" w:rsidP="00126408">
      <w:pPr>
        <w:pStyle w:val="HTMLiankstoformatuotas"/>
        <w:ind w:firstLine="720"/>
        <w:jc w:val="both"/>
        <w:rPr>
          <w:rFonts w:ascii="Times New Roman" w:hAnsi="Times New Roman" w:cs="Times New Roman"/>
          <w:b/>
          <w:sz w:val="24"/>
          <w:szCs w:val="24"/>
        </w:rPr>
      </w:pPr>
    </w:p>
    <w:p w14:paraId="7BAAC47F"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 Kiti, iniciatorių nuomone, reikali</w:t>
      </w:r>
      <w:r w:rsidR="00E94E4F">
        <w:rPr>
          <w:rFonts w:ascii="Times New Roman" w:hAnsi="Times New Roman" w:cs="Times New Roman"/>
          <w:b/>
          <w:sz w:val="24"/>
          <w:szCs w:val="24"/>
        </w:rPr>
        <w:t>ngi pagrindimai ir paaiškinimai</w:t>
      </w:r>
    </w:p>
    <w:p w14:paraId="7BAAC480" w14:textId="77777777" w:rsidR="00126408" w:rsidRDefault="0012640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Nėra.</w:t>
      </w:r>
    </w:p>
    <w:p w14:paraId="7BAAC481" w14:textId="77777777"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BAAC482" w14:textId="77777777" w:rsidR="00DB7CF8" w:rsidRPr="00E70403" w:rsidRDefault="00DB7CF8" w:rsidP="00DB7CF8">
      <w:pPr>
        <w:ind w:firstLine="1296"/>
        <w:jc w:val="both"/>
        <w:rPr>
          <w:color w:val="000000" w:themeColor="text1"/>
        </w:rPr>
      </w:pPr>
    </w:p>
    <w:p w14:paraId="7BAAC483" w14:textId="77777777" w:rsidR="00DB7CF8" w:rsidRPr="00E70403" w:rsidRDefault="00DB7CF8" w:rsidP="00DB7CF8">
      <w:pPr>
        <w:ind w:firstLine="1296"/>
        <w:jc w:val="both"/>
        <w:rPr>
          <w:color w:val="000000" w:themeColor="text1"/>
        </w:rPr>
      </w:pPr>
    </w:p>
    <w:sectPr w:rsidR="00DB7CF8" w:rsidRPr="00E70403" w:rsidSect="00B63253">
      <w:headerReference w:type="default" r:id="rId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34FF6" w14:textId="77777777" w:rsidR="0023562B" w:rsidRDefault="0023562B" w:rsidP="00DC679D">
      <w:r>
        <w:separator/>
      </w:r>
    </w:p>
  </w:endnote>
  <w:endnote w:type="continuationSeparator" w:id="0">
    <w:p w14:paraId="56450190" w14:textId="77777777" w:rsidR="0023562B" w:rsidRDefault="0023562B" w:rsidP="00DC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EDC30" w14:textId="77777777" w:rsidR="0023562B" w:rsidRDefault="0023562B" w:rsidP="00DC679D">
      <w:r>
        <w:separator/>
      </w:r>
    </w:p>
  </w:footnote>
  <w:footnote w:type="continuationSeparator" w:id="0">
    <w:p w14:paraId="23EDF489" w14:textId="77777777" w:rsidR="0023562B" w:rsidRDefault="0023562B" w:rsidP="00DC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132640"/>
      <w:docPartObj>
        <w:docPartGallery w:val="Page Numbers (Top of Page)"/>
        <w:docPartUnique/>
      </w:docPartObj>
    </w:sdtPr>
    <w:sdtEndPr/>
    <w:sdtContent>
      <w:p w14:paraId="6092DDEB" w14:textId="4380A4A8" w:rsidR="00AF2745" w:rsidRDefault="00AF2745">
        <w:pPr>
          <w:pStyle w:val="Antrats"/>
          <w:jc w:val="center"/>
        </w:pPr>
        <w:r>
          <w:fldChar w:fldCharType="begin"/>
        </w:r>
        <w:r>
          <w:instrText>PAGE   \* MERGEFORMAT</w:instrText>
        </w:r>
        <w:r>
          <w:fldChar w:fldCharType="separate"/>
        </w:r>
        <w:r w:rsidR="00B63253">
          <w:rPr>
            <w:noProof/>
          </w:rPr>
          <w:t>4</w:t>
        </w:r>
        <w:r>
          <w:fldChar w:fldCharType="end"/>
        </w:r>
      </w:p>
    </w:sdtContent>
  </w:sdt>
  <w:p w14:paraId="4EEE7809" w14:textId="77777777" w:rsidR="00AF2745" w:rsidRDefault="00AF27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01B08"/>
    <w:rsid w:val="0002343E"/>
    <w:rsid w:val="000234B1"/>
    <w:rsid w:val="00043495"/>
    <w:rsid w:val="0004637A"/>
    <w:rsid w:val="00055F06"/>
    <w:rsid w:val="000B7E5C"/>
    <w:rsid w:val="000F0415"/>
    <w:rsid w:val="0011299E"/>
    <w:rsid w:val="00126408"/>
    <w:rsid w:val="00147A72"/>
    <w:rsid w:val="00196E34"/>
    <w:rsid w:val="001C66A7"/>
    <w:rsid w:val="001C733A"/>
    <w:rsid w:val="001D7F47"/>
    <w:rsid w:val="001E52A3"/>
    <w:rsid w:val="001F5C99"/>
    <w:rsid w:val="00220974"/>
    <w:rsid w:val="0023562B"/>
    <w:rsid w:val="00263124"/>
    <w:rsid w:val="002A75DB"/>
    <w:rsid w:val="002C1BE4"/>
    <w:rsid w:val="00302609"/>
    <w:rsid w:val="00311E4B"/>
    <w:rsid w:val="00384FB2"/>
    <w:rsid w:val="0039309F"/>
    <w:rsid w:val="003B5938"/>
    <w:rsid w:val="003E7EF7"/>
    <w:rsid w:val="00471D10"/>
    <w:rsid w:val="004C3504"/>
    <w:rsid w:val="004F1DCD"/>
    <w:rsid w:val="0057531B"/>
    <w:rsid w:val="00580968"/>
    <w:rsid w:val="005B0896"/>
    <w:rsid w:val="005D2688"/>
    <w:rsid w:val="005F4265"/>
    <w:rsid w:val="005F447D"/>
    <w:rsid w:val="00612A20"/>
    <w:rsid w:val="00632347"/>
    <w:rsid w:val="00637336"/>
    <w:rsid w:val="00647578"/>
    <w:rsid w:val="00672FB2"/>
    <w:rsid w:val="006A6C7F"/>
    <w:rsid w:val="006C6804"/>
    <w:rsid w:val="006C7599"/>
    <w:rsid w:val="006D3461"/>
    <w:rsid w:val="006E2119"/>
    <w:rsid w:val="006E5F3C"/>
    <w:rsid w:val="00735B32"/>
    <w:rsid w:val="00772F42"/>
    <w:rsid w:val="00780247"/>
    <w:rsid w:val="007B5F19"/>
    <w:rsid w:val="007D5732"/>
    <w:rsid w:val="007F47E3"/>
    <w:rsid w:val="00806198"/>
    <w:rsid w:val="0086575E"/>
    <w:rsid w:val="00872E02"/>
    <w:rsid w:val="008E7483"/>
    <w:rsid w:val="008E7F06"/>
    <w:rsid w:val="008F52B1"/>
    <w:rsid w:val="009012B4"/>
    <w:rsid w:val="00914961"/>
    <w:rsid w:val="00915E05"/>
    <w:rsid w:val="0091796D"/>
    <w:rsid w:val="00920097"/>
    <w:rsid w:val="00931DB6"/>
    <w:rsid w:val="00933655"/>
    <w:rsid w:val="00933AC8"/>
    <w:rsid w:val="00941217"/>
    <w:rsid w:val="009C4A43"/>
    <w:rsid w:val="009E0BD6"/>
    <w:rsid w:val="009E522F"/>
    <w:rsid w:val="009F71BB"/>
    <w:rsid w:val="00A16C5C"/>
    <w:rsid w:val="00A2029E"/>
    <w:rsid w:val="00A21A13"/>
    <w:rsid w:val="00A3488C"/>
    <w:rsid w:val="00A65369"/>
    <w:rsid w:val="00AD3D8A"/>
    <w:rsid w:val="00AF2745"/>
    <w:rsid w:val="00B10975"/>
    <w:rsid w:val="00B15915"/>
    <w:rsid w:val="00B35C4D"/>
    <w:rsid w:val="00B36176"/>
    <w:rsid w:val="00B63253"/>
    <w:rsid w:val="00B70822"/>
    <w:rsid w:val="00B8132F"/>
    <w:rsid w:val="00B86301"/>
    <w:rsid w:val="00BB376A"/>
    <w:rsid w:val="00BB7323"/>
    <w:rsid w:val="00BC3562"/>
    <w:rsid w:val="00BE321A"/>
    <w:rsid w:val="00BF499A"/>
    <w:rsid w:val="00C01F6C"/>
    <w:rsid w:val="00C033FA"/>
    <w:rsid w:val="00C251F8"/>
    <w:rsid w:val="00C86CDE"/>
    <w:rsid w:val="00CC44A5"/>
    <w:rsid w:val="00CD396D"/>
    <w:rsid w:val="00D13A50"/>
    <w:rsid w:val="00D579B4"/>
    <w:rsid w:val="00D80CE6"/>
    <w:rsid w:val="00D94B40"/>
    <w:rsid w:val="00D951DE"/>
    <w:rsid w:val="00DA633A"/>
    <w:rsid w:val="00DA703C"/>
    <w:rsid w:val="00DB7CF8"/>
    <w:rsid w:val="00DC679D"/>
    <w:rsid w:val="00DE127C"/>
    <w:rsid w:val="00E14D19"/>
    <w:rsid w:val="00E30D95"/>
    <w:rsid w:val="00E3426E"/>
    <w:rsid w:val="00E401CB"/>
    <w:rsid w:val="00E70403"/>
    <w:rsid w:val="00E811FF"/>
    <w:rsid w:val="00E83D99"/>
    <w:rsid w:val="00E85BD6"/>
    <w:rsid w:val="00E85DB2"/>
    <w:rsid w:val="00E94E4F"/>
    <w:rsid w:val="00EB21AB"/>
    <w:rsid w:val="00EB5137"/>
    <w:rsid w:val="00EC1EB0"/>
    <w:rsid w:val="00EE07FD"/>
    <w:rsid w:val="00EE2B17"/>
    <w:rsid w:val="00EE6968"/>
    <w:rsid w:val="00F13656"/>
    <w:rsid w:val="00F14296"/>
    <w:rsid w:val="00F20912"/>
    <w:rsid w:val="00F2406B"/>
    <w:rsid w:val="00F2723D"/>
    <w:rsid w:val="00F91488"/>
    <w:rsid w:val="00F9378D"/>
    <w:rsid w:val="00FB1183"/>
    <w:rsid w:val="00FC0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AC44C"/>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408"/>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qFormat/>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qFormat/>
    <w:rsid w:val="00126408"/>
    <w:rPr>
      <w:rFonts w:ascii="Courier New" w:eastAsia="Times New Roman" w:hAnsi="Courier New" w:cs="Courier New"/>
      <w:sz w:val="20"/>
      <w:szCs w:val="20"/>
      <w:lang w:eastAsia="lt-LT"/>
    </w:rPr>
  </w:style>
  <w:style w:type="paragraph" w:styleId="Komentarotekstas">
    <w:name w:val="annotation text"/>
    <w:basedOn w:val="prastasis"/>
    <w:link w:val="KomentarotekstasDiagrama"/>
    <w:uiPriority w:val="99"/>
    <w:unhideWhenUsed/>
    <w:rsid w:val="00126408"/>
    <w:rPr>
      <w:sz w:val="20"/>
      <w:szCs w:val="20"/>
    </w:rPr>
  </w:style>
  <w:style w:type="character" w:customStyle="1" w:styleId="KomentarotekstasDiagrama">
    <w:name w:val="Komentaro tekstas Diagrama"/>
    <w:basedOn w:val="Numatytasispastraiposriftas"/>
    <w:link w:val="Komentarotekstas"/>
    <w:uiPriority w:val="99"/>
    <w:rsid w:val="00126408"/>
    <w:rPr>
      <w:rFonts w:eastAsia="Times New Roman" w:cs="Times New Roman"/>
      <w:sz w:val="20"/>
      <w:szCs w:val="20"/>
      <w:lang w:eastAsia="lt-LT"/>
    </w:rPr>
  </w:style>
  <w:style w:type="paragraph" w:styleId="Antrats">
    <w:name w:val="header"/>
    <w:basedOn w:val="prastasis"/>
    <w:link w:val="AntratsDiagrama"/>
    <w:uiPriority w:val="99"/>
    <w:unhideWhenUsed/>
    <w:rsid w:val="00126408"/>
    <w:pPr>
      <w:tabs>
        <w:tab w:val="center" w:pos="4819"/>
        <w:tab w:val="right" w:pos="9638"/>
      </w:tabs>
    </w:pPr>
  </w:style>
  <w:style w:type="character" w:customStyle="1" w:styleId="AntratsDiagrama">
    <w:name w:val="Antraštės Diagrama"/>
    <w:basedOn w:val="Numatytasispastraiposriftas"/>
    <w:link w:val="Antrats"/>
    <w:uiPriority w:val="99"/>
    <w:rsid w:val="00126408"/>
    <w:rPr>
      <w:rFonts w:eastAsia="Times New Roman" w:cs="Times New Roman"/>
      <w:szCs w:val="24"/>
      <w:lang w:eastAsia="lt-LT"/>
    </w:rPr>
  </w:style>
  <w:style w:type="paragraph" w:styleId="Pagrindinistekstas">
    <w:name w:val="Body Text"/>
    <w:basedOn w:val="prastasis"/>
    <w:link w:val="PagrindinistekstasDiagrama"/>
    <w:semiHidden/>
    <w:unhideWhenUsed/>
    <w:rsid w:val="00126408"/>
    <w:pPr>
      <w:jc w:val="center"/>
    </w:pPr>
    <w:rPr>
      <w:b/>
      <w:bCs/>
      <w:lang w:eastAsia="en-US"/>
    </w:rPr>
  </w:style>
  <w:style w:type="character" w:customStyle="1" w:styleId="PagrindinistekstasDiagrama">
    <w:name w:val="Pagrindinis tekstas Diagrama"/>
    <w:basedOn w:val="Numatytasispastraiposriftas"/>
    <w:link w:val="Pagrindinistekstas"/>
    <w:semiHidden/>
    <w:rsid w:val="00126408"/>
    <w:rPr>
      <w:rFonts w:eastAsia="Times New Roman" w:cs="Times New Roman"/>
      <w:b/>
      <w:bCs/>
      <w:szCs w:val="24"/>
    </w:rPr>
  </w:style>
  <w:style w:type="paragraph" w:styleId="Sraopastraipa">
    <w:name w:val="List Paragraph"/>
    <w:basedOn w:val="prastasis"/>
    <w:uiPriority w:val="34"/>
    <w:qFormat/>
    <w:rsid w:val="00126408"/>
    <w:pPr>
      <w:ind w:left="720"/>
      <w:contextualSpacing/>
    </w:pPr>
  </w:style>
  <w:style w:type="character" w:styleId="Komentaronuoroda">
    <w:name w:val="annotation reference"/>
    <w:basedOn w:val="Numatytasispastraiposriftas"/>
    <w:uiPriority w:val="99"/>
    <w:semiHidden/>
    <w:unhideWhenUsed/>
    <w:rsid w:val="00126408"/>
    <w:rPr>
      <w:sz w:val="16"/>
      <w:szCs w:val="16"/>
    </w:rPr>
  </w:style>
  <w:style w:type="paragraph" w:styleId="Debesliotekstas">
    <w:name w:val="Balloon Text"/>
    <w:basedOn w:val="prastasis"/>
    <w:link w:val="DebesliotekstasDiagrama"/>
    <w:uiPriority w:val="99"/>
    <w:semiHidden/>
    <w:unhideWhenUsed/>
    <w:rsid w:val="001264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6408"/>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580968"/>
    <w:rPr>
      <w:b/>
      <w:bCs/>
    </w:rPr>
  </w:style>
  <w:style w:type="character" w:customStyle="1" w:styleId="KomentarotemaDiagrama">
    <w:name w:val="Komentaro tema Diagrama"/>
    <w:basedOn w:val="KomentarotekstasDiagrama"/>
    <w:link w:val="Komentarotema"/>
    <w:uiPriority w:val="99"/>
    <w:semiHidden/>
    <w:rsid w:val="00580968"/>
    <w:rPr>
      <w:rFonts w:eastAsia="Times New Roman" w:cs="Times New Roman"/>
      <w:b/>
      <w:bCs/>
      <w:sz w:val="20"/>
      <w:szCs w:val="20"/>
      <w:lang w:eastAsia="lt-LT"/>
    </w:rPr>
  </w:style>
  <w:style w:type="paragraph" w:styleId="Puslapioinaostekstas">
    <w:name w:val="footnote text"/>
    <w:basedOn w:val="prastasis"/>
    <w:link w:val="PuslapioinaostekstasDiagrama"/>
    <w:uiPriority w:val="99"/>
    <w:semiHidden/>
    <w:unhideWhenUsed/>
    <w:rsid w:val="00DC679D"/>
    <w:rPr>
      <w:sz w:val="20"/>
      <w:szCs w:val="20"/>
    </w:rPr>
  </w:style>
  <w:style w:type="character" w:customStyle="1" w:styleId="PuslapioinaostekstasDiagrama">
    <w:name w:val="Puslapio išnašos tekstas Diagrama"/>
    <w:basedOn w:val="Numatytasispastraiposriftas"/>
    <w:link w:val="Puslapioinaostekstas"/>
    <w:uiPriority w:val="99"/>
    <w:semiHidden/>
    <w:rsid w:val="00DC679D"/>
    <w:rPr>
      <w:rFonts w:eastAsia="Times New Roman" w:cs="Times New Roman"/>
      <w:sz w:val="20"/>
      <w:szCs w:val="20"/>
      <w:lang w:eastAsia="lt-LT"/>
    </w:rPr>
  </w:style>
  <w:style w:type="character" w:styleId="Puslapioinaosnuoroda">
    <w:name w:val="footnote reference"/>
    <w:basedOn w:val="Numatytasispastraiposriftas"/>
    <w:uiPriority w:val="99"/>
    <w:semiHidden/>
    <w:unhideWhenUsed/>
    <w:rsid w:val="00DC679D"/>
    <w:rPr>
      <w:vertAlign w:val="superscript"/>
    </w:rPr>
  </w:style>
  <w:style w:type="character" w:customStyle="1" w:styleId="outputecliaff">
    <w:name w:val="outputecliaff"/>
    <w:basedOn w:val="Numatytasispastraiposriftas"/>
    <w:rsid w:val="00DC679D"/>
  </w:style>
  <w:style w:type="paragraph" w:styleId="Porat">
    <w:name w:val="footer"/>
    <w:basedOn w:val="prastasis"/>
    <w:link w:val="PoratDiagrama"/>
    <w:uiPriority w:val="99"/>
    <w:unhideWhenUsed/>
    <w:rsid w:val="00AF2745"/>
    <w:pPr>
      <w:tabs>
        <w:tab w:val="center" w:pos="4819"/>
        <w:tab w:val="right" w:pos="9638"/>
      </w:tabs>
    </w:pPr>
  </w:style>
  <w:style w:type="character" w:customStyle="1" w:styleId="PoratDiagrama">
    <w:name w:val="Poraštė Diagrama"/>
    <w:basedOn w:val="Numatytasispastraiposriftas"/>
    <w:link w:val="Porat"/>
    <w:uiPriority w:val="99"/>
    <w:rsid w:val="00AF274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F886-7907-44DA-A0F4-B7515BF8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7692</Words>
  <Characters>4386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2020-08-13T06:41:00Z</dcterms:created>
  <dc:creator>Alina Levickienė</dc:creator>
  <cp:lastModifiedBy>Egidija Konopliova - Budrikienė</cp:lastModifiedBy>
  <cp:lastPrinted>2020-09-18T06:45:00Z</cp:lastPrinted>
  <dcterms:modified xsi:type="dcterms:W3CDTF">2020-09-18T06:45:00Z</dcterms:modified>
  <cp:revision>34</cp:revision>
</cp:coreProperties>
</file>