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3686" w:type="dxa"/>
        <w:tblLayout w:type="fixed"/>
        <w:tblLook w:val="04A0" w:firstRow="1" w:lastRow="0" w:firstColumn="1" w:lastColumn="0" w:noHBand="0" w:noVBand="1"/>
      </w:tblPr>
      <w:tblGrid>
        <w:gridCol w:w="3686"/>
      </w:tblGrid>
      <w:tr w:rsidR="00CA0682" w:rsidRPr="00556CA0">
        <w:trPr>
          <w:cantSplit/>
          <w:trHeight w:val="340"/>
        </w:trPr>
        <w:tc>
          <w:tcPr>
            <w:tcW w:w="3686" w:type="dxa"/>
          </w:tcPr>
          <w:p w:rsidR="00CA0682" w:rsidRPr="00556CA0" w:rsidRDefault="00B03E5D">
            <w:pPr>
              <w:framePr w:hSpace="180" w:wrap="around" w:vAnchor="text" w:hAnchor="page" w:x="7573" w:y="49"/>
              <w:ind w:right="24"/>
            </w:pPr>
            <w:r>
              <w:t xml:space="preserve">  </w:t>
            </w:r>
            <w:r w:rsidRPr="00556CA0">
              <w:t xml:space="preserve">2020-12-     Nr. </w:t>
            </w:r>
          </w:p>
        </w:tc>
      </w:tr>
      <w:tr w:rsidR="00CA0682" w:rsidRPr="00556CA0">
        <w:trPr>
          <w:cantSplit/>
          <w:trHeight w:val="340"/>
        </w:trPr>
        <w:tc>
          <w:tcPr>
            <w:tcW w:w="3686" w:type="dxa"/>
          </w:tcPr>
          <w:p w:rsidR="00CA0682" w:rsidRPr="00556CA0" w:rsidRDefault="00B03E5D">
            <w:pPr>
              <w:framePr w:hSpace="180" w:wrap="around" w:vAnchor="text" w:hAnchor="page" w:x="7573" w:y="49"/>
              <w:ind w:right="24"/>
            </w:pPr>
            <w:r w:rsidRPr="00556CA0">
              <w:t>Į 2020-11-13 Nr.  SR-5243</w:t>
            </w:r>
          </w:p>
        </w:tc>
      </w:tr>
    </w:tbl>
    <w:p w:rsidR="00CA0682" w:rsidRPr="00556CA0" w:rsidRDefault="00B03E5D">
      <w:pPr>
        <w:pStyle w:val="Adresas"/>
      </w:pPr>
      <w:r w:rsidRPr="00556CA0">
        <w:t xml:space="preserve">Lietuvos Respublikos švietimo, mokslo ir sporto ministerijai </w:t>
      </w:r>
    </w:p>
    <w:p w:rsidR="00CA0682" w:rsidRPr="00556CA0" w:rsidRDefault="00CA0682">
      <w:pPr>
        <w:pStyle w:val="Adresas"/>
      </w:pPr>
    </w:p>
    <w:p w:rsidR="00CA0682" w:rsidRPr="00556CA0" w:rsidRDefault="00CA0682">
      <w:pPr>
        <w:pStyle w:val="Adresas"/>
      </w:pPr>
    </w:p>
    <w:p w:rsidR="00CA0682" w:rsidRPr="00556CA0" w:rsidRDefault="00B03E5D">
      <w:pPr>
        <w:jc w:val="both"/>
        <w:rPr>
          <w:b/>
          <w:bCs/>
          <w:caps/>
        </w:rPr>
      </w:pPr>
      <w:r w:rsidRPr="00556CA0">
        <w:rPr>
          <w:b/>
          <w:bCs/>
          <w:caps/>
        </w:rPr>
        <w:t>DĖL Lietuvos Respublikos Vyriausybės nutarimo PROJEKTO derinimo</w:t>
      </w:r>
    </w:p>
    <w:p w:rsidR="00CA0682" w:rsidRPr="00556CA0" w:rsidRDefault="00CA0682">
      <w:pPr>
        <w:spacing w:line="360" w:lineRule="auto"/>
        <w:jc w:val="both"/>
      </w:pPr>
    </w:p>
    <w:p w:rsidR="00CA0682" w:rsidRPr="00556CA0" w:rsidRDefault="00B03E5D">
      <w:pPr>
        <w:spacing w:line="360" w:lineRule="auto"/>
        <w:ind w:firstLine="720"/>
        <w:jc w:val="both"/>
      </w:pPr>
      <w:r w:rsidRPr="00556CA0">
        <w:t xml:space="preserve">Lietuvos Respublikos teisingumo ministerija, pagal kompetenciją įvertinusi derinimui pateiktą </w:t>
      </w:r>
      <w:hyperlink r:id="rId9" w:history="1">
        <w:r w:rsidRPr="00556CA0">
          <w:rPr>
            <w:rStyle w:val="Hyperlink"/>
          </w:rPr>
          <w:t xml:space="preserve">Lietuvos Respublikos Vyriausybės </w:t>
        </w:r>
        <w:r w:rsidR="00D74373" w:rsidRPr="00556CA0">
          <w:rPr>
            <w:rStyle w:val="Hyperlink"/>
          </w:rPr>
          <w:t xml:space="preserve">nutarimo „Dėl Lietuvos Respublikos Vyriausybės </w:t>
        </w:r>
        <w:r w:rsidRPr="00556CA0">
          <w:rPr>
            <w:rStyle w:val="Hyperlink"/>
          </w:rPr>
          <w:t xml:space="preserve">2017 m. kovo 1 d. nutarimo Nr. 149 „Dėl Lietuvos Respublikos mokslo ir studijų įstatymo įgyvendinimo“ pakeitimo“ </w:t>
        </w:r>
        <w:r w:rsidR="00DB3907" w:rsidRPr="00556CA0">
          <w:rPr>
            <w:rStyle w:val="Hyperlink"/>
          </w:rPr>
          <w:t>pakeitimo</w:t>
        </w:r>
        <w:r w:rsidR="00D018A3" w:rsidRPr="00556CA0">
          <w:rPr>
            <w:rStyle w:val="Hyperlink"/>
          </w:rPr>
          <w:t>“</w:t>
        </w:r>
        <w:r w:rsidR="00DB3907" w:rsidRPr="00556CA0">
          <w:rPr>
            <w:rStyle w:val="Hyperlink"/>
          </w:rPr>
          <w:t xml:space="preserve"> </w:t>
        </w:r>
        <w:r w:rsidRPr="00556CA0">
          <w:rPr>
            <w:rStyle w:val="Hyperlink"/>
          </w:rPr>
          <w:t>projektą</w:t>
        </w:r>
      </w:hyperlink>
      <w:r w:rsidRPr="00556CA0">
        <w:t xml:space="preserve"> (toliau – Projektas), teikia šias pastabas ir pasiūlymus:</w:t>
      </w:r>
    </w:p>
    <w:p w:rsidR="00A30C80" w:rsidRPr="00556CA0" w:rsidRDefault="00B03E5D" w:rsidP="00A30C80">
      <w:pPr>
        <w:pStyle w:val="ListParagraph"/>
        <w:numPr>
          <w:ilvl w:val="0"/>
          <w:numId w:val="3"/>
        </w:numPr>
        <w:tabs>
          <w:tab w:val="left" w:pos="993"/>
          <w:tab w:val="left" w:pos="1134"/>
        </w:tabs>
        <w:spacing w:line="360" w:lineRule="auto"/>
        <w:ind w:left="0" w:firstLine="851"/>
        <w:jc w:val="both"/>
        <w:textAlignment w:val="center"/>
      </w:pPr>
      <w:r w:rsidRPr="00556CA0">
        <w:rPr>
          <w:color w:val="000000"/>
        </w:rPr>
        <w:t xml:space="preserve">Pažymėtina, kad teisės aktą priimančio subjekto ir teisės akto pavadinimas turi būti dėstomi vadovaujantis </w:t>
      </w:r>
      <w:r w:rsidRPr="00556CA0">
        <w:rPr>
          <w:lang w:eastAsia="lt-LT"/>
        </w:rPr>
        <w:t xml:space="preserve">Teisės aktų projektų rengimo rekomendacijų, patvirtintų Lietuvos Respublikos teisingumo ministro </w:t>
      </w:r>
      <w:r w:rsidRPr="00556CA0">
        <w:rPr>
          <w:rFonts w:eastAsia="SimSun"/>
          <w:color w:val="000000"/>
          <w:shd w:val="clear" w:color="auto" w:fill="FFFFFF"/>
        </w:rPr>
        <w:t xml:space="preserve">2013 m. gruodžio 23 d. įsakymu Nr. 1R-298 </w:t>
      </w:r>
      <w:r w:rsidRPr="00556CA0">
        <w:rPr>
          <w:color w:val="000000"/>
        </w:rPr>
        <w:t>„Dėl Teisės aktų projektų rengimo rekomendacijų patvirtinimo“ (toliau – Rekomendacijos), 52 punktu (</w:t>
      </w:r>
      <w:r w:rsidRPr="00556CA0">
        <w:t xml:space="preserve">tarp teisės akto rūšies pavadinimo ir teisės akto pavadinimo tuščia eilutė </w:t>
      </w:r>
      <w:r w:rsidRPr="00556CA0">
        <w:rPr>
          <w:i/>
        </w:rPr>
        <w:t>neįterpiama</w:t>
      </w:r>
      <w:r w:rsidRPr="00556CA0">
        <w:t xml:space="preserve">, eilutė </w:t>
      </w:r>
      <w:r w:rsidRPr="00556CA0">
        <w:rPr>
          <w:i/>
        </w:rPr>
        <w:t>įterpiama</w:t>
      </w:r>
      <w:r w:rsidRPr="00556CA0">
        <w:t xml:space="preserve"> tarp </w:t>
      </w:r>
      <w:r w:rsidRPr="00556CA0">
        <w:rPr>
          <w:color w:val="000000"/>
        </w:rPr>
        <w:t xml:space="preserve">teisės aktą priimančio subjekto ir </w:t>
      </w:r>
      <w:r w:rsidRPr="00556CA0">
        <w:t xml:space="preserve">teisės akto rūšies pavadinimų). Atsižvelgiant į tai, Projektas turi būti patikslinamas. Pagal Rekomendacijų </w:t>
      </w:r>
      <w:r w:rsidRPr="00556CA0">
        <w:rPr>
          <w:color w:val="000000"/>
        </w:rPr>
        <w:t xml:space="preserve">113.3 papunktį,  </w:t>
      </w:r>
      <w:r w:rsidRPr="00556CA0">
        <w:t xml:space="preserve">lyginamajame variante naujos redakcijos straipsnio ar punkto ir (ar) jų sudedamųjų dalių tekste daromi pakeitimai paryškinami, atsižvelgiant į tai, kad teisės akto pavadinimas ir jį priimančio subjekto pavadinimas nesikeičia,  Projekto lyginamajame variante </w:t>
      </w:r>
      <w:r w:rsidRPr="00556CA0">
        <w:rPr>
          <w:color w:val="000000"/>
        </w:rPr>
        <w:t>jie</w:t>
      </w:r>
      <w:r w:rsidRPr="00556CA0">
        <w:t xml:space="preserve"> neturi būti paryškinami.</w:t>
      </w:r>
    </w:p>
    <w:p w:rsidR="00A30C80" w:rsidRPr="00556CA0" w:rsidRDefault="00FB6065" w:rsidP="00A30C80">
      <w:pPr>
        <w:pStyle w:val="ListParagraph"/>
        <w:numPr>
          <w:ilvl w:val="0"/>
          <w:numId w:val="3"/>
        </w:numPr>
        <w:tabs>
          <w:tab w:val="left" w:pos="993"/>
          <w:tab w:val="left" w:pos="1134"/>
        </w:tabs>
        <w:spacing w:line="360" w:lineRule="auto"/>
        <w:ind w:left="0" w:firstLine="851"/>
        <w:jc w:val="both"/>
        <w:textAlignment w:val="center"/>
      </w:pPr>
      <w:r w:rsidRPr="00556CA0">
        <w:rPr>
          <w:color w:val="000000"/>
        </w:rPr>
        <w:t>P</w:t>
      </w:r>
      <w:r w:rsidR="009B5A22" w:rsidRPr="00556CA0">
        <w:rPr>
          <w:color w:val="000000"/>
        </w:rPr>
        <w:t xml:space="preserve">rojekto 2 pastraipoje vietoje „patvirtintą“ </w:t>
      </w:r>
      <w:r w:rsidR="00A30C80" w:rsidRPr="00556CA0">
        <w:rPr>
          <w:color w:val="000000"/>
        </w:rPr>
        <w:t xml:space="preserve">turi būti </w:t>
      </w:r>
      <w:r w:rsidR="009B5A22" w:rsidRPr="00556CA0">
        <w:rPr>
          <w:color w:val="000000"/>
        </w:rPr>
        <w:t xml:space="preserve">rašoma „nauja redakcija išdėstytą“. </w:t>
      </w:r>
    </w:p>
    <w:p w:rsidR="00871490" w:rsidRPr="00556CA0" w:rsidRDefault="00B03E5D" w:rsidP="00FB6065">
      <w:pPr>
        <w:pStyle w:val="ListParagraph"/>
        <w:numPr>
          <w:ilvl w:val="0"/>
          <w:numId w:val="3"/>
        </w:numPr>
        <w:tabs>
          <w:tab w:val="left" w:pos="993"/>
          <w:tab w:val="left" w:pos="1134"/>
        </w:tabs>
        <w:spacing w:line="360" w:lineRule="auto"/>
        <w:ind w:left="0" w:firstLine="851"/>
        <w:jc w:val="both"/>
        <w:textAlignment w:val="center"/>
      </w:pPr>
      <w:r w:rsidRPr="00556CA0">
        <w:t xml:space="preserve">Projektu keičiamo </w:t>
      </w:r>
      <w:r w:rsidRPr="00556CA0">
        <w:rPr>
          <w:lang w:eastAsia="lt-LT"/>
        </w:rPr>
        <w:t xml:space="preserve">Paramos įstojusiems į aukštąsias mokyklas ne Lietuvos Respublikoje ir jose studijuojantiems Lietuvos Respublikos piliečiams, taip pat kitų Europos Sąjungos valstybių narių, Jungtinės Didžiosios Britanijos ir Šiaurės Airijos Karalystės, Europos laisvosios prekybos asociacijos valstybių piliečiams, dirbantiems ir (arba) turintiems teisę nuolat gyventi Lietuvos </w:t>
      </w:r>
      <w:r w:rsidRPr="00556CA0">
        <w:rPr>
          <w:lang w:eastAsia="lt-LT"/>
        </w:rPr>
        <w:lastRenderedPageBreak/>
        <w:t>Respublikoje, ir jų šeimos nariams, taip pat ir kitų užsienio valstybių piliečiams ir asmenims be pilietybės, turintiems teisę nuolat gyventi Lietuvos Respublikoje, skyrimo tvarkos aprašo</w:t>
      </w:r>
      <w:r w:rsidRPr="00556CA0">
        <w:t xml:space="preserve"> (toliau – Aprašas) 15 punkte, be kita ko, teigiama, kad „</w:t>
      </w:r>
      <w:r w:rsidRPr="00556CA0">
        <w:rPr>
          <w:bCs/>
          <w:lang w:eastAsia="lt-LT"/>
        </w:rPr>
        <w:t xml:space="preserve">Vieną narį į Komisiją skiria Lietuvos Respublikos Vyriausybės kanceliarija, </w:t>
      </w:r>
      <w:r w:rsidRPr="00556CA0">
        <w:rPr>
          <w:bCs/>
          <w:u w:val="single"/>
          <w:lang w:eastAsia="lt-LT"/>
        </w:rPr>
        <w:t>du narius – Lietuvos Respublikos švietimo, mokslo ir sporto ministerija, išskyrus Įgaliotą instituciją</w:t>
      </w:r>
      <w:r w:rsidRPr="00556CA0">
        <w:rPr>
          <w:bCs/>
          <w:lang w:eastAsia="lt-LT"/>
        </w:rPr>
        <w:t xml:space="preserve">, du narius – Įgaliota institucija, &lt;...&gt;“. Pabrauktas teiginys taisytinas kalbos aspektu. </w:t>
      </w:r>
    </w:p>
    <w:p w:rsidR="00517927" w:rsidRPr="00556CA0" w:rsidRDefault="00517927" w:rsidP="003006E8">
      <w:pPr>
        <w:pStyle w:val="ListParagraph"/>
        <w:numPr>
          <w:ilvl w:val="0"/>
          <w:numId w:val="3"/>
        </w:numPr>
        <w:tabs>
          <w:tab w:val="left" w:pos="851"/>
          <w:tab w:val="left" w:pos="1134"/>
        </w:tabs>
        <w:spacing w:line="360" w:lineRule="auto"/>
        <w:ind w:left="0" w:firstLine="851"/>
        <w:jc w:val="both"/>
        <w:textAlignment w:val="center"/>
      </w:pPr>
      <w:r w:rsidRPr="00556CA0">
        <w:rPr>
          <w:bCs/>
          <w:lang w:eastAsia="lt-LT"/>
        </w:rPr>
        <w:t>Aprašo 20.1 papunktis pildomas nuostata, pagal kurią „</w:t>
      </w:r>
      <w:r w:rsidRPr="00556CA0">
        <w:t xml:space="preserve">Komisija nepritaria Vertinimą atliekančios įstaigos pateiktam Aprašo 4.2 papunktyje nurodytų aukštųjų mokyklų įvertinimui, jeigu: </w:t>
      </w:r>
    </w:p>
    <w:p w:rsidR="00517927" w:rsidRPr="00556CA0" w:rsidRDefault="00517927" w:rsidP="00517927">
      <w:pPr>
        <w:pStyle w:val="ListParagraph"/>
        <w:tabs>
          <w:tab w:val="left" w:pos="993"/>
        </w:tabs>
        <w:spacing w:line="360" w:lineRule="auto"/>
        <w:ind w:left="0" w:firstLine="709"/>
        <w:jc w:val="both"/>
        <w:textAlignment w:val="center"/>
        <w:rPr>
          <w:bCs/>
        </w:rPr>
      </w:pPr>
      <w:r w:rsidRPr="00556CA0">
        <w:rPr>
          <w:bCs/>
        </w:rPr>
        <w:t>20.1.1. Vertinimą atliekančios įstaigos vertinimas nepagrįstas nei vienu iš Aprašo 14.4.3 papunktyje nurodytų kriterijų arba pagrindimas yra neišsamus;</w:t>
      </w:r>
    </w:p>
    <w:p w:rsidR="00517927" w:rsidRPr="00556CA0" w:rsidRDefault="00517927" w:rsidP="00517927">
      <w:pPr>
        <w:pStyle w:val="ListParagraph"/>
        <w:tabs>
          <w:tab w:val="left" w:pos="993"/>
        </w:tabs>
        <w:spacing w:line="360" w:lineRule="auto"/>
        <w:ind w:left="0" w:firstLine="709"/>
        <w:jc w:val="both"/>
        <w:textAlignment w:val="center"/>
        <w:rPr>
          <w:bCs/>
        </w:rPr>
      </w:pPr>
      <w:r w:rsidRPr="00556CA0">
        <w:rPr>
          <w:bCs/>
        </w:rPr>
        <w:t xml:space="preserve">20.1.2. Vertinimą atliekančios įstaigos vertinime nurodyta informacija prieštarauja viešai skelbiamai informacijai apie aukštąją mokyklą.“ </w:t>
      </w:r>
    </w:p>
    <w:p w:rsidR="00871490" w:rsidRPr="00556CA0" w:rsidRDefault="003006E8" w:rsidP="00517927">
      <w:pPr>
        <w:tabs>
          <w:tab w:val="left" w:pos="709"/>
        </w:tabs>
        <w:spacing w:line="360" w:lineRule="auto"/>
        <w:jc w:val="both"/>
        <w:textAlignment w:val="center"/>
        <w:rPr>
          <w:bCs/>
        </w:rPr>
      </w:pPr>
      <w:r w:rsidRPr="00556CA0">
        <w:rPr>
          <w:bCs/>
        </w:rPr>
        <w:tab/>
        <w:t>Visų pirma pastebėtina, kad</w:t>
      </w:r>
      <w:r w:rsidR="00517927" w:rsidRPr="00556CA0">
        <w:rPr>
          <w:bCs/>
        </w:rPr>
        <w:t xml:space="preserve"> lydraštyje, kuriuo Projektas teikiamas derinti, neatsispindi, dėl kokių priežasčių buvo pasirinkti paminėti du atvejai, kuriems ar vienam iš jų (neaišku) esant, Komisija privalo nepritarti pateiktam </w:t>
      </w:r>
      <w:r w:rsidRPr="00556CA0">
        <w:rPr>
          <w:bCs/>
        </w:rPr>
        <w:t xml:space="preserve">Vertinimą atliekančios įstaigos </w:t>
      </w:r>
      <w:r w:rsidR="00517927" w:rsidRPr="00556CA0">
        <w:rPr>
          <w:bCs/>
        </w:rPr>
        <w:t xml:space="preserve">vertinimui. Taigi nėra galimybės įvertinti šių atvejų (kriterijų) atitikimą </w:t>
      </w:r>
      <w:r w:rsidRPr="00556CA0">
        <w:rPr>
          <w:bCs/>
        </w:rPr>
        <w:t>teisėkūros proporcingumo ir efektyvumo principams.</w:t>
      </w:r>
      <w:r w:rsidR="00517927" w:rsidRPr="00556CA0">
        <w:rPr>
          <w:bCs/>
        </w:rPr>
        <w:t xml:space="preserve"> Be to, Aprašas neturi 14.4.3 papunkčio, kuris kaip nuoroda pateikiamas aptariamame punkte. Taip pat pažymėtina, kad  iš 20.1.2 papunkčio reglamentavimo nėra aišku, </w:t>
      </w:r>
      <w:r w:rsidRPr="00556CA0">
        <w:rPr>
          <w:bCs/>
        </w:rPr>
        <w:t xml:space="preserve">kaip pagal Aprašą yra suprantama vieša informacija, ar tokia informacija remiamasi, kai ji yra patalpinta </w:t>
      </w:r>
      <w:r w:rsidR="006F055F" w:rsidRPr="00556CA0">
        <w:rPr>
          <w:bCs/>
        </w:rPr>
        <w:t xml:space="preserve">tik </w:t>
      </w:r>
      <w:r w:rsidRPr="00556CA0">
        <w:rPr>
          <w:bCs/>
        </w:rPr>
        <w:t xml:space="preserve">oficialiuose tinklapiuose ir t.t.  Atitinkamai kyla klausimas, </w:t>
      </w:r>
      <w:r w:rsidR="00517927" w:rsidRPr="00556CA0">
        <w:rPr>
          <w:bCs/>
        </w:rPr>
        <w:t>ar vieša informacija apie aukštąsias mokyklas yra patikima, ar ji yra atnaujinta ir t.t. Įvertinus šias aplinkybes, siūlytina tikslinti teisinį reguliavimą, atitinkamai papildyti lydraštį.</w:t>
      </w:r>
    </w:p>
    <w:p w:rsidR="00752248" w:rsidRPr="00556CA0" w:rsidRDefault="00752248">
      <w:pPr>
        <w:pStyle w:val="ListParagraph"/>
        <w:numPr>
          <w:ilvl w:val="0"/>
          <w:numId w:val="3"/>
        </w:numPr>
        <w:tabs>
          <w:tab w:val="left" w:pos="993"/>
        </w:tabs>
        <w:spacing w:line="360" w:lineRule="auto"/>
        <w:ind w:left="0" w:firstLine="709"/>
        <w:jc w:val="both"/>
        <w:textAlignment w:val="center"/>
      </w:pPr>
      <w:r w:rsidRPr="00556CA0">
        <w:t>Pažymėtina, kad Aprašo nuostatos, nustatančios asmenų teises ir pareigas, nėra tiesioginio taikymo (tokiomis jos būtų tik nustačius įstatyme), todėl asmenims galėtų sukelti teisines pasekmes tik sutarties pagrindu, o ne Vyriausybei nustačius vienašališkai (pvz., Aprašo 42 p., 52 p.). Atsižvelgiant į tai, atitinkami pakeitimai negalės veikti jau sudarytų sutarčių, nebent jos būtų pakeistos, ir atitinkamos naujos (ar modifikuotos) pareigos šalių sutarimu būtų nustatytos jose.</w:t>
      </w:r>
    </w:p>
    <w:p w:rsidR="00CA0682" w:rsidRPr="00556CA0" w:rsidRDefault="00DF6EA0">
      <w:pPr>
        <w:pStyle w:val="ListParagraph"/>
        <w:numPr>
          <w:ilvl w:val="0"/>
          <w:numId w:val="3"/>
        </w:numPr>
        <w:tabs>
          <w:tab w:val="left" w:pos="993"/>
        </w:tabs>
        <w:spacing w:line="360" w:lineRule="auto"/>
        <w:ind w:left="0" w:firstLine="709"/>
        <w:jc w:val="both"/>
        <w:textAlignment w:val="center"/>
      </w:pPr>
      <w:r w:rsidRPr="00556CA0">
        <w:rPr>
          <w:bCs/>
        </w:rPr>
        <w:t>Atkreipiamas dėmesys, kad Projekto lyginamasis variantas turi būti parengtas pagal Rekomendacijų 113.3 papunktį (</w:t>
      </w:r>
      <w:r w:rsidRPr="00556CA0">
        <w:t xml:space="preserve">Projekto lyginamajame variante naujos redakcijos straipsnio ar punkto ir (ar) jų sudedamųjų dalių tekste daromi </w:t>
      </w:r>
      <w:r w:rsidRPr="00556CA0">
        <w:rPr>
          <w:i/>
        </w:rPr>
        <w:t>pakeitimai paryškinami</w:t>
      </w:r>
      <w:r w:rsidRPr="00556CA0">
        <w:t xml:space="preserve">, o </w:t>
      </w:r>
      <w:r w:rsidRPr="00556CA0">
        <w:rPr>
          <w:i/>
        </w:rPr>
        <w:t xml:space="preserve">siūlomi išbraukti žodžiai </w:t>
      </w:r>
      <w:r w:rsidRPr="00556CA0">
        <w:rPr>
          <w:i/>
        </w:rPr>
        <w:lastRenderedPageBreak/>
        <w:t>perbraukiami plona linija</w:t>
      </w:r>
      <w:r w:rsidRPr="00556CA0">
        <w:t xml:space="preserve">). Pastebėtina, kad </w:t>
      </w:r>
      <w:r w:rsidR="00752248" w:rsidRPr="00556CA0">
        <w:t xml:space="preserve">Projekto lyginamajame variante </w:t>
      </w:r>
      <w:r w:rsidRPr="00556CA0">
        <w:t xml:space="preserve">Aprašo </w:t>
      </w:r>
      <w:r w:rsidR="00752248" w:rsidRPr="00556CA0">
        <w:t xml:space="preserve">15 punktas ir </w:t>
      </w:r>
      <w:r w:rsidRPr="00556CA0">
        <w:t xml:space="preserve">20.1 </w:t>
      </w:r>
      <w:r w:rsidR="00752248" w:rsidRPr="00556CA0">
        <w:t xml:space="preserve">papunktis (galimai ir kiti) parengti ne pagal Rekomendacijas. </w:t>
      </w:r>
    </w:p>
    <w:p w:rsidR="00CA0682" w:rsidRPr="00556CA0" w:rsidRDefault="00B03E5D">
      <w:pPr>
        <w:pStyle w:val="ListParagraph"/>
        <w:numPr>
          <w:ilvl w:val="0"/>
          <w:numId w:val="3"/>
        </w:numPr>
        <w:tabs>
          <w:tab w:val="left" w:pos="993"/>
        </w:tabs>
        <w:spacing w:line="360" w:lineRule="auto"/>
        <w:ind w:left="0" w:firstLine="709"/>
        <w:jc w:val="both"/>
        <w:textAlignment w:val="center"/>
      </w:pPr>
      <w:r w:rsidRPr="00556CA0">
        <w:t>Atsižvelgiant į tai, kad  nėra keičiama daugiau kaip pusė Aprašo 42 punkto struktūrinių dalių,  keistini tik Aprašo 42.6 ir 42.7 papunkčiai (Rekomendacijų 83 punktas).</w:t>
      </w:r>
    </w:p>
    <w:p w:rsidR="00CA0682" w:rsidRPr="00556CA0" w:rsidRDefault="00B03E5D">
      <w:pPr>
        <w:pStyle w:val="ListParagraph"/>
        <w:numPr>
          <w:ilvl w:val="0"/>
          <w:numId w:val="3"/>
        </w:numPr>
        <w:tabs>
          <w:tab w:val="left" w:pos="993"/>
        </w:tabs>
        <w:spacing w:line="360" w:lineRule="auto"/>
        <w:ind w:left="0" w:firstLine="709"/>
        <w:jc w:val="both"/>
        <w:textAlignment w:val="center"/>
      </w:pPr>
      <w:r w:rsidRPr="00556CA0">
        <w:t>Aprašo 42.6 punktas tikslintinas kalbos aspektu (dėl žodžio „eina“).</w:t>
      </w:r>
    </w:p>
    <w:p w:rsidR="00CA0682" w:rsidRPr="00556CA0" w:rsidRDefault="00CA0682">
      <w:pPr>
        <w:ind w:firstLine="851"/>
        <w:jc w:val="both"/>
      </w:pPr>
    </w:p>
    <w:p w:rsidR="00CA0682" w:rsidRPr="00556CA0" w:rsidRDefault="00B10D57">
      <w:r w:rsidRPr="00556CA0">
        <w:t xml:space="preserve">L. e. teisingumo ministro pareigas                 </w:t>
      </w:r>
      <w:r w:rsidR="00B03E5D" w:rsidRPr="00556CA0">
        <w:tab/>
      </w:r>
      <w:r w:rsidR="00B03E5D" w:rsidRPr="00556CA0">
        <w:tab/>
      </w:r>
      <w:r w:rsidR="00B03E5D" w:rsidRPr="00556CA0">
        <w:tab/>
      </w:r>
      <w:r w:rsidR="00B03E5D" w:rsidRPr="00556CA0">
        <w:tab/>
      </w:r>
      <w:r w:rsidR="00B03E5D" w:rsidRPr="00556CA0">
        <w:tab/>
        <w:t xml:space="preserve">      Elvinas Jankevičius</w:t>
      </w: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CA0682" w:rsidRPr="00556CA0" w:rsidRDefault="00CA0682">
      <w:pPr>
        <w:rPr>
          <w:sz w:val="20"/>
        </w:rPr>
      </w:pPr>
    </w:p>
    <w:p w:rsidR="008D12F2" w:rsidRPr="00556CA0" w:rsidRDefault="008D12F2">
      <w:pPr>
        <w:rPr>
          <w:sz w:val="20"/>
        </w:rPr>
      </w:pPr>
    </w:p>
    <w:p w:rsidR="008D12F2" w:rsidRPr="00556CA0" w:rsidRDefault="008D12F2">
      <w:pPr>
        <w:rPr>
          <w:sz w:val="20"/>
        </w:rPr>
      </w:pPr>
    </w:p>
    <w:p w:rsidR="008D12F2" w:rsidRPr="00556CA0" w:rsidRDefault="008D12F2">
      <w:pPr>
        <w:rPr>
          <w:sz w:val="20"/>
        </w:rPr>
      </w:pPr>
    </w:p>
    <w:p w:rsidR="008D12F2" w:rsidRPr="00556CA0" w:rsidRDefault="008D12F2">
      <w:pPr>
        <w:rPr>
          <w:sz w:val="20"/>
        </w:rPr>
      </w:pPr>
    </w:p>
    <w:p w:rsidR="008D12F2" w:rsidRPr="00556CA0" w:rsidRDefault="008D12F2">
      <w:pPr>
        <w:rPr>
          <w:sz w:val="20"/>
        </w:rPr>
      </w:pPr>
    </w:p>
    <w:p w:rsidR="008D12F2" w:rsidRPr="00556CA0" w:rsidRDefault="008D12F2">
      <w:pPr>
        <w:rPr>
          <w:sz w:val="20"/>
        </w:rPr>
      </w:pPr>
    </w:p>
    <w:p w:rsidR="008D12F2" w:rsidRPr="00556CA0" w:rsidRDefault="008D12F2">
      <w:pPr>
        <w:rPr>
          <w:sz w:val="20"/>
        </w:rPr>
      </w:pPr>
    </w:p>
    <w:p w:rsidR="008D12F2" w:rsidRPr="00556CA0" w:rsidRDefault="008D12F2">
      <w:pPr>
        <w:rPr>
          <w:sz w:val="20"/>
        </w:rPr>
      </w:pPr>
    </w:p>
    <w:p w:rsidR="008D12F2" w:rsidRPr="00556CA0" w:rsidRDefault="008D12F2">
      <w:pPr>
        <w:rPr>
          <w:sz w:val="20"/>
        </w:rPr>
      </w:pPr>
    </w:p>
    <w:p w:rsidR="00CA0682" w:rsidRPr="00556CA0" w:rsidRDefault="00CA0682">
      <w:pPr>
        <w:rPr>
          <w:sz w:val="20"/>
        </w:rPr>
      </w:pPr>
    </w:p>
    <w:p w:rsidR="00CA0682" w:rsidRPr="00556CA0" w:rsidRDefault="00CA0682">
      <w:pPr>
        <w:spacing w:after="0" w:line="240" w:lineRule="auto"/>
        <w:rPr>
          <w:sz w:val="20"/>
        </w:rPr>
      </w:pPr>
    </w:p>
    <w:p w:rsidR="00CA0682" w:rsidRPr="00556CA0" w:rsidRDefault="00B03E5D">
      <w:pPr>
        <w:spacing w:after="0" w:line="240" w:lineRule="auto"/>
        <w:rPr>
          <w:rStyle w:val="Hyperlink"/>
          <w:color w:val="auto"/>
          <w:sz w:val="20"/>
          <w:szCs w:val="20"/>
          <w:u w:val="none"/>
        </w:rPr>
      </w:pPr>
      <w:r w:rsidRPr="00556CA0">
        <w:rPr>
          <w:sz w:val="20"/>
          <w:szCs w:val="20"/>
        </w:rPr>
        <w:t xml:space="preserve">Eglė Betingienė, (8 5) 266 2882, el. p. </w:t>
      </w:r>
      <w:hyperlink r:id="rId10" w:history="1">
        <w:r w:rsidRPr="00556CA0">
          <w:rPr>
            <w:rStyle w:val="Hyperlink"/>
            <w:color w:val="auto"/>
            <w:sz w:val="20"/>
            <w:szCs w:val="20"/>
            <w:u w:val="none"/>
          </w:rPr>
          <w:t>egle.betingiene@tm.lt</w:t>
        </w:r>
      </w:hyperlink>
    </w:p>
    <w:p w:rsidR="00CA0682" w:rsidRDefault="00B03E5D">
      <w:pPr>
        <w:spacing w:after="0" w:line="240" w:lineRule="auto"/>
        <w:rPr>
          <w:sz w:val="20"/>
          <w:szCs w:val="20"/>
          <w:lang w:eastAsia="lt-LT"/>
        </w:rPr>
      </w:pPr>
      <w:r w:rsidRPr="00556CA0">
        <w:rPr>
          <w:sz w:val="20"/>
          <w:szCs w:val="20"/>
          <w:lang w:eastAsia="lt-LT"/>
        </w:rPr>
        <w:t xml:space="preserve">Rūta Rožėnė, (8 5) 2662923, el. p. </w:t>
      </w:r>
      <w:hyperlink r:id="rId11" w:history="1">
        <w:r w:rsidRPr="00556CA0">
          <w:rPr>
            <w:rStyle w:val="Hyperlink"/>
            <w:color w:val="auto"/>
            <w:sz w:val="20"/>
            <w:szCs w:val="20"/>
            <w:u w:val="none"/>
            <w:lang w:eastAsia="lt-LT"/>
          </w:rPr>
          <w:t>r.rozene@tm.lt</w:t>
        </w:r>
      </w:hyperlink>
      <w:bookmarkStart w:id="0" w:name="_GoBack"/>
      <w:bookmarkEnd w:id="0"/>
      <w:r>
        <w:rPr>
          <w:sz w:val="20"/>
          <w:szCs w:val="20"/>
          <w:lang w:eastAsia="lt-LT"/>
        </w:rPr>
        <w:t xml:space="preserve"> </w:t>
      </w:r>
    </w:p>
    <w:sectPr w:rsidR="00CA0682">
      <w:headerReference w:type="default" r:id="rId12"/>
      <w:headerReference w:type="first" r:id="rId13"/>
      <w:footerReference w:type="first" r:id="rId14"/>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4DE" w:rsidRDefault="00D744DE">
      <w:pPr>
        <w:spacing w:after="0" w:line="240" w:lineRule="auto"/>
      </w:pPr>
      <w:r>
        <w:separator/>
      </w:r>
    </w:p>
  </w:endnote>
  <w:endnote w:type="continuationSeparator" w:id="0">
    <w:p w:rsidR="00D744DE" w:rsidRDefault="00D7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682" w:rsidRDefault="00B03E5D">
    <w:pPr>
      <w:pStyle w:val="Footer"/>
      <w:tabs>
        <w:tab w:val="clear" w:pos="8306"/>
        <w:tab w:val="left" w:pos="8080"/>
        <w:tab w:val="right" w:pos="9356"/>
      </w:tabs>
    </w:pPr>
    <w:r>
      <w:rPr>
        <w:noProof/>
        <w:lang w:eastAsia="lt-LT"/>
      </w:rPr>
      <w:drawing>
        <wp:inline distT="0" distB="0" distL="0" distR="0">
          <wp:extent cx="1085215" cy="817245"/>
          <wp:effectExtent l="0" t="0" r="635" b="190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215" cy="817245"/>
                  </a:xfrm>
                  <a:prstGeom prst="rect">
                    <a:avLst/>
                  </a:prstGeom>
                  <a:noFill/>
                </pic:spPr>
              </pic:pic>
            </a:graphicData>
          </a:graphic>
        </wp:inline>
      </w:drawing>
    </w:r>
  </w:p>
  <w:p w:rsidR="00CA0682" w:rsidRDefault="00B03E5D">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4DE" w:rsidRDefault="00D744DE">
      <w:pPr>
        <w:spacing w:after="0" w:line="240" w:lineRule="auto"/>
      </w:pPr>
      <w:r>
        <w:separator/>
      </w:r>
    </w:p>
  </w:footnote>
  <w:footnote w:type="continuationSeparator" w:id="0">
    <w:p w:rsidR="00D744DE" w:rsidRDefault="00D7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777539"/>
      <w:docPartObj>
        <w:docPartGallery w:val="AutoText"/>
      </w:docPartObj>
    </w:sdtPr>
    <w:sdtEndPr/>
    <w:sdtContent>
      <w:p w:rsidR="00CA0682" w:rsidRDefault="00B03E5D">
        <w:pPr>
          <w:pStyle w:val="Header"/>
          <w:jc w:val="center"/>
        </w:pPr>
        <w:r>
          <w:fldChar w:fldCharType="begin"/>
        </w:r>
        <w:r>
          <w:instrText>PAGE   \* MERGEFORMAT</w:instrText>
        </w:r>
        <w:r>
          <w:fldChar w:fldCharType="separate"/>
        </w:r>
        <w:r w:rsidR="00556CA0">
          <w:rPr>
            <w:noProof/>
          </w:rPr>
          <w:t>2</w:t>
        </w:r>
        <w:r>
          <w:fldChar w:fldCharType="end"/>
        </w:r>
      </w:p>
    </w:sdtContent>
  </w:sdt>
  <w:p w:rsidR="00CA0682" w:rsidRDefault="00CA0682">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682" w:rsidRDefault="00B03E5D">
    <w:pPr>
      <w:tabs>
        <w:tab w:val="right" w:pos="8306"/>
      </w:tabs>
      <w:suppressAutoHyphens w:val="0"/>
      <w:jc w:val="center"/>
      <w:rPr>
        <w:sz w:val="28"/>
        <w:szCs w:val="28"/>
        <w:lang w:eastAsia="en-US"/>
      </w:rPr>
    </w:pPr>
    <w:r>
      <w:rPr>
        <w:noProof/>
        <w:sz w:val="28"/>
        <w:szCs w:val="28"/>
        <w:lang w:eastAsia="lt-LT"/>
      </w:rPr>
      <w:drawing>
        <wp:inline distT="0" distB="0" distL="0" distR="0">
          <wp:extent cx="563880" cy="556260"/>
          <wp:effectExtent l="0" t="0" r="7620" b="0"/>
          <wp:docPr id="2" name="Paveikslėlis 2" descr="image001"/>
          <wp:cNvGraphicFramePr/>
          <a:graphic xmlns:a="http://schemas.openxmlformats.org/drawingml/2006/main">
            <a:graphicData uri="http://schemas.openxmlformats.org/drawingml/2006/picture">
              <pic:pic xmlns:pic="http://schemas.openxmlformats.org/drawingml/2006/picture">
                <pic:nvPicPr>
                  <pic:cNvPr id="2" name="Paveikslėlis 2"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rsidR="00CA0682" w:rsidRDefault="00B03E5D">
    <w:pPr>
      <w:suppressAutoHyphens w:val="0"/>
      <w:spacing w:after="0" w:line="240" w:lineRule="auto"/>
      <w:jc w:val="center"/>
      <w:rPr>
        <w:b/>
        <w:bCs/>
        <w:sz w:val="26"/>
        <w:lang w:eastAsia="en-US"/>
      </w:rPr>
    </w:pPr>
    <w:r>
      <w:rPr>
        <w:b/>
        <w:bCs/>
        <w:sz w:val="26"/>
        <w:lang w:eastAsia="en-US"/>
      </w:rPr>
      <w:t>LIETUVOS RESPUBLIKOS TEISINGUMO MINISTERIJA</w:t>
    </w:r>
  </w:p>
  <w:p w:rsidR="00CA0682" w:rsidRDefault="00CA0682">
    <w:pPr>
      <w:suppressAutoHyphens w:val="0"/>
      <w:spacing w:after="0" w:line="240" w:lineRule="auto"/>
      <w:jc w:val="center"/>
      <w:rPr>
        <w:b/>
        <w:bCs/>
        <w:sz w:val="26"/>
        <w:lang w:eastAsia="en-US"/>
      </w:rPr>
    </w:pPr>
  </w:p>
  <w:p w:rsidR="00CA0682" w:rsidRDefault="00B03E5D">
    <w:pPr>
      <w:pBdr>
        <w:bottom w:val="single" w:sz="4" w:space="1" w:color="auto"/>
      </w:pBdr>
      <w:suppressAutoHyphens w:val="0"/>
      <w:spacing w:after="0" w:line="240" w:lineRule="auto"/>
      <w:jc w:val="center"/>
      <w:rPr>
        <w:sz w:val="20"/>
        <w:lang w:eastAsia="en-US"/>
      </w:rPr>
    </w:pPr>
    <w:r>
      <w:rPr>
        <w:sz w:val="20"/>
        <w:lang w:eastAsia="en-US"/>
      </w:rPr>
      <w:t xml:space="preserve">Biudžetinė įstaiga, Gedimino pr. 30, LT-01104 Vilnius, </w:t>
    </w:r>
  </w:p>
  <w:p w:rsidR="00CA0682" w:rsidRDefault="00B03E5D">
    <w:pPr>
      <w:pBdr>
        <w:bottom w:val="single" w:sz="4" w:space="1" w:color="auto"/>
      </w:pBdr>
      <w:suppressAutoHyphens w:val="0"/>
      <w:spacing w:after="0" w:line="240" w:lineRule="auto"/>
      <w:jc w:val="center"/>
      <w:rPr>
        <w:sz w:val="20"/>
        <w:lang w:eastAsia="en-US"/>
      </w:rPr>
    </w:pPr>
    <w:r>
      <w:rPr>
        <w:sz w:val="20"/>
        <w:lang w:eastAsia="en-US"/>
      </w:rPr>
      <w:t>tel. (8 5) 266 2984, faks. (8 5) 262 5940, el. p. rastine@tm.lt,</w:t>
    </w:r>
  </w:p>
  <w:p w:rsidR="00CA0682" w:rsidRDefault="00B03E5D">
    <w:pPr>
      <w:pBdr>
        <w:bottom w:val="single" w:sz="4" w:space="1" w:color="auto"/>
      </w:pBdr>
      <w:suppressAutoHyphens w:val="0"/>
      <w:spacing w:after="0" w:line="240" w:lineRule="auto"/>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p>
  <w:p w:rsidR="00CA0682" w:rsidRDefault="00B03E5D">
    <w:pPr>
      <w:pBdr>
        <w:bottom w:val="single" w:sz="4" w:space="1" w:color="auto"/>
      </w:pBdr>
      <w:suppressAutoHyphens w:val="0"/>
      <w:spacing w:after="0" w:line="240" w:lineRule="auto"/>
      <w:jc w:val="center"/>
      <w:rPr>
        <w:sz w:val="20"/>
        <w:lang w:eastAsia="en-US"/>
      </w:rPr>
    </w:pPr>
    <w:r>
      <w:rPr>
        <w:sz w:val="20"/>
        <w:lang w:eastAsia="en-US"/>
      </w:rPr>
      <w:t>Duomenys kaupiami ir saugomi Juridinių asmenų registre, kodas 188604955</w:t>
    </w:r>
  </w:p>
  <w:p w:rsidR="00CA0682" w:rsidRDefault="00CA0682">
    <w:pPr>
      <w:tabs>
        <w:tab w:val="right" w:pos="8306"/>
      </w:tabs>
      <w:suppressAutoHyphens w:val="0"/>
      <w:jc w:val="center"/>
      <w:rPr>
        <w:sz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4D075D54"/>
    <w:multiLevelType w:val="hybridMultilevel"/>
    <w:tmpl w:val="808A8EDC"/>
    <w:lvl w:ilvl="0" w:tplc="EF28701E">
      <w:start w:val="1"/>
      <w:numFmt w:val="decimal"/>
      <w:lvlText w:val="%1)"/>
      <w:lvlJc w:val="left"/>
      <w:pPr>
        <w:ind w:left="1069" w:hanging="360"/>
      </w:pPr>
      <w:rPr>
        <w:rFonts w:ascii="Times New Roman" w:eastAsia="Times New Roman" w:hAnsi="Times New Roman"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abstractNum w:abstractNumId="3" w15:restartNumberingAfterBreak="0">
    <w:nsid w:val="68FC5AF0"/>
    <w:multiLevelType w:val="multilevel"/>
    <w:tmpl w:val="68FC5AF0"/>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717C"/>
    <w:rsid w:val="000126A3"/>
    <w:rsid w:val="000203F3"/>
    <w:rsid w:val="00022E3C"/>
    <w:rsid w:val="00033D6D"/>
    <w:rsid w:val="00033F22"/>
    <w:rsid w:val="0003553B"/>
    <w:rsid w:val="000356BD"/>
    <w:rsid w:val="0004405D"/>
    <w:rsid w:val="00045F11"/>
    <w:rsid w:val="0005153E"/>
    <w:rsid w:val="0006186E"/>
    <w:rsid w:val="0007035B"/>
    <w:rsid w:val="00072919"/>
    <w:rsid w:val="000756A8"/>
    <w:rsid w:val="00093791"/>
    <w:rsid w:val="00095F50"/>
    <w:rsid w:val="000B0D10"/>
    <w:rsid w:val="000B1ECA"/>
    <w:rsid w:val="000B67D8"/>
    <w:rsid w:val="000D0B1C"/>
    <w:rsid w:val="000D3171"/>
    <w:rsid w:val="000E34D4"/>
    <w:rsid w:val="000E6E4F"/>
    <w:rsid w:val="000E7556"/>
    <w:rsid w:val="00106269"/>
    <w:rsid w:val="00110A05"/>
    <w:rsid w:val="00133358"/>
    <w:rsid w:val="00137EFF"/>
    <w:rsid w:val="00163C9F"/>
    <w:rsid w:val="0017342D"/>
    <w:rsid w:val="00190B04"/>
    <w:rsid w:val="001955A6"/>
    <w:rsid w:val="001A2BEB"/>
    <w:rsid w:val="001A7CFC"/>
    <w:rsid w:val="001B2245"/>
    <w:rsid w:val="001B28DE"/>
    <w:rsid w:val="001B4F84"/>
    <w:rsid w:val="001C1840"/>
    <w:rsid w:val="001C3D26"/>
    <w:rsid w:val="001D2ECE"/>
    <w:rsid w:val="001E0731"/>
    <w:rsid w:val="001E192A"/>
    <w:rsid w:val="001E213B"/>
    <w:rsid w:val="001E5D97"/>
    <w:rsid w:val="001E6F39"/>
    <w:rsid w:val="001F4940"/>
    <w:rsid w:val="00213D62"/>
    <w:rsid w:val="00216724"/>
    <w:rsid w:val="00224C7E"/>
    <w:rsid w:val="00225009"/>
    <w:rsid w:val="00242D79"/>
    <w:rsid w:val="00247655"/>
    <w:rsid w:val="002564FC"/>
    <w:rsid w:val="00271BCA"/>
    <w:rsid w:val="0027526A"/>
    <w:rsid w:val="00276010"/>
    <w:rsid w:val="002914D4"/>
    <w:rsid w:val="002C0406"/>
    <w:rsid w:val="002C4B80"/>
    <w:rsid w:val="002D24DA"/>
    <w:rsid w:val="002F357E"/>
    <w:rsid w:val="003006E8"/>
    <w:rsid w:val="003078E6"/>
    <w:rsid w:val="00314884"/>
    <w:rsid w:val="0031547F"/>
    <w:rsid w:val="00320FF7"/>
    <w:rsid w:val="00335E75"/>
    <w:rsid w:val="00345C41"/>
    <w:rsid w:val="00350171"/>
    <w:rsid w:val="0035263F"/>
    <w:rsid w:val="00357B11"/>
    <w:rsid w:val="00374572"/>
    <w:rsid w:val="003759BD"/>
    <w:rsid w:val="00382776"/>
    <w:rsid w:val="00392BAA"/>
    <w:rsid w:val="003A0243"/>
    <w:rsid w:val="003A0D57"/>
    <w:rsid w:val="003A403B"/>
    <w:rsid w:val="003A6CAA"/>
    <w:rsid w:val="003C1BC9"/>
    <w:rsid w:val="003C229D"/>
    <w:rsid w:val="003C4B23"/>
    <w:rsid w:val="003C76FB"/>
    <w:rsid w:val="00422F55"/>
    <w:rsid w:val="004400C5"/>
    <w:rsid w:val="00443DB9"/>
    <w:rsid w:val="00444D3C"/>
    <w:rsid w:val="004473FF"/>
    <w:rsid w:val="0045049B"/>
    <w:rsid w:val="004570F1"/>
    <w:rsid w:val="0047576E"/>
    <w:rsid w:val="00477775"/>
    <w:rsid w:val="004A7CBD"/>
    <w:rsid w:val="004B0F31"/>
    <w:rsid w:val="004B43FB"/>
    <w:rsid w:val="004B6A8F"/>
    <w:rsid w:val="004C157C"/>
    <w:rsid w:val="004D394B"/>
    <w:rsid w:val="004E0354"/>
    <w:rsid w:val="004E4C97"/>
    <w:rsid w:val="004E63F8"/>
    <w:rsid w:val="004F135D"/>
    <w:rsid w:val="004F29B4"/>
    <w:rsid w:val="004F7E5E"/>
    <w:rsid w:val="00503401"/>
    <w:rsid w:val="0051548F"/>
    <w:rsid w:val="00516F55"/>
    <w:rsid w:val="00517927"/>
    <w:rsid w:val="00526983"/>
    <w:rsid w:val="005468FA"/>
    <w:rsid w:val="00556B65"/>
    <w:rsid w:val="00556CA0"/>
    <w:rsid w:val="005934F7"/>
    <w:rsid w:val="005A2039"/>
    <w:rsid w:val="005A32E3"/>
    <w:rsid w:val="005B22EF"/>
    <w:rsid w:val="005B71DB"/>
    <w:rsid w:val="005C40F2"/>
    <w:rsid w:val="005D1593"/>
    <w:rsid w:val="005D6509"/>
    <w:rsid w:val="005D6649"/>
    <w:rsid w:val="005E2816"/>
    <w:rsid w:val="005E7F01"/>
    <w:rsid w:val="005F6849"/>
    <w:rsid w:val="005F70CA"/>
    <w:rsid w:val="006202AA"/>
    <w:rsid w:val="006221A8"/>
    <w:rsid w:val="00631354"/>
    <w:rsid w:val="00632C30"/>
    <w:rsid w:val="00641FDE"/>
    <w:rsid w:val="006461D4"/>
    <w:rsid w:val="00663F46"/>
    <w:rsid w:val="00674F0A"/>
    <w:rsid w:val="0068388E"/>
    <w:rsid w:val="00685024"/>
    <w:rsid w:val="00692B0B"/>
    <w:rsid w:val="006A0169"/>
    <w:rsid w:val="006A3AEE"/>
    <w:rsid w:val="006A75D0"/>
    <w:rsid w:val="006B22AB"/>
    <w:rsid w:val="006B38FD"/>
    <w:rsid w:val="006E2FF8"/>
    <w:rsid w:val="006F055F"/>
    <w:rsid w:val="006F330D"/>
    <w:rsid w:val="0070100A"/>
    <w:rsid w:val="007155A1"/>
    <w:rsid w:val="00735C7F"/>
    <w:rsid w:val="0074745C"/>
    <w:rsid w:val="00752248"/>
    <w:rsid w:val="00755247"/>
    <w:rsid w:val="0075689A"/>
    <w:rsid w:val="00775BDF"/>
    <w:rsid w:val="00791F7D"/>
    <w:rsid w:val="00796ABC"/>
    <w:rsid w:val="007B1F82"/>
    <w:rsid w:val="007B3C8C"/>
    <w:rsid w:val="007B4A13"/>
    <w:rsid w:val="007F0965"/>
    <w:rsid w:val="007F7B9B"/>
    <w:rsid w:val="008309E8"/>
    <w:rsid w:val="008322DA"/>
    <w:rsid w:val="008336C2"/>
    <w:rsid w:val="00871490"/>
    <w:rsid w:val="00880B9C"/>
    <w:rsid w:val="008A5254"/>
    <w:rsid w:val="008B055A"/>
    <w:rsid w:val="008C162A"/>
    <w:rsid w:val="008D12F2"/>
    <w:rsid w:val="00905790"/>
    <w:rsid w:val="0090617C"/>
    <w:rsid w:val="00921A20"/>
    <w:rsid w:val="009258D1"/>
    <w:rsid w:val="009337B6"/>
    <w:rsid w:val="00935287"/>
    <w:rsid w:val="00967916"/>
    <w:rsid w:val="00977F51"/>
    <w:rsid w:val="00996149"/>
    <w:rsid w:val="009A11A6"/>
    <w:rsid w:val="009A4A11"/>
    <w:rsid w:val="009B0944"/>
    <w:rsid w:val="009B3160"/>
    <w:rsid w:val="009B4576"/>
    <w:rsid w:val="009B5A22"/>
    <w:rsid w:val="009D1030"/>
    <w:rsid w:val="009D4E02"/>
    <w:rsid w:val="009D5D3E"/>
    <w:rsid w:val="009E11EE"/>
    <w:rsid w:val="009E135C"/>
    <w:rsid w:val="00A16C3B"/>
    <w:rsid w:val="00A17E41"/>
    <w:rsid w:val="00A30C80"/>
    <w:rsid w:val="00A36467"/>
    <w:rsid w:val="00A374DF"/>
    <w:rsid w:val="00A40CD2"/>
    <w:rsid w:val="00A43DDD"/>
    <w:rsid w:val="00A45A83"/>
    <w:rsid w:val="00A500C7"/>
    <w:rsid w:val="00A5068D"/>
    <w:rsid w:val="00A51241"/>
    <w:rsid w:val="00A938C5"/>
    <w:rsid w:val="00A94549"/>
    <w:rsid w:val="00AA72C2"/>
    <w:rsid w:val="00AB4BC9"/>
    <w:rsid w:val="00AC27D6"/>
    <w:rsid w:val="00AD37E3"/>
    <w:rsid w:val="00AE0614"/>
    <w:rsid w:val="00AE3511"/>
    <w:rsid w:val="00AE7135"/>
    <w:rsid w:val="00AF0C06"/>
    <w:rsid w:val="00B03E5D"/>
    <w:rsid w:val="00B10D57"/>
    <w:rsid w:val="00B40D2F"/>
    <w:rsid w:val="00B42634"/>
    <w:rsid w:val="00B7339D"/>
    <w:rsid w:val="00B91F4D"/>
    <w:rsid w:val="00B942CE"/>
    <w:rsid w:val="00B96442"/>
    <w:rsid w:val="00BA1425"/>
    <w:rsid w:val="00BA60D3"/>
    <w:rsid w:val="00BB10F6"/>
    <w:rsid w:val="00BB1BC1"/>
    <w:rsid w:val="00BD01B6"/>
    <w:rsid w:val="00BD62CA"/>
    <w:rsid w:val="00BF4400"/>
    <w:rsid w:val="00BF7CB3"/>
    <w:rsid w:val="00C2360C"/>
    <w:rsid w:val="00C26D5D"/>
    <w:rsid w:val="00C41341"/>
    <w:rsid w:val="00C43A57"/>
    <w:rsid w:val="00C50532"/>
    <w:rsid w:val="00C52D99"/>
    <w:rsid w:val="00C57CCB"/>
    <w:rsid w:val="00C65DA4"/>
    <w:rsid w:val="00C82080"/>
    <w:rsid w:val="00C843F3"/>
    <w:rsid w:val="00C85D16"/>
    <w:rsid w:val="00CA0682"/>
    <w:rsid w:val="00CB1D28"/>
    <w:rsid w:val="00CC0A92"/>
    <w:rsid w:val="00CC742A"/>
    <w:rsid w:val="00CD660D"/>
    <w:rsid w:val="00D018A3"/>
    <w:rsid w:val="00D2173F"/>
    <w:rsid w:val="00D22358"/>
    <w:rsid w:val="00D22A39"/>
    <w:rsid w:val="00D519E9"/>
    <w:rsid w:val="00D553A0"/>
    <w:rsid w:val="00D6461F"/>
    <w:rsid w:val="00D74373"/>
    <w:rsid w:val="00D744DE"/>
    <w:rsid w:val="00D859E6"/>
    <w:rsid w:val="00D85A5C"/>
    <w:rsid w:val="00D9324E"/>
    <w:rsid w:val="00DA10E1"/>
    <w:rsid w:val="00DA16FD"/>
    <w:rsid w:val="00DB3907"/>
    <w:rsid w:val="00DB3B9E"/>
    <w:rsid w:val="00DC45AB"/>
    <w:rsid w:val="00DF6954"/>
    <w:rsid w:val="00DF6EA0"/>
    <w:rsid w:val="00E03437"/>
    <w:rsid w:val="00E03B24"/>
    <w:rsid w:val="00E04931"/>
    <w:rsid w:val="00E214C4"/>
    <w:rsid w:val="00E32D88"/>
    <w:rsid w:val="00E35543"/>
    <w:rsid w:val="00E36636"/>
    <w:rsid w:val="00E63465"/>
    <w:rsid w:val="00E75D83"/>
    <w:rsid w:val="00E81F28"/>
    <w:rsid w:val="00E843B1"/>
    <w:rsid w:val="00E96B50"/>
    <w:rsid w:val="00EA3009"/>
    <w:rsid w:val="00EA53AA"/>
    <w:rsid w:val="00EA70B7"/>
    <w:rsid w:val="00EC1F94"/>
    <w:rsid w:val="00ED73D6"/>
    <w:rsid w:val="00EE5859"/>
    <w:rsid w:val="00EE7FFC"/>
    <w:rsid w:val="00EF07A0"/>
    <w:rsid w:val="00EF30C7"/>
    <w:rsid w:val="00EF5630"/>
    <w:rsid w:val="00F05FB4"/>
    <w:rsid w:val="00F10F8E"/>
    <w:rsid w:val="00F17E04"/>
    <w:rsid w:val="00F353AF"/>
    <w:rsid w:val="00F6147E"/>
    <w:rsid w:val="00F61BC8"/>
    <w:rsid w:val="00F62B9E"/>
    <w:rsid w:val="00F73A02"/>
    <w:rsid w:val="00F85A80"/>
    <w:rsid w:val="00F947AC"/>
    <w:rsid w:val="00FB183B"/>
    <w:rsid w:val="00FB295F"/>
    <w:rsid w:val="00FB41D3"/>
    <w:rsid w:val="00FB5D01"/>
    <w:rsid w:val="00FB6065"/>
    <w:rsid w:val="00FC0237"/>
    <w:rsid w:val="00FC0E93"/>
    <w:rsid w:val="00FC3911"/>
    <w:rsid w:val="00FD2FDD"/>
    <w:rsid w:val="00FE2B69"/>
    <w:rsid w:val="00FF3BA2"/>
    <w:rsid w:val="00FF75F2"/>
    <w:rsid w:val="12321547"/>
    <w:rsid w:val="25267E91"/>
    <w:rsid w:val="29D9530C"/>
    <w:rsid w:val="2E6B27EB"/>
    <w:rsid w:val="421E2D0A"/>
    <w:rsid w:val="5380668B"/>
    <w:rsid w:val="66CA160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26565-E31C-4159-BEEC-BAC2C364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qFormat/>
    <w:pPr>
      <w:spacing w:after="120"/>
    </w:pPr>
  </w:style>
  <w:style w:type="paragraph" w:styleId="CommentText">
    <w:name w:val="annotation text"/>
    <w:basedOn w:val="Normal"/>
    <w:link w:val="CommentTextChar"/>
    <w:unhideWhenUsed/>
    <w:qFormat/>
    <w:rPr>
      <w:sz w:val="20"/>
      <w:szCs w:val="20"/>
    </w:rPr>
  </w:style>
  <w:style w:type="paragraph" w:styleId="CommentSubject">
    <w:name w:val="annotation subject"/>
    <w:basedOn w:val="CommentText"/>
    <w:next w:val="CommentText"/>
    <w:link w:val="CommentSubjectChar"/>
    <w:semiHidden/>
    <w:unhideWhenUsed/>
    <w:qFormat/>
    <w:rPr>
      <w:b/>
      <w:bCs/>
    </w:rPr>
  </w:style>
  <w:style w:type="paragraph" w:styleId="Footer">
    <w:name w:val="footer"/>
    <w:basedOn w:val="Normal"/>
    <w:link w:val="FooterChar"/>
    <w:pPr>
      <w:tabs>
        <w:tab w:val="right" w:pos="8306"/>
      </w:tabs>
      <w:jc w:val="right"/>
    </w:pPr>
    <w:rPr>
      <w:sz w:val="16"/>
    </w:rPr>
  </w:style>
  <w:style w:type="paragraph" w:styleId="FootnoteText">
    <w:name w:val="footnote text"/>
    <w:basedOn w:val="Normal"/>
    <w:link w:val="FootnoteTextChar"/>
    <w:semiHidden/>
    <w:unhideWhenUsed/>
    <w:rPr>
      <w:sz w:val="20"/>
      <w:szCs w:val="20"/>
    </w:rPr>
  </w:style>
  <w:style w:type="paragraph" w:styleId="Header">
    <w:name w:val="header"/>
    <w:basedOn w:val="Normal"/>
    <w:link w:val="HeaderChar"/>
    <w:uiPriority w:val="99"/>
    <w:pPr>
      <w:suppressLineNumbers/>
      <w:tabs>
        <w:tab w:val="right" w:pos="-1135"/>
        <w:tab w:val="center" w:pos="-568"/>
      </w:tabs>
    </w:pPr>
  </w:style>
  <w:style w:type="paragraph" w:styleId="List">
    <w:name w:val="List"/>
    <w:basedOn w:val="Tekstas"/>
    <w:rPr>
      <w:rFonts w:cs="Tahoma"/>
    </w:rPr>
  </w:style>
  <w:style w:type="paragraph" w:customStyle="1" w:styleId="Tekstas">
    <w:name w:val="Tekstas"/>
    <w:basedOn w:val="Normal"/>
    <w:qFormat/>
    <w:pPr>
      <w:spacing w:before="40" w:after="40"/>
      <w:ind w:right="40" w:firstLine="1247"/>
      <w:jc w:val="both"/>
    </w:pPr>
  </w:style>
  <w:style w:type="paragraph" w:styleId="Subtitle">
    <w:name w:val="Subtitle"/>
    <w:basedOn w:val="Antrat1"/>
    <w:next w:val="BodyText"/>
    <w:rPr>
      <w:i/>
      <w:iCs/>
      <w:sz w:val="28"/>
    </w:rPr>
  </w:style>
  <w:style w:type="paragraph" w:customStyle="1" w:styleId="Antrat1">
    <w:name w:val="Antraštė1"/>
    <w:basedOn w:val="Normal"/>
    <w:next w:val="BodyText"/>
    <w:qFormat/>
    <w:pPr>
      <w:keepNext/>
      <w:spacing w:after="119"/>
      <w:jc w:val="center"/>
    </w:pPr>
    <w:rPr>
      <w:rFonts w:eastAsia="MS Mincho" w:cs="Tahoma"/>
      <w:szCs w:val="28"/>
    </w:rPr>
  </w:style>
  <w:style w:type="paragraph" w:styleId="Title">
    <w:name w:val="Title"/>
    <w:basedOn w:val="Antrat1"/>
    <w:next w:val="Subtitle"/>
    <w:qFormat/>
  </w:style>
  <w:style w:type="character" w:styleId="CommentReference">
    <w:name w:val="annotation reference"/>
    <w:basedOn w:val="DefaultParagraphFont"/>
    <w:unhideWhenUsed/>
    <w:rPr>
      <w:sz w:val="16"/>
      <w:szCs w:val="16"/>
    </w:rPr>
  </w:style>
  <w:style w:type="character" w:styleId="FollowedHyperlink">
    <w:name w:val="FollowedHyperlink"/>
    <w:basedOn w:val="DefaultParagraphFont"/>
    <w:semiHidden/>
    <w:unhideWhenUsed/>
    <w:qFormat/>
    <w:rPr>
      <w:color w:val="800080" w:themeColor="followedHyperlink"/>
      <w:u w:val="single"/>
    </w:rPr>
  </w:style>
  <w:style w:type="character" w:styleId="FootnoteReference">
    <w:name w:val="footnote reference"/>
    <w:basedOn w:val="DefaultParagraphFont"/>
    <w:semiHidden/>
    <w:unhideWhenUsed/>
    <w:qFormat/>
    <w:rPr>
      <w:vertAlign w:val="superscript"/>
    </w:rPr>
  </w:style>
  <w:style w:type="character" w:styleId="Hyperlink">
    <w:name w:val="Hyperlink"/>
    <w:basedOn w:val="Numatytasispastraiposriftas1"/>
    <w:qFormat/>
    <w:rPr>
      <w:color w:val="0000FF"/>
      <w:u w:val="single"/>
    </w:rPr>
  </w:style>
  <w:style w:type="character" w:customStyle="1" w:styleId="Numatytasispastraiposriftas1">
    <w:name w:val="Numatytasis pastraipos šriftas1"/>
    <w:qFormat/>
  </w:style>
  <w:style w:type="character" w:styleId="PageNumber">
    <w:name w:val="page number"/>
    <w:basedOn w:val="Numatytasispastraiposriftas1"/>
    <w:qFormat/>
  </w:style>
  <w:style w:type="character" w:customStyle="1" w:styleId="Numeravimosimboliai">
    <w:name w:val="Numeravimo simboliai"/>
    <w:qFormat/>
  </w:style>
  <w:style w:type="paragraph" w:customStyle="1" w:styleId="Pavadinimas2">
    <w:name w:val="Pavadinimas2"/>
    <w:basedOn w:val="Normal"/>
    <w:pPr>
      <w:suppressLineNumbers/>
      <w:spacing w:before="120" w:after="120"/>
    </w:pPr>
    <w:rPr>
      <w:rFonts w:cs="Tahoma"/>
      <w:i/>
      <w:iCs/>
    </w:rPr>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qFormat/>
  </w:style>
  <w:style w:type="paragraph" w:customStyle="1" w:styleId="Rodykl">
    <w:name w:val="Rodyklė"/>
    <w:basedOn w:val="Normal"/>
    <w:qFormat/>
    <w:pPr>
      <w:suppressLineNumbers/>
    </w:pPr>
    <w:rPr>
      <w:rFonts w:cs="Tahoma"/>
    </w:rPr>
  </w:style>
  <w:style w:type="paragraph" w:customStyle="1" w:styleId="Pavadinimas1">
    <w:name w:val="Pavadinimas1"/>
    <w:basedOn w:val="Normal"/>
    <w:qFormat/>
    <w:pPr>
      <w:spacing w:before="40" w:after="40"/>
      <w:ind w:right="1959"/>
    </w:pPr>
    <w:rPr>
      <w:caps/>
    </w:rPr>
  </w:style>
  <w:style w:type="paragraph" w:customStyle="1" w:styleId="Adresas">
    <w:name w:val="Adresas"/>
    <w:basedOn w:val="Normal"/>
    <w:qFormat/>
    <w:pPr>
      <w:ind w:right="318"/>
    </w:pPr>
  </w:style>
  <w:style w:type="paragraph" w:customStyle="1" w:styleId="Kopija">
    <w:name w:val="Kopija"/>
    <w:basedOn w:val="Adresas"/>
    <w:qFormat/>
    <w:pPr>
      <w:ind w:right="3999"/>
    </w:pPr>
  </w:style>
  <w:style w:type="paragraph" w:customStyle="1" w:styleId="Institucija">
    <w:name w:val="Institucija"/>
    <w:basedOn w:val="Antrat1"/>
    <w:qFormat/>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FooterChar">
    <w:name w:val="Footer Char"/>
    <w:basedOn w:val="DefaultParagraphFont"/>
    <w:link w:val="Footer"/>
    <w:qFormat/>
    <w:rPr>
      <w:sz w:val="16"/>
      <w:szCs w:val="24"/>
      <w:lang w:eastAsia="ar-SA"/>
    </w:rPr>
  </w:style>
  <w:style w:type="character" w:customStyle="1" w:styleId="BalloonTextChar">
    <w:name w:val="Balloon Text Char"/>
    <w:basedOn w:val="DefaultParagraphFont"/>
    <w:link w:val="BalloonText"/>
    <w:qFormat/>
    <w:rPr>
      <w:rFonts w:ascii="Tahoma" w:hAnsi="Tahoma" w:cs="Tahoma"/>
      <w:sz w:val="16"/>
      <w:szCs w:val="16"/>
      <w:lang w:eastAsia="ar-SA"/>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color w:val="000000"/>
      <w:sz w:val="24"/>
      <w:szCs w:val="24"/>
    </w:rPr>
  </w:style>
  <w:style w:type="character" w:customStyle="1" w:styleId="FootnoteTextChar">
    <w:name w:val="Footnote Text Char"/>
    <w:basedOn w:val="DefaultParagraphFont"/>
    <w:link w:val="FootnoteText"/>
    <w:semiHidden/>
    <w:qFormat/>
    <w:rPr>
      <w:lang w:eastAsia="ar-SA"/>
    </w:rPr>
  </w:style>
  <w:style w:type="character" w:customStyle="1" w:styleId="CommentTextChar">
    <w:name w:val="Comment Text Char"/>
    <w:basedOn w:val="DefaultParagraphFont"/>
    <w:link w:val="CommentText"/>
    <w:qFormat/>
    <w:rPr>
      <w:lang w:eastAsia="ar-SA"/>
    </w:rPr>
  </w:style>
  <w:style w:type="character" w:customStyle="1" w:styleId="CommentSubjectChar">
    <w:name w:val="Comment Subject Char"/>
    <w:basedOn w:val="CommentTextChar"/>
    <w:link w:val="CommentSubject"/>
    <w:semiHidden/>
    <w:qFormat/>
    <w:rPr>
      <w:b/>
      <w:bCs/>
      <w:lang w:eastAsia="ar-SA"/>
    </w:rPr>
  </w:style>
  <w:style w:type="paragraph" w:customStyle="1" w:styleId="norm">
    <w:name w:val="norm"/>
    <w:basedOn w:val="Normal"/>
    <w:qFormat/>
    <w:pPr>
      <w:suppressAutoHyphens w:val="0"/>
      <w:spacing w:before="100" w:beforeAutospacing="1" w:after="100" w:afterAutospacing="1"/>
    </w:pPr>
    <w:rPr>
      <w:lang w:eastAsia="lt-LT"/>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24"/>
      <w:szCs w:val="24"/>
      <w:lang w:eastAsia="ar-SA"/>
    </w:rPr>
  </w:style>
  <w:style w:type="character" w:customStyle="1" w:styleId="ListParagraphChar">
    <w:name w:val="List Paragraph Char"/>
    <w:link w:val="ListParagraph"/>
    <w:uiPriority w:val="3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rozene@tm.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gle.betingiene@tm.lt"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e-seimas.lrs.lt/portal/legalAct/lt/TAP/ac3d555125ae11eb8c97e01ffe050e1c?jfwid=-kyrux0d9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FC1ABA-756C-4DD9-BE4E-4CF2A5A82777}">
  <ds:schemaRefs>
    <ds:schemaRef ds:uri="http://schemas.openxmlformats.org/officeDocument/2006/bibliography"/>
  </ds:schemaRefs>
</ds:datastoreItem>
</file>

<file path=customXml/itemProps3.xml><?xml version="1.0" encoding="utf-8"?>
<ds:datastoreItem xmlns:ds="http://schemas.openxmlformats.org/officeDocument/2006/customXml" ds:itemID="{48987814-F090-4A1E-8ACF-7D694360544B}"/>
</file>

<file path=customXml/itemProps4.xml><?xml version="1.0" encoding="utf-8"?>
<ds:datastoreItem xmlns:ds="http://schemas.openxmlformats.org/officeDocument/2006/customXml" ds:itemID="{088DC331-CEF5-43B0-A951-1031E243743C}"/>
</file>

<file path=customXml/itemProps5.xml><?xml version="1.0" encoding="utf-8"?>
<ds:datastoreItem xmlns:ds="http://schemas.openxmlformats.org/officeDocument/2006/customXml" ds:itemID="{D7800E72-4DC5-4799-A5DC-AFEC8570CEEF}"/>
</file>

<file path=docProps/app.xml><?xml version="1.0" encoding="utf-8"?>
<Properties xmlns="http://schemas.openxmlformats.org/officeDocument/2006/extended-properties" xmlns:vt="http://schemas.openxmlformats.org/officeDocument/2006/docPropsVTypes">
  <Template>Normal</Template>
  <TotalTime>85</TotalTime>
  <Pages>3</Pages>
  <Words>3436</Words>
  <Characters>1959</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ba62b585-b305-4575-9845-a22885c320ae</dc:title>
  <dc:creator>D.Glodenis</dc:creator>
  <cp:lastModifiedBy>Windows User</cp:lastModifiedBy>
  <cp:revision>5</cp:revision>
  <cp:lastPrinted>2020-01-13T12:15:00Z</cp:lastPrinted>
  <dcterms:created xsi:type="dcterms:W3CDTF">2020-12-03T08:36:00Z</dcterms:created>
  <dcterms:modified xsi:type="dcterms:W3CDTF">2020-12-03T17:44:00Z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y fmtid="{D5CDD505-2E9C-101B-9397-08002B2CF9AE}" pid="3" name="ContentTypeId">
    <vt:lpwstr>0x010100D8ECFFBDDA118244861569856C5AC6C3</vt:lpwstr>
  </property>
  <property fmtid="{D5CDD505-2E9C-101B-9397-08002B2CF9AE}" pid="4" name="Komentarai">
    <vt:lpwstr>Pridėta po vizavimo</vt:lpwstr>
  </property>
</Properties>
</file>