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051F"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PAŽYMA</w:t>
      </w:r>
    </w:p>
    <w:p w14:paraId="2A0B477C"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 xml:space="preserve">Europos sąjungos taryba </w:t>
      </w:r>
    </w:p>
    <w:p w14:paraId="0DC235FE" w14:textId="77777777"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 xml:space="preserve">(teisingumas ir vidaus reikalai) </w:t>
      </w:r>
    </w:p>
    <w:p w14:paraId="6E9E11DC" w14:textId="77777777" w:rsidR="00FF3DD4" w:rsidRPr="00DB21E1" w:rsidRDefault="00FF3DD4" w:rsidP="00FF3DD4">
      <w:pPr>
        <w:pStyle w:val="BodyA"/>
        <w:jc w:val="center"/>
        <w:rPr>
          <w:rFonts w:hAnsi="Times New Roman" w:cs="Times New Roman"/>
          <w:b/>
          <w:bCs/>
          <w:caps/>
          <w:lang w:val="lt-LT"/>
        </w:rPr>
      </w:pPr>
    </w:p>
    <w:p w14:paraId="412014CA" w14:textId="63EF1DCB" w:rsidR="00FF3DD4" w:rsidRPr="00DB21E1" w:rsidRDefault="00FF3DD4" w:rsidP="00FF3DD4">
      <w:pPr>
        <w:pStyle w:val="BodyA"/>
        <w:jc w:val="center"/>
        <w:rPr>
          <w:rFonts w:hAnsi="Times New Roman" w:cs="Times New Roman"/>
          <w:b/>
          <w:bCs/>
          <w:caps/>
          <w:lang w:val="lt-LT"/>
        </w:rPr>
      </w:pPr>
      <w:r w:rsidRPr="00DB21E1">
        <w:rPr>
          <w:rFonts w:hAnsi="Times New Roman" w:cs="Times New Roman"/>
          <w:b/>
          <w:bCs/>
          <w:caps/>
          <w:lang w:val="lt-LT"/>
        </w:rPr>
        <w:t xml:space="preserve">2021 m. </w:t>
      </w:r>
      <w:r w:rsidR="004D669C">
        <w:rPr>
          <w:rFonts w:hAnsi="Times New Roman" w:cs="Times New Roman"/>
          <w:b/>
          <w:bCs/>
          <w:caps/>
          <w:lang w:val="lt-LT"/>
        </w:rPr>
        <w:t>gruodžio</w:t>
      </w:r>
      <w:r>
        <w:rPr>
          <w:rFonts w:hAnsi="Times New Roman" w:cs="Times New Roman"/>
          <w:b/>
          <w:bCs/>
          <w:caps/>
          <w:lang w:val="lt-LT"/>
        </w:rPr>
        <w:t xml:space="preserve"> </w:t>
      </w:r>
      <w:r w:rsidR="004D669C">
        <w:rPr>
          <w:rFonts w:hAnsi="Times New Roman" w:cs="Times New Roman"/>
          <w:b/>
          <w:bCs/>
          <w:caps/>
          <w:lang w:val="lt-LT"/>
        </w:rPr>
        <w:t>9 -</w:t>
      </w:r>
      <w:r w:rsidRPr="00DB21E1">
        <w:rPr>
          <w:rFonts w:hAnsi="Times New Roman" w:cs="Times New Roman"/>
          <w:b/>
          <w:bCs/>
          <w:caps/>
          <w:lang w:val="lt-LT"/>
        </w:rPr>
        <w:t xml:space="preserve"> </w:t>
      </w:r>
      <w:r w:rsidR="004D669C">
        <w:rPr>
          <w:rFonts w:hAnsi="Times New Roman" w:cs="Times New Roman"/>
          <w:b/>
          <w:bCs/>
          <w:caps/>
          <w:lang w:val="lt-LT"/>
        </w:rPr>
        <w:t>10</w:t>
      </w:r>
      <w:r>
        <w:rPr>
          <w:rFonts w:hAnsi="Times New Roman" w:cs="Times New Roman"/>
          <w:b/>
          <w:bCs/>
          <w:caps/>
          <w:lang w:val="lt-LT"/>
        </w:rPr>
        <w:t xml:space="preserve"> </w:t>
      </w:r>
      <w:r w:rsidRPr="00DB21E1">
        <w:rPr>
          <w:rFonts w:hAnsi="Times New Roman" w:cs="Times New Roman"/>
          <w:b/>
          <w:bCs/>
          <w:caps/>
          <w:lang w:val="lt-LT"/>
        </w:rPr>
        <w:t xml:space="preserve">d., </w:t>
      </w:r>
      <w:r w:rsidR="004D669C">
        <w:rPr>
          <w:rFonts w:hAnsi="Times New Roman" w:cs="Times New Roman"/>
          <w:b/>
          <w:bCs/>
          <w:caps/>
          <w:lang w:val="lt-LT"/>
        </w:rPr>
        <w:t>Briuselis, Belgija</w:t>
      </w:r>
    </w:p>
    <w:p w14:paraId="06CA6A92" w14:textId="0A117506" w:rsidR="00FF3DD4" w:rsidRDefault="00FF3DD4" w:rsidP="00FF3DD4">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263101" w:rsidRPr="004D669C" w14:paraId="3C110E8D" w14:textId="77777777" w:rsidTr="004470B4">
        <w:trPr>
          <w:trHeight w:val="1049"/>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bl>
            <w:tblPr>
              <w:tblStyle w:val="TableGrid3"/>
              <w:tblW w:w="122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263101" w:rsidRPr="00CC0E56" w14:paraId="03DCCB40" w14:textId="77777777" w:rsidTr="004470B4">
              <w:trPr>
                <w:trHeight w:val="631"/>
              </w:trPr>
              <w:tc>
                <w:tcPr>
                  <w:tcW w:w="9071" w:type="dxa"/>
                  <w:tcMar>
                    <w:top w:w="284" w:type="dxa"/>
                    <w:left w:w="113" w:type="dxa"/>
                    <w:bottom w:w="0" w:type="dxa"/>
                    <w:right w:w="113" w:type="dxa"/>
                  </w:tcMar>
                  <w:hideMark/>
                </w:tcPr>
                <w:p w14:paraId="5923E393" w14:textId="50ABA2CB" w:rsidR="00263101" w:rsidRPr="00263101" w:rsidRDefault="00062941" w:rsidP="00263101">
                  <w:pPr>
                    <w:framePr w:hSpace="180" w:wrap="around" w:vAnchor="text" w:hAnchor="margin" w:y="196"/>
                    <w:rPr>
                      <w:rFonts w:eastAsiaTheme="minorHAnsi"/>
                      <w:szCs w:val="22"/>
                      <w:bdr w:val="none" w:sz="0" w:space="0" w:color="auto"/>
                      <w:lang w:val="lt-LT"/>
                    </w:rPr>
                  </w:pPr>
                  <w:r w:rsidRPr="00062941">
                    <w:rPr>
                      <w:rFonts w:eastAsiaTheme="minorHAnsi"/>
                      <w:b/>
                      <w:bCs/>
                      <w:szCs w:val="22"/>
                      <w:bdr w:val="none" w:sz="0" w:space="0" w:color="auto"/>
                      <w:lang w:val="lt-LT"/>
                    </w:rPr>
                    <w:t>Reglamentas dėl Europos elektroninių įrodymų baudžiamosiose bylose pateikimo ir saugojimo orderių</w:t>
                  </w:r>
                  <w:r>
                    <w:rPr>
                      <w:rFonts w:eastAsiaTheme="minorHAnsi"/>
                      <w:b/>
                      <w:bCs/>
                      <w:szCs w:val="22"/>
                      <w:bdr w:val="none" w:sz="0" w:space="0" w:color="auto"/>
                      <w:lang w:val="lt-LT"/>
                    </w:rPr>
                    <w:t xml:space="preserve"> / </w:t>
                  </w:r>
                  <w:r w:rsidR="00263101" w:rsidRPr="00263101">
                    <w:rPr>
                      <w:b/>
                      <w:bCs/>
                      <w:szCs w:val="20"/>
                      <w:lang w:val="lt-LT"/>
                    </w:rPr>
                    <w:t xml:space="preserve">Regulation on European Production and Preservation Orders for </w:t>
                  </w:r>
                </w:p>
                <w:p w14:paraId="50DE6A26" w14:textId="77777777" w:rsidR="00263101" w:rsidRPr="00263101" w:rsidRDefault="00263101" w:rsidP="00263101">
                  <w:pPr>
                    <w:framePr w:hSpace="180" w:wrap="around" w:vAnchor="text" w:hAnchor="margin" w:y="196"/>
                    <w:ind w:left="74"/>
                    <w:rPr>
                      <w:b/>
                      <w:bCs/>
                      <w:szCs w:val="20"/>
                      <w:lang w:val="lt-LT"/>
                    </w:rPr>
                  </w:pPr>
                  <w:r w:rsidRPr="00263101">
                    <w:rPr>
                      <w:b/>
                      <w:bCs/>
                      <w:szCs w:val="20"/>
                      <w:lang w:val="lt-LT"/>
                    </w:rPr>
                    <w:t>e-evidence</w:t>
                  </w:r>
                </w:p>
                <w:p w14:paraId="56CE4545" w14:textId="77777777" w:rsidR="00263101" w:rsidRDefault="00263101" w:rsidP="00263101">
                  <w:pPr>
                    <w:framePr w:hSpace="180" w:wrap="around" w:vAnchor="text" w:hAnchor="margin" w:y="196"/>
                    <w:ind w:left="74"/>
                    <w:rPr>
                      <w:b/>
                      <w:bCs/>
                      <w:szCs w:val="20"/>
                      <w:lang w:val="lt-LT"/>
                    </w:rPr>
                  </w:pPr>
                </w:p>
                <w:p w14:paraId="2951F591" w14:textId="0F716620" w:rsidR="00263101" w:rsidRPr="00815AC7" w:rsidRDefault="00263101" w:rsidP="00263101">
                  <w:pPr>
                    <w:framePr w:hSpace="180" w:wrap="around" w:vAnchor="text" w:hAnchor="margin" w:y="196"/>
                    <w:rPr>
                      <w:i/>
                      <w:iCs/>
                      <w:szCs w:val="20"/>
                    </w:rPr>
                  </w:pPr>
                  <w:r>
                    <w:rPr>
                      <w:i/>
                      <w:iCs/>
                    </w:rPr>
                    <w:t>Pa</w:t>
                  </w:r>
                  <w:r>
                    <w:rPr>
                      <w:i/>
                      <w:iCs/>
                      <w:lang w:val="lt-LT"/>
                    </w:rPr>
                    <w:t>žangos ataskaita</w:t>
                  </w:r>
                  <w:r w:rsidRPr="00815AC7">
                    <w:rPr>
                      <w:i/>
                      <w:iCs/>
                      <w:szCs w:val="20"/>
                    </w:rPr>
                    <w:t xml:space="preserve"> </w:t>
                  </w:r>
                  <w:r>
                    <w:rPr>
                      <w:i/>
                      <w:iCs/>
                      <w:szCs w:val="20"/>
                    </w:rPr>
                    <w:t>/ Progress report</w:t>
                  </w:r>
                </w:p>
                <w:p w14:paraId="4846790B" w14:textId="77777777" w:rsidR="00263101" w:rsidRPr="00DB21E1" w:rsidRDefault="00263101" w:rsidP="004470B4">
                  <w:pPr>
                    <w:framePr w:hSpace="180" w:wrap="around" w:vAnchor="text" w:hAnchor="margin" w:y="196"/>
                    <w:ind w:left="74"/>
                  </w:pPr>
                </w:p>
              </w:tc>
              <w:tc>
                <w:tcPr>
                  <w:tcW w:w="1019" w:type="dxa"/>
                  <w:tcMar>
                    <w:top w:w="284" w:type="dxa"/>
                    <w:left w:w="28" w:type="dxa"/>
                    <w:bottom w:w="0" w:type="dxa"/>
                    <w:right w:w="113" w:type="dxa"/>
                  </w:tcMar>
                </w:tcPr>
                <w:p w14:paraId="529E6BC5" w14:textId="77777777" w:rsidR="00263101" w:rsidRPr="00DB21E1" w:rsidRDefault="00263101" w:rsidP="004470B4">
                  <w:pPr>
                    <w:framePr w:hSpace="180" w:wrap="around" w:vAnchor="text" w:hAnchor="margin" w:y="196"/>
                    <w:ind w:left="194"/>
                    <w:jc w:val="right"/>
                    <w:rPr>
                      <w:rFonts w:asciiTheme="majorBidi" w:hAnsiTheme="majorBidi" w:cstheme="majorBidi"/>
                      <w:noProof/>
                    </w:rPr>
                  </w:pPr>
                </w:p>
                <w:p w14:paraId="22993711" w14:textId="77777777" w:rsidR="00263101" w:rsidRPr="00DB21E1" w:rsidRDefault="00263101" w:rsidP="004470B4">
                  <w:pPr>
                    <w:framePr w:hSpace="180" w:wrap="around" w:vAnchor="text" w:hAnchor="margin" w:y="196"/>
                    <w:ind w:left="194"/>
                    <w:jc w:val="right"/>
                    <w:rPr>
                      <w:noProof/>
                      <w:szCs w:val="20"/>
                      <w:lang w:eastAsia="en-GB"/>
                    </w:rPr>
                  </w:pPr>
                </w:p>
              </w:tc>
              <w:tc>
                <w:tcPr>
                  <w:tcW w:w="2127" w:type="dxa"/>
                  <w:tcMar>
                    <w:top w:w="284" w:type="dxa"/>
                    <w:left w:w="113" w:type="dxa"/>
                    <w:bottom w:w="0" w:type="dxa"/>
                    <w:right w:w="0" w:type="dxa"/>
                  </w:tcMar>
                </w:tcPr>
                <w:p w14:paraId="6AE23A20" w14:textId="77777777" w:rsidR="00263101" w:rsidRPr="00DB21E1" w:rsidRDefault="00263101" w:rsidP="004470B4">
                  <w:pPr>
                    <w:framePr w:hSpace="180" w:wrap="around" w:vAnchor="text" w:hAnchor="margin" w:y="196"/>
                    <w:ind w:left="194"/>
                  </w:pPr>
                </w:p>
              </w:tc>
            </w:tr>
          </w:tbl>
          <w:p w14:paraId="486DFFD6" w14:textId="50DEDB3D" w:rsidR="00263101" w:rsidRDefault="00263101" w:rsidP="004470B4">
            <w:pPr>
              <w:ind w:left="194"/>
              <w:jc w:val="both"/>
              <w:rPr>
                <w:rFonts w:eastAsia="Times New Roman"/>
                <w:color w:val="000000"/>
                <w:bdr w:val="none" w:sz="0" w:space="0" w:color="auto"/>
                <w:lang w:val="lt-LT" w:eastAsia="lt-LT"/>
              </w:rPr>
            </w:pPr>
            <w:r w:rsidRPr="00DB21E1">
              <w:rPr>
                <w:b/>
                <w:bCs/>
                <w:lang w:val="lt-LT"/>
              </w:rPr>
              <w:t>Klausimo esmė:</w:t>
            </w:r>
            <w:r>
              <w:rPr>
                <w:rFonts w:eastAsia="Times New Roman"/>
                <w:color w:val="000000"/>
                <w:bdr w:val="none" w:sz="0" w:space="0" w:color="auto"/>
                <w:lang w:val="lt-LT" w:eastAsia="lt-LT"/>
              </w:rPr>
              <w:t xml:space="preserve"> </w:t>
            </w:r>
          </w:p>
          <w:p w14:paraId="37C91EAA" w14:textId="77777777" w:rsidR="00762FE0" w:rsidRPr="00762FE0" w:rsidRDefault="00762FE0" w:rsidP="00762FE0">
            <w:pPr>
              <w:ind w:left="194"/>
              <w:jc w:val="both"/>
              <w:rPr>
                <w:b/>
                <w:bCs/>
                <w:lang w:val="lt-LT"/>
              </w:rPr>
            </w:pPr>
            <w:r w:rsidRPr="00762FE0">
              <w:rPr>
                <w:b/>
                <w:bCs/>
                <w:lang w:val="lt-LT"/>
              </w:rPr>
              <w:tab/>
            </w:r>
          </w:p>
          <w:p w14:paraId="4F825547" w14:textId="21DE53A1" w:rsidR="00762FE0" w:rsidRPr="00762FE0" w:rsidRDefault="00762FE0" w:rsidP="00762FE0">
            <w:pPr>
              <w:ind w:left="194"/>
              <w:jc w:val="both"/>
              <w:rPr>
                <w:lang w:val="lt-LT"/>
              </w:rPr>
            </w:pPr>
            <w:r w:rsidRPr="00762FE0">
              <w:rPr>
                <w:lang w:val="lt-LT"/>
              </w:rPr>
              <w:t>Pirmininkaujanti valstybė Slovėnija pristatys teisingumo ministrams pasiektą pažangą derybose su Europos Parlamentu dėl Reglamento dėl Europos elektroninių įrodymų baudžiamosiose bylose pateikimo ir saugojimo orderių.</w:t>
            </w:r>
            <w:r>
              <w:rPr>
                <w:lang w:val="lt-LT"/>
              </w:rPr>
              <w:t xml:space="preserve"> </w:t>
            </w:r>
            <w:r w:rsidRPr="00762FE0">
              <w:rPr>
                <w:lang w:val="lt-LT"/>
              </w:rPr>
              <w:t>Su Europos Parlamentu buvo nuspręsta derybas koncentruoti į notifikavimo režimą</w:t>
            </w:r>
            <w:r w:rsidR="00D2656F">
              <w:rPr>
                <w:lang w:val="lt-LT"/>
              </w:rPr>
              <w:t xml:space="preserve">, </w:t>
            </w:r>
            <w:r w:rsidRPr="00762FE0">
              <w:rPr>
                <w:lang w:val="lt-LT"/>
              </w:rPr>
              <w:t>atsisakymo vykdyti orderius pagrind</w:t>
            </w:r>
            <w:r w:rsidR="00D2656F">
              <w:rPr>
                <w:lang w:val="lt-LT"/>
              </w:rPr>
              <w:t>u</w:t>
            </w:r>
            <w:r w:rsidR="00203AC2">
              <w:rPr>
                <w:lang w:val="lt-LT"/>
              </w:rPr>
              <w:t>s</w:t>
            </w:r>
            <w:r w:rsidRPr="00762FE0">
              <w:rPr>
                <w:lang w:val="lt-LT"/>
              </w:rPr>
              <w:t>, asmens informavim</w:t>
            </w:r>
            <w:r w:rsidR="00D2656F">
              <w:rPr>
                <w:lang w:val="lt-LT"/>
              </w:rPr>
              <w:t>ą</w:t>
            </w:r>
            <w:r w:rsidRPr="00762FE0">
              <w:rPr>
                <w:lang w:val="lt-LT"/>
              </w:rPr>
              <w:t xml:space="preserve"> ir teisių gynimo priemon</w:t>
            </w:r>
            <w:r w:rsidR="00D2656F">
              <w:rPr>
                <w:lang w:val="lt-LT"/>
              </w:rPr>
              <w:t>es</w:t>
            </w:r>
            <w:r w:rsidRPr="00762FE0">
              <w:rPr>
                <w:lang w:val="lt-LT"/>
              </w:rPr>
              <w:t xml:space="preserve">. Kadangi derybų šalių pozicijos dėl šio notifikavimo režimo paketo skiriasi iš esmės, Pirmininkaujanti </w:t>
            </w:r>
            <w:r w:rsidR="00D2656F">
              <w:rPr>
                <w:lang w:val="lt-LT"/>
              </w:rPr>
              <w:t xml:space="preserve">ieško kompromiso </w:t>
            </w:r>
            <w:r w:rsidRPr="00762FE0">
              <w:rPr>
                <w:lang w:val="lt-LT"/>
              </w:rPr>
              <w:t>COPEN darbo grupėje bei techninėse diskusijose su Europos Parlamentu. Taryba, siekdama sutarimo, Europos Parlamentui pasiūlė ženklių nuolaidų, sutikdama numatyti didesnes vykdančiosios valstybės galias</w:t>
            </w:r>
            <w:r>
              <w:rPr>
                <w:lang w:val="lt-LT"/>
              </w:rPr>
              <w:t>, t</w:t>
            </w:r>
            <w:r w:rsidRPr="00762FE0">
              <w:rPr>
                <w:lang w:val="lt-LT"/>
              </w:rPr>
              <w:t>ačiau Taryba tvirtai laikosi kai kurių pagrindinių Bendrojo požiūrio elementų, tokių kaip gyvenamosios vietos kriterijus, kuriam esant vykdančiosios valstybės notifikavimas nebūtų būtinas. Deja, Europos Parlamentas mano, kad  šis kompromisinis Tarybos siūlymas dėl notifikavimo režimo paketo nėra pakankamas.</w:t>
            </w:r>
          </w:p>
          <w:p w14:paraId="108D85A9" w14:textId="7E76F3DC" w:rsidR="00762FE0" w:rsidRPr="00762FE0" w:rsidRDefault="00762FE0" w:rsidP="00762FE0">
            <w:pPr>
              <w:ind w:left="194"/>
              <w:jc w:val="both"/>
              <w:rPr>
                <w:lang w:val="lt-LT"/>
              </w:rPr>
            </w:pPr>
            <w:r w:rsidRPr="00762FE0">
              <w:rPr>
                <w:lang w:val="lt-LT"/>
              </w:rPr>
              <w:t>Pirmininkaujančios valstybės nuomone, siekiant kompromiso, abi derybų šalys turi dėti papildomas pastangas, tačiau reikia išlaikyti efektyvaus, subalansuoto bei abipusio pasitikėjimo principu grįsto teisės instrumento idėją.</w:t>
            </w:r>
          </w:p>
          <w:p w14:paraId="78DFE858" w14:textId="77777777" w:rsidR="00263101" w:rsidRPr="00DB21E1" w:rsidRDefault="00263101" w:rsidP="004470B4">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p>
          <w:p w14:paraId="40E16178" w14:textId="5353BB76" w:rsidR="00263101" w:rsidRPr="00762FE0" w:rsidRDefault="00263101" w:rsidP="004470B4">
            <w:pPr>
              <w:pStyle w:val="BodyA"/>
              <w:ind w:left="194"/>
              <w:jc w:val="both"/>
              <w:rPr>
                <w:rFonts w:eastAsia="Times New Roman" w:hAnsi="Times New Roman" w:cs="Times New Roman"/>
                <w:bdr w:val="none" w:sz="0" w:space="0" w:color="auto"/>
                <w:lang w:val="lt-LT" w:eastAsia="lt-LT"/>
              </w:rPr>
            </w:pPr>
            <w:r w:rsidRPr="00DB21E1">
              <w:rPr>
                <w:rFonts w:eastAsia="Times New Roman" w:hAnsi="Times New Roman" w:cs="Times New Roman"/>
                <w:b/>
                <w:bCs/>
                <w:bdr w:val="none" w:sz="0" w:space="0" w:color="auto"/>
                <w:lang w:val="lt-LT" w:eastAsia="lt-LT"/>
              </w:rPr>
              <w:t>Lietuvos pozicija:</w:t>
            </w:r>
            <w:r w:rsidR="00762FE0">
              <w:rPr>
                <w:rFonts w:eastAsia="Times New Roman" w:hAnsi="Times New Roman" w:cs="Times New Roman"/>
                <w:b/>
                <w:bCs/>
                <w:bdr w:val="none" w:sz="0" w:space="0" w:color="auto"/>
                <w:lang w:val="lt-LT" w:eastAsia="lt-LT"/>
              </w:rPr>
              <w:t xml:space="preserve"> </w:t>
            </w:r>
            <w:r w:rsidR="00762FE0" w:rsidRPr="00762FE0">
              <w:rPr>
                <w:rFonts w:eastAsia="Times New Roman" w:hAnsi="Times New Roman" w:cs="Times New Roman"/>
                <w:bdr w:val="none" w:sz="0" w:space="0" w:color="auto"/>
                <w:lang w:val="lt-LT" w:eastAsia="lt-LT"/>
              </w:rPr>
              <w:t xml:space="preserve">išklausyti informaciją. </w:t>
            </w:r>
          </w:p>
          <w:p w14:paraId="216508D8" w14:textId="77777777" w:rsidR="00263101" w:rsidRPr="00DB21E1" w:rsidRDefault="00263101" w:rsidP="004470B4">
            <w:pPr>
              <w:pStyle w:val="BodyA"/>
              <w:ind w:left="194"/>
              <w:jc w:val="both"/>
              <w:rPr>
                <w:rFonts w:hAnsi="Times New Roman" w:cs="Times New Roman"/>
                <w:b/>
                <w:bCs/>
                <w:i/>
                <w:iCs/>
                <w:lang w:val="lt-LT"/>
              </w:rPr>
            </w:pPr>
            <w:r w:rsidRPr="00EA020F">
              <w:rPr>
                <w:rFonts w:eastAsia="Times New Roman" w:hAnsi="Times New Roman" w:cs="Times New Roman"/>
                <w:bdr w:val="none" w:sz="0" w:space="0" w:color="auto"/>
                <w:lang w:val="lt-LT" w:eastAsia="lt-LT"/>
              </w:rPr>
              <w:t xml:space="preserve"> </w:t>
            </w:r>
          </w:p>
        </w:tc>
      </w:tr>
    </w:tbl>
    <w:p w14:paraId="6E2F7E00" w14:textId="2F01A71C" w:rsidR="00395157" w:rsidRPr="00263101" w:rsidRDefault="00395157" w:rsidP="00FF3DD4">
      <w:pPr>
        <w:pStyle w:val="BodyA"/>
        <w:jc w:val="center"/>
        <w:rPr>
          <w:rFonts w:hAnsi="Times New Roman" w:cs="Times New Roman"/>
          <w:b/>
          <w:bCs/>
          <w:caps/>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395157" w:rsidRPr="004D669C" w14:paraId="3B6196A0" w14:textId="77777777" w:rsidTr="008F01C8">
        <w:trPr>
          <w:trHeight w:val="1049"/>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bl>
            <w:tblPr>
              <w:tblStyle w:val="TableGrid3"/>
              <w:tblW w:w="122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395157" w:rsidRPr="00CC0E56" w14:paraId="17007342" w14:textId="77777777" w:rsidTr="008F01C8">
              <w:trPr>
                <w:trHeight w:val="631"/>
              </w:trPr>
              <w:tc>
                <w:tcPr>
                  <w:tcW w:w="9071" w:type="dxa"/>
                  <w:tcMar>
                    <w:top w:w="284" w:type="dxa"/>
                    <w:left w:w="113" w:type="dxa"/>
                    <w:bottom w:w="0" w:type="dxa"/>
                    <w:right w:w="113" w:type="dxa"/>
                  </w:tcMar>
                  <w:hideMark/>
                </w:tcPr>
                <w:p w14:paraId="145EEDB7" w14:textId="0B8882C2" w:rsidR="00B0599D" w:rsidRPr="003E6E30" w:rsidRDefault="00C74D1F" w:rsidP="00B0599D">
                  <w:pPr>
                    <w:framePr w:hSpace="180" w:wrap="around" w:vAnchor="text" w:hAnchor="margin" w:y="196"/>
                    <w:rPr>
                      <w:rFonts w:eastAsiaTheme="minorHAnsi"/>
                      <w:b/>
                      <w:bCs/>
                      <w:bdr w:val="none" w:sz="0" w:space="0" w:color="auto"/>
                    </w:rPr>
                  </w:pPr>
                  <w:r w:rsidRPr="003E6E30">
                    <w:rPr>
                      <w:b/>
                      <w:bCs/>
                      <w:szCs w:val="20"/>
                    </w:rPr>
                    <w:t>E</w:t>
                  </w:r>
                  <w:r w:rsidR="00203AC2" w:rsidRPr="003E6E30">
                    <w:rPr>
                      <w:b/>
                      <w:bCs/>
                      <w:szCs w:val="20"/>
                    </w:rPr>
                    <w:t xml:space="preserve">uropos </w:t>
                  </w:r>
                  <w:r w:rsidRPr="003E6E30">
                    <w:rPr>
                      <w:b/>
                      <w:bCs/>
                      <w:szCs w:val="20"/>
                    </w:rPr>
                    <w:t>S</w:t>
                  </w:r>
                  <w:r w:rsidR="00203AC2" w:rsidRPr="003E6E30">
                    <w:rPr>
                      <w:b/>
                      <w:bCs/>
                      <w:szCs w:val="20"/>
                    </w:rPr>
                    <w:t>ąjungos</w:t>
                  </w:r>
                  <w:r w:rsidRPr="003E6E30">
                    <w:rPr>
                      <w:b/>
                      <w:bCs/>
                      <w:szCs w:val="20"/>
                    </w:rPr>
                    <w:t xml:space="preserve"> prisijungimas prie </w:t>
                  </w:r>
                  <w:r w:rsidR="00203AC2" w:rsidRPr="003E6E30">
                    <w:rPr>
                      <w:b/>
                      <w:bCs/>
                      <w:szCs w:val="20"/>
                    </w:rPr>
                    <w:t xml:space="preserve">Europos žmogaus teisių ir pagrindinių laisvių apsaugos konvencijos </w:t>
                  </w:r>
                  <w:r w:rsidR="003E6E30" w:rsidRPr="003E6E30">
                    <w:rPr>
                      <w:b/>
                      <w:bCs/>
                      <w:szCs w:val="20"/>
                    </w:rPr>
                    <w:t>(tol</w:t>
                  </w:r>
                  <w:r w:rsidR="003E6E30">
                    <w:rPr>
                      <w:b/>
                      <w:bCs/>
                      <w:szCs w:val="20"/>
                    </w:rPr>
                    <w:t>iau – EŽTK)</w:t>
                  </w:r>
                  <w:r w:rsidR="00B0599D" w:rsidRPr="003E6E30">
                    <w:rPr>
                      <w:b/>
                      <w:bCs/>
                      <w:szCs w:val="20"/>
                    </w:rPr>
                    <w:t>/</w:t>
                  </w:r>
                  <w:r w:rsidR="00B0599D" w:rsidRPr="003E6E30">
                    <w:rPr>
                      <w:b/>
                      <w:bCs/>
                    </w:rPr>
                    <w:t xml:space="preserve"> EU accession to ECHR</w:t>
                  </w:r>
                </w:p>
                <w:p w14:paraId="631CF62E" w14:textId="77777777" w:rsidR="00C74D1F" w:rsidRPr="003E6E30" w:rsidRDefault="00C74D1F" w:rsidP="00C74D1F">
                  <w:pPr>
                    <w:framePr w:hSpace="180" w:wrap="around" w:vAnchor="text" w:hAnchor="margin" w:y="196"/>
                    <w:ind w:left="74"/>
                    <w:rPr>
                      <w:b/>
                      <w:bCs/>
                      <w:szCs w:val="20"/>
                    </w:rPr>
                  </w:pPr>
                </w:p>
                <w:p w14:paraId="11879444" w14:textId="38CDAB74" w:rsidR="00395157" w:rsidRPr="0035705B" w:rsidRDefault="00C74D1F" w:rsidP="008F01C8">
                  <w:pPr>
                    <w:framePr w:hSpace="180" w:wrap="around" w:vAnchor="text" w:hAnchor="margin" w:y="196"/>
                    <w:ind w:left="74"/>
                    <w:rPr>
                      <w:i/>
                      <w:iCs/>
                      <w:szCs w:val="20"/>
                    </w:rPr>
                  </w:pPr>
                  <w:r w:rsidRPr="0035705B">
                    <w:rPr>
                      <w:i/>
                      <w:iCs/>
                      <w:szCs w:val="20"/>
                    </w:rPr>
                    <w:t>Dabartinė padėtis</w:t>
                  </w:r>
                  <w:r w:rsidR="00395157" w:rsidRPr="0035705B">
                    <w:rPr>
                      <w:i/>
                      <w:iCs/>
                      <w:szCs w:val="20"/>
                    </w:rPr>
                    <w:t xml:space="preserve"> / </w:t>
                  </w:r>
                  <w:r w:rsidR="00B0599D" w:rsidRPr="0035705B">
                    <w:rPr>
                      <w:i/>
                      <w:iCs/>
                      <w:szCs w:val="20"/>
                    </w:rPr>
                    <w:t>State of play</w:t>
                  </w:r>
                </w:p>
                <w:p w14:paraId="194FA1E3" w14:textId="77777777" w:rsidR="00395157" w:rsidRPr="00B0599D" w:rsidRDefault="00395157" w:rsidP="008F01C8">
                  <w:pPr>
                    <w:framePr w:hSpace="180" w:wrap="around" w:vAnchor="text" w:hAnchor="margin" w:y="196"/>
                    <w:ind w:left="74"/>
                    <w:rPr>
                      <w:b/>
                      <w:bCs/>
                    </w:rPr>
                  </w:pPr>
                </w:p>
              </w:tc>
              <w:tc>
                <w:tcPr>
                  <w:tcW w:w="1019" w:type="dxa"/>
                  <w:tcMar>
                    <w:top w:w="284" w:type="dxa"/>
                    <w:left w:w="28" w:type="dxa"/>
                    <w:bottom w:w="0" w:type="dxa"/>
                    <w:right w:w="113" w:type="dxa"/>
                  </w:tcMar>
                </w:tcPr>
                <w:p w14:paraId="1F024940" w14:textId="77777777" w:rsidR="00395157" w:rsidRPr="00DB21E1" w:rsidRDefault="00395157" w:rsidP="008F01C8">
                  <w:pPr>
                    <w:framePr w:hSpace="180" w:wrap="around" w:vAnchor="text" w:hAnchor="margin" w:y="196"/>
                    <w:ind w:left="194"/>
                    <w:jc w:val="right"/>
                    <w:rPr>
                      <w:rFonts w:asciiTheme="majorBidi" w:hAnsiTheme="majorBidi" w:cstheme="majorBidi"/>
                      <w:noProof/>
                    </w:rPr>
                  </w:pPr>
                </w:p>
                <w:p w14:paraId="35C0D02D" w14:textId="77777777" w:rsidR="00395157" w:rsidRPr="00DB21E1" w:rsidRDefault="00395157" w:rsidP="008F01C8">
                  <w:pPr>
                    <w:framePr w:hSpace="180" w:wrap="around" w:vAnchor="text" w:hAnchor="margin" w:y="196"/>
                    <w:ind w:left="194"/>
                    <w:jc w:val="right"/>
                    <w:rPr>
                      <w:noProof/>
                      <w:szCs w:val="20"/>
                      <w:lang w:eastAsia="en-GB"/>
                    </w:rPr>
                  </w:pPr>
                </w:p>
              </w:tc>
              <w:tc>
                <w:tcPr>
                  <w:tcW w:w="2127" w:type="dxa"/>
                  <w:tcMar>
                    <w:top w:w="284" w:type="dxa"/>
                    <w:left w:w="113" w:type="dxa"/>
                    <w:bottom w:w="0" w:type="dxa"/>
                    <w:right w:w="0" w:type="dxa"/>
                  </w:tcMar>
                </w:tcPr>
                <w:p w14:paraId="40FF2377" w14:textId="77777777" w:rsidR="00395157" w:rsidRPr="00DB21E1" w:rsidRDefault="00395157" w:rsidP="008F01C8">
                  <w:pPr>
                    <w:framePr w:hSpace="180" w:wrap="around" w:vAnchor="text" w:hAnchor="margin" w:y="196"/>
                    <w:ind w:left="194"/>
                  </w:pPr>
                </w:p>
              </w:tc>
            </w:tr>
          </w:tbl>
          <w:p w14:paraId="02865C39" w14:textId="4DC5F636" w:rsidR="00395157" w:rsidRPr="00395157" w:rsidRDefault="00395157" w:rsidP="00B0599D">
            <w:pPr>
              <w:ind w:left="194"/>
              <w:jc w:val="both"/>
              <w:rPr>
                <w:rFonts w:eastAsia="Times New Roman"/>
                <w:color w:val="000000"/>
                <w:bdr w:val="none" w:sz="0" w:space="0" w:color="auto"/>
                <w:lang w:val="lt-LT" w:eastAsia="lt-LT"/>
              </w:rPr>
            </w:pPr>
            <w:r w:rsidRPr="00DB21E1">
              <w:rPr>
                <w:b/>
                <w:bCs/>
                <w:lang w:val="lt-LT"/>
              </w:rPr>
              <w:t>Klausimo esmė:</w:t>
            </w:r>
            <w:r>
              <w:rPr>
                <w:rFonts w:eastAsia="Times New Roman"/>
                <w:color w:val="000000"/>
                <w:bdr w:val="none" w:sz="0" w:space="0" w:color="auto"/>
                <w:lang w:val="lt-LT" w:eastAsia="lt-LT"/>
              </w:rPr>
              <w:t xml:space="preserve"> </w:t>
            </w:r>
          </w:p>
          <w:p w14:paraId="54A9933F" w14:textId="6DBCBD0C" w:rsidR="00394606" w:rsidRPr="00394606" w:rsidRDefault="00394606" w:rsidP="00394606">
            <w:pPr>
              <w:ind w:left="194"/>
              <w:jc w:val="both"/>
              <w:rPr>
                <w:rFonts w:eastAsia="Times New Roman"/>
                <w:color w:val="000000"/>
                <w:bdr w:val="none" w:sz="0" w:space="0" w:color="auto"/>
                <w:lang w:val="lt-LT" w:eastAsia="lt-LT"/>
              </w:rPr>
            </w:pPr>
            <w:r w:rsidRPr="00394606">
              <w:rPr>
                <w:rFonts w:eastAsia="Times New Roman"/>
                <w:color w:val="000000"/>
                <w:bdr w:val="none" w:sz="0" w:space="0" w:color="auto"/>
                <w:lang w:val="lt-LT" w:eastAsia="lt-LT"/>
              </w:rPr>
              <w:t>Pagal ES sutarties 6 straipsnio 2 dalį „Sąjunga prisijungia prie Europos žmogaus teisių ir pagrindinių laisvių apsaugos konvencijos. Šis prisijungimas neturi įtakos Sutartyse apibrėžtai Sąjungos kompetencijai.“</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 xml:space="preserve">2010 m. birželio 4 d. Taryba priėmė sprendimą, kuriuo įgaliojama pradėti derybas dėl ES prisijungimo dėl EŽTK, kartu su derybiniais nurodymais, ir ES derybininke paskyrė </w:t>
            </w:r>
            <w:r>
              <w:rPr>
                <w:rFonts w:eastAsia="Times New Roman"/>
                <w:color w:val="000000"/>
                <w:bdr w:val="none" w:sz="0" w:space="0" w:color="auto"/>
                <w:lang w:val="lt-LT" w:eastAsia="lt-LT"/>
              </w:rPr>
              <w:t xml:space="preserve">Europos </w:t>
            </w:r>
            <w:r w:rsidRPr="00394606">
              <w:rPr>
                <w:rFonts w:eastAsia="Times New Roman"/>
                <w:color w:val="000000"/>
                <w:bdr w:val="none" w:sz="0" w:space="0" w:color="auto"/>
                <w:lang w:val="lt-LT" w:eastAsia="lt-LT"/>
              </w:rPr>
              <w:t>Komisiją</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 xml:space="preserve">Derybos buvo baigtos 2013 m. balandžio 5 d., </w:t>
            </w:r>
            <w:r w:rsidR="00EC408C">
              <w:rPr>
                <w:rFonts w:eastAsia="Times New Roman"/>
                <w:color w:val="000000"/>
                <w:bdr w:val="none" w:sz="0" w:space="0" w:color="auto"/>
                <w:lang w:val="lt-LT" w:eastAsia="lt-LT"/>
              </w:rPr>
              <w:t xml:space="preserve">kadangi </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paprašy</w:t>
            </w:r>
            <w:r w:rsidR="00EC408C">
              <w:rPr>
                <w:rFonts w:eastAsia="Times New Roman"/>
                <w:color w:val="000000"/>
                <w:bdr w:val="none" w:sz="0" w:space="0" w:color="auto"/>
                <w:lang w:val="lt-LT" w:eastAsia="lt-LT"/>
              </w:rPr>
              <w:t>ta</w:t>
            </w:r>
            <w:r w:rsidRPr="00394606">
              <w:rPr>
                <w:rFonts w:eastAsia="Times New Roman"/>
                <w:color w:val="000000"/>
                <w:bdr w:val="none" w:sz="0" w:space="0" w:color="auto"/>
                <w:lang w:val="lt-LT" w:eastAsia="lt-LT"/>
              </w:rPr>
              <w:t xml:space="preserve"> ES Teisingumo Teismo </w:t>
            </w:r>
            <w:r>
              <w:rPr>
                <w:rFonts w:eastAsia="Times New Roman"/>
                <w:color w:val="000000"/>
                <w:bdr w:val="none" w:sz="0" w:space="0" w:color="auto"/>
                <w:lang w:val="lt-LT" w:eastAsia="lt-LT"/>
              </w:rPr>
              <w:t xml:space="preserve">(toliau – ESTT) </w:t>
            </w:r>
            <w:r w:rsidRPr="00394606">
              <w:rPr>
                <w:rFonts w:eastAsia="Times New Roman"/>
                <w:color w:val="000000"/>
                <w:bdr w:val="none" w:sz="0" w:space="0" w:color="auto"/>
                <w:lang w:val="lt-LT" w:eastAsia="lt-LT"/>
              </w:rPr>
              <w:t>pateikti nuomonę dėl susitarimo projekto suderinamumo su ES sutartimis.</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2014 m. gruodžio 18 d. ESTT pateikė nuomonę (2/13), kad susitarimo projektas yra nesuderinamas su Sutartimis.</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 xml:space="preserve">2020 m. atnaujintos derybos Europos Taryboje. ES derybininkas konsultuojasi su ES </w:t>
            </w:r>
            <w:r w:rsidR="00BC6077">
              <w:rPr>
                <w:rFonts w:eastAsia="Times New Roman"/>
                <w:color w:val="000000"/>
                <w:bdr w:val="none" w:sz="0" w:space="0" w:color="auto"/>
                <w:lang w:val="lt-LT" w:eastAsia="lt-LT"/>
              </w:rPr>
              <w:t xml:space="preserve">valstybėmis </w:t>
            </w:r>
            <w:r w:rsidR="00BC6077">
              <w:rPr>
                <w:rFonts w:eastAsia="Times New Roman"/>
                <w:color w:val="000000"/>
                <w:bdr w:val="none" w:sz="0" w:space="0" w:color="auto"/>
                <w:lang w:val="lt-LT" w:eastAsia="lt-LT"/>
              </w:rPr>
              <w:lastRenderedPageBreak/>
              <w:t>narėmis</w:t>
            </w:r>
            <w:r w:rsidRPr="00394606">
              <w:rPr>
                <w:rFonts w:eastAsia="Times New Roman"/>
                <w:color w:val="000000"/>
                <w:bdr w:val="none" w:sz="0" w:space="0" w:color="auto"/>
                <w:lang w:val="lt-LT" w:eastAsia="lt-LT"/>
              </w:rPr>
              <w:t xml:space="preserve"> Tarybos FREMP darbo grupėje. 2021 m. spalio</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w:t>
            </w:r>
            <w:r>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 xml:space="preserve">lapkričio mėnesį FREMP </w:t>
            </w:r>
            <w:r w:rsidR="003E6E30">
              <w:rPr>
                <w:rFonts w:eastAsia="Times New Roman"/>
                <w:color w:val="000000"/>
                <w:bdr w:val="none" w:sz="0" w:space="0" w:color="auto"/>
                <w:lang w:val="lt-LT" w:eastAsia="lt-LT"/>
              </w:rPr>
              <w:t xml:space="preserve">posėdžiuose </w:t>
            </w:r>
            <w:r w:rsidRPr="00394606">
              <w:rPr>
                <w:rFonts w:eastAsia="Times New Roman"/>
                <w:color w:val="000000"/>
                <w:bdr w:val="none" w:sz="0" w:space="0" w:color="auto"/>
                <w:lang w:val="lt-LT" w:eastAsia="lt-LT"/>
              </w:rPr>
              <w:t>nagrinėti šie pasiūlymai:</w:t>
            </w:r>
            <w:r w:rsidR="00D2656F">
              <w:rPr>
                <w:rFonts w:eastAsia="Times New Roman"/>
                <w:color w:val="000000"/>
                <w:bdr w:val="none" w:sz="0" w:space="0" w:color="auto"/>
                <w:lang w:val="lt-LT" w:eastAsia="lt-LT"/>
              </w:rPr>
              <w:t xml:space="preserve"> </w:t>
            </w:r>
            <w:r w:rsidR="008A0D1B">
              <w:rPr>
                <w:rFonts w:eastAsia="Times New Roman"/>
                <w:color w:val="000000"/>
                <w:bdr w:val="none" w:sz="0" w:space="0" w:color="auto"/>
                <w:lang w:val="lt-LT" w:eastAsia="lt-LT"/>
              </w:rPr>
              <w:t xml:space="preserve">1) Suteikti </w:t>
            </w:r>
            <w:r w:rsidRPr="00394606">
              <w:rPr>
                <w:rFonts w:eastAsia="Times New Roman"/>
                <w:color w:val="000000"/>
                <w:bdr w:val="none" w:sz="0" w:space="0" w:color="auto"/>
                <w:lang w:val="lt-LT" w:eastAsia="lt-LT"/>
              </w:rPr>
              <w:t>EŽTT jurisdikcij</w:t>
            </w:r>
            <w:r w:rsidR="008A0D1B">
              <w:rPr>
                <w:rFonts w:eastAsia="Times New Roman"/>
                <w:color w:val="000000"/>
                <w:bdr w:val="none" w:sz="0" w:space="0" w:color="auto"/>
                <w:lang w:val="lt-LT" w:eastAsia="lt-LT"/>
              </w:rPr>
              <w:t>ą</w:t>
            </w:r>
            <w:r w:rsidRPr="00394606">
              <w:rPr>
                <w:rFonts w:eastAsia="Times New Roman"/>
                <w:color w:val="000000"/>
                <w:bdr w:val="none" w:sz="0" w:space="0" w:color="auto"/>
                <w:lang w:val="lt-LT" w:eastAsia="lt-LT"/>
              </w:rPr>
              <w:t xml:space="preserve"> taip pat ES bendrosios užsienio ir saugumo politikos (</w:t>
            </w:r>
            <w:r w:rsidR="00BC6077">
              <w:rPr>
                <w:rFonts w:eastAsia="Times New Roman"/>
                <w:color w:val="000000"/>
                <w:bdr w:val="none" w:sz="0" w:space="0" w:color="auto"/>
                <w:lang w:val="lt-LT" w:eastAsia="lt-LT"/>
              </w:rPr>
              <w:t xml:space="preserve">toliau - </w:t>
            </w:r>
            <w:r w:rsidRPr="00394606">
              <w:rPr>
                <w:rFonts w:eastAsia="Times New Roman"/>
                <w:color w:val="000000"/>
                <w:bdr w:val="none" w:sz="0" w:space="0" w:color="auto"/>
                <w:lang w:val="lt-LT" w:eastAsia="lt-LT"/>
              </w:rPr>
              <w:t>BUSP) srityje. 2</w:t>
            </w:r>
            <w:r w:rsidR="008A0D1B">
              <w:rPr>
                <w:rFonts w:eastAsia="Times New Roman"/>
                <w:color w:val="000000"/>
                <w:bdr w:val="none" w:sz="0" w:space="0" w:color="auto"/>
                <w:lang w:val="lt-LT" w:eastAsia="lt-LT"/>
              </w:rPr>
              <w:t>)</w:t>
            </w:r>
            <w:r w:rsidRPr="00394606">
              <w:rPr>
                <w:rFonts w:eastAsia="Times New Roman"/>
                <w:color w:val="000000"/>
                <w:bdr w:val="none" w:sz="0" w:space="0" w:color="auto"/>
                <w:lang w:val="lt-LT" w:eastAsia="lt-LT"/>
              </w:rPr>
              <w:t xml:space="preserve"> Siūloma papildoma ESTT jurisdikcijos priskyrimo taisyklė, numatanti ESTT įtraukimą į prieš ES iškeltas bylas, kuri leistų ESTT įvertinti savo kompetenciją ir jurisdikciją ir, kai ESTT nustato, kad neturi jurisdikcijos, leidžia priskirti atsakomybę pagal Konvenciją už ES veiksmą, priemonę ar neveikimą, įskaitant BUSP srityje, vienai ar kelioms ES valstybėms narėms.</w:t>
            </w:r>
            <w:r w:rsidR="008A0D1B">
              <w:rPr>
                <w:rFonts w:eastAsia="Times New Roman"/>
                <w:color w:val="000000"/>
                <w:bdr w:val="none" w:sz="0" w:space="0" w:color="auto"/>
                <w:lang w:val="lt-LT" w:eastAsia="lt-LT"/>
              </w:rPr>
              <w:t xml:space="preserve"> </w:t>
            </w:r>
            <w:r w:rsidRPr="00394606">
              <w:rPr>
                <w:rFonts w:eastAsia="Times New Roman"/>
                <w:color w:val="000000"/>
                <w:bdr w:val="none" w:sz="0" w:space="0" w:color="auto"/>
                <w:lang w:val="lt-LT" w:eastAsia="lt-LT"/>
              </w:rPr>
              <w:t>3</w:t>
            </w:r>
            <w:r w:rsidR="008A0D1B">
              <w:rPr>
                <w:rFonts w:eastAsia="Times New Roman"/>
                <w:color w:val="000000"/>
                <w:bdr w:val="none" w:sz="0" w:space="0" w:color="auto"/>
                <w:lang w:val="lt-LT" w:eastAsia="lt-LT"/>
              </w:rPr>
              <w:t>)</w:t>
            </w:r>
            <w:r w:rsidRPr="00394606">
              <w:rPr>
                <w:rFonts w:eastAsia="Times New Roman"/>
                <w:color w:val="000000"/>
                <w:bdr w:val="none" w:sz="0" w:space="0" w:color="auto"/>
                <w:lang w:val="lt-LT" w:eastAsia="lt-LT"/>
              </w:rPr>
              <w:t xml:space="preserve"> Pasiūlytas bendro atsakovo mechanizmas, kuris leidžia </w:t>
            </w:r>
            <w:r w:rsidR="00EC408C">
              <w:rPr>
                <w:rFonts w:eastAsia="Times New Roman"/>
                <w:color w:val="000000"/>
                <w:bdr w:val="none" w:sz="0" w:space="0" w:color="auto"/>
                <w:lang w:val="lt-LT" w:eastAsia="lt-LT"/>
              </w:rPr>
              <w:t xml:space="preserve">Europos </w:t>
            </w:r>
            <w:r w:rsidRPr="00394606">
              <w:rPr>
                <w:rFonts w:eastAsia="Times New Roman"/>
                <w:color w:val="000000"/>
                <w:bdr w:val="none" w:sz="0" w:space="0" w:color="auto"/>
                <w:lang w:val="lt-LT" w:eastAsia="lt-LT"/>
              </w:rPr>
              <w:t>Sąjungai įsitraukti, kai prieš ES valstybę narę iškeliama byla dėl ES teisės.</w:t>
            </w:r>
            <w:r w:rsidR="008A0D1B">
              <w:rPr>
                <w:rFonts w:eastAsia="Times New Roman"/>
                <w:color w:val="000000"/>
                <w:bdr w:val="none" w:sz="0" w:space="0" w:color="auto"/>
                <w:lang w:val="lt-LT" w:eastAsia="lt-LT"/>
              </w:rPr>
              <w:t xml:space="preserve"> </w:t>
            </w:r>
            <w:r w:rsidR="00BC6077">
              <w:rPr>
                <w:rFonts w:eastAsia="Times New Roman"/>
                <w:color w:val="000000"/>
                <w:bdr w:val="none" w:sz="0" w:space="0" w:color="auto"/>
                <w:lang w:val="lt-LT" w:eastAsia="lt-LT"/>
              </w:rPr>
              <w:t>4</w:t>
            </w:r>
            <w:r w:rsidR="008A0D1B">
              <w:rPr>
                <w:rFonts w:eastAsia="Times New Roman"/>
                <w:color w:val="000000"/>
                <w:bdr w:val="none" w:sz="0" w:space="0" w:color="auto"/>
                <w:lang w:val="lt-LT" w:eastAsia="lt-LT"/>
              </w:rPr>
              <w:t>)</w:t>
            </w:r>
            <w:r w:rsidRPr="00394606">
              <w:rPr>
                <w:rFonts w:eastAsia="Times New Roman"/>
                <w:color w:val="000000"/>
                <w:bdr w:val="none" w:sz="0" w:space="0" w:color="auto"/>
                <w:lang w:val="lt-LT" w:eastAsia="lt-LT"/>
              </w:rPr>
              <w:t xml:space="preserve"> Su BUSP susiję klausimai ir toliau bus derinami/svarstomi ES Tarybos RELEX darbo grupėje (Working Party of Foreign Relations Counsellors). </w:t>
            </w:r>
          </w:p>
          <w:p w14:paraId="778CABAE" w14:textId="1A38F40B" w:rsidR="00395157" w:rsidRPr="00395157" w:rsidRDefault="00BC6077" w:rsidP="00394606">
            <w:pPr>
              <w:ind w:left="194"/>
              <w:jc w:val="both"/>
              <w:rPr>
                <w:rFonts w:eastAsia="Times New Roman"/>
                <w:color w:val="000000"/>
                <w:bdr w:val="none" w:sz="0" w:space="0" w:color="auto"/>
                <w:lang w:val="lt-LT" w:eastAsia="lt-LT"/>
              </w:rPr>
            </w:pPr>
            <w:r>
              <w:rPr>
                <w:rFonts w:eastAsia="Times New Roman"/>
                <w:color w:val="000000"/>
                <w:bdr w:val="none" w:sz="0" w:space="0" w:color="auto"/>
                <w:lang w:val="lt-LT" w:eastAsia="lt-LT"/>
              </w:rPr>
              <w:t xml:space="preserve">Tarybos metu </w:t>
            </w:r>
            <w:r w:rsidR="003E6E30">
              <w:rPr>
                <w:rFonts w:eastAsia="Times New Roman"/>
                <w:color w:val="000000"/>
                <w:bdr w:val="none" w:sz="0" w:space="0" w:color="auto"/>
                <w:lang w:val="lt-LT" w:eastAsia="lt-LT"/>
              </w:rPr>
              <w:t xml:space="preserve">Europos </w:t>
            </w:r>
            <w:r>
              <w:rPr>
                <w:rFonts w:eastAsia="Times New Roman"/>
                <w:color w:val="000000"/>
                <w:bdr w:val="none" w:sz="0" w:space="0" w:color="auto"/>
                <w:lang w:val="lt-LT" w:eastAsia="lt-LT"/>
              </w:rPr>
              <w:t>K</w:t>
            </w:r>
            <w:r w:rsidR="003E6E30">
              <w:rPr>
                <w:rFonts w:eastAsia="Times New Roman"/>
                <w:color w:val="000000"/>
                <w:bdr w:val="none" w:sz="0" w:space="0" w:color="auto"/>
                <w:lang w:val="lt-LT" w:eastAsia="lt-LT"/>
              </w:rPr>
              <w:t>omisija</w:t>
            </w:r>
            <w:r w:rsidR="00394606" w:rsidRPr="00394606">
              <w:rPr>
                <w:rFonts w:eastAsia="Times New Roman"/>
                <w:color w:val="000000"/>
                <w:bdr w:val="none" w:sz="0" w:space="0" w:color="auto"/>
                <w:lang w:val="lt-LT" w:eastAsia="lt-LT"/>
              </w:rPr>
              <w:t xml:space="preserve"> ir pirmininkaujanti valstybė pristatys derybų pažangą, pakomentuos parengtus dokumentus nurodytais klausimais.</w:t>
            </w:r>
          </w:p>
          <w:p w14:paraId="745F558D" w14:textId="77777777" w:rsidR="006A65EB" w:rsidRDefault="006A65EB" w:rsidP="008F01C8">
            <w:pPr>
              <w:pStyle w:val="BodyA"/>
              <w:ind w:left="198"/>
              <w:jc w:val="both"/>
              <w:rPr>
                <w:rFonts w:hAnsi="Times New Roman" w:cs="Times New Roman"/>
                <w:b/>
                <w:bCs/>
                <w:i/>
                <w:iCs/>
                <w:lang w:val="lt-LT"/>
              </w:rPr>
            </w:pPr>
          </w:p>
          <w:p w14:paraId="31E46E47" w14:textId="4BE2B9C9" w:rsidR="00395157" w:rsidRDefault="006A65EB" w:rsidP="008F01C8">
            <w:pPr>
              <w:pStyle w:val="BodyA"/>
              <w:ind w:left="198"/>
              <w:jc w:val="both"/>
              <w:rPr>
                <w:rFonts w:hAnsi="Times New Roman" w:cs="Times New Roman"/>
                <w:b/>
                <w:bCs/>
                <w:lang w:val="lt-LT"/>
              </w:rPr>
            </w:pPr>
            <w:r w:rsidRPr="006A65EB">
              <w:rPr>
                <w:rFonts w:hAnsi="Times New Roman" w:cs="Times New Roman"/>
                <w:b/>
                <w:bCs/>
                <w:lang w:val="lt-LT"/>
              </w:rPr>
              <w:t>Lietuvos pozicija:</w:t>
            </w:r>
            <w:r w:rsidR="00394606">
              <w:rPr>
                <w:rFonts w:hAnsi="Times New Roman" w:cs="Times New Roman"/>
                <w:b/>
                <w:bCs/>
                <w:lang w:val="lt-LT"/>
              </w:rPr>
              <w:t xml:space="preserve"> </w:t>
            </w:r>
            <w:r w:rsidR="00394606" w:rsidRPr="00394606">
              <w:rPr>
                <w:rFonts w:hAnsi="Times New Roman" w:cs="Times New Roman"/>
                <w:lang w:val="lt-LT"/>
              </w:rPr>
              <w:t>išklausyti informaciją</w:t>
            </w:r>
            <w:r w:rsidR="00394606">
              <w:rPr>
                <w:rFonts w:hAnsi="Times New Roman" w:cs="Times New Roman"/>
                <w:lang w:val="lt-LT"/>
              </w:rPr>
              <w:t xml:space="preserve">. </w:t>
            </w:r>
          </w:p>
          <w:p w14:paraId="0E039B18" w14:textId="0861FAF0" w:rsidR="006A65EB" w:rsidRPr="006A65EB" w:rsidRDefault="006A65EB" w:rsidP="00B0599D">
            <w:p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p>
        </w:tc>
      </w:tr>
    </w:tbl>
    <w:p w14:paraId="6D74A03B" w14:textId="77777777" w:rsidR="00395157" w:rsidRPr="00DB21E1" w:rsidRDefault="00395157" w:rsidP="00FF3DD4">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395157" w:rsidRPr="00766BE7" w14:paraId="6FC82F51" w14:textId="77777777" w:rsidTr="008F01C8">
        <w:trPr>
          <w:trHeight w:val="1049"/>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bl>
            <w:tblPr>
              <w:tblStyle w:val="TableGrid3"/>
              <w:tblW w:w="122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395157" w:rsidRPr="00CC0E56" w14:paraId="4AFAB22D" w14:textId="77777777" w:rsidTr="008F01C8">
              <w:trPr>
                <w:trHeight w:val="631"/>
              </w:trPr>
              <w:tc>
                <w:tcPr>
                  <w:tcW w:w="9071" w:type="dxa"/>
                  <w:tcMar>
                    <w:top w:w="284" w:type="dxa"/>
                    <w:left w:w="113" w:type="dxa"/>
                    <w:bottom w:w="0" w:type="dxa"/>
                    <w:right w:w="113" w:type="dxa"/>
                  </w:tcMar>
                  <w:hideMark/>
                </w:tcPr>
                <w:p w14:paraId="7447DC07" w14:textId="4CE5B4AC" w:rsidR="00395157" w:rsidRPr="00815AC7" w:rsidRDefault="00B0599D" w:rsidP="0035705B">
                  <w:pPr>
                    <w:framePr w:hSpace="180" w:wrap="around" w:vAnchor="text" w:hAnchor="margin" w:y="196"/>
                    <w:ind w:left="74" w:right="166"/>
                    <w:jc w:val="both"/>
                    <w:rPr>
                      <w:b/>
                      <w:bCs/>
                      <w:szCs w:val="20"/>
                    </w:rPr>
                  </w:pPr>
                  <w:r w:rsidRPr="00EB7D91">
                    <w:rPr>
                      <w:b/>
                      <w:bCs/>
                      <w:szCs w:val="20"/>
                      <w:lang w:val="lt-LT"/>
                    </w:rPr>
                    <w:t>COVID-19 pandemija. Įgyta patirtis, susijusi su teismų veikimu ir neatidėliotinų priemonių teismine peržiūra / tikrinimu</w:t>
                  </w:r>
                  <w:r w:rsidR="00062941">
                    <w:rPr>
                      <w:b/>
                      <w:bCs/>
                      <w:szCs w:val="20"/>
                      <w:lang w:val="lt-LT"/>
                    </w:rPr>
                    <w:t xml:space="preserve"> /</w:t>
                  </w:r>
                  <w:r w:rsidRPr="00B0599D">
                    <w:rPr>
                      <w:b/>
                      <w:bCs/>
                      <w:szCs w:val="20"/>
                    </w:rPr>
                    <w:t xml:space="preserve">The Covid-19 pandemic - lessons learned for the functioning of courts and for the judicial review/scrutiny of emergency measures </w:t>
                  </w:r>
                </w:p>
                <w:p w14:paraId="03D0F0F5" w14:textId="77777777" w:rsidR="00395157" w:rsidRDefault="00395157" w:rsidP="008F01C8">
                  <w:pPr>
                    <w:ind w:left="74"/>
                    <w:rPr>
                      <w:i/>
                      <w:iCs/>
                      <w:szCs w:val="20"/>
                    </w:rPr>
                  </w:pPr>
                </w:p>
                <w:p w14:paraId="01B89696" w14:textId="1E8DC713" w:rsidR="00395157" w:rsidRPr="00815AC7" w:rsidRDefault="00B0599D" w:rsidP="008F01C8">
                  <w:pPr>
                    <w:ind w:left="74"/>
                    <w:rPr>
                      <w:i/>
                      <w:iCs/>
                      <w:szCs w:val="20"/>
                    </w:rPr>
                  </w:pPr>
                  <w:r>
                    <w:rPr>
                      <w:i/>
                      <w:iCs/>
                    </w:rPr>
                    <w:t>Pasikeitimas nuomonėmis</w:t>
                  </w:r>
                  <w:r w:rsidRPr="00815AC7">
                    <w:rPr>
                      <w:i/>
                      <w:iCs/>
                      <w:szCs w:val="20"/>
                    </w:rPr>
                    <w:t xml:space="preserve"> </w:t>
                  </w:r>
                  <w:r w:rsidR="00395157">
                    <w:rPr>
                      <w:i/>
                      <w:iCs/>
                      <w:szCs w:val="20"/>
                    </w:rPr>
                    <w:t>/</w:t>
                  </w:r>
                  <w:r>
                    <w:rPr>
                      <w:i/>
                      <w:iCs/>
                      <w:szCs w:val="20"/>
                    </w:rPr>
                    <w:t xml:space="preserve"> </w:t>
                  </w:r>
                  <w:r>
                    <w:rPr>
                      <w:i/>
                      <w:iCs/>
                    </w:rPr>
                    <w:t>Exchange of views</w:t>
                  </w:r>
                </w:p>
                <w:p w14:paraId="2175B915" w14:textId="77777777" w:rsidR="00395157" w:rsidRPr="00DB21E1" w:rsidRDefault="00395157" w:rsidP="008F01C8">
                  <w:pPr>
                    <w:framePr w:hSpace="180" w:wrap="around" w:vAnchor="text" w:hAnchor="margin" w:y="196"/>
                    <w:ind w:left="74"/>
                  </w:pPr>
                </w:p>
              </w:tc>
              <w:tc>
                <w:tcPr>
                  <w:tcW w:w="1019" w:type="dxa"/>
                  <w:tcMar>
                    <w:top w:w="284" w:type="dxa"/>
                    <w:left w:w="28" w:type="dxa"/>
                    <w:bottom w:w="0" w:type="dxa"/>
                    <w:right w:w="113" w:type="dxa"/>
                  </w:tcMar>
                </w:tcPr>
                <w:p w14:paraId="3C4A2423" w14:textId="77777777" w:rsidR="00395157" w:rsidRPr="00DB21E1" w:rsidRDefault="00395157" w:rsidP="008F01C8">
                  <w:pPr>
                    <w:framePr w:hSpace="180" w:wrap="around" w:vAnchor="text" w:hAnchor="margin" w:y="196"/>
                    <w:ind w:left="194"/>
                    <w:jc w:val="right"/>
                    <w:rPr>
                      <w:rFonts w:asciiTheme="majorBidi" w:hAnsiTheme="majorBidi" w:cstheme="majorBidi"/>
                      <w:noProof/>
                    </w:rPr>
                  </w:pPr>
                </w:p>
                <w:p w14:paraId="03592477" w14:textId="77777777" w:rsidR="00395157" w:rsidRPr="00DB21E1" w:rsidRDefault="00395157" w:rsidP="008F01C8">
                  <w:pPr>
                    <w:framePr w:hSpace="180" w:wrap="around" w:vAnchor="text" w:hAnchor="margin" w:y="196"/>
                    <w:ind w:left="194"/>
                    <w:jc w:val="right"/>
                    <w:rPr>
                      <w:noProof/>
                      <w:szCs w:val="20"/>
                      <w:lang w:eastAsia="en-GB"/>
                    </w:rPr>
                  </w:pPr>
                </w:p>
              </w:tc>
              <w:tc>
                <w:tcPr>
                  <w:tcW w:w="2127" w:type="dxa"/>
                  <w:tcMar>
                    <w:top w:w="284" w:type="dxa"/>
                    <w:left w:w="113" w:type="dxa"/>
                    <w:bottom w:w="0" w:type="dxa"/>
                    <w:right w:w="0" w:type="dxa"/>
                  </w:tcMar>
                </w:tcPr>
                <w:p w14:paraId="0DD8A33A" w14:textId="77777777" w:rsidR="00395157" w:rsidRPr="00DB21E1" w:rsidRDefault="00395157" w:rsidP="008F01C8">
                  <w:pPr>
                    <w:framePr w:hSpace="180" w:wrap="around" w:vAnchor="text" w:hAnchor="margin" w:y="196"/>
                    <w:ind w:left="194"/>
                  </w:pPr>
                </w:p>
              </w:tc>
            </w:tr>
          </w:tbl>
          <w:p w14:paraId="3F024292" w14:textId="72D0AF9B" w:rsidR="00395157" w:rsidRDefault="00395157" w:rsidP="00B0599D">
            <w:pPr>
              <w:ind w:left="194"/>
              <w:jc w:val="both"/>
              <w:rPr>
                <w:rFonts w:eastAsia="Times New Roman"/>
                <w:color w:val="000000"/>
                <w:bdr w:val="none" w:sz="0" w:space="0" w:color="auto"/>
                <w:lang w:val="lt-LT" w:eastAsia="lt-LT"/>
              </w:rPr>
            </w:pPr>
            <w:r w:rsidRPr="00DB21E1">
              <w:rPr>
                <w:b/>
                <w:bCs/>
                <w:lang w:val="lt-LT"/>
              </w:rPr>
              <w:t>Klausimo esmė:</w:t>
            </w:r>
            <w:r>
              <w:rPr>
                <w:rFonts w:eastAsia="Times New Roman"/>
                <w:color w:val="000000"/>
                <w:bdr w:val="none" w:sz="0" w:space="0" w:color="auto"/>
                <w:lang w:val="lt-LT" w:eastAsia="lt-LT"/>
              </w:rPr>
              <w:t xml:space="preserve"> </w:t>
            </w:r>
          </w:p>
          <w:p w14:paraId="6059A426" w14:textId="44C2CD0B" w:rsidR="00BC6077" w:rsidRPr="00BC6077" w:rsidRDefault="00EB7D91" w:rsidP="00BC6077">
            <w:pPr>
              <w:ind w:left="194"/>
              <w:jc w:val="both"/>
              <w:rPr>
                <w:rFonts w:eastAsia="Times New Roman"/>
                <w:color w:val="000000"/>
                <w:bdr w:val="none" w:sz="0" w:space="0" w:color="auto"/>
                <w:lang w:val="lt-LT" w:eastAsia="lt-LT"/>
              </w:rPr>
            </w:pPr>
            <w:r>
              <w:rPr>
                <w:rFonts w:eastAsia="Times New Roman"/>
                <w:color w:val="000000"/>
                <w:bdr w:val="none" w:sz="0" w:space="0" w:color="auto"/>
                <w:lang w:val="lt-LT" w:eastAsia="lt-LT"/>
              </w:rPr>
              <w:t>S</w:t>
            </w:r>
            <w:r w:rsidR="00BC6077" w:rsidRPr="00BC6077">
              <w:rPr>
                <w:rFonts w:eastAsia="Times New Roman"/>
                <w:color w:val="000000"/>
                <w:bdr w:val="none" w:sz="0" w:space="0" w:color="auto"/>
                <w:lang w:val="lt-LT" w:eastAsia="lt-LT"/>
              </w:rPr>
              <w:t xml:space="preserve">iekdamos kovoti su COVID-19 pandemijos sukeltais iššūkiais, visos ES valstybės narės pritaikė tam tikras specialiąsias priemones. </w:t>
            </w:r>
            <w:r>
              <w:rPr>
                <w:rFonts w:eastAsia="Times New Roman"/>
                <w:color w:val="000000"/>
                <w:bdr w:val="none" w:sz="0" w:space="0" w:color="auto"/>
                <w:lang w:val="lt-LT" w:eastAsia="lt-LT"/>
              </w:rPr>
              <w:t xml:space="preserve">Pandemijai nesiliaujant </w:t>
            </w:r>
            <w:r w:rsidR="00BC6077" w:rsidRPr="00BC6077">
              <w:rPr>
                <w:rFonts w:eastAsia="Times New Roman"/>
                <w:color w:val="000000"/>
                <w:bdr w:val="none" w:sz="0" w:space="0" w:color="auto"/>
                <w:lang w:val="lt-LT" w:eastAsia="lt-LT"/>
              </w:rPr>
              <w:t>šios priemonės dalyje valstybių narių vis dar yra taikomos arba pritaikomos pakartotinai.</w:t>
            </w:r>
          </w:p>
          <w:p w14:paraId="4AEDBB3A" w14:textId="36921157" w:rsidR="00BC6077" w:rsidRDefault="00BC6077" w:rsidP="00EB7D91">
            <w:pPr>
              <w:ind w:left="194"/>
              <w:jc w:val="both"/>
              <w:rPr>
                <w:rFonts w:eastAsia="Times New Roman"/>
                <w:color w:val="000000"/>
                <w:bdr w:val="none" w:sz="0" w:space="0" w:color="auto"/>
                <w:lang w:val="lt-LT" w:eastAsia="lt-LT"/>
              </w:rPr>
            </w:pPr>
            <w:r w:rsidRPr="00BC6077">
              <w:rPr>
                <w:rFonts w:eastAsia="Times New Roman"/>
                <w:color w:val="000000"/>
                <w:bdr w:val="none" w:sz="0" w:space="0" w:color="auto"/>
                <w:lang w:val="lt-LT" w:eastAsia="lt-LT"/>
              </w:rPr>
              <w:t>Šiame kontekste valstybės narės yra priverstos ieškoti balanso tarp</w:t>
            </w:r>
            <w:r w:rsidR="00EB7D91">
              <w:rPr>
                <w:rFonts w:eastAsia="Times New Roman"/>
                <w:color w:val="000000"/>
                <w:bdr w:val="none" w:sz="0" w:space="0" w:color="auto"/>
                <w:lang w:val="lt-LT" w:eastAsia="lt-LT"/>
              </w:rPr>
              <w:t xml:space="preserve"> </w:t>
            </w:r>
            <w:r w:rsidRPr="00BC6077">
              <w:rPr>
                <w:rFonts w:eastAsia="Times New Roman"/>
                <w:color w:val="000000"/>
                <w:bdr w:val="none" w:sz="0" w:space="0" w:color="auto"/>
                <w:lang w:val="lt-LT" w:eastAsia="lt-LT"/>
              </w:rPr>
              <w:t>siekio apsaugoti pagrindines teises ir užtikrinti demokratinį sprendimų priėmimo procesą ir poreikio efektyviai kovoti su sveikatos krizės sukeliamais padariniais. Be to, nors skubios ir efektyvios teisėkūros priemonės tam tikrais atvejais yra būtinos, siekiant apsaugoti visuomenės sveikatą, europiniai standartai reikalauja, kad specialiosios priemonės, pritaikytos ekstremaliosios situacijos metu ar už jos ribų, būtų siejamos su tam tikrais saugikliais. Šiame kontekste konstituciniai teismai ir kiti nacionaliniai teismai atlieka esminę funkciją, užtikrindami taikomo teisinio režimo ir pritaikytų specialiųjų priemonių teisminę peržiūrą. Kita vertus, COVID-19 pandemija taip pat paveikė ir pačių nacionalinių teismų sistemų funkcionavimą bei teismų veiklą.</w:t>
            </w:r>
            <w:r w:rsidR="00EB7D91">
              <w:rPr>
                <w:rFonts w:eastAsia="Times New Roman"/>
                <w:color w:val="000000"/>
                <w:bdr w:val="none" w:sz="0" w:space="0" w:color="auto"/>
                <w:lang w:val="lt-LT" w:eastAsia="lt-LT"/>
              </w:rPr>
              <w:t xml:space="preserve"> T</w:t>
            </w:r>
            <w:r w:rsidRPr="00BC6077">
              <w:rPr>
                <w:rFonts w:eastAsia="Times New Roman"/>
                <w:color w:val="000000"/>
                <w:bdr w:val="none" w:sz="0" w:space="0" w:color="auto"/>
                <w:lang w:val="lt-LT" w:eastAsia="lt-LT"/>
              </w:rPr>
              <w:t>eism</w:t>
            </w:r>
            <w:r w:rsidR="00EB7D91">
              <w:rPr>
                <w:rFonts w:eastAsia="Times New Roman"/>
                <w:color w:val="000000"/>
                <w:bdr w:val="none" w:sz="0" w:space="0" w:color="auto"/>
                <w:lang w:val="lt-LT" w:eastAsia="lt-LT"/>
              </w:rPr>
              <w:t>ai sudaro</w:t>
            </w:r>
            <w:r w:rsidRPr="00BC6077">
              <w:rPr>
                <w:rFonts w:eastAsia="Times New Roman"/>
                <w:color w:val="000000"/>
                <w:bdr w:val="none" w:sz="0" w:space="0" w:color="auto"/>
                <w:lang w:val="lt-LT" w:eastAsia="lt-LT"/>
              </w:rPr>
              <w:t xml:space="preserve"> atsvar</w:t>
            </w:r>
            <w:r w:rsidR="00EB7D91">
              <w:rPr>
                <w:rFonts w:eastAsia="Times New Roman"/>
                <w:color w:val="000000"/>
                <w:bdr w:val="none" w:sz="0" w:space="0" w:color="auto"/>
                <w:lang w:val="lt-LT" w:eastAsia="lt-LT"/>
              </w:rPr>
              <w:t>ą</w:t>
            </w:r>
            <w:r w:rsidRPr="00BC6077">
              <w:rPr>
                <w:rFonts w:eastAsia="Times New Roman"/>
                <w:color w:val="000000"/>
                <w:bdr w:val="none" w:sz="0" w:space="0" w:color="auto"/>
                <w:lang w:val="lt-LT" w:eastAsia="lt-LT"/>
              </w:rPr>
              <w:t xml:space="preserve"> vyriausybių priimamiems sprendimams. </w:t>
            </w:r>
            <w:r w:rsidR="00EB7D91">
              <w:rPr>
                <w:rFonts w:eastAsia="Times New Roman"/>
                <w:color w:val="000000"/>
                <w:bdr w:val="none" w:sz="0" w:space="0" w:color="auto"/>
                <w:lang w:val="lt-LT" w:eastAsia="lt-LT"/>
              </w:rPr>
              <w:t>A</w:t>
            </w:r>
            <w:r w:rsidRPr="00BC6077">
              <w:rPr>
                <w:rFonts w:eastAsia="Times New Roman"/>
                <w:color w:val="000000"/>
                <w:bdr w:val="none" w:sz="0" w:space="0" w:color="auto"/>
                <w:lang w:val="lt-LT" w:eastAsia="lt-LT"/>
              </w:rPr>
              <w:t>kcentuojama</w:t>
            </w:r>
            <w:r w:rsidR="00EB7D91">
              <w:rPr>
                <w:rFonts w:eastAsia="Times New Roman"/>
                <w:color w:val="000000"/>
                <w:bdr w:val="none" w:sz="0" w:space="0" w:color="auto"/>
                <w:lang w:val="lt-LT" w:eastAsia="lt-LT"/>
              </w:rPr>
              <w:t xml:space="preserve">, kad </w:t>
            </w:r>
            <w:r w:rsidR="00AB31BE">
              <w:rPr>
                <w:rFonts w:eastAsia="Times New Roman"/>
                <w:color w:val="000000"/>
                <w:bdr w:val="none" w:sz="0" w:space="0" w:color="auto"/>
                <w:lang w:val="lt-LT" w:eastAsia="lt-LT"/>
              </w:rPr>
              <w:t>pandemijos metu ypatingai iškyla</w:t>
            </w:r>
            <w:r w:rsidRPr="00BC6077">
              <w:rPr>
                <w:rFonts w:eastAsia="Times New Roman"/>
                <w:color w:val="000000"/>
                <w:bdr w:val="none" w:sz="0" w:space="0" w:color="auto"/>
                <w:lang w:val="lt-LT" w:eastAsia="lt-LT"/>
              </w:rPr>
              <w:t xml:space="preserve"> teismų veiklos skaitmenizavimo poreikis, tokiu būdu užtikrinant jų veiklos tęstinumą ir proceso efektyvumą. </w:t>
            </w:r>
            <w:r w:rsidR="00AB31BE">
              <w:rPr>
                <w:rFonts w:eastAsia="Times New Roman"/>
                <w:color w:val="000000"/>
                <w:bdr w:val="none" w:sz="0" w:space="0" w:color="auto"/>
                <w:lang w:val="lt-LT" w:eastAsia="lt-LT"/>
              </w:rPr>
              <w:t xml:space="preserve">Dėl to kyla būtinybė </w:t>
            </w:r>
            <w:r w:rsidRPr="00BC6077">
              <w:rPr>
                <w:rFonts w:eastAsia="Times New Roman"/>
                <w:color w:val="000000"/>
                <w:bdr w:val="none" w:sz="0" w:space="0" w:color="auto"/>
                <w:lang w:val="lt-LT" w:eastAsia="lt-LT"/>
              </w:rPr>
              <w:t>toliau aptarti šią problematiką Tarybos rėmuose.</w:t>
            </w:r>
          </w:p>
          <w:p w14:paraId="355064B0" w14:textId="77777777" w:rsidR="0012741C" w:rsidRPr="0012741C" w:rsidRDefault="0012741C" w:rsidP="0012741C">
            <w:pPr>
              <w:ind w:left="194"/>
              <w:jc w:val="both"/>
              <w:rPr>
                <w:lang w:val="lt-LT"/>
              </w:rPr>
            </w:pPr>
            <w:r w:rsidRPr="0012741C">
              <w:rPr>
                <w:lang w:val="lt-LT"/>
              </w:rPr>
              <w:t>Dialogo dėl teisės viršenybės principo užtikrinimo teisingumo srityje kontekste teisingumo ministrų prašoma pasikeisti nuomonėmis šiais klausimais:</w:t>
            </w:r>
          </w:p>
          <w:p w14:paraId="5CD088B5" w14:textId="77777777" w:rsidR="0012741C" w:rsidRPr="00AF70FB" w:rsidRDefault="0012741C" w:rsidP="0012741C">
            <w:pPr>
              <w:ind w:left="194"/>
              <w:jc w:val="both"/>
              <w:rPr>
                <w:i/>
                <w:iCs/>
                <w:lang w:val="lt-LT"/>
              </w:rPr>
            </w:pPr>
            <w:r w:rsidRPr="00AF70FB">
              <w:rPr>
                <w:i/>
                <w:iCs/>
                <w:lang w:val="lt-LT"/>
              </w:rPr>
              <w:t>1. Kokios pamokos buvo išmoktos, nacionaliniams teismams peržiūrint specialiąsias priemones?</w:t>
            </w:r>
          </w:p>
          <w:p w14:paraId="54C0B16E" w14:textId="6EEC9D08" w:rsidR="00395157" w:rsidRPr="00AF70FB" w:rsidRDefault="0012741C" w:rsidP="0012741C">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i/>
                <w:iCs/>
                <w:color w:val="000000"/>
                <w:bdr w:val="none" w:sz="0" w:space="0" w:color="auto"/>
                <w:lang w:val="lt-LT" w:eastAsia="lt-LT"/>
              </w:rPr>
            </w:pPr>
            <w:r w:rsidRPr="00AF70FB">
              <w:rPr>
                <w:i/>
                <w:iCs/>
                <w:lang w:val="lt-LT"/>
              </w:rPr>
              <w:t>2. Kokios struktūrinės pertvarkos ar priemonės buvo pritaikytos, siekiant nepertraukiamai ir efektyviai garantuoti teisę į teisminę gynybą pandemijos metu, kuriomis būtų galima pasinaudoti kaip gerosios praktikos pavyzdžiais ir tokiu būdu užtikrinti nacionalinių teismų sistemų atsparumą krizėms?</w:t>
            </w:r>
          </w:p>
          <w:p w14:paraId="14FD22BF" w14:textId="77777777" w:rsidR="00395157" w:rsidRPr="00DB21E1" w:rsidRDefault="00395157" w:rsidP="008F01C8">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p>
          <w:p w14:paraId="4E2AAE49" w14:textId="77777777" w:rsidR="00395157" w:rsidRDefault="00395157" w:rsidP="008F01C8">
            <w:pPr>
              <w:pStyle w:val="BodyA"/>
              <w:ind w:left="194"/>
              <w:jc w:val="both"/>
              <w:rPr>
                <w:rFonts w:eastAsia="Times New Roman" w:hAnsi="Times New Roman" w:cs="Times New Roman"/>
                <w:b/>
                <w:bCs/>
                <w:bdr w:val="none" w:sz="0" w:space="0" w:color="auto"/>
                <w:lang w:val="lt-LT" w:eastAsia="lt-LT"/>
              </w:rPr>
            </w:pPr>
            <w:r w:rsidRPr="00DB21E1">
              <w:rPr>
                <w:rFonts w:eastAsia="Times New Roman" w:hAnsi="Times New Roman" w:cs="Times New Roman"/>
                <w:b/>
                <w:bCs/>
                <w:bdr w:val="none" w:sz="0" w:space="0" w:color="auto"/>
                <w:lang w:val="lt-LT" w:eastAsia="lt-LT"/>
              </w:rPr>
              <w:t>Lietuvos pozicija:</w:t>
            </w:r>
          </w:p>
          <w:p w14:paraId="18E321AD" w14:textId="41197061" w:rsidR="004A3E8D" w:rsidRPr="004A3E8D" w:rsidRDefault="004A3E8D" w:rsidP="00D455D7">
            <w:pPr>
              <w:pStyle w:val="NormalWeb"/>
              <w:numPr>
                <w:ilvl w:val="0"/>
                <w:numId w:val="19"/>
              </w:numPr>
              <w:tabs>
                <w:tab w:val="left" w:pos="640"/>
              </w:tabs>
              <w:spacing w:before="0" w:beforeAutospacing="0" w:after="0" w:afterAutospacing="0"/>
              <w:ind w:left="100"/>
              <w:jc w:val="both"/>
              <w:rPr>
                <w:rFonts w:ascii="Arial" w:hAnsi="Arial" w:cs="Arial"/>
                <w:color w:val="000000"/>
                <w:sz w:val="18"/>
                <w:szCs w:val="18"/>
              </w:rPr>
            </w:pPr>
            <w:r>
              <w:rPr>
                <w:color w:val="000000"/>
              </w:rPr>
              <w:t xml:space="preserve">1. </w:t>
            </w:r>
            <w:r w:rsidR="00862D96" w:rsidRPr="00862D96">
              <w:rPr>
                <w:color w:val="000000"/>
              </w:rPr>
              <w:t>Lietuvoje nuo 2020 m. Vyriausybė yra paskelbusi ekstremaliąją situaciją, o tam tikrais laikotarpiais buvo skelbiamas ir karantinas. Taikomomis priemonėmis siekta rasti vertybių balansą. Viena vertus, buvo siekiama užtikrinti visuomenės sveikatos apsaugą ir valdyti pandemijos keliamas grėsmes. Kita vertus, įtvirtinant veiklų ribojimus, jie buvo įvertinti proporcingumo principo kontekste, taip pat buvo siekiama nepažeisti pagrindinių žmogaus teisių standartų. Be to, šios priemonės buvo nuolat papildomai vertinamos ir prireikus koreguojamos, reaguojant į besikeičiančią situaciją. Be kita ko, atsižvelgiant į ES lygiu priimtus sprendimus dėl ES skaitmeninio COVID pažymėjimo, Lietuvoje taip pat priimti nacionalinio lygmens sprendimai dėl vadinamojo galimybių paso naudojimo.</w:t>
            </w:r>
          </w:p>
          <w:p w14:paraId="012B7882" w14:textId="77777777" w:rsidR="002A2083" w:rsidRDefault="00862D96" w:rsidP="002A2083">
            <w:pPr>
              <w:pStyle w:val="NormalWeb"/>
              <w:numPr>
                <w:ilvl w:val="0"/>
                <w:numId w:val="19"/>
              </w:numPr>
              <w:tabs>
                <w:tab w:val="left" w:pos="640"/>
              </w:tabs>
              <w:spacing w:before="0" w:beforeAutospacing="0" w:after="0" w:afterAutospacing="0"/>
              <w:ind w:left="100"/>
              <w:jc w:val="both"/>
              <w:rPr>
                <w:color w:val="000000"/>
              </w:rPr>
            </w:pPr>
            <w:r w:rsidRPr="00862D96">
              <w:rPr>
                <w:color w:val="000000"/>
              </w:rPr>
              <w:t>Lietuvos teismuose nestebimas ženklus bylų, susijusių su minėtų priemonių taikymu, skaičiaus padidėjimas. Atkreiptinas dėmesys į tai, kad teismai, nagrinėdami bylas dėl sankcijų, susijusių su šių priemonių nesilaikymu (pavyzdžiui, dėl apsauginių kaukių nedėvėjimo ar galimybių paso suklastojimo), nekvestionavo jų atitikties Konstitucijai ar įstatymams. Kartu svarbu pastebėti, kad Konstituciniame Teisme šiuo metu yra nagrinėjama Seimo narių inicijuota byla dėl galimybių paso atitikties Konstitucijos nuostatoms. Šis būsimas sprendimas, tikimės, suteiks dar daugiau teisinio aiškumo dėl galimų ribojimų apimties ir proporcingumo pandemijos valdymo kontekste</w:t>
            </w:r>
            <w:r w:rsidR="0012741C" w:rsidRPr="00862D96">
              <w:rPr>
                <w:color w:val="000000"/>
              </w:rPr>
              <w:t>.</w:t>
            </w:r>
          </w:p>
          <w:p w14:paraId="75419398" w14:textId="6772F304" w:rsidR="0012741C" w:rsidRPr="004A3E8D" w:rsidRDefault="002A2083" w:rsidP="002A2083">
            <w:pPr>
              <w:pStyle w:val="NormalWeb"/>
              <w:numPr>
                <w:ilvl w:val="0"/>
                <w:numId w:val="19"/>
              </w:numPr>
              <w:tabs>
                <w:tab w:val="left" w:pos="640"/>
              </w:tabs>
              <w:spacing w:before="0" w:beforeAutospacing="0" w:after="0" w:afterAutospacing="0"/>
              <w:ind w:left="100"/>
              <w:jc w:val="both"/>
              <w:rPr>
                <w:color w:val="000000"/>
              </w:rPr>
            </w:pPr>
            <w:r>
              <w:rPr>
                <w:color w:val="000000"/>
              </w:rPr>
              <w:t xml:space="preserve">2. </w:t>
            </w:r>
            <w:r w:rsidR="00862D96" w:rsidRPr="00862D96">
              <w:rPr>
                <w:color w:val="000000"/>
              </w:rPr>
              <w:t>Nuo ekstremaliosios situacijos ir karantino paskelbimo pradžios Lietuvos teismų sistema nedelsdama ėmėsi tiek procesiniuose įstatymuose numatytų, tiek ir kitų organizacinių priemonių, siekdama užtikrinti nepertraukiamą ir efektyvią teismų veiklą.</w:t>
            </w:r>
            <w:r w:rsidR="004A3E8D">
              <w:rPr>
                <w:color w:val="000000"/>
              </w:rPr>
              <w:t xml:space="preserve"> </w:t>
            </w:r>
            <w:r w:rsidR="00862D96" w:rsidRPr="00862D96">
              <w:rPr>
                <w:color w:val="000000"/>
              </w:rPr>
              <w:t>Vadovaujantis procesiniais įstatymais, bylos teismuose buvo nagrinėjamos, derinant žodinį ir rašytinį procesą, užtikrinant visų saugumo reikalavimų laikymąsi, o esant galimybei bylos nagrinėtos nuotoliniu būdu, pasitelkiant moderniąsias technologijas. Rekomendacijas teismams dėl bylų nagrinėjimo tvarkos pandemijos metu teikė Teisėjų taryba.</w:t>
            </w:r>
            <w:r w:rsidR="004A3E8D">
              <w:rPr>
                <w:color w:val="000000"/>
              </w:rPr>
              <w:t xml:space="preserve"> </w:t>
            </w:r>
            <w:r w:rsidR="00862D96" w:rsidRPr="00862D96">
              <w:rPr>
                <w:color w:val="000000"/>
              </w:rPr>
              <w:t xml:space="preserve">Reaguodami į pandemijos iššūkius, aktyvių veiksmų ėmėmės ir Vyriausybės lygiu. Įvertinus nuotolinio teismo proceso sėkmę civilinėse ir administracinėse bylose (2020 m. suorganizuota 2,5 karto daugiau nuotolinių teismo posėdžių nei 2018 m.), parengti ir šiais metais Seime priimti įstatymų pakeitimai, kuriais išplėstos nuotolinių teismo posėdžių galimybės ir baudžiamajame procese. Šie teisinio reguliavimo pokyčiai leido </w:t>
            </w:r>
            <w:r w:rsidR="00862D96" w:rsidRPr="004A3E8D">
              <w:rPr>
                <w:i/>
                <w:iCs/>
                <w:color w:val="000000"/>
              </w:rPr>
              <w:t>inter alia</w:t>
            </w:r>
            <w:r w:rsidR="00862D96" w:rsidRPr="00862D96">
              <w:rPr>
                <w:color w:val="000000"/>
              </w:rPr>
              <w:t xml:space="preserve"> ir asmenims, laikomiems laisvės atėmimo vietų įstaigose, saugiai ir savalaikiai dalyvauti ikiteisminiame/teisminiame procese.</w:t>
            </w:r>
            <w:r w:rsidR="004A3E8D">
              <w:rPr>
                <w:color w:val="000000"/>
              </w:rPr>
              <w:t xml:space="preserve"> </w:t>
            </w:r>
            <w:r w:rsidR="00862D96" w:rsidRPr="004A3E8D">
              <w:rPr>
                <w:color w:val="000000"/>
              </w:rPr>
              <w:t>Taip pat įtvirtinome galimybę ir pačiam teismui savo iniciatyva (o ne tik proceso dalyvių prašymu) inicijuoti nuotolinį teismo posėdį, naudoti ne tik vaizdo konferencijų, bet ir telekonferencijų technologijas. Šie pokyčiai leidžia sklandžiau organizuoti teismo darbą ir užtikrina platesnes galimybes proceso dalyviams dalyvauti teismo posėdžiuose nuotoliniu būdu.</w:t>
            </w:r>
            <w:r w:rsidR="004A3E8D">
              <w:rPr>
                <w:color w:val="000000"/>
              </w:rPr>
              <w:t xml:space="preserve"> </w:t>
            </w:r>
            <w:r w:rsidR="00862D96" w:rsidRPr="004A3E8D">
              <w:rPr>
                <w:color w:val="000000"/>
              </w:rPr>
              <w:t>Nuotoliniuose teismo posėdžiuose siekiame užtikrinti ir viešumo principo įgyvendinimą. Bendradarbiaudami su teismų savivaldos institucijomis artimiausiu metu priimsime sprendimus, kokiomis techninėmis ir organizacinėmis priemonėmis, viena vertus, būtų geriausiai užtikrinamos visuomenės galimybės stebėti viešą teismo posėdį, kita vertus, būtų tinkamai apsaugomos mūsų visų bendros vertybės, tokios kaip asmens privatumas ir duomenų apsauga.</w:t>
            </w:r>
            <w:r w:rsidR="004A3E8D">
              <w:rPr>
                <w:color w:val="000000"/>
              </w:rPr>
              <w:t xml:space="preserve"> </w:t>
            </w:r>
            <w:r w:rsidR="00862D96" w:rsidRPr="004A3E8D">
              <w:rPr>
                <w:color w:val="000000"/>
              </w:rPr>
              <w:t>Manome, kad pandemijos metu mūsų visų išmoktos pamokos leis ir ateityje užtikrinti teismų sistemų atsparumą krizėms ir efektyvią bei modernią teismų veiklą</w:t>
            </w:r>
            <w:r w:rsidR="0012741C" w:rsidRPr="004A3E8D">
              <w:rPr>
                <w:color w:val="000000"/>
              </w:rPr>
              <w:t>.</w:t>
            </w:r>
          </w:p>
        </w:tc>
      </w:tr>
    </w:tbl>
    <w:p w14:paraId="2C9977ED" w14:textId="77777777" w:rsidR="0035705B" w:rsidRDefault="0035705B" w:rsidP="00862D96">
      <w:pPr>
        <w:pStyle w:val="BodyA"/>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395157" w:rsidRPr="00DB21E1" w14:paraId="4A794099" w14:textId="77777777" w:rsidTr="007E7EFC">
        <w:trPr>
          <w:trHeight w:val="1623"/>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16402D" w14:textId="77777777" w:rsidR="00395157" w:rsidRPr="004D669C" w:rsidRDefault="00395157" w:rsidP="008F01C8">
            <w:pPr>
              <w:rPr>
                <w:b/>
                <w:bCs/>
                <w:lang w:val="lt-LT"/>
              </w:rPr>
            </w:pPr>
          </w:p>
          <w:p w14:paraId="77A8C71A" w14:textId="0F227021" w:rsidR="00395157" w:rsidRPr="00815AC7" w:rsidRDefault="00395157" w:rsidP="008F01C8">
            <w:pPr>
              <w:ind w:firstLine="194"/>
              <w:rPr>
                <w:rFonts w:eastAsiaTheme="minorHAnsi" w:cstheme="minorBidi"/>
              </w:rPr>
            </w:pPr>
            <w:r w:rsidRPr="00815AC7">
              <w:rPr>
                <w:b/>
                <w:bCs/>
              </w:rPr>
              <w:t xml:space="preserve">Europos </w:t>
            </w:r>
            <w:r w:rsidR="00506389">
              <w:rPr>
                <w:b/>
                <w:bCs/>
              </w:rPr>
              <w:t>pr</w:t>
            </w:r>
            <w:r w:rsidRPr="00815AC7">
              <w:rPr>
                <w:b/>
                <w:bCs/>
              </w:rPr>
              <w:t>okuratūra</w:t>
            </w:r>
            <w:r>
              <w:rPr>
                <w:rFonts w:eastAsiaTheme="minorHAnsi" w:cstheme="minorBidi"/>
              </w:rPr>
              <w:t xml:space="preserve"> / </w:t>
            </w:r>
            <w:r w:rsidRPr="00815AC7">
              <w:rPr>
                <w:b/>
                <w:bCs/>
                <w:szCs w:val="20"/>
                <w:lang w:val="lt-LT"/>
              </w:rPr>
              <w:t>European Public Prosecutor’s Office (EPPO)</w:t>
            </w:r>
          </w:p>
          <w:p w14:paraId="20EB1899" w14:textId="77777777" w:rsidR="00395157" w:rsidRDefault="00395157" w:rsidP="008F01C8">
            <w:pPr>
              <w:ind w:left="74" w:firstLine="120"/>
              <w:rPr>
                <w:i/>
                <w:iCs/>
                <w:szCs w:val="20"/>
                <w:lang w:val="lt-LT"/>
              </w:rPr>
            </w:pPr>
          </w:p>
          <w:p w14:paraId="761B6BA3" w14:textId="77777777" w:rsidR="00395157" w:rsidRPr="00815AC7" w:rsidRDefault="00395157" w:rsidP="008F01C8">
            <w:pPr>
              <w:ind w:left="74" w:firstLine="120"/>
              <w:rPr>
                <w:i/>
                <w:iCs/>
                <w:szCs w:val="20"/>
                <w:lang w:val="lt-LT"/>
              </w:rPr>
            </w:pPr>
            <w:r>
              <w:rPr>
                <w:i/>
                <w:iCs/>
                <w:szCs w:val="20"/>
                <w:lang w:val="lt-LT"/>
              </w:rPr>
              <w:t xml:space="preserve">Esama padėtis / </w:t>
            </w:r>
            <w:r w:rsidRPr="00815AC7">
              <w:rPr>
                <w:i/>
                <w:iCs/>
                <w:szCs w:val="20"/>
                <w:lang w:val="lt-LT"/>
              </w:rPr>
              <w:t xml:space="preserve">State of play </w:t>
            </w:r>
          </w:p>
          <w:p w14:paraId="14FD460D" w14:textId="77777777" w:rsidR="00395157" w:rsidRDefault="00395157" w:rsidP="008F01C8">
            <w:pPr>
              <w:ind w:left="74"/>
              <w:rPr>
                <w:b/>
                <w:bCs/>
                <w:i/>
                <w:iCs/>
                <w:szCs w:val="20"/>
                <w:lang w:val="lt-LT"/>
              </w:rPr>
            </w:pPr>
          </w:p>
          <w:p w14:paraId="4F9A22EB" w14:textId="034EB96A" w:rsidR="00395157" w:rsidRPr="006C14E4" w:rsidRDefault="00395157" w:rsidP="00B0599D">
            <w:pPr>
              <w:ind w:left="74" w:firstLine="120"/>
              <w:jc w:val="both"/>
              <w:rPr>
                <w:rFonts w:eastAsia="Times New Roman"/>
                <w:color w:val="000000"/>
                <w:lang w:val="lt-LT" w:eastAsia="lt-LT"/>
              </w:rPr>
            </w:pPr>
            <w:r w:rsidRPr="00DB21E1">
              <w:rPr>
                <w:b/>
                <w:bCs/>
                <w:lang w:val="lt-LT"/>
              </w:rPr>
              <w:t>Klausimo esmė:</w:t>
            </w:r>
          </w:p>
          <w:p w14:paraId="6BD3B97E" w14:textId="3EEB5D73" w:rsidR="007E7EFC" w:rsidRPr="007E7EFC" w:rsidRDefault="007E7EFC" w:rsidP="00CC449D">
            <w:pPr>
              <w:ind w:left="190" w:right="60"/>
              <w:jc w:val="both"/>
              <w:rPr>
                <w:rFonts w:eastAsia="Times New Roman"/>
                <w:color w:val="000000"/>
                <w:lang w:val="lt-LT" w:eastAsia="lt-LT"/>
              </w:rPr>
            </w:pPr>
            <w:r>
              <w:rPr>
                <w:rFonts w:eastAsia="Times New Roman"/>
                <w:color w:val="000000"/>
                <w:lang w:val="lt-LT" w:eastAsia="lt-LT"/>
              </w:rPr>
              <w:lastRenderedPageBreak/>
              <w:t xml:space="preserve">Bus skelbiama </w:t>
            </w:r>
            <w:r w:rsidRPr="007E7EFC">
              <w:rPr>
                <w:rFonts w:eastAsia="Times New Roman"/>
                <w:color w:val="000000"/>
                <w:lang w:val="lt-LT" w:eastAsia="lt-LT"/>
              </w:rPr>
              <w:t xml:space="preserve">atnaujinta informacija apie Europos prokuratūros steigimą ir veiklą, kaip numatyta Reglamente (ES) 2017/1939, </w:t>
            </w:r>
            <w:r w:rsidR="00D62D4E">
              <w:rPr>
                <w:rFonts w:eastAsia="Times New Roman"/>
                <w:color w:val="000000"/>
                <w:lang w:val="lt-LT" w:eastAsia="lt-LT"/>
              </w:rPr>
              <w:t xml:space="preserve">už laikotarpį </w:t>
            </w:r>
            <w:r w:rsidRPr="007E7EFC">
              <w:rPr>
                <w:rFonts w:eastAsia="Times New Roman"/>
                <w:color w:val="000000"/>
                <w:lang w:val="lt-LT" w:eastAsia="lt-LT"/>
              </w:rPr>
              <w:t>nuo 2021 m. rugsėjo 23 d. ir iki 2021 m. lapkričio 25 d.</w:t>
            </w:r>
            <w:r>
              <w:rPr>
                <w:rFonts w:eastAsia="Times New Roman"/>
                <w:color w:val="000000"/>
                <w:lang w:val="lt-LT" w:eastAsia="lt-LT"/>
              </w:rPr>
              <w:t xml:space="preserve"> </w:t>
            </w:r>
          </w:p>
          <w:p w14:paraId="1426277B" w14:textId="25548E8F" w:rsidR="007E7EFC" w:rsidRPr="007E7EFC" w:rsidRDefault="00D62D4E" w:rsidP="00CC449D">
            <w:pPr>
              <w:ind w:left="190" w:right="60"/>
              <w:jc w:val="both"/>
              <w:rPr>
                <w:rFonts w:eastAsia="Times New Roman"/>
                <w:color w:val="000000"/>
                <w:lang w:val="lt-LT" w:eastAsia="lt-LT"/>
              </w:rPr>
            </w:pPr>
            <w:r>
              <w:rPr>
                <w:rFonts w:eastAsia="Times New Roman"/>
                <w:color w:val="000000"/>
                <w:lang w:val="lt-LT" w:eastAsia="lt-LT"/>
              </w:rPr>
              <w:t>N</w:t>
            </w:r>
            <w:r w:rsidR="007E7EFC" w:rsidRPr="007E7EFC">
              <w:rPr>
                <w:rFonts w:eastAsia="Times New Roman"/>
                <w:color w:val="000000"/>
                <w:lang w:val="lt-LT" w:eastAsia="lt-LT"/>
              </w:rPr>
              <w:t>uo veiklos pradžios EPPO išnagrinėjo 2316 nusikalstamų veikų pranešimus ir pradėjo 431 tyrimą dėl sukčiavimo, kenkiančio Sąjungos finansiniams interesams, maždaug 5,1 mlrd. Eurų.</w:t>
            </w:r>
            <w:r>
              <w:rPr>
                <w:rFonts w:eastAsia="Times New Roman"/>
                <w:color w:val="000000"/>
                <w:lang w:val="lt-LT" w:eastAsia="lt-LT"/>
              </w:rPr>
              <w:t xml:space="preserve"> Beveik</w:t>
            </w:r>
            <w:r w:rsidR="007E7EFC" w:rsidRPr="007E7EFC">
              <w:rPr>
                <w:rFonts w:eastAsia="Times New Roman"/>
                <w:color w:val="000000"/>
                <w:lang w:val="lt-LT" w:eastAsia="lt-LT"/>
              </w:rPr>
              <w:t xml:space="preserve"> visos dalyvaujančios valstybės narės priėmė teisės aktus, skirtus nacionalinėms teisingumo sistemoms pritaikyti prie Reglamento (ES) 2017/1939. Liuksemburge tebevyksta teisėkūros procedūra. Komisija stebi valstybių narių priimtas arba priimamas teisines ir administracines priemones. </w:t>
            </w:r>
            <w:r>
              <w:rPr>
                <w:rFonts w:eastAsia="Times New Roman"/>
                <w:color w:val="000000"/>
                <w:lang w:val="lt-LT" w:eastAsia="lt-LT"/>
              </w:rPr>
              <w:t>I</w:t>
            </w:r>
            <w:r w:rsidR="007E7EFC" w:rsidRPr="007E7EFC">
              <w:rPr>
                <w:rFonts w:eastAsia="Times New Roman"/>
                <w:color w:val="000000"/>
                <w:lang w:val="lt-LT" w:eastAsia="lt-LT"/>
              </w:rPr>
              <w:t>ki 2021 m. lapkričio 24 d. buvo paskirta 100 E</w:t>
            </w:r>
            <w:r>
              <w:rPr>
                <w:rFonts w:eastAsia="Times New Roman"/>
                <w:color w:val="000000"/>
                <w:lang w:val="lt-LT" w:eastAsia="lt-LT"/>
              </w:rPr>
              <w:t>uropos deleguotųjų prokurorų (</w:t>
            </w:r>
            <w:r w:rsidR="007E7EFC" w:rsidRPr="007E7EFC">
              <w:rPr>
                <w:rFonts w:eastAsia="Times New Roman"/>
                <w:color w:val="000000"/>
                <w:lang w:val="lt-LT" w:eastAsia="lt-LT"/>
              </w:rPr>
              <w:t>iš 140).</w:t>
            </w:r>
            <w:r>
              <w:rPr>
                <w:rFonts w:eastAsia="Times New Roman"/>
                <w:color w:val="000000"/>
                <w:lang w:val="lt-LT" w:eastAsia="lt-LT"/>
              </w:rPr>
              <w:t xml:space="preserve"> S</w:t>
            </w:r>
            <w:r w:rsidR="007E7EFC" w:rsidRPr="007E7EFC">
              <w:rPr>
                <w:rFonts w:eastAsia="Times New Roman"/>
                <w:color w:val="000000"/>
                <w:lang w:val="lt-LT" w:eastAsia="lt-LT"/>
              </w:rPr>
              <w:t>usitarta dėl galutinio 2022 m. ES biudžeto. Taikinimo procedūros metu ES įnašas į Europos prokuratūrą buvo padidintas 3,75 mln. EUR, kad būtų galima įdarbinti 118 papildomų darbuotojų, pasiūlytų taisomajame rašte. 2022 m. EPPO biudžetas siekia 57,1 mln.</w:t>
            </w:r>
          </w:p>
          <w:p w14:paraId="73A92963" w14:textId="1739607A" w:rsidR="007E7EFC" w:rsidRPr="007E7EFC" w:rsidRDefault="007E7EFC" w:rsidP="00CC449D">
            <w:pPr>
              <w:ind w:left="190" w:right="60"/>
              <w:jc w:val="both"/>
              <w:rPr>
                <w:rFonts w:eastAsia="Times New Roman"/>
                <w:color w:val="000000"/>
                <w:lang w:val="lt-LT" w:eastAsia="lt-LT"/>
              </w:rPr>
            </w:pPr>
            <w:r w:rsidRPr="007E7EFC">
              <w:rPr>
                <w:rFonts w:eastAsia="Times New Roman"/>
                <w:color w:val="000000"/>
                <w:lang w:val="lt-LT" w:eastAsia="lt-LT"/>
              </w:rPr>
              <w:t>EPPO pasirašė dvišalius darbo susitarimus su Komisija, OLAF, Eurojustu, Europolu ir Europos Audito Rūmais. Vyksta EPPO ir Europos investicijų banko derybos dėl darbo susitarimo</w:t>
            </w:r>
            <w:r w:rsidR="00D62D4E">
              <w:rPr>
                <w:rFonts w:eastAsia="Times New Roman"/>
                <w:color w:val="000000"/>
                <w:lang w:val="lt-LT" w:eastAsia="lt-LT"/>
              </w:rPr>
              <w:t xml:space="preserve">. </w:t>
            </w:r>
            <w:r w:rsidRPr="007E7EFC">
              <w:rPr>
                <w:rFonts w:eastAsia="Times New Roman"/>
                <w:color w:val="000000"/>
                <w:lang w:val="lt-LT" w:eastAsia="lt-LT"/>
              </w:rPr>
              <w:t>Europos Taryboje vyksta diskusijos, siekiant sudaryti naują dokumentą dėl bendradarbiavimo tarp EPPO ir valstybių, 1959 m. MLA konvencijos šalių, kompetentingų institucijų. Atsižvelgdama į tolesnius vidinius vertinimus ir pasikeitus nuomonėmis su kolegomis, Komisija planuoja informuoti Europos prokuratūrą kaip kompetentingą instituciją ir, jei reikia, centrinę instituciją pagal ES ir Japonijos bei ES ir JAV susitarimus dėl savitarpio teisinės pagalbos.</w:t>
            </w:r>
          </w:p>
          <w:p w14:paraId="5F51E87D" w14:textId="0F36ECC5" w:rsidR="00395157" w:rsidRPr="006C14E4" w:rsidRDefault="007E7EFC" w:rsidP="00CC449D">
            <w:pPr>
              <w:ind w:left="190" w:right="60"/>
              <w:jc w:val="both"/>
              <w:rPr>
                <w:rFonts w:eastAsia="Times New Roman"/>
                <w:color w:val="000000"/>
                <w:lang w:val="lt-LT" w:eastAsia="lt-LT"/>
              </w:rPr>
            </w:pPr>
            <w:r w:rsidRPr="007E7EFC">
              <w:rPr>
                <w:rFonts w:eastAsia="Times New Roman"/>
                <w:color w:val="000000"/>
                <w:lang w:val="lt-LT" w:eastAsia="lt-LT"/>
              </w:rPr>
              <w:t>Kalbant apie Direktyvą (ES) 2017/1371 dėl kovos su Sąjungos finansinių interesų sukčiavimu baudžiamosios teisės priemonėmis (PIF direktyva), visos Europos prokuratūroje dalyvaujančios valstybės narės pranešė apie jos visišką perkėlimą į nacionalinę teisę. įstatymas. Šiuo metu Komisija tikrina, kaip direktyva perkeliama į valstybių narių teisę.</w:t>
            </w:r>
          </w:p>
          <w:p w14:paraId="6450E7E3" w14:textId="77777777" w:rsidR="00395157" w:rsidRPr="00DB21E1" w:rsidRDefault="00395157" w:rsidP="007E7EFC">
            <w:pPr>
              <w:jc w:val="both"/>
              <w:textAlignment w:val="top"/>
              <w:rPr>
                <w:rFonts w:eastAsia="Times New Roman"/>
                <w:color w:val="000000"/>
                <w:lang w:val="lt-LT" w:eastAsia="lt-LT"/>
              </w:rPr>
            </w:pPr>
          </w:p>
          <w:p w14:paraId="0EDCDF90" w14:textId="77777777" w:rsidR="00395157" w:rsidRPr="00DB21E1" w:rsidRDefault="00395157" w:rsidP="008F01C8">
            <w:pPr>
              <w:pStyle w:val="BodyA"/>
              <w:ind w:left="198"/>
              <w:jc w:val="both"/>
              <w:rPr>
                <w:rFonts w:hAnsi="Times New Roman" w:cs="Times New Roman"/>
                <w:b/>
                <w:bCs/>
                <w:i/>
                <w:iCs/>
                <w:lang w:val="lt-LT"/>
              </w:rPr>
            </w:pPr>
            <w:r w:rsidRPr="00DB21E1">
              <w:rPr>
                <w:rFonts w:asciiTheme="majorBidi" w:hAnsiTheme="majorBidi"/>
                <w:b/>
                <w:bCs/>
                <w:szCs w:val="20"/>
                <w:lang w:val="lt-LT"/>
              </w:rPr>
              <w:t xml:space="preserve">Lietuvos pozicija: </w:t>
            </w:r>
            <w:r w:rsidRPr="00815AC7">
              <w:rPr>
                <w:rFonts w:asciiTheme="majorBidi" w:hAnsiTheme="majorBidi"/>
                <w:szCs w:val="20"/>
                <w:lang w:val="lt-LT"/>
              </w:rPr>
              <w:t>išklausyti informaciją</w:t>
            </w:r>
            <w:r w:rsidRPr="00DB21E1">
              <w:rPr>
                <w:rFonts w:asciiTheme="majorBidi" w:hAnsiTheme="majorBidi"/>
                <w:szCs w:val="20"/>
                <w:lang w:val="lt-LT"/>
              </w:rPr>
              <w:t>.</w:t>
            </w:r>
          </w:p>
        </w:tc>
      </w:tr>
    </w:tbl>
    <w:p w14:paraId="3AFD6B03" w14:textId="77777777" w:rsidR="00395157" w:rsidRPr="00DB21E1" w:rsidRDefault="00395157" w:rsidP="00FF3DD4">
      <w:pPr>
        <w:pStyle w:val="BodyA"/>
        <w:jc w:val="center"/>
        <w:rPr>
          <w:rFonts w:hAnsi="Times New Roman" w:cs="Times New Roman"/>
          <w:b/>
          <w:bCs/>
          <w:caps/>
          <w:lang w:val="lt-LT"/>
        </w:rPr>
      </w:pPr>
    </w:p>
    <w:p w14:paraId="65B0E2E0" w14:textId="77777777" w:rsidR="00FF3DD4" w:rsidRDefault="00FF3DD4" w:rsidP="00B34D34">
      <w:pPr>
        <w:pStyle w:val="BodyA"/>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FF3DD4" w:rsidRPr="00D475E3" w14:paraId="60AD5845" w14:textId="77777777" w:rsidTr="00A25118">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C85BD" w14:textId="77777777" w:rsidR="00FF3DD4" w:rsidRPr="00DB21E1" w:rsidRDefault="00FF3DD4" w:rsidP="00A25118">
            <w:pPr>
              <w:pStyle w:val="BodyA"/>
              <w:ind w:left="360"/>
              <w:jc w:val="both"/>
              <w:rPr>
                <w:rFonts w:hAnsi="Times New Roman" w:cs="Times New Roman"/>
                <w:i/>
                <w:iCs/>
                <w:lang w:val="lt-LT"/>
              </w:rPr>
            </w:pPr>
          </w:p>
          <w:p w14:paraId="4D9EF280" w14:textId="4BFC2919" w:rsidR="00815AC7" w:rsidRPr="00340E81" w:rsidRDefault="00815AC7" w:rsidP="00815AC7">
            <w:pPr>
              <w:tabs>
                <w:tab w:val="left" w:pos="554"/>
              </w:tabs>
              <w:ind w:firstLine="194"/>
              <w:rPr>
                <w:rFonts w:cstheme="minorBidi"/>
                <w:b/>
                <w:bCs/>
              </w:rPr>
            </w:pPr>
            <w:r w:rsidRPr="00340E81">
              <w:rPr>
                <w:rFonts w:cstheme="minorBidi"/>
                <w:b/>
                <w:bCs/>
              </w:rPr>
              <w:t>Kiti klausimai / AOB</w:t>
            </w:r>
          </w:p>
          <w:p w14:paraId="23C1912E" w14:textId="77777777" w:rsidR="00E463E7" w:rsidRDefault="00E463E7" w:rsidP="00815AC7">
            <w:pPr>
              <w:tabs>
                <w:tab w:val="left" w:pos="554"/>
              </w:tabs>
              <w:ind w:firstLine="194"/>
              <w:rPr>
                <w:rFonts w:eastAsiaTheme="minorHAnsi" w:cstheme="minorBidi"/>
                <w:bdr w:val="none" w:sz="0" w:space="0" w:color="auto"/>
                <w:lang w:val="en-GB"/>
              </w:rPr>
            </w:pPr>
          </w:p>
          <w:p w14:paraId="5EFAE144" w14:textId="7BDF1482" w:rsidR="00A5549B" w:rsidRPr="00340E81" w:rsidRDefault="00A5549B" w:rsidP="00313C3D">
            <w:pPr>
              <w:pStyle w:val="PointManual"/>
              <w:numPr>
                <w:ilvl w:val="0"/>
                <w:numId w:val="16"/>
              </w:numPr>
              <w:rPr>
                <w:b/>
                <w:bCs/>
              </w:rPr>
            </w:pPr>
            <w:r w:rsidRPr="00340E81">
              <w:rPr>
                <w:b/>
                <w:bCs/>
              </w:rPr>
              <w:t>ES ir Balkanų TVR ministrų susitikimas (Brdo, 2021 m. gruodžio 2–3 d.)</w:t>
            </w:r>
          </w:p>
          <w:p w14:paraId="437A37EF" w14:textId="795720F5" w:rsidR="004D669C" w:rsidRDefault="004D669C" w:rsidP="00C74D1F">
            <w:pPr>
              <w:pStyle w:val="PointManual"/>
              <w:ind w:left="761" w:firstLine="0"/>
            </w:pPr>
            <w:r>
              <w:t>EU-Western Balkans JHA Ministerial (Brdo, 2-3 December 2021)</w:t>
            </w:r>
          </w:p>
          <w:p w14:paraId="1E985735" w14:textId="77777777" w:rsidR="00C74D1F" w:rsidRDefault="00C74D1F" w:rsidP="00C74D1F">
            <w:pPr>
              <w:pStyle w:val="PointManual"/>
              <w:ind w:left="761" w:firstLine="0"/>
            </w:pPr>
          </w:p>
          <w:p w14:paraId="42C0A97C" w14:textId="25E2058C" w:rsidR="004D669C" w:rsidRDefault="00A5549B" w:rsidP="00C74D1F">
            <w:pPr>
              <w:tabs>
                <w:tab w:val="left" w:pos="556"/>
              </w:tabs>
              <w:ind w:left="761"/>
              <w:rPr>
                <w:rFonts w:asciiTheme="majorBidi" w:hAnsiTheme="majorBidi" w:cstheme="majorBidi"/>
                <w:i/>
                <w:iCs/>
              </w:rPr>
            </w:pPr>
            <w:r w:rsidRPr="00A5549B">
              <w:rPr>
                <w:rFonts w:asciiTheme="majorBidi" w:hAnsiTheme="majorBidi" w:cstheme="majorBidi"/>
                <w:i/>
                <w:iCs/>
              </w:rPr>
              <w:t>Pirmininkaujančios valstybės narės informacija</w:t>
            </w:r>
            <w:r>
              <w:rPr>
                <w:rFonts w:asciiTheme="majorBidi" w:hAnsiTheme="majorBidi" w:cstheme="majorBidi"/>
                <w:i/>
                <w:iCs/>
              </w:rPr>
              <w:t xml:space="preserve"> / </w:t>
            </w:r>
            <w:r w:rsidR="004D669C">
              <w:rPr>
                <w:rFonts w:asciiTheme="majorBidi" w:hAnsiTheme="majorBidi" w:cstheme="majorBidi"/>
                <w:i/>
                <w:iCs/>
              </w:rPr>
              <w:t>Debrief by the Presidency</w:t>
            </w:r>
          </w:p>
          <w:p w14:paraId="6AFB96A3" w14:textId="77777777" w:rsidR="00340E81" w:rsidRDefault="00340E81" w:rsidP="004D669C">
            <w:pPr>
              <w:tabs>
                <w:tab w:val="left" w:pos="556"/>
              </w:tabs>
              <w:ind w:left="556"/>
              <w:rPr>
                <w:rFonts w:asciiTheme="majorBidi" w:hAnsiTheme="majorBidi" w:cstheme="majorBidi"/>
                <w:i/>
                <w:iCs/>
              </w:rPr>
            </w:pPr>
          </w:p>
          <w:p w14:paraId="5834BA00" w14:textId="0C4343AC" w:rsidR="00340E81" w:rsidRDefault="00340E81" w:rsidP="00313C3D">
            <w:pPr>
              <w:pStyle w:val="PointManual"/>
              <w:numPr>
                <w:ilvl w:val="0"/>
                <w:numId w:val="16"/>
              </w:numPr>
              <w:tabs>
                <w:tab w:val="left" w:pos="477"/>
              </w:tabs>
            </w:pPr>
            <w:r w:rsidRPr="00340E81">
              <w:rPr>
                <w:b/>
                <w:bCs/>
              </w:rPr>
              <w:t>ES ir JAV teisingumo ir vidaus reikalų ministrų susitikimas</w:t>
            </w:r>
            <w:r>
              <w:t xml:space="preserve"> </w:t>
            </w:r>
          </w:p>
          <w:p w14:paraId="7432D5D5" w14:textId="2C0508F0" w:rsidR="004D669C" w:rsidRDefault="004D669C" w:rsidP="00C74D1F">
            <w:pPr>
              <w:pStyle w:val="PointManual"/>
              <w:tabs>
                <w:tab w:val="left" w:pos="761"/>
              </w:tabs>
              <w:ind w:left="619" w:firstLine="142"/>
              <w:rPr>
                <w:lang w:val="en-ZW" w:eastAsia="fr-BE"/>
              </w:rPr>
            </w:pPr>
            <w:r>
              <w:rPr>
                <w:lang w:val="en-ZW" w:eastAsia="fr-BE"/>
              </w:rPr>
              <w:t>EU-US Justice and Home Affairs Ministerial Meeting</w:t>
            </w:r>
          </w:p>
          <w:p w14:paraId="5D4239C6" w14:textId="55565E00" w:rsidR="004D669C" w:rsidRDefault="00340E81" w:rsidP="00C74D1F">
            <w:pPr>
              <w:tabs>
                <w:tab w:val="left" w:pos="556"/>
              </w:tabs>
              <w:ind w:left="619" w:firstLine="142"/>
              <w:rPr>
                <w:rFonts w:asciiTheme="majorBidi" w:eastAsia="Times New Roman" w:hAnsiTheme="majorBidi" w:cstheme="majorBidi"/>
                <w:lang w:val="en-ZW" w:eastAsia="fr-BE"/>
              </w:rPr>
            </w:pPr>
            <w:r w:rsidRPr="00340E81">
              <w:rPr>
                <w:rFonts w:asciiTheme="majorBidi" w:eastAsia="Times New Roman" w:hAnsiTheme="majorBidi" w:cstheme="majorBidi"/>
                <w:lang w:val="en-ZW" w:eastAsia="fr-BE"/>
              </w:rPr>
              <w:t xml:space="preserve">(Vašingtonas, 2021 m. gruodžio 16 d.) </w:t>
            </w:r>
            <w:r>
              <w:rPr>
                <w:rFonts w:asciiTheme="majorBidi" w:eastAsia="Times New Roman" w:hAnsiTheme="majorBidi" w:cstheme="majorBidi"/>
                <w:lang w:val="en-ZW" w:eastAsia="fr-BE"/>
              </w:rPr>
              <w:t xml:space="preserve">/ </w:t>
            </w:r>
            <w:r w:rsidR="004D669C">
              <w:rPr>
                <w:rFonts w:asciiTheme="majorBidi" w:eastAsia="Times New Roman" w:hAnsiTheme="majorBidi" w:cstheme="majorBidi"/>
                <w:lang w:val="en-ZW" w:eastAsia="fr-BE"/>
              </w:rPr>
              <w:t>(Washington, 16 December 2021)</w:t>
            </w:r>
          </w:p>
          <w:p w14:paraId="6D61065B" w14:textId="77777777" w:rsidR="00C74D1F" w:rsidRDefault="00C74D1F" w:rsidP="00C74D1F">
            <w:pPr>
              <w:tabs>
                <w:tab w:val="left" w:pos="556"/>
              </w:tabs>
              <w:ind w:left="619" w:firstLine="142"/>
              <w:rPr>
                <w:rFonts w:asciiTheme="majorBidi" w:hAnsiTheme="majorBidi" w:cstheme="majorBidi"/>
                <w:i/>
                <w:iCs/>
                <w:lang w:val="en-GB"/>
              </w:rPr>
            </w:pPr>
          </w:p>
          <w:p w14:paraId="50AF4243" w14:textId="50CECFB1" w:rsidR="004D669C" w:rsidRDefault="00340E81" w:rsidP="00C74D1F">
            <w:pPr>
              <w:tabs>
                <w:tab w:val="left" w:pos="556"/>
              </w:tabs>
              <w:ind w:left="619" w:firstLine="142"/>
              <w:rPr>
                <w:i/>
                <w:iCs/>
                <w:lang w:val="en-ZW"/>
              </w:rPr>
            </w:pPr>
            <w:r>
              <w:rPr>
                <w:rFonts w:asciiTheme="majorBidi" w:hAnsiTheme="majorBidi"/>
                <w:i/>
                <w:iCs/>
              </w:rPr>
              <w:t xml:space="preserve">Pirmininkaujančios valstybės narės informacija / </w:t>
            </w:r>
            <w:r w:rsidR="004D669C">
              <w:rPr>
                <w:i/>
                <w:iCs/>
                <w:lang w:val="en-ZW"/>
              </w:rPr>
              <w:t>Information from the Presidency</w:t>
            </w:r>
          </w:p>
          <w:p w14:paraId="2902A978" w14:textId="77777777" w:rsidR="00340E81" w:rsidRPr="00340E81" w:rsidRDefault="00340E81" w:rsidP="00340E81">
            <w:pPr>
              <w:tabs>
                <w:tab w:val="left" w:pos="556"/>
              </w:tabs>
              <w:ind w:left="556"/>
              <w:rPr>
                <w:rFonts w:asciiTheme="majorBidi" w:eastAsiaTheme="minorHAnsi" w:hAnsiTheme="majorBidi" w:cstheme="majorBidi"/>
                <w:i/>
                <w:iCs/>
                <w:bdr w:val="none" w:sz="0" w:space="0" w:color="auto"/>
                <w:lang w:val="lt-LT"/>
              </w:rPr>
            </w:pPr>
          </w:p>
          <w:p w14:paraId="6E8DDC4E" w14:textId="1FF61A34" w:rsidR="004D669C" w:rsidRDefault="00340E81" w:rsidP="00313C3D">
            <w:pPr>
              <w:pStyle w:val="PointManual"/>
              <w:numPr>
                <w:ilvl w:val="0"/>
                <w:numId w:val="16"/>
              </w:numPr>
              <w:tabs>
                <w:tab w:val="left" w:pos="761"/>
              </w:tabs>
            </w:pPr>
            <w:r w:rsidRPr="00340E81">
              <w:rPr>
                <w:b/>
                <w:bCs/>
              </w:rPr>
              <w:t>Būsimi pasiūlymai teisingumo srityje</w:t>
            </w:r>
            <w:r>
              <w:t xml:space="preserve"> / </w:t>
            </w:r>
            <w:r w:rsidR="004D669C">
              <w:t xml:space="preserve">Future </w:t>
            </w:r>
            <w:r w:rsidR="00ED2109">
              <w:t>P</w:t>
            </w:r>
            <w:r w:rsidR="004D669C">
              <w:t xml:space="preserve">roposals in the </w:t>
            </w:r>
            <w:r w:rsidR="00ED2109">
              <w:t>A</w:t>
            </w:r>
            <w:r w:rsidR="004D669C">
              <w:t xml:space="preserve">rea of </w:t>
            </w:r>
            <w:r w:rsidR="00ED2109">
              <w:t>J</w:t>
            </w:r>
            <w:r w:rsidR="004D669C">
              <w:t>ustice</w:t>
            </w:r>
          </w:p>
          <w:p w14:paraId="6236243E" w14:textId="77777777" w:rsidR="00C74D1F" w:rsidRDefault="00C74D1F" w:rsidP="00C74D1F">
            <w:pPr>
              <w:tabs>
                <w:tab w:val="left" w:pos="556"/>
              </w:tabs>
              <w:ind w:left="556" w:firstLine="205"/>
              <w:rPr>
                <w:rFonts w:asciiTheme="majorBidi" w:hAnsiTheme="majorBidi"/>
                <w:i/>
                <w:iCs/>
              </w:rPr>
            </w:pPr>
          </w:p>
          <w:p w14:paraId="53497F9D" w14:textId="3E3DC187" w:rsidR="004D669C" w:rsidRDefault="00340E81" w:rsidP="00C74D1F">
            <w:pPr>
              <w:tabs>
                <w:tab w:val="left" w:pos="556"/>
              </w:tabs>
              <w:ind w:left="556" w:firstLine="205"/>
              <w:rPr>
                <w:rFonts w:asciiTheme="majorBidi" w:hAnsiTheme="majorBidi" w:cstheme="majorBidi"/>
                <w:i/>
                <w:iCs/>
              </w:rPr>
            </w:pPr>
            <w:r w:rsidRPr="001F6269">
              <w:rPr>
                <w:rFonts w:asciiTheme="majorBidi" w:hAnsiTheme="majorBidi"/>
                <w:i/>
                <w:iCs/>
              </w:rPr>
              <w:t>Komisijos informacija</w:t>
            </w:r>
            <w:r>
              <w:rPr>
                <w:rFonts w:asciiTheme="majorBidi" w:hAnsiTheme="majorBidi"/>
                <w:i/>
                <w:iCs/>
              </w:rPr>
              <w:t xml:space="preserve"> / </w:t>
            </w:r>
            <w:r w:rsidR="004D669C">
              <w:rPr>
                <w:rFonts w:asciiTheme="majorBidi" w:hAnsiTheme="majorBidi" w:cstheme="majorBidi"/>
                <w:i/>
                <w:iCs/>
              </w:rPr>
              <w:t>Information from the Commission</w:t>
            </w:r>
          </w:p>
          <w:p w14:paraId="009D110F" w14:textId="77777777" w:rsidR="00340E81" w:rsidRPr="00340E81" w:rsidRDefault="00340E81" w:rsidP="00340E81">
            <w:pPr>
              <w:tabs>
                <w:tab w:val="left" w:pos="556"/>
              </w:tabs>
              <w:ind w:left="556"/>
              <w:rPr>
                <w:rFonts w:asciiTheme="majorBidi" w:eastAsiaTheme="minorHAnsi" w:hAnsiTheme="majorBidi" w:cstheme="majorBidi"/>
                <w:i/>
                <w:iCs/>
              </w:rPr>
            </w:pPr>
          </w:p>
          <w:p w14:paraId="45B19DCD" w14:textId="6C2D7ECC" w:rsidR="004D669C" w:rsidRPr="00762FE0" w:rsidRDefault="00340E81" w:rsidP="00762FE0">
            <w:pPr>
              <w:pStyle w:val="PointManual"/>
              <w:numPr>
                <w:ilvl w:val="0"/>
                <w:numId w:val="16"/>
              </w:numPr>
              <w:ind w:left="730"/>
              <w:rPr>
                <w:lang w:val="en-ZW" w:eastAsia="fr-BE"/>
              </w:rPr>
            </w:pPr>
            <w:r w:rsidRPr="00762FE0">
              <w:rPr>
                <w:b/>
                <w:bCs/>
                <w:lang w:val="en-ZW" w:eastAsia="fr-BE"/>
              </w:rPr>
              <w:t>2021 m. metinė ES pagrindinių teisių chartijos taikymo ataskaita. Pagrindinių teisių apsauga skaitmeniniame amžiuje</w:t>
            </w:r>
            <w:r w:rsidRPr="00762FE0">
              <w:rPr>
                <w:lang w:val="en-ZW" w:eastAsia="fr-BE"/>
              </w:rPr>
              <w:t xml:space="preserve"> </w:t>
            </w:r>
            <w:r w:rsidR="00762FE0" w:rsidRPr="00762FE0">
              <w:rPr>
                <w:lang w:val="en-ZW" w:eastAsia="fr-BE"/>
              </w:rPr>
              <w:t xml:space="preserve">/ </w:t>
            </w:r>
            <w:r w:rsidR="004D669C" w:rsidRPr="00762FE0">
              <w:rPr>
                <w:lang w:val="en-ZW" w:eastAsia="fr-BE"/>
              </w:rPr>
              <w:t xml:space="preserve">2021 Annual Report on the application </w:t>
            </w:r>
            <w:r w:rsidR="004D669C" w:rsidRPr="00762FE0">
              <w:rPr>
                <w:lang w:val="en-ZW" w:eastAsia="fr-BE"/>
              </w:rPr>
              <w:lastRenderedPageBreak/>
              <w:t>of the EU Charter of Fundamental Rights: protecting fundamental rights in the digital age</w:t>
            </w:r>
            <w:r w:rsidRPr="00762FE0">
              <w:rPr>
                <w:lang w:val="en-ZW" w:eastAsia="fr-BE"/>
              </w:rPr>
              <w:t xml:space="preserve"> </w:t>
            </w:r>
          </w:p>
          <w:p w14:paraId="30C44938" w14:textId="77777777" w:rsidR="00C74D1F" w:rsidRDefault="00C74D1F" w:rsidP="00C74D1F">
            <w:pPr>
              <w:tabs>
                <w:tab w:val="left" w:pos="556"/>
              </w:tabs>
              <w:ind w:left="556" w:firstLine="205"/>
              <w:rPr>
                <w:i/>
                <w:iCs/>
                <w:szCs w:val="22"/>
              </w:rPr>
            </w:pPr>
          </w:p>
          <w:p w14:paraId="49FF8D4D" w14:textId="5219544F" w:rsidR="004D669C" w:rsidRDefault="00340E81" w:rsidP="00C74D1F">
            <w:pPr>
              <w:tabs>
                <w:tab w:val="left" w:pos="556"/>
              </w:tabs>
              <w:ind w:left="556" w:firstLine="205"/>
              <w:rPr>
                <w:i/>
                <w:iCs/>
                <w:lang w:val="en-ZW" w:eastAsia="fr-BE"/>
              </w:rPr>
            </w:pPr>
            <w:r w:rsidRPr="001F6269">
              <w:rPr>
                <w:i/>
                <w:iCs/>
                <w:szCs w:val="22"/>
              </w:rPr>
              <w:t>Komisijos informacija</w:t>
            </w:r>
            <w:r>
              <w:rPr>
                <w:i/>
                <w:iCs/>
                <w:szCs w:val="22"/>
              </w:rPr>
              <w:t xml:space="preserve"> / </w:t>
            </w:r>
            <w:r w:rsidR="004D669C">
              <w:rPr>
                <w:i/>
                <w:iCs/>
                <w:lang w:val="en-ZW" w:eastAsia="fr-BE"/>
              </w:rPr>
              <w:t>Information from the Commission</w:t>
            </w:r>
          </w:p>
          <w:p w14:paraId="2FD15274" w14:textId="77777777" w:rsidR="00313C3D" w:rsidRDefault="00313C3D" w:rsidP="00C74D1F">
            <w:pPr>
              <w:tabs>
                <w:tab w:val="left" w:pos="556"/>
              </w:tabs>
              <w:ind w:left="556"/>
              <w:rPr>
                <w:rFonts w:asciiTheme="majorBidi" w:hAnsiTheme="majorBidi" w:cstheme="majorBidi"/>
                <w:i/>
                <w:iCs/>
                <w:lang w:val="en-GB"/>
              </w:rPr>
            </w:pPr>
          </w:p>
          <w:p w14:paraId="6BDC95EA" w14:textId="2466F8EC" w:rsidR="004D669C" w:rsidRPr="00762FE0" w:rsidRDefault="00340E81" w:rsidP="00762FE0">
            <w:pPr>
              <w:pStyle w:val="PointManual"/>
              <w:numPr>
                <w:ilvl w:val="0"/>
                <w:numId w:val="16"/>
              </w:numPr>
              <w:tabs>
                <w:tab w:val="left" w:pos="761"/>
              </w:tabs>
              <w:ind w:left="761" w:hanging="301"/>
              <w:rPr>
                <w:rFonts w:asciiTheme="majorBidi" w:hAnsiTheme="majorBidi" w:cstheme="majorBidi"/>
              </w:rPr>
            </w:pPr>
            <w:r w:rsidRPr="00762FE0">
              <w:rPr>
                <w:rFonts w:asciiTheme="majorBidi" w:hAnsiTheme="majorBidi"/>
                <w:b/>
                <w:bCs/>
              </w:rPr>
              <w:t>Pirmininkausiančios valstybės narės darbo programa</w:t>
            </w:r>
            <w:r w:rsidRPr="00762FE0">
              <w:rPr>
                <w:rFonts w:asciiTheme="majorBidi" w:hAnsiTheme="majorBidi" w:cstheme="majorBidi"/>
              </w:rPr>
              <w:t xml:space="preserve"> / </w:t>
            </w:r>
            <w:r w:rsidR="004D669C" w:rsidRPr="00762FE0">
              <w:rPr>
                <w:rFonts w:asciiTheme="majorBidi" w:hAnsiTheme="majorBidi" w:cstheme="majorBidi"/>
              </w:rPr>
              <w:t>Work programme of the incoming Presidency</w:t>
            </w:r>
          </w:p>
          <w:p w14:paraId="438BD90C" w14:textId="77777777" w:rsidR="00C74D1F" w:rsidRDefault="00C74D1F" w:rsidP="00C74D1F">
            <w:pPr>
              <w:tabs>
                <w:tab w:val="left" w:pos="761"/>
              </w:tabs>
              <w:ind w:firstLine="761"/>
              <w:contextualSpacing/>
              <w:rPr>
                <w:rFonts w:asciiTheme="majorBidi" w:hAnsiTheme="majorBidi"/>
                <w:i/>
                <w:iCs/>
              </w:rPr>
            </w:pPr>
          </w:p>
          <w:p w14:paraId="79E6BC72" w14:textId="7539C01C" w:rsidR="00815AC7" w:rsidRPr="00340E81" w:rsidRDefault="00340E81" w:rsidP="00C74D1F">
            <w:pPr>
              <w:tabs>
                <w:tab w:val="left" w:pos="761"/>
              </w:tabs>
              <w:ind w:firstLine="761"/>
              <w:contextualSpacing/>
            </w:pPr>
            <w:r w:rsidRPr="00340E81">
              <w:rPr>
                <w:rFonts w:asciiTheme="majorBidi" w:hAnsiTheme="majorBidi"/>
                <w:i/>
                <w:iCs/>
              </w:rPr>
              <w:t>Prancūzijos pristatymas</w:t>
            </w:r>
            <w:r w:rsidRPr="00340E81">
              <w:rPr>
                <w:rFonts w:asciiTheme="majorBidi" w:hAnsiTheme="majorBidi" w:cstheme="majorBidi"/>
                <w:i/>
                <w:iCs/>
              </w:rPr>
              <w:t xml:space="preserve"> / </w:t>
            </w:r>
            <w:r w:rsidR="004D669C" w:rsidRPr="00340E81">
              <w:rPr>
                <w:rFonts w:asciiTheme="majorBidi" w:hAnsiTheme="majorBidi" w:cstheme="majorBidi"/>
                <w:i/>
                <w:iCs/>
              </w:rPr>
              <w:t>Presentation by France</w:t>
            </w:r>
          </w:p>
          <w:p w14:paraId="3ECCA014" w14:textId="77777777" w:rsidR="00815AC7" w:rsidRDefault="00815AC7" w:rsidP="00815AC7">
            <w:pPr>
              <w:pStyle w:val="BodyA"/>
              <w:ind w:left="194"/>
              <w:jc w:val="both"/>
              <w:rPr>
                <w:rFonts w:hAnsi="Times New Roman" w:cs="Times New Roman"/>
                <w:i/>
                <w:iCs/>
                <w:lang w:val="lt-LT"/>
              </w:rPr>
            </w:pPr>
          </w:p>
          <w:p w14:paraId="3480FE07" w14:textId="7BE4435F" w:rsidR="00FF3DD4" w:rsidRPr="00815AC7" w:rsidRDefault="00FF3DD4" w:rsidP="00A25118">
            <w:pPr>
              <w:pStyle w:val="BodyA"/>
              <w:ind w:left="194"/>
              <w:rPr>
                <w:rFonts w:hAnsi="Times New Roman" w:cs="Times New Roman"/>
                <w:lang w:val="lt-LT"/>
              </w:rPr>
            </w:pPr>
            <w:r>
              <w:rPr>
                <w:rFonts w:hAnsi="Times New Roman" w:cs="Times New Roman"/>
                <w:b/>
                <w:bCs/>
                <w:lang w:val="lt-LT"/>
              </w:rPr>
              <w:t>Lietuvos pozicija:</w:t>
            </w:r>
            <w:r w:rsidR="00815AC7">
              <w:rPr>
                <w:rFonts w:hAnsi="Times New Roman" w:cs="Times New Roman"/>
                <w:b/>
                <w:bCs/>
                <w:lang w:val="lt-LT"/>
              </w:rPr>
              <w:t xml:space="preserve"> </w:t>
            </w:r>
            <w:r w:rsidR="00815AC7" w:rsidRPr="00815AC7">
              <w:rPr>
                <w:rFonts w:hAnsi="Times New Roman" w:cs="Times New Roman"/>
                <w:lang w:val="lt-LT"/>
              </w:rPr>
              <w:t>išklausyti informaciją.</w:t>
            </w:r>
          </w:p>
          <w:p w14:paraId="756FE4E7" w14:textId="3743FEA3" w:rsidR="00FF3DD4" w:rsidRPr="00DB21E1" w:rsidRDefault="00FF3DD4" w:rsidP="00815AC7">
            <w:pPr>
              <w:pStyle w:val="BodyA"/>
              <w:tabs>
                <w:tab w:val="left" w:pos="619"/>
              </w:tabs>
              <w:rPr>
                <w:rFonts w:hAnsi="Times New Roman" w:cs="Times New Roman"/>
                <w:b/>
                <w:bCs/>
                <w:lang w:val="lt-LT"/>
              </w:rPr>
            </w:pPr>
            <w:r w:rsidRPr="000F4EC6">
              <w:rPr>
                <w:rFonts w:hAnsi="Times New Roman" w:cs="Times New Roman"/>
                <w:b/>
                <w:bCs/>
                <w:lang w:val="lt-LT"/>
              </w:rPr>
              <w:t xml:space="preserve"> </w:t>
            </w:r>
          </w:p>
        </w:tc>
      </w:tr>
    </w:tbl>
    <w:p w14:paraId="7D94B186" w14:textId="77777777" w:rsidR="00FF3DD4" w:rsidRPr="00DB21E1" w:rsidRDefault="00FF3DD4" w:rsidP="00FF3DD4">
      <w:pPr>
        <w:pStyle w:val="BodyA"/>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862D96" w:rsidRPr="00766BE7" w14:paraId="786B4A45" w14:textId="77777777" w:rsidTr="00092F15">
        <w:trPr>
          <w:trHeight w:val="1049"/>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bl>
            <w:tblPr>
              <w:tblStyle w:val="TableGrid3"/>
              <w:tblW w:w="122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862D96" w:rsidRPr="00CC0E56" w14:paraId="13BC0DA0" w14:textId="77777777" w:rsidTr="00092F15">
              <w:trPr>
                <w:trHeight w:val="631"/>
              </w:trPr>
              <w:tc>
                <w:tcPr>
                  <w:tcW w:w="9071" w:type="dxa"/>
                  <w:tcMar>
                    <w:top w:w="284" w:type="dxa"/>
                    <w:left w:w="113" w:type="dxa"/>
                    <w:bottom w:w="0" w:type="dxa"/>
                    <w:right w:w="113" w:type="dxa"/>
                  </w:tcMar>
                  <w:hideMark/>
                </w:tcPr>
                <w:p w14:paraId="02BE754F" w14:textId="77777777" w:rsidR="00862D96" w:rsidRPr="0035705B" w:rsidRDefault="00862D96" w:rsidP="00092F15">
                  <w:pPr>
                    <w:framePr w:hSpace="180" w:wrap="around" w:vAnchor="text" w:hAnchor="margin" w:y="196"/>
                    <w:ind w:left="74"/>
                    <w:rPr>
                      <w:b/>
                      <w:bCs/>
                      <w:szCs w:val="20"/>
                    </w:rPr>
                  </w:pPr>
                  <w:r w:rsidRPr="004257DB">
                    <w:rPr>
                      <w:b/>
                      <w:bCs/>
                      <w:szCs w:val="20"/>
                      <w:lang w:val="lt-LT"/>
                    </w:rPr>
                    <w:t xml:space="preserve">Kova su neapykantą kurstančia retorika ir neapykantos nusikaltimais siekiant įtraukios ir geresnę apsaugą užtikrinančios Europos / </w:t>
                  </w:r>
                  <w:r w:rsidRPr="004257DB">
                    <w:rPr>
                      <w:b/>
                      <w:bCs/>
                      <w:szCs w:val="20"/>
                    </w:rPr>
                    <w:t>Combating hate speech and hate crime for a more inclusive and protective Europe</w:t>
                  </w:r>
                </w:p>
                <w:p w14:paraId="5FA71C42" w14:textId="77777777" w:rsidR="00862D96" w:rsidRDefault="00862D96" w:rsidP="00092F15">
                  <w:pPr>
                    <w:framePr w:hSpace="180" w:wrap="around" w:vAnchor="text" w:hAnchor="margin" w:y="196"/>
                    <w:ind w:left="74"/>
                    <w:rPr>
                      <w:i/>
                      <w:iCs/>
                    </w:rPr>
                  </w:pPr>
                  <w:r>
                    <w:rPr>
                      <w:i/>
                      <w:iCs/>
                    </w:rPr>
                    <w:t>(Ministrų pietų tema)</w:t>
                  </w:r>
                </w:p>
                <w:p w14:paraId="28F3F18A" w14:textId="77777777" w:rsidR="00862D96" w:rsidRPr="00062941" w:rsidRDefault="00862D96" w:rsidP="00092F15">
                  <w:pPr>
                    <w:framePr w:hSpace="180" w:wrap="around" w:vAnchor="text" w:hAnchor="margin" w:y="196"/>
                    <w:ind w:left="74"/>
                    <w:rPr>
                      <w:i/>
                      <w:iCs/>
                      <w:lang w:val="lt-LT"/>
                    </w:rPr>
                  </w:pPr>
                </w:p>
                <w:p w14:paraId="3185F248" w14:textId="77777777" w:rsidR="00862D96" w:rsidRPr="00815AC7" w:rsidRDefault="00862D96" w:rsidP="00092F15">
                  <w:pPr>
                    <w:framePr w:hSpace="180" w:wrap="around" w:vAnchor="text" w:hAnchor="margin" w:y="196"/>
                    <w:ind w:left="74"/>
                    <w:rPr>
                      <w:i/>
                      <w:iCs/>
                      <w:szCs w:val="20"/>
                    </w:rPr>
                  </w:pPr>
                  <w:r>
                    <w:rPr>
                      <w:i/>
                      <w:iCs/>
                    </w:rPr>
                    <w:t>Pasikeitimas nuomonėmis</w:t>
                  </w:r>
                  <w:r w:rsidRPr="00815AC7">
                    <w:rPr>
                      <w:i/>
                      <w:iCs/>
                      <w:szCs w:val="20"/>
                    </w:rPr>
                    <w:t xml:space="preserve"> </w:t>
                  </w:r>
                  <w:r>
                    <w:rPr>
                      <w:i/>
                      <w:iCs/>
                      <w:szCs w:val="20"/>
                    </w:rPr>
                    <w:t xml:space="preserve">/ </w:t>
                  </w:r>
                  <w:r>
                    <w:rPr>
                      <w:i/>
                      <w:iCs/>
                    </w:rPr>
                    <w:t>Exchange of views</w:t>
                  </w:r>
                </w:p>
                <w:p w14:paraId="7AAC8201" w14:textId="77777777" w:rsidR="00862D96" w:rsidRPr="00DB21E1" w:rsidRDefault="00862D96" w:rsidP="00092F15">
                  <w:pPr>
                    <w:framePr w:hSpace="180" w:wrap="around" w:vAnchor="text" w:hAnchor="margin" w:y="196"/>
                    <w:ind w:left="74"/>
                  </w:pPr>
                </w:p>
              </w:tc>
              <w:tc>
                <w:tcPr>
                  <w:tcW w:w="1019" w:type="dxa"/>
                  <w:tcMar>
                    <w:top w:w="284" w:type="dxa"/>
                    <w:left w:w="28" w:type="dxa"/>
                    <w:bottom w:w="0" w:type="dxa"/>
                    <w:right w:w="113" w:type="dxa"/>
                  </w:tcMar>
                </w:tcPr>
                <w:p w14:paraId="47045600" w14:textId="77777777" w:rsidR="00862D96" w:rsidRPr="00DB21E1" w:rsidRDefault="00862D96" w:rsidP="00092F15">
                  <w:pPr>
                    <w:framePr w:hSpace="180" w:wrap="around" w:vAnchor="text" w:hAnchor="margin" w:y="196"/>
                    <w:ind w:left="194"/>
                    <w:jc w:val="right"/>
                    <w:rPr>
                      <w:rFonts w:asciiTheme="majorBidi" w:hAnsiTheme="majorBidi" w:cstheme="majorBidi"/>
                      <w:noProof/>
                    </w:rPr>
                  </w:pPr>
                </w:p>
                <w:p w14:paraId="0C641EBC" w14:textId="77777777" w:rsidR="00862D96" w:rsidRPr="00DB21E1" w:rsidRDefault="00862D96" w:rsidP="00092F15">
                  <w:pPr>
                    <w:framePr w:hSpace="180" w:wrap="around" w:vAnchor="text" w:hAnchor="margin" w:y="196"/>
                    <w:ind w:left="194"/>
                    <w:jc w:val="right"/>
                    <w:rPr>
                      <w:noProof/>
                      <w:szCs w:val="20"/>
                      <w:lang w:eastAsia="en-GB"/>
                    </w:rPr>
                  </w:pPr>
                </w:p>
              </w:tc>
              <w:tc>
                <w:tcPr>
                  <w:tcW w:w="2127" w:type="dxa"/>
                  <w:tcMar>
                    <w:top w:w="284" w:type="dxa"/>
                    <w:left w:w="113" w:type="dxa"/>
                    <w:bottom w:w="0" w:type="dxa"/>
                    <w:right w:w="0" w:type="dxa"/>
                  </w:tcMar>
                </w:tcPr>
                <w:p w14:paraId="77FBD8E0" w14:textId="77777777" w:rsidR="00862D96" w:rsidRPr="00DB21E1" w:rsidRDefault="00862D96" w:rsidP="00092F15">
                  <w:pPr>
                    <w:framePr w:hSpace="180" w:wrap="around" w:vAnchor="text" w:hAnchor="margin" w:y="196"/>
                    <w:ind w:left="194"/>
                  </w:pPr>
                </w:p>
              </w:tc>
            </w:tr>
          </w:tbl>
          <w:p w14:paraId="30637D88" w14:textId="77777777" w:rsidR="00862D96" w:rsidRDefault="00862D96" w:rsidP="00092F15">
            <w:pPr>
              <w:ind w:left="194"/>
              <w:jc w:val="both"/>
              <w:rPr>
                <w:rFonts w:eastAsia="Times New Roman"/>
                <w:color w:val="000000"/>
                <w:bdr w:val="none" w:sz="0" w:space="0" w:color="auto"/>
                <w:lang w:val="lt-LT" w:eastAsia="lt-LT"/>
              </w:rPr>
            </w:pPr>
            <w:r w:rsidRPr="00DB21E1">
              <w:rPr>
                <w:b/>
                <w:bCs/>
                <w:lang w:val="lt-LT"/>
              </w:rPr>
              <w:t>Klausimo esmė:</w:t>
            </w:r>
            <w:r>
              <w:rPr>
                <w:rFonts w:eastAsia="Times New Roman"/>
                <w:color w:val="000000"/>
                <w:bdr w:val="none" w:sz="0" w:space="0" w:color="auto"/>
                <w:lang w:val="lt-LT" w:eastAsia="lt-LT"/>
              </w:rPr>
              <w:t xml:space="preserve"> </w:t>
            </w:r>
          </w:p>
          <w:p w14:paraId="73D38C0A" w14:textId="77777777" w:rsidR="00862D96" w:rsidRPr="009B41E7" w:rsidRDefault="00862D96" w:rsidP="00092F15">
            <w:pPr>
              <w:ind w:left="194"/>
              <w:jc w:val="both"/>
              <w:rPr>
                <w:lang w:val="lt-LT"/>
              </w:rPr>
            </w:pPr>
            <w:r>
              <w:rPr>
                <w:lang w:val="lt-LT"/>
              </w:rPr>
              <w:t>P</w:t>
            </w:r>
            <w:r w:rsidRPr="009B41E7">
              <w:rPr>
                <w:lang w:val="lt-LT"/>
              </w:rPr>
              <w:t xml:space="preserve">irmininkavimo </w:t>
            </w:r>
            <w:r>
              <w:rPr>
                <w:lang w:val="lt-LT"/>
              </w:rPr>
              <w:t xml:space="preserve">metu </w:t>
            </w:r>
            <w:r w:rsidRPr="009B41E7">
              <w:rPr>
                <w:lang w:val="lt-LT"/>
              </w:rPr>
              <w:t xml:space="preserve">Slovėnijos Respublikos teisingumo ministerija kartu su Europos Komisija 2021 m. spalio 28 d. surengė konferenciją, kurioje aptarė, kaip veiksmingai kovoti su neapykantos nusikaltimais ir neapykantą kurstančiomis kalbomis, ypatingą dėmesį skiriant kovai su neapykantą kurstančiomis kalbomis internete ir neapykantos nusikaltimų aukų apsaugai. Komisija pristatė naujausias iniciatyvas, kuriomis siekiama visapusiškai atsižvelgti į konkrečių bendruomenių poreikius ir iššūkius, visų pirma ES kovos su rasizmu veiksmų planą ir ES kovos su antisemitizmu ir žydų gyvenimo skatinimo strategiją. Komisija taip pat nurodė būsimą iniciatyvą, kuri turi būti priimta 2021 m. gruodžio 8 d., siekiant išplėsti ES nusikaltimų sąrašą įtraukiant neapykantą kurstančias kalbas ir neapykantos nusikaltimus, atsižvelgiant į SESV 83 straipsnio 1 dalį. </w:t>
            </w:r>
          </w:p>
          <w:p w14:paraId="15B06055" w14:textId="77777777" w:rsidR="00862D96" w:rsidRPr="004257DB" w:rsidRDefault="00862D96" w:rsidP="00092F15">
            <w:pPr>
              <w:ind w:left="194"/>
              <w:jc w:val="both"/>
              <w:rPr>
                <w:lang w:val="lt-LT"/>
              </w:rPr>
            </w:pPr>
            <w:r w:rsidRPr="004257DB">
              <w:rPr>
                <w:lang w:val="lt-LT"/>
              </w:rPr>
              <w:t>Siekdama papildyti pastangas veiksmingai įgyvendinti 2008 m. pamatinį sprendimą dėl kovos su rasizmu ir ksenofobija, visų pirma kovoti su neteisėto neapykantą kurstančių kalbų plitimu internete, 2016 m. Komisija su keliomis IT bendrovėmis parengė savanorišką elgesio kodeksą. Šis elgesio kodeksas davė gerų rezultatų ir bus toliau remiamas Skaitmeninių paslaugų aktu, kuris, jam įsigaliojus, suteiks visapusišką požiūrį į kovą su visų formų neteisėtu turiniu internete ir reagavimą į sisteminę riziką, kartu apsaugant pagrindines teises ir laisves.</w:t>
            </w:r>
          </w:p>
          <w:p w14:paraId="2A6C6ABB" w14:textId="77777777" w:rsidR="00862D96" w:rsidRPr="009B41E7" w:rsidRDefault="00862D96" w:rsidP="00092F15">
            <w:pPr>
              <w:ind w:left="194"/>
              <w:jc w:val="both"/>
              <w:rPr>
                <w:b/>
                <w:bCs/>
                <w:lang w:val="lt-LT"/>
              </w:rPr>
            </w:pPr>
            <w:r>
              <w:rPr>
                <w:lang w:val="lt-LT"/>
              </w:rPr>
              <w:t>Esamos b</w:t>
            </w:r>
            <w:r w:rsidRPr="004257DB">
              <w:rPr>
                <w:lang w:val="lt-LT"/>
              </w:rPr>
              <w:t>audžiamosios teisės priemonės prieš neapykantos kurstytojus ir neapykantos nusikaltimus šalina tik neapykantos simptomus, tačiau nesprendžia pagrindinių visuomenės uždavinių.</w:t>
            </w:r>
            <w:r>
              <w:rPr>
                <w:lang w:val="lt-LT"/>
              </w:rPr>
              <w:t xml:space="preserve"> </w:t>
            </w:r>
            <w:r w:rsidRPr="00156314">
              <w:rPr>
                <w:lang w:val="lt-LT"/>
              </w:rPr>
              <w:t>Veiksmingos strategijos, skirtos pagrindinėms rasizmo ir ksenofobijos priežastims ir neapykantą kurstančios kalbos internete apraiškoms šalinti, turi būti pagrįstos įrodymais. Turime suprasti, kaip plinta neapykanta, kokios grupės ją skleidžia ir į kokias grupes ir bendruomenes daugiausia ji yra nukreipta, visų pirma interneto aplinkoje. ES ir valstybės narės turi remti mokslinius tyrimus ir duomenų rinkimą naudojant pažangiausias technologijas, siekdamos struktūrinės sinergijos su mokslininkais ir technologijų ekspertais. Tik taip keičiantis informacija galima parengti tinkamus politinius sprendimus.</w:t>
            </w:r>
          </w:p>
          <w:p w14:paraId="1C475736" w14:textId="77777777" w:rsidR="00862D96" w:rsidRPr="00156314" w:rsidRDefault="00862D96" w:rsidP="00092F15">
            <w:pPr>
              <w:ind w:left="194"/>
              <w:jc w:val="both"/>
              <w:rPr>
                <w:lang w:val="lt-LT"/>
              </w:rPr>
            </w:pPr>
            <w:r w:rsidRPr="00156314">
              <w:rPr>
                <w:lang w:val="lt-LT"/>
              </w:rPr>
              <w:t xml:space="preserve">Kompetentingoms valdžios institucijoms, pilietinės visuomenės organizacijoms ir kitoms viešosioms įstaigoms, pavyzdžiui, lygybės įstaigoms, taip pat reikia bendrų pastangų </w:t>
            </w:r>
            <w:r w:rsidRPr="00156314">
              <w:rPr>
                <w:lang w:val="lt-LT"/>
              </w:rPr>
              <w:lastRenderedPageBreak/>
              <w:t>kovojant su neapykantą kurstančiomis kalbomis ir neapykantos nusikaltimais. Kelios valstybės narės taiko gerąją šių skirtingų subjektų bendradarbiavimo praktiką, kuri, atrodo, padeda geriau rinkti informaciją apie neapykantos nusikaltimus ir neapykantą kurstančias kalbas, juos stebėti ir rinkti duomenis, taip pat veiksmingiau tirti, patraukti baudžiamojon atsakomybėn ir teikti paramą aukoms.</w:t>
            </w:r>
            <w:r w:rsidRPr="009B41E7">
              <w:rPr>
                <w:b/>
                <w:bCs/>
                <w:lang w:val="lt-LT"/>
              </w:rPr>
              <w:t xml:space="preserve"> </w:t>
            </w:r>
            <w:r w:rsidRPr="00156314">
              <w:rPr>
                <w:lang w:val="lt-LT"/>
              </w:rPr>
              <w:t>Pilietinės visuomenės organizacijos galėtų būti labai svarbios teisėsaugos partnerės užtikrinant tinkamą policijos pareigūnų mokymą. Šios organizacijos dažnai žino apie konkrečių bendruomenių, nukentėjusių nuo neapykantos nusikaltimų ir neapykantą kurstančių kalbų, pažeidžiamumą ir šios bendruomenės jomis pasitiki, o tai pagerina pranešimų pateikimą ir nusikaltimų konsultavimą.</w:t>
            </w:r>
          </w:p>
          <w:p w14:paraId="77E96CD5" w14:textId="77777777" w:rsidR="00862D96" w:rsidRPr="00156314" w:rsidRDefault="00862D96" w:rsidP="00092F15">
            <w:pPr>
              <w:ind w:left="194"/>
              <w:jc w:val="both"/>
              <w:rPr>
                <w:lang w:val="lt-LT"/>
              </w:rPr>
            </w:pPr>
            <w:r w:rsidRPr="00156314">
              <w:rPr>
                <w:lang w:val="lt-LT"/>
              </w:rPr>
              <w:t>Reikia imtis daugiau veiksmų padėti neapykantos nusikaltimų ir neapykantą kurstančių kalbų aukoms. Pagal Nusikaltimų aukų teisių direktyvos ir ES strategijos dėl aukų teisių nuostatas visos aukos turėtų turėti galimybę naudotis tikslinėmis, integruotomis ir specializuotomis paramos paslaugomis, atitinkančiomis kiekvienos aukos individualius poreikius. Tarpžinybinis požiūris, apimantis įvairius subjektus, įskaitant pilietinės visuomenės organizacijas ir paramos aukoms grupes, yra veiksmingiausias. Tačiau reikia išteklių ir atitinkamų priemonių, kad aukos galėtų saugiai pranešti apie neapykantos incidentus ir būtų skatinamos pagarbios ir jautrios paramos neapykantos nusikaltimų aukoms sistemos.</w:t>
            </w:r>
          </w:p>
          <w:p w14:paraId="51012CC0" w14:textId="77777777" w:rsidR="00862D96" w:rsidRPr="00EA020F" w:rsidRDefault="00862D96" w:rsidP="00092F1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r w:rsidRPr="00EA020F">
              <w:rPr>
                <w:rFonts w:eastAsia="Times New Roman"/>
                <w:color w:val="000000"/>
                <w:bdr w:val="none" w:sz="0" w:space="0" w:color="auto"/>
                <w:lang w:val="lt-LT" w:eastAsia="lt-LT"/>
              </w:rPr>
              <w:t>Atsižvelgiant į dokumente išdėstytus aspektus, ministrai yra kviečiami pasidalinti savo nuomonėmis dėl šių klausimų:</w:t>
            </w:r>
          </w:p>
          <w:p w14:paraId="351EA7E1" w14:textId="77777777" w:rsidR="00862D96" w:rsidRPr="00AF70FB" w:rsidRDefault="00862D96" w:rsidP="00092F1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i/>
                <w:iCs/>
                <w:color w:val="000000"/>
                <w:bdr w:val="none" w:sz="0" w:space="0" w:color="auto"/>
                <w:lang w:val="lt-LT" w:eastAsia="lt-LT"/>
              </w:rPr>
            </w:pPr>
            <w:r w:rsidRPr="00AF70FB">
              <w:rPr>
                <w:rFonts w:eastAsia="Times New Roman"/>
                <w:i/>
                <w:iCs/>
                <w:color w:val="000000"/>
                <w:bdr w:val="none" w:sz="0" w:space="0" w:color="auto"/>
                <w:lang w:val="lt-LT" w:eastAsia="lt-LT"/>
              </w:rPr>
              <w:t>1) Iš nacionalinių valdžios institucijų perspektyvos, kokie yra didžiausi iššūkiai ir spragos, su kuriomis susiduriama užtikrinant veiksmingiausią atsaką į neapykantos nusikaltimus ir neapykantą kurstančias kalbas? Koks būtų pagrindinis palengvinimo veiksnys remiant jūsų pastangas?</w:t>
            </w:r>
          </w:p>
          <w:p w14:paraId="741B2C51" w14:textId="77777777" w:rsidR="00862D96" w:rsidRPr="00AF70FB" w:rsidRDefault="00862D96" w:rsidP="00092F1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i/>
                <w:iCs/>
                <w:color w:val="000000"/>
                <w:bdr w:val="none" w:sz="0" w:space="0" w:color="auto"/>
                <w:lang w:val="lt-LT" w:eastAsia="lt-LT"/>
              </w:rPr>
            </w:pPr>
            <w:r w:rsidRPr="00AF70FB">
              <w:rPr>
                <w:rFonts w:eastAsia="Times New Roman"/>
                <w:i/>
                <w:iCs/>
                <w:color w:val="000000"/>
                <w:bdr w:val="none" w:sz="0" w:space="0" w:color="auto"/>
                <w:lang w:val="lt-LT" w:eastAsia="lt-LT"/>
              </w:rPr>
              <w:t>2) Elgesio kodekse dėl kovos su neteisėtu neapykantos kurstymu internete skatinamas nacionalinių valdžios institucijų ir pilietinės visuomenės bei IT bendrovių bendradarbiavimas. Ar, siekiant skatinti neapykantos kurstymo ir neapykantos nusikaltimų aukų informavimą ir paramą nusikaltimų joms, turite gerosios patirties, susijusios su veiksmingu bendradarbiavimu su suinteresuotaisiais subjektais? Ar galite dalytis geriausia patirtimi, susijusia su parama konkrečioms nuo neapykantą kurstančių kalbų ir neapykantos nusikaltimų nukentėjusioms aukų grupėms ir jų apsauga?</w:t>
            </w:r>
          </w:p>
          <w:p w14:paraId="51800780" w14:textId="77777777" w:rsidR="00862D96" w:rsidRPr="00DB21E1" w:rsidRDefault="00862D96" w:rsidP="00092F1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p>
          <w:p w14:paraId="37AC9EE1" w14:textId="77777777" w:rsidR="00862D96" w:rsidRDefault="00862D96" w:rsidP="00092F15">
            <w:pPr>
              <w:pStyle w:val="BodyA"/>
              <w:ind w:left="194"/>
              <w:jc w:val="both"/>
              <w:rPr>
                <w:rFonts w:eastAsia="Times New Roman" w:hAnsi="Times New Roman" w:cs="Times New Roman"/>
                <w:b/>
                <w:bCs/>
                <w:bdr w:val="none" w:sz="0" w:space="0" w:color="auto"/>
                <w:lang w:val="lt-LT" w:eastAsia="lt-LT"/>
              </w:rPr>
            </w:pPr>
            <w:r w:rsidRPr="00DB21E1">
              <w:rPr>
                <w:rFonts w:eastAsia="Times New Roman" w:hAnsi="Times New Roman" w:cs="Times New Roman"/>
                <w:b/>
                <w:bCs/>
                <w:bdr w:val="none" w:sz="0" w:space="0" w:color="auto"/>
                <w:lang w:val="lt-LT" w:eastAsia="lt-LT"/>
              </w:rPr>
              <w:t>Lietuvos pozicija:</w:t>
            </w:r>
          </w:p>
          <w:p w14:paraId="3B3C5AA7" w14:textId="2708A711" w:rsidR="004144E3" w:rsidRPr="004144E3" w:rsidRDefault="004144E3" w:rsidP="004144E3">
            <w:pPr>
              <w:pStyle w:val="BodyA"/>
              <w:numPr>
                <w:ilvl w:val="0"/>
                <w:numId w:val="20"/>
              </w:numPr>
              <w:tabs>
                <w:tab w:val="left" w:pos="550"/>
              </w:tabs>
              <w:ind w:left="100" w:firstLine="0"/>
              <w:jc w:val="both"/>
              <w:rPr>
                <w:rFonts w:eastAsia="Times New Roman" w:hAnsi="Times New Roman" w:cs="Times New Roman"/>
                <w:bdr w:val="none" w:sz="0" w:space="0" w:color="auto"/>
                <w:lang w:val="lt-LT" w:eastAsia="lt-LT"/>
              </w:rPr>
            </w:pPr>
            <w:r w:rsidRPr="004144E3">
              <w:rPr>
                <w:rFonts w:eastAsia="Times New Roman" w:hAnsi="Times New Roman" w:cs="Times New Roman"/>
                <w:bdr w:val="none" w:sz="0" w:space="0" w:color="auto"/>
                <w:lang w:val="lt-LT" w:eastAsia="lt-LT"/>
              </w:rPr>
              <w:t>Manome, kad vienas iš esminių veiksnių, būtinų veiksmingam neapykantos kalbos ir neapykantos nusikaltimų kontrolei ir prevencijai yra efektyvus tarpinstitucinis bendradarbiavimas ir visuomenės švietimas ir informavimas apie šio pobūdžio nusikalstamas veikas ir skatinimas pranešti apie neapykanta motyvuotus incidentus. Siekiant, kad neapykantos kalbos ir neapykantos nusikaltimai būtų atpažinti, reikalinga nuolatinė komunikacija tarp pažeidžiamų grupių ir valstybinių institucijų atstovų, siekiant efektyviai kovoti prieš neapykantos nusikaltimus bei neapykantos kalbą. Tai yra ypatingai svarbus aspektas formuojant holistinį požiūrį į šią problemą.</w:t>
            </w:r>
            <w:r w:rsidRPr="004144E3">
              <w:rPr>
                <w:rFonts w:eastAsia="Times New Roman" w:hAnsi="Times New Roman" w:cs="Times New Roman"/>
                <w:bdr w:val="none" w:sz="0" w:space="0" w:color="auto"/>
                <w:lang w:val="lt-LT" w:eastAsia="lt-LT"/>
              </w:rPr>
              <w:t xml:space="preserve"> </w:t>
            </w:r>
            <w:r w:rsidRPr="004144E3">
              <w:rPr>
                <w:rFonts w:eastAsia="Times New Roman" w:hAnsi="Times New Roman" w:cs="Times New Roman"/>
                <w:bdr w:val="none" w:sz="0" w:space="0" w:color="auto"/>
                <w:lang w:val="lt-LT" w:eastAsia="lt-LT"/>
              </w:rPr>
              <w:t>Manome, kad siekiant sudaryti nukentėjusiajam asmeniui saugumo jausmą baudžiamojo proceso metu - vienas iš prioritetų tokio pobūdžio bylose (pvz., apsaugoti nuo traumuojančio „akis į akį“ kontakto su galimai nusikalstamą veiką padariusiu asmeniu), yra būtinas tiek teisėsaugos, tiek ir teisėjų ir teismų sistemos darbuotojų mokymas, kaip praktiškai valdyti antrinės viktimizacijos rizikas.</w:t>
            </w:r>
            <w:r>
              <w:rPr>
                <w:rFonts w:eastAsia="Times New Roman" w:hAnsi="Times New Roman" w:cs="Times New Roman"/>
                <w:bdr w:val="none" w:sz="0" w:space="0" w:color="auto"/>
                <w:lang w:val="lt-LT" w:eastAsia="lt-LT"/>
              </w:rPr>
              <w:t xml:space="preserve"> </w:t>
            </w:r>
            <w:r w:rsidRPr="004144E3">
              <w:rPr>
                <w:rFonts w:eastAsia="Times New Roman" w:hAnsi="Times New Roman" w:cs="Times New Roman"/>
                <w:bdr w:val="none" w:sz="0" w:space="0" w:color="auto"/>
                <w:lang w:val="lt-LT" w:eastAsia="lt-LT"/>
              </w:rPr>
              <w:t xml:space="preserve">Be to, būtina stiprinti nuo tokio pobūdžio veikų nukentėjusių asmenų informuotumą apie nevyriausybines organizacijas, kurios bendradarbiauja su teisėsaugos institucijų pareigūnais ir sutinka suteikti platesnio spektro pagalbą nukentėjusiesiems baudžiamajame procese (socialinę pagalbą, psichologinę pagalbą, "lydėjimą" baudžiamojo proceso metu, teisinę pagalbą ir pan.), bei galimybes ginti savo pažeistas teises ir gauti žalos atlyginimą. Manome, kad šiuo aspektu yra svarbus nevyriausybinių organizacijų įsitraukimas, o valstybė turėtų </w:t>
            </w:r>
            <w:r w:rsidRPr="004144E3">
              <w:rPr>
                <w:rFonts w:eastAsia="Times New Roman" w:hAnsi="Times New Roman" w:cs="Times New Roman"/>
                <w:bdr w:val="none" w:sz="0" w:space="0" w:color="auto"/>
                <w:lang w:val="lt-LT" w:eastAsia="lt-LT"/>
              </w:rPr>
              <w:lastRenderedPageBreak/>
              <w:t>remti NVO veiklas teikiant pagalbą (įskaitant atstovavimą teismuose) nukentėjusiems asmenims.</w:t>
            </w:r>
          </w:p>
          <w:p w14:paraId="3EA5087F" w14:textId="6BBEF990" w:rsidR="00862D96" w:rsidRDefault="004144E3" w:rsidP="004144E3">
            <w:pPr>
              <w:pStyle w:val="BodyA"/>
              <w:ind w:left="100"/>
              <w:jc w:val="both"/>
              <w:rPr>
                <w:rFonts w:eastAsia="Times New Roman" w:hAnsi="Times New Roman" w:cs="Times New Roman"/>
                <w:bdr w:val="none" w:sz="0" w:space="0" w:color="auto"/>
                <w:lang w:val="lt-LT" w:eastAsia="lt-LT"/>
              </w:rPr>
            </w:pPr>
            <w:r w:rsidRPr="004144E3">
              <w:rPr>
                <w:rFonts w:eastAsia="Times New Roman" w:hAnsi="Times New Roman" w:cs="Times New Roman"/>
                <w:bdr w:val="none" w:sz="0" w:space="0" w:color="auto"/>
                <w:lang w:val="lt-LT" w:eastAsia="lt-LT"/>
              </w:rPr>
              <w:t>Manome, kad naujosios technologijos pvz. dirbtinio intelekto, galėtų būti pasitelkiamos greitam ir efektyviam neapykantos kalbos aptikimui socialiniuose tinkluose ir internete. Šiuo atveju susiduriame su iššūkiu dėl socialinių tinklų skaidresnio ir atviresnio, į bendrą tikslą orientuoto, bendravimo su institucijomis, kovojančiomis su neapykantos kalbos apraiškomis trūkumu. Susiduriame su socialinių tinklų nenoru bendradarbiauti pvz. suteikiant prieigą dirbtinio intelekto algoritmo pagrindu veikiančiai neapykantos kalbos, parašytos lietuvių kalba, internete, taip pat socialiniuose tinkluose, nustatymo sistemai</w:t>
            </w:r>
            <w:r>
              <w:rPr>
                <w:rFonts w:eastAsia="Times New Roman" w:hAnsi="Times New Roman" w:cs="Times New Roman"/>
                <w:bdr w:val="none" w:sz="0" w:space="0" w:color="auto"/>
                <w:lang w:val="lt-LT" w:eastAsia="lt-LT"/>
              </w:rPr>
              <w:t>.</w:t>
            </w:r>
          </w:p>
          <w:p w14:paraId="41A6C432" w14:textId="79DB2C1B" w:rsidR="004144E3" w:rsidRPr="004144E3" w:rsidRDefault="004144E3" w:rsidP="004144E3">
            <w:pPr>
              <w:pStyle w:val="BodyA"/>
              <w:numPr>
                <w:ilvl w:val="0"/>
                <w:numId w:val="20"/>
              </w:numPr>
              <w:tabs>
                <w:tab w:val="left" w:pos="550"/>
              </w:tabs>
              <w:ind w:left="100" w:firstLine="10"/>
              <w:jc w:val="both"/>
              <w:rPr>
                <w:rFonts w:hAnsi="Times New Roman" w:cs="Times New Roman"/>
                <w:lang w:val="lt-LT"/>
              </w:rPr>
            </w:pPr>
            <w:r w:rsidRPr="004144E3">
              <w:rPr>
                <w:rFonts w:hAnsi="Times New Roman" w:cs="Times New Roman"/>
                <w:lang w:val="lt-LT"/>
              </w:rPr>
              <w:t>Lietuvoje VRM įsakymu yra sudaryta nuolat veikiantis darbo grupė veiksmingam atsakui į neapykantos nusikaltimus ir neapykantos kalbą Lietuvoje skatinti. Darbo grupės veikloje be daugelio valstybinių institucijų dalyvauja ir  11-os nevyriausybinių organizacijų atstovai. Toks išskirtinis formatas leidžia iš įvairių kampų pažvelgti į šią problematiką ir į sprendimų formavimą įtraukti ne vien valstybines institucijas. Tai yra labai veiksminga platforma, užtikrinanti visų suinteresuotų šalių nuolatinį bendradarbiavimą ir bendrų tikslų, nukreiptų kovai su neapykanta motyvuotomis veikomis, nustatymą ir įgyvendinimą.</w:t>
            </w:r>
          </w:p>
          <w:p w14:paraId="37137008" w14:textId="60A7ED16" w:rsidR="004144E3" w:rsidRPr="004144E3" w:rsidRDefault="004144E3" w:rsidP="004144E3">
            <w:pPr>
              <w:pStyle w:val="BodyA"/>
              <w:tabs>
                <w:tab w:val="left" w:pos="550"/>
              </w:tabs>
              <w:ind w:left="100"/>
              <w:jc w:val="both"/>
              <w:rPr>
                <w:rFonts w:hAnsi="Times New Roman" w:cs="Times New Roman"/>
                <w:lang w:val="lt-LT"/>
              </w:rPr>
            </w:pPr>
            <w:r>
              <w:rPr>
                <w:rFonts w:hAnsi="Times New Roman" w:cs="Times New Roman"/>
                <w:lang w:val="lt-LT"/>
              </w:rPr>
              <w:t>G</w:t>
            </w:r>
            <w:r w:rsidRPr="004144E3">
              <w:rPr>
                <w:rFonts w:hAnsi="Times New Roman" w:cs="Times New Roman"/>
                <w:lang w:val="lt-LT"/>
              </w:rPr>
              <w:t>erosios praktikos dėl specifinių nuo neapykantos nusikaltimų ar neapykantą kurstančios kalbos nukentėjusių grupių paramos ir apsaugos pavyzdž</w:t>
            </w:r>
            <w:r>
              <w:rPr>
                <w:rFonts w:hAnsi="Times New Roman" w:cs="Times New Roman"/>
                <w:lang w:val="lt-LT"/>
              </w:rPr>
              <w:t xml:space="preserve">iu gali būti </w:t>
            </w:r>
            <w:r w:rsidRPr="004144E3">
              <w:rPr>
                <w:rFonts w:hAnsi="Times New Roman" w:cs="Times New Roman"/>
                <w:lang w:val="lt-LT"/>
              </w:rPr>
              <w:t>2020 m. didžiuosiuose šalies miestuose (Vilniuje, Panevėžyje, Klaipėdoje, Šiauliuose ir Kaune) surengtos 5 apskritojo stalo diskusijos, kuriose vietos policijos pareigūnai ir prokurorai su pažeidžiamų bendruomenių ir NVO atstovais aptarė pažeidžiamų bendruomenių ir nuo neapykantos nusikaltimų nukentėjusiųjų poreikius bei lūkesčius dėl teisėsaugos pareigūnų darbo, išskyrė bendradarbiavimo problemas ir numatė galimybes.</w:t>
            </w:r>
          </w:p>
          <w:p w14:paraId="2FA56D9F" w14:textId="37C14F47" w:rsidR="00862D96" w:rsidRPr="00DB21E1" w:rsidRDefault="004144E3" w:rsidP="004144E3">
            <w:pPr>
              <w:pStyle w:val="BodyA"/>
              <w:ind w:left="100"/>
              <w:jc w:val="both"/>
              <w:rPr>
                <w:rFonts w:hAnsi="Times New Roman" w:cs="Times New Roman"/>
                <w:b/>
                <w:bCs/>
                <w:i/>
                <w:iCs/>
                <w:lang w:val="lt-LT"/>
              </w:rPr>
            </w:pPr>
            <w:r w:rsidRPr="004144E3">
              <w:rPr>
                <w:rFonts w:hAnsi="Times New Roman" w:cs="Times New Roman"/>
                <w:lang w:val="lt-LT"/>
              </w:rPr>
              <w:t>Paminėtinas ir Lietuvos žmogaus teisių centro pradėtas vykdyti projektas #PoliceAcademy_LT: Promoting Effective Response to Hate Crime and Hate Speech in Lithuania”. Projektu siekiama stiprinti teisėsaugos pajėgumą efektyviai reaguoti į neapykantos nusikaltimus ir kalbą, mažinti neapykantos nusikaltimų latentiškumą, didinti pasitikėjimą tarp pareigūnų ir nukentėjusiųjų/ pažeidžiamų bendruomenių, skatinti visuomenę atpažinti ir reaguoti į neapykantos nusikaltimus. Projekto metu taip pat numatoma raginti visuomenę atpažinti tokius nusikaltimus socialinės reklamos kampanijos metu. Siekiant paskatinti bendruomenių narius pranešti apie neapykantos nusikaltimus, bus kuriamas internetinis įrankis, skirtas neapykantos nusikaltimams pranešti.</w:t>
            </w:r>
          </w:p>
        </w:tc>
      </w:tr>
    </w:tbl>
    <w:p w14:paraId="141345A2" w14:textId="77777777" w:rsidR="00FF3DD4" w:rsidRPr="00862D96" w:rsidRDefault="00FF3DD4">
      <w:pPr>
        <w:rPr>
          <w:lang w:val="lt-LT"/>
        </w:rPr>
      </w:pPr>
    </w:p>
    <w:sectPr w:rsidR="00FF3DD4" w:rsidRPr="00862D96" w:rsidSect="00630401">
      <w:headerReference w:type="default" r:id="rId7"/>
      <w:headerReference w:type="first" r:id="rId8"/>
      <w:pgSz w:w="11900" w:h="16840"/>
      <w:pgMar w:top="1560" w:right="1134" w:bottom="709"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11BC" w14:textId="77777777" w:rsidR="005C19FD" w:rsidRDefault="005C19FD">
      <w:r>
        <w:separator/>
      </w:r>
    </w:p>
  </w:endnote>
  <w:endnote w:type="continuationSeparator" w:id="0">
    <w:p w14:paraId="13C388E8" w14:textId="77777777" w:rsidR="005C19FD" w:rsidRDefault="005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9A52" w14:textId="77777777" w:rsidR="005C19FD" w:rsidRDefault="005C19FD">
      <w:r>
        <w:separator/>
      </w:r>
    </w:p>
  </w:footnote>
  <w:footnote w:type="continuationSeparator" w:id="0">
    <w:p w14:paraId="4223264D" w14:textId="77777777" w:rsidR="005C19FD" w:rsidRDefault="005C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5FB5" w14:textId="77777777" w:rsidR="004B217F" w:rsidRDefault="00666098" w:rsidP="00630401">
    <w:pPr>
      <w:pStyle w:val="BodyA"/>
      <w:tabs>
        <w:tab w:val="center" w:pos="4153"/>
        <w:tab w:val="right" w:pos="8306"/>
      </w:tabs>
      <w:jc w:val="right"/>
    </w:pPr>
    <w:r w:rsidRPr="0071270C">
      <w:rPr>
        <w:rFonts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023C" w14:textId="3AF109C5" w:rsidR="006F1F92" w:rsidRPr="0071270C" w:rsidRDefault="00666098" w:rsidP="006F1F92">
    <w:pPr>
      <w:pStyle w:val="BodyA"/>
      <w:tabs>
        <w:tab w:val="center" w:pos="4153"/>
        <w:tab w:val="right" w:pos="8306"/>
      </w:tabs>
      <w:jc w:val="right"/>
      <w:rPr>
        <w:rFonts w:hAnsi="Times New Roman" w:cs="Times New Roman"/>
        <w:i/>
        <w:iCs/>
      </w:rPr>
    </w:pPr>
    <w:r w:rsidRPr="0071270C">
      <w:rPr>
        <w:rFonts w:hAnsi="Times New Roman" w:cs="Times New Roman"/>
        <w:i/>
        <w:iCs/>
      </w:rPr>
      <w:t xml:space="preserve">Parengė: Teisingumo ministerijos </w:t>
    </w:r>
    <w:r w:rsidR="00EB7D91" w:rsidRPr="00EB7D91">
      <w:rPr>
        <w:rFonts w:hAnsi="Times New Roman" w:cs="Times New Roman"/>
        <w:i/>
        <w:iCs/>
      </w:rPr>
      <w:t>Tarptautinio bendradarbiavimo ir žmogaus teisių politikos grupė</w:t>
    </w:r>
  </w:p>
  <w:p w14:paraId="7AEC72E9" w14:textId="08A6E770" w:rsidR="00EF0DF3" w:rsidRDefault="00666098" w:rsidP="006F1F92">
    <w:pPr>
      <w:pStyle w:val="Header"/>
      <w:jc w:val="right"/>
    </w:pPr>
    <w:r>
      <w:rPr>
        <w:i/>
        <w:iCs/>
      </w:rPr>
      <w:t xml:space="preserve">                                  Data: 2021 </w:t>
    </w:r>
    <w:r w:rsidR="00EB7D91">
      <w:rPr>
        <w:i/>
        <w:iCs/>
      </w:rPr>
      <w:t>1</w:t>
    </w:r>
    <w:r w:rsidR="00CF42EA">
      <w:rPr>
        <w:i/>
        <w:iCs/>
      </w:rPr>
      <w:t>2</w:t>
    </w:r>
    <w:r>
      <w:rPr>
        <w:i/>
        <w:iCs/>
      </w:rPr>
      <w:t xml:space="preserve"> </w:t>
    </w:r>
    <w:r w:rsidR="00CF42EA">
      <w:rPr>
        <w:i/>
        <w:iCs/>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7FA"/>
    <w:multiLevelType w:val="hybridMultilevel"/>
    <w:tmpl w:val="96A02286"/>
    <w:lvl w:ilvl="0" w:tplc="695C6B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E2BC3"/>
    <w:multiLevelType w:val="hybridMultilevel"/>
    <w:tmpl w:val="7A4E7FB6"/>
    <w:lvl w:ilvl="0" w:tplc="9B545E48">
      <w:start w:val="1"/>
      <w:numFmt w:val="decimal"/>
      <w:lvlText w:val="%1)"/>
      <w:lvlJc w:val="left"/>
      <w:pPr>
        <w:ind w:left="554" w:hanging="360"/>
      </w:pPr>
      <w:rPr>
        <w:rFonts w:eastAsia="Times New Roman" w:hint="default"/>
        <w:b w:val="0"/>
        <w:i w:val="0"/>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0BCC45AC"/>
    <w:multiLevelType w:val="hybridMultilevel"/>
    <w:tmpl w:val="FE5A8F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5012F"/>
    <w:multiLevelType w:val="hybridMultilevel"/>
    <w:tmpl w:val="E2FC7918"/>
    <w:lvl w:ilvl="0" w:tplc="9F5E83F6">
      <w:start w:val="1"/>
      <w:numFmt w:val="lowerLetter"/>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CB30B6"/>
    <w:multiLevelType w:val="hybridMultilevel"/>
    <w:tmpl w:val="EEAE314E"/>
    <w:lvl w:ilvl="0" w:tplc="E12CF19E">
      <w:start w:val="1"/>
      <w:numFmt w:val="low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01513C"/>
    <w:multiLevelType w:val="hybridMultilevel"/>
    <w:tmpl w:val="6FCE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6B3511"/>
    <w:multiLevelType w:val="hybridMultilevel"/>
    <w:tmpl w:val="6D163E92"/>
    <w:lvl w:ilvl="0" w:tplc="302ED2E6">
      <w:start w:val="1"/>
      <w:numFmt w:val="decimal"/>
      <w:lvlText w:val="%1."/>
      <w:lvlJc w:val="left"/>
      <w:pPr>
        <w:ind w:left="360"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7" w15:restartNumberingAfterBreak="0">
    <w:nsid w:val="1AA02C7F"/>
    <w:multiLevelType w:val="hybridMultilevel"/>
    <w:tmpl w:val="EA205F8A"/>
    <w:lvl w:ilvl="0" w:tplc="E6A0074A">
      <w:start w:val="2"/>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63B596F"/>
    <w:multiLevelType w:val="hybridMultilevel"/>
    <w:tmpl w:val="2652821C"/>
    <w:lvl w:ilvl="0" w:tplc="9DBA95A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37086A"/>
    <w:multiLevelType w:val="hybridMultilevel"/>
    <w:tmpl w:val="BDFACD7C"/>
    <w:lvl w:ilvl="0" w:tplc="14EC273E">
      <w:start w:val="4"/>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2229DF"/>
    <w:multiLevelType w:val="hybridMultilevel"/>
    <w:tmpl w:val="11ECD3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A6A41"/>
    <w:multiLevelType w:val="hybridMultilevel"/>
    <w:tmpl w:val="C50E57B2"/>
    <w:lvl w:ilvl="0" w:tplc="A432B6EA">
      <w:start w:val="1"/>
      <w:numFmt w:val="lowerLetter"/>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12" w15:restartNumberingAfterBreak="0">
    <w:nsid w:val="45F3494D"/>
    <w:multiLevelType w:val="hybridMultilevel"/>
    <w:tmpl w:val="E2FC7918"/>
    <w:lvl w:ilvl="0" w:tplc="9F5E83F6">
      <w:start w:val="1"/>
      <w:numFmt w:val="lowerLetter"/>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51627A"/>
    <w:multiLevelType w:val="multilevel"/>
    <w:tmpl w:val="4926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19620B"/>
    <w:multiLevelType w:val="hybridMultilevel"/>
    <w:tmpl w:val="E2FC7918"/>
    <w:lvl w:ilvl="0" w:tplc="9F5E83F6">
      <w:start w:val="1"/>
      <w:numFmt w:val="lowerLetter"/>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253FFA"/>
    <w:multiLevelType w:val="hybridMultilevel"/>
    <w:tmpl w:val="1782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EC558A"/>
    <w:multiLevelType w:val="hybridMultilevel"/>
    <w:tmpl w:val="8A2889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4E2684"/>
    <w:multiLevelType w:val="hybridMultilevel"/>
    <w:tmpl w:val="83D26FC6"/>
    <w:lvl w:ilvl="0" w:tplc="F4A63714">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18" w15:restartNumberingAfterBreak="0">
    <w:nsid w:val="6F8F0C4A"/>
    <w:multiLevelType w:val="hybridMultilevel"/>
    <w:tmpl w:val="FD8CA4E4"/>
    <w:lvl w:ilvl="0" w:tplc="640EEF0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9B0A5C"/>
    <w:multiLevelType w:val="hybridMultilevel"/>
    <w:tmpl w:val="F2CC42D6"/>
    <w:lvl w:ilvl="0" w:tplc="0427000F">
      <w:start w:val="1"/>
      <w:numFmt w:val="decimal"/>
      <w:lvlText w:val="%1."/>
      <w:lvlJc w:val="left"/>
      <w:pPr>
        <w:ind w:left="720" w:hanging="360"/>
      </w:pPr>
      <w:rPr>
        <w:rFonts w:eastAsia="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5"/>
  </w:num>
  <w:num w:numId="8">
    <w:abstractNumId w:val="15"/>
  </w:num>
  <w:num w:numId="9">
    <w:abstractNumId w:val="16"/>
  </w:num>
  <w:num w:numId="10">
    <w:abstractNumId w:val="12"/>
  </w:num>
  <w:num w:numId="11">
    <w:abstractNumId w:val="7"/>
  </w:num>
  <w:num w:numId="12">
    <w:abstractNumId w:val="17"/>
  </w:num>
  <w:num w:numId="13">
    <w:abstractNumId w:val="0"/>
  </w:num>
  <w:num w:numId="14">
    <w:abstractNumId w:val="4"/>
  </w:num>
  <w:num w:numId="15">
    <w:abstractNumId w:val="9"/>
  </w:num>
  <w:num w:numId="16">
    <w:abstractNumId w:val="10"/>
  </w:num>
  <w:num w:numId="17">
    <w:abstractNumId w:val="1"/>
  </w:num>
  <w:num w:numId="18">
    <w:abstractNumId w:val="19"/>
  </w:num>
  <w:num w:numId="19">
    <w:abstractNumId w:val="8"/>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D4"/>
    <w:rsid w:val="00062941"/>
    <w:rsid w:val="0012741C"/>
    <w:rsid w:val="00156314"/>
    <w:rsid w:val="001D1164"/>
    <w:rsid w:val="00203AC2"/>
    <w:rsid w:val="00216B37"/>
    <w:rsid w:val="00263101"/>
    <w:rsid w:val="002A2083"/>
    <w:rsid w:val="002B45EB"/>
    <w:rsid w:val="00313C3D"/>
    <w:rsid w:val="00340E81"/>
    <w:rsid w:val="0035705B"/>
    <w:rsid w:val="00394606"/>
    <w:rsid w:val="00395157"/>
    <w:rsid w:val="003D74D2"/>
    <w:rsid w:val="003E6E30"/>
    <w:rsid w:val="004144E3"/>
    <w:rsid w:val="004257DB"/>
    <w:rsid w:val="004A3302"/>
    <w:rsid w:val="004A3E8D"/>
    <w:rsid w:val="004D669C"/>
    <w:rsid w:val="00506389"/>
    <w:rsid w:val="005C19FD"/>
    <w:rsid w:val="00620A43"/>
    <w:rsid w:val="00620C2A"/>
    <w:rsid w:val="00647054"/>
    <w:rsid w:val="00665B11"/>
    <w:rsid w:val="00666098"/>
    <w:rsid w:val="006A65EB"/>
    <w:rsid w:val="006C14E4"/>
    <w:rsid w:val="006F3FBC"/>
    <w:rsid w:val="00762FE0"/>
    <w:rsid w:val="00766BE7"/>
    <w:rsid w:val="007E7EFC"/>
    <w:rsid w:val="00815AC7"/>
    <w:rsid w:val="00841662"/>
    <w:rsid w:val="00862D96"/>
    <w:rsid w:val="008A0D1B"/>
    <w:rsid w:val="009B41E7"/>
    <w:rsid w:val="00A105FE"/>
    <w:rsid w:val="00A5549B"/>
    <w:rsid w:val="00A8217C"/>
    <w:rsid w:val="00AA3B8A"/>
    <w:rsid w:val="00AB31BE"/>
    <w:rsid w:val="00AD19D3"/>
    <w:rsid w:val="00AF70FB"/>
    <w:rsid w:val="00B0599D"/>
    <w:rsid w:val="00B24792"/>
    <w:rsid w:val="00B34D34"/>
    <w:rsid w:val="00BC6077"/>
    <w:rsid w:val="00BD0990"/>
    <w:rsid w:val="00C22ADA"/>
    <w:rsid w:val="00C3783B"/>
    <w:rsid w:val="00C51A24"/>
    <w:rsid w:val="00C74D1F"/>
    <w:rsid w:val="00CC449D"/>
    <w:rsid w:val="00CE5261"/>
    <w:rsid w:val="00CF42EA"/>
    <w:rsid w:val="00CF5630"/>
    <w:rsid w:val="00D2656F"/>
    <w:rsid w:val="00D62D4E"/>
    <w:rsid w:val="00DB23EA"/>
    <w:rsid w:val="00E463E7"/>
    <w:rsid w:val="00EA020F"/>
    <w:rsid w:val="00EB7D91"/>
    <w:rsid w:val="00EC408C"/>
    <w:rsid w:val="00ED2109"/>
    <w:rsid w:val="00FF3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6000"/>
  <w15:chartTrackingRefBased/>
  <w15:docId w15:val="{8ED5F16E-AB06-45A9-B551-350B885D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05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F3DD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ListParagraph">
    <w:name w:val="List Paragraph"/>
    <w:uiPriority w:val="34"/>
    <w:qFormat/>
    <w:rsid w:val="00FF3DD4"/>
    <w:pPr>
      <w:pBdr>
        <w:top w:val="nil"/>
        <w:left w:val="nil"/>
        <w:bottom w:val="nil"/>
        <w:right w:val="nil"/>
        <w:between w:val="nil"/>
        <w:bar w:val="nil"/>
      </w:pBdr>
      <w:spacing w:after="200" w:line="276" w:lineRule="auto"/>
      <w:ind w:left="720"/>
    </w:pPr>
    <w:rPr>
      <w:rFonts w:ascii="Times New Roman" w:eastAsia="Arial Unicode MS" w:hAnsi="Arial Unicode MS" w:cs="Arial Unicode MS"/>
      <w:color w:val="000000"/>
      <w:sz w:val="24"/>
      <w:szCs w:val="24"/>
      <w:u w:color="000000"/>
      <w:bdr w:val="nil"/>
      <w:lang w:val="en-US"/>
    </w:rPr>
  </w:style>
  <w:style w:type="paragraph" w:styleId="Header">
    <w:name w:val="header"/>
    <w:basedOn w:val="Normal"/>
    <w:link w:val="HeaderChar"/>
    <w:uiPriority w:val="99"/>
    <w:unhideWhenUsed/>
    <w:rsid w:val="00FF3DD4"/>
    <w:pPr>
      <w:tabs>
        <w:tab w:val="center" w:pos="4819"/>
        <w:tab w:val="right" w:pos="9638"/>
      </w:tabs>
    </w:pPr>
  </w:style>
  <w:style w:type="character" w:customStyle="1" w:styleId="HeaderChar">
    <w:name w:val="Header Char"/>
    <w:basedOn w:val="DefaultParagraphFont"/>
    <w:link w:val="Header"/>
    <w:uiPriority w:val="99"/>
    <w:rsid w:val="00FF3DD4"/>
    <w:rPr>
      <w:rFonts w:ascii="Times New Roman" w:eastAsia="Arial Unicode MS" w:hAnsi="Times New Roman" w:cs="Times New Roman"/>
      <w:sz w:val="24"/>
      <w:szCs w:val="24"/>
      <w:bdr w:val="nil"/>
      <w:lang w:val="en-US"/>
    </w:rPr>
  </w:style>
  <w:style w:type="table" w:customStyle="1" w:styleId="TableGrid3">
    <w:name w:val="Table Grid3"/>
    <w:basedOn w:val="TableNormal"/>
    <w:uiPriority w:val="59"/>
    <w:rsid w:val="00FF3DD4"/>
    <w:pPr>
      <w:spacing w:after="0" w:line="240" w:lineRule="auto"/>
    </w:pPr>
    <w:rPr>
      <w:rFonts w:ascii="Times New Roman" w:eastAsia="Calibri"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3D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FF3DD4"/>
    <w:rPr>
      <w:b/>
      <w:bCs/>
    </w:rPr>
  </w:style>
  <w:style w:type="character" w:styleId="Hyperlink">
    <w:name w:val="Hyperlink"/>
    <w:rsid w:val="006A65EB"/>
    <w:rPr>
      <w:color w:val="0000FF"/>
      <w:u w:val="single"/>
    </w:rPr>
  </w:style>
  <w:style w:type="character" w:styleId="FootnoteReference">
    <w:name w:val="footnote reference"/>
    <w:basedOn w:val="DefaultParagraphFont"/>
    <w:uiPriority w:val="99"/>
    <w:semiHidden/>
    <w:unhideWhenUsed/>
    <w:rsid w:val="006A65EB"/>
    <w:rPr>
      <w:vertAlign w:val="superscript"/>
    </w:rPr>
  </w:style>
  <w:style w:type="paragraph" w:customStyle="1" w:styleId="PointManual">
    <w:name w:val="Point Manual"/>
    <w:basedOn w:val="Normal"/>
    <w:rsid w:val="004D669C"/>
    <w:pPr>
      <w:pBdr>
        <w:top w:val="none" w:sz="0" w:space="0" w:color="auto"/>
        <w:left w:val="none" w:sz="0" w:space="0" w:color="auto"/>
        <w:bottom w:val="none" w:sz="0" w:space="0" w:color="auto"/>
        <w:right w:val="none" w:sz="0" w:space="0" w:color="auto"/>
        <w:between w:val="none" w:sz="0" w:space="0" w:color="auto"/>
        <w:bar w:val="none" w:sz="0" w:color="auto"/>
      </w:pBdr>
      <w:ind w:left="567" w:hanging="567"/>
    </w:pPr>
    <w:rPr>
      <w:rFonts w:eastAsiaTheme="minorHAnsi"/>
      <w:szCs w:val="22"/>
      <w:bdr w:val="none" w:sz="0" w:space="0" w:color="auto"/>
      <w:lang w:val="en-GB"/>
    </w:rPr>
  </w:style>
  <w:style w:type="paragraph" w:styleId="Footer">
    <w:name w:val="footer"/>
    <w:basedOn w:val="Normal"/>
    <w:link w:val="FooterChar"/>
    <w:uiPriority w:val="99"/>
    <w:unhideWhenUsed/>
    <w:rsid w:val="00EB7D91"/>
    <w:pPr>
      <w:tabs>
        <w:tab w:val="center" w:pos="4986"/>
        <w:tab w:val="right" w:pos="9972"/>
      </w:tabs>
    </w:pPr>
  </w:style>
  <w:style w:type="character" w:customStyle="1" w:styleId="FooterChar">
    <w:name w:val="Footer Char"/>
    <w:basedOn w:val="DefaultParagraphFont"/>
    <w:link w:val="Footer"/>
    <w:uiPriority w:val="99"/>
    <w:rsid w:val="00EB7D91"/>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7211">
      <w:bodyDiv w:val="1"/>
      <w:marLeft w:val="0"/>
      <w:marRight w:val="0"/>
      <w:marTop w:val="0"/>
      <w:marBottom w:val="0"/>
      <w:divBdr>
        <w:top w:val="none" w:sz="0" w:space="0" w:color="auto"/>
        <w:left w:val="none" w:sz="0" w:space="0" w:color="auto"/>
        <w:bottom w:val="none" w:sz="0" w:space="0" w:color="auto"/>
        <w:right w:val="none" w:sz="0" w:space="0" w:color="auto"/>
      </w:divBdr>
    </w:div>
    <w:div w:id="47462928">
      <w:bodyDiv w:val="1"/>
      <w:marLeft w:val="0"/>
      <w:marRight w:val="0"/>
      <w:marTop w:val="0"/>
      <w:marBottom w:val="0"/>
      <w:divBdr>
        <w:top w:val="none" w:sz="0" w:space="0" w:color="auto"/>
        <w:left w:val="none" w:sz="0" w:space="0" w:color="auto"/>
        <w:bottom w:val="none" w:sz="0" w:space="0" w:color="auto"/>
        <w:right w:val="none" w:sz="0" w:space="0" w:color="auto"/>
      </w:divBdr>
    </w:div>
    <w:div w:id="150410571">
      <w:bodyDiv w:val="1"/>
      <w:marLeft w:val="0"/>
      <w:marRight w:val="0"/>
      <w:marTop w:val="0"/>
      <w:marBottom w:val="0"/>
      <w:divBdr>
        <w:top w:val="none" w:sz="0" w:space="0" w:color="auto"/>
        <w:left w:val="none" w:sz="0" w:space="0" w:color="auto"/>
        <w:bottom w:val="none" w:sz="0" w:space="0" w:color="auto"/>
        <w:right w:val="none" w:sz="0" w:space="0" w:color="auto"/>
      </w:divBdr>
    </w:div>
    <w:div w:id="319045334">
      <w:bodyDiv w:val="1"/>
      <w:marLeft w:val="0"/>
      <w:marRight w:val="0"/>
      <w:marTop w:val="0"/>
      <w:marBottom w:val="0"/>
      <w:divBdr>
        <w:top w:val="none" w:sz="0" w:space="0" w:color="auto"/>
        <w:left w:val="none" w:sz="0" w:space="0" w:color="auto"/>
        <w:bottom w:val="none" w:sz="0" w:space="0" w:color="auto"/>
        <w:right w:val="none" w:sz="0" w:space="0" w:color="auto"/>
      </w:divBdr>
    </w:div>
    <w:div w:id="568425157">
      <w:bodyDiv w:val="1"/>
      <w:marLeft w:val="0"/>
      <w:marRight w:val="0"/>
      <w:marTop w:val="0"/>
      <w:marBottom w:val="0"/>
      <w:divBdr>
        <w:top w:val="none" w:sz="0" w:space="0" w:color="auto"/>
        <w:left w:val="none" w:sz="0" w:space="0" w:color="auto"/>
        <w:bottom w:val="none" w:sz="0" w:space="0" w:color="auto"/>
        <w:right w:val="none" w:sz="0" w:space="0" w:color="auto"/>
      </w:divBdr>
    </w:div>
    <w:div w:id="1040931972">
      <w:bodyDiv w:val="1"/>
      <w:marLeft w:val="0"/>
      <w:marRight w:val="0"/>
      <w:marTop w:val="0"/>
      <w:marBottom w:val="0"/>
      <w:divBdr>
        <w:top w:val="none" w:sz="0" w:space="0" w:color="auto"/>
        <w:left w:val="none" w:sz="0" w:space="0" w:color="auto"/>
        <w:bottom w:val="none" w:sz="0" w:space="0" w:color="auto"/>
        <w:right w:val="none" w:sz="0" w:space="0" w:color="auto"/>
      </w:divBdr>
    </w:div>
    <w:div w:id="1313673904">
      <w:bodyDiv w:val="1"/>
      <w:marLeft w:val="0"/>
      <w:marRight w:val="0"/>
      <w:marTop w:val="0"/>
      <w:marBottom w:val="0"/>
      <w:divBdr>
        <w:top w:val="none" w:sz="0" w:space="0" w:color="auto"/>
        <w:left w:val="none" w:sz="0" w:space="0" w:color="auto"/>
        <w:bottom w:val="none" w:sz="0" w:space="0" w:color="auto"/>
        <w:right w:val="none" w:sz="0" w:space="0" w:color="auto"/>
      </w:divBdr>
    </w:div>
    <w:div w:id="1768498104">
      <w:bodyDiv w:val="1"/>
      <w:marLeft w:val="0"/>
      <w:marRight w:val="0"/>
      <w:marTop w:val="0"/>
      <w:marBottom w:val="0"/>
      <w:divBdr>
        <w:top w:val="none" w:sz="0" w:space="0" w:color="auto"/>
        <w:left w:val="none" w:sz="0" w:space="0" w:color="auto"/>
        <w:bottom w:val="none" w:sz="0" w:space="0" w:color="auto"/>
        <w:right w:val="none" w:sz="0" w:space="0" w:color="auto"/>
      </w:divBdr>
    </w:div>
    <w:div w:id="1784693333">
      <w:bodyDiv w:val="1"/>
      <w:marLeft w:val="0"/>
      <w:marRight w:val="0"/>
      <w:marTop w:val="0"/>
      <w:marBottom w:val="0"/>
      <w:divBdr>
        <w:top w:val="none" w:sz="0" w:space="0" w:color="auto"/>
        <w:left w:val="none" w:sz="0" w:space="0" w:color="auto"/>
        <w:bottom w:val="none" w:sz="0" w:space="0" w:color="auto"/>
        <w:right w:val="none" w:sz="0" w:space="0" w:color="auto"/>
      </w:divBdr>
    </w:div>
    <w:div w:id="1828933883">
      <w:bodyDiv w:val="1"/>
      <w:marLeft w:val="0"/>
      <w:marRight w:val="0"/>
      <w:marTop w:val="0"/>
      <w:marBottom w:val="0"/>
      <w:divBdr>
        <w:top w:val="none" w:sz="0" w:space="0" w:color="auto"/>
        <w:left w:val="none" w:sz="0" w:space="0" w:color="auto"/>
        <w:bottom w:val="none" w:sz="0" w:space="0" w:color="auto"/>
        <w:right w:val="none" w:sz="0" w:space="0" w:color="auto"/>
      </w:divBdr>
    </w:div>
    <w:div w:id="20893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3303</Words>
  <Characters>18828</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2021-12-06T11:27:00Z</dcterms:created>
  <dc:creator>Lina Urnikienė</dc:creator>
  <cp:lastModifiedBy>Lina Urnikiene</cp:lastModifiedBy>
  <dcterms:modified xsi:type="dcterms:W3CDTF">2021-12-06T11:47:00Z</dcterms:modified>
  <cp:revision>9</cp:revision>
</cp:coreProperties>
</file>