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CA18" w14:textId="77777777" w:rsidR="000438C1" w:rsidRDefault="00A94209">
      <w:pPr>
        <w:ind w:left="7938"/>
        <w:rPr>
          <w:b/>
          <w:szCs w:val="24"/>
        </w:rPr>
      </w:pPr>
      <w:r>
        <w:rPr>
          <w:b/>
          <w:szCs w:val="24"/>
        </w:rPr>
        <w:t xml:space="preserve">Projektas </w:t>
      </w:r>
    </w:p>
    <w:p w14:paraId="01D2D78D" w14:textId="77777777" w:rsidR="000438C1" w:rsidRDefault="000438C1">
      <w:pPr>
        <w:jc w:val="center"/>
        <w:rPr>
          <w:b/>
          <w:caps/>
          <w:szCs w:val="24"/>
        </w:rPr>
      </w:pPr>
    </w:p>
    <w:p w14:paraId="10A3E270" w14:textId="77777777" w:rsidR="000438C1" w:rsidRDefault="00A94209">
      <w:pPr>
        <w:jc w:val="center"/>
        <w:rPr>
          <w:b/>
          <w:caps/>
          <w:szCs w:val="24"/>
        </w:rPr>
      </w:pPr>
      <w:r>
        <w:rPr>
          <w:b/>
          <w:caps/>
          <w:szCs w:val="24"/>
        </w:rPr>
        <w:t>Lietuvos Respublikos</w:t>
      </w:r>
    </w:p>
    <w:p w14:paraId="7A32AE97" w14:textId="77777777" w:rsidR="000438C1" w:rsidRDefault="00A94209">
      <w:pPr>
        <w:jc w:val="center"/>
        <w:rPr>
          <w:b/>
          <w:caps/>
          <w:szCs w:val="24"/>
        </w:rPr>
      </w:pPr>
      <w:r>
        <w:rPr>
          <w:b/>
          <w:caps/>
          <w:szCs w:val="24"/>
        </w:rPr>
        <w:t>GYVENTOJŲ PAJAMŲ mokesčio įstatymo NR. iX-1007</w:t>
      </w:r>
    </w:p>
    <w:p w14:paraId="0560C7C7" w14:textId="77777777" w:rsidR="000438C1" w:rsidRDefault="00A94209">
      <w:pPr>
        <w:ind w:firstLine="62"/>
        <w:jc w:val="center"/>
        <w:rPr>
          <w:b/>
          <w:caps/>
          <w:szCs w:val="24"/>
        </w:rPr>
      </w:pPr>
      <w:r>
        <w:rPr>
          <w:b/>
          <w:caps/>
          <w:szCs w:val="24"/>
        </w:rPr>
        <w:t xml:space="preserve">4 ir 17 straipsnių Pakeitimo </w:t>
      </w:r>
    </w:p>
    <w:p w14:paraId="6CDCC693" w14:textId="77777777" w:rsidR="000438C1" w:rsidRDefault="00A94209">
      <w:pPr>
        <w:jc w:val="center"/>
        <w:rPr>
          <w:b/>
          <w:caps/>
          <w:szCs w:val="24"/>
        </w:rPr>
      </w:pPr>
      <w:r>
        <w:rPr>
          <w:b/>
          <w:caps/>
          <w:szCs w:val="24"/>
        </w:rPr>
        <w:t>įstatymas</w:t>
      </w:r>
    </w:p>
    <w:p w14:paraId="6CBAF8D3" w14:textId="77777777" w:rsidR="000438C1" w:rsidRDefault="000438C1">
      <w:pPr>
        <w:jc w:val="center"/>
        <w:rPr>
          <w:b/>
          <w:caps/>
          <w:szCs w:val="24"/>
        </w:rPr>
      </w:pPr>
    </w:p>
    <w:p w14:paraId="5BE8A791" w14:textId="77777777" w:rsidR="000438C1" w:rsidRDefault="00A94209">
      <w:pPr>
        <w:jc w:val="center"/>
        <w:rPr>
          <w:szCs w:val="24"/>
        </w:rPr>
      </w:pPr>
      <w:r>
        <w:rPr>
          <w:szCs w:val="24"/>
        </w:rPr>
        <w:t>2021 m.</w:t>
      </w:r>
      <w:r>
        <w:rPr>
          <w:szCs w:val="24"/>
        </w:rPr>
        <w:tab/>
      </w:r>
      <w:r>
        <w:rPr>
          <w:szCs w:val="24"/>
        </w:rPr>
        <w:tab/>
        <w:t>d. Nr.</w:t>
      </w:r>
    </w:p>
    <w:p w14:paraId="07715BB1" w14:textId="77777777" w:rsidR="000438C1" w:rsidRDefault="00A94209">
      <w:pPr>
        <w:jc w:val="center"/>
        <w:rPr>
          <w:szCs w:val="24"/>
        </w:rPr>
      </w:pPr>
      <w:r>
        <w:rPr>
          <w:szCs w:val="24"/>
        </w:rPr>
        <w:t>Vilnius</w:t>
      </w:r>
    </w:p>
    <w:p w14:paraId="22D74C00" w14:textId="77777777" w:rsidR="000438C1" w:rsidRDefault="000438C1">
      <w:pPr>
        <w:ind w:firstLine="720"/>
        <w:jc w:val="both"/>
        <w:rPr>
          <w:rFonts w:ascii="TimesLT" w:hAnsi="TimesLT"/>
        </w:rPr>
      </w:pPr>
    </w:p>
    <w:p w14:paraId="388B6668" w14:textId="77777777" w:rsidR="000438C1" w:rsidRDefault="00A94209">
      <w:pPr>
        <w:ind w:firstLine="720"/>
        <w:jc w:val="both"/>
        <w:rPr>
          <w:b/>
          <w:szCs w:val="24"/>
        </w:rPr>
      </w:pPr>
      <w:r>
        <w:rPr>
          <w:b/>
          <w:szCs w:val="24"/>
        </w:rPr>
        <w:t>1 straipsnis. 4 straipsnio pakeitimas</w:t>
      </w:r>
    </w:p>
    <w:p w14:paraId="56E4656B" w14:textId="77777777" w:rsidR="000438C1" w:rsidRDefault="00A94209">
      <w:pPr>
        <w:ind w:firstLine="720"/>
        <w:jc w:val="both"/>
        <w:rPr>
          <w:szCs w:val="24"/>
        </w:rPr>
      </w:pPr>
      <w:r>
        <w:rPr>
          <w:szCs w:val="24"/>
        </w:rPr>
        <w:t>Pakeisti 4 straipsnio 2 dalies 1 punktą ir jį išdėstyti taip:</w:t>
      </w:r>
    </w:p>
    <w:p w14:paraId="13139835" w14:textId="77777777" w:rsidR="000438C1" w:rsidRDefault="00A94209">
      <w:pPr>
        <w:ind w:right="-50" w:firstLine="720"/>
        <w:jc w:val="both"/>
        <w:rPr>
          <w:szCs w:val="24"/>
          <w:lang w:eastAsia="lt-LT"/>
        </w:rPr>
      </w:pPr>
      <w:r>
        <w:rPr>
          <w:szCs w:val="24"/>
          <w:lang w:eastAsia="lt-LT"/>
        </w:rPr>
        <w:t>„1</w:t>
      </w:r>
      <w:r>
        <w:rPr>
          <w:szCs w:val="24"/>
          <w:lang w:eastAsia="lt-LT"/>
        </w:rPr>
        <w:t xml:space="preserve">) užsienio valstybės diplomatas, </w:t>
      </w:r>
      <w:r>
        <w:rPr>
          <w:szCs w:val="24"/>
        </w:rPr>
        <w:t>pagal tarptautinę teisę specialų statusą turinčio subjekto</w:t>
      </w:r>
      <w:r>
        <w:rPr>
          <w:szCs w:val="24"/>
          <w:lang w:eastAsia="lt-LT"/>
        </w:rPr>
        <w:t xml:space="preserve"> ar kito subjekto, </w:t>
      </w:r>
      <w:r>
        <w:rPr>
          <w:rFonts w:eastAsia="Calibri"/>
          <w:bCs/>
          <w:color w:val="000000"/>
          <w:szCs w:val="24"/>
        </w:rPr>
        <w:t>su kuriuo Lietuvos Respublikos tarptautinis bendradarbiavimas atitinka Lietuvos Respublikos Seimo priimtuose teisės aktuose nustatytus užsienio po</w:t>
      </w:r>
      <w:r>
        <w:rPr>
          <w:rFonts w:eastAsia="Calibri"/>
          <w:bCs/>
          <w:color w:val="000000"/>
          <w:szCs w:val="24"/>
        </w:rPr>
        <w:t>litikos ir nacionalinio saugumo tikslus,</w:t>
      </w:r>
      <w:r>
        <w:rPr>
          <w:szCs w:val="24"/>
          <w:lang w:eastAsia="lt-LT"/>
        </w:rPr>
        <w:t xml:space="preserve"> </w:t>
      </w:r>
      <w:r>
        <w:rPr>
          <w:szCs w:val="24"/>
          <w:shd w:val="clear" w:color="auto" w:fill="FFFFFF"/>
        </w:rPr>
        <w:t>atstovybės, akredituotos Lietuvos Respublikos Vyriausybės nustatyta tvarka, narys</w:t>
      </w:r>
      <w:r>
        <w:rPr>
          <w:szCs w:val="24"/>
          <w:lang w:eastAsia="lt-LT"/>
        </w:rPr>
        <w:t>, diplomatinės atstovybės, konsulinės įstaigos ar tarptautinės organizacijos atstovybės administracinio-techninio arba aptarnaujančioj</w:t>
      </w:r>
      <w:r>
        <w:rPr>
          <w:szCs w:val="24"/>
          <w:lang w:eastAsia="lt-LT"/>
        </w:rPr>
        <w:t>o personalo narys, taip pat kartu su minėtų atstovybių nariais gyvenantys šeimos nariai, jeigu šių atstovybių nariai ar kartu gyvenantys jų šeimos nariai yra ne Lietuvos Respublikos piliečiai (išskyrus asmenis be pilietybės, kurių nuolatinė gyvenamoji viet</w:t>
      </w:r>
      <w:r>
        <w:rPr>
          <w:szCs w:val="24"/>
          <w:lang w:eastAsia="lt-LT"/>
        </w:rPr>
        <w:t>a arba asmeninių, socialinių ar ekonominių interesų buvimo vieta mokestiniu laikotarpiu yra Lietuvoje)</w:t>
      </w:r>
      <w:r>
        <w:rPr>
          <w:szCs w:val="24"/>
          <w:shd w:val="clear" w:color="auto" w:fill="FFFFFF"/>
        </w:rPr>
        <w:t xml:space="preserve">, </w:t>
      </w:r>
      <w:r>
        <w:rPr>
          <w:szCs w:val="24"/>
          <w:lang w:eastAsia="lt-LT"/>
        </w:rPr>
        <w:t>arba“.</w:t>
      </w:r>
    </w:p>
    <w:p w14:paraId="71C2F707" w14:textId="77777777" w:rsidR="000438C1" w:rsidRDefault="000438C1">
      <w:pPr>
        <w:tabs>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F8BB636" w14:textId="77777777" w:rsidR="000438C1" w:rsidRDefault="00A94209">
      <w:pPr>
        <w:ind w:firstLine="720"/>
        <w:jc w:val="both"/>
        <w:rPr>
          <w:b/>
          <w:szCs w:val="24"/>
        </w:rPr>
      </w:pPr>
      <w:r>
        <w:rPr>
          <w:b/>
          <w:bCs/>
          <w:szCs w:val="24"/>
          <w:lang w:eastAsia="lt-LT"/>
        </w:rPr>
        <w:t>2 straipsnis. 17</w:t>
      </w:r>
      <w:r>
        <w:rPr>
          <w:b/>
          <w:szCs w:val="24"/>
        </w:rPr>
        <w:t xml:space="preserve"> straipsnio pakeitimas</w:t>
      </w:r>
    </w:p>
    <w:p w14:paraId="0DDA1A66" w14:textId="77777777" w:rsidR="000438C1" w:rsidRDefault="00A94209">
      <w:pPr>
        <w:ind w:firstLine="720"/>
        <w:jc w:val="both"/>
        <w:rPr>
          <w:szCs w:val="24"/>
        </w:rPr>
      </w:pPr>
      <w:r>
        <w:rPr>
          <w:szCs w:val="24"/>
        </w:rPr>
        <w:t>Papildyti 17 straipsnio 1 dalį 59 punktu:</w:t>
      </w:r>
    </w:p>
    <w:p w14:paraId="03337A4C" w14:textId="77777777" w:rsidR="000438C1" w:rsidRDefault="00A94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shd w:val="clear" w:color="auto" w:fill="FFFFFF"/>
        </w:rPr>
      </w:pPr>
      <w:r>
        <w:rPr>
          <w:szCs w:val="24"/>
        </w:rPr>
        <w:t>„59) pagal tarptautinę teisę specialų statusą turinčio subjekto</w:t>
      </w:r>
      <w:r>
        <w:rPr>
          <w:szCs w:val="24"/>
          <w:lang w:eastAsia="lt-LT"/>
        </w:rPr>
        <w:t xml:space="preserve"> ar </w:t>
      </w:r>
      <w:r>
        <w:rPr>
          <w:szCs w:val="24"/>
        </w:rPr>
        <w:t>k</w:t>
      </w:r>
      <w:r>
        <w:rPr>
          <w:szCs w:val="24"/>
          <w:lang w:eastAsia="lt-LT"/>
        </w:rPr>
        <w:t xml:space="preserve">ito subjekto, </w:t>
      </w:r>
      <w:r>
        <w:rPr>
          <w:rFonts w:eastAsia="Calibri"/>
          <w:bCs/>
          <w:szCs w:val="24"/>
        </w:rPr>
        <w:t>su kuriuo Lietuvos Respublikos tarptautinis bendradarbiavimas atitinka Lietuvos Respublikos Seimo priimtuose teisės aktuose nustatytus užsienio politikos ir nacionalinio saugumo tikslus,</w:t>
      </w:r>
      <w:r>
        <w:rPr>
          <w:szCs w:val="24"/>
          <w:lang w:eastAsia="lt-LT"/>
        </w:rPr>
        <w:t xml:space="preserve"> </w:t>
      </w:r>
      <w:r>
        <w:rPr>
          <w:szCs w:val="24"/>
          <w:shd w:val="clear" w:color="auto" w:fill="FFFFFF"/>
        </w:rPr>
        <w:t>atstovybės, akredituotos Lietuvos Respublikos Vyri</w:t>
      </w:r>
      <w:r>
        <w:rPr>
          <w:szCs w:val="24"/>
          <w:shd w:val="clear" w:color="auto" w:fill="FFFFFF"/>
        </w:rPr>
        <w:t>ausybės nustatyta tvarka, nario, jeigu jis nėra Lietuvos Respublikos pilietis arba nuolatinis gyventojas,</w:t>
      </w:r>
      <w:r>
        <w:rPr>
          <w:szCs w:val="24"/>
          <w:lang w:eastAsia="lt-LT"/>
        </w:rPr>
        <w:t xml:space="preserve"> </w:t>
      </w:r>
      <w:r>
        <w:rPr>
          <w:szCs w:val="24"/>
          <w:shd w:val="clear" w:color="auto" w:fill="FFFFFF"/>
        </w:rPr>
        <w:t>pajamos, susijusios</w:t>
      </w:r>
      <w:r>
        <w:rPr>
          <w:szCs w:val="24"/>
          <w:lang w:eastAsia="lt-LT"/>
        </w:rPr>
        <w:t xml:space="preserve"> su </w:t>
      </w:r>
      <w:r>
        <w:rPr>
          <w:szCs w:val="24"/>
          <w:shd w:val="clear" w:color="auto" w:fill="FFFFFF"/>
        </w:rPr>
        <w:t>darbu minėtų subjektų atstovybėse.“</w:t>
      </w:r>
    </w:p>
    <w:p w14:paraId="68E774C6" w14:textId="77777777" w:rsidR="000438C1" w:rsidRDefault="00043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szCs w:val="24"/>
          <w:lang w:eastAsia="lt-LT"/>
        </w:rPr>
      </w:pPr>
    </w:p>
    <w:p w14:paraId="1277AE7F" w14:textId="77777777" w:rsidR="000438C1" w:rsidRDefault="00A94209">
      <w:pPr>
        <w:tabs>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Cs w:val="24"/>
          <w:lang w:eastAsia="lt-LT"/>
        </w:rPr>
      </w:pPr>
      <w:r>
        <w:rPr>
          <w:b/>
          <w:bCs/>
          <w:szCs w:val="24"/>
          <w:lang w:eastAsia="lt-LT"/>
        </w:rPr>
        <w:t xml:space="preserve">3. straipsnis. </w:t>
      </w:r>
      <w:r>
        <w:rPr>
          <w:b/>
          <w:bCs/>
          <w:color w:val="000000"/>
          <w:szCs w:val="24"/>
          <w:lang w:eastAsia="lt-LT"/>
        </w:rPr>
        <w:t>Įstatymo įsigaliojimas ir taikymas</w:t>
      </w:r>
    </w:p>
    <w:p w14:paraId="146DEB19" w14:textId="77777777" w:rsidR="000438C1" w:rsidRDefault="00A94209">
      <w:pPr>
        <w:tabs>
          <w:tab w:val="left" w:pos="993"/>
        </w:tabs>
        <w:ind w:firstLine="709"/>
        <w:jc w:val="both"/>
        <w:rPr>
          <w:szCs w:val="24"/>
          <w:lang w:eastAsia="lt-LT"/>
        </w:rPr>
      </w:pPr>
      <w:r>
        <w:rPr>
          <w:szCs w:val="24"/>
          <w:lang w:eastAsia="lt-LT"/>
        </w:rPr>
        <w:t>1</w:t>
      </w:r>
      <w:r>
        <w:rPr>
          <w:szCs w:val="24"/>
          <w:lang w:eastAsia="lt-LT"/>
        </w:rPr>
        <w:t xml:space="preserve">. Šis įstatymas įsigalioja 2022 m. sausio 1 d. </w:t>
      </w:r>
    </w:p>
    <w:p w14:paraId="57E0D0F5" w14:textId="77777777" w:rsidR="000438C1" w:rsidRDefault="00A94209">
      <w:pPr>
        <w:tabs>
          <w:tab w:val="left" w:pos="993"/>
        </w:tabs>
        <w:ind w:firstLine="709"/>
        <w:jc w:val="both"/>
        <w:rPr>
          <w:szCs w:val="24"/>
          <w:lang w:eastAsia="lt-LT"/>
        </w:rPr>
      </w:pPr>
      <w:r>
        <w:rPr>
          <w:szCs w:val="24"/>
          <w:lang w:eastAsia="lt-LT"/>
        </w:rPr>
        <w:t>2. Šis įstatymas taikomas apskaičiuojant ir deklaruojant 2022 metų ir vėlesnių mokestinių laikotarpių pajamas.</w:t>
      </w:r>
    </w:p>
    <w:p w14:paraId="66BD2DA7" w14:textId="77777777" w:rsidR="000438C1" w:rsidRDefault="000438C1">
      <w:pPr>
        <w:tabs>
          <w:tab w:val="left" w:pos="993"/>
        </w:tabs>
        <w:ind w:firstLine="709"/>
        <w:jc w:val="both"/>
        <w:rPr>
          <w:b/>
          <w:bCs/>
          <w:color w:val="000000"/>
          <w:szCs w:val="24"/>
          <w:lang w:eastAsia="lt-LT"/>
        </w:rPr>
      </w:pPr>
    </w:p>
    <w:p w14:paraId="028D5A08" w14:textId="77777777" w:rsidR="000438C1" w:rsidRDefault="00A94209">
      <w:pPr>
        <w:ind w:firstLine="720"/>
        <w:jc w:val="both"/>
        <w:rPr>
          <w:i/>
          <w:szCs w:val="24"/>
        </w:rPr>
      </w:pPr>
      <w:r>
        <w:rPr>
          <w:i/>
          <w:szCs w:val="24"/>
        </w:rPr>
        <w:t>Skelbiu šį Lietuvos Respublikos Seimo priimtą įstatymą.</w:t>
      </w:r>
    </w:p>
    <w:p w14:paraId="03C389C6" w14:textId="77777777" w:rsidR="000438C1" w:rsidRDefault="000438C1">
      <w:pPr>
        <w:jc w:val="both"/>
        <w:rPr>
          <w:szCs w:val="24"/>
        </w:rPr>
      </w:pPr>
    </w:p>
    <w:p w14:paraId="7F89327E" w14:textId="77777777" w:rsidR="000438C1" w:rsidRDefault="00A94209">
      <w:pPr>
        <w:jc w:val="both"/>
        <w:rPr>
          <w:szCs w:val="24"/>
        </w:rPr>
      </w:pPr>
      <w:r>
        <w:rPr>
          <w:szCs w:val="24"/>
        </w:rPr>
        <w:t>Respublikos Prezidentas</w:t>
      </w:r>
    </w:p>
    <w:p w14:paraId="4D62FA22" w14:textId="77777777" w:rsidR="000438C1" w:rsidRDefault="000438C1">
      <w:pPr>
        <w:jc w:val="both"/>
        <w:rPr>
          <w:szCs w:val="24"/>
        </w:rPr>
      </w:pPr>
    </w:p>
    <w:p w14:paraId="6922CA55" w14:textId="77777777" w:rsidR="000438C1" w:rsidRDefault="000438C1">
      <w:pPr>
        <w:jc w:val="both"/>
        <w:rPr>
          <w:szCs w:val="24"/>
        </w:rPr>
      </w:pPr>
    </w:p>
    <w:p w14:paraId="76B912DD" w14:textId="77777777" w:rsidR="000438C1" w:rsidRDefault="00A94209">
      <w:pPr>
        <w:jc w:val="both"/>
        <w:rPr>
          <w:szCs w:val="24"/>
        </w:rPr>
      </w:pPr>
      <w:r>
        <w:rPr>
          <w:szCs w:val="24"/>
        </w:rPr>
        <w:t>Teikia</w:t>
      </w:r>
      <w:r>
        <w:rPr>
          <w:rFonts w:ascii="TimesLT" w:hAnsi="TimesLT"/>
        </w:rPr>
        <w:t xml:space="preserve"> Seimo </w:t>
      </w:r>
      <w:r>
        <w:rPr>
          <w:rFonts w:ascii="TimesLT" w:hAnsi="TimesLT"/>
        </w:rPr>
        <w:t>nariai</w:t>
      </w:r>
      <w:r>
        <w:rPr>
          <w:szCs w:val="24"/>
        </w:rPr>
        <w:t>:</w:t>
      </w:r>
    </w:p>
    <w:p w14:paraId="3515AF62" w14:textId="77777777" w:rsidR="000438C1" w:rsidRDefault="000438C1">
      <w:pPr>
        <w:jc w:val="both"/>
        <w:rPr>
          <w:rFonts w:ascii="TimesLT" w:hAnsi="TimesLT"/>
        </w:rPr>
        <w:sectPr w:rsidR="000438C1">
          <w:pgSz w:w="11906" w:h="16838"/>
          <w:pgMar w:top="1134" w:right="567" w:bottom="1134" w:left="1701" w:header="567" w:footer="567" w:gutter="0"/>
          <w:cols w:space="1296"/>
          <w:docGrid w:linePitch="360"/>
        </w:sectPr>
      </w:pPr>
    </w:p>
    <w:p w14:paraId="1BF60943" w14:textId="77777777" w:rsidR="000438C1" w:rsidRDefault="00A94209">
      <w:pPr>
        <w:jc w:val="both"/>
        <w:rPr>
          <w:rFonts w:ascii="TimesLT" w:hAnsi="TimesLT"/>
        </w:rPr>
      </w:pPr>
      <w:r>
        <w:rPr>
          <w:rFonts w:ascii="TimesLT" w:hAnsi="TimesLT"/>
        </w:rPr>
        <w:t>Andrius Vyšniauskas</w:t>
      </w:r>
    </w:p>
    <w:p w14:paraId="48CE0DD4" w14:textId="77777777" w:rsidR="000438C1" w:rsidRDefault="00A94209">
      <w:pPr>
        <w:jc w:val="both"/>
        <w:rPr>
          <w:rFonts w:ascii="TimesLT" w:hAnsi="TimesLT"/>
        </w:rPr>
      </w:pPr>
      <w:r>
        <w:rPr>
          <w:rFonts w:ascii="TimesLT" w:hAnsi="TimesLT"/>
        </w:rPr>
        <w:t xml:space="preserve">Dovilė </w:t>
      </w:r>
      <w:proofErr w:type="spellStart"/>
      <w:r>
        <w:rPr>
          <w:rFonts w:ascii="TimesLT" w:hAnsi="TimesLT"/>
        </w:rPr>
        <w:t>Šakalienė</w:t>
      </w:r>
      <w:proofErr w:type="spellEnd"/>
    </w:p>
    <w:p w14:paraId="23F56A97" w14:textId="77777777" w:rsidR="000438C1" w:rsidRDefault="00A94209">
      <w:pPr>
        <w:jc w:val="both"/>
        <w:rPr>
          <w:rFonts w:ascii="TimesLT" w:hAnsi="TimesLT"/>
        </w:rPr>
      </w:pPr>
      <w:r>
        <w:rPr>
          <w:rFonts w:ascii="TimesLT" w:hAnsi="TimesLT"/>
        </w:rPr>
        <w:t>Kazys Starkevičius</w:t>
      </w:r>
    </w:p>
    <w:p w14:paraId="1906DDE7" w14:textId="77777777" w:rsidR="000438C1" w:rsidRDefault="00A94209">
      <w:pPr>
        <w:jc w:val="both"/>
        <w:rPr>
          <w:rFonts w:ascii="TimesLT" w:hAnsi="TimesLT"/>
        </w:rPr>
      </w:pPr>
      <w:r>
        <w:rPr>
          <w:rFonts w:ascii="TimesLT" w:hAnsi="TimesLT"/>
        </w:rPr>
        <w:t>Vytautas Mitalas</w:t>
      </w:r>
    </w:p>
    <w:p w14:paraId="377B9F7D" w14:textId="77777777" w:rsidR="000438C1" w:rsidRDefault="00A94209">
      <w:pPr>
        <w:jc w:val="both"/>
        <w:rPr>
          <w:rFonts w:ascii="TimesLT" w:hAnsi="TimesLT"/>
        </w:rPr>
      </w:pPr>
      <w:r>
        <w:rPr>
          <w:rFonts w:ascii="TimesLT" w:hAnsi="TimesLT"/>
        </w:rPr>
        <w:t xml:space="preserve">Vytautas </w:t>
      </w:r>
      <w:proofErr w:type="spellStart"/>
      <w:r>
        <w:rPr>
          <w:rFonts w:ascii="TimesLT" w:hAnsi="TimesLT"/>
        </w:rPr>
        <w:t>Gapšys</w:t>
      </w:r>
      <w:proofErr w:type="spellEnd"/>
    </w:p>
    <w:p w14:paraId="1CA25D92" w14:textId="77777777" w:rsidR="000438C1" w:rsidRDefault="00A94209">
      <w:pPr>
        <w:jc w:val="both"/>
        <w:rPr>
          <w:rFonts w:ascii="TimesLT" w:hAnsi="TimesLT"/>
        </w:rPr>
      </w:pPr>
      <w:r>
        <w:rPr>
          <w:rFonts w:ascii="TimesLT" w:hAnsi="TimesLT"/>
        </w:rPr>
        <w:t>Emanuelis Zingeris</w:t>
      </w:r>
    </w:p>
    <w:p w14:paraId="1BEC77BE" w14:textId="77777777" w:rsidR="000438C1" w:rsidRDefault="00A94209">
      <w:pPr>
        <w:jc w:val="both"/>
        <w:rPr>
          <w:rFonts w:ascii="TimesLT" w:hAnsi="TimesLT"/>
        </w:rPr>
      </w:pPr>
      <w:r>
        <w:rPr>
          <w:rFonts w:ascii="TimesLT" w:hAnsi="TimesLT"/>
        </w:rPr>
        <w:t>Rūta Miliūtė</w:t>
      </w:r>
    </w:p>
    <w:p w14:paraId="59BA755C" w14:textId="77777777" w:rsidR="000438C1" w:rsidRDefault="00A94209">
      <w:pPr>
        <w:jc w:val="both"/>
        <w:rPr>
          <w:rFonts w:ascii="TimesLT" w:hAnsi="TimesLT"/>
        </w:rPr>
      </w:pPr>
      <w:r>
        <w:rPr>
          <w:rFonts w:ascii="TimesLT" w:hAnsi="TimesLT"/>
        </w:rPr>
        <w:t xml:space="preserve">Marius </w:t>
      </w:r>
      <w:proofErr w:type="spellStart"/>
      <w:r>
        <w:rPr>
          <w:rFonts w:ascii="TimesLT" w:hAnsi="TimesLT"/>
        </w:rPr>
        <w:t>Matijošaitis</w:t>
      </w:r>
      <w:proofErr w:type="spellEnd"/>
    </w:p>
    <w:p w14:paraId="6135333F" w14:textId="77777777" w:rsidR="000438C1" w:rsidRDefault="00A94209">
      <w:pPr>
        <w:jc w:val="both"/>
        <w:rPr>
          <w:rFonts w:ascii="TimesLT" w:hAnsi="TimesLT"/>
        </w:rPr>
      </w:pPr>
      <w:r>
        <w:rPr>
          <w:rFonts w:ascii="TimesLT" w:hAnsi="TimesLT"/>
        </w:rPr>
        <w:t xml:space="preserve">Laurynas </w:t>
      </w:r>
      <w:proofErr w:type="spellStart"/>
      <w:r>
        <w:rPr>
          <w:rFonts w:ascii="TimesLT" w:hAnsi="TimesLT"/>
        </w:rPr>
        <w:t>Kasčiūnas</w:t>
      </w:r>
      <w:proofErr w:type="spellEnd"/>
    </w:p>
    <w:p w14:paraId="50FBD625" w14:textId="77777777" w:rsidR="000438C1" w:rsidRDefault="00A94209">
      <w:pPr>
        <w:jc w:val="both"/>
        <w:rPr>
          <w:rFonts w:ascii="TimesLT" w:hAnsi="TimesLT"/>
        </w:rPr>
      </w:pPr>
      <w:r>
        <w:rPr>
          <w:rFonts w:ascii="TimesLT" w:hAnsi="TimesLT"/>
        </w:rPr>
        <w:t>Matas Maldeikis</w:t>
      </w:r>
    </w:p>
    <w:p w14:paraId="6853369C" w14:textId="77777777" w:rsidR="000438C1" w:rsidRDefault="00A94209">
      <w:pPr>
        <w:jc w:val="both"/>
        <w:rPr>
          <w:rFonts w:ascii="TimesLT" w:hAnsi="TimesLT"/>
        </w:rPr>
      </w:pPr>
      <w:r>
        <w:rPr>
          <w:rFonts w:ascii="TimesLT" w:hAnsi="TimesLT"/>
        </w:rPr>
        <w:t>Arminas Lydeka</w:t>
      </w:r>
    </w:p>
    <w:p w14:paraId="5B62F176" w14:textId="77777777" w:rsidR="000438C1" w:rsidRDefault="00A94209">
      <w:pPr>
        <w:jc w:val="both"/>
        <w:rPr>
          <w:rFonts w:ascii="TimesLT" w:hAnsi="TimesLT"/>
        </w:rPr>
      </w:pPr>
      <w:r>
        <w:rPr>
          <w:rFonts w:ascii="TimesLT" w:hAnsi="TimesLT"/>
        </w:rPr>
        <w:t xml:space="preserve">Tomas </w:t>
      </w:r>
      <w:proofErr w:type="spellStart"/>
      <w:r>
        <w:rPr>
          <w:rFonts w:ascii="TimesLT" w:hAnsi="TimesLT"/>
        </w:rPr>
        <w:t>Tomilinas</w:t>
      </w:r>
      <w:proofErr w:type="spellEnd"/>
    </w:p>
    <w:p w14:paraId="7DD62031" w14:textId="77777777" w:rsidR="000438C1" w:rsidRDefault="00A94209">
      <w:pPr>
        <w:jc w:val="both"/>
        <w:rPr>
          <w:rFonts w:ascii="TimesLT" w:hAnsi="TimesLT"/>
        </w:rPr>
      </w:pPr>
      <w:r>
        <w:rPr>
          <w:rFonts w:ascii="TimesLT" w:hAnsi="TimesLT"/>
        </w:rPr>
        <w:t>Arvydas Nekrošius</w:t>
      </w:r>
    </w:p>
    <w:p w14:paraId="1A9E0053" w14:textId="77777777" w:rsidR="000438C1" w:rsidRDefault="00A94209">
      <w:pPr>
        <w:jc w:val="both"/>
        <w:rPr>
          <w:rFonts w:ascii="TimesLT" w:hAnsi="TimesLT"/>
        </w:rPr>
      </w:pPr>
      <w:r>
        <w:rPr>
          <w:rFonts w:ascii="TimesLT" w:hAnsi="TimesLT"/>
        </w:rPr>
        <w:t>Vytautas Bakas</w:t>
      </w:r>
    </w:p>
    <w:p w14:paraId="3A7F21D5" w14:textId="77777777" w:rsidR="000438C1" w:rsidRDefault="00A94209">
      <w:pPr>
        <w:jc w:val="both"/>
        <w:rPr>
          <w:rFonts w:ascii="TimesLT" w:hAnsi="TimesLT"/>
        </w:rPr>
      </w:pPr>
      <w:r>
        <w:rPr>
          <w:rFonts w:ascii="TimesLT" w:hAnsi="TimesLT"/>
        </w:rPr>
        <w:t>Domas Griškevičius</w:t>
      </w:r>
    </w:p>
    <w:p w14:paraId="3A41AC44" w14:textId="77777777" w:rsidR="000438C1" w:rsidRDefault="00A94209">
      <w:pPr>
        <w:jc w:val="both"/>
        <w:rPr>
          <w:rFonts w:ascii="TimesLT" w:hAnsi="TimesLT"/>
        </w:rPr>
      </w:pPr>
      <w:r>
        <w:rPr>
          <w:rFonts w:ascii="TimesLT" w:hAnsi="TimesLT"/>
        </w:rPr>
        <w:t>Laima Andrikienė</w:t>
      </w:r>
    </w:p>
    <w:p w14:paraId="047A75E9" w14:textId="77777777" w:rsidR="000438C1" w:rsidRDefault="00A94209">
      <w:pPr>
        <w:jc w:val="both"/>
        <w:rPr>
          <w:rFonts w:ascii="TimesLT" w:hAnsi="TimesLT"/>
        </w:rPr>
      </w:pPr>
      <w:r>
        <w:rPr>
          <w:rFonts w:ascii="TimesLT" w:hAnsi="TimesLT"/>
        </w:rPr>
        <w:t>Radvilė Morkūnaitė-Mikulėnienė</w:t>
      </w:r>
    </w:p>
    <w:p w14:paraId="690A30E0" w14:textId="77777777" w:rsidR="000438C1" w:rsidRDefault="00A94209">
      <w:pPr>
        <w:jc w:val="both"/>
        <w:rPr>
          <w:rFonts w:ascii="TimesLT" w:hAnsi="TimesLT"/>
        </w:rPr>
      </w:pPr>
      <w:r>
        <w:rPr>
          <w:rFonts w:ascii="TimesLT" w:hAnsi="TimesLT"/>
        </w:rPr>
        <w:t>Žygimantas Pavilionis</w:t>
      </w:r>
    </w:p>
    <w:sectPr w:rsidR="000438C1">
      <w:type w:val="continuous"/>
      <w:pgSz w:w="11906" w:h="16838"/>
      <w:pgMar w:top="1134" w:right="567" w:bottom="1134" w:left="1701" w:header="567" w:footer="567" w:gutter="0"/>
      <w:cols w:num="2"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29"/>
    <w:rsid w:val="000438C1"/>
    <w:rsid w:val="00A94209"/>
    <w:rsid w:val="00C933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E74D"/>
  <w15:docId w15:val="{3865A1DD-8031-4263-BD07-8820326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1489</Words>
  <Characters>850</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Kvedytė</dc:creator>
  <cp:lastModifiedBy>Piotr Gerasimovič</cp:lastModifiedBy>
  <cp:revision>2</cp:revision>
  <cp:lastPrinted>2021-11-22T08:16:00Z</cp:lastPrinted>
  <dcterms:created xsi:type="dcterms:W3CDTF">2021-12-02T07:07:00Z</dcterms:created>
  <dcterms:modified xsi:type="dcterms:W3CDTF">2021-12-02T07:07:00Z</dcterms:modified>
</cp:coreProperties>
</file>