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39853B" w14:textId="1E8DCD9D" w:rsidR="00A3786D" w:rsidRPr="006B624E" w:rsidRDefault="008D4ABB" w:rsidP="001E347A">
      <w:pPr>
        <w:widowControl w:val="0"/>
        <w:jc w:val="center"/>
        <w:rPr>
          <w:b/>
        </w:rPr>
      </w:pPr>
      <w:r w:rsidRPr="006B624E">
        <w:rPr>
          <w:b/>
        </w:rPr>
        <w:t xml:space="preserve">LIETUVOS RESPUBLIKOS </w:t>
      </w:r>
      <w:r w:rsidR="003D54BD" w:rsidRPr="006B624E">
        <w:rPr>
          <w:b/>
        </w:rPr>
        <w:t>NEVYRIAUSYBINIŲ ORGANIZACIJŲ PLĖTROS</w:t>
      </w:r>
      <w:r w:rsidRPr="006B624E">
        <w:rPr>
          <w:b/>
        </w:rPr>
        <w:t xml:space="preserve"> ĮSTATYMO NR. </w:t>
      </w:r>
      <w:r w:rsidR="006F1B64" w:rsidRPr="006B624E">
        <w:rPr>
          <w:b/>
          <w:bCs/>
          <w:caps/>
        </w:rPr>
        <w:t xml:space="preserve">XII-717 </w:t>
      </w:r>
      <w:r w:rsidR="00A3786D" w:rsidRPr="006B624E">
        <w:rPr>
          <w:b/>
          <w:bCs/>
          <w:caps/>
        </w:rPr>
        <w:t xml:space="preserve">2, 5, 6, </w:t>
      </w:r>
      <w:r w:rsidR="006A54FB">
        <w:rPr>
          <w:b/>
          <w:bCs/>
          <w:caps/>
        </w:rPr>
        <w:t xml:space="preserve">7, </w:t>
      </w:r>
      <w:r w:rsidR="00A3786D" w:rsidRPr="006B624E">
        <w:rPr>
          <w:b/>
          <w:bCs/>
          <w:caps/>
        </w:rPr>
        <w:t>8 ir 9 straipsniųpakeitimo projekto</w:t>
      </w:r>
      <w:r w:rsidR="001E347A" w:rsidRPr="006B624E">
        <w:rPr>
          <w:b/>
        </w:rPr>
        <w:t xml:space="preserve"> </w:t>
      </w:r>
    </w:p>
    <w:p w14:paraId="2EB6246F" w14:textId="09F4C516" w:rsidR="00A85F8D" w:rsidRPr="006B624E" w:rsidRDefault="00A85F8D" w:rsidP="001E347A">
      <w:pPr>
        <w:widowControl w:val="0"/>
        <w:jc w:val="center"/>
        <w:rPr>
          <w:b/>
        </w:rPr>
      </w:pPr>
      <w:r w:rsidRPr="006B624E">
        <w:rPr>
          <w:b/>
        </w:rPr>
        <w:t>DERINIMO PAŽYMA</w:t>
      </w:r>
    </w:p>
    <w:p w14:paraId="1CA0714C" w14:textId="162691AC" w:rsidR="00A85F8D" w:rsidRPr="006B624E" w:rsidRDefault="00A85F8D" w:rsidP="00D53986">
      <w:pPr>
        <w:jc w:val="center"/>
        <w:rPr>
          <w:b/>
        </w:rPr>
      </w:pPr>
    </w:p>
    <w:p w14:paraId="60AF326C" w14:textId="3C2E4941" w:rsidR="00A3786D" w:rsidRPr="006B624E" w:rsidRDefault="00A3786D" w:rsidP="00D53986">
      <w:pPr>
        <w:jc w:val="center"/>
        <w:rPr>
          <w:b/>
        </w:rPr>
      </w:pPr>
    </w:p>
    <w:p w14:paraId="56BD0B4B" w14:textId="77777777" w:rsidR="00A3786D" w:rsidRPr="006B624E" w:rsidRDefault="00A3786D" w:rsidP="00D53986">
      <w:pPr>
        <w:jc w:val="center"/>
        <w:rPr>
          <w:b/>
        </w:rPr>
      </w:pPr>
    </w:p>
    <w:tbl>
      <w:tblPr>
        <w:tblW w:w="14601"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176"/>
        <w:gridCol w:w="6214"/>
        <w:gridCol w:w="6211"/>
      </w:tblGrid>
      <w:tr w:rsidR="006B624E" w:rsidRPr="006B624E" w14:paraId="69D8966F" w14:textId="77777777" w:rsidTr="00AC3F90">
        <w:trPr>
          <w:trHeight w:val="423"/>
        </w:trPr>
        <w:tc>
          <w:tcPr>
            <w:tcW w:w="2176" w:type="dxa"/>
            <w:shd w:val="clear" w:color="auto" w:fill="auto"/>
            <w:vAlign w:val="center"/>
          </w:tcPr>
          <w:p w14:paraId="52272236" w14:textId="77777777" w:rsidR="00F310EB" w:rsidRPr="006B624E" w:rsidRDefault="00F310EB" w:rsidP="00D53986">
            <w:pPr>
              <w:jc w:val="center"/>
              <w:rPr>
                <w:b/>
              </w:rPr>
            </w:pPr>
            <w:r w:rsidRPr="006B624E">
              <w:rPr>
                <w:b/>
              </w:rPr>
              <w:t>Institucijos pavadinimas, rašto data ir numeris</w:t>
            </w:r>
          </w:p>
        </w:tc>
        <w:tc>
          <w:tcPr>
            <w:tcW w:w="6214" w:type="dxa"/>
            <w:shd w:val="clear" w:color="auto" w:fill="auto"/>
            <w:vAlign w:val="center"/>
          </w:tcPr>
          <w:p w14:paraId="425854E6" w14:textId="77777777" w:rsidR="00F310EB" w:rsidRPr="006B624E" w:rsidRDefault="00F310EB" w:rsidP="00D53986">
            <w:pPr>
              <w:jc w:val="center"/>
              <w:rPr>
                <w:b/>
                <w:iCs/>
              </w:rPr>
            </w:pPr>
            <w:r w:rsidRPr="006B624E">
              <w:rPr>
                <w:b/>
                <w:iCs/>
              </w:rPr>
              <w:t>Pastabos ir pasiūlymai</w:t>
            </w:r>
          </w:p>
        </w:tc>
        <w:tc>
          <w:tcPr>
            <w:tcW w:w="6211" w:type="dxa"/>
            <w:shd w:val="clear" w:color="auto" w:fill="auto"/>
            <w:vAlign w:val="center"/>
          </w:tcPr>
          <w:p w14:paraId="51BDC8E1" w14:textId="77777777" w:rsidR="00F310EB" w:rsidRPr="006B624E" w:rsidRDefault="00F310EB" w:rsidP="00D53986">
            <w:pPr>
              <w:jc w:val="center"/>
              <w:rPr>
                <w:b/>
                <w:iCs/>
              </w:rPr>
            </w:pPr>
            <w:r w:rsidRPr="006B624E">
              <w:rPr>
                <w:b/>
                <w:iCs/>
              </w:rPr>
              <w:t>Žyma apie pastabas ir pasiūlymus, į kuriuos</w:t>
            </w:r>
          </w:p>
          <w:p w14:paraId="78D04AF5" w14:textId="77777777" w:rsidR="00F310EB" w:rsidRPr="006B624E" w:rsidRDefault="00F310EB" w:rsidP="00D53986">
            <w:pPr>
              <w:jc w:val="center"/>
              <w:rPr>
                <w:b/>
                <w:iCs/>
              </w:rPr>
            </w:pPr>
            <w:r w:rsidRPr="006B624E">
              <w:rPr>
                <w:b/>
                <w:iCs/>
              </w:rPr>
              <w:t>neatsižvelgta ar atsižvelgta iš dalies</w:t>
            </w:r>
          </w:p>
        </w:tc>
      </w:tr>
      <w:tr w:rsidR="006B624E" w:rsidRPr="006B624E" w14:paraId="248F5AED" w14:textId="77777777" w:rsidTr="00AC3F90">
        <w:trPr>
          <w:trHeight w:val="423"/>
        </w:trPr>
        <w:tc>
          <w:tcPr>
            <w:tcW w:w="2176" w:type="dxa"/>
            <w:shd w:val="clear" w:color="auto" w:fill="auto"/>
          </w:tcPr>
          <w:p w14:paraId="350FFCDD" w14:textId="50BF2F55" w:rsidR="00D15CB5" w:rsidRPr="006B624E" w:rsidRDefault="00D15CB5" w:rsidP="00524B70">
            <w:r w:rsidRPr="006B624E">
              <w:t xml:space="preserve">Lietuvos Respublikos </w:t>
            </w:r>
            <w:r w:rsidR="001843C1" w:rsidRPr="006B624E">
              <w:t>finansų</w:t>
            </w:r>
            <w:r w:rsidRPr="006B624E">
              <w:t xml:space="preserve"> ministerijos 20</w:t>
            </w:r>
            <w:r w:rsidR="00750FF1" w:rsidRPr="006B624E">
              <w:t>2</w:t>
            </w:r>
            <w:r w:rsidRPr="006B624E">
              <w:t>1-</w:t>
            </w:r>
            <w:r w:rsidR="00750FF1" w:rsidRPr="006B624E">
              <w:t>11</w:t>
            </w:r>
            <w:r w:rsidRPr="006B624E">
              <w:t>-</w:t>
            </w:r>
            <w:r w:rsidR="00750FF1" w:rsidRPr="006B624E">
              <w:t>15</w:t>
            </w:r>
            <w:r w:rsidRPr="006B624E">
              <w:t xml:space="preserve"> raštas Nr.</w:t>
            </w:r>
            <w:r w:rsidR="00524B70" w:rsidRPr="006B624E">
              <w:t> </w:t>
            </w:r>
            <w:r w:rsidR="00750FF1" w:rsidRPr="006B624E">
              <w:t>((2.34Mr-02)-5K-2118589)-6K-2106632</w:t>
            </w:r>
          </w:p>
        </w:tc>
        <w:tc>
          <w:tcPr>
            <w:tcW w:w="6214" w:type="dxa"/>
            <w:shd w:val="clear" w:color="auto" w:fill="auto"/>
          </w:tcPr>
          <w:p w14:paraId="500A7B06" w14:textId="77777777" w:rsidR="00750FF1" w:rsidRPr="006B624E" w:rsidRDefault="00750FF1" w:rsidP="00750FF1">
            <w:pPr>
              <w:contextualSpacing/>
              <w:jc w:val="both"/>
            </w:pPr>
            <w:r w:rsidRPr="006B624E">
              <w:t>Atsižvelgdami į tai, kad pagal Biudžeto sandaros įstatymo nuostatas Lietuvos Respublikoje surenkami mokesčiai, privalomos įmokos ir rinkliavos gali būti perskirstomi tik per valstybės biudžetą ir savivaldybių biudžetus, Valstybinio socialinio draudimo fondą, Privalomojo sveikatos draudimo fondą, Rezervinį (stabilizavimo) fondą, Garantinį fondą, Ilgalaikio darbo išmokų fondą, kad p</w:t>
            </w:r>
            <w:r w:rsidRPr="006B624E">
              <w:rPr>
                <w:shd w:val="clear" w:color="auto" w:fill="FFFFFF"/>
              </w:rPr>
              <w:t>agal Konstituciją </w:t>
            </w:r>
            <w:r w:rsidRPr="006B624E">
              <w:rPr>
                <w:rStyle w:val="Grietas"/>
                <w:b w:val="0"/>
                <w:bCs w:val="0"/>
                <w:shd w:val="clear" w:color="auto" w:fill="FFFFFF"/>
              </w:rPr>
              <w:t>Vyriausybė turi įgaliojimus valstybės biudžeto projekte numatyti, kiek lėšų ir iš kokių pajamų šaltinių turėtų būti gauta, kiek lėšų ir kokiems tikslams turėtų būti skirta</w:t>
            </w:r>
            <w:r w:rsidRPr="006B624E">
              <w:rPr>
                <w:b/>
                <w:bCs/>
                <w:shd w:val="clear" w:color="auto" w:fill="FFFFFF"/>
              </w:rPr>
              <w:t>,</w:t>
            </w:r>
            <w:r w:rsidRPr="006B624E">
              <w:rPr>
                <w:b/>
                <w:shd w:val="clear" w:color="auto" w:fill="FFFFFF"/>
              </w:rPr>
              <w:t xml:space="preserve"> </w:t>
            </w:r>
            <w:r w:rsidRPr="006B624E">
              <w:rPr>
                <w:shd w:val="clear" w:color="auto" w:fill="FFFFFF"/>
              </w:rPr>
              <w:t>taip pat į tai, kad</w:t>
            </w:r>
            <w:r w:rsidRPr="006B624E">
              <w:rPr>
                <w:b/>
                <w:shd w:val="clear" w:color="auto" w:fill="FFFFFF"/>
              </w:rPr>
              <w:t xml:space="preserve"> </w:t>
            </w:r>
            <w:r w:rsidRPr="006B624E">
              <w:t xml:space="preserve">nuo 2022 m. sausio 1 d. Nevyriausybinių organizacijų fondui numatomos skirti valstybės biudžeto lėšos nenurodant valstybės biudžeto pajamų šaltinio, </w:t>
            </w:r>
            <w:r w:rsidRPr="006B624E">
              <w:rPr>
                <w:i/>
                <w:iCs/>
              </w:rPr>
              <w:t>siūlome nesieti šio fondo lėšų su konkrečiu pajamų šaltiniu, t. y. pajamomis iš gyventojų pajamų mokesčio ir tikslinti įstatymo projekto 5 straipsniu keičiamo įstatymo 9 straipsnio 2 dalį ir ją išdėstyti taip: „</w:t>
            </w:r>
            <w:r w:rsidRPr="006B624E">
              <w:rPr>
                <w:bCs/>
                <w:i/>
                <w:iCs/>
              </w:rPr>
              <w:t>Fondo lėšos sudaromos iš Socialinės apsaugos ir darbo ministerijai skiriamų asignavimų ir iš kitų teisėtai gautų lėšų.“.</w:t>
            </w:r>
            <w:r w:rsidRPr="006B624E">
              <w:rPr>
                <w:bCs/>
              </w:rPr>
              <w:t xml:space="preserve"> </w:t>
            </w:r>
          </w:p>
          <w:p w14:paraId="19CACE99" w14:textId="77777777" w:rsidR="00D15CB5" w:rsidRPr="006B624E" w:rsidRDefault="00D15CB5" w:rsidP="00D53986">
            <w:pPr>
              <w:pStyle w:val="Sraopastraipa"/>
              <w:spacing w:before="0" w:beforeAutospacing="0" w:after="0" w:afterAutospacing="0"/>
              <w:ind w:left="653"/>
              <w:contextualSpacing/>
              <w:jc w:val="both"/>
              <w:rPr>
                <w:i/>
              </w:rPr>
            </w:pPr>
          </w:p>
          <w:p w14:paraId="14647BC8" w14:textId="77777777" w:rsidR="0099414D" w:rsidRPr="006B624E" w:rsidRDefault="0099414D" w:rsidP="0099414D">
            <w:pPr>
              <w:pStyle w:val="Sraopastraipa"/>
              <w:spacing w:before="0" w:beforeAutospacing="0" w:after="0" w:afterAutospacing="0"/>
              <w:ind w:left="653"/>
              <w:contextualSpacing/>
              <w:jc w:val="both"/>
              <w:rPr>
                <w:rFonts w:eastAsiaTheme="minorHAnsi"/>
                <w:lang w:eastAsia="en-US"/>
              </w:rPr>
            </w:pPr>
          </w:p>
          <w:p w14:paraId="6DED63F9" w14:textId="77777777" w:rsidR="0099414D" w:rsidRPr="006B624E" w:rsidRDefault="0099414D" w:rsidP="0099414D">
            <w:pPr>
              <w:pStyle w:val="Sraopastraipa"/>
              <w:spacing w:before="0" w:beforeAutospacing="0" w:after="0" w:afterAutospacing="0"/>
              <w:ind w:left="653"/>
              <w:contextualSpacing/>
              <w:jc w:val="both"/>
              <w:rPr>
                <w:rFonts w:eastAsiaTheme="minorHAnsi"/>
                <w:lang w:eastAsia="en-US"/>
              </w:rPr>
            </w:pPr>
          </w:p>
          <w:p w14:paraId="472129C3" w14:textId="77777777" w:rsidR="0099414D" w:rsidRPr="006B624E" w:rsidRDefault="0099414D" w:rsidP="0099414D">
            <w:pPr>
              <w:pStyle w:val="Sraopastraipa"/>
              <w:spacing w:before="0" w:beforeAutospacing="0" w:after="0" w:afterAutospacing="0"/>
              <w:ind w:left="653"/>
              <w:contextualSpacing/>
              <w:jc w:val="both"/>
              <w:rPr>
                <w:rFonts w:eastAsiaTheme="minorHAnsi"/>
                <w:lang w:eastAsia="en-US"/>
              </w:rPr>
            </w:pPr>
          </w:p>
          <w:p w14:paraId="74BB6F4C" w14:textId="77777777" w:rsidR="001E347A" w:rsidRPr="006B624E" w:rsidRDefault="001E347A" w:rsidP="00B82E95">
            <w:pPr>
              <w:pStyle w:val="Sraopastraipa"/>
              <w:spacing w:before="0" w:beforeAutospacing="0" w:after="0" w:afterAutospacing="0"/>
              <w:ind w:left="653"/>
              <w:contextualSpacing/>
              <w:jc w:val="both"/>
              <w:rPr>
                <w:rFonts w:eastAsiaTheme="minorHAnsi"/>
                <w:lang w:eastAsia="en-US"/>
              </w:rPr>
            </w:pPr>
          </w:p>
          <w:p w14:paraId="04A8B9FC" w14:textId="77777777" w:rsidR="001E347A" w:rsidRPr="006B624E" w:rsidRDefault="001E347A" w:rsidP="00864265">
            <w:pPr>
              <w:contextualSpacing/>
              <w:jc w:val="both"/>
              <w:rPr>
                <w:rFonts w:eastAsiaTheme="minorHAnsi"/>
                <w:lang w:eastAsia="en-US"/>
              </w:rPr>
            </w:pPr>
          </w:p>
          <w:p w14:paraId="57F3B2EA" w14:textId="77777777" w:rsidR="001E347A" w:rsidRPr="006B624E" w:rsidRDefault="001E347A" w:rsidP="00B82E95">
            <w:pPr>
              <w:pStyle w:val="Sraopastraipa"/>
              <w:spacing w:before="0" w:beforeAutospacing="0" w:after="0" w:afterAutospacing="0"/>
              <w:ind w:left="653"/>
              <w:contextualSpacing/>
              <w:jc w:val="both"/>
              <w:rPr>
                <w:rFonts w:eastAsiaTheme="minorHAnsi"/>
                <w:lang w:eastAsia="en-US"/>
              </w:rPr>
            </w:pPr>
          </w:p>
          <w:p w14:paraId="25358B31" w14:textId="76B21D8B" w:rsidR="009F003D" w:rsidRPr="006B624E" w:rsidRDefault="009F003D" w:rsidP="007C5A21">
            <w:pPr>
              <w:contextualSpacing/>
              <w:jc w:val="both"/>
              <w:rPr>
                <w:rFonts w:eastAsiaTheme="minorHAnsi"/>
                <w:lang w:eastAsia="en-US"/>
              </w:rPr>
            </w:pPr>
          </w:p>
        </w:tc>
        <w:tc>
          <w:tcPr>
            <w:tcW w:w="6211" w:type="dxa"/>
            <w:shd w:val="clear" w:color="auto" w:fill="auto"/>
          </w:tcPr>
          <w:p w14:paraId="1229A900" w14:textId="53470237" w:rsidR="00D15CB5" w:rsidRPr="006B624E" w:rsidRDefault="00D15CB5" w:rsidP="00FB3EF0">
            <w:pPr>
              <w:pStyle w:val="Paprastasistekstas"/>
              <w:jc w:val="both"/>
              <w:rPr>
                <w:rFonts w:ascii="Times New Roman" w:hAnsi="Times New Roman"/>
                <w:b/>
                <w:sz w:val="24"/>
                <w:szCs w:val="24"/>
              </w:rPr>
            </w:pPr>
            <w:r w:rsidRPr="006B624E">
              <w:rPr>
                <w:rFonts w:ascii="Times New Roman" w:hAnsi="Times New Roman"/>
                <w:b/>
                <w:sz w:val="24"/>
                <w:szCs w:val="24"/>
              </w:rPr>
              <w:lastRenderedPageBreak/>
              <w:t>Neatsižvelgta</w:t>
            </w:r>
            <w:r w:rsidR="00DD3019" w:rsidRPr="006B624E">
              <w:rPr>
                <w:rFonts w:ascii="Times New Roman" w:hAnsi="Times New Roman"/>
                <w:b/>
                <w:sz w:val="24"/>
                <w:szCs w:val="24"/>
              </w:rPr>
              <w:t>.</w:t>
            </w:r>
          </w:p>
          <w:p w14:paraId="4FBCC646" w14:textId="7AE90342" w:rsidR="006F12EC" w:rsidRPr="007800BD" w:rsidRDefault="006E0FBD" w:rsidP="00F30C29">
            <w:pPr>
              <w:jc w:val="both"/>
            </w:pPr>
            <w:r w:rsidRPr="006B624E">
              <w:t xml:space="preserve">Lietuvos Respublikos Vyriausybė, įgyvendindama 2021–2030 metų nacionalinį pažangos planą, patvirtintą Vyriausybės 2020 m. rugsėjo 9 d. nutarimu Nr. 998 „Dėl 2021–2030 metų </w:t>
            </w:r>
            <w:r w:rsidR="006F0F0B" w:rsidRPr="006B624E">
              <w:t>N</w:t>
            </w:r>
            <w:r w:rsidRPr="006B624E">
              <w:t>acionalinio pažangos plano patvirtinimo“, ir siekdama p</w:t>
            </w:r>
            <w:r w:rsidR="00F934BB" w:rsidRPr="006B624E">
              <w:rPr>
                <w:spacing w:val="2"/>
                <w:shd w:val="clear" w:color="auto" w:fill="FFFFFF"/>
              </w:rPr>
              <w:t>ažangos plane numatyt</w:t>
            </w:r>
            <w:r w:rsidRPr="006B624E">
              <w:rPr>
                <w:spacing w:val="2"/>
                <w:shd w:val="clear" w:color="auto" w:fill="FFFFFF"/>
              </w:rPr>
              <w:t>o</w:t>
            </w:r>
            <w:r w:rsidR="00F934BB" w:rsidRPr="006B624E">
              <w:rPr>
                <w:spacing w:val="2"/>
                <w:shd w:val="clear" w:color="auto" w:fill="FFFFFF"/>
              </w:rPr>
              <w:t xml:space="preserve"> 2-</w:t>
            </w:r>
            <w:r w:rsidRPr="006B624E">
              <w:rPr>
                <w:spacing w:val="2"/>
                <w:shd w:val="clear" w:color="auto" w:fill="FFFFFF"/>
              </w:rPr>
              <w:t>o</w:t>
            </w:r>
            <w:r w:rsidR="00F934BB" w:rsidRPr="006B624E">
              <w:rPr>
                <w:spacing w:val="2"/>
                <w:shd w:val="clear" w:color="auto" w:fill="FFFFFF"/>
              </w:rPr>
              <w:t xml:space="preserve"> strategini</w:t>
            </w:r>
            <w:r w:rsidRPr="006B624E">
              <w:rPr>
                <w:spacing w:val="2"/>
                <w:shd w:val="clear" w:color="auto" w:fill="FFFFFF"/>
              </w:rPr>
              <w:t>o</w:t>
            </w:r>
            <w:r w:rsidR="00F934BB" w:rsidRPr="006B624E">
              <w:rPr>
                <w:spacing w:val="2"/>
                <w:shd w:val="clear" w:color="auto" w:fill="FFFFFF"/>
              </w:rPr>
              <w:t xml:space="preserve"> tiks</w:t>
            </w:r>
            <w:r w:rsidRPr="006B624E">
              <w:rPr>
                <w:spacing w:val="2"/>
                <w:shd w:val="clear" w:color="auto" w:fill="FFFFFF"/>
              </w:rPr>
              <w:t>lo</w:t>
            </w:r>
            <w:r w:rsidR="00F934BB" w:rsidRPr="006B624E">
              <w:rPr>
                <w:spacing w:val="2"/>
                <w:shd w:val="clear" w:color="auto" w:fill="FFFFFF"/>
              </w:rPr>
              <w:t xml:space="preserve"> </w:t>
            </w:r>
            <w:r w:rsidRPr="006B624E">
              <w:rPr>
                <w:spacing w:val="2"/>
                <w:shd w:val="clear" w:color="auto" w:fill="FFFFFF"/>
              </w:rPr>
              <w:t xml:space="preserve">(„didinti gyventojų socialinę gerovę ir </w:t>
            </w:r>
            <w:proofErr w:type="spellStart"/>
            <w:r w:rsidRPr="006B624E">
              <w:rPr>
                <w:spacing w:val="2"/>
                <w:shd w:val="clear" w:color="auto" w:fill="FFFFFF"/>
              </w:rPr>
              <w:t>įtrauktį</w:t>
            </w:r>
            <w:proofErr w:type="spellEnd"/>
            <w:r w:rsidRPr="006B624E">
              <w:rPr>
                <w:spacing w:val="2"/>
                <w:shd w:val="clear" w:color="auto" w:fill="FFFFFF"/>
              </w:rPr>
              <w:t xml:space="preserve">, stiprinti sveikatą ir gerinti Lietuvos demografinę padėtį“) </w:t>
            </w:r>
            <w:r w:rsidR="00F934BB" w:rsidRPr="006B624E">
              <w:rPr>
                <w:spacing w:val="2"/>
                <w:shd w:val="clear" w:color="auto" w:fill="FFFFFF"/>
              </w:rPr>
              <w:t>pasiek</w:t>
            </w:r>
            <w:r w:rsidRPr="006B624E">
              <w:rPr>
                <w:spacing w:val="2"/>
                <w:shd w:val="clear" w:color="auto" w:fill="FFFFFF"/>
              </w:rPr>
              <w:t>imo</w:t>
            </w:r>
            <w:r w:rsidR="00F934BB" w:rsidRPr="006B624E">
              <w:rPr>
                <w:spacing w:val="2"/>
                <w:shd w:val="clear" w:color="auto" w:fill="FFFFFF"/>
              </w:rPr>
              <w:t>,</w:t>
            </w:r>
            <w:r w:rsidRPr="006B624E">
              <w:rPr>
                <w:spacing w:val="2"/>
                <w:shd w:val="clear" w:color="auto" w:fill="FFFFFF"/>
              </w:rPr>
              <w:t xml:space="preserve"> </w:t>
            </w:r>
            <w:r w:rsidRPr="006B624E">
              <w:t xml:space="preserve">2021 m. lapkričio 10 d. nutarimu Nr. 931 „Dėl 2021–2030 metų plėtros programos valdytojos Lietuvos Respublikos socialinės apsaugos ir darbo ministerijos socialinės </w:t>
            </w:r>
            <w:proofErr w:type="spellStart"/>
            <w:r w:rsidRPr="006B624E">
              <w:t>sutelkties</w:t>
            </w:r>
            <w:proofErr w:type="spellEnd"/>
            <w:r w:rsidRPr="006B624E">
              <w:t xml:space="preserve"> plėtros programos patvirtinimo</w:t>
            </w:r>
            <w:r w:rsidR="006F12EC" w:rsidRPr="006B624E">
              <w:t xml:space="preserve">“ patvirtino 2021–2030 metų plėtros programos valdytojos Lietuvos Respublikos socialinės apsaugos ir darbo ministerijos socialinės </w:t>
            </w:r>
            <w:proofErr w:type="spellStart"/>
            <w:r w:rsidR="006F12EC" w:rsidRPr="006B624E">
              <w:t>sutelkties</w:t>
            </w:r>
            <w:proofErr w:type="spellEnd"/>
            <w:r w:rsidR="006F12EC" w:rsidRPr="006B624E">
              <w:t xml:space="preserve"> plėtros programą (toliau – Programa). Įgyvendinant Programos </w:t>
            </w:r>
            <w:r w:rsidR="00731A3D" w:rsidRPr="006B624E">
              <w:rPr>
                <w:spacing w:val="2"/>
                <w:shd w:val="clear" w:color="auto" w:fill="FFFFFF"/>
              </w:rPr>
              <w:t xml:space="preserve">2.7 uždavinį „Stiprinti socialinio aktyvumo ir socialinės atsakomybės nuostatas visuomenėje bei bendruomeniškumą“, iškeltas tikslas </w:t>
            </w:r>
            <w:r w:rsidR="00324E89" w:rsidRPr="006B624E">
              <w:rPr>
                <w:spacing w:val="2"/>
                <w:shd w:val="clear" w:color="auto" w:fill="FFFFFF"/>
              </w:rPr>
              <w:t>–</w:t>
            </w:r>
            <w:r w:rsidR="00731A3D" w:rsidRPr="006B624E">
              <w:rPr>
                <w:spacing w:val="2"/>
                <w:shd w:val="clear" w:color="auto" w:fill="FFFFFF"/>
              </w:rPr>
              <w:t xml:space="preserve"> </w:t>
            </w:r>
            <w:r w:rsidR="00324E89" w:rsidRPr="006B624E">
              <w:rPr>
                <w:spacing w:val="2"/>
                <w:shd w:val="clear" w:color="auto" w:fill="FFFFFF"/>
              </w:rPr>
              <w:t>Pilietinės visuomenės organizacijų tvarumo indeks</w:t>
            </w:r>
            <w:r w:rsidR="006F12EC" w:rsidRPr="006B624E">
              <w:rPr>
                <w:spacing w:val="2"/>
                <w:shd w:val="clear" w:color="auto" w:fill="FFFFFF"/>
              </w:rPr>
              <w:t>o</w:t>
            </w:r>
            <w:r w:rsidR="00324E89" w:rsidRPr="006B624E">
              <w:rPr>
                <w:spacing w:val="2"/>
                <w:shd w:val="clear" w:color="auto" w:fill="FFFFFF"/>
              </w:rPr>
              <w:t xml:space="preserve"> </w:t>
            </w:r>
            <w:r w:rsidR="006F12EC" w:rsidRPr="006B624E">
              <w:rPr>
                <w:spacing w:val="2"/>
                <w:shd w:val="clear" w:color="auto" w:fill="FFFFFF"/>
              </w:rPr>
              <w:t xml:space="preserve">(toliau – Indeksas) </w:t>
            </w:r>
            <w:r w:rsidR="00324E89" w:rsidRPr="006B624E">
              <w:rPr>
                <w:spacing w:val="2"/>
                <w:shd w:val="clear" w:color="auto" w:fill="FFFFFF"/>
              </w:rPr>
              <w:t>gerėjimo</w:t>
            </w:r>
            <w:r w:rsidR="006F12EC" w:rsidRPr="006B624E">
              <w:rPr>
                <w:spacing w:val="2"/>
                <w:shd w:val="clear" w:color="auto" w:fill="FFFFFF"/>
              </w:rPr>
              <w:t xml:space="preserve">. Indeksą matuoja </w:t>
            </w:r>
            <w:r w:rsidR="006B624E">
              <w:rPr>
                <w:shd w:val="clear" w:color="auto" w:fill="FFFFFF"/>
              </w:rPr>
              <w:t>Jungtinių Amerikos Valstijų</w:t>
            </w:r>
            <w:r w:rsidR="006B624E" w:rsidRPr="006B624E">
              <w:rPr>
                <w:shd w:val="clear" w:color="auto" w:fill="FFFFFF"/>
              </w:rPr>
              <w:t xml:space="preserve"> </w:t>
            </w:r>
            <w:r w:rsidR="00053EAF" w:rsidRPr="006B624E">
              <w:rPr>
                <w:shd w:val="clear" w:color="auto" w:fill="FFFFFF"/>
              </w:rPr>
              <w:t>Tarptautinės plėtros agentūr</w:t>
            </w:r>
            <w:r w:rsidR="006F12EC" w:rsidRPr="006B624E">
              <w:rPr>
                <w:shd w:val="clear" w:color="auto" w:fill="FFFFFF"/>
              </w:rPr>
              <w:t>a</w:t>
            </w:r>
            <w:r w:rsidR="00053EAF" w:rsidRPr="006B624E">
              <w:rPr>
                <w:shd w:val="clear" w:color="auto" w:fill="FFFFFF"/>
              </w:rPr>
              <w:t xml:space="preserve"> (USAID) </w:t>
            </w:r>
            <w:r w:rsidR="005735BF" w:rsidRPr="006B624E">
              <w:rPr>
                <w:shd w:val="clear" w:color="auto" w:fill="FFFFFF"/>
              </w:rPr>
              <w:t>apžvelgia</w:t>
            </w:r>
            <w:r w:rsidR="006F12EC" w:rsidRPr="006B624E">
              <w:rPr>
                <w:shd w:val="clear" w:color="auto" w:fill="FFFFFF"/>
              </w:rPr>
              <w:t>nt</w:t>
            </w:r>
            <w:r w:rsidR="005735BF" w:rsidRPr="006B624E">
              <w:rPr>
                <w:shd w:val="clear" w:color="auto" w:fill="FFFFFF"/>
              </w:rPr>
              <w:t xml:space="preserve"> vidinę ir išorinę </w:t>
            </w:r>
            <w:r w:rsidR="006F12EC" w:rsidRPr="006B624E">
              <w:rPr>
                <w:shd w:val="clear" w:color="auto" w:fill="FFFFFF"/>
              </w:rPr>
              <w:t xml:space="preserve">pilietinės visuomenės organizacijų </w:t>
            </w:r>
            <w:r w:rsidR="005735BF" w:rsidRPr="006B624E">
              <w:rPr>
                <w:shd w:val="clear" w:color="auto" w:fill="FFFFFF"/>
              </w:rPr>
              <w:t xml:space="preserve"> teisinę aplinką, organizacinį pajėgumą, finansinį tvarumą</w:t>
            </w:r>
            <w:r w:rsidR="006F12EC" w:rsidRPr="006B624E">
              <w:rPr>
                <w:shd w:val="clear" w:color="auto" w:fill="FFFFFF"/>
              </w:rPr>
              <w:t xml:space="preserve"> ir kitus rodiklius. </w:t>
            </w:r>
          </w:p>
          <w:p w14:paraId="07C7B602" w14:textId="27AF0A43" w:rsidR="005735BF" w:rsidRPr="006B624E" w:rsidRDefault="006F12EC" w:rsidP="00FB3EF0">
            <w:pPr>
              <w:pStyle w:val="Paprastasistekstas"/>
              <w:jc w:val="both"/>
              <w:rPr>
                <w:rFonts w:ascii="Times New Roman" w:hAnsi="Times New Roman"/>
                <w:sz w:val="24"/>
                <w:szCs w:val="24"/>
              </w:rPr>
            </w:pPr>
            <w:r w:rsidRPr="006B624E">
              <w:rPr>
                <w:rFonts w:ascii="Times New Roman" w:hAnsi="Times New Roman"/>
                <w:sz w:val="24"/>
                <w:szCs w:val="24"/>
                <w:shd w:val="clear" w:color="auto" w:fill="FFFFFF"/>
              </w:rPr>
              <w:t xml:space="preserve">Atkreiptinas dėmesys, kad pastaraisiais metais Vyriausybei besilaikant nuoseklios nevyriausybinių organizacijų politikos </w:t>
            </w:r>
            <w:r w:rsidRPr="006B624E">
              <w:rPr>
                <w:rFonts w:ascii="Times New Roman" w:hAnsi="Times New Roman"/>
                <w:sz w:val="24"/>
                <w:szCs w:val="24"/>
                <w:shd w:val="clear" w:color="auto" w:fill="FFFFFF"/>
              </w:rPr>
              <w:lastRenderedPageBreak/>
              <w:t>formavimo principo</w:t>
            </w:r>
            <w:r w:rsidR="007028A7" w:rsidRPr="006B624E">
              <w:rPr>
                <w:rFonts w:ascii="Times New Roman" w:hAnsi="Times New Roman"/>
                <w:sz w:val="24"/>
                <w:szCs w:val="24"/>
                <w:shd w:val="clear" w:color="auto" w:fill="FFFFFF"/>
              </w:rPr>
              <w:t xml:space="preserve"> ir dėl Vyriausybės įgyvendintų priemonių</w:t>
            </w:r>
            <w:r w:rsidR="00FD3750" w:rsidRPr="006B624E">
              <w:rPr>
                <w:rFonts w:ascii="Times New Roman" w:hAnsi="Times New Roman"/>
                <w:sz w:val="24"/>
                <w:szCs w:val="24"/>
                <w:shd w:val="clear" w:color="auto" w:fill="FFFFFF"/>
              </w:rPr>
              <w:t xml:space="preserve"> </w:t>
            </w:r>
            <w:r w:rsidR="00FD3750" w:rsidRPr="006B624E">
              <w:rPr>
                <w:rFonts w:ascii="Times New Roman" w:hAnsi="Times New Roman"/>
                <w:sz w:val="24"/>
                <w:szCs w:val="24"/>
              </w:rPr>
              <w:t>nevyriausybinėms organizacijoms</w:t>
            </w:r>
            <w:r w:rsidR="007028A7" w:rsidRPr="006B624E">
              <w:rPr>
                <w:rFonts w:ascii="Times New Roman" w:hAnsi="Times New Roman"/>
                <w:sz w:val="24"/>
                <w:szCs w:val="24"/>
                <w:shd w:val="clear" w:color="auto" w:fill="FFFFFF"/>
              </w:rPr>
              <w:t xml:space="preserve"> </w:t>
            </w:r>
            <w:r w:rsidR="00FD3750" w:rsidRPr="006B624E">
              <w:rPr>
                <w:rFonts w:ascii="Times New Roman" w:hAnsi="Times New Roman"/>
                <w:sz w:val="24"/>
                <w:szCs w:val="24"/>
                <w:shd w:val="clear" w:color="auto" w:fill="FFFFFF"/>
              </w:rPr>
              <w:t>(toliau – NVO)</w:t>
            </w:r>
            <w:r w:rsidRPr="006B624E">
              <w:rPr>
                <w:rFonts w:ascii="Times New Roman" w:hAnsi="Times New Roman"/>
                <w:sz w:val="24"/>
                <w:szCs w:val="24"/>
                <w:shd w:val="clear" w:color="auto" w:fill="FFFFFF"/>
              </w:rPr>
              <w:t xml:space="preserve">, </w:t>
            </w:r>
            <w:r w:rsidRPr="006B624E">
              <w:rPr>
                <w:rFonts w:ascii="Times New Roman" w:hAnsi="Times New Roman"/>
                <w:sz w:val="24"/>
                <w:szCs w:val="24"/>
              </w:rPr>
              <w:t xml:space="preserve">įvyko teigiamų </w:t>
            </w:r>
            <w:r w:rsidR="00FD3750" w:rsidRPr="006B624E">
              <w:rPr>
                <w:rFonts w:ascii="Times New Roman" w:hAnsi="Times New Roman"/>
                <w:sz w:val="24"/>
                <w:szCs w:val="24"/>
              </w:rPr>
              <w:t>NVO</w:t>
            </w:r>
            <w:r w:rsidRPr="006B624E">
              <w:rPr>
                <w:rFonts w:ascii="Times New Roman" w:hAnsi="Times New Roman"/>
                <w:sz w:val="24"/>
                <w:szCs w:val="24"/>
              </w:rPr>
              <w:t xml:space="preserve"> teisinės aplinkos, finansinio tvarumo ir paslaugų teikimo pokyčių, tad</w:t>
            </w:r>
            <w:r w:rsidRPr="006B624E">
              <w:rPr>
                <w:rFonts w:ascii="Times New Roman" w:hAnsi="Times New Roman"/>
                <w:sz w:val="24"/>
                <w:szCs w:val="24"/>
                <w:shd w:val="clear" w:color="auto" w:fill="FFFFFF"/>
              </w:rPr>
              <w:t xml:space="preserve"> nuo 2019 metų fiksuojamas ženklus Indekso Lietuvoje gerėjimo rodiklis</w:t>
            </w:r>
            <w:r w:rsidR="00496C33" w:rsidRPr="006B624E">
              <w:rPr>
                <w:rFonts w:ascii="Times New Roman" w:hAnsi="Times New Roman"/>
                <w:sz w:val="24"/>
                <w:szCs w:val="24"/>
                <w:shd w:val="clear" w:color="auto" w:fill="FFFFFF"/>
              </w:rPr>
              <w:t>, taipogi Lietuvos Indekso finansini</w:t>
            </w:r>
            <w:r w:rsidR="007028A7" w:rsidRPr="006B624E">
              <w:rPr>
                <w:rFonts w:ascii="Times New Roman" w:hAnsi="Times New Roman"/>
                <w:sz w:val="24"/>
                <w:szCs w:val="24"/>
                <w:shd w:val="clear" w:color="auto" w:fill="FFFFFF"/>
              </w:rPr>
              <w:t>s</w:t>
            </w:r>
            <w:r w:rsidR="00496C33" w:rsidRPr="006B624E">
              <w:rPr>
                <w:rFonts w:ascii="Times New Roman" w:hAnsi="Times New Roman"/>
                <w:sz w:val="24"/>
                <w:szCs w:val="24"/>
                <w:shd w:val="clear" w:color="auto" w:fill="FFFFFF"/>
              </w:rPr>
              <w:t xml:space="preserve"> tvarum</w:t>
            </w:r>
            <w:r w:rsidR="007028A7" w:rsidRPr="006B624E">
              <w:rPr>
                <w:rFonts w:ascii="Times New Roman" w:hAnsi="Times New Roman"/>
                <w:sz w:val="24"/>
                <w:szCs w:val="24"/>
                <w:shd w:val="clear" w:color="auto" w:fill="FFFFFF"/>
              </w:rPr>
              <w:t>as</w:t>
            </w:r>
            <w:r w:rsidR="00FD3750" w:rsidRPr="006B624E">
              <w:rPr>
                <w:rFonts w:ascii="Times New Roman" w:hAnsi="Times New Roman"/>
                <w:sz w:val="24"/>
                <w:szCs w:val="24"/>
                <w:shd w:val="clear" w:color="auto" w:fill="FFFFFF"/>
              </w:rPr>
              <w:t xml:space="preserve"> (viena iš dedamųjų dalių)</w:t>
            </w:r>
            <w:r w:rsidR="007028A7" w:rsidRPr="006B624E">
              <w:rPr>
                <w:rFonts w:ascii="Times New Roman" w:hAnsi="Times New Roman"/>
                <w:sz w:val="24"/>
                <w:szCs w:val="24"/>
                <w:shd w:val="clear" w:color="auto" w:fill="FFFFFF"/>
              </w:rPr>
              <w:t xml:space="preserve"> </w:t>
            </w:r>
            <w:r w:rsidR="00496C33" w:rsidRPr="006B624E">
              <w:rPr>
                <w:rFonts w:ascii="Times New Roman" w:hAnsi="Times New Roman"/>
                <w:sz w:val="24"/>
                <w:szCs w:val="24"/>
                <w:shd w:val="clear" w:color="auto" w:fill="FFFFFF"/>
              </w:rPr>
              <w:t xml:space="preserve">kasmet gerėja </w:t>
            </w:r>
            <w:r w:rsidR="00496C33" w:rsidRPr="006B624E">
              <w:rPr>
                <w:rFonts w:ascii="Times New Roman" w:hAnsi="Times New Roman"/>
                <w:sz w:val="24"/>
                <w:szCs w:val="24"/>
              </w:rPr>
              <w:t>(2019 m. - 3,1; 2020 m.– 3,0</w:t>
            </w:r>
            <w:r w:rsidR="00FD3750" w:rsidRPr="006B624E">
              <w:rPr>
                <w:rFonts w:ascii="Times New Roman" w:hAnsi="Times New Roman"/>
                <w:sz w:val="24"/>
                <w:szCs w:val="24"/>
              </w:rPr>
              <w:t xml:space="preserve"> (siekiamybė – 1)</w:t>
            </w:r>
            <w:r w:rsidR="00496C33" w:rsidRPr="006B624E">
              <w:rPr>
                <w:rFonts w:ascii="Times New Roman" w:hAnsi="Times New Roman"/>
                <w:sz w:val="24"/>
                <w:szCs w:val="24"/>
              </w:rPr>
              <w:t>).</w:t>
            </w:r>
          </w:p>
          <w:p w14:paraId="583A7E4F" w14:textId="3557D4EB" w:rsidR="00852F4D" w:rsidRPr="006B624E" w:rsidRDefault="007028A7" w:rsidP="00FB3EF0">
            <w:pPr>
              <w:pStyle w:val="Paprastasistekstas"/>
              <w:jc w:val="both"/>
              <w:rPr>
                <w:rFonts w:ascii="Times New Roman" w:hAnsi="Times New Roman"/>
                <w:spacing w:val="2"/>
                <w:sz w:val="24"/>
                <w:szCs w:val="24"/>
                <w:shd w:val="clear" w:color="auto" w:fill="FFFFFF"/>
              </w:rPr>
            </w:pPr>
            <w:r w:rsidRPr="006B624E">
              <w:rPr>
                <w:rFonts w:ascii="Times New Roman" w:hAnsi="Times New Roman"/>
                <w:spacing w:val="2"/>
                <w:sz w:val="24"/>
                <w:szCs w:val="24"/>
                <w:shd w:val="clear" w:color="auto" w:fill="FFFFFF"/>
              </w:rPr>
              <w:t>Siekiant ir toliau išlaikyti nuoseklią ir kokybišką NVO politiko</w:t>
            </w:r>
            <w:r w:rsidR="00FD3750" w:rsidRPr="006B624E">
              <w:rPr>
                <w:rFonts w:ascii="Times New Roman" w:hAnsi="Times New Roman"/>
                <w:spacing w:val="2"/>
                <w:sz w:val="24"/>
                <w:szCs w:val="24"/>
                <w:shd w:val="clear" w:color="auto" w:fill="FFFFFF"/>
              </w:rPr>
              <w:t>s</w:t>
            </w:r>
            <w:r w:rsidRPr="006B624E">
              <w:rPr>
                <w:rFonts w:ascii="Times New Roman" w:hAnsi="Times New Roman"/>
                <w:spacing w:val="2"/>
                <w:sz w:val="24"/>
                <w:szCs w:val="24"/>
                <w:shd w:val="clear" w:color="auto" w:fill="FFFFFF"/>
              </w:rPr>
              <w:t xml:space="preserve"> formavimą bei iš to </w:t>
            </w:r>
            <w:r w:rsidR="007800BD">
              <w:rPr>
                <w:rFonts w:ascii="Times New Roman" w:hAnsi="Times New Roman"/>
                <w:spacing w:val="2"/>
                <w:sz w:val="24"/>
                <w:szCs w:val="24"/>
                <w:shd w:val="clear" w:color="auto" w:fill="FFFFFF"/>
              </w:rPr>
              <w:t>kylančius</w:t>
            </w:r>
            <w:r w:rsidRPr="006B624E">
              <w:rPr>
                <w:rFonts w:ascii="Times New Roman" w:hAnsi="Times New Roman"/>
                <w:spacing w:val="2"/>
                <w:sz w:val="24"/>
                <w:szCs w:val="24"/>
                <w:shd w:val="clear" w:color="auto" w:fill="FFFFFF"/>
              </w:rPr>
              <w:t xml:space="preserve"> pozityvius rezultatus ir siektinų V</w:t>
            </w:r>
            <w:r w:rsidR="00FD3750" w:rsidRPr="006B624E">
              <w:rPr>
                <w:rFonts w:ascii="Times New Roman" w:hAnsi="Times New Roman"/>
                <w:spacing w:val="2"/>
                <w:sz w:val="24"/>
                <w:szCs w:val="24"/>
                <w:shd w:val="clear" w:color="auto" w:fill="FFFFFF"/>
              </w:rPr>
              <w:t>yriausybės</w:t>
            </w:r>
            <w:r w:rsidRPr="006B624E">
              <w:rPr>
                <w:rFonts w:ascii="Times New Roman" w:hAnsi="Times New Roman"/>
                <w:spacing w:val="2"/>
                <w:sz w:val="24"/>
                <w:szCs w:val="24"/>
                <w:shd w:val="clear" w:color="auto" w:fill="FFFFFF"/>
              </w:rPr>
              <w:t xml:space="preserve"> rodiklių įgyvendinimo, </w:t>
            </w:r>
            <w:r w:rsidR="00852F4D" w:rsidRPr="006B624E">
              <w:rPr>
                <w:rFonts w:ascii="Times New Roman" w:hAnsi="Times New Roman"/>
                <w:spacing w:val="2"/>
                <w:sz w:val="24"/>
                <w:szCs w:val="24"/>
                <w:shd w:val="clear" w:color="auto" w:fill="FFFFFF"/>
              </w:rPr>
              <w:t>manytina, kad netikslinga keisti jau įtvirtintas nuostatas dėl NVO fondu</w:t>
            </w:r>
            <w:r w:rsidRPr="006B624E">
              <w:rPr>
                <w:rFonts w:ascii="Times New Roman" w:hAnsi="Times New Roman"/>
                <w:spacing w:val="2"/>
                <w:sz w:val="24"/>
                <w:szCs w:val="24"/>
                <w:shd w:val="clear" w:color="auto" w:fill="FFFFFF"/>
              </w:rPr>
              <w:t>i</w:t>
            </w:r>
            <w:r w:rsidR="00852F4D" w:rsidRPr="006B624E">
              <w:rPr>
                <w:rFonts w:ascii="Times New Roman" w:hAnsi="Times New Roman"/>
                <w:spacing w:val="2"/>
                <w:sz w:val="24"/>
                <w:szCs w:val="24"/>
                <w:shd w:val="clear" w:color="auto" w:fill="FFFFFF"/>
              </w:rPr>
              <w:t xml:space="preserve"> skiriamų lėšų tvarkos. </w:t>
            </w:r>
          </w:p>
          <w:p w14:paraId="13090651" w14:textId="25F652C0" w:rsidR="001F3FCE" w:rsidRPr="006B624E" w:rsidRDefault="007028A7">
            <w:pPr>
              <w:pStyle w:val="Paprastasistekstas"/>
              <w:jc w:val="both"/>
              <w:rPr>
                <w:rFonts w:ascii="Times New Roman" w:hAnsi="Times New Roman"/>
                <w:bCs/>
                <w:i/>
                <w:iCs/>
                <w:sz w:val="24"/>
                <w:szCs w:val="24"/>
              </w:rPr>
            </w:pPr>
            <w:r w:rsidRPr="006B624E">
              <w:rPr>
                <w:rFonts w:ascii="Times New Roman" w:hAnsi="Times New Roman"/>
                <w:spacing w:val="2"/>
                <w:sz w:val="24"/>
                <w:szCs w:val="24"/>
                <w:shd w:val="clear" w:color="auto" w:fill="FFFFFF"/>
              </w:rPr>
              <w:t xml:space="preserve">Atsižvelgus į siūlymą, kad NVO </w:t>
            </w:r>
            <w:r w:rsidRPr="006B624E">
              <w:rPr>
                <w:rFonts w:ascii="Times New Roman" w:hAnsi="Times New Roman"/>
                <w:bCs/>
                <w:i/>
                <w:iCs/>
                <w:sz w:val="24"/>
                <w:szCs w:val="24"/>
              </w:rPr>
              <w:t xml:space="preserve">Fondo lėšos sudaromos iš Socialinės apsaugos ir darbo ministerijai skiriamų asignavimų ir iš kitų teisėtai gautų lėšų, būtų sudarytos prielaidos </w:t>
            </w:r>
            <w:r w:rsidR="001F3FCE" w:rsidRPr="006B624E">
              <w:rPr>
                <w:rFonts w:ascii="Times New Roman" w:hAnsi="Times New Roman"/>
                <w:bCs/>
                <w:i/>
                <w:iCs/>
                <w:sz w:val="24"/>
                <w:szCs w:val="24"/>
              </w:rPr>
              <w:t xml:space="preserve">NVO fondui veikti nestabiliai, nes nebūtų užtikrinamas finansinis tvarumas besikeičiant politinei valiai. </w:t>
            </w:r>
          </w:p>
          <w:p w14:paraId="75D1676A" w14:textId="1B176B16" w:rsidR="00FD3750" w:rsidRPr="006B624E" w:rsidRDefault="00FD3750">
            <w:pPr>
              <w:pStyle w:val="Paprastasistekstas"/>
              <w:jc w:val="both"/>
              <w:rPr>
                <w:rFonts w:ascii="Times New Roman" w:hAnsi="Times New Roman"/>
                <w:spacing w:val="2"/>
                <w:sz w:val="24"/>
                <w:szCs w:val="24"/>
                <w:shd w:val="clear" w:color="auto" w:fill="FFFFFF"/>
              </w:rPr>
            </w:pPr>
            <w:r w:rsidRPr="006B624E">
              <w:rPr>
                <w:rFonts w:ascii="Times New Roman" w:hAnsi="Times New Roman"/>
                <w:sz w:val="24"/>
                <w:szCs w:val="24"/>
              </w:rPr>
              <w:t xml:space="preserve">Pabrėžtina, kad </w:t>
            </w:r>
            <w:r w:rsidRPr="006B624E">
              <w:rPr>
                <w:rFonts w:ascii="Times New Roman" w:hAnsi="Times New Roman"/>
                <w:spacing w:val="2"/>
                <w:sz w:val="24"/>
                <w:szCs w:val="24"/>
                <w:shd w:val="clear" w:color="auto" w:fill="FFFFFF"/>
              </w:rPr>
              <w:t xml:space="preserve">NVO Fondo tikslas – stiprinti NVO institucinius gebėjimus, investuoti į sektorių, užtikrinant patikimų valstybės partnerių tvarų vystymąsi. </w:t>
            </w:r>
          </w:p>
          <w:p w14:paraId="6C73F34C" w14:textId="4AE103C7" w:rsidR="00FD3750" w:rsidRPr="006B624E" w:rsidRDefault="00E52B71">
            <w:pPr>
              <w:pStyle w:val="Paprastasistekstas"/>
              <w:jc w:val="both"/>
              <w:rPr>
                <w:rFonts w:ascii="Times New Roman" w:hAnsi="Times New Roman"/>
                <w:bCs/>
                <w:i/>
                <w:iCs/>
                <w:sz w:val="24"/>
                <w:szCs w:val="24"/>
              </w:rPr>
            </w:pPr>
            <w:r w:rsidRPr="006B624E">
              <w:rPr>
                <w:rFonts w:ascii="Times New Roman" w:hAnsi="Times New Roman"/>
                <w:bCs/>
                <w:i/>
                <w:iCs/>
                <w:sz w:val="24"/>
                <w:szCs w:val="24"/>
              </w:rPr>
              <w:t xml:space="preserve">Dėl to svarbu, kad lėšos, skiriamos NVO fondui būtų planingos ir tvarios. </w:t>
            </w:r>
          </w:p>
          <w:p w14:paraId="276FC50F" w14:textId="058FFE96" w:rsidR="00A93F9C" w:rsidRPr="007800BD" w:rsidRDefault="001F3FCE">
            <w:pPr>
              <w:pStyle w:val="Paprastasistekstas"/>
              <w:jc w:val="both"/>
              <w:rPr>
                <w:rFonts w:ascii="Times New Roman" w:hAnsi="Times New Roman"/>
                <w:bCs/>
                <w:i/>
                <w:iCs/>
                <w:sz w:val="24"/>
                <w:szCs w:val="24"/>
              </w:rPr>
            </w:pPr>
            <w:r w:rsidRPr="006B624E">
              <w:rPr>
                <w:rFonts w:ascii="Times New Roman" w:hAnsi="Times New Roman"/>
                <w:bCs/>
                <w:i/>
                <w:iCs/>
                <w:sz w:val="24"/>
                <w:szCs w:val="24"/>
              </w:rPr>
              <w:t xml:space="preserve">Taipogi, atsižvelgus į pastabą, būtų sudėtingiau </w:t>
            </w:r>
            <w:r w:rsidRPr="006B624E">
              <w:rPr>
                <w:rFonts w:ascii="Times New Roman" w:hAnsi="Times New Roman"/>
                <w:sz w:val="24"/>
                <w:szCs w:val="24"/>
                <w:shd w:val="clear" w:color="auto" w:fill="FFFFFF"/>
              </w:rPr>
              <w:t>identifikuoti NVO planuojamas ir skiriamas lėšas</w:t>
            </w:r>
            <w:r w:rsidR="000A2063" w:rsidRPr="006B624E">
              <w:rPr>
                <w:rFonts w:ascii="Times New Roman" w:hAnsi="Times New Roman"/>
                <w:sz w:val="24"/>
                <w:szCs w:val="24"/>
                <w:shd w:val="clear" w:color="auto" w:fill="FFFFFF"/>
              </w:rPr>
              <w:t xml:space="preserve">, o tai trukdytų įgyvendinti </w:t>
            </w:r>
            <w:r w:rsidR="00147229" w:rsidRPr="006B624E">
              <w:rPr>
                <w:rFonts w:ascii="Times New Roman" w:hAnsi="Times New Roman"/>
                <w:sz w:val="24"/>
                <w:szCs w:val="24"/>
              </w:rPr>
              <w:t>Aštuonioliktosios Lietuvos Respublikos Vyriausybės programos</w:t>
            </w:r>
            <w:r w:rsidR="000A2063" w:rsidRPr="006B624E">
              <w:rPr>
                <w:rFonts w:ascii="Times New Roman" w:hAnsi="Times New Roman"/>
                <w:sz w:val="24"/>
                <w:szCs w:val="24"/>
                <w:shd w:val="clear" w:color="auto" w:fill="FFFFFF"/>
              </w:rPr>
              <w:t xml:space="preserve"> siekį </w:t>
            </w:r>
            <w:r w:rsidR="00147229" w:rsidRPr="006B624E">
              <w:rPr>
                <w:rFonts w:ascii="Times New Roman" w:hAnsi="Times New Roman"/>
                <w:sz w:val="24"/>
                <w:szCs w:val="24"/>
                <w:shd w:val="clear" w:color="auto" w:fill="FFFFFF"/>
              </w:rPr>
              <w:t>vykdyti</w:t>
            </w:r>
            <w:r w:rsidR="000A2063" w:rsidRPr="006B624E">
              <w:rPr>
                <w:rFonts w:ascii="Times New Roman" w:hAnsi="Times New Roman"/>
                <w:sz w:val="24"/>
                <w:szCs w:val="24"/>
              </w:rPr>
              <w:t xml:space="preserve"> NVO finansavimo stebėsen</w:t>
            </w:r>
            <w:r w:rsidR="00147229" w:rsidRPr="006B624E">
              <w:rPr>
                <w:rFonts w:ascii="Times New Roman" w:hAnsi="Times New Roman"/>
                <w:sz w:val="24"/>
                <w:szCs w:val="24"/>
              </w:rPr>
              <w:t>ą</w:t>
            </w:r>
            <w:r w:rsidR="000A2063" w:rsidRPr="006B624E">
              <w:rPr>
                <w:rFonts w:ascii="Times New Roman" w:hAnsi="Times New Roman"/>
                <w:sz w:val="24"/>
                <w:szCs w:val="24"/>
              </w:rPr>
              <w:t xml:space="preserve"> </w:t>
            </w:r>
            <w:r w:rsidR="00147229" w:rsidRPr="006B624E">
              <w:rPr>
                <w:rFonts w:ascii="Times New Roman" w:hAnsi="Times New Roman"/>
                <w:sz w:val="24"/>
                <w:szCs w:val="24"/>
              </w:rPr>
              <w:t>ir</w:t>
            </w:r>
            <w:r w:rsidR="000A2063" w:rsidRPr="006B624E">
              <w:rPr>
                <w:rFonts w:ascii="Times New Roman" w:hAnsi="Times New Roman"/>
                <w:sz w:val="24"/>
                <w:szCs w:val="24"/>
              </w:rPr>
              <w:t xml:space="preserve"> užtikrinti kokybiškų atvirų duomenų apie NVO sektorių kaupimą</w:t>
            </w:r>
            <w:r w:rsidR="00147229" w:rsidRPr="006B624E">
              <w:rPr>
                <w:rFonts w:ascii="Times New Roman" w:hAnsi="Times New Roman"/>
                <w:sz w:val="24"/>
                <w:szCs w:val="24"/>
              </w:rPr>
              <w:t xml:space="preserve">. </w:t>
            </w:r>
          </w:p>
          <w:p w14:paraId="7A6613C6" w14:textId="32F77E33" w:rsidR="00686549" w:rsidRPr="006B624E" w:rsidRDefault="00147229">
            <w:pPr>
              <w:pStyle w:val="Paprastasistekstas"/>
              <w:jc w:val="both"/>
              <w:rPr>
                <w:rFonts w:ascii="Times New Roman" w:hAnsi="Times New Roman"/>
                <w:spacing w:val="2"/>
                <w:sz w:val="24"/>
                <w:szCs w:val="24"/>
                <w:shd w:val="clear" w:color="auto" w:fill="FFFFFF"/>
              </w:rPr>
            </w:pPr>
            <w:r w:rsidRPr="006B624E">
              <w:rPr>
                <w:rFonts w:ascii="Times New Roman" w:hAnsi="Times New Roman"/>
                <w:bCs/>
                <w:kern w:val="32"/>
                <w:sz w:val="24"/>
                <w:szCs w:val="24"/>
              </w:rPr>
              <w:t xml:space="preserve">Atkreiptinas dėmesys, kad </w:t>
            </w:r>
            <w:r w:rsidR="00686549" w:rsidRPr="006B624E">
              <w:rPr>
                <w:rFonts w:ascii="Times New Roman" w:hAnsi="Times New Roman"/>
                <w:bCs/>
                <w:kern w:val="32"/>
                <w:sz w:val="24"/>
                <w:szCs w:val="24"/>
              </w:rPr>
              <w:t xml:space="preserve">Pilietinės visuomenės plėtros agentūros 2017 m. atliktos galimybių studijos duomenimis, nevyriausybinių organizacijų finansinis nestabilumas laikomas vienu rimčiausių pilietinės visuomenės plėtrą ribojančių iššūkių, trukdančių tiek profesionaliai bendradarbiauti valdžios institucijoms ir </w:t>
            </w:r>
            <w:r w:rsidR="00E52B71" w:rsidRPr="006B624E">
              <w:rPr>
                <w:rFonts w:ascii="Times New Roman" w:hAnsi="Times New Roman"/>
                <w:bCs/>
                <w:kern w:val="32"/>
                <w:sz w:val="24"/>
                <w:szCs w:val="24"/>
              </w:rPr>
              <w:t>NVO</w:t>
            </w:r>
            <w:r w:rsidR="00686549" w:rsidRPr="006B624E">
              <w:rPr>
                <w:rFonts w:ascii="Times New Roman" w:hAnsi="Times New Roman"/>
                <w:bCs/>
                <w:kern w:val="32"/>
                <w:sz w:val="24"/>
                <w:szCs w:val="24"/>
              </w:rPr>
              <w:t xml:space="preserve">, tiek įtraukti piliečius į </w:t>
            </w:r>
            <w:r w:rsidR="00E52B71" w:rsidRPr="006B624E">
              <w:rPr>
                <w:rFonts w:ascii="Times New Roman" w:hAnsi="Times New Roman"/>
                <w:bCs/>
                <w:kern w:val="32"/>
                <w:sz w:val="24"/>
                <w:szCs w:val="24"/>
              </w:rPr>
              <w:t>NVO</w:t>
            </w:r>
            <w:r w:rsidR="00686549" w:rsidRPr="006B624E">
              <w:rPr>
                <w:rFonts w:ascii="Times New Roman" w:hAnsi="Times New Roman"/>
                <w:bCs/>
                <w:kern w:val="32"/>
                <w:sz w:val="24"/>
                <w:szCs w:val="24"/>
              </w:rPr>
              <w:t xml:space="preserve"> veiklas.</w:t>
            </w:r>
          </w:p>
          <w:p w14:paraId="1146B888" w14:textId="77777777" w:rsidR="0066374F" w:rsidRPr="006B624E" w:rsidRDefault="0066374F">
            <w:pPr>
              <w:pStyle w:val="Paprastasistekstas"/>
              <w:jc w:val="both"/>
              <w:rPr>
                <w:rFonts w:ascii="Times New Roman" w:hAnsi="Times New Roman"/>
                <w:b/>
                <w:sz w:val="24"/>
                <w:szCs w:val="24"/>
              </w:rPr>
            </w:pPr>
          </w:p>
          <w:p w14:paraId="5E079E71" w14:textId="77777777" w:rsidR="00804168" w:rsidRPr="006B624E" w:rsidRDefault="00804168">
            <w:pPr>
              <w:pStyle w:val="Paprastasistekstas"/>
              <w:jc w:val="both"/>
              <w:rPr>
                <w:rFonts w:ascii="Times New Roman" w:hAnsi="Times New Roman"/>
                <w:sz w:val="24"/>
                <w:szCs w:val="24"/>
              </w:rPr>
            </w:pPr>
          </w:p>
          <w:p w14:paraId="6938011B" w14:textId="2D108CB8" w:rsidR="007429CF" w:rsidRPr="006B624E" w:rsidRDefault="007429CF">
            <w:pPr>
              <w:pStyle w:val="Paprastasistekstas"/>
              <w:jc w:val="both"/>
              <w:rPr>
                <w:rFonts w:ascii="Times New Roman" w:hAnsi="Times New Roman"/>
                <w:sz w:val="24"/>
                <w:szCs w:val="24"/>
              </w:rPr>
            </w:pPr>
          </w:p>
        </w:tc>
      </w:tr>
      <w:tr w:rsidR="006B624E" w:rsidRPr="006B624E" w14:paraId="67AB7530" w14:textId="77777777" w:rsidTr="00AC3F90">
        <w:trPr>
          <w:trHeight w:val="1874"/>
        </w:trPr>
        <w:tc>
          <w:tcPr>
            <w:tcW w:w="2176" w:type="dxa"/>
            <w:shd w:val="clear" w:color="auto" w:fill="auto"/>
          </w:tcPr>
          <w:p w14:paraId="577C73C9" w14:textId="13EB5924" w:rsidR="00E05B1E" w:rsidRPr="006B624E" w:rsidRDefault="007429CF" w:rsidP="00DD6BD0">
            <w:r w:rsidRPr="006B624E">
              <w:lastRenderedPageBreak/>
              <w:t xml:space="preserve">Lietuvos Respublikos </w:t>
            </w:r>
            <w:r w:rsidR="00DD6BD0" w:rsidRPr="006B624E">
              <w:t>v</w:t>
            </w:r>
            <w:r w:rsidRPr="006B624E">
              <w:t>idaus reikalų ministerij</w:t>
            </w:r>
            <w:r w:rsidR="00DD6BD0" w:rsidRPr="006B624E">
              <w:t>os</w:t>
            </w:r>
            <w:r w:rsidRPr="006B624E">
              <w:t xml:space="preserve"> 20</w:t>
            </w:r>
            <w:r w:rsidR="005F2B40" w:rsidRPr="006B624E">
              <w:t>21</w:t>
            </w:r>
            <w:r w:rsidRPr="006B624E">
              <w:t>-</w:t>
            </w:r>
            <w:r w:rsidR="005F2B40" w:rsidRPr="006B624E">
              <w:t>11</w:t>
            </w:r>
            <w:r w:rsidRPr="006B624E">
              <w:t>-</w:t>
            </w:r>
            <w:r w:rsidR="005F2B40" w:rsidRPr="006B624E">
              <w:t>16</w:t>
            </w:r>
            <w:r w:rsidRPr="006B624E">
              <w:t xml:space="preserve"> raštas Nr.</w:t>
            </w:r>
            <w:r w:rsidR="00DD6BD0" w:rsidRPr="006B624E">
              <w:t> </w:t>
            </w:r>
            <w:r w:rsidR="005F2B40" w:rsidRPr="006B624E">
              <w:t>1D-6459</w:t>
            </w:r>
          </w:p>
        </w:tc>
        <w:tc>
          <w:tcPr>
            <w:tcW w:w="6214" w:type="dxa"/>
            <w:shd w:val="clear" w:color="auto" w:fill="auto"/>
          </w:tcPr>
          <w:p w14:paraId="370740B9" w14:textId="77777777" w:rsidR="005F2B40" w:rsidRPr="006B624E" w:rsidRDefault="005F2B40" w:rsidP="005F2B40">
            <w:pPr>
              <w:spacing w:line="253" w:lineRule="atLeast"/>
              <w:ind w:firstLine="992"/>
              <w:jc w:val="both"/>
              <w:rPr>
                <w:rFonts w:ascii="Calibri" w:hAnsi="Calibri" w:cs="Calibri"/>
                <w:sz w:val="22"/>
                <w:szCs w:val="22"/>
              </w:rPr>
            </w:pPr>
            <w:r w:rsidRPr="006B624E">
              <w:t>1.</w:t>
            </w:r>
            <w:r w:rsidRPr="006B624E">
              <w:rPr>
                <w:sz w:val="14"/>
                <w:szCs w:val="14"/>
              </w:rPr>
              <w:t>    </w:t>
            </w:r>
            <w:r w:rsidRPr="006B624E">
              <w:t>Nors Įstatymo projekto aiškinamojo rašto 3 punkte nurodoma, kad „Įstatymo 2 straipsnio 6 dalyje nustatytas viešosios naudos nevyriausybinės organizacijos apibrėžimas &lt;...&gt;, tačiau jis nėra išsamus ir nepakankamas viešosios naudos nevyriausybinės organizacijos požymiams nustatyti, kadangi nėra nustatytų kriterijų, kokia veikla ir kokia veiklos apimtimi organizacijos vykdoma veikla galėtų būti laikoma kaip teikianti naudą ne tik jos dalyviams, bet ir visuomenei“, o 4 punkte nurodoma, kad „siekiant patikslinti viešosios naudos nevyriausybinės organizacijos sąvoką, siūloma Įstatymo projekto 2 straipsnio 6 dalies sąvoką papildyti, kad viešosios naudos nevyriausybinė organizacija laikoma tokia nevyriausybinė organizacija, kurios veikla teikia naudą ne tik jos dalyviams, bet ir visuomenei ir pripažinta atitinkančia Įstatymo 8 straipsnio 2 dalyje nustatytus reikalavimus“, tačiau Įstatymo projekto 4 straipsniu keičiamo Lietuvos Respublikos nevyriausybinių organizacijų plėtros įstatymo (toliau – keičiamas įstatymas) 8 straipsnio 2 dalies 1 punkte nustatytas reikalavimas „daugiau nei pusė nevyriausybinės organizacijos vykdomų veiklų yra susiję su naudos visuomenei teikimu“, Įstatymo projekte nepateikiant veiklos, teikiančios naudą visuomenei, požymių, nesuteikia aiškumo, nevyriausybinę organizaciją vertinant kaip viešosios naudos nevyriausybinę organizaciją. Atsižvelgdama į Įstatymo projekto 4 straipsniu keičiamo įstatymo 8 straipsnio 1 dalį, nustatančią, kad nevyriausybinės organizacijos pripažįstamos viešosios naudos nevyriausybinėmis organizacijomis Vyriausybės įgaliotos institucijos nustatyta tvarka, Vyriausybės įgaliota institucija nustatys tik procedūras, pagal kurias nevyriausybinės organizacijos bus vertinamos ir pripažįstamos viešosios naudos nevyriausybinės organizacijos.</w:t>
            </w:r>
          </w:p>
          <w:p w14:paraId="2C4ABC7F" w14:textId="49C4B623" w:rsidR="005F2B40" w:rsidRPr="006B624E" w:rsidRDefault="005F2B40" w:rsidP="005F2B40">
            <w:pPr>
              <w:spacing w:line="253" w:lineRule="atLeast"/>
              <w:ind w:firstLine="992"/>
              <w:jc w:val="both"/>
            </w:pPr>
            <w:r w:rsidRPr="006B624E">
              <w:lastRenderedPageBreak/>
              <w:t>Vadovaujantis keičiamo įstatymo 8 straipsnio 1 dalies nuostata, kad asignavimų valdytojai,</w:t>
            </w:r>
            <w:r w:rsidRPr="006B624E">
              <w:rPr>
                <w:i/>
                <w:iCs/>
              </w:rPr>
              <w:t> </w:t>
            </w:r>
            <w:r w:rsidRPr="006B624E">
              <w:t>skirstydami nevyriausybinių organizacijų veiklos finansavimo lėšas, gali numatyti, kad viešosios naudos nevyriausybinėms organizacijoms teikiamas prioritetas, tačiau, Įstatymo projekte nesant nustatytų bent jau bendrųjų požymių, leidžiančių veiklą vertinti kaip naudingą visuomenei, svarstytina, ar toks teisinio reguliavimo pakeitimas prisidės prie nevyriausybinių organizacijų finansavimo skaidrumo didinimo, kartu –</w:t>
            </w:r>
            <w:r w:rsidRPr="006B624E">
              <w:rPr>
                <w:i/>
                <w:iCs/>
              </w:rPr>
              <w:t> </w:t>
            </w:r>
            <w:r w:rsidRPr="006B624E">
              <w:t>prie</w:t>
            </w:r>
            <w:r w:rsidRPr="006B624E">
              <w:rPr>
                <w:i/>
                <w:iCs/>
              </w:rPr>
              <w:t> </w:t>
            </w:r>
            <w:r w:rsidRPr="006B624E">
              <w:t>viešųjų finansų naudojimo skaidrumo didinimo.</w:t>
            </w:r>
          </w:p>
          <w:p w14:paraId="7DB19AA8" w14:textId="77777777" w:rsidR="00187B61" w:rsidRPr="006B624E" w:rsidRDefault="00187B61" w:rsidP="005F2B40">
            <w:pPr>
              <w:spacing w:line="253" w:lineRule="atLeast"/>
              <w:ind w:firstLine="992"/>
              <w:jc w:val="both"/>
              <w:rPr>
                <w:rFonts w:ascii="Calibri" w:hAnsi="Calibri" w:cs="Calibri"/>
                <w:sz w:val="22"/>
                <w:szCs w:val="22"/>
              </w:rPr>
            </w:pPr>
          </w:p>
          <w:p w14:paraId="386B15C7" w14:textId="44A2DD0E" w:rsidR="007429CF" w:rsidRPr="006B624E" w:rsidRDefault="007429CF" w:rsidP="00C77BAA">
            <w:pPr>
              <w:pStyle w:val="Sraopastraipa"/>
              <w:autoSpaceDE w:val="0"/>
              <w:autoSpaceDN w:val="0"/>
              <w:adjustRightInd w:val="0"/>
              <w:ind w:left="61"/>
              <w:jc w:val="both"/>
              <w:rPr>
                <w:rFonts w:eastAsiaTheme="minorHAnsi"/>
                <w:lang w:eastAsia="en-US"/>
              </w:rPr>
            </w:pPr>
          </w:p>
        </w:tc>
        <w:tc>
          <w:tcPr>
            <w:tcW w:w="6211" w:type="dxa"/>
            <w:shd w:val="clear" w:color="auto" w:fill="auto"/>
          </w:tcPr>
          <w:p w14:paraId="7F2F3E5E" w14:textId="7EFD15CA" w:rsidR="007429CF" w:rsidRPr="006B624E" w:rsidRDefault="007429CF" w:rsidP="00864265">
            <w:pPr>
              <w:pStyle w:val="Paprastasistekstas"/>
              <w:jc w:val="both"/>
              <w:rPr>
                <w:rFonts w:ascii="Times New Roman" w:hAnsi="Times New Roman"/>
                <w:b/>
                <w:sz w:val="24"/>
                <w:szCs w:val="24"/>
              </w:rPr>
            </w:pPr>
            <w:r w:rsidRPr="006B624E">
              <w:rPr>
                <w:rFonts w:ascii="Times New Roman" w:hAnsi="Times New Roman"/>
                <w:b/>
                <w:sz w:val="24"/>
                <w:szCs w:val="24"/>
              </w:rPr>
              <w:lastRenderedPageBreak/>
              <w:t>Neatsižvelgta</w:t>
            </w:r>
            <w:r w:rsidR="00DD3019" w:rsidRPr="006B624E">
              <w:rPr>
                <w:rFonts w:ascii="Times New Roman" w:hAnsi="Times New Roman"/>
                <w:b/>
                <w:sz w:val="24"/>
                <w:szCs w:val="24"/>
              </w:rPr>
              <w:t>.</w:t>
            </w:r>
          </w:p>
          <w:p w14:paraId="201FC41E" w14:textId="4A551AB3" w:rsidR="00925F7F" w:rsidRPr="00F30C29" w:rsidRDefault="001548EE" w:rsidP="00F30C29">
            <w:pPr>
              <w:pStyle w:val="Paprastasistekstas"/>
              <w:jc w:val="both"/>
              <w:rPr>
                <w:sz w:val="24"/>
                <w:szCs w:val="24"/>
              </w:rPr>
            </w:pPr>
            <w:r w:rsidRPr="00207B76">
              <w:rPr>
                <w:rFonts w:ascii="Times New Roman" w:hAnsi="Times New Roman"/>
                <w:sz w:val="24"/>
                <w:szCs w:val="24"/>
              </w:rPr>
              <w:t>Lietuvos Respublikos nevyriausybinių organizacijų plėtros įstatymo Nr. XII-717 2, 5, 6,</w:t>
            </w:r>
            <w:r>
              <w:rPr>
                <w:rFonts w:ascii="Times New Roman" w:hAnsi="Times New Roman"/>
                <w:sz w:val="24"/>
                <w:szCs w:val="24"/>
              </w:rPr>
              <w:t xml:space="preserve"> 7,</w:t>
            </w:r>
            <w:r w:rsidRPr="00207B76">
              <w:rPr>
                <w:rFonts w:ascii="Times New Roman" w:hAnsi="Times New Roman"/>
                <w:sz w:val="24"/>
                <w:szCs w:val="24"/>
              </w:rPr>
              <w:t xml:space="preserve"> 8 ir 9 straipsnių  pakeitimo įstatymo projekt</w:t>
            </w:r>
            <w:r>
              <w:rPr>
                <w:rFonts w:ascii="Times New Roman" w:hAnsi="Times New Roman"/>
                <w:sz w:val="24"/>
                <w:szCs w:val="24"/>
              </w:rPr>
              <w:t xml:space="preserve">u (toliau – </w:t>
            </w:r>
            <w:r w:rsidR="000A145C" w:rsidRPr="001548EE">
              <w:rPr>
                <w:rFonts w:ascii="Times New Roman" w:hAnsi="Times New Roman"/>
                <w:sz w:val="24"/>
                <w:szCs w:val="24"/>
              </w:rPr>
              <w:t>Įstatymo projekt</w:t>
            </w:r>
            <w:r>
              <w:rPr>
                <w:rFonts w:ascii="Times New Roman" w:hAnsi="Times New Roman"/>
                <w:sz w:val="24"/>
                <w:szCs w:val="24"/>
              </w:rPr>
              <w:t>as)</w:t>
            </w:r>
            <w:r w:rsidR="000A145C" w:rsidRPr="001548EE">
              <w:t xml:space="preserve"> nesiekiama apibrėžti</w:t>
            </w:r>
            <w:r w:rsidR="002B6A6A" w:rsidRPr="001548EE">
              <w:t xml:space="preserve"> veiklos</w:t>
            </w:r>
            <w:r w:rsidR="00925F7F" w:rsidRPr="001548EE">
              <w:t>,</w:t>
            </w:r>
            <w:r w:rsidRPr="00F30C29">
              <w:rPr>
                <w:rFonts w:ascii="Times New Roman" w:hAnsi="Times New Roman"/>
                <w:sz w:val="24"/>
                <w:szCs w:val="24"/>
              </w:rPr>
              <w:t xml:space="preserve"> </w:t>
            </w:r>
            <w:r w:rsidR="002B6A6A" w:rsidRPr="00F30C29">
              <w:rPr>
                <w:rFonts w:ascii="Times New Roman" w:hAnsi="Times New Roman"/>
                <w:sz w:val="24"/>
                <w:szCs w:val="24"/>
              </w:rPr>
              <w:t>teikiančios naudą visuomenei</w:t>
            </w:r>
            <w:r w:rsidR="003F1DA2" w:rsidRPr="00F30C29">
              <w:rPr>
                <w:rFonts w:ascii="Times New Roman" w:hAnsi="Times New Roman"/>
                <w:sz w:val="24"/>
                <w:szCs w:val="24"/>
              </w:rPr>
              <w:t>,</w:t>
            </w:r>
            <w:r w:rsidR="002B6A6A" w:rsidRPr="00F30C29">
              <w:rPr>
                <w:rFonts w:ascii="Times New Roman" w:hAnsi="Times New Roman"/>
                <w:sz w:val="24"/>
                <w:szCs w:val="24"/>
              </w:rPr>
              <w:t xml:space="preserve"> </w:t>
            </w:r>
            <w:r w:rsidR="000A145C" w:rsidRPr="00F30C29">
              <w:rPr>
                <w:rFonts w:ascii="Times New Roman" w:hAnsi="Times New Roman"/>
                <w:sz w:val="24"/>
                <w:szCs w:val="24"/>
              </w:rPr>
              <w:t>ka</w:t>
            </w:r>
            <w:r w:rsidR="002B6A6A" w:rsidRPr="00F30C29">
              <w:rPr>
                <w:rFonts w:ascii="Times New Roman" w:hAnsi="Times New Roman"/>
                <w:sz w:val="24"/>
                <w:szCs w:val="24"/>
              </w:rPr>
              <w:t>dangi</w:t>
            </w:r>
            <w:r w:rsidR="00925F7F" w:rsidRPr="00F30C29">
              <w:rPr>
                <w:rFonts w:ascii="Times New Roman" w:hAnsi="Times New Roman"/>
                <w:sz w:val="24"/>
                <w:szCs w:val="24"/>
              </w:rPr>
              <w:t xml:space="preserve"> būtų sudėtinga nustatyti baigtinį tokios veiklos kriterijų sąrašą; </w:t>
            </w:r>
            <w:r w:rsidR="00925F7F" w:rsidRPr="00F30C29">
              <w:rPr>
                <w:rStyle w:val="Komentaronuoroda"/>
                <w:rFonts w:ascii="Times New Roman" w:hAnsi="Times New Roman"/>
                <w:sz w:val="24"/>
                <w:szCs w:val="24"/>
              </w:rPr>
              <w:t>esminis tokios veiklos požymis ir yra naudos visuomenei teikimas, kurio atskirai detalizuoti ne</w:t>
            </w:r>
            <w:r w:rsidR="007139AD" w:rsidRPr="00F30C29">
              <w:rPr>
                <w:rStyle w:val="Komentaronuoroda"/>
                <w:rFonts w:ascii="Times New Roman" w:hAnsi="Times New Roman"/>
                <w:sz w:val="24"/>
                <w:szCs w:val="24"/>
              </w:rPr>
              <w:t>nustatyta prasmės ir</w:t>
            </w:r>
            <w:r w:rsidR="00925F7F" w:rsidRPr="00F30C29">
              <w:rPr>
                <w:rStyle w:val="Komentaronuoroda"/>
                <w:rFonts w:ascii="Times New Roman" w:hAnsi="Times New Roman"/>
                <w:sz w:val="24"/>
                <w:szCs w:val="24"/>
              </w:rPr>
              <w:t xml:space="preserve"> būtinybės.</w:t>
            </w:r>
          </w:p>
          <w:p w14:paraId="1C196F87" w14:textId="7DB37475" w:rsidR="003F1DA2" w:rsidRPr="006B624E" w:rsidRDefault="00925F7F" w:rsidP="002C1A96">
            <w:pPr>
              <w:pStyle w:val="Paprastasistekstas"/>
              <w:jc w:val="both"/>
              <w:rPr>
                <w:rFonts w:ascii="Times New Roman" w:hAnsi="Times New Roman"/>
                <w:sz w:val="24"/>
                <w:szCs w:val="24"/>
              </w:rPr>
            </w:pPr>
            <w:r>
              <w:rPr>
                <w:rFonts w:ascii="Times New Roman" w:hAnsi="Times New Roman"/>
                <w:sz w:val="24"/>
                <w:szCs w:val="24"/>
              </w:rPr>
              <w:t xml:space="preserve"> </w:t>
            </w:r>
            <w:r w:rsidR="002B6A6A" w:rsidRPr="006B624E">
              <w:rPr>
                <w:rFonts w:ascii="Times New Roman" w:hAnsi="Times New Roman"/>
                <w:sz w:val="24"/>
                <w:szCs w:val="24"/>
              </w:rPr>
              <w:t xml:space="preserve"> NVO, pagal esamą NVO apibrėžimą</w:t>
            </w:r>
            <w:r w:rsidR="008051D8" w:rsidRPr="006B624E">
              <w:rPr>
                <w:rFonts w:ascii="Times New Roman" w:hAnsi="Times New Roman"/>
                <w:sz w:val="24"/>
                <w:szCs w:val="24"/>
              </w:rPr>
              <w:t xml:space="preserve"> keičiamame Lietuvos Respublikos nevyriausybinių organizacijų plėtros įstatyme (toliau – Įstatymas) </w:t>
            </w:r>
            <w:r w:rsidR="002B6A6A" w:rsidRPr="006B624E">
              <w:rPr>
                <w:rFonts w:ascii="Times New Roman" w:hAnsi="Times New Roman"/>
                <w:sz w:val="24"/>
                <w:szCs w:val="24"/>
              </w:rPr>
              <w:t xml:space="preserve"> veikia visuomenės ar jos grupės naudai, o kiek šiuos požymius NVO atitinka, galima įvertinti analizuojant NVO veiklą: įstatuose nurodytus tikslus, vykdomą veiklą, informaciją, pateikiamą veiklos ataskaitose. </w:t>
            </w:r>
          </w:p>
          <w:p w14:paraId="27BC64FA" w14:textId="30E9B2FE" w:rsidR="00F90E6F" w:rsidRPr="006B624E" w:rsidRDefault="003F1DA2" w:rsidP="00DD6BD0">
            <w:pPr>
              <w:pStyle w:val="Paprastasistekstas"/>
              <w:jc w:val="both"/>
              <w:rPr>
                <w:rFonts w:ascii="Times New Roman" w:hAnsi="Times New Roman"/>
                <w:sz w:val="24"/>
                <w:szCs w:val="24"/>
              </w:rPr>
            </w:pPr>
            <w:r w:rsidRPr="006B624E">
              <w:rPr>
                <w:rFonts w:ascii="Times New Roman" w:hAnsi="Times New Roman"/>
                <w:sz w:val="24"/>
                <w:szCs w:val="24"/>
              </w:rPr>
              <w:t xml:space="preserve">Visuomenei naudinga NVO turi iš esmės vykdyti visuomenei naudingą veiklą, </w:t>
            </w:r>
            <w:proofErr w:type="spellStart"/>
            <w:r w:rsidRPr="006B624E">
              <w:rPr>
                <w:rFonts w:ascii="Times New Roman" w:hAnsi="Times New Roman"/>
                <w:sz w:val="24"/>
                <w:szCs w:val="24"/>
              </w:rPr>
              <w:t>t.y</w:t>
            </w:r>
            <w:proofErr w:type="spellEnd"/>
            <w:r w:rsidRPr="006B624E">
              <w:rPr>
                <w:rFonts w:ascii="Times New Roman" w:hAnsi="Times New Roman"/>
                <w:sz w:val="24"/>
                <w:szCs w:val="24"/>
              </w:rPr>
              <w:t>. būti viešosios naudos NVO, tad visuomenei nauding</w:t>
            </w:r>
            <w:r w:rsidR="00925F7F">
              <w:rPr>
                <w:rFonts w:ascii="Times New Roman" w:hAnsi="Times New Roman"/>
                <w:sz w:val="24"/>
                <w:szCs w:val="24"/>
              </w:rPr>
              <w:t>ą</w:t>
            </w:r>
            <w:r w:rsidRPr="006B624E">
              <w:rPr>
                <w:rFonts w:ascii="Times New Roman" w:hAnsi="Times New Roman"/>
                <w:sz w:val="24"/>
                <w:szCs w:val="24"/>
              </w:rPr>
              <w:t xml:space="preserve"> veikl</w:t>
            </w:r>
            <w:r w:rsidR="004C00C7" w:rsidRPr="006B624E">
              <w:rPr>
                <w:rFonts w:ascii="Times New Roman" w:hAnsi="Times New Roman"/>
                <w:sz w:val="24"/>
                <w:szCs w:val="24"/>
              </w:rPr>
              <w:t>ą galima būtų tapatinti su ve</w:t>
            </w:r>
            <w:r w:rsidRPr="006B624E">
              <w:rPr>
                <w:rFonts w:ascii="Times New Roman" w:hAnsi="Times New Roman"/>
                <w:sz w:val="24"/>
                <w:szCs w:val="24"/>
              </w:rPr>
              <w:t>ikla, kuri yra viešosios naudos</w:t>
            </w:r>
            <w:r w:rsidR="007139AD">
              <w:rPr>
                <w:rFonts w:ascii="Times New Roman" w:hAnsi="Times New Roman"/>
                <w:sz w:val="24"/>
                <w:szCs w:val="24"/>
              </w:rPr>
              <w:t xml:space="preserve">, kitaip tariant veiklą, teikiančią naudą visuomenei </w:t>
            </w:r>
            <w:r w:rsidR="005C77A3">
              <w:rPr>
                <w:rFonts w:ascii="Times New Roman" w:hAnsi="Times New Roman"/>
                <w:sz w:val="24"/>
                <w:szCs w:val="24"/>
              </w:rPr>
              <w:t>vykdo</w:t>
            </w:r>
            <w:r w:rsidR="007139AD">
              <w:rPr>
                <w:rFonts w:ascii="Times New Roman" w:hAnsi="Times New Roman"/>
                <w:sz w:val="24"/>
                <w:szCs w:val="24"/>
              </w:rPr>
              <w:t xml:space="preserve"> viešosios naudos NVO, </w:t>
            </w:r>
            <w:r w:rsidR="00382CBA">
              <w:rPr>
                <w:rFonts w:ascii="Times New Roman" w:hAnsi="Times New Roman"/>
                <w:sz w:val="24"/>
                <w:szCs w:val="24"/>
              </w:rPr>
              <w:t xml:space="preserve">kuria bus laikoma NVO, </w:t>
            </w:r>
            <w:r w:rsidR="007139AD">
              <w:rPr>
                <w:rFonts w:ascii="Times New Roman" w:hAnsi="Times New Roman"/>
                <w:sz w:val="24"/>
                <w:szCs w:val="24"/>
              </w:rPr>
              <w:t>kurios kriterijus ir siekiama apibrėžti Įstatymo projekte</w:t>
            </w:r>
            <w:r w:rsidRPr="006B624E">
              <w:rPr>
                <w:rFonts w:ascii="Times New Roman" w:hAnsi="Times New Roman"/>
                <w:sz w:val="24"/>
                <w:szCs w:val="24"/>
              </w:rPr>
              <w:t xml:space="preserve"> Kadangi visuomenei naudinga veikla ir yra visuma požymių, kuriuos turi atitikti NVO siekianti būti pripažinta viešosios naudos NVO, svarbu išplėsti būtent viešosios naudos NVO apibrėžimą ir kriterijus, o ne siekti apibrėžti visuomenei naudingą veiklą Įstatymo projekte.</w:t>
            </w:r>
            <w:r w:rsidR="000F7A2C" w:rsidRPr="006B624E">
              <w:rPr>
                <w:rFonts w:ascii="Times New Roman" w:hAnsi="Times New Roman"/>
                <w:sz w:val="24"/>
                <w:szCs w:val="24"/>
              </w:rPr>
              <w:t xml:space="preserve"> </w:t>
            </w:r>
            <w:r w:rsidR="00F90E6F" w:rsidRPr="006B624E">
              <w:rPr>
                <w:rFonts w:ascii="Times New Roman" w:hAnsi="Times New Roman"/>
                <w:bCs/>
                <w:iCs/>
                <w:sz w:val="24"/>
                <w:szCs w:val="24"/>
              </w:rPr>
              <w:t xml:space="preserve">Pabrėžtina, kad aiški ir detali vertinimo dėl NVO pripažinimo  viešosios naudos NVO tvarka ir procedūra bus įtvirtinta poįstatyminiuose teisės aktuose.  </w:t>
            </w:r>
          </w:p>
          <w:p w14:paraId="0DAAD3A1" w14:textId="5CB99B38" w:rsidR="00DE1858" w:rsidRPr="006B624E" w:rsidRDefault="00DE1858" w:rsidP="00631AF8">
            <w:pPr>
              <w:spacing w:line="253" w:lineRule="atLeast"/>
              <w:jc w:val="both"/>
              <w:rPr>
                <w:rFonts w:ascii="Calibri" w:hAnsi="Calibri" w:cs="Calibri"/>
                <w:sz w:val="22"/>
                <w:szCs w:val="22"/>
              </w:rPr>
            </w:pPr>
            <w:r w:rsidRPr="006B624E">
              <w:t xml:space="preserve">Atkreiptinas dėmesys, kad atlikus Įstatymo projekto antikorupcinį vertinimą, </w:t>
            </w:r>
            <w:r w:rsidR="000D64EC" w:rsidRPr="006B624E">
              <w:rPr>
                <w:bCs/>
              </w:rPr>
              <w:t xml:space="preserve">nebuvo nustatytos rizikingos teisės </w:t>
            </w:r>
            <w:r w:rsidR="000D64EC" w:rsidRPr="006B624E">
              <w:rPr>
                <w:bCs/>
              </w:rPr>
              <w:lastRenderedPageBreak/>
              <w:t>akto projekto nuostatos</w:t>
            </w:r>
            <w:r w:rsidR="00B44B51" w:rsidRPr="006B624E">
              <w:rPr>
                <w:bCs/>
              </w:rPr>
              <w:t xml:space="preserve"> ir pažymėta, kad </w:t>
            </w:r>
            <w:r w:rsidR="000D64EC" w:rsidRPr="006B624E">
              <w:rPr>
                <w:bCs/>
              </w:rPr>
              <w:t>Įstatymo projekte</w:t>
            </w:r>
            <w:r w:rsidR="000D64EC" w:rsidRPr="006B624E">
              <w:t xml:space="preserve"> siūlomomis nuostatomis nesukuriamos nepagrįstai išskirtinės ar nevienodos sąlygos subjektams, kuriems jos galėtų būti aktualios. Be kita ko, </w:t>
            </w:r>
            <w:r w:rsidR="008051D8" w:rsidRPr="006B624E">
              <w:t>pažymėta, kad Įstatymo p</w:t>
            </w:r>
            <w:r w:rsidR="000D64EC" w:rsidRPr="006B624E">
              <w:t>rojekte siūlomos nuostatos suprojektuotos atsižvelgiant</w:t>
            </w:r>
            <w:r w:rsidR="008051D8" w:rsidRPr="006B624E">
              <w:t xml:space="preserve"> į</w:t>
            </w:r>
            <w:r w:rsidR="000D64EC" w:rsidRPr="006B624E">
              <w:t xml:space="preserve"> dabar egzistuojančią gerąją praktiką, taip pat įvertinus tarptautinę praktiką teisiškai reguliuojant nevyriausybinių organizacijų veiklą.</w:t>
            </w:r>
            <w:r w:rsidR="000D64EC" w:rsidRPr="006B624E">
              <w:rPr>
                <w:sz w:val="22"/>
              </w:rPr>
              <w:t xml:space="preserve">  </w:t>
            </w:r>
          </w:p>
          <w:p w14:paraId="1F62FB9C" w14:textId="6D8570EC" w:rsidR="003F1DA2" w:rsidRPr="006B624E" w:rsidRDefault="003F1DA2" w:rsidP="00DD6BD0">
            <w:pPr>
              <w:pStyle w:val="Paprastasistekstas"/>
              <w:jc w:val="both"/>
              <w:rPr>
                <w:rFonts w:ascii="Times New Roman" w:hAnsi="Times New Roman"/>
                <w:sz w:val="24"/>
                <w:szCs w:val="24"/>
              </w:rPr>
            </w:pPr>
          </w:p>
          <w:p w14:paraId="7818BA2E" w14:textId="295640DA" w:rsidR="009F003D" w:rsidRPr="006B624E" w:rsidRDefault="009F003D" w:rsidP="000F7A2C">
            <w:pPr>
              <w:pStyle w:val="Paprastasistekstas"/>
              <w:jc w:val="both"/>
              <w:rPr>
                <w:rFonts w:ascii="Times New Roman" w:hAnsi="Times New Roman"/>
                <w:sz w:val="24"/>
                <w:szCs w:val="24"/>
              </w:rPr>
            </w:pPr>
          </w:p>
        </w:tc>
      </w:tr>
      <w:tr w:rsidR="009F003D" w:rsidRPr="006B624E" w14:paraId="03CFA6B4" w14:textId="77777777" w:rsidTr="00DF4DE5">
        <w:trPr>
          <w:trHeight w:val="3864"/>
        </w:trPr>
        <w:tc>
          <w:tcPr>
            <w:tcW w:w="2176" w:type="dxa"/>
            <w:shd w:val="clear" w:color="auto" w:fill="auto"/>
          </w:tcPr>
          <w:p w14:paraId="7B0E9B3B" w14:textId="77777777" w:rsidR="009F003D" w:rsidRPr="006B624E" w:rsidRDefault="009F003D" w:rsidP="00D53986">
            <w:r w:rsidRPr="006B624E">
              <w:lastRenderedPageBreak/>
              <w:t>Lietuvos Respublikos teisingumo ministerijos</w:t>
            </w:r>
          </w:p>
          <w:p w14:paraId="37BBA3A8" w14:textId="71DC6D1E" w:rsidR="009F003D" w:rsidRPr="006B624E" w:rsidRDefault="009F003D" w:rsidP="00D53986">
            <w:r w:rsidRPr="006B624E">
              <w:t>20</w:t>
            </w:r>
            <w:r w:rsidR="004A2676" w:rsidRPr="006B624E">
              <w:t>21</w:t>
            </w:r>
            <w:r w:rsidRPr="006B624E">
              <w:t>-</w:t>
            </w:r>
            <w:r w:rsidR="004A2676" w:rsidRPr="006B624E">
              <w:t>11</w:t>
            </w:r>
            <w:r w:rsidRPr="006B624E">
              <w:t>-</w:t>
            </w:r>
            <w:r w:rsidR="004A2676" w:rsidRPr="006B624E">
              <w:t>15</w:t>
            </w:r>
            <w:r w:rsidRPr="006B624E">
              <w:t xml:space="preserve"> raštas Nr. </w:t>
            </w:r>
            <w:r w:rsidR="004A2676" w:rsidRPr="006B624E">
              <w:t>(1.6Mr) 2T-1261</w:t>
            </w:r>
          </w:p>
          <w:p w14:paraId="3482291E" w14:textId="77777777" w:rsidR="009F003D" w:rsidRPr="006B624E" w:rsidRDefault="009F003D" w:rsidP="00D53986"/>
        </w:tc>
        <w:tc>
          <w:tcPr>
            <w:tcW w:w="6214" w:type="dxa"/>
            <w:shd w:val="clear" w:color="auto" w:fill="auto"/>
          </w:tcPr>
          <w:p w14:paraId="5C63C3C0" w14:textId="77777777" w:rsidR="004A2676" w:rsidRPr="006B624E" w:rsidRDefault="004A2676" w:rsidP="00EA73D7">
            <w:pPr>
              <w:shd w:val="clear" w:color="auto" w:fill="FFFFFF"/>
              <w:spacing w:line="300" w:lineRule="atLeast"/>
              <w:jc w:val="both"/>
              <w:rPr>
                <w:sz w:val="20"/>
                <w:szCs w:val="20"/>
              </w:rPr>
            </w:pPr>
            <w:bookmarkStart w:id="0" w:name="_Hlk87598186"/>
            <w:r w:rsidRPr="006B624E">
              <w:t>4.</w:t>
            </w:r>
            <w:r w:rsidRPr="006B624E">
              <w:rPr>
                <w:sz w:val="14"/>
                <w:szCs w:val="14"/>
              </w:rPr>
              <w:t>    </w:t>
            </w:r>
            <w:r w:rsidRPr="006B624E">
              <w:t>Projektu keičiamo įstatymo 8 straipsnyje numatoma, kad </w:t>
            </w:r>
            <w:bookmarkStart w:id="1" w:name="_Hlk87431650"/>
            <w:r w:rsidRPr="006B624E">
              <w:t>viešosios naudos nevyriausybine organizacija pripažįstama nevyriausybinė organizacija,</w:t>
            </w:r>
            <w:bookmarkEnd w:id="1"/>
            <w:r w:rsidRPr="006B624E">
              <w:t> be kita ko, jei jos daugiau nei pusė nevyriausybinės organizacijos vykdomų veiklų yra susiję su naudos visuomenei teikimu (2 dalis). Tačiau iš tokio reguliavimo nėra aišku, kaip bus skaičiuojamos / matuojamos tos visuomenei naudingos veiklos, tarkime, ar pagal organizacijos įstatuose nurodytas veiklas, ar realiai vykdomas veiklas ir pan.</w:t>
            </w:r>
          </w:p>
          <w:bookmarkEnd w:id="0"/>
          <w:p w14:paraId="69F5303F" w14:textId="23B41611" w:rsidR="009F003D" w:rsidRPr="006B624E" w:rsidRDefault="009F003D" w:rsidP="00501A94">
            <w:pPr>
              <w:shd w:val="clear" w:color="auto" w:fill="FFFFFF"/>
              <w:spacing w:line="300" w:lineRule="atLeast"/>
              <w:ind w:firstLine="567"/>
              <w:jc w:val="both"/>
              <w:rPr>
                <w:rFonts w:eastAsiaTheme="minorHAnsi"/>
                <w:lang w:eastAsia="en-US"/>
              </w:rPr>
            </w:pPr>
          </w:p>
        </w:tc>
        <w:tc>
          <w:tcPr>
            <w:tcW w:w="6211" w:type="dxa"/>
            <w:shd w:val="clear" w:color="auto" w:fill="auto"/>
          </w:tcPr>
          <w:p w14:paraId="7E48E0C9" w14:textId="11F4A862" w:rsidR="009F003D" w:rsidRPr="006B624E" w:rsidRDefault="009F003D" w:rsidP="00864265">
            <w:pPr>
              <w:pStyle w:val="Paprastasistekstas"/>
              <w:jc w:val="both"/>
              <w:rPr>
                <w:rFonts w:ascii="Times New Roman" w:hAnsi="Times New Roman"/>
                <w:b/>
                <w:sz w:val="24"/>
                <w:szCs w:val="24"/>
              </w:rPr>
            </w:pPr>
            <w:r w:rsidRPr="006B624E">
              <w:rPr>
                <w:rFonts w:ascii="Times New Roman" w:hAnsi="Times New Roman"/>
                <w:b/>
                <w:sz w:val="24"/>
                <w:szCs w:val="24"/>
              </w:rPr>
              <w:t>Neatsižvelgta.</w:t>
            </w:r>
          </w:p>
          <w:p w14:paraId="11337330" w14:textId="481C1AC0" w:rsidR="00EA73D7" w:rsidRPr="006B624E" w:rsidRDefault="00EA73D7" w:rsidP="00EA73D7">
            <w:pPr>
              <w:pStyle w:val="Paprastasistekstas"/>
              <w:jc w:val="both"/>
              <w:rPr>
                <w:rFonts w:ascii="Times New Roman" w:hAnsi="Times New Roman"/>
                <w:sz w:val="24"/>
                <w:szCs w:val="24"/>
              </w:rPr>
            </w:pPr>
            <w:r w:rsidRPr="006B624E">
              <w:rPr>
                <w:rFonts w:ascii="Times New Roman" w:hAnsi="Times New Roman"/>
                <w:sz w:val="24"/>
                <w:szCs w:val="24"/>
              </w:rPr>
              <w:t>Pažymėtina, kad Įstatyme įtvirtinta, kad  NVO pripažįstamos viešosios naudos NVO Vyriausybės įgaliotos institucijos nustatyta tvarka. Ši tvark</w:t>
            </w:r>
            <w:r w:rsidR="00AD15E3">
              <w:rPr>
                <w:rFonts w:ascii="Times New Roman" w:hAnsi="Times New Roman"/>
                <w:sz w:val="24"/>
                <w:szCs w:val="24"/>
              </w:rPr>
              <w:t>a nustatys atitikties viešosios naudos kriterijams procedūras</w:t>
            </w:r>
            <w:r w:rsidRPr="006B624E">
              <w:rPr>
                <w:rFonts w:ascii="Times New Roman" w:hAnsi="Times New Roman"/>
                <w:sz w:val="24"/>
                <w:szCs w:val="24"/>
              </w:rPr>
              <w:t xml:space="preserve"> </w:t>
            </w:r>
            <w:r w:rsidR="00AD15E3">
              <w:rPr>
                <w:rFonts w:ascii="Times New Roman" w:hAnsi="Times New Roman"/>
                <w:sz w:val="24"/>
                <w:szCs w:val="24"/>
              </w:rPr>
              <w:t xml:space="preserve">ir privalomus pateikti dokumentus, </w:t>
            </w:r>
            <w:r w:rsidRPr="006B624E">
              <w:rPr>
                <w:rFonts w:ascii="Times New Roman" w:hAnsi="Times New Roman"/>
                <w:sz w:val="24"/>
                <w:szCs w:val="24"/>
              </w:rPr>
              <w:t>tam, kad Vyriausybės įgaliota institucija, suteiksianti viešosios naudos NVO statusą, galėtų įvertinti atitiktį viešosios naudos kriterijams, vertinant</w:t>
            </w:r>
            <w:r w:rsidR="00FB6699">
              <w:rPr>
                <w:rFonts w:ascii="Times New Roman" w:hAnsi="Times New Roman"/>
                <w:sz w:val="24"/>
                <w:szCs w:val="24"/>
              </w:rPr>
              <w:t xml:space="preserve"> įstatuose </w:t>
            </w:r>
            <w:r w:rsidR="001327EF">
              <w:rPr>
                <w:rFonts w:ascii="Times New Roman" w:hAnsi="Times New Roman"/>
                <w:sz w:val="24"/>
                <w:szCs w:val="24"/>
              </w:rPr>
              <w:t xml:space="preserve">ir veiklos ataskaitose </w:t>
            </w:r>
            <w:r w:rsidR="00FB6699">
              <w:rPr>
                <w:rFonts w:ascii="Times New Roman" w:hAnsi="Times New Roman"/>
                <w:sz w:val="24"/>
                <w:szCs w:val="24"/>
              </w:rPr>
              <w:t>nustatytą veiklą (didžioji dalis veiklų turėtų būti susijusi su naudos visuomenei teikimu)</w:t>
            </w:r>
            <w:r w:rsidR="001327EF">
              <w:rPr>
                <w:rFonts w:ascii="Times New Roman" w:hAnsi="Times New Roman"/>
                <w:sz w:val="24"/>
                <w:szCs w:val="24"/>
              </w:rPr>
              <w:t xml:space="preserve"> taip analizuojant</w:t>
            </w:r>
            <w:r w:rsidRPr="006B624E">
              <w:rPr>
                <w:rFonts w:ascii="Times New Roman" w:hAnsi="Times New Roman"/>
                <w:sz w:val="24"/>
                <w:szCs w:val="24"/>
              </w:rPr>
              <w:t xml:space="preserve">  organizacijos faktiškai vykdomą veiklą</w:t>
            </w:r>
            <w:r w:rsidR="001327EF">
              <w:rPr>
                <w:rFonts w:ascii="Times New Roman" w:hAnsi="Times New Roman"/>
                <w:sz w:val="24"/>
                <w:szCs w:val="24"/>
              </w:rPr>
              <w:t>.</w:t>
            </w:r>
            <w:r w:rsidRPr="006B624E">
              <w:rPr>
                <w:rFonts w:ascii="Times New Roman" w:hAnsi="Times New Roman"/>
                <w:sz w:val="24"/>
                <w:szCs w:val="24"/>
              </w:rPr>
              <w:t xml:space="preserve">. </w:t>
            </w:r>
          </w:p>
          <w:p w14:paraId="7DD6B0C8" w14:textId="77777777" w:rsidR="00EA73D7" w:rsidRPr="006B624E" w:rsidRDefault="00EA73D7" w:rsidP="00EA73D7">
            <w:pPr>
              <w:pStyle w:val="Paprastasistekstas"/>
              <w:jc w:val="both"/>
              <w:rPr>
                <w:rFonts w:ascii="Times New Roman" w:hAnsi="Times New Roman"/>
                <w:sz w:val="24"/>
                <w:szCs w:val="24"/>
              </w:rPr>
            </w:pPr>
            <w:r w:rsidRPr="006B624E">
              <w:rPr>
                <w:rFonts w:ascii="Times New Roman" w:hAnsi="Times New Roman"/>
                <w:bCs/>
                <w:iCs/>
                <w:sz w:val="24"/>
                <w:szCs w:val="24"/>
              </w:rPr>
              <w:t xml:space="preserve">Pabrėžtina, kad aiški ir detali vertinimo dėl NVO pripažinimo  viešosios naudos NVO tvarka ir procedūra bus įtvirtinta poįstatyminiuose teisės aktuose.  </w:t>
            </w:r>
          </w:p>
          <w:p w14:paraId="650ECCB2" w14:textId="73EA6361" w:rsidR="009F003D" w:rsidRPr="006B624E" w:rsidRDefault="009F003D" w:rsidP="00331F55">
            <w:pPr>
              <w:pStyle w:val="Paprastasistekstas"/>
              <w:jc w:val="both"/>
              <w:rPr>
                <w:rFonts w:ascii="Times New Roman" w:hAnsi="Times New Roman"/>
                <w:sz w:val="24"/>
                <w:szCs w:val="24"/>
              </w:rPr>
            </w:pPr>
          </w:p>
        </w:tc>
      </w:tr>
    </w:tbl>
    <w:p w14:paraId="775B77E6" w14:textId="77777777" w:rsidR="00A028B8" w:rsidRPr="006B624E" w:rsidRDefault="00A028B8" w:rsidP="00D53986">
      <w:pPr>
        <w:jc w:val="center"/>
      </w:pPr>
    </w:p>
    <w:p w14:paraId="4A53E2D1" w14:textId="57446ECC" w:rsidR="00804168" w:rsidRPr="006B624E" w:rsidRDefault="00804168" w:rsidP="00D53986">
      <w:pPr>
        <w:jc w:val="center"/>
      </w:pPr>
    </w:p>
    <w:p w14:paraId="52FE103D" w14:textId="01BCFD73" w:rsidR="008F6E44" w:rsidRPr="006B624E" w:rsidRDefault="008F6E44" w:rsidP="00D53986">
      <w:pPr>
        <w:jc w:val="center"/>
      </w:pPr>
    </w:p>
    <w:p w14:paraId="2BDCB4F6" w14:textId="204778E0" w:rsidR="006D51A7" w:rsidRPr="006B624E" w:rsidRDefault="006D51A7" w:rsidP="00624AB8">
      <w:pPr>
        <w:jc w:val="center"/>
      </w:pPr>
      <w:r w:rsidRPr="006B624E">
        <w:t>_________________</w:t>
      </w:r>
    </w:p>
    <w:sectPr w:rsidR="006D51A7" w:rsidRPr="006B624E" w:rsidSect="00F310EB">
      <w:headerReference w:type="default" r:id="rId8"/>
      <w:pgSz w:w="16838" w:h="11906" w:orient="landscape" w:code="9"/>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D67DAA" w14:textId="77777777" w:rsidR="009952A6" w:rsidRDefault="009952A6" w:rsidP="002E4284">
      <w:r>
        <w:separator/>
      </w:r>
    </w:p>
  </w:endnote>
  <w:endnote w:type="continuationSeparator" w:id="0">
    <w:p w14:paraId="2BED55EB" w14:textId="77777777" w:rsidR="009952A6" w:rsidRDefault="009952A6" w:rsidP="002E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3377D7" w14:textId="77777777" w:rsidR="009952A6" w:rsidRDefault="009952A6" w:rsidP="002E4284">
      <w:r>
        <w:separator/>
      </w:r>
    </w:p>
  </w:footnote>
  <w:footnote w:type="continuationSeparator" w:id="0">
    <w:p w14:paraId="10D9DB46" w14:textId="77777777" w:rsidR="009952A6" w:rsidRDefault="009952A6" w:rsidP="002E4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4120618"/>
      <w:docPartObj>
        <w:docPartGallery w:val="Page Numbers (Top of Page)"/>
        <w:docPartUnique/>
      </w:docPartObj>
    </w:sdtPr>
    <w:sdtEndPr/>
    <w:sdtContent>
      <w:p w14:paraId="5AD18826" w14:textId="77777777" w:rsidR="001A4C4A" w:rsidRDefault="001A4C4A">
        <w:pPr>
          <w:pStyle w:val="Antrats"/>
          <w:jc w:val="center"/>
        </w:pPr>
        <w:r>
          <w:fldChar w:fldCharType="begin"/>
        </w:r>
        <w:r>
          <w:instrText>PAGE   \* MERGEFORMAT</w:instrText>
        </w:r>
        <w:r>
          <w:fldChar w:fldCharType="separate"/>
        </w:r>
        <w:r w:rsidR="009E0278">
          <w:rPr>
            <w:noProof/>
          </w:rPr>
          <w:t>8</w:t>
        </w:r>
        <w:r>
          <w:rPr>
            <w:noProof/>
          </w:rPr>
          <w:fldChar w:fldCharType="end"/>
        </w:r>
      </w:p>
    </w:sdtContent>
  </w:sdt>
  <w:p w14:paraId="3360FCC9" w14:textId="77777777" w:rsidR="001A4C4A" w:rsidRDefault="001A4C4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15D46"/>
    <w:multiLevelType w:val="hybridMultilevel"/>
    <w:tmpl w:val="7BCCD4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96570B"/>
    <w:multiLevelType w:val="hybridMultilevel"/>
    <w:tmpl w:val="D98ED5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253B35"/>
    <w:multiLevelType w:val="hybridMultilevel"/>
    <w:tmpl w:val="0BD2D1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FE5782"/>
    <w:multiLevelType w:val="hybridMultilevel"/>
    <w:tmpl w:val="10BA1E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072B20"/>
    <w:multiLevelType w:val="hybridMultilevel"/>
    <w:tmpl w:val="48F697A6"/>
    <w:lvl w:ilvl="0" w:tplc="3EA6D5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0A927BB"/>
    <w:multiLevelType w:val="hybridMultilevel"/>
    <w:tmpl w:val="62B66026"/>
    <w:lvl w:ilvl="0" w:tplc="16E0D336">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E28B8"/>
    <w:multiLevelType w:val="hybridMultilevel"/>
    <w:tmpl w:val="7A5CB68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B55C51"/>
    <w:multiLevelType w:val="hybridMultilevel"/>
    <w:tmpl w:val="21ECB4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DCD483A"/>
    <w:multiLevelType w:val="hybridMultilevel"/>
    <w:tmpl w:val="7C961F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7860AD"/>
    <w:multiLevelType w:val="hybridMultilevel"/>
    <w:tmpl w:val="16D42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777DA6"/>
    <w:multiLevelType w:val="hybridMultilevel"/>
    <w:tmpl w:val="9B5C94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7FF02F7"/>
    <w:multiLevelType w:val="hybridMultilevel"/>
    <w:tmpl w:val="54FEE8F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F4652F"/>
    <w:multiLevelType w:val="hybridMultilevel"/>
    <w:tmpl w:val="FDF405F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CAD798D"/>
    <w:multiLevelType w:val="hybridMultilevel"/>
    <w:tmpl w:val="2834C79A"/>
    <w:lvl w:ilvl="0" w:tplc="E8221EC0">
      <w:start w:val="1"/>
      <w:numFmt w:val="decimal"/>
      <w:lvlText w:val="%1."/>
      <w:lvlJc w:val="left"/>
      <w:pPr>
        <w:ind w:left="653" w:hanging="360"/>
      </w:pPr>
      <w:rPr>
        <w:rFonts w:hint="default"/>
      </w:rPr>
    </w:lvl>
    <w:lvl w:ilvl="1" w:tplc="04270019" w:tentative="1">
      <w:start w:val="1"/>
      <w:numFmt w:val="lowerLetter"/>
      <w:lvlText w:val="%2."/>
      <w:lvlJc w:val="left"/>
      <w:pPr>
        <w:ind w:left="1373" w:hanging="360"/>
      </w:pPr>
    </w:lvl>
    <w:lvl w:ilvl="2" w:tplc="0427001B" w:tentative="1">
      <w:start w:val="1"/>
      <w:numFmt w:val="lowerRoman"/>
      <w:lvlText w:val="%3."/>
      <w:lvlJc w:val="right"/>
      <w:pPr>
        <w:ind w:left="2093" w:hanging="180"/>
      </w:pPr>
    </w:lvl>
    <w:lvl w:ilvl="3" w:tplc="0427000F" w:tentative="1">
      <w:start w:val="1"/>
      <w:numFmt w:val="decimal"/>
      <w:lvlText w:val="%4."/>
      <w:lvlJc w:val="left"/>
      <w:pPr>
        <w:ind w:left="2813" w:hanging="360"/>
      </w:pPr>
    </w:lvl>
    <w:lvl w:ilvl="4" w:tplc="04270019" w:tentative="1">
      <w:start w:val="1"/>
      <w:numFmt w:val="lowerLetter"/>
      <w:lvlText w:val="%5."/>
      <w:lvlJc w:val="left"/>
      <w:pPr>
        <w:ind w:left="3533" w:hanging="360"/>
      </w:pPr>
    </w:lvl>
    <w:lvl w:ilvl="5" w:tplc="0427001B" w:tentative="1">
      <w:start w:val="1"/>
      <w:numFmt w:val="lowerRoman"/>
      <w:lvlText w:val="%6."/>
      <w:lvlJc w:val="right"/>
      <w:pPr>
        <w:ind w:left="4253" w:hanging="180"/>
      </w:pPr>
    </w:lvl>
    <w:lvl w:ilvl="6" w:tplc="0427000F" w:tentative="1">
      <w:start w:val="1"/>
      <w:numFmt w:val="decimal"/>
      <w:lvlText w:val="%7."/>
      <w:lvlJc w:val="left"/>
      <w:pPr>
        <w:ind w:left="4973" w:hanging="360"/>
      </w:pPr>
    </w:lvl>
    <w:lvl w:ilvl="7" w:tplc="04270019" w:tentative="1">
      <w:start w:val="1"/>
      <w:numFmt w:val="lowerLetter"/>
      <w:lvlText w:val="%8."/>
      <w:lvlJc w:val="left"/>
      <w:pPr>
        <w:ind w:left="5693" w:hanging="360"/>
      </w:pPr>
    </w:lvl>
    <w:lvl w:ilvl="8" w:tplc="0427001B" w:tentative="1">
      <w:start w:val="1"/>
      <w:numFmt w:val="lowerRoman"/>
      <w:lvlText w:val="%9."/>
      <w:lvlJc w:val="right"/>
      <w:pPr>
        <w:ind w:left="6413" w:hanging="180"/>
      </w:pPr>
    </w:lvl>
  </w:abstractNum>
  <w:abstractNum w:abstractNumId="14" w15:restartNumberingAfterBreak="0">
    <w:nsid w:val="3D2F6175"/>
    <w:multiLevelType w:val="hybridMultilevel"/>
    <w:tmpl w:val="F61C4C6C"/>
    <w:lvl w:ilvl="0" w:tplc="5192B44A">
      <w:start w:val="1"/>
      <w:numFmt w:val="decimal"/>
      <w:lvlText w:val="%1."/>
      <w:lvlJc w:val="left"/>
      <w:pPr>
        <w:ind w:left="653" w:hanging="360"/>
      </w:pPr>
      <w:rPr>
        <w:rFonts w:hint="default"/>
      </w:rPr>
    </w:lvl>
    <w:lvl w:ilvl="1" w:tplc="04270019" w:tentative="1">
      <w:start w:val="1"/>
      <w:numFmt w:val="lowerLetter"/>
      <w:lvlText w:val="%2."/>
      <w:lvlJc w:val="left"/>
      <w:pPr>
        <w:ind w:left="1373" w:hanging="360"/>
      </w:pPr>
    </w:lvl>
    <w:lvl w:ilvl="2" w:tplc="0427001B" w:tentative="1">
      <w:start w:val="1"/>
      <w:numFmt w:val="lowerRoman"/>
      <w:lvlText w:val="%3."/>
      <w:lvlJc w:val="right"/>
      <w:pPr>
        <w:ind w:left="2093" w:hanging="180"/>
      </w:pPr>
    </w:lvl>
    <w:lvl w:ilvl="3" w:tplc="0427000F" w:tentative="1">
      <w:start w:val="1"/>
      <w:numFmt w:val="decimal"/>
      <w:lvlText w:val="%4."/>
      <w:lvlJc w:val="left"/>
      <w:pPr>
        <w:ind w:left="2813" w:hanging="360"/>
      </w:pPr>
    </w:lvl>
    <w:lvl w:ilvl="4" w:tplc="04270019" w:tentative="1">
      <w:start w:val="1"/>
      <w:numFmt w:val="lowerLetter"/>
      <w:lvlText w:val="%5."/>
      <w:lvlJc w:val="left"/>
      <w:pPr>
        <w:ind w:left="3533" w:hanging="360"/>
      </w:pPr>
    </w:lvl>
    <w:lvl w:ilvl="5" w:tplc="0427001B" w:tentative="1">
      <w:start w:val="1"/>
      <w:numFmt w:val="lowerRoman"/>
      <w:lvlText w:val="%6."/>
      <w:lvlJc w:val="right"/>
      <w:pPr>
        <w:ind w:left="4253" w:hanging="180"/>
      </w:pPr>
    </w:lvl>
    <w:lvl w:ilvl="6" w:tplc="0427000F" w:tentative="1">
      <w:start w:val="1"/>
      <w:numFmt w:val="decimal"/>
      <w:lvlText w:val="%7."/>
      <w:lvlJc w:val="left"/>
      <w:pPr>
        <w:ind w:left="4973" w:hanging="360"/>
      </w:pPr>
    </w:lvl>
    <w:lvl w:ilvl="7" w:tplc="04270019" w:tentative="1">
      <w:start w:val="1"/>
      <w:numFmt w:val="lowerLetter"/>
      <w:lvlText w:val="%8."/>
      <w:lvlJc w:val="left"/>
      <w:pPr>
        <w:ind w:left="5693" w:hanging="360"/>
      </w:pPr>
    </w:lvl>
    <w:lvl w:ilvl="8" w:tplc="0427001B" w:tentative="1">
      <w:start w:val="1"/>
      <w:numFmt w:val="lowerRoman"/>
      <w:lvlText w:val="%9."/>
      <w:lvlJc w:val="right"/>
      <w:pPr>
        <w:ind w:left="6413" w:hanging="180"/>
      </w:pPr>
    </w:lvl>
  </w:abstractNum>
  <w:abstractNum w:abstractNumId="15" w15:restartNumberingAfterBreak="0">
    <w:nsid w:val="3DD54C4A"/>
    <w:multiLevelType w:val="hybridMultilevel"/>
    <w:tmpl w:val="EB7A68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C9A7406"/>
    <w:multiLevelType w:val="hybridMultilevel"/>
    <w:tmpl w:val="9B6635B6"/>
    <w:lvl w:ilvl="0" w:tplc="0427000F">
      <w:start w:val="1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6C16AC2"/>
    <w:multiLevelType w:val="hybridMultilevel"/>
    <w:tmpl w:val="02E20D72"/>
    <w:lvl w:ilvl="0" w:tplc="9C48FA10">
      <w:start w:val="1"/>
      <w:numFmt w:val="decimal"/>
      <w:lvlText w:val="%1."/>
      <w:lvlJc w:val="left"/>
      <w:pPr>
        <w:ind w:left="653" w:hanging="360"/>
      </w:pPr>
      <w:rPr>
        <w:rFonts w:hint="default"/>
      </w:rPr>
    </w:lvl>
    <w:lvl w:ilvl="1" w:tplc="04270019" w:tentative="1">
      <w:start w:val="1"/>
      <w:numFmt w:val="lowerLetter"/>
      <w:lvlText w:val="%2."/>
      <w:lvlJc w:val="left"/>
      <w:pPr>
        <w:ind w:left="1373" w:hanging="360"/>
      </w:pPr>
    </w:lvl>
    <w:lvl w:ilvl="2" w:tplc="0427001B" w:tentative="1">
      <w:start w:val="1"/>
      <w:numFmt w:val="lowerRoman"/>
      <w:lvlText w:val="%3."/>
      <w:lvlJc w:val="right"/>
      <w:pPr>
        <w:ind w:left="2093" w:hanging="180"/>
      </w:pPr>
    </w:lvl>
    <w:lvl w:ilvl="3" w:tplc="0427000F" w:tentative="1">
      <w:start w:val="1"/>
      <w:numFmt w:val="decimal"/>
      <w:lvlText w:val="%4."/>
      <w:lvlJc w:val="left"/>
      <w:pPr>
        <w:ind w:left="2813" w:hanging="360"/>
      </w:pPr>
    </w:lvl>
    <w:lvl w:ilvl="4" w:tplc="04270019" w:tentative="1">
      <w:start w:val="1"/>
      <w:numFmt w:val="lowerLetter"/>
      <w:lvlText w:val="%5."/>
      <w:lvlJc w:val="left"/>
      <w:pPr>
        <w:ind w:left="3533" w:hanging="360"/>
      </w:pPr>
    </w:lvl>
    <w:lvl w:ilvl="5" w:tplc="0427001B" w:tentative="1">
      <w:start w:val="1"/>
      <w:numFmt w:val="lowerRoman"/>
      <w:lvlText w:val="%6."/>
      <w:lvlJc w:val="right"/>
      <w:pPr>
        <w:ind w:left="4253" w:hanging="180"/>
      </w:pPr>
    </w:lvl>
    <w:lvl w:ilvl="6" w:tplc="0427000F" w:tentative="1">
      <w:start w:val="1"/>
      <w:numFmt w:val="decimal"/>
      <w:lvlText w:val="%7."/>
      <w:lvlJc w:val="left"/>
      <w:pPr>
        <w:ind w:left="4973" w:hanging="360"/>
      </w:pPr>
    </w:lvl>
    <w:lvl w:ilvl="7" w:tplc="04270019" w:tentative="1">
      <w:start w:val="1"/>
      <w:numFmt w:val="lowerLetter"/>
      <w:lvlText w:val="%8."/>
      <w:lvlJc w:val="left"/>
      <w:pPr>
        <w:ind w:left="5693" w:hanging="360"/>
      </w:pPr>
    </w:lvl>
    <w:lvl w:ilvl="8" w:tplc="0427001B" w:tentative="1">
      <w:start w:val="1"/>
      <w:numFmt w:val="lowerRoman"/>
      <w:lvlText w:val="%9."/>
      <w:lvlJc w:val="right"/>
      <w:pPr>
        <w:ind w:left="6413" w:hanging="180"/>
      </w:pPr>
    </w:lvl>
  </w:abstractNum>
  <w:abstractNum w:abstractNumId="18" w15:restartNumberingAfterBreak="0">
    <w:nsid w:val="5A5F3C85"/>
    <w:multiLevelType w:val="hybridMultilevel"/>
    <w:tmpl w:val="D29C65C0"/>
    <w:lvl w:ilvl="0" w:tplc="EEEA19F8">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D2D55B3"/>
    <w:multiLevelType w:val="hybridMultilevel"/>
    <w:tmpl w:val="21E21C30"/>
    <w:lvl w:ilvl="0" w:tplc="B666DCC4">
      <w:start w:val="1"/>
      <w:numFmt w:val="decimal"/>
      <w:lvlText w:val="%1."/>
      <w:lvlJc w:val="left"/>
      <w:pPr>
        <w:ind w:left="653" w:hanging="360"/>
      </w:pPr>
      <w:rPr>
        <w:rFonts w:hint="default"/>
        <w:b w:val="0"/>
        <w:i w:val="0"/>
      </w:rPr>
    </w:lvl>
    <w:lvl w:ilvl="1" w:tplc="04270019" w:tentative="1">
      <w:start w:val="1"/>
      <w:numFmt w:val="lowerLetter"/>
      <w:lvlText w:val="%2."/>
      <w:lvlJc w:val="left"/>
      <w:pPr>
        <w:ind w:left="1373" w:hanging="360"/>
      </w:pPr>
    </w:lvl>
    <w:lvl w:ilvl="2" w:tplc="0427001B" w:tentative="1">
      <w:start w:val="1"/>
      <w:numFmt w:val="lowerRoman"/>
      <w:lvlText w:val="%3."/>
      <w:lvlJc w:val="right"/>
      <w:pPr>
        <w:ind w:left="2093" w:hanging="180"/>
      </w:pPr>
    </w:lvl>
    <w:lvl w:ilvl="3" w:tplc="0427000F" w:tentative="1">
      <w:start w:val="1"/>
      <w:numFmt w:val="decimal"/>
      <w:lvlText w:val="%4."/>
      <w:lvlJc w:val="left"/>
      <w:pPr>
        <w:ind w:left="2813" w:hanging="360"/>
      </w:pPr>
    </w:lvl>
    <w:lvl w:ilvl="4" w:tplc="04270019" w:tentative="1">
      <w:start w:val="1"/>
      <w:numFmt w:val="lowerLetter"/>
      <w:lvlText w:val="%5."/>
      <w:lvlJc w:val="left"/>
      <w:pPr>
        <w:ind w:left="3533" w:hanging="360"/>
      </w:pPr>
    </w:lvl>
    <w:lvl w:ilvl="5" w:tplc="0427001B" w:tentative="1">
      <w:start w:val="1"/>
      <w:numFmt w:val="lowerRoman"/>
      <w:lvlText w:val="%6."/>
      <w:lvlJc w:val="right"/>
      <w:pPr>
        <w:ind w:left="4253" w:hanging="180"/>
      </w:pPr>
    </w:lvl>
    <w:lvl w:ilvl="6" w:tplc="0427000F" w:tentative="1">
      <w:start w:val="1"/>
      <w:numFmt w:val="decimal"/>
      <w:lvlText w:val="%7."/>
      <w:lvlJc w:val="left"/>
      <w:pPr>
        <w:ind w:left="4973" w:hanging="360"/>
      </w:pPr>
    </w:lvl>
    <w:lvl w:ilvl="7" w:tplc="04270019" w:tentative="1">
      <w:start w:val="1"/>
      <w:numFmt w:val="lowerLetter"/>
      <w:lvlText w:val="%8."/>
      <w:lvlJc w:val="left"/>
      <w:pPr>
        <w:ind w:left="5693" w:hanging="360"/>
      </w:pPr>
    </w:lvl>
    <w:lvl w:ilvl="8" w:tplc="0427001B" w:tentative="1">
      <w:start w:val="1"/>
      <w:numFmt w:val="lowerRoman"/>
      <w:lvlText w:val="%9."/>
      <w:lvlJc w:val="right"/>
      <w:pPr>
        <w:ind w:left="6413" w:hanging="180"/>
      </w:pPr>
    </w:lvl>
  </w:abstractNum>
  <w:abstractNum w:abstractNumId="20" w15:restartNumberingAfterBreak="0">
    <w:nsid w:val="613E65E2"/>
    <w:multiLevelType w:val="hybridMultilevel"/>
    <w:tmpl w:val="9E1630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37C5E7E"/>
    <w:multiLevelType w:val="hybridMultilevel"/>
    <w:tmpl w:val="1FF43B4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5A8290E"/>
    <w:multiLevelType w:val="hybridMultilevel"/>
    <w:tmpl w:val="6DA81DFC"/>
    <w:lvl w:ilvl="0" w:tplc="0427000F">
      <w:start w:val="1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82E0D0E"/>
    <w:multiLevelType w:val="hybridMultilevel"/>
    <w:tmpl w:val="3BB26744"/>
    <w:lvl w:ilvl="0" w:tplc="6B566286">
      <w:start w:val="1"/>
      <w:numFmt w:val="decimal"/>
      <w:lvlText w:val="%1."/>
      <w:lvlJc w:val="left"/>
      <w:pPr>
        <w:ind w:left="713" w:hanging="360"/>
      </w:pPr>
      <w:rPr>
        <w:rFonts w:hint="default"/>
      </w:rPr>
    </w:lvl>
    <w:lvl w:ilvl="1" w:tplc="04270019" w:tentative="1">
      <w:start w:val="1"/>
      <w:numFmt w:val="lowerLetter"/>
      <w:lvlText w:val="%2."/>
      <w:lvlJc w:val="left"/>
      <w:pPr>
        <w:ind w:left="1433" w:hanging="360"/>
      </w:pPr>
    </w:lvl>
    <w:lvl w:ilvl="2" w:tplc="0427001B" w:tentative="1">
      <w:start w:val="1"/>
      <w:numFmt w:val="lowerRoman"/>
      <w:lvlText w:val="%3."/>
      <w:lvlJc w:val="right"/>
      <w:pPr>
        <w:ind w:left="2153" w:hanging="180"/>
      </w:pPr>
    </w:lvl>
    <w:lvl w:ilvl="3" w:tplc="0427000F" w:tentative="1">
      <w:start w:val="1"/>
      <w:numFmt w:val="decimal"/>
      <w:lvlText w:val="%4."/>
      <w:lvlJc w:val="left"/>
      <w:pPr>
        <w:ind w:left="2873" w:hanging="360"/>
      </w:pPr>
    </w:lvl>
    <w:lvl w:ilvl="4" w:tplc="04270019" w:tentative="1">
      <w:start w:val="1"/>
      <w:numFmt w:val="lowerLetter"/>
      <w:lvlText w:val="%5."/>
      <w:lvlJc w:val="left"/>
      <w:pPr>
        <w:ind w:left="3593" w:hanging="360"/>
      </w:pPr>
    </w:lvl>
    <w:lvl w:ilvl="5" w:tplc="0427001B" w:tentative="1">
      <w:start w:val="1"/>
      <w:numFmt w:val="lowerRoman"/>
      <w:lvlText w:val="%6."/>
      <w:lvlJc w:val="right"/>
      <w:pPr>
        <w:ind w:left="4313" w:hanging="180"/>
      </w:pPr>
    </w:lvl>
    <w:lvl w:ilvl="6" w:tplc="0427000F" w:tentative="1">
      <w:start w:val="1"/>
      <w:numFmt w:val="decimal"/>
      <w:lvlText w:val="%7."/>
      <w:lvlJc w:val="left"/>
      <w:pPr>
        <w:ind w:left="5033" w:hanging="360"/>
      </w:pPr>
    </w:lvl>
    <w:lvl w:ilvl="7" w:tplc="04270019" w:tentative="1">
      <w:start w:val="1"/>
      <w:numFmt w:val="lowerLetter"/>
      <w:lvlText w:val="%8."/>
      <w:lvlJc w:val="left"/>
      <w:pPr>
        <w:ind w:left="5753" w:hanging="360"/>
      </w:pPr>
    </w:lvl>
    <w:lvl w:ilvl="8" w:tplc="0427001B" w:tentative="1">
      <w:start w:val="1"/>
      <w:numFmt w:val="lowerRoman"/>
      <w:lvlText w:val="%9."/>
      <w:lvlJc w:val="right"/>
      <w:pPr>
        <w:ind w:left="6473" w:hanging="180"/>
      </w:pPr>
    </w:lvl>
  </w:abstractNum>
  <w:abstractNum w:abstractNumId="24" w15:restartNumberingAfterBreak="0">
    <w:nsid w:val="6D4C418C"/>
    <w:multiLevelType w:val="hybridMultilevel"/>
    <w:tmpl w:val="6676484C"/>
    <w:lvl w:ilvl="0" w:tplc="0427000F">
      <w:start w:val="2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E50A3E"/>
    <w:multiLevelType w:val="hybridMultilevel"/>
    <w:tmpl w:val="B388DAD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1493B68"/>
    <w:multiLevelType w:val="hybridMultilevel"/>
    <w:tmpl w:val="04743514"/>
    <w:lvl w:ilvl="0" w:tplc="0427000F">
      <w:start w:val="1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6ED2514"/>
    <w:multiLevelType w:val="hybridMultilevel"/>
    <w:tmpl w:val="53FC6AB0"/>
    <w:lvl w:ilvl="0" w:tplc="F8487A0A">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D481141"/>
    <w:multiLevelType w:val="hybridMultilevel"/>
    <w:tmpl w:val="A524D84C"/>
    <w:lvl w:ilvl="0" w:tplc="FA7C248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num w:numId="1">
    <w:abstractNumId w:val="9"/>
  </w:num>
  <w:num w:numId="2">
    <w:abstractNumId w:val="3"/>
  </w:num>
  <w:num w:numId="3">
    <w:abstractNumId w:val="19"/>
  </w:num>
  <w:num w:numId="4">
    <w:abstractNumId w:val="20"/>
  </w:num>
  <w:num w:numId="5">
    <w:abstractNumId w:val="18"/>
  </w:num>
  <w:num w:numId="6">
    <w:abstractNumId w:val="1"/>
  </w:num>
  <w:num w:numId="7">
    <w:abstractNumId w:val="10"/>
  </w:num>
  <w:num w:numId="8">
    <w:abstractNumId w:val="17"/>
  </w:num>
  <w:num w:numId="9">
    <w:abstractNumId w:val="2"/>
  </w:num>
  <w:num w:numId="10">
    <w:abstractNumId w:val="27"/>
  </w:num>
  <w:num w:numId="11">
    <w:abstractNumId w:val="13"/>
  </w:num>
  <w:num w:numId="12">
    <w:abstractNumId w:val="7"/>
  </w:num>
  <w:num w:numId="13">
    <w:abstractNumId w:val="8"/>
  </w:num>
  <w:num w:numId="14">
    <w:abstractNumId w:val="23"/>
  </w:num>
  <w:num w:numId="15">
    <w:abstractNumId w:val="0"/>
  </w:num>
  <w:num w:numId="16">
    <w:abstractNumId w:val="12"/>
  </w:num>
  <w:num w:numId="17">
    <w:abstractNumId w:val="28"/>
  </w:num>
  <w:num w:numId="18">
    <w:abstractNumId w:val="14"/>
  </w:num>
  <w:num w:numId="19">
    <w:abstractNumId w:val="5"/>
  </w:num>
  <w:num w:numId="20">
    <w:abstractNumId w:val="21"/>
  </w:num>
  <w:num w:numId="21">
    <w:abstractNumId w:val="22"/>
  </w:num>
  <w:num w:numId="22">
    <w:abstractNumId w:val="24"/>
  </w:num>
  <w:num w:numId="23">
    <w:abstractNumId w:val="6"/>
  </w:num>
  <w:num w:numId="24">
    <w:abstractNumId w:val="4"/>
  </w:num>
  <w:num w:numId="25">
    <w:abstractNumId w:val="25"/>
  </w:num>
  <w:num w:numId="26">
    <w:abstractNumId w:val="26"/>
  </w:num>
  <w:num w:numId="27">
    <w:abstractNumId w:val="16"/>
  </w:num>
  <w:num w:numId="28">
    <w:abstractNumId w:val="11"/>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lt-LT" w:vendorID="71" w:dllVersion="512" w:checkStyle="0"/>
  <w:proofState w:spelling="clean" w:grammar="clean"/>
  <w:trackRevisions/>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F8D"/>
    <w:rsid w:val="00007CC3"/>
    <w:rsid w:val="00010482"/>
    <w:rsid w:val="0001334B"/>
    <w:rsid w:val="000135DF"/>
    <w:rsid w:val="0001638B"/>
    <w:rsid w:val="000276C7"/>
    <w:rsid w:val="00034191"/>
    <w:rsid w:val="00041413"/>
    <w:rsid w:val="00042BE3"/>
    <w:rsid w:val="00053EAF"/>
    <w:rsid w:val="000567ED"/>
    <w:rsid w:val="00061D8A"/>
    <w:rsid w:val="00062260"/>
    <w:rsid w:val="00066404"/>
    <w:rsid w:val="00066F54"/>
    <w:rsid w:val="00067939"/>
    <w:rsid w:val="00080305"/>
    <w:rsid w:val="00082D21"/>
    <w:rsid w:val="00091B45"/>
    <w:rsid w:val="00097821"/>
    <w:rsid w:val="000A145C"/>
    <w:rsid w:val="000A2063"/>
    <w:rsid w:val="000A6AB0"/>
    <w:rsid w:val="000B3417"/>
    <w:rsid w:val="000C4BB2"/>
    <w:rsid w:val="000D57C5"/>
    <w:rsid w:val="000D5987"/>
    <w:rsid w:val="000D64EC"/>
    <w:rsid w:val="000E3914"/>
    <w:rsid w:val="000E4ECC"/>
    <w:rsid w:val="000F0C3E"/>
    <w:rsid w:val="000F1CB6"/>
    <w:rsid w:val="000F3E71"/>
    <w:rsid w:val="000F7A2C"/>
    <w:rsid w:val="00116ABC"/>
    <w:rsid w:val="00120D7B"/>
    <w:rsid w:val="00122D9A"/>
    <w:rsid w:val="00126BC3"/>
    <w:rsid w:val="00126C15"/>
    <w:rsid w:val="0013162A"/>
    <w:rsid w:val="00131C3F"/>
    <w:rsid w:val="001327EF"/>
    <w:rsid w:val="00141EA8"/>
    <w:rsid w:val="00143497"/>
    <w:rsid w:val="00147229"/>
    <w:rsid w:val="00154689"/>
    <w:rsid w:val="001548EE"/>
    <w:rsid w:val="0016155B"/>
    <w:rsid w:val="0016230F"/>
    <w:rsid w:val="001819B2"/>
    <w:rsid w:val="00182EAA"/>
    <w:rsid w:val="001843C1"/>
    <w:rsid w:val="00184ECF"/>
    <w:rsid w:val="00187B61"/>
    <w:rsid w:val="00190121"/>
    <w:rsid w:val="00192C65"/>
    <w:rsid w:val="00194ED2"/>
    <w:rsid w:val="001A164B"/>
    <w:rsid w:val="001A4C4A"/>
    <w:rsid w:val="001A77AF"/>
    <w:rsid w:val="001B3679"/>
    <w:rsid w:val="001B5608"/>
    <w:rsid w:val="001B5E3C"/>
    <w:rsid w:val="001C6C5E"/>
    <w:rsid w:val="001C7E75"/>
    <w:rsid w:val="001D2D24"/>
    <w:rsid w:val="001E1CEA"/>
    <w:rsid w:val="001E347A"/>
    <w:rsid w:val="001E53DF"/>
    <w:rsid w:val="001E7EB7"/>
    <w:rsid w:val="001F3FCE"/>
    <w:rsid w:val="001F5341"/>
    <w:rsid w:val="001F57EF"/>
    <w:rsid w:val="00203D4A"/>
    <w:rsid w:val="00207526"/>
    <w:rsid w:val="00211D76"/>
    <w:rsid w:val="00214EE8"/>
    <w:rsid w:val="00216929"/>
    <w:rsid w:val="00222849"/>
    <w:rsid w:val="00225688"/>
    <w:rsid w:val="00230695"/>
    <w:rsid w:val="00244644"/>
    <w:rsid w:val="0025452E"/>
    <w:rsid w:val="002555D7"/>
    <w:rsid w:val="002652AA"/>
    <w:rsid w:val="0026599F"/>
    <w:rsid w:val="0027058E"/>
    <w:rsid w:val="0027189B"/>
    <w:rsid w:val="002729D7"/>
    <w:rsid w:val="00284B70"/>
    <w:rsid w:val="00290171"/>
    <w:rsid w:val="00293745"/>
    <w:rsid w:val="002A4026"/>
    <w:rsid w:val="002A4B27"/>
    <w:rsid w:val="002A722E"/>
    <w:rsid w:val="002B022F"/>
    <w:rsid w:val="002B6A6A"/>
    <w:rsid w:val="002C1A96"/>
    <w:rsid w:val="002C1EF9"/>
    <w:rsid w:val="002C3C48"/>
    <w:rsid w:val="002D1487"/>
    <w:rsid w:val="002D15DB"/>
    <w:rsid w:val="002E4284"/>
    <w:rsid w:val="002E439B"/>
    <w:rsid w:val="002F3C51"/>
    <w:rsid w:val="002F6FC9"/>
    <w:rsid w:val="00310866"/>
    <w:rsid w:val="003121CD"/>
    <w:rsid w:val="00312F22"/>
    <w:rsid w:val="00320CF8"/>
    <w:rsid w:val="00324E89"/>
    <w:rsid w:val="00331F55"/>
    <w:rsid w:val="00334586"/>
    <w:rsid w:val="00340ABA"/>
    <w:rsid w:val="003417BF"/>
    <w:rsid w:val="00343C2C"/>
    <w:rsid w:val="00343CF5"/>
    <w:rsid w:val="00347314"/>
    <w:rsid w:val="003547E6"/>
    <w:rsid w:val="00354E0E"/>
    <w:rsid w:val="003666D5"/>
    <w:rsid w:val="00380BE3"/>
    <w:rsid w:val="00381943"/>
    <w:rsid w:val="00382CBA"/>
    <w:rsid w:val="00392DE3"/>
    <w:rsid w:val="003A02B5"/>
    <w:rsid w:val="003A47E5"/>
    <w:rsid w:val="003A4A88"/>
    <w:rsid w:val="003A5E4C"/>
    <w:rsid w:val="003B0041"/>
    <w:rsid w:val="003C0C01"/>
    <w:rsid w:val="003C3CDD"/>
    <w:rsid w:val="003D54BD"/>
    <w:rsid w:val="003D7A01"/>
    <w:rsid w:val="003E1A2B"/>
    <w:rsid w:val="003E3156"/>
    <w:rsid w:val="003F1DA2"/>
    <w:rsid w:val="003F470E"/>
    <w:rsid w:val="003F4E7C"/>
    <w:rsid w:val="004062B4"/>
    <w:rsid w:val="004068FF"/>
    <w:rsid w:val="00415AD9"/>
    <w:rsid w:val="00415FED"/>
    <w:rsid w:val="004310C4"/>
    <w:rsid w:val="004438E8"/>
    <w:rsid w:val="00446D76"/>
    <w:rsid w:val="00472D66"/>
    <w:rsid w:val="00473449"/>
    <w:rsid w:val="00486C5A"/>
    <w:rsid w:val="004874AF"/>
    <w:rsid w:val="00496992"/>
    <w:rsid w:val="00496C33"/>
    <w:rsid w:val="004A2676"/>
    <w:rsid w:val="004A7577"/>
    <w:rsid w:val="004A7808"/>
    <w:rsid w:val="004B08BA"/>
    <w:rsid w:val="004C00C7"/>
    <w:rsid w:val="004D075E"/>
    <w:rsid w:val="004D24A0"/>
    <w:rsid w:val="004D7119"/>
    <w:rsid w:val="004E2910"/>
    <w:rsid w:val="004E3543"/>
    <w:rsid w:val="004F25C4"/>
    <w:rsid w:val="004F3B67"/>
    <w:rsid w:val="00501A94"/>
    <w:rsid w:val="00501B3B"/>
    <w:rsid w:val="00505AB3"/>
    <w:rsid w:val="0051430C"/>
    <w:rsid w:val="005214DB"/>
    <w:rsid w:val="0052461F"/>
    <w:rsid w:val="00524B70"/>
    <w:rsid w:val="005269C8"/>
    <w:rsid w:val="00531DCF"/>
    <w:rsid w:val="00541D17"/>
    <w:rsid w:val="0054213C"/>
    <w:rsid w:val="00542B02"/>
    <w:rsid w:val="005475BA"/>
    <w:rsid w:val="00551F5F"/>
    <w:rsid w:val="00552324"/>
    <w:rsid w:val="0055400F"/>
    <w:rsid w:val="0055430C"/>
    <w:rsid w:val="00561BEA"/>
    <w:rsid w:val="00563C99"/>
    <w:rsid w:val="00565C10"/>
    <w:rsid w:val="005660BC"/>
    <w:rsid w:val="00570274"/>
    <w:rsid w:val="005735BF"/>
    <w:rsid w:val="00575632"/>
    <w:rsid w:val="005814B3"/>
    <w:rsid w:val="005859F6"/>
    <w:rsid w:val="00587A3F"/>
    <w:rsid w:val="00592590"/>
    <w:rsid w:val="005964B3"/>
    <w:rsid w:val="00597880"/>
    <w:rsid w:val="005A437F"/>
    <w:rsid w:val="005A7CC6"/>
    <w:rsid w:val="005C293C"/>
    <w:rsid w:val="005C77A3"/>
    <w:rsid w:val="005D3678"/>
    <w:rsid w:val="005E041B"/>
    <w:rsid w:val="005E25AE"/>
    <w:rsid w:val="005E6CCA"/>
    <w:rsid w:val="005F2B40"/>
    <w:rsid w:val="00603B35"/>
    <w:rsid w:val="0060441F"/>
    <w:rsid w:val="0060530D"/>
    <w:rsid w:val="006067CB"/>
    <w:rsid w:val="00607324"/>
    <w:rsid w:val="00611E8C"/>
    <w:rsid w:val="00623D5F"/>
    <w:rsid w:val="00624621"/>
    <w:rsid w:val="00624AB8"/>
    <w:rsid w:val="00631AF8"/>
    <w:rsid w:val="00636396"/>
    <w:rsid w:val="00650E75"/>
    <w:rsid w:val="00654A4F"/>
    <w:rsid w:val="00657F32"/>
    <w:rsid w:val="0066374F"/>
    <w:rsid w:val="006663D5"/>
    <w:rsid w:val="00667D6E"/>
    <w:rsid w:val="00672CB4"/>
    <w:rsid w:val="00675D56"/>
    <w:rsid w:val="006800A4"/>
    <w:rsid w:val="00680F5C"/>
    <w:rsid w:val="00681A67"/>
    <w:rsid w:val="00682582"/>
    <w:rsid w:val="00683773"/>
    <w:rsid w:val="00685402"/>
    <w:rsid w:val="00686549"/>
    <w:rsid w:val="006A0EEB"/>
    <w:rsid w:val="006A3B43"/>
    <w:rsid w:val="006A54FB"/>
    <w:rsid w:val="006B1176"/>
    <w:rsid w:val="006B624E"/>
    <w:rsid w:val="006B68C2"/>
    <w:rsid w:val="006C3A60"/>
    <w:rsid w:val="006D51A7"/>
    <w:rsid w:val="006E0FBD"/>
    <w:rsid w:val="006E38A8"/>
    <w:rsid w:val="006F0F0B"/>
    <w:rsid w:val="006F12EC"/>
    <w:rsid w:val="006F1B64"/>
    <w:rsid w:val="006F1CC7"/>
    <w:rsid w:val="006F4ADC"/>
    <w:rsid w:val="00701F55"/>
    <w:rsid w:val="007028A7"/>
    <w:rsid w:val="0070767A"/>
    <w:rsid w:val="00710905"/>
    <w:rsid w:val="007123F4"/>
    <w:rsid w:val="007139AD"/>
    <w:rsid w:val="00716F8C"/>
    <w:rsid w:val="00720AEC"/>
    <w:rsid w:val="00723582"/>
    <w:rsid w:val="00727912"/>
    <w:rsid w:val="00727EE6"/>
    <w:rsid w:val="00727F6A"/>
    <w:rsid w:val="00731A3D"/>
    <w:rsid w:val="007321BB"/>
    <w:rsid w:val="00735B9E"/>
    <w:rsid w:val="00741C65"/>
    <w:rsid w:val="00741F51"/>
    <w:rsid w:val="007429CF"/>
    <w:rsid w:val="00742B52"/>
    <w:rsid w:val="0075085B"/>
    <w:rsid w:val="00750FF1"/>
    <w:rsid w:val="00750FFC"/>
    <w:rsid w:val="00756642"/>
    <w:rsid w:val="00761ABB"/>
    <w:rsid w:val="00762992"/>
    <w:rsid w:val="00767CE3"/>
    <w:rsid w:val="007770C4"/>
    <w:rsid w:val="007800BD"/>
    <w:rsid w:val="007800C2"/>
    <w:rsid w:val="00780ADA"/>
    <w:rsid w:val="00797427"/>
    <w:rsid w:val="007A1CBD"/>
    <w:rsid w:val="007A70B0"/>
    <w:rsid w:val="007B32E2"/>
    <w:rsid w:val="007C17DE"/>
    <w:rsid w:val="007C5A21"/>
    <w:rsid w:val="007D110E"/>
    <w:rsid w:val="007D43A7"/>
    <w:rsid w:val="007D4521"/>
    <w:rsid w:val="007D7A54"/>
    <w:rsid w:val="007E0B78"/>
    <w:rsid w:val="007E2C24"/>
    <w:rsid w:val="007E306B"/>
    <w:rsid w:val="007F0928"/>
    <w:rsid w:val="007F12CE"/>
    <w:rsid w:val="007F366A"/>
    <w:rsid w:val="00804168"/>
    <w:rsid w:val="008051D8"/>
    <w:rsid w:val="0080768C"/>
    <w:rsid w:val="00812F05"/>
    <w:rsid w:val="00814EA0"/>
    <w:rsid w:val="00827D95"/>
    <w:rsid w:val="00832C62"/>
    <w:rsid w:val="00833691"/>
    <w:rsid w:val="008345FC"/>
    <w:rsid w:val="00840D45"/>
    <w:rsid w:val="0084299A"/>
    <w:rsid w:val="00846AB1"/>
    <w:rsid w:val="008523D4"/>
    <w:rsid w:val="00852F4D"/>
    <w:rsid w:val="00853677"/>
    <w:rsid w:val="00854CA0"/>
    <w:rsid w:val="00864265"/>
    <w:rsid w:val="00874136"/>
    <w:rsid w:val="00874615"/>
    <w:rsid w:val="00883962"/>
    <w:rsid w:val="00893D98"/>
    <w:rsid w:val="008A09B7"/>
    <w:rsid w:val="008A55B6"/>
    <w:rsid w:val="008A6F9F"/>
    <w:rsid w:val="008A70D0"/>
    <w:rsid w:val="008C018E"/>
    <w:rsid w:val="008C3FA3"/>
    <w:rsid w:val="008D4ABB"/>
    <w:rsid w:val="008D553E"/>
    <w:rsid w:val="008F01AE"/>
    <w:rsid w:val="008F23CA"/>
    <w:rsid w:val="008F27D3"/>
    <w:rsid w:val="008F66E5"/>
    <w:rsid w:val="008F6E44"/>
    <w:rsid w:val="008F738B"/>
    <w:rsid w:val="008F7F84"/>
    <w:rsid w:val="0090380D"/>
    <w:rsid w:val="0090439E"/>
    <w:rsid w:val="00905635"/>
    <w:rsid w:val="009125A4"/>
    <w:rsid w:val="00912B6E"/>
    <w:rsid w:val="009160FC"/>
    <w:rsid w:val="00921AC0"/>
    <w:rsid w:val="00922260"/>
    <w:rsid w:val="00922E9A"/>
    <w:rsid w:val="00925F7F"/>
    <w:rsid w:val="0093203D"/>
    <w:rsid w:val="009360C6"/>
    <w:rsid w:val="00937C06"/>
    <w:rsid w:val="00946B3B"/>
    <w:rsid w:val="009506F7"/>
    <w:rsid w:val="00954350"/>
    <w:rsid w:val="0095478C"/>
    <w:rsid w:val="00954C74"/>
    <w:rsid w:val="0096663E"/>
    <w:rsid w:val="009700C1"/>
    <w:rsid w:val="009761EB"/>
    <w:rsid w:val="0098298A"/>
    <w:rsid w:val="0099414D"/>
    <w:rsid w:val="009949BE"/>
    <w:rsid w:val="009952A6"/>
    <w:rsid w:val="00996594"/>
    <w:rsid w:val="009B2908"/>
    <w:rsid w:val="009B38D0"/>
    <w:rsid w:val="009B3C54"/>
    <w:rsid w:val="009B4EA8"/>
    <w:rsid w:val="009C4305"/>
    <w:rsid w:val="009C6ED4"/>
    <w:rsid w:val="009D09C0"/>
    <w:rsid w:val="009D2B45"/>
    <w:rsid w:val="009D3698"/>
    <w:rsid w:val="009D3ECF"/>
    <w:rsid w:val="009D7330"/>
    <w:rsid w:val="009E0278"/>
    <w:rsid w:val="009E1F6A"/>
    <w:rsid w:val="009E2592"/>
    <w:rsid w:val="009E2918"/>
    <w:rsid w:val="009F003D"/>
    <w:rsid w:val="009F0E38"/>
    <w:rsid w:val="009F5211"/>
    <w:rsid w:val="009F74B1"/>
    <w:rsid w:val="00A028B8"/>
    <w:rsid w:val="00A02DDA"/>
    <w:rsid w:val="00A2552E"/>
    <w:rsid w:val="00A3182D"/>
    <w:rsid w:val="00A3548B"/>
    <w:rsid w:val="00A35662"/>
    <w:rsid w:val="00A37670"/>
    <w:rsid w:val="00A3786D"/>
    <w:rsid w:val="00A40498"/>
    <w:rsid w:val="00A40D0E"/>
    <w:rsid w:val="00A41DEA"/>
    <w:rsid w:val="00A42215"/>
    <w:rsid w:val="00A5170F"/>
    <w:rsid w:val="00A72FF2"/>
    <w:rsid w:val="00A758F5"/>
    <w:rsid w:val="00A769F9"/>
    <w:rsid w:val="00A81DF7"/>
    <w:rsid w:val="00A85F8D"/>
    <w:rsid w:val="00A86A8E"/>
    <w:rsid w:val="00A90859"/>
    <w:rsid w:val="00A93F9C"/>
    <w:rsid w:val="00AB7D8E"/>
    <w:rsid w:val="00AC3F90"/>
    <w:rsid w:val="00AD15E3"/>
    <w:rsid w:val="00AD397C"/>
    <w:rsid w:val="00AD3CBF"/>
    <w:rsid w:val="00AE1777"/>
    <w:rsid w:val="00AE478C"/>
    <w:rsid w:val="00AE4E72"/>
    <w:rsid w:val="00AE62CE"/>
    <w:rsid w:val="00B01912"/>
    <w:rsid w:val="00B028A9"/>
    <w:rsid w:val="00B04DD4"/>
    <w:rsid w:val="00B17239"/>
    <w:rsid w:val="00B22832"/>
    <w:rsid w:val="00B27976"/>
    <w:rsid w:val="00B27A50"/>
    <w:rsid w:val="00B36CE5"/>
    <w:rsid w:val="00B400BD"/>
    <w:rsid w:val="00B44B51"/>
    <w:rsid w:val="00B47B6E"/>
    <w:rsid w:val="00B605B7"/>
    <w:rsid w:val="00B736A6"/>
    <w:rsid w:val="00B776F0"/>
    <w:rsid w:val="00B82E95"/>
    <w:rsid w:val="00B84142"/>
    <w:rsid w:val="00B876E8"/>
    <w:rsid w:val="00B91C65"/>
    <w:rsid w:val="00B92855"/>
    <w:rsid w:val="00B92BD7"/>
    <w:rsid w:val="00B94FB5"/>
    <w:rsid w:val="00BB061B"/>
    <w:rsid w:val="00BB139E"/>
    <w:rsid w:val="00BB3ECF"/>
    <w:rsid w:val="00BC0C8F"/>
    <w:rsid w:val="00BC53D4"/>
    <w:rsid w:val="00BD1854"/>
    <w:rsid w:val="00BD4072"/>
    <w:rsid w:val="00C013CE"/>
    <w:rsid w:val="00C04019"/>
    <w:rsid w:val="00C05080"/>
    <w:rsid w:val="00C12539"/>
    <w:rsid w:val="00C20355"/>
    <w:rsid w:val="00C24177"/>
    <w:rsid w:val="00C261B1"/>
    <w:rsid w:val="00C35089"/>
    <w:rsid w:val="00C357D0"/>
    <w:rsid w:val="00C37090"/>
    <w:rsid w:val="00C426BB"/>
    <w:rsid w:val="00C43DD4"/>
    <w:rsid w:val="00C4630D"/>
    <w:rsid w:val="00C5284F"/>
    <w:rsid w:val="00C55775"/>
    <w:rsid w:val="00C656EA"/>
    <w:rsid w:val="00C72C85"/>
    <w:rsid w:val="00C77BAA"/>
    <w:rsid w:val="00C928DB"/>
    <w:rsid w:val="00C950A8"/>
    <w:rsid w:val="00CA6D89"/>
    <w:rsid w:val="00CB1B2C"/>
    <w:rsid w:val="00CB1EF9"/>
    <w:rsid w:val="00CB48E5"/>
    <w:rsid w:val="00CC512C"/>
    <w:rsid w:val="00CD3B03"/>
    <w:rsid w:val="00CD5319"/>
    <w:rsid w:val="00CD657F"/>
    <w:rsid w:val="00CE1399"/>
    <w:rsid w:val="00CE15FC"/>
    <w:rsid w:val="00CE673C"/>
    <w:rsid w:val="00CF6506"/>
    <w:rsid w:val="00D00921"/>
    <w:rsid w:val="00D040C5"/>
    <w:rsid w:val="00D06A3F"/>
    <w:rsid w:val="00D104E2"/>
    <w:rsid w:val="00D121B4"/>
    <w:rsid w:val="00D151AE"/>
    <w:rsid w:val="00D15CB5"/>
    <w:rsid w:val="00D22899"/>
    <w:rsid w:val="00D35BB5"/>
    <w:rsid w:val="00D36474"/>
    <w:rsid w:val="00D3764B"/>
    <w:rsid w:val="00D4053F"/>
    <w:rsid w:val="00D405EE"/>
    <w:rsid w:val="00D428BE"/>
    <w:rsid w:val="00D42FDE"/>
    <w:rsid w:val="00D536DF"/>
    <w:rsid w:val="00D53986"/>
    <w:rsid w:val="00D60CFD"/>
    <w:rsid w:val="00D62BBA"/>
    <w:rsid w:val="00D63706"/>
    <w:rsid w:val="00D67A56"/>
    <w:rsid w:val="00D71F15"/>
    <w:rsid w:val="00D72900"/>
    <w:rsid w:val="00D7311D"/>
    <w:rsid w:val="00D82EB3"/>
    <w:rsid w:val="00D844FB"/>
    <w:rsid w:val="00D87AA9"/>
    <w:rsid w:val="00DB2BD3"/>
    <w:rsid w:val="00DB649E"/>
    <w:rsid w:val="00DB67B2"/>
    <w:rsid w:val="00DC7EC7"/>
    <w:rsid w:val="00DD00AF"/>
    <w:rsid w:val="00DD3019"/>
    <w:rsid w:val="00DD3560"/>
    <w:rsid w:val="00DD6BD0"/>
    <w:rsid w:val="00DE1858"/>
    <w:rsid w:val="00DE1DA4"/>
    <w:rsid w:val="00DE5B05"/>
    <w:rsid w:val="00DF40F7"/>
    <w:rsid w:val="00DF7773"/>
    <w:rsid w:val="00E05512"/>
    <w:rsid w:val="00E05B1E"/>
    <w:rsid w:val="00E117B9"/>
    <w:rsid w:val="00E12C7E"/>
    <w:rsid w:val="00E14428"/>
    <w:rsid w:val="00E14D50"/>
    <w:rsid w:val="00E15EAA"/>
    <w:rsid w:val="00E24117"/>
    <w:rsid w:val="00E26630"/>
    <w:rsid w:val="00E316E2"/>
    <w:rsid w:val="00E3191B"/>
    <w:rsid w:val="00E32932"/>
    <w:rsid w:val="00E33D18"/>
    <w:rsid w:val="00E51297"/>
    <w:rsid w:val="00E52B71"/>
    <w:rsid w:val="00E531E8"/>
    <w:rsid w:val="00E62BA4"/>
    <w:rsid w:val="00E64EA4"/>
    <w:rsid w:val="00E654FF"/>
    <w:rsid w:val="00E73008"/>
    <w:rsid w:val="00E7366E"/>
    <w:rsid w:val="00E7395F"/>
    <w:rsid w:val="00E8108A"/>
    <w:rsid w:val="00E841BF"/>
    <w:rsid w:val="00E86BB6"/>
    <w:rsid w:val="00E86BCB"/>
    <w:rsid w:val="00E91BE9"/>
    <w:rsid w:val="00E96079"/>
    <w:rsid w:val="00EA4F84"/>
    <w:rsid w:val="00EA73D7"/>
    <w:rsid w:val="00EB33EE"/>
    <w:rsid w:val="00EB348D"/>
    <w:rsid w:val="00EC37F0"/>
    <w:rsid w:val="00EC6A37"/>
    <w:rsid w:val="00EC7858"/>
    <w:rsid w:val="00ED0044"/>
    <w:rsid w:val="00EE041B"/>
    <w:rsid w:val="00EF1EE3"/>
    <w:rsid w:val="00EF5A20"/>
    <w:rsid w:val="00F0601C"/>
    <w:rsid w:val="00F15724"/>
    <w:rsid w:val="00F224E5"/>
    <w:rsid w:val="00F25BF0"/>
    <w:rsid w:val="00F30C29"/>
    <w:rsid w:val="00F310EB"/>
    <w:rsid w:val="00F34EE1"/>
    <w:rsid w:val="00F3749A"/>
    <w:rsid w:val="00F44F78"/>
    <w:rsid w:val="00F55E40"/>
    <w:rsid w:val="00F65620"/>
    <w:rsid w:val="00F656B3"/>
    <w:rsid w:val="00F70D28"/>
    <w:rsid w:val="00F726FD"/>
    <w:rsid w:val="00F839E2"/>
    <w:rsid w:val="00F85418"/>
    <w:rsid w:val="00F85811"/>
    <w:rsid w:val="00F866C3"/>
    <w:rsid w:val="00F90E6F"/>
    <w:rsid w:val="00F933DA"/>
    <w:rsid w:val="00F934BB"/>
    <w:rsid w:val="00F93FC7"/>
    <w:rsid w:val="00F94ECB"/>
    <w:rsid w:val="00FB24CC"/>
    <w:rsid w:val="00FB3EF0"/>
    <w:rsid w:val="00FB6699"/>
    <w:rsid w:val="00FC4CE6"/>
    <w:rsid w:val="00FC4F1F"/>
    <w:rsid w:val="00FD06EF"/>
    <w:rsid w:val="00FD3750"/>
    <w:rsid w:val="00FE4AC6"/>
    <w:rsid w:val="00FE6B2C"/>
    <w:rsid w:val="00FF71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C7D90"/>
  <w15:docId w15:val="{D0D46258-A3F6-4C0B-AC58-1220BC27A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5F8D"/>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Tekstoblokas">
    <w:name w:val="Block Text"/>
    <w:basedOn w:val="prastasis"/>
    <w:rsid w:val="00A85F8D"/>
    <w:pPr>
      <w:ind w:left="1701" w:right="1701"/>
    </w:pPr>
    <w:rPr>
      <w:b/>
      <w:szCs w:val="20"/>
      <w:lang w:eastAsia="en-US"/>
    </w:rPr>
  </w:style>
  <w:style w:type="paragraph" w:styleId="Paprastasistekstas">
    <w:name w:val="Plain Text"/>
    <w:basedOn w:val="prastasis"/>
    <w:link w:val="PaprastasistekstasDiagrama"/>
    <w:uiPriority w:val="99"/>
    <w:unhideWhenUsed/>
    <w:rsid w:val="00A85F8D"/>
    <w:rPr>
      <w:rFonts w:ascii="Consolas" w:eastAsia="Calibr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A85F8D"/>
    <w:rPr>
      <w:rFonts w:ascii="Consolas" w:eastAsia="Calibri" w:hAnsi="Consolas" w:cs="Times New Roman"/>
      <w:sz w:val="21"/>
      <w:szCs w:val="21"/>
    </w:rPr>
  </w:style>
  <w:style w:type="character" w:customStyle="1" w:styleId="FontStyle53">
    <w:name w:val="Font Style53"/>
    <w:rsid w:val="00A85F8D"/>
    <w:rPr>
      <w:rFonts w:ascii="Times New Roman" w:hAnsi="Times New Roman" w:cs="Times New Roman"/>
      <w:b/>
      <w:bCs/>
      <w:sz w:val="22"/>
      <w:szCs w:val="22"/>
    </w:rPr>
  </w:style>
  <w:style w:type="paragraph" w:customStyle="1" w:styleId="statymopavad">
    <w:name w:val="Įstatymo pavad."/>
    <w:basedOn w:val="prastasis"/>
    <w:rsid w:val="00A85F8D"/>
    <w:pPr>
      <w:spacing w:line="360" w:lineRule="auto"/>
      <w:ind w:firstLine="720"/>
      <w:jc w:val="center"/>
    </w:pPr>
    <w:rPr>
      <w:rFonts w:ascii="TimesLT" w:hAnsi="TimesLT"/>
      <w:caps/>
      <w:szCs w:val="20"/>
      <w:lang w:eastAsia="en-US"/>
    </w:rPr>
  </w:style>
  <w:style w:type="paragraph" w:styleId="Sraopastraipa">
    <w:name w:val="List Paragraph"/>
    <w:basedOn w:val="prastasis"/>
    <w:uiPriority w:val="34"/>
    <w:qFormat/>
    <w:rsid w:val="00066404"/>
    <w:pPr>
      <w:spacing w:before="100" w:beforeAutospacing="1" w:after="100" w:afterAutospacing="1"/>
    </w:pPr>
  </w:style>
  <w:style w:type="paragraph" w:styleId="Debesliotekstas">
    <w:name w:val="Balloon Text"/>
    <w:basedOn w:val="prastasis"/>
    <w:link w:val="DebesliotekstasDiagrama"/>
    <w:uiPriority w:val="99"/>
    <w:semiHidden/>
    <w:unhideWhenUsed/>
    <w:rsid w:val="00343CF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3CF5"/>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2E4284"/>
    <w:pPr>
      <w:tabs>
        <w:tab w:val="center" w:pos="4819"/>
        <w:tab w:val="right" w:pos="9638"/>
      </w:tabs>
    </w:pPr>
  </w:style>
  <w:style w:type="character" w:customStyle="1" w:styleId="AntratsDiagrama">
    <w:name w:val="Antraštės Diagrama"/>
    <w:basedOn w:val="Numatytasispastraiposriftas"/>
    <w:link w:val="Antrats"/>
    <w:uiPriority w:val="99"/>
    <w:rsid w:val="002E4284"/>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E4284"/>
    <w:pPr>
      <w:tabs>
        <w:tab w:val="center" w:pos="4819"/>
        <w:tab w:val="right" w:pos="9638"/>
      </w:tabs>
    </w:pPr>
  </w:style>
  <w:style w:type="character" w:customStyle="1" w:styleId="PoratDiagrama">
    <w:name w:val="Poraštė Diagrama"/>
    <w:basedOn w:val="Numatytasispastraiposriftas"/>
    <w:link w:val="Porat"/>
    <w:uiPriority w:val="99"/>
    <w:rsid w:val="002E4284"/>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954C74"/>
    <w:rPr>
      <w:sz w:val="16"/>
      <w:szCs w:val="16"/>
    </w:rPr>
  </w:style>
  <w:style w:type="paragraph" w:styleId="Komentarotekstas">
    <w:name w:val="annotation text"/>
    <w:basedOn w:val="prastasis"/>
    <w:link w:val="KomentarotekstasDiagrama"/>
    <w:uiPriority w:val="99"/>
    <w:semiHidden/>
    <w:unhideWhenUsed/>
    <w:rsid w:val="00954C74"/>
    <w:rPr>
      <w:sz w:val="20"/>
      <w:szCs w:val="20"/>
    </w:rPr>
  </w:style>
  <w:style w:type="character" w:customStyle="1" w:styleId="KomentarotekstasDiagrama">
    <w:name w:val="Komentaro tekstas Diagrama"/>
    <w:basedOn w:val="Numatytasispastraiposriftas"/>
    <w:link w:val="Komentarotekstas"/>
    <w:uiPriority w:val="99"/>
    <w:semiHidden/>
    <w:rsid w:val="00954C74"/>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54C74"/>
    <w:rPr>
      <w:b/>
      <w:bCs/>
    </w:rPr>
  </w:style>
  <w:style w:type="character" w:customStyle="1" w:styleId="KomentarotemaDiagrama">
    <w:name w:val="Komentaro tema Diagrama"/>
    <w:basedOn w:val="KomentarotekstasDiagrama"/>
    <w:link w:val="Komentarotema"/>
    <w:uiPriority w:val="99"/>
    <w:semiHidden/>
    <w:rsid w:val="00954C74"/>
    <w:rPr>
      <w:rFonts w:ascii="Times New Roman" w:eastAsia="Times New Roman" w:hAnsi="Times New Roman" w:cs="Times New Roman"/>
      <w:b/>
      <w:bCs/>
      <w:sz w:val="20"/>
      <w:szCs w:val="20"/>
      <w:lang w:eastAsia="lt-LT"/>
    </w:rPr>
  </w:style>
  <w:style w:type="paragraph" w:customStyle="1" w:styleId="Default">
    <w:name w:val="Default"/>
    <w:rsid w:val="003D7A01"/>
    <w:pPr>
      <w:autoSpaceDE w:val="0"/>
      <w:autoSpaceDN w:val="0"/>
      <w:adjustRightInd w:val="0"/>
      <w:spacing w:after="0" w:line="240" w:lineRule="auto"/>
    </w:pPr>
    <w:rPr>
      <w:rFonts w:ascii="Garamond" w:hAnsi="Garamond" w:cs="Garamond"/>
      <w:color w:val="000000"/>
      <w:sz w:val="24"/>
      <w:szCs w:val="24"/>
    </w:rPr>
  </w:style>
  <w:style w:type="character" w:styleId="Puslapionumeris">
    <w:name w:val="page number"/>
    <w:basedOn w:val="Numatytasispastraiposriftas"/>
    <w:rsid w:val="00A3786D"/>
  </w:style>
  <w:style w:type="character" w:styleId="Grietas">
    <w:name w:val="Strong"/>
    <w:basedOn w:val="Numatytasispastraiposriftas"/>
    <w:uiPriority w:val="22"/>
    <w:qFormat/>
    <w:rsid w:val="00750FF1"/>
    <w:rPr>
      <w:b/>
      <w:bCs/>
    </w:rPr>
  </w:style>
  <w:style w:type="character" w:styleId="Hipersaitas">
    <w:name w:val="Hyperlink"/>
    <w:basedOn w:val="Numatytasispastraiposriftas"/>
    <w:uiPriority w:val="99"/>
    <w:unhideWhenUsed/>
    <w:rsid w:val="008F27D3"/>
    <w:rPr>
      <w:color w:val="0000FF" w:themeColor="hyperlink"/>
      <w:u w:val="single"/>
    </w:rPr>
  </w:style>
  <w:style w:type="character" w:styleId="Neapdorotaspaminjimas">
    <w:name w:val="Unresolved Mention"/>
    <w:basedOn w:val="Numatytasispastraiposriftas"/>
    <w:uiPriority w:val="99"/>
    <w:semiHidden/>
    <w:unhideWhenUsed/>
    <w:rsid w:val="008F27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254307">
      <w:bodyDiv w:val="1"/>
      <w:marLeft w:val="0"/>
      <w:marRight w:val="0"/>
      <w:marTop w:val="0"/>
      <w:marBottom w:val="0"/>
      <w:divBdr>
        <w:top w:val="none" w:sz="0" w:space="0" w:color="auto"/>
        <w:left w:val="none" w:sz="0" w:space="0" w:color="auto"/>
        <w:bottom w:val="none" w:sz="0" w:space="0" w:color="auto"/>
        <w:right w:val="none" w:sz="0" w:space="0" w:color="auto"/>
      </w:divBdr>
    </w:div>
    <w:div w:id="784007429">
      <w:bodyDiv w:val="1"/>
      <w:marLeft w:val="225"/>
      <w:marRight w:val="225"/>
      <w:marTop w:val="0"/>
      <w:marBottom w:val="0"/>
      <w:divBdr>
        <w:top w:val="none" w:sz="0" w:space="0" w:color="auto"/>
        <w:left w:val="none" w:sz="0" w:space="0" w:color="auto"/>
        <w:bottom w:val="none" w:sz="0" w:space="0" w:color="auto"/>
        <w:right w:val="none" w:sz="0" w:space="0" w:color="auto"/>
      </w:divBdr>
      <w:divsChild>
        <w:div w:id="1004478391">
          <w:marLeft w:val="0"/>
          <w:marRight w:val="0"/>
          <w:marTop w:val="0"/>
          <w:marBottom w:val="0"/>
          <w:divBdr>
            <w:top w:val="none" w:sz="0" w:space="0" w:color="auto"/>
            <w:left w:val="none" w:sz="0" w:space="0" w:color="auto"/>
            <w:bottom w:val="none" w:sz="0" w:space="0" w:color="auto"/>
            <w:right w:val="none" w:sz="0" w:space="0" w:color="auto"/>
          </w:divBdr>
        </w:div>
      </w:divsChild>
    </w:div>
    <w:div w:id="802969006">
      <w:bodyDiv w:val="1"/>
      <w:marLeft w:val="225"/>
      <w:marRight w:val="225"/>
      <w:marTop w:val="0"/>
      <w:marBottom w:val="0"/>
      <w:divBdr>
        <w:top w:val="none" w:sz="0" w:space="0" w:color="auto"/>
        <w:left w:val="none" w:sz="0" w:space="0" w:color="auto"/>
        <w:bottom w:val="none" w:sz="0" w:space="0" w:color="auto"/>
        <w:right w:val="none" w:sz="0" w:space="0" w:color="auto"/>
      </w:divBdr>
      <w:divsChild>
        <w:div w:id="1919897667">
          <w:marLeft w:val="0"/>
          <w:marRight w:val="0"/>
          <w:marTop w:val="0"/>
          <w:marBottom w:val="0"/>
          <w:divBdr>
            <w:top w:val="none" w:sz="0" w:space="0" w:color="auto"/>
            <w:left w:val="none" w:sz="0" w:space="0" w:color="auto"/>
            <w:bottom w:val="none" w:sz="0" w:space="0" w:color="auto"/>
            <w:right w:val="none" w:sz="0" w:space="0" w:color="auto"/>
          </w:divBdr>
        </w:div>
      </w:divsChild>
    </w:div>
    <w:div w:id="1232426447">
      <w:bodyDiv w:val="1"/>
      <w:marLeft w:val="0"/>
      <w:marRight w:val="0"/>
      <w:marTop w:val="0"/>
      <w:marBottom w:val="0"/>
      <w:divBdr>
        <w:top w:val="none" w:sz="0" w:space="0" w:color="auto"/>
        <w:left w:val="none" w:sz="0" w:space="0" w:color="auto"/>
        <w:bottom w:val="none" w:sz="0" w:space="0" w:color="auto"/>
        <w:right w:val="none" w:sz="0" w:space="0" w:color="auto"/>
      </w:divBdr>
    </w:div>
    <w:div w:id="1427069370">
      <w:bodyDiv w:val="1"/>
      <w:marLeft w:val="0"/>
      <w:marRight w:val="0"/>
      <w:marTop w:val="0"/>
      <w:marBottom w:val="0"/>
      <w:divBdr>
        <w:top w:val="none" w:sz="0" w:space="0" w:color="auto"/>
        <w:left w:val="none" w:sz="0" w:space="0" w:color="auto"/>
        <w:bottom w:val="none" w:sz="0" w:space="0" w:color="auto"/>
        <w:right w:val="none" w:sz="0" w:space="0" w:color="auto"/>
      </w:divBdr>
    </w:div>
    <w:div w:id="1479149072">
      <w:bodyDiv w:val="1"/>
      <w:marLeft w:val="225"/>
      <w:marRight w:val="225"/>
      <w:marTop w:val="0"/>
      <w:marBottom w:val="0"/>
      <w:divBdr>
        <w:top w:val="none" w:sz="0" w:space="0" w:color="auto"/>
        <w:left w:val="none" w:sz="0" w:space="0" w:color="auto"/>
        <w:bottom w:val="none" w:sz="0" w:space="0" w:color="auto"/>
        <w:right w:val="none" w:sz="0" w:space="0" w:color="auto"/>
      </w:divBdr>
      <w:divsChild>
        <w:div w:id="1317417099">
          <w:marLeft w:val="0"/>
          <w:marRight w:val="0"/>
          <w:marTop w:val="0"/>
          <w:marBottom w:val="0"/>
          <w:divBdr>
            <w:top w:val="none" w:sz="0" w:space="0" w:color="auto"/>
            <w:left w:val="none" w:sz="0" w:space="0" w:color="auto"/>
            <w:bottom w:val="none" w:sz="0" w:space="0" w:color="auto"/>
            <w:right w:val="none" w:sz="0" w:space="0" w:color="auto"/>
          </w:divBdr>
        </w:div>
      </w:divsChild>
    </w:div>
    <w:div w:id="1620643555">
      <w:bodyDiv w:val="1"/>
      <w:marLeft w:val="0"/>
      <w:marRight w:val="0"/>
      <w:marTop w:val="0"/>
      <w:marBottom w:val="0"/>
      <w:divBdr>
        <w:top w:val="none" w:sz="0" w:space="0" w:color="auto"/>
        <w:left w:val="none" w:sz="0" w:space="0" w:color="auto"/>
        <w:bottom w:val="none" w:sz="0" w:space="0" w:color="auto"/>
        <w:right w:val="none" w:sz="0" w:space="0" w:color="auto"/>
      </w:divBdr>
    </w:div>
    <w:div w:id="196033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17F0B-7066-446C-893C-31F255889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6752</Words>
  <Characters>3850</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2021-11-26T11:28:00Z</dcterms:created>
  <dc:creator>A. Olendraite</dc:creator>
  <cp:lastModifiedBy>Milda Saudargė</cp:lastModifiedBy>
  <cp:lastPrinted>2019-04-08T14:44:00Z</cp:lastPrinted>
  <dcterms:modified xsi:type="dcterms:W3CDTF">2021-11-26T11:28:00Z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