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FF78F" w14:textId="0D164DB6" w:rsidR="00822666" w:rsidRPr="0033742A" w:rsidRDefault="00D32D63" w:rsidP="00DA5CE5">
      <w:pPr>
        <w:jc w:val="center"/>
        <w:rPr>
          <w:b/>
          <w:szCs w:val="24"/>
        </w:rPr>
      </w:pPr>
      <w:r w:rsidRPr="0033742A">
        <w:rPr>
          <w:b/>
          <w:caps/>
          <w:szCs w:val="24"/>
        </w:rPr>
        <w:t>2021 m. birželio 24 d. Europos Parlamento ir Tarybos reglamentą (ES) 2021/1057, kuriuo nustatomas „Europos socialinis fondas +“ (ESF+ ) ir panaikinamas Reglamentas (ES) Nr. 1296/2013</w:t>
      </w:r>
      <w:r w:rsidR="006A40C4" w:rsidRPr="0033742A">
        <w:rPr>
          <w:b/>
          <w:caps/>
          <w:szCs w:val="24"/>
        </w:rPr>
        <w:t xml:space="preserve">, </w:t>
      </w:r>
      <w:r w:rsidR="00822666" w:rsidRPr="0033742A">
        <w:rPr>
          <w:b/>
          <w:caps/>
          <w:szCs w:val="24"/>
        </w:rPr>
        <w:t>ATITIKTIES LENTELĖ</w:t>
      </w:r>
    </w:p>
    <w:p w14:paraId="52592554" w14:textId="77777777" w:rsidR="00135989" w:rsidRPr="0033742A" w:rsidRDefault="00135989">
      <w:pPr>
        <w:jc w:val="left"/>
        <w:rPr>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7110"/>
        <w:gridCol w:w="1800"/>
      </w:tblGrid>
      <w:tr w:rsidR="00135989" w:rsidRPr="0033742A" w14:paraId="07425DE3" w14:textId="77777777" w:rsidTr="00822666">
        <w:tc>
          <w:tcPr>
            <w:tcW w:w="6210" w:type="dxa"/>
          </w:tcPr>
          <w:p w14:paraId="40F9F570" w14:textId="59C177A6" w:rsidR="00135989" w:rsidRPr="0033742A" w:rsidRDefault="00ED6413" w:rsidP="00331740">
            <w:pPr>
              <w:jc w:val="left"/>
              <w:rPr>
                <w:szCs w:val="24"/>
              </w:rPr>
            </w:pPr>
            <w:r w:rsidRPr="0033742A">
              <w:rPr>
                <w:szCs w:val="24"/>
              </w:rPr>
              <w:t>2021 m. birželio 24 d. Europos Parlamento ir Tarybos reglamentą (ES) 2021/1057, kuriuo nustatomas „Europos socialinis fondas +“ (ESF+ ) ir panaikinamas Reglamentas (ES) Nr. 1296/2013</w:t>
            </w:r>
          </w:p>
        </w:tc>
        <w:tc>
          <w:tcPr>
            <w:tcW w:w="7110" w:type="dxa"/>
          </w:tcPr>
          <w:p w14:paraId="31028706" w14:textId="1BF1973C" w:rsidR="006E5208" w:rsidRPr="0033742A" w:rsidRDefault="006E5208" w:rsidP="006A40C4">
            <w:pPr>
              <w:jc w:val="left"/>
              <w:rPr>
                <w:b/>
                <w:szCs w:val="24"/>
              </w:rPr>
            </w:pPr>
            <w:r w:rsidRPr="0033742A">
              <w:rPr>
                <w:b/>
                <w:szCs w:val="24"/>
              </w:rPr>
              <w:t>Lietuvos Respublikos Vyriausybės nutarimo „</w:t>
            </w:r>
            <w:r w:rsidR="00D65C76" w:rsidRPr="0033742A">
              <w:rPr>
                <w:b/>
                <w:szCs w:val="24"/>
              </w:rPr>
              <w:t>Dėl institucijų, atsakingų už „Europos socialinio fondo +“ užimtumo ir socialinių inovacijų krypties įgyvendinimą Lietuvos Respublikoje, paskyrimo</w:t>
            </w:r>
            <w:r w:rsidR="006A40C4" w:rsidRPr="0033742A">
              <w:rPr>
                <w:b/>
              </w:rPr>
              <w:t xml:space="preserve">“ </w:t>
            </w:r>
            <w:r w:rsidR="0031321F" w:rsidRPr="0033742A">
              <w:rPr>
                <w:b/>
              </w:rPr>
              <w:t>projektas (toliau – Projektas)</w:t>
            </w:r>
          </w:p>
        </w:tc>
        <w:tc>
          <w:tcPr>
            <w:tcW w:w="1800" w:type="dxa"/>
          </w:tcPr>
          <w:p w14:paraId="4902B0B8" w14:textId="77777777" w:rsidR="00135989" w:rsidRPr="0033742A" w:rsidRDefault="00135989" w:rsidP="00281A53">
            <w:pPr>
              <w:pStyle w:val="Antrats"/>
              <w:jc w:val="left"/>
              <w:rPr>
                <w:szCs w:val="24"/>
              </w:rPr>
            </w:pPr>
            <w:r w:rsidRPr="0033742A">
              <w:rPr>
                <w:szCs w:val="24"/>
              </w:rPr>
              <w:t>Reglamento perkėlimo (įgyvendinimo) lygis</w:t>
            </w:r>
          </w:p>
        </w:tc>
      </w:tr>
      <w:tr w:rsidR="00A801C7" w:rsidRPr="0033742A" w14:paraId="76AC0360" w14:textId="77777777" w:rsidTr="00822666">
        <w:tc>
          <w:tcPr>
            <w:tcW w:w="6210" w:type="dxa"/>
          </w:tcPr>
          <w:p w14:paraId="0CE245A4" w14:textId="76343C5F" w:rsidR="00A801C7" w:rsidRPr="0033742A" w:rsidRDefault="00A801C7" w:rsidP="0069653B">
            <w:pPr>
              <w:pStyle w:val="Default"/>
              <w:rPr>
                <w:rFonts w:ascii="Times New Roman" w:hAnsi="Times New Roman" w:cs="Times New Roman"/>
                <w:b/>
              </w:rPr>
            </w:pPr>
            <w:r w:rsidRPr="0033742A">
              <w:rPr>
                <w:rFonts w:ascii="Times New Roman" w:hAnsi="Times New Roman" w:cs="Times New Roman"/>
                <w:b/>
              </w:rPr>
              <w:t>Preambulės 50 punktas</w:t>
            </w:r>
          </w:p>
          <w:p w14:paraId="7C76A5EA" w14:textId="091ABD5E" w:rsidR="00A801C7" w:rsidRPr="0033742A" w:rsidRDefault="00507709" w:rsidP="0085544C">
            <w:pPr>
              <w:pStyle w:val="Default"/>
              <w:jc w:val="both"/>
              <w:rPr>
                <w:rFonts w:ascii="Times New Roman" w:hAnsi="Times New Roman" w:cs="Times New Roman"/>
              </w:rPr>
            </w:pPr>
            <w:r w:rsidRPr="0033742A">
              <w:rPr>
                <w:rFonts w:ascii="Times New Roman" w:hAnsi="Times New Roman" w:cs="Times New Roman"/>
              </w:rPr>
              <w:t xml:space="preserve">siekiant užtikrinti, kad būtų toliau atsižvelgiama į kiekvienos ESF+ krypties ypatumus, ESF+ komitetas turėtų sudaryti darbo grupes kiekvienai iš ESF+ krypčių. Tų darbo grupių sudėtį ir užduotis turėtų nustatyti ESF+ komitetas. Darbo grupės turėtų turėti galimybę į savo posėdžius pakviesti pilietinės visuomenės atstovus ir kitus suinteresuotuosius subjektus. Darbo grupių užduotys gali apimti valstybių narių ir Komisijos veiksmų koordinavimo ir bendradarbiavimo ESF+ įgyvendinimo klausimais užtikrinimą, įskaitant konsultavimąsi dėl </w:t>
            </w:r>
            <w:proofErr w:type="spellStart"/>
            <w:r w:rsidRPr="0033742A">
              <w:rPr>
                <w:rFonts w:ascii="Times New Roman" w:hAnsi="Times New Roman" w:cs="Times New Roman"/>
              </w:rPr>
              <w:t>EaSI</w:t>
            </w:r>
            <w:proofErr w:type="spellEnd"/>
            <w:r w:rsidRPr="0033742A">
              <w:rPr>
                <w:rFonts w:ascii="Times New Roman" w:hAnsi="Times New Roman" w:cs="Times New Roman"/>
              </w:rPr>
              <w:t xml:space="preserve"> krypties darbo programos, kiekvienos ESF+ krypties įgyvendinimo stebėseną, keitimąsi patirtimi ir gerosios praktikos pavyzdžiais pagal vieną ESF+ kryptį ar tarp jų ir potencialių </w:t>
            </w:r>
            <w:proofErr w:type="spellStart"/>
            <w:r w:rsidRPr="0033742A">
              <w:rPr>
                <w:rFonts w:ascii="Times New Roman" w:hAnsi="Times New Roman" w:cs="Times New Roman"/>
              </w:rPr>
              <w:t>sinergijų</w:t>
            </w:r>
            <w:proofErr w:type="spellEnd"/>
            <w:r w:rsidRPr="0033742A">
              <w:rPr>
                <w:rFonts w:ascii="Times New Roman" w:hAnsi="Times New Roman" w:cs="Times New Roman"/>
              </w:rPr>
              <w:t xml:space="preserve"> su kitomis Sąjungos programomis skatinimą;</w:t>
            </w:r>
          </w:p>
        </w:tc>
        <w:tc>
          <w:tcPr>
            <w:tcW w:w="7110" w:type="dxa"/>
            <w:vMerge w:val="restart"/>
          </w:tcPr>
          <w:p w14:paraId="2F23C8E5" w14:textId="172CDCFB" w:rsidR="00A801C7" w:rsidRPr="0033742A" w:rsidRDefault="00A801C7" w:rsidP="00421D26">
            <w:pPr>
              <w:rPr>
                <w:szCs w:val="24"/>
              </w:rPr>
            </w:pPr>
            <w:r w:rsidRPr="0033742A">
              <w:rPr>
                <w:b/>
                <w:szCs w:val="24"/>
              </w:rPr>
              <w:t>Projektas</w:t>
            </w:r>
          </w:p>
          <w:p w14:paraId="7309B121" w14:textId="77777777" w:rsidR="0054640D" w:rsidRPr="0033742A" w:rsidRDefault="0054640D" w:rsidP="0054640D">
            <w:pPr>
              <w:ind w:firstLine="720"/>
              <w:rPr>
                <w:szCs w:val="24"/>
              </w:rPr>
            </w:pPr>
            <w:r w:rsidRPr="0033742A">
              <w:rPr>
                <w:szCs w:val="24"/>
              </w:rPr>
              <w:t>Siekdama įgyvendinti „Europos socialinio fondo +“ užimtumo ir socialinių inovacijų kryptį Lietuvos Respublikoje ir atsižvelgdama į Lietuvos Respublikos strateginio valdymo įstatymo 3 straipsnio 17 dalies 8 punktą, 17 straipsnio 5 dalį ir 2021 m. birželio 24 d. Europos Parlamento ir Tarybos reglamentą (ES) 2021/1057, kuriuo nustatomas „Europos socialinis fondas +“ (ESF+ ) ir panaikinamas Reglamentas (ES) Nr. 1296/2013, Lietuvos Respublikos Vyriausybė nutaria:</w:t>
            </w:r>
          </w:p>
          <w:p w14:paraId="55DD3333" w14:textId="77777777" w:rsidR="0054640D" w:rsidRPr="0033742A" w:rsidRDefault="0054640D" w:rsidP="0054640D">
            <w:pPr>
              <w:ind w:firstLine="720"/>
              <w:rPr>
                <w:szCs w:val="24"/>
              </w:rPr>
            </w:pPr>
            <w:r w:rsidRPr="0033742A">
              <w:rPr>
                <w:szCs w:val="24"/>
              </w:rPr>
              <w:t xml:space="preserve">1. Paskirti institucijas, atsakingas už „Europos socialinio fondo +“ (toliau – ESF+) užimtumo ir socialinių inovacijų (toliau – </w:t>
            </w:r>
            <w:proofErr w:type="spellStart"/>
            <w:r w:rsidRPr="0033742A">
              <w:rPr>
                <w:szCs w:val="24"/>
              </w:rPr>
              <w:t>EaSI</w:t>
            </w:r>
            <w:proofErr w:type="spellEnd"/>
            <w:r w:rsidRPr="0033742A">
              <w:rPr>
                <w:szCs w:val="24"/>
              </w:rPr>
              <w:t>) krypties įgyvendinimą:</w:t>
            </w:r>
          </w:p>
          <w:p w14:paraId="2202213E" w14:textId="77777777" w:rsidR="0054640D" w:rsidRPr="0033742A" w:rsidRDefault="0054640D" w:rsidP="0054640D">
            <w:pPr>
              <w:ind w:firstLine="720"/>
              <w:rPr>
                <w:szCs w:val="24"/>
              </w:rPr>
            </w:pPr>
            <w:r w:rsidRPr="0033742A">
              <w:rPr>
                <w:szCs w:val="24"/>
              </w:rPr>
              <w:t xml:space="preserve">1.1. Lietuvos Respublikos socialinės apsaugos ir darbo ministeriją – ESF+ </w:t>
            </w:r>
            <w:proofErr w:type="spellStart"/>
            <w:r w:rsidRPr="0033742A">
              <w:rPr>
                <w:szCs w:val="24"/>
              </w:rPr>
              <w:t>EaSI</w:t>
            </w:r>
            <w:proofErr w:type="spellEnd"/>
            <w:r w:rsidRPr="0033742A">
              <w:rPr>
                <w:szCs w:val="24"/>
              </w:rPr>
              <w:t xml:space="preserve"> krypties įgyvendinimą koordinuojančia ir Lietuvos Respublikos interesams ESF+ komiteto Užimtumo ir socialinių inovacijų darbo grupėje atstovaujančia institucija;</w:t>
            </w:r>
          </w:p>
          <w:p w14:paraId="46C208B6" w14:textId="77777777" w:rsidR="0054640D" w:rsidRPr="0033742A" w:rsidRDefault="0054640D" w:rsidP="0054640D">
            <w:pPr>
              <w:ind w:firstLine="720"/>
              <w:rPr>
                <w:szCs w:val="24"/>
              </w:rPr>
            </w:pPr>
            <w:r w:rsidRPr="0033742A">
              <w:rPr>
                <w:szCs w:val="24"/>
              </w:rPr>
              <w:t xml:space="preserve">1.2. viešąją įstaigą Europos socialinio fondo agentūrą – ESF+ </w:t>
            </w:r>
            <w:proofErr w:type="spellStart"/>
            <w:r w:rsidRPr="0033742A">
              <w:rPr>
                <w:szCs w:val="24"/>
              </w:rPr>
              <w:t>EaSI</w:t>
            </w:r>
            <w:proofErr w:type="spellEnd"/>
            <w:r w:rsidRPr="0033742A">
              <w:rPr>
                <w:szCs w:val="24"/>
              </w:rPr>
              <w:t xml:space="preserve"> krypties nacionaliniu kontaktiniu punktu.</w:t>
            </w:r>
          </w:p>
          <w:p w14:paraId="7122F298" w14:textId="1CD50902" w:rsidR="00A801C7" w:rsidRPr="0033742A" w:rsidRDefault="0054640D" w:rsidP="0054640D">
            <w:pPr>
              <w:pStyle w:val="Default"/>
              <w:ind w:firstLine="743"/>
              <w:jc w:val="both"/>
              <w:rPr>
                <w:rFonts w:ascii="Times New Roman" w:hAnsi="Times New Roman" w:cs="Times New Roman"/>
              </w:rPr>
            </w:pPr>
            <w:r w:rsidRPr="0033742A">
              <w:rPr>
                <w:rFonts w:ascii="Times New Roman" w:hAnsi="Times New Roman" w:cs="Times New Roman"/>
              </w:rPr>
              <w:t xml:space="preserve">2. Pavesti koordinuojančiai ir Lietuvos Respublikos interesams ESF+ komiteto Užimtumo ir socialinių inovacijų darbo grupėje atstovaujančiai institucijai ne vėliau kaip per 60 dienų nuo Reglamento (ES) 2021/1057 įsigaliojimo dienos patvirtinti šio nutarimo 1.2 papunktyje nurodyto ESF+ </w:t>
            </w:r>
            <w:proofErr w:type="spellStart"/>
            <w:r w:rsidRPr="0033742A">
              <w:rPr>
                <w:rFonts w:ascii="Times New Roman" w:hAnsi="Times New Roman" w:cs="Times New Roman"/>
              </w:rPr>
              <w:t>EaSI</w:t>
            </w:r>
            <w:proofErr w:type="spellEnd"/>
            <w:r w:rsidRPr="0033742A">
              <w:rPr>
                <w:rFonts w:ascii="Times New Roman" w:hAnsi="Times New Roman" w:cs="Times New Roman"/>
              </w:rPr>
              <w:t xml:space="preserve"> krypties nacionalinio kontaktinio punkto funkcijų sąrašą ir paskirti atstovą (-</w:t>
            </w:r>
            <w:proofErr w:type="spellStart"/>
            <w:r w:rsidRPr="0033742A">
              <w:rPr>
                <w:rFonts w:ascii="Times New Roman" w:hAnsi="Times New Roman" w:cs="Times New Roman"/>
              </w:rPr>
              <w:t>us</w:t>
            </w:r>
            <w:proofErr w:type="spellEnd"/>
            <w:r w:rsidRPr="0033742A">
              <w:rPr>
                <w:rFonts w:ascii="Times New Roman" w:hAnsi="Times New Roman" w:cs="Times New Roman"/>
              </w:rPr>
              <w:t>) į ESF+ komiteto Užimtumo ir socialinių inovacijų darbo grupę.</w:t>
            </w:r>
          </w:p>
        </w:tc>
        <w:tc>
          <w:tcPr>
            <w:tcW w:w="1800" w:type="dxa"/>
            <w:vMerge w:val="restart"/>
          </w:tcPr>
          <w:p w14:paraId="64C1B790" w14:textId="77777777" w:rsidR="00A801C7" w:rsidRPr="0033742A" w:rsidRDefault="00A801C7" w:rsidP="00281A53">
            <w:pPr>
              <w:rPr>
                <w:szCs w:val="24"/>
              </w:rPr>
            </w:pPr>
            <w:r w:rsidRPr="0033742A">
              <w:rPr>
                <w:szCs w:val="24"/>
              </w:rPr>
              <w:t>Visiškas</w:t>
            </w:r>
          </w:p>
        </w:tc>
      </w:tr>
      <w:tr w:rsidR="00A801C7" w:rsidRPr="0033742A" w14:paraId="2A46EF87" w14:textId="77777777" w:rsidTr="00822666">
        <w:tc>
          <w:tcPr>
            <w:tcW w:w="6210" w:type="dxa"/>
          </w:tcPr>
          <w:p w14:paraId="34AF135A" w14:textId="4D7A6447" w:rsidR="00A801C7" w:rsidRPr="0033742A" w:rsidRDefault="00A801C7" w:rsidP="00C77C69">
            <w:pPr>
              <w:pStyle w:val="Default"/>
              <w:jc w:val="both"/>
              <w:rPr>
                <w:rFonts w:ascii="Times New Roman" w:hAnsi="Times New Roman" w:cs="Times New Roman"/>
                <w:b/>
              </w:rPr>
            </w:pPr>
            <w:r w:rsidRPr="0033742A">
              <w:rPr>
                <w:rFonts w:ascii="Times New Roman" w:hAnsi="Times New Roman" w:cs="Times New Roman"/>
                <w:b/>
              </w:rPr>
              <w:t>25 straipsnis</w:t>
            </w:r>
          </w:p>
          <w:p w14:paraId="4DFE4C6A" w14:textId="77777777" w:rsidR="00A801C7" w:rsidRPr="0033742A" w:rsidRDefault="00A801C7" w:rsidP="00C77C69">
            <w:pPr>
              <w:pStyle w:val="Default"/>
              <w:jc w:val="both"/>
              <w:rPr>
                <w:rFonts w:ascii="Times New Roman" w:hAnsi="Times New Roman" w:cs="Times New Roman"/>
              </w:rPr>
            </w:pPr>
            <w:proofErr w:type="spellStart"/>
            <w:r w:rsidRPr="0033742A">
              <w:rPr>
                <w:rFonts w:ascii="Times New Roman" w:hAnsi="Times New Roman" w:cs="Times New Roman"/>
              </w:rPr>
              <w:t>EaSI</w:t>
            </w:r>
            <w:proofErr w:type="spellEnd"/>
            <w:r w:rsidRPr="0033742A">
              <w:rPr>
                <w:rFonts w:ascii="Times New Roman" w:hAnsi="Times New Roman" w:cs="Times New Roman"/>
              </w:rPr>
              <w:t xml:space="preserve"> krypties veiklos tikslai yra šie:</w:t>
            </w:r>
          </w:p>
          <w:p w14:paraId="5E93B3DD"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a) rengti aukštos kokybės lyginamąją analitinę informaciją siekiant užtikrinti, kad politikos sritys, kuriomis siekiama 4 straipsnio 1 dalyje nustatytų konkrečių tikslų, būtų grindžiamos patikimais įrodymais ir atitiktų poreikius, iššūkius ir vietos sąlygas;</w:t>
            </w:r>
          </w:p>
          <w:p w14:paraId="63681201"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b) palengvinti veiksmingą ir įtraukų dalijimąsi informacija, abipusį mokymąsi, tarpusavio vertinimus ir dialogą, susijusius su 4 straipsnio 1 dalyje nustatytomis politikos sritimis, siekiant padėti rengti tinkamas politikos priemones;</w:t>
            </w:r>
          </w:p>
          <w:p w14:paraId="2A879FB5"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 xml:space="preserve">c) remti socialinį eksperimentą 4 straipsnio 1 dalyje nustatytose politikos srityse ir didinti suinteresuotųjų subjektų </w:t>
            </w:r>
            <w:r w:rsidRPr="0033742A">
              <w:rPr>
                <w:rFonts w:ascii="Times New Roman" w:hAnsi="Times New Roman" w:cs="Times New Roman"/>
              </w:rPr>
              <w:lastRenderedPageBreak/>
              <w:t>gebėjimus nacionaliniu ir vietos lygmenimis rengti, kurti ir įgyvendinti, perduoti ar plėsti išbandytas socialinės politikos inovacijas, visų pirma susijusias su vietos suinteresuotųjų subjektų parengtų projektų trečiųjų valstybių piliečių socialinės ir ekonominės integracijos srityje platesniu taikymu;</w:t>
            </w:r>
          </w:p>
          <w:p w14:paraId="3006B972"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d) palengvinti savanorišką geografinį darbuotojų judumą ir didinti užimtumo galimybes kuriant ir teikiant specialias paramos paslaugas darbdaviams ir darbo ieškantiems asmenims siekiant sukurti integruotas Europos darbo rinkas, pradedant parengimu įsidarbinti ir baigiant pagalba įsidarbinusiems asmenims, kad būtų užpildytos darbo vietos tam tikruose sektoriuose, profesinėse srityse, valstybėse, pasienio regionuose arba konkrečioms grupėms, kaip antai pažeidžiamoje padėtyje esantiems asmenims skirtos darbo vietos;</w:t>
            </w:r>
          </w:p>
          <w:p w14:paraId="0D052A53"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 xml:space="preserve">e) remti rinkos ekosistemos, susijusios su labai mažų įmonių, visų pirma tų, kurias įsteigė pažeidžiamoje padėtyje esantys asmenys arba kuriose dirba tokie asmenys, </w:t>
            </w:r>
            <w:proofErr w:type="spellStart"/>
            <w:r w:rsidRPr="0033742A">
              <w:rPr>
                <w:rFonts w:ascii="Times New Roman" w:hAnsi="Times New Roman" w:cs="Times New Roman"/>
              </w:rPr>
              <w:t>mikrofinansavimu</w:t>
            </w:r>
            <w:proofErr w:type="spellEnd"/>
            <w:r w:rsidRPr="0033742A">
              <w:rPr>
                <w:rFonts w:ascii="Times New Roman" w:hAnsi="Times New Roman" w:cs="Times New Roman"/>
              </w:rPr>
              <w:t xml:space="preserve"> steigimosi ir plėtros etapais, plėtojimą;</w:t>
            </w:r>
          </w:p>
          <w:p w14:paraId="1A3578D0"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f) remti tinklaveiką Sąjungos lygmeniu ir dialogą su atitinkamais suinteresuotaisiais subjektais bei jų tarpusavio dialogą 4 straipsnyje nurodytose srityse ir prisidėti prie dalyvaujančių suinteresuotųjų subjektų, įskaitant valstybines užimtumo tarnybas, valstybines socialinės apsaugos institucijas ir sveikatos draudimo įstaigas, pilietinę visuomenę, mikrofinansų įstaigas ir socialinėms įmonėms bei socialinės ekonomikos reikmėms lėšas skiriančias institucijas, institucinių gebėjimų stiprinimo;</w:t>
            </w:r>
          </w:p>
          <w:p w14:paraId="1068820E"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g) remti socialinių įmonių plėtrą ir socialinių investicijų rinkos atsiradimą, sudarant sąlygas valstybinio ir privačiojo sektorių sąveikai ir fondų bei labdarą teikiančių subjektų dalyvavimui toje rinkoje;</w:t>
            </w:r>
          </w:p>
          <w:p w14:paraId="1452194C"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h) pateikti socialinės infrastruktūros, reikalingos Europos socialinių teisių ramsčiui įgyvendinti, plėtros gaires;</w:t>
            </w:r>
          </w:p>
          <w:p w14:paraId="2CA133A8" w14:textId="77777777" w:rsidR="00C77C69"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lastRenderedPageBreak/>
              <w:t>i) remti tarpvalstybinį bendradarbiavimą siekiant paspartinti novatoriškų sprendimų perkėlimą ir palengvinti jų plėtojimą, visų pirma 4 straipsnio 1 dalyje nustatytose politikos srityse, ir</w:t>
            </w:r>
          </w:p>
          <w:p w14:paraId="7D19CFA7" w14:textId="3F476C9A" w:rsidR="00A801C7" w:rsidRPr="0033742A" w:rsidRDefault="00C77C69" w:rsidP="00C77C69">
            <w:pPr>
              <w:pStyle w:val="Default"/>
              <w:jc w:val="both"/>
              <w:rPr>
                <w:rFonts w:ascii="Times New Roman" w:hAnsi="Times New Roman" w:cs="Times New Roman"/>
              </w:rPr>
            </w:pPr>
            <w:r w:rsidRPr="0033742A">
              <w:rPr>
                <w:rFonts w:ascii="Times New Roman" w:hAnsi="Times New Roman" w:cs="Times New Roman"/>
              </w:rPr>
              <w:t>j) remti atitinkamų tarptautinių socialinių ir darbo standartų įgyvendinimą, atsižvelgiant į siekį suvaldyti globalizaciją ir į Sąjungos politikos sričių išorės aspektą, 4 straipsnio 1 dalyje nustatytose politikos srityse.</w:t>
            </w:r>
          </w:p>
        </w:tc>
        <w:tc>
          <w:tcPr>
            <w:tcW w:w="7110" w:type="dxa"/>
            <w:vMerge/>
          </w:tcPr>
          <w:p w14:paraId="62403F90" w14:textId="77777777" w:rsidR="00A801C7" w:rsidRPr="0033742A" w:rsidRDefault="00A801C7" w:rsidP="00FE7DBB">
            <w:pPr>
              <w:spacing w:line="360" w:lineRule="atLeast"/>
              <w:rPr>
                <w:szCs w:val="24"/>
              </w:rPr>
            </w:pPr>
          </w:p>
        </w:tc>
        <w:tc>
          <w:tcPr>
            <w:tcW w:w="1800" w:type="dxa"/>
            <w:vMerge/>
          </w:tcPr>
          <w:p w14:paraId="55D367EE" w14:textId="77777777" w:rsidR="00A801C7" w:rsidRPr="0033742A" w:rsidRDefault="00A801C7" w:rsidP="00281A53">
            <w:pPr>
              <w:rPr>
                <w:szCs w:val="24"/>
              </w:rPr>
            </w:pPr>
          </w:p>
        </w:tc>
      </w:tr>
      <w:tr w:rsidR="00A801C7" w:rsidRPr="0033742A" w14:paraId="58E04619" w14:textId="77777777" w:rsidTr="00822666">
        <w:tc>
          <w:tcPr>
            <w:tcW w:w="6210" w:type="dxa"/>
          </w:tcPr>
          <w:p w14:paraId="7FB3E767" w14:textId="6AB0C442" w:rsidR="00A801C7" w:rsidRPr="0033742A" w:rsidRDefault="00A801C7" w:rsidP="006B4218">
            <w:pPr>
              <w:pStyle w:val="Default"/>
              <w:jc w:val="both"/>
              <w:rPr>
                <w:rFonts w:ascii="Times New Roman" w:hAnsi="Times New Roman" w:cs="Times New Roman"/>
                <w:b/>
              </w:rPr>
            </w:pPr>
            <w:r w:rsidRPr="0033742A">
              <w:rPr>
                <w:rFonts w:ascii="Times New Roman" w:hAnsi="Times New Roman" w:cs="Times New Roman"/>
                <w:b/>
              </w:rPr>
              <w:lastRenderedPageBreak/>
              <w:t>26 straipsnio 2</w:t>
            </w:r>
            <w:r w:rsidR="007E541E" w:rsidRPr="0033742A">
              <w:rPr>
                <w:rFonts w:ascii="Times New Roman" w:hAnsi="Times New Roman" w:cs="Times New Roman"/>
                <w:b/>
              </w:rPr>
              <w:t xml:space="preserve"> dalies</w:t>
            </w:r>
            <w:r w:rsidRPr="0033742A">
              <w:rPr>
                <w:rFonts w:ascii="Times New Roman" w:hAnsi="Times New Roman" w:cs="Times New Roman"/>
                <w:b/>
              </w:rPr>
              <w:t xml:space="preserve"> c) </w:t>
            </w:r>
            <w:r w:rsidR="007E541E" w:rsidRPr="0033742A">
              <w:rPr>
                <w:rFonts w:ascii="Times New Roman" w:hAnsi="Times New Roman" w:cs="Times New Roman"/>
                <w:b/>
              </w:rPr>
              <w:t xml:space="preserve">punkto </w:t>
            </w:r>
            <w:r w:rsidRPr="0033742A">
              <w:rPr>
                <w:rFonts w:ascii="Times New Roman" w:hAnsi="Times New Roman" w:cs="Times New Roman"/>
                <w:b/>
              </w:rPr>
              <w:t>ii) papunktis</w:t>
            </w:r>
          </w:p>
          <w:p w14:paraId="3B5C5776" w14:textId="58FA7AB8" w:rsidR="00A801C7" w:rsidRPr="0033742A" w:rsidRDefault="00A801C7" w:rsidP="006B4218">
            <w:pPr>
              <w:pStyle w:val="Default"/>
              <w:jc w:val="both"/>
              <w:rPr>
                <w:rFonts w:ascii="Times New Roman" w:hAnsi="Times New Roman" w:cs="Times New Roman"/>
              </w:rPr>
            </w:pPr>
            <w:r w:rsidRPr="0033742A">
              <w:rPr>
                <w:rFonts w:ascii="Times New Roman" w:hAnsi="Times New Roman" w:cs="Times New Roman"/>
              </w:rPr>
              <w:t xml:space="preserve">nacionalinių kontaktinių punktų, teikiančių su </w:t>
            </w:r>
            <w:proofErr w:type="spellStart"/>
            <w:r w:rsidRPr="0033742A">
              <w:rPr>
                <w:rFonts w:ascii="Times New Roman" w:hAnsi="Times New Roman" w:cs="Times New Roman"/>
              </w:rPr>
              <w:t>EaSI</w:t>
            </w:r>
            <w:proofErr w:type="spellEnd"/>
            <w:r w:rsidRPr="0033742A">
              <w:rPr>
                <w:rFonts w:ascii="Times New Roman" w:hAnsi="Times New Roman" w:cs="Times New Roman"/>
              </w:rPr>
              <w:t xml:space="preserve"> krypties įgyvendinimu susijusias gaires, informaciją ir paramą, gebėjimų stiprinimą.</w:t>
            </w:r>
          </w:p>
        </w:tc>
        <w:tc>
          <w:tcPr>
            <w:tcW w:w="7110" w:type="dxa"/>
            <w:vMerge/>
          </w:tcPr>
          <w:p w14:paraId="6094286D" w14:textId="77777777" w:rsidR="00A801C7" w:rsidRPr="0033742A" w:rsidRDefault="00A801C7" w:rsidP="006B4218">
            <w:pPr>
              <w:spacing w:line="360" w:lineRule="atLeast"/>
              <w:rPr>
                <w:szCs w:val="24"/>
              </w:rPr>
            </w:pPr>
          </w:p>
        </w:tc>
        <w:tc>
          <w:tcPr>
            <w:tcW w:w="1800" w:type="dxa"/>
            <w:vMerge/>
          </w:tcPr>
          <w:p w14:paraId="2EDFC048" w14:textId="77777777" w:rsidR="00A801C7" w:rsidRPr="0033742A" w:rsidRDefault="00A801C7" w:rsidP="006B4218">
            <w:pPr>
              <w:rPr>
                <w:szCs w:val="24"/>
              </w:rPr>
            </w:pPr>
          </w:p>
        </w:tc>
      </w:tr>
      <w:tr w:rsidR="00A801C7" w:rsidRPr="0033742A" w14:paraId="6C786E85" w14:textId="77777777" w:rsidTr="00822666">
        <w:tc>
          <w:tcPr>
            <w:tcW w:w="6210" w:type="dxa"/>
          </w:tcPr>
          <w:p w14:paraId="1647E691" w14:textId="5947738E" w:rsidR="00A801C7" w:rsidRPr="0033742A" w:rsidRDefault="00A801C7" w:rsidP="006B4218">
            <w:pPr>
              <w:pStyle w:val="Default"/>
              <w:jc w:val="both"/>
              <w:rPr>
                <w:rFonts w:ascii="Times New Roman" w:eastAsia="Calibri" w:hAnsi="Times New Roman" w:cs="Times New Roman"/>
                <w:b/>
                <w:szCs w:val="22"/>
              </w:rPr>
            </w:pPr>
            <w:r w:rsidRPr="0033742A">
              <w:rPr>
                <w:rFonts w:ascii="Times New Roman" w:eastAsia="Calibri" w:hAnsi="Times New Roman" w:cs="Times New Roman"/>
                <w:b/>
                <w:szCs w:val="22"/>
              </w:rPr>
              <w:t xml:space="preserve">39 straipsnio 7 </w:t>
            </w:r>
            <w:r w:rsidR="007E541E" w:rsidRPr="0033742A">
              <w:rPr>
                <w:rFonts w:ascii="Times New Roman" w:eastAsia="Calibri" w:hAnsi="Times New Roman" w:cs="Times New Roman"/>
                <w:b/>
                <w:szCs w:val="22"/>
              </w:rPr>
              <w:t>dalis</w:t>
            </w:r>
          </w:p>
          <w:p w14:paraId="57597EDA" w14:textId="04C0C40D" w:rsidR="00A801C7" w:rsidRPr="0033742A" w:rsidRDefault="00A801C7" w:rsidP="006B4218">
            <w:pPr>
              <w:pStyle w:val="Default"/>
              <w:jc w:val="both"/>
              <w:rPr>
                <w:rFonts w:ascii="Times New Roman" w:hAnsi="Times New Roman" w:cs="Times New Roman"/>
                <w:b/>
              </w:rPr>
            </w:pPr>
            <w:r w:rsidRPr="0033742A">
              <w:rPr>
                <w:rFonts w:ascii="Times New Roman" w:hAnsi="Times New Roman" w:cs="Times New Roman"/>
                <w:bCs/>
              </w:rPr>
              <w:t>ESF+ komitetas sudaro darbo grupes kiekvienai iš ESF+ krypčių.</w:t>
            </w:r>
          </w:p>
        </w:tc>
        <w:tc>
          <w:tcPr>
            <w:tcW w:w="7110" w:type="dxa"/>
            <w:vMerge/>
          </w:tcPr>
          <w:p w14:paraId="1F64559A" w14:textId="77777777" w:rsidR="00A801C7" w:rsidRPr="0033742A" w:rsidRDefault="00A801C7" w:rsidP="006B4218">
            <w:pPr>
              <w:spacing w:line="360" w:lineRule="atLeast"/>
              <w:rPr>
                <w:szCs w:val="24"/>
              </w:rPr>
            </w:pPr>
          </w:p>
        </w:tc>
        <w:tc>
          <w:tcPr>
            <w:tcW w:w="1800" w:type="dxa"/>
            <w:vMerge/>
          </w:tcPr>
          <w:p w14:paraId="6734B7B4" w14:textId="77777777" w:rsidR="00A801C7" w:rsidRPr="0033742A" w:rsidRDefault="00A801C7" w:rsidP="006B4218">
            <w:pPr>
              <w:rPr>
                <w:szCs w:val="24"/>
              </w:rPr>
            </w:pPr>
          </w:p>
        </w:tc>
      </w:tr>
    </w:tbl>
    <w:p w14:paraId="7E5FCE41" w14:textId="77777777" w:rsidR="00135989" w:rsidRPr="0033742A" w:rsidRDefault="00135989" w:rsidP="00206223">
      <w:pPr>
        <w:rPr>
          <w:szCs w:val="24"/>
        </w:rPr>
      </w:pPr>
    </w:p>
    <w:p w14:paraId="3C788701" w14:textId="77777777" w:rsidR="00FE7DBB" w:rsidRPr="0033742A" w:rsidRDefault="00FE7DBB" w:rsidP="00206223">
      <w:pPr>
        <w:rPr>
          <w:szCs w:val="24"/>
        </w:rPr>
      </w:pPr>
    </w:p>
    <w:sectPr w:rsidR="00FE7DBB" w:rsidRPr="0033742A" w:rsidSect="007B4BBA">
      <w:footerReference w:type="even" r:id="rId8"/>
      <w:footerReference w:type="default" r:id="rId9"/>
      <w:pgSz w:w="16840" w:h="11907" w:orient="landscape" w:code="9"/>
      <w:pgMar w:top="1276" w:right="1134"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8263" w14:textId="77777777" w:rsidR="00947EDE" w:rsidRDefault="00947EDE">
      <w:r>
        <w:separator/>
      </w:r>
    </w:p>
  </w:endnote>
  <w:endnote w:type="continuationSeparator" w:id="0">
    <w:p w14:paraId="17BEACB8" w14:textId="77777777" w:rsidR="00947EDE" w:rsidRDefault="0094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EE"/>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159D" w14:textId="77777777" w:rsidR="00C65A02" w:rsidRDefault="00C65A02" w:rsidP="008A7B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E319DB" w14:textId="77777777" w:rsidR="00C65A02" w:rsidRDefault="00C65A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C2C4" w14:textId="77777777" w:rsidR="00C65A02" w:rsidRDefault="00C65A02" w:rsidP="002B140E">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C53A2" w14:textId="77777777" w:rsidR="00947EDE" w:rsidRDefault="00947EDE">
      <w:r>
        <w:separator/>
      </w:r>
    </w:p>
  </w:footnote>
  <w:footnote w:type="continuationSeparator" w:id="0">
    <w:p w14:paraId="49D11374" w14:textId="77777777" w:rsidR="00947EDE" w:rsidRDefault="0094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3FC3"/>
    <w:multiLevelType w:val="singleLevel"/>
    <w:tmpl w:val="33EC5718"/>
    <w:lvl w:ilvl="0">
      <w:start w:val="1"/>
      <w:numFmt w:val="decimal"/>
      <w:lvlText w:val="%1."/>
      <w:lvlJc w:val="left"/>
      <w:pPr>
        <w:tabs>
          <w:tab w:val="num" w:pos="360"/>
        </w:tabs>
        <w:ind w:left="360" w:hanging="360"/>
      </w:pPr>
      <w:rPr>
        <w:rFonts w:hint="default"/>
      </w:rPr>
    </w:lvl>
  </w:abstractNum>
  <w:abstractNum w:abstractNumId="1" w15:restartNumberingAfterBreak="0">
    <w:nsid w:val="187A2733"/>
    <w:multiLevelType w:val="singleLevel"/>
    <w:tmpl w:val="33EC5718"/>
    <w:lvl w:ilvl="0">
      <w:start w:val="1"/>
      <w:numFmt w:val="decimal"/>
      <w:lvlText w:val="%1."/>
      <w:lvlJc w:val="left"/>
      <w:pPr>
        <w:tabs>
          <w:tab w:val="num" w:pos="360"/>
        </w:tabs>
        <w:ind w:left="360" w:hanging="360"/>
      </w:pPr>
      <w:rPr>
        <w:rFonts w:hint="default"/>
      </w:rPr>
    </w:lvl>
  </w:abstractNum>
  <w:abstractNum w:abstractNumId="2" w15:restartNumberingAfterBreak="0">
    <w:nsid w:val="26891EB6"/>
    <w:multiLevelType w:val="singleLevel"/>
    <w:tmpl w:val="33EC5718"/>
    <w:lvl w:ilvl="0">
      <w:start w:val="1"/>
      <w:numFmt w:val="decimal"/>
      <w:lvlText w:val="%1."/>
      <w:lvlJc w:val="left"/>
      <w:pPr>
        <w:tabs>
          <w:tab w:val="num" w:pos="360"/>
        </w:tabs>
        <w:ind w:left="360" w:hanging="360"/>
      </w:pPr>
      <w:rPr>
        <w:rFonts w:hint="default"/>
      </w:rPr>
    </w:lvl>
  </w:abstractNum>
  <w:abstractNum w:abstractNumId="3" w15:restartNumberingAfterBreak="0">
    <w:nsid w:val="288D5465"/>
    <w:multiLevelType w:val="singleLevel"/>
    <w:tmpl w:val="B8BEEF3A"/>
    <w:lvl w:ilvl="0">
      <w:start w:val="1"/>
      <w:numFmt w:val="bullet"/>
      <w:lvlText w:val="-"/>
      <w:lvlJc w:val="left"/>
      <w:pPr>
        <w:tabs>
          <w:tab w:val="num" w:pos="360"/>
        </w:tabs>
        <w:ind w:left="360" w:hanging="360"/>
      </w:pPr>
      <w:rPr>
        <w:rFonts w:hint="default"/>
      </w:rPr>
    </w:lvl>
  </w:abstractNum>
  <w:abstractNum w:abstractNumId="4" w15:restartNumberingAfterBreak="0">
    <w:nsid w:val="32854A4C"/>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4A3052D9"/>
    <w:multiLevelType w:val="hybridMultilevel"/>
    <w:tmpl w:val="0D8882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A43F5F"/>
    <w:multiLevelType w:val="singleLevel"/>
    <w:tmpl w:val="33EC5718"/>
    <w:lvl w:ilvl="0">
      <w:start w:val="1"/>
      <w:numFmt w:val="decimal"/>
      <w:lvlText w:val="%1."/>
      <w:lvlJc w:val="left"/>
      <w:pPr>
        <w:tabs>
          <w:tab w:val="num" w:pos="360"/>
        </w:tabs>
        <w:ind w:left="360" w:hanging="360"/>
      </w:pPr>
      <w:rPr>
        <w:rFonts w:hint="default"/>
      </w:rPr>
    </w:lvl>
  </w:abstractNum>
  <w:abstractNum w:abstractNumId="7" w15:restartNumberingAfterBreak="0">
    <w:nsid w:val="5DB47FD7"/>
    <w:multiLevelType w:val="singleLevel"/>
    <w:tmpl w:val="33EC5718"/>
    <w:lvl w:ilvl="0">
      <w:start w:val="1"/>
      <w:numFmt w:val="decimal"/>
      <w:lvlText w:val="%1."/>
      <w:lvlJc w:val="left"/>
      <w:pPr>
        <w:tabs>
          <w:tab w:val="num" w:pos="360"/>
        </w:tabs>
        <w:ind w:left="360" w:hanging="360"/>
      </w:pPr>
      <w:rPr>
        <w:rFonts w:hint="default"/>
      </w:rPr>
    </w:lvl>
  </w:abstractNum>
  <w:abstractNum w:abstractNumId="8" w15:restartNumberingAfterBreak="0">
    <w:nsid w:val="713961D9"/>
    <w:multiLevelType w:val="singleLevel"/>
    <w:tmpl w:val="33EC5718"/>
    <w:lvl w:ilvl="0">
      <w:start w:val="1"/>
      <w:numFmt w:val="decimal"/>
      <w:lvlText w:val="%1."/>
      <w:lvlJc w:val="left"/>
      <w:pPr>
        <w:tabs>
          <w:tab w:val="num" w:pos="360"/>
        </w:tabs>
        <w:ind w:left="360" w:hanging="360"/>
      </w:pPr>
      <w:rPr>
        <w:rFonts w:hint="default"/>
      </w:rPr>
    </w:lvl>
  </w:abstractNum>
  <w:abstractNum w:abstractNumId="9" w15:restartNumberingAfterBreak="0">
    <w:nsid w:val="77AF4A21"/>
    <w:multiLevelType w:val="singleLevel"/>
    <w:tmpl w:val="136A33E2"/>
    <w:lvl w:ilvl="0">
      <w:start w:val="1"/>
      <w:numFmt w:val="lowerLetter"/>
      <w:lvlText w:val="%1)"/>
      <w:lvlJc w:val="left"/>
      <w:pPr>
        <w:tabs>
          <w:tab w:val="num" w:pos="360"/>
        </w:tabs>
        <w:ind w:left="0" w:firstLine="0"/>
      </w:pPr>
    </w:lvl>
  </w:abstractNum>
  <w:num w:numId="1">
    <w:abstractNumId w:val="4"/>
  </w:num>
  <w:num w:numId="2">
    <w:abstractNumId w:val="9"/>
  </w:num>
  <w:num w:numId="3">
    <w:abstractNumId w:val="6"/>
  </w:num>
  <w:num w:numId="4">
    <w:abstractNumId w:val="7"/>
  </w:num>
  <w:num w:numId="5">
    <w:abstractNumId w:val="2"/>
  </w:num>
  <w:num w:numId="6">
    <w:abstractNumId w:val="8"/>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D67"/>
    <w:rsid w:val="000606E1"/>
    <w:rsid w:val="00062A16"/>
    <w:rsid w:val="000A1F19"/>
    <w:rsid w:val="000A5AFB"/>
    <w:rsid w:val="000B3A4A"/>
    <w:rsid w:val="000D045B"/>
    <w:rsid w:val="000E575F"/>
    <w:rsid w:val="00135989"/>
    <w:rsid w:val="00155755"/>
    <w:rsid w:val="00170BAA"/>
    <w:rsid w:val="0017758C"/>
    <w:rsid w:val="00196C22"/>
    <w:rsid w:val="001A43C7"/>
    <w:rsid w:val="001C44E7"/>
    <w:rsid w:val="001E110D"/>
    <w:rsid w:val="001E3101"/>
    <w:rsid w:val="001E567F"/>
    <w:rsid w:val="00206223"/>
    <w:rsid w:val="0023643A"/>
    <w:rsid w:val="0027452E"/>
    <w:rsid w:val="00280DC7"/>
    <w:rsid w:val="002943F5"/>
    <w:rsid w:val="002B140E"/>
    <w:rsid w:val="002B692F"/>
    <w:rsid w:val="002F3390"/>
    <w:rsid w:val="002F614E"/>
    <w:rsid w:val="002F773D"/>
    <w:rsid w:val="002F77BA"/>
    <w:rsid w:val="0031321F"/>
    <w:rsid w:val="00330B66"/>
    <w:rsid w:val="00331740"/>
    <w:rsid w:val="00335680"/>
    <w:rsid w:val="0033742A"/>
    <w:rsid w:val="0034670C"/>
    <w:rsid w:val="00351C2B"/>
    <w:rsid w:val="003A022D"/>
    <w:rsid w:val="003B44E1"/>
    <w:rsid w:val="003D01C0"/>
    <w:rsid w:val="003E6CBC"/>
    <w:rsid w:val="004172F4"/>
    <w:rsid w:val="00421D26"/>
    <w:rsid w:val="00463063"/>
    <w:rsid w:val="004E68FE"/>
    <w:rsid w:val="004F179C"/>
    <w:rsid w:val="00507709"/>
    <w:rsid w:val="00515497"/>
    <w:rsid w:val="00531E1C"/>
    <w:rsid w:val="00541F83"/>
    <w:rsid w:val="0054640D"/>
    <w:rsid w:val="005568C9"/>
    <w:rsid w:val="00583DED"/>
    <w:rsid w:val="005A4403"/>
    <w:rsid w:val="005E1ABA"/>
    <w:rsid w:val="005E738C"/>
    <w:rsid w:val="006348BF"/>
    <w:rsid w:val="00652852"/>
    <w:rsid w:val="0069653B"/>
    <w:rsid w:val="006A40C4"/>
    <w:rsid w:val="006B4218"/>
    <w:rsid w:val="006C3C46"/>
    <w:rsid w:val="006E5208"/>
    <w:rsid w:val="0072138A"/>
    <w:rsid w:val="007269D3"/>
    <w:rsid w:val="00727D67"/>
    <w:rsid w:val="007502B5"/>
    <w:rsid w:val="00756D40"/>
    <w:rsid w:val="0076471C"/>
    <w:rsid w:val="00783490"/>
    <w:rsid w:val="00794E88"/>
    <w:rsid w:val="007A0F09"/>
    <w:rsid w:val="007A20F8"/>
    <w:rsid w:val="007B1524"/>
    <w:rsid w:val="007B4BBA"/>
    <w:rsid w:val="007E1F6B"/>
    <w:rsid w:val="007E541E"/>
    <w:rsid w:val="008208F1"/>
    <w:rsid w:val="00822666"/>
    <w:rsid w:val="00825E4B"/>
    <w:rsid w:val="008426EC"/>
    <w:rsid w:val="0085544C"/>
    <w:rsid w:val="00860009"/>
    <w:rsid w:val="008A540C"/>
    <w:rsid w:val="008A7BAD"/>
    <w:rsid w:val="008F6DE9"/>
    <w:rsid w:val="009013F0"/>
    <w:rsid w:val="0091770B"/>
    <w:rsid w:val="00947EDE"/>
    <w:rsid w:val="00977713"/>
    <w:rsid w:val="009779FF"/>
    <w:rsid w:val="009B304B"/>
    <w:rsid w:val="009C2C42"/>
    <w:rsid w:val="009C3604"/>
    <w:rsid w:val="00A0293B"/>
    <w:rsid w:val="00A0513A"/>
    <w:rsid w:val="00A24C33"/>
    <w:rsid w:val="00A2678A"/>
    <w:rsid w:val="00A34440"/>
    <w:rsid w:val="00A412DF"/>
    <w:rsid w:val="00A73B09"/>
    <w:rsid w:val="00A801C7"/>
    <w:rsid w:val="00A865F5"/>
    <w:rsid w:val="00A91F58"/>
    <w:rsid w:val="00AA3A5E"/>
    <w:rsid w:val="00AB12D4"/>
    <w:rsid w:val="00B03D52"/>
    <w:rsid w:val="00B16C76"/>
    <w:rsid w:val="00B17DD3"/>
    <w:rsid w:val="00B65A81"/>
    <w:rsid w:val="00B75EBE"/>
    <w:rsid w:val="00B8261F"/>
    <w:rsid w:val="00BA0B38"/>
    <w:rsid w:val="00BB0528"/>
    <w:rsid w:val="00BB30C7"/>
    <w:rsid w:val="00BB380C"/>
    <w:rsid w:val="00BB52A9"/>
    <w:rsid w:val="00BB690D"/>
    <w:rsid w:val="00BC0D63"/>
    <w:rsid w:val="00BC186E"/>
    <w:rsid w:val="00BE1B89"/>
    <w:rsid w:val="00C14264"/>
    <w:rsid w:val="00C203C1"/>
    <w:rsid w:val="00C56594"/>
    <w:rsid w:val="00C65A02"/>
    <w:rsid w:val="00C77C69"/>
    <w:rsid w:val="00C84029"/>
    <w:rsid w:val="00CD6DA7"/>
    <w:rsid w:val="00CF1563"/>
    <w:rsid w:val="00CF6828"/>
    <w:rsid w:val="00CF7288"/>
    <w:rsid w:val="00D32D63"/>
    <w:rsid w:val="00D42724"/>
    <w:rsid w:val="00D56875"/>
    <w:rsid w:val="00D6114C"/>
    <w:rsid w:val="00D65C76"/>
    <w:rsid w:val="00D76D05"/>
    <w:rsid w:val="00DA11F4"/>
    <w:rsid w:val="00DA5CE5"/>
    <w:rsid w:val="00E17C9B"/>
    <w:rsid w:val="00E35855"/>
    <w:rsid w:val="00E51C53"/>
    <w:rsid w:val="00E629F7"/>
    <w:rsid w:val="00EA384A"/>
    <w:rsid w:val="00ED6413"/>
    <w:rsid w:val="00EE5908"/>
    <w:rsid w:val="00EF7209"/>
    <w:rsid w:val="00F30100"/>
    <w:rsid w:val="00F31E44"/>
    <w:rsid w:val="00F3275E"/>
    <w:rsid w:val="00F4794C"/>
    <w:rsid w:val="00F812F2"/>
    <w:rsid w:val="00FB7E5C"/>
    <w:rsid w:val="00FE7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9EEDB1"/>
  <w15:docId w15:val="{3CE988B8-C068-4D86-86C6-0FA9566D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6223"/>
    <w:pPr>
      <w:jc w:val="both"/>
    </w:pPr>
    <w:rPr>
      <w:sz w:val="24"/>
    </w:rPr>
  </w:style>
  <w:style w:type="paragraph" w:styleId="Antrat1">
    <w:name w:val="heading 1"/>
    <w:basedOn w:val="prastasis"/>
    <w:qFormat/>
    <w:pPr>
      <w:spacing w:before="100" w:beforeAutospacing="1" w:after="100" w:afterAutospacing="1"/>
      <w:jc w:val="center"/>
      <w:outlineLvl w:val="0"/>
    </w:pPr>
    <w:rPr>
      <w:b/>
      <w:bCs/>
      <w:kern w:val="36"/>
      <w:sz w:val="16"/>
      <w:szCs w:val="16"/>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3">
    <w:name w:val="Body Text 3"/>
    <w:basedOn w:val="prastasis"/>
    <w:pPr>
      <w:jc w:val="center"/>
    </w:pPr>
    <w:rPr>
      <w:b/>
    </w:rPr>
  </w:style>
  <w:style w:type="character" w:customStyle="1" w:styleId="Datametai">
    <w:name w:val="Data_metai"/>
    <w:basedOn w:val="Numatytasispastraiposriftas"/>
  </w:style>
  <w:style w:type="character" w:customStyle="1" w:styleId="Datamnuo">
    <w:name w:val="Data_mënuo"/>
    <w:rPr>
      <w:rFonts w:ascii="HelveticaLT" w:hAnsi="HelveticaLT"/>
      <w:sz w:val="24"/>
    </w:rPr>
  </w:style>
  <w:style w:type="character" w:customStyle="1" w:styleId="Datadiena">
    <w:name w:val="Data_diena"/>
    <w:basedOn w:val="Numatytasispastraiposriftas"/>
  </w:style>
  <w:style w:type="character" w:customStyle="1" w:styleId="statymoNr">
    <w:name w:val="Įstatymo Nr."/>
    <w:rPr>
      <w:rFonts w:ascii="HelveticaLT" w:hAnsi="HelveticaLT"/>
    </w:rPr>
  </w:style>
  <w:style w:type="paragraph" w:styleId="Pagrindinistekstas">
    <w:name w:val="Body Text"/>
    <w:basedOn w:val="prastasis"/>
    <w:pPr>
      <w:spacing w:after="120"/>
    </w:pPr>
  </w:style>
  <w:style w:type="paragraph" w:styleId="Pagrindiniotekstotrauka">
    <w:name w:val="Body Text Indent"/>
    <w:basedOn w:val="prastasis"/>
    <w:pPr>
      <w:spacing w:after="120"/>
      <w:ind w:left="283"/>
    </w:pPr>
  </w:style>
  <w:style w:type="paragraph" w:customStyle="1" w:styleId="tekstas">
    <w:name w:val="tekstas"/>
    <w:basedOn w:val="prastasis"/>
    <w:pPr>
      <w:spacing w:before="100" w:beforeAutospacing="1" w:after="100" w:afterAutospacing="1"/>
    </w:pPr>
  </w:style>
  <w:style w:type="character" w:styleId="Puslapioinaosnuoroda">
    <w:name w:val="footnote reference"/>
    <w:basedOn w:val="Numatytasispastraiposriftas"/>
    <w:semiHidden/>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CentrBold">
    <w:name w:val="CentrBold"/>
    <w:pPr>
      <w:jc w:val="center"/>
    </w:pPr>
    <w:rPr>
      <w:rFonts w:ascii="TimesLT" w:hAnsi="TimesLT"/>
      <w:b/>
      <w:caps/>
      <w:snapToGrid w:val="0"/>
      <w:lang w:val="en-US" w:eastAsia="en-US"/>
    </w:r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character" w:customStyle="1" w:styleId="HTMLTypewriter1">
    <w:name w:val="HTML Typewriter1"/>
    <w:rPr>
      <w:rFonts w:ascii="Courier New" w:eastAsia="Times New Roman" w:hAnsi="Courier New" w:cs="Tahoma"/>
      <w:sz w:val="20"/>
      <w:szCs w:val="20"/>
    </w:rPr>
  </w:style>
  <w:style w:type="paragraph" w:styleId="Tekstoblokas">
    <w:name w:val="Block Text"/>
    <w:basedOn w:val="prastasis"/>
    <w:pPr>
      <w:spacing w:before="100" w:beforeAutospacing="1" w:after="100" w:afterAutospacing="1"/>
    </w:pPr>
  </w:style>
  <w:style w:type="paragraph" w:customStyle="1" w:styleId="bodytext">
    <w:name w:val="bodytext"/>
    <w:basedOn w:val="prastasis"/>
    <w:pPr>
      <w:spacing w:before="100" w:beforeAutospacing="1" w:after="100" w:afterAutospacing="1"/>
    </w:pPr>
  </w:style>
  <w:style w:type="paragraph" w:customStyle="1" w:styleId="BalloonText1">
    <w:name w:val="Balloon Text1"/>
    <w:basedOn w:val="prastasis"/>
    <w:semiHidden/>
    <w:rPr>
      <w:rFonts w:ascii="Tahoma" w:hAnsi="Tahoma" w:cs="HelveticaLT"/>
      <w:sz w:val="16"/>
      <w:szCs w:val="16"/>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customStyle="1" w:styleId="mazas">
    <w:name w:val="mazas"/>
    <w:basedOn w:val="prastasis"/>
    <w:pPr>
      <w:spacing w:before="100" w:beforeAutospacing="1" w:after="100" w:afterAutospacing="1"/>
    </w:pPr>
    <w:rPr>
      <w:rFonts w:ascii="Arial Unicode MS" w:eastAsia="Arial Unicode MS" w:hAnsi="Arial Unicode MS" w:cs="TimesLT"/>
    </w:rPr>
  </w:style>
  <w:style w:type="paragraph" w:styleId="Pagrindinistekstas2">
    <w:name w:val="Body Text 2"/>
    <w:basedOn w:val="prastasis"/>
    <w:rPr>
      <w:sz w:val="22"/>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rPr>
  </w:style>
  <w:style w:type="paragraph" w:customStyle="1" w:styleId="BalloonText2">
    <w:name w:val="Balloon Text2"/>
    <w:basedOn w:val="prastasis"/>
    <w:semiHidden/>
    <w:rPr>
      <w:rFonts w:ascii="Tahoma" w:hAnsi="Tahoma" w:cs="HelveticaLT"/>
      <w:sz w:val="16"/>
      <w:szCs w:val="16"/>
    </w:rPr>
  </w:style>
  <w:style w:type="paragraph" w:styleId="Puslapioinaostekstas">
    <w:name w:val="footnote text"/>
    <w:basedOn w:val="prastasis"/>
    <w:semiHidden/>
    <w:rPr>
      <w:sz w:val="20"/>
      <w:lang w:eastAsia="en-US"/>
    </w:rPr>
  </w:style>
  <w:style w:type="character" w:styleId="Emfaz">
    <w:name w:val="Emphasis"/>
    <w:qFormat/>
    <w:rPr>
      <w:i/>
    </w:rPr>
  </w:style>
  <w:style w:type="paragraph" w:styleId="Debesliotekstas">
    <w:name w:val="Balloon Text"/>
    <w:basedOn w:val="prastasis"/>
    <w:link w:val="DebesliotekstasDiagrama"/>
    <w:uiPriority w:val="99"/>
    <w:semiHidden/>
    <w:rPr>
      <w:rFonts w:ascii="Tahoma" w:hAnsi="Tahoma" w:cs="Tahoma"/>
      <w:sz w:val="16"/>
      <w:szCs w:val="16"/>
    </w:rPr>
  </w:style>
  <w:style w:type="character" w:styleId="Hipersaitas">
    <w:name w:val="Hyperlink"/>
    <w:rPr>
      <w:color w:val="000000"/>
      <w:u w:val="single"/>
    </w:rPr>
  </w:style>
  <w:style w:type="character" w:styleId="Perirtashipersaitas">
    <w:name w:val="FollowedHyperlink"/>
    <w:rPr>
      <w:color w:val="800080"/>
      <w:u w:val="single"/>
    </w:rPr>
  </w:style>
  <w:style w:type="paragraph" w:styleId="prastasiniatinklio">
    <w:name w:val="Normal (Web)"/>
    <w:basedOn w:val="prastasis"/>
    <w:rsid w:val="00BB380C"/>
    <w:pPr>
      <w:spacing w:before="150" w:after="150"/>
      <w:ind w:left="675" w:right="525"/>
      <w:jc w:val="left"/>
    </w:pPr>
    <w:rPr>
      <w:sz w:val="19"/>
      <w:szCs w:val="19"/>
    </w:rPr>
  </w:style>
  <w:style w:type="paragraph" w:customStyle="1" w:styleId="Default">
    <w:name w:val="Default"/>
    <w:rsid w:val="006C3C4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C3C46"/>
    <w:rPr>
      <w:rFonts w:cs="Times New Roman"/>
      <w:color w:val="auto"/>
    </w:rPr>
  </w:style>
  <w:style w:type="paragraph" w:customStyle="1" w:styleId="CM3">
    <w:name w:val="CM3"/>
    <w:basedOn w:val="Default"/>
    <w:next w:val="Default"/>
    <w:uiPriority w:val="99"/>
    <w:rsid w:val="006C3C46"/>
    <w:rPr>
      <w:rFonts w:cs="Times New Roman"/>
      <w:color w:val="auto"/>
    </w:rPr>
  </w:style>
  <w:style w:type="character" w:styleId="Komentaronuoroda">
    <w:name w:val="annotation reference"/>
    <w:rsid w:val="008A540C"/>
    <w:rPr>
      <w:sz w:val="16"/>
      <w:szCs w:val="16"/>
    </w:rPr>
  </w:style>
  <w:style w:type="paragraph" w:styleId="Komentarotekstas">
    <w:name w:val="annotation text"/>
    <w:basedOn w:val="prastasis"/>
    <w:link w:val="KomentarotekstasDiagrama"/>
    <w:rsid w:val="008A540C"/>
    <w:rPr>
      <w:sz w:val="20"/>
    </w:rPr>
  </w:style>
  <w:style w:type="character" w:customStyle="1" w:styleId="KomentarotekstasDiagrama">
    <w:name w:val="Komentaro tekstas Diagrama"/>
    <w:basedOn w:val="Numatytasispastraiposriftas"/>
    <w:link w:val="Komentarotekstas"/>
    <w:rsid w:val="008A540C"/>
  </w:style>
  <w:style w:type="paragraph" w:styleId="Komentarotema">
    <w:name w:val="annotation subject"/>
    <w:basedOn w:val="Komentarotekstas"/>
    <w:next w:val="Komentarotekstas"/>
    <w:link w:val="KomentarotemaDiagrama"/>
    <w:rsid w:val="008A540C"/>
    <w:rPr>
      <w:b/>
      <w:bCs/>
      <w:lang w:val="x-none" w:eastAsia="x-none"/>
    </w:rPr>
  </w:style>
  <w:style w:type="character" w:customStyle="1" w:styleId="KomentarotemaDiagrama">
    <w:name w:val="Komentaro tema Diagrama"/>
    <w:link w:val="Komentarotema"/>
    <w:rsid w:val="008A540C"/>
    <w:rPr>
      <w:b/>
      <w:bCs/>
    </w:rPr>
  </w:style>
  <w:style w:type="character" w:customStyle="1" w:styleId="DebesliotekstasDiagrama">
    <w:name w:val="Debesėlio tekstas Diagrama"/>
    <w:basedOn w:val="Numatytasispastraiposriftas"/>
    <w:link w:val="Debesliotekstas"/>
    <w:uiPriority w:val="99"/>
    <w:semiHidden/>
    <w:locked/>
    <w:rsid w:val="00135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022673">
      <w:bodyDiv w:val="1"/>
      <w:marLeft w:val="0"/>
      <w:marRight w:val="0"/>
      <w:marTop w:val="0"/>
      <w:marBottom w:val="0"/>
      <w:divBdr>
        <w:top w:val="none" w:sz="0" w:space="0" w:color="auto"/>
        <w:left w:val="none" w:sz="0" w:space="0" w:color="auto"/>
        <w:bottom w:val="none" w:sz="0" w:space="0" w:color="auto"/>
        <w:right w:val="none" w:sz="0" w:space="0" w:color="auto"/>
      </w:divBdr>
      <w:divsChild>
        <w:div w:id="2104952987">
          <w:marLeft w:val="0"/>
          <w:marRight w:val="0"/>
          <w:marTop w:val="0"/>
          <w:marBottom w:val="0"/>
          <w:divBdr>
            <w:top w:val="none" w:sz="0" w:space="0" w:color="auto"/>
            <w:left w:val="none" w:sz="0" w:space="0" w:color="auto"/>
            <w:bottom w:val="none" w:sz="0" w:space="0" w:color="auto"/>
            <w:right w:val="none" w:sz="0" w:space="0" w:color="auto"/>
          </w:divBdr>
          <w:divsChild>
            <w:div w:id="209731975">
              <w:marLeft w:val="0"/>
              <w:marRight w:val="0"/>
              <w:marTop w:val="0"/>
              <w:marBottom w:val="0"/>
              <w:divBdr>
                <w:top w:val="none" w:sz="0" w:space="0" w:color="auto"/>
                <w:left w:val="none" w:sz="0" w:space="0" w:color="auto"/>
                <w:bottom w:val="none" w:sz="0" w:space="0" w:color="auto"/>
                <w:right w:val="none" w:sz="0" w:space="0" w:color="auto"/>
              </w:divBdr>
            </w:div>
            <w:div w:id="1723478646">
              <w:marLeft w:val="0"/>
              <w:marRight w:val="0"/>
              <w:marTop w:val="0"/>
              <w:marBottom w:val="0"/>
              <w:divBdr>
                <w:top w:val="none" w:sz="0" w:space="0" w:color="auto"/>
                <w:left w:val="none" w:sz="0" w:space="0" w:color="auto"/>
                <w:bottom w:val="none" w:sz="0" w:space="0" w:color="auto"/>
                <w:right w:val="none" w:sz="0" w:space="0" w:color="auto"/>
              </w:divBdr>
            </w:div>
            <w:div w:id="26831338">
              <w:marLeft w:val="0"/>
              <w:marRight w:val="0"/>
              <w:marTop w:val="0"/>
              <w:marBottom w:val="0"/>
              <w:divBdr>
                <w:top w:val="none" w:sz="0" w:space="0" w:color="auto"/>
                <w:left w:val="none" w:sz="0" w:space="0" w:color="auto"/>
                <w:bottom w:val="none" w:sz="0" w:space="0" w:color="auto"/>
                <w:right w:val="none" w:sz="0" w:space="0" w:color="auto"/>
              </w:divBdr>
            </w:div>
            <w:div w:id="1269583154">
              <w:marLeft w:val="0"/>
              <w:marRight w:val="0"/>
              <w:marTop w:val="0"/>
              <w:marBottom w:val="0"/>
              <w:divBdr>
                <w:top w:val="none" w:sz="0" w:space="0" w:color="auto"/>
                <w:left w:val="none" w:sz="0" w:space="0" w:color="auto"/>
                <w:bottom w:val="none" w:sz="0" w:space="0" w:color="auto"/>
                <w:right w:val="none" w:sz="0" w:space="0" w:color="auto"/>
              </w:divBdr>
            </w:div>
            <w:div w:id="576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1629">
      <w:bodyDiv w:val="1"/>
      <w:marLeft w:val="0"/>
      <w:marRight w:val="0"/>
      <w:marTop w:val="0"/>
      <w:marBottom w:val="0"/>
      <w:divBdr>
        <w:top w:val="none" w:sz="0" w:space="0" w:color="auto"/>
        <w:left w:val="none" w:sz="0" w:space="0" w:color="auto"/>
        <w:bottom w:val="none" w:sz="0" w:space="0" w:color="auto"/>
        <w:right w:val="none" w:sz="0" w:space="0" w:color="auto"/>
      </w:divBdr>
      <w:divsChild>
        <w:div w:id="1440492469">
          <w:marLeft w:val="3"/>
          <w:marRight w:val="3"/>
          <w:marTop w:val="0"/>
          <w:marBottom w:val="0"/>
          <w:divBdr>
            <w:top w:val="single" w:sz="6" w:space="0" w:color="112449"/>
            <w:left w:val="single" w:sz="6" w:space="0" w:color="112449"/>
            <w:bottom w:val="single" w:sz="6" w:space="0" w:color="112449"/>
            <w:right w:val="single" w:sz="6" w:space="0" w:color="112449"/>
          </w:divBdr>
          <w:divsChild>
            <w:div w:id="124368092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09B6-77F8-4994-80BA-978B4630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3886</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pozicijos Europos Sąjungos institucijose nagrinėjamais klausimais rengimo, derinimo, pristatymo ir Europo</vt:lpstr>
      <vt:lpstr>Lietuvos Respublikos pozicijos Europos Sąjungos institucijose nagrinėjamais klausimais rengimo, derinimo, pristatymo ir Europo</vt:lpstr>
    </vt:vector>
  </TitlesOfParts>
  <Company>NVTAT</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2021-04-27T12:13:00Z</dcterms:created>
  <dc:creator>Girma</dc:creator>
  <cp:lastModifiedBy>Evaldas Bacevičius</cp:lastModifiedBy>
  <cp:lastPrinted>2005-11-23T07:04:00Z</cp:lastPrinted>
  <dcterms:modified xsi:type="dcterms:W3CDTF">2021-07-09T12:03:00Z</dcterms:modified>
  <cp:revision>17</cp:revision>
  <dc:title>Lietuvos Respublikos pozicijos Europos Sąjungos institucijose nagrinėjamais klausimais rengimo, derinimo, pristatymo ir Europo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