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5C061" w14:textId="77777777" w:rsidR="004E65CC" w:rsidRDefault="00C33AB5" w:rsidP="007B5095">
      <w:pPr>
        <w:spacing w:before="160"/>
        <w:jc w:val="center"/>
      </w:pPr>
      <w:r>
        <w:rPr>
          <w:b/>
          <w:caps/>
          <w:noProof/>
          <w:lang w:val="en-US"/>
        </w:rPr>
        <w:drawing>
          <wp:anchor distT="0" distB="0" distL="114300" distR="114300" simplePos="0" relativeHeight="251659264" behindDoc="0" locked="0" layoutInCell="1" allowOverlap="1" wp14:anchorId="47364CB6" wp14:editId="0929BE5C">
            <wp:simplePos x="0" y="0"/>
            <wp:positionH relativeFrom="page">
              <wp:posOffset>3776984</wp:posOffset>
            </wp:positionH>
            <wp:positionV relativeFrom="page">
              <wp:posOffset>567686</wp:posOffset>
            </wp:positionV>
            <wp:extent cx="543555" cy="595631"/>
            <wp:effectExtent l="0" t="0" r="8895" b="0"/>
            <wp:wrapTopAndBottom/>
            <wp:docPr id="1" name="Paveikslėlis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43555" cy="595631"/>
                    </a:xfrm>
                    <a:prstGeom prst="rect">
                      <a:avLst/>
                    </a:prstGeom>
                    <a:noFill/>
                    <a:ln>
                      <a:noFill/>
                      <a:prstDash/>
                    </a:ln>
                  </pic:spPr>
                </pic:pic>
              </a:graphicData>
            </a:graphic>
          </wp:anchor>
        </w:drawing>
      </w:r>
      <w:r>
        <w:rPr>
          <w:b/>
          <w:caps/>
        </w:rPr>
        <w:t>LIETUVOS RESPUBLIKOS energetikos MINISTERIJA</w:t>
      </w:r>
    </w:p>
    <w:p w14:paraId="5A421630" w14:textId="77777777" w:rsidR="004E65CC" w:rsidRDefault="004E65CC" w:rsidP="007B5095">
      <w:pPr>
        <w:jc w:val="left"/>
      </w:pPr>
    </w:p>
    <w:p w14:paraId="345A1E2F" w14:textId="77777777" w:rsidR="004E65CC" w:rsidRDefault="00C33AB5" w:rsidP="007B5095">
      <w:pPr>
        <w:widowControl w:val="0"/>
        <w:spacing w:after="40"/>
        <w:jc w:val="center"/>
        <w:rPr>
          <w:sz w:val="20"/>
        </w:rPr>
      </w:pPr>
      <w:r>
        <w:rPr>
          <w:sz w:val="20"/>
        </w:rPr>
        <w:t>Biudžetinė įstaiga, Gedimino pr. 38, 01104 Vilnius,</w:t>
      </w:r>
    </w:p>
    <w:p w14:paraId="0044B663" w14:textId="77777777" w:rsidR="004E65CC" w:rsidRDefault="00C33AB5" w:rsidP="007B5095">
      <w:pPr>
        <w:widowControl w:val="0"/>
        <w:spacing w:after="40"/>
        <w:jc w:val="center"/>
      </w:pPr>
      <w:r>
        <w:rPr>
          <w:sz w:val="20"/>
        </w:rPr>
        <w:t xml:space="preserve">Tel. (8 706) 64 715, faks. (8 706) 64 820, el. p. </w:t>
      </w:r>
      <w:hyperlink r:id="rId8" w:history="1">
        <w:r>
          <w:rPr>
            <w:sz w:val="20"/>
          </w:rPr>
          <w:t>info@enmin.lt</w:t>
        </w:r>
      </w:hyperlink>
      <w:r>
        <w:rPr>
          <w:sz w:val="20"/>
        </w:rPr>
        <w:t>, www.</w:t>
      </w:r>
      <w:hyperlink r:id="rId9" w:history="1">
        <w:r>
          <w:rPr>
            <w:sz w:val="20"/>
          </w:rPr>
          <w:t>enmin.lrv.lt</w:t>
        </w:r>
      </w:hyperlink>
    </w:p>
    <w:p w14:paraId="6715A81D" w14:textId="77777777" w:rsidR="004E65CC" w:rsidRDefault="00C33AB5" w:rsidP="007B5095">
      <w:pPr>
        <w:widowControl w:val="0"/>
        <w:spacing w:after="40"/>
        <w:jc w:val="center"/>
        <w:rPr>
          <w:sz w:val="20"/>
        </w:rPr>
      </w:pPr>
      <w:r>
        <w:rPr>
          <w:sz w:val="20"/>
        </w:rPr>
        <w:t>Duomenys kaupiami ir saugomi Juridinių asmenų registre, kodas 302308327</w:t>
      </w:r>
    </w:p>
    <w:p w14:paraId="44DF4A8F" w14:textId="77777777" w:rsidR="004E65CC" w:rsidRDefault="00C33AB5" w:rsidP="007B5095">
      <w:pPr>
        <w:jc w:val="left"/>
      </w:pPr>
      <w:r>
        <w:rPr>
          <w:noProof/>
          <w:lang w:val="en-US"/>
        </w:rPr>
        <mc:AlternateContent>
          <mc:Choice Requires="wps">
            <w:drawing>
              <wp:anchor distT="0" distB="0" distL="114300" distR="114300" simplePos="0" relativeHeight="251660288" behindDoc="1" locked="0" layoutInCell="1" allowOverlap="1" wp14:anchorId="2178738A" wp14:editId="24F53DBE">
                <wp:simplePos x="0" y="0"/>
                <wp:positionH relativeFrom="column">
                  <wp:posOffset>-41906</wp:posOffset>
                </wp:positionH>
                <wp:positionV relativeFrom="paragraph">
                  <wp:posOffset>-640</wp:posOffset>
                </wp:positionV>
                <wp:extent cx="6077586" cy="0"/>
                <wp:effectExtent l="0" t="0" r="0" b="0"/>
                <wp:wrapNone/>
                <wp:docPr id="2" name="AutoShape 2"/>
                <wp:cNvGraphicFramePr/>
                <a:graphic xmlns:a="http://schemas.openxmlformats.org/drawingml/2006/main">
                  <a:graphicData uri="http://schemas.microsoft.com/office/word/2010/wordprocessingShape">
                    <wps:wsp>
                      <wps:cNvCnPr/>
                      <wps:spPr>
                        <a:xfrm>
                          <a:off x="0" y="0"/>
                          <a:ext cx="6077586" cy="0"/>
                        </a:xfrm>
                        <a:prstGeom prst="straightConnector1">
                          <a:avLst/>
                        </a:prstGeom>
                        <a:noFill/>
                        <a:ln w="6345" cap="flat">
                          <a:solidFill>
                            <a:srgbClr val="000000"/>
                          </a:solidFill>
                          <a:prstDash val="solid"/>
                          <a:round/>
                        </a:ln>
                      </wps:spPr>
                      <wps:bodyPr/>
                    </wps:wsp>
                  </a:graphicData>
                </a:graphic>
              </wp:anchor>
            </w:drawing>
          </mc:Choice>
          <mc:Fallback>
            <w:pict>
              <v:shapetype w14:anchorId="629F06DD" id="_x0000_t32" coordsize="21600,21600" o:spt="32" o:oned="t" path="m,l21600,21600e" filled="f">
                <v:path arrowok="t" fillok="f" o:connecttype="none"/>
                <o:lock v:ext="edit" shapetype="t"/>
              </v:shapetype>
              <v:shape id="AutoShape 2" o:spid="_x0000_s1026" type="#_x0000_t32" style="position:absolute;margin-left:-3.3pt;margin-top:-.05pt;width:478.55pt;height:0;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" strokeweight=".17625mm"/>
            </w:pict>
          </mc:Fallback>
        </mc:AlternateContent>
      </w:r>
    </w:p>
    <w:tbl>
      <w:tblPr>
        <w:tblW w:w="9639" w:type="dxa"/>
        <w:tblCellMar>
          <w:left w:w="10" w:type="dxa"/>
          <w:right w:w="10" w:type="dxa"/>
        </w:tblCellMar>
        <w:tblLook w:val="04A0" w:firstRow="1" w:lastRow="0" w:firstColumn="1" w:lastColumn="0" w:noHBand="0" w:noVBand="1"/>
      </w:tblPr>
      <w:tblGrid>
        <w:gridCol w:w="4402"/>
        <w:gridCol w:w="704"/>
        <w:gridCol w:w="1912"/>
        <w:gridCol w:w="2621"/>
      </w:tblGrid>
      <w:tr w:rsidR="004E65CC" w14:paraId="4F703838" w14:textId="77777777" w:rsidTr="007E2999">
        <w:trPr>
          <w:cantSplit/>
          <w:trHeight w:val="104"/>
        </w:trPr>
        <w:tc>
          <w:tcPr>
            <w:tcW w:w="4402" w:type="dxa"/>
            <w:vMerge w:val="restart"/>
            <w:shd w:val="clear" w:color="auto" w:fill="auto"/>
            <w:tcMar>
              <w:top w:w="0" w:type="dxa"/>
              <w:left w:w="0" w:type="dxa"/>
              <w:bottom w:w="0" w:type="dxa"/>
              <w:right w:w="28" w:type="dxa"/>
            </w:tcMar>
          </w:tcPr>
          <w:p w14:paraId="453C3900" w14:textId="77777777" w:rsidR="004E65CC" w:rsidRDefault="00C33AB5">
            <w:pPr>
              <w:jc w:val="left"/>
            </w:pPr>
            <w:r>
              <w:t>Lietuvos Respublikos vidaus reikalų ministerijai</w:t>
            </w:r>
          </w:p>
          <w:p w14:paraId="326381CD" w14:textId="77777777" w:rsidR="004E65CC" w:rsidRDefault="004E65CC">
            <w:pPr>
              <w:jc w:val="left"/>
            </w:pPr>
          </w:p>
          <w:p w14:paraId="2E777648" w14:textId="77777777" w:rsidR="004E65CC" w:rsidRDefault="004E65CC">
            <w:pPr>
              <w:jc w:val="left"/>
              <w:rPr>
                <w:b/>
              </w:rPr>
            </w:pPr>
          </w:p>
          <w:p w14:paraId="380175B5" w14:textId="77777777" w:rsidR="004E65CC" w:rsidRDefault="004E65CC">
            <w:pPr>
              <w:jc w:val="left"/>
              <w:rPr>
                <w:b/>
              </w:rPr>
            </w:pPr>
          </w:p>
          <w:p w14:paraId="2B0D7A85" w14:textId="77777777" w:rsidR="004E65CC" w:rsidRDefault="004E65CC">
            <w:pPr>
              <w:jc w:val="left"/>
              <w:rPr>
                <w:b/>
              </w:rPr>
            </w:pPr>
          </w:p>
        </w:tc>
        <w:tc>
          <w:tcPr>
            <w:tcW w:w="704" w:type="dxa"/>
            <w:shd w:val="clear" w:color="auto" w:fill="auto"/>
            <w:tcMar>
              <w:top w:w="0" w:type="dxa"/>
              <w:left w:w="0" w:type="dxa"/>
              <w:bottom w:w="0" w:type="dxa"/>
              <w:right w:w="28" w:type="dxa"/>
            </w:tcMar>
          </w:tcPr>
          <w:p w14:paraId="3F220B05" w14:textId="77777777" w:rsidR="004E65CC" w:rsidRDefault="004E65CC">
            <w:pPr>
              <w:jc w:val="left"/>
            </w:pPr>
          </w:p>
        </w:tc>
        <w:tc>
          <w:tcPr>
            <w:tcW w:w="1912" w:type="dxa"/>
            <w:shd w:val="clear" w:color="auto" w:fill="auto"/>
            <w:tcMar>
              <w:top w:w="0" w:type="dxa"/>
              <w:left w:w="0" w:type="dxa"/>
              <w:bottom w:w="0" w:type="dxa"/>
              <w:right w:w="28" w:type="dxa"/>
            </w:tcMar>
          </w:tcPr>
          <w:p w14:paraId="180D9C54" w14:textId="77777777" w:rsidR="004E65CC" w:rsidRDefault="00C33AB5">
            <w:pPr>
              <w:jc w:val="left"/>
            </w:pPr>
            <w:r>
              <w:t>20</w:t>
            </w:r>
            <w:r>
              <w:rPr>
                <w:lang w:val="en-US"/>
              </w:rPr>
              <w:t>21</w:t>
            </w:r>
            <w:r>
              <w:t>-08-18</w:t>
            </w:r>
          </w:p>
          <w:p w14:paraId="5D33105D" w14:textId="77777777" w:rsidR="004E65CC" w:rsidRDefault="004E65CC">
            <w:pPr>
              <w:jc w:val="left"/>
            </w:pPr>
          </w:p>
          <w:p w14:paraId="0B07B56D" w14:textId="77777777" w:rsidR="004E65CC" w:rsidRDefault="004E65CC">
            <w:pPr>
              <w:jc w:val="left"/>
            </w:pPr>
          </w:p>
          <w:p w14:paraId="41C7D0D1" w14:textId="77777777" w:rsidR="004E65CC" w:rsidRDefault="004E65CC">
            <w:pPr>
              <w:jc w:val="left"/>
            </w:pPr>
          </w:p>
        </w:tc>
        <w:tc>
          <w:tcPr>
            <w:tcW w:w="2621" w:type="dxa"/>
            <w:shd w:val="clear" w:color="auto" w:fill="auto"/>
            <w:tcMar>
              <w:top w:w="0" w:type="dxa"/>
              <w:left w:w="0" w:type="dxa"/>
              <w:bottom w:w="0" w:type="dxa"/>
              <w:right w:w="28" w:type="dxa"/>
            </w:tcMar>
          </w:tcPr>
          <w:p w14:paraId="29A2C0F0" w14:textId="0206962C" w:rsidR="004E65CC" w:rsidRDefault="00C33AB5">
            <w:pPr>
              <w:jc w:val="left"/>
            </w:pPr>
            <w:r>
              <w:t>Nr.</w:t>
            </w:r>
            <w:r w:rsidR="007E2999">
              <w:t xml:space="preserve"> (</w:t>
            </w:r>
            <w:r w:rsidR="007E2999" w:rsidRPr="007E2999">
              <w:t xml:space="preserve">22.2-24 </w:t>
            </w:r>
            <w:proofErr w:type="spellStart"/>
            <w:r w:rsidR="007E2999" w:rsidRPr="007E2999">
              <w:t>Mr</w:t>
            </w:r>
            <w:proofErr w:type="spellEnd"/>
            <w:r w:rsidR="007E2999">
              <w:t xml:space="preserve">) </w:t>
            </w:r>
            <w:r w:rsidR="007E2999" w:rsidRPr="007E2999">
              <w:t>3-1444</w:t>
            </w:r>
          </w:p>
          <w:p w14:paraId="63D076F3" w14:textId="77777777" w:rsidR="004E65CC" w:rsidRDefault="004E65CC">
            <w:pPr>
              <w:jc w:val="left"/>
            </w:pPr>
          </w:p>
        </w:tc>
      </w:tr>
      <w:tr w:rsidR="004E65CC" w14:paraId="54BA802E" w14:textId="77777777" w:rsidTr="007E2999">
        <w:trPr>
          <w:cantSplit/>
          <w:trHeight w:val="796"/>
        </w:trPr>
        <w:tc>
          <w:tcPr>
            <w:tcW w:w="4402" w:type="dxa"/>
            <w:vMerge/>
            <w:shd w:val="clear" w:color="auto" w:fill="auto"/>
            <w:tcMar>
              <w:top w:w="0" w:type="dxa"/>
              <w:left w:w="0" w:type="dxa"/>
              <w:bottom w:w="0" w:type="dxa"/>
              <w:right w:w="28" w:type="dxa"/>
            </w:tcMar>
          </w:tcPr>
          <w:p w14:paraId="1F29A46C" w14:textId="77777777" w:rsidR="004E65CC" w:rsidRDefault="004E65CC">
            <w:pPr>
              <w:jc w:val="left"/>
            </w:pPr>
          </w:p>
        </w:tc>
        <w:tc>
          <w:tcPr>
            <w:tcW w:w="704" w:type="dxa"/>
            <w:shd w:val="clear" w:color="auto" w:fill="auto"/>
            <w:tcMar>
              <w:top w:w="0" w:type="dxa"/>
              <w:left w:w="0" w:type="dxa"/>
              <w:bottom w:w="0" w:type="dxa"/>
              <w:right w:w="28" w:type="dxa"/>
            </w:tcMar>
          </w:tcPr>
          <w:p w14:paraId="1B95822D" w14:textId="77777777" w:rsidR="004E65CC" w:rsidRDefault="004E65CC">
            <w:pPr>
              <w:jc w:val="left"/>
            </w:pPr>
          </w:p>
        </w:tc>
        <w:tc>
          <w:tcPr>
            <w:tcW w:w="1912" w:type="dxa"/>
            <w:shd w:val="clear" w:color="auto" w:fill="auto"/>
            <w:tcMar>
              <w:top w:w="0" w:type="dxa"/>
              <w:left w:w="0" w:type="dxa"/>
              <w:bottom w:w="0" w:type="dxa"/>
              <w:right w:w="28" w:type="dxa"/>
            </w:tcMar>
          </w:tcPr>
          <w:p w14:paraId="51AFC200" w14:textId="77777777" w:rsidR="004E65CC" w:rsidRDefault="004E65CC">
            <w:pPr>
              <w:jc w:val="left"/>
            </w:pPr>
          </w:p>
          <w:p w14:paraId="5EB2690B" w14:textId="77777777" w:rsidR="004E65CC" w:rsidRDefault="004E65CC">
            <w:pPr>
              <w:jc w:val="left"/>
            </w:pPr>
          </w:p>
        </w:tc>
        <w:tc>
          <w:tcPr>
            <w:tcW w:w="2621" w:type="dxa"/>
            <w:shd w:val="clear" w:color="auto" w:fill="auto"/>
            <w:tcMar>
              <w:top w:w="0" w:type="dxa"/>
              <w:left w:w="0" w:type="dxa"/>
              <w:bottom w:w="0" w:type="dxa"/>
              <w:right w:w="28" w:type="dxa"/>
            </w:tcMar>
          </w:tcPr>
          <w:p w14:paraId="7D74AC2D" w14:textId="77777777" w:rsidR="004E65CC" w:rsidRDefault="004E65CC">
            <w:pPr>
              <w:jc w:val="left"/>
            </w:pPr>
          </w:p>
          <w:p w14:paraId="7FFE2ABD" w14:textId="77777777" w:rsidR="004E65CC" w:rsidRDefault="004E65CC">
            <w:pPr>
              <w:jc w:val="left"/>
            </w:pPr>
          </w:p>
        </w:tc>
      </w:tr>
    </w:tbl>
    <w:p w14:paraId="11D457BB" w14:textId="77777777" w:rsidR="004E65CC" w:rsidRDefault="00C33AB5">
      <w:pPr>
        <w:shd w:val="clear" w:color="auto" w:fill="FFFFFF"/>
        <w:jc w:val="left"/>
        <w:rPr>
          <w:b/>
        </w:rPr>
      </w:pPr>
      <w:r>
        <w:rPr>
          <w:b/>
        </w:rPr>
        <w:t xml:space="preserve">DĖL YPATINGOS VALSTYBNĖS SVARBOS PROJEKTO ĮGYVENDINIMO </w:t>
      </w:r>
    </w:p>
    <w:p w14:paraId="1A364D72" w14:textId="77777777" w:rsidR="004E65CC" w:rsidRDefault="004E65CC"/>
    <w:p w14:paraId="3045BDD8" w14:textId="77777777" w:rsidR="004E65CC" w:rsidRDefault="004E65CC">
      <w:pPr>
        <w:ind w:firstLine="720"/>
      </w:pPr>
    </w:p>
    <w:p w14:paraId="7E90E07B" w14:textId="77777777" w:rsidR="004E65CC" w:rsidRDefault="00C33AB5">
      <w:pPr>
        <w:ind w:firstLine="720"/>
      </w:pPr>
      <w:r>
        <w:t>Lietuvos Respublikos energetikos ministerija (toliau – Energetikos ministerija), atsižvelgdama į Respublikos fizinio barjero Lietuvos Respublikos teritorijoje prie Europos Sąjungos išorės sienos su Baltarusijos Respublika įrengimo įstatymo Nr. XIV-513 (toliau – Įstatymas) 3 str. 3 d.,  teikia informaciją apie valstybės valdomos bendrovės UAB „EPSO-G“, kurios vienintelio akcininko teises ir pareigas įgyvendina Energetikos ministerija, patirtį, pajėgumus ir galimybes įgyvendinti Įstatyme numatytą ypatingos valstybinės svarbos projektą.</w:t>
      </w:r>
    </w:p>
    <w:p w14:paraId="1700C6CC" w14:textId="77777777" w:rsidR="004E65CC" w:rsidRDefault="004E65CC">
      <w:pPr>
        <w:ind w:firstLine="720"/>
      </w:pPr>
    </w:p>
    <w:p w14:paraId="13D73A2F" w14:textId="77777777" w:rsidR="004E65CC" w:rsidRDefault="00C33AB5">
      <w:pPr>
        <w:ind w:firstLine="720"/>
      </w:pPr>
      <w:r>
        <w:t xml:space="preserve">Pateikiame informaciją apie įmonių grupės EPSO-G veiklą ir projektus. </w:t>
      </w:r>
    </w:p>
    <w:p w14:paraId="42DFC7C9" w14:textId="77777777" w:rsidR="004E65CC" w:rsidRDefault="00C33AB5">
      <w:pPr>
        <w:ind w:firstLine="720"/>
        <w:rPr>
          <w:color w:val="000000"/>
        </w:rPr>
      </w:pPr>
      <w:bookmarkStart w:id="0" w:name="_Hlk488855149"/>
      <w:r>
        <w:rPr>
          <w:color w:val="000000"/>
        </w:rPr>
        <w:t>EPSO-G grupę sudaro penkios įmonės. Grupėje dirba apie 1,1 tūkst. darbuotojų Svarbiausia EPSO-G grupės veikla yra užtikrinti nepertraukiamą stabilų elektros energijos perdavimą aukštos įtampos tinklais ir gamtinių dujų transportavimą aukšto slėgio vamzdynais bei efektyvų šių perdavimo sistemų valdymą, priežiūrą ir plėtrą. Grupei priklausančios bendrovės taip pat valdo ir plėtoja biokuro, gamtinių dujų bei medienos prekybos platformas, skirtas užtikrinti sąlygas skaidriai konkurencijai energijos išteklių ir apvaliosios medienos rinkoje.</w:t>
      </w:r>
    </w:p>
    <w:p w14:paraId="1E003207" w14:textId="77777777" w:rsidR="004E65CC" w:rsidRDefault="00C33AB5">
      <w:pPr>
        <w:ind w:firstLine="720"/>
        <w:rPr>
          <w:color w:val="000000"/>
        </w:rPr>
      </w:pPr>
      <w:r>
        <w:rPr>
          <w:color w:val="000000"/>
        </w:rPr>
        <w:t>Šiuo metu EPSO-G grupė įgyvendina 14 Lietuvos Respublikos Vyriausybės patvirtintų ypatingos svarbos sinchronizacijos su kontinentinės Europos elektros tinklais projektų. Projektai apima naujos jūrinės jungties su Lenkija „</w:t>
      </w:r>
      <w:proofErr w:type="spellStart"/>
      <w:r>
        <w:rPr>
          <w:color w:val="000000"/>
        </w:rPr>
        <w:t>Harmony</w:t>
      </w:r>
      <w:proofErr w:type="spellEnd"/>
      <w:r>
        <w:rPr>
          <w:color w:val="000000"/>
        </w:rPr>
        <w:t xml:space="preserve"> Link“ statybą, sinchroninių kompensatorių įrengimą, vidinių elektros energijos perdavimo tinklų stiprinimą ir elektros perdavimo sistemos valdymo bei IT tobulinimą. Bendra šiuo metu įgyvendinamų integracijos į kontinentinės Europos elektros sistemą projektų vertė siekia apie 700 mln. eurų.</w:t>
      </w:r>
    </w:p>
    <w:p w14:paraId="088BFF61" w14:textId="77777777" w:rsidR="004E65CC" w:rsidRDefault="00C33AB5">
      <w:pPr>
        <w:ind w:firstLine="720"/>
        <w:rPr>
          <w:color w:val="000000"/>
        </w:rPr>
      </w:pPr>
      <w:r>
        <w:rPr>
          <w:color w:val="000000"/>
        </w:rPr>
        <w:t>EPSO-G grupė taip pat įgyvendina dujotiekių jungties tarp Lietuvos ir Lenkijos projektą GIPL. Tai gamtinių dujų infrastruktūra, sujungsianti Lenkijos bei Lietuvos, o tuo pačiu ir Baltijos šalių bei Suomijos gamtinių dujų perdavimo sistemas su Europos Sąjungos sistema. GIPL projekto metu investicijos į infrastruktūrą Lietuvos teritorijoje sudarys iki 136 mln. eurų.</w:t>
      </w:r>
    </w:p>
    <w:p w14:paraId="7DD0CEA0" w14:textId="77777777" w:rsidR="004E65CC" w:rsidRDefault="00C33AB5">
      <w:pPr>
        <w:ind w:firstLine="720"/>
        <w:rPr>
          <w:color w:val="000000"/>
        </w:rPr>
      </w:pPr>
      <w:r>
        <w:rPr>
          <w:color w:val="000000"/>
        </w:rPr>
        <w:t>EPSO-G grupės bendrovė UAB „</w:t>
      </w:r>
      <w:proofErr w:type="spellStart"/>
      <w:r>
        <w:rPr>
          <w:color w:val="000000"/>
        </w:rPr>
        <w:t>Energy</w:t>
      </w:r>
      <w:proofErr w:type="spellEnd"/>
      <w:r>
        <w:rPr>
          <w:color w:val="000000"/>
        </w:rPr>
        <w:t xml:space="preserve"> </w:t>
      </w:r>
      <w:proofErr w:type="spellStart"/>
      <w:r>
        <w:rPr>
          <w:color w:val="000000"/>
        </w:rPr>
        <w:t>Cells</w:t>
      </w:r>
      <w:proofErr w:type="spellEnd"/>
      <w:r>
        <w:rPr>
          <w:color w:val="000000"/>
        </w:rPr>
        <w:t xml:space="preserve">“ iki 2022 metų pabaigos Lietuvoje įdiegs energijos kaupimo įrenginius, kurių bendra suminė galia ir talpa sieks mažiausiai 200 megavatų ir 200 </w:t>
      </w:r>
      <w:proofErr w:type="spellStart"/>
      <w:r>
        <w:rPr>
          <w:color w:val="000000"/>
        </w:rPr>
        <w:t>megavatvalandžių</w:t>
      </w:r>
      <w:proofErr w:type="spellEnd"/>
      <w:r>
        <w:rPr>
          <w:color w:val="000000"/>
        </w:rPr>
        <w:t>. Šie įrenginiai tarnaus kaip izoliuoto darbo rezervas užtikrinant patikimą ir stabilų Lietuvos elektros energetikos sistemos darbą iki sinchronizacijos su kontinentinės Europos tinklais, o ateityje – sparčiai augančių atsinaujinančių energijos šaltinių integracijai. Planuojama projekto vertė yra apie 100 mln. eurų.</w:t>
      </w:r>
    </w:p>
    <w:p w14:paraId="4E93DEA3" w14:textId="77777777" w:rsidR="004E65CC" w:rsidRDefault="00C33AB5">
      <w:pPr>
        <w:ind w:firstLine="720"/>
        <w:rPr>
          <w:color w:val="000000"/>
        </w:rPr>
      </w:pPr>
      <w:r>
        <w:rPr>
          <w:color w:val="000000"/>
        </w:rPr>
        <w:t>EPSO-G grupės bendrovė AB „Litgrid“ 2016 metais įgyvendino projektą „</w:t>
      </w:r>
      <w:proofErr w:type="spellStart"/>
      <w:r>
        <w:rPr>
          <w:color w:val="000000"/>
        </w:rPr>
        <w:t>NordBalt</w:t>
      </w:r>
      <w:proofErr w:type="spellEnd"/>
      <w:r>
        <w:rPr>
          <w:color w:val="000000"/>
        </w:rPr>
        <w:t xml:space="preserve">“, kuris sukūrė elektros tiltą tarp Lietuvos ir Švedijos – tai alternatyvi elektros importo ir eksporto jungtis, padedanti išvengti priklausymo nuo elektros tiekėjo Rytuose ir atvėrusi kelią pirkti elektros energiją iš </w:t>
      </w:r>
      <w:proofErr w:type="spellStart"/>
      <w:r>
        <w:rPr>
          <w:color w:val="000000"/>
        </w:rPr>
        <w:t>hidroresursais</w:t>
      </w:r>
      <w:proofErr w:type="spellEnd"/>
      <w:r>
        <w:rPr>
          <w:color w:val="000000"/>
        </w:rPr>
        <w:t xml:space="preserve"> </w:t>
      </w:r>
      <w:r>
        <w:rPr>
          <w:color w:val="000000"/>
        </w:rPr>
        <w:lastRenderedPageBreak/>
        <w:t>turtingų Šiaurės Europos šalių. Jungties ilgis – apie 450 kilometrų, o projekto vertė siekė apie 550 mln. eurų.</w:t>
      </w:r>
    </w:p>
    <w:p w14:paraId="19D0FFA4" w14:textId="77777777" w:rsidR="004E65CC" w:rsidRDefault="00C33AB5">
      <w:pPr>
        <w:ind w:firstLine="720"/>
        <w:rPr>
          <w:color w:val="000000"/>
        </w:rPr>
      </w:pPr>
      <w:r>
        <w:rPr>
          <w:color w:val="000000"/>
        </w:rPr>
        <w:t>2015 metais EPSO-G grupės įmonė „Litgrid“ nutiesė ir įrengė elektros jungtį su kaimynine Lenkija „</w:t>
      </w:r>
      <w:proofErr w:type="spellStart"/>
      <w:r>
        <w:rPr>
          <w:color w:val="000000"/>
        </w:rPr>
        <w:t>LitPol</w:t>
      </w:r>
      <w:proofErr w:type="spellEnd"/>
      <w:r>
        <w:rPr>
          <w:color w:val="000000"/>
        </w:rPr>
        <w:t xml:space="preserve"> Link“. Bendras elektros oro linijos ilgis siekia 163 kilometrus, iš kurių Lietuvoje buvo įrengta 51 kilometras linijų Alytaus ir Lazdijų rajonuose. Šio projekto vertė siekė apie 340 mln. eurų.</w:t>
      </w:r>
    </w:p>
    <w:p w14:paraId="01EBE3B0" w14:textId="77777777" w:rsidR="004E65CC" w:rsidRDefault="00C33AB5">
      <w:pPr>
        <w:ind w:firstLine="720"/>
        <w:rPr>
          <w:color w:val="000000"/>
        </w:rPr>
      </w:pPr>
      <w:r>
        <w:rPr>
          <w:color w:val="000000"/>
        </w:rPr>
        <w:t>Šiuo metu EPSO-G grupėje dirbantys vadovai reikšmingai prisidėjo prie suskystintų gamtinių dujų terminalo - vieno svarbiausių nacionalinių energetinį saugumą užtikrinančių objektų – projekto įgyvendinimo.</w:t>
      </w:r>
    </w:p>
    <w:p w14:paraId="518A97C0" w14:textId="77777777" w:rsidR="004E65CC" w:rsidRDefault="004E65CC">
      <w:pPr>
        <w:ind w:firstLine="720"/>
        <w:rPr>
          <w:color w:val="000000"/>
        </w:rPr>
      </w:pPr>
    </w:p>
    <w:p w14:paraId="4CEC7F29" w14:textId="77777777" w:rsidR="004E65CC" w:rsidRDefault="00C33AB5">
      <w:pPr>
        <w:ind w:firstLine="720"/>
        <w:rPr>
          <w:color w:val="000000"/>
        </w:rPr>
      </w:pPr>
      <w:r>
        <w:rPr>
          <w:color w:val="000000"/>
        </w:rPr>
        <w:t>Pateikiame kitą susijusią informaciją apie EPSO-G grupės patirtį, pajėgumus:</w:t>
      </w:r>
    </w:p>
    <w:p w14:paraId="27D733A5" w14:textId="77777777" w:rsidR="004E65CC" w:rsidRDefault="004E65CC">
      <w:pPr>
        <w:rPr>
          <w:color w:val="000000"/>
        </w:rPr>
      </w:pPr>
    </w:p>
    <w:p w14:paraId="05E4FC10" w14:textId="77777777" w:rsidR="004E65CC" w:rsidRDefault="00C33AB5">
      <w:pPr>
        <w:pStyle w:val="ListParagraph"/>
        <w:numPr>
          <w:ilvl w:val="0"/>
          <w:numId w:val="1"/>
        </w:numPr>
        <w:ind w:left="0" w:firstLine="720"/>
        <w:rPr>
          <w:color w:val="000000"/>
        </w:rPr>
      </w:pPr>
      <w:r>
        <w:rPr>
          <w:color w:val="000000"/>
        </w:rPr>
        <w:t>Grupėje įdiegti vidaus kontrolės, audito ir korupcijos prevencijos procesai, rizikų valdymas, sukaupti pakankami resursai užtikrinti korupcijos, neatitikčių prevenciją ir sudėtingus sisteminės korupcijos tyrimus.</w:t>
      </w:r>
    </w:p>
    <w:p w14:paraId="3CA6B15A" w14:textId="77777777" w:rsidR="004E65CC" w:rsidRDefault="00C33AB5">
      <w:pPr>
        <w:pStyle w:val="ListParagraph"/>
        <w:numPr>
          <w:ilvl w:val="0"/>
          <w:numId w:val="1"/>
        </w:numPr>
        <w:ind w:left="0" w:firstLine="720"/>
        <w:rPr>
          <w:color w:val="000000"/>
        </w:rPr>
      </w:pPr>
      <w:r>
        <w:rPr>
          <w:color w:val="000000"/>
        </w:rPr>
        <w:t>Grupė turi pakankamus pirkimų specialistų, teisininkų ir derybininkų resursus, pajėgi užtikrinti efektyvų viešųjų pirkimų organizavimą, aukščiausius skaidrumo ir efektyvumo standartus, sutarčių vykdymo kontrolę, ginčų su tiekėjais efektyvų valdymą. Šiuo metu vykdomi pirkimai už daugiau nei 700 mln. eurų.</w:t>
      </w:r>
    </w:p>
    <w:p w14:paraId="61EEA4BB" w14:textId="77777777" w:rsidR="004E65CC" w:rsidRDefault="00C33AB5">
      <w:pPr>
        <w:pStyle w:val="ListParagraph"/>
        <w:numPr>
          <w:ilvl w:val="0"/>
          <w:numId w:val="1"/>
        </w:numPr>
        <w:ind w:left="0" w:firstLine="720"/>
        <w:rPr>
          <w:color w:val="000000"/>
        </w:rPr>
      </w:pPr>
      <w:r>
        <w:rPr>
          <w:color w:val="000000"/>
        </w:rPr>
        <w:t>Grupės inžinierinės kompetencijos apima energetikos, statybų, projektavimo, techninės priežiūros, eksploatacijos, sudėtingų ir paprastų rangos sutarčių valdymo kompetencijas (tarptautinės tiekimo sutartys, FIDIC standartai, projektų valdymo standartai);</w:t>
      </w:r>
    </w:p>
    <w:p w14:paraId="1B328E60" w14:textId="77777777" w:rsidR="004E65CC" w:rsidRDefault="00C33AB5">
      <w:pPr>
        <w:pStyle w:val="ListParagraph"/>
        <w:numPr>
          <w:ilvl w:val="0"/>
          <w:numId w:val="1"/>
        </w:numPr>
        <w:ind w:left="0" w:firstLine="720"/>
        <w:rPr>
          <w:color w:val="000000"/>
        </w:rPr>
      </w:pPr>
      <w:r>
        <w:rPr>
          <w:color w:val="000000"/>
        </w:rPr>
        <w:t xml:space="preserve">Grupėje diegti informacijos ir kibernetinės saugos procesai. UAB </w:t>
      </w:r>
      <w:r>
        <w:rPr>
          <w:color w:val="000000"/>
        </w:rPr>
        <w:br/>
        <w:t>„EPSO-G, AB „Litgrid“ ir AB „</w:t>
      </w:r>
      <w:proofErr w:type="spellStart"/>
      <w:r>
        <w:rPr>
          <w:color w:val="000000"/>
        </w:rPr>
        <w:t>Amber</w:t>
      </w:r>
      <w:proofErr w:type="spellEnd"/>
      <w:r>
        <w:rPr>
          <w:color w:val="000000"/>
        </w:rPr>
        <w:t xml:space="preserve"> </w:t>
      </w:r>
      <w:proofErr w:type="spellStart"/>
      <w:r>
        <w:rPr>
          <w:color w:val="000000"/>
        </w:rPr>
        <w:t>Grid</w:t>
      </w:r>
      <w:proofErr w:type="spellEnd"/>
      <w:r>
        <w:rPr>
          <w:color w:val="000000"/>
        </w:rPr>
        <w:t>“ įmonės  turi patikimumo pažymėjimą ir gali dirbti su Valstybės ir tarnybos paslaptį sudarančią informacija.</w:t>
      </w:r>
    </w:p>
    <w:p w14:paraId="7D8CB6B0" w14:textId="77777777" w:rsidR="004E65CC" w:rsidRDefault="00C33AB5">
      <w:pPr>
        <w:pStyle w:val="ListParagraph"/>
        <w:numPr>
          <w:ilvl w:val="0"/>
          <w:numId w:val="1"/>
        </w:numPr>
        <w:ind w:left="0" w:firstLine="720"/>
        <w:rPr>
          <w:color w:val="000000"/>
        </w:rPr>
      </w:pPr>
      <w:r>
        <w:rPr>
          <w:color w:val="000000"/>
        </w:rPr>
        <w:t xml:space="preserve">Bendrovė veikia skaidriai ir vadovaujasi aukščiausiais korporatyvinio valdymo, vidaus audito ir korupcijos prevencijos principais. Grupė turi aukštą finansų valdymo kompetenciją, efektyviai struktūrizuojama ir valdoma projektų finansavimas, pagrindimai, studijos. </w:t>
      </w:r>
    </w:p>
    <w:p w14:paraId="1A497886" w14:textId="77777777" w:rsidR="004E65CC" w:rsidRDefault="004E65CC">
      <w:pPr>
        <w:rPr>
          <w:color w:val="000000"/>
        </w:rPr>
      </w:pPr>
    </w:p>
    <w:p w14:paraId="0FA16674" w14:textId="77777777" w:rsidR="004E65CC" w:rsidRDefault="00C33AB5">
      <w:pPr>
        <w:ind w:firstLine="720"/>
      </w:pPr>
      <w:r>
        <w:rPr>
          <w:color w:val="000000"/>
        </w:rPr>
        <w:t xml:space="preserve">Atsižvelgiant į tai, kas išdėstyta, siūlome svarstyti galimybę Įstatyme numatyto </w:t>
      </w:r>
      <w:r>
        <w:t>ypatingos valstybinės svarbos projekto vykdytoju paskirti įmonių grupę UAB „EPSO-G“.</w:t>
      </w:r>
    </w:p>
    <w:p w14:paraId="3DE42557" w14:textId="0BA7E465" w:rsidR="004E65CC" w:rsidRDefault="004E65CC">
      <w:pPr>
        <w:ind w:left="720"/>
        <w:rPr>
          <w:color w:val="000000"/>
        </w:rPr>
      </w:pPr>
    </w:p>
    <w:p w14:paraId="42F1B6C1" w14:textId="4DFCEF91" w:rsidR="00C837E6" w:rsidRDefault="00C837E6">
      <w:pPr>
        <w:ind w:left="720"/>
        <w:rPr>
          <w:color w:val="000000"/>
        </w:rPr>
      </w:pPr>
    </w:p>
    <w:p w14:paraId="7B7F6543" w14:textId="77777777" w:rsidR="00C837E6" w:rsidRDefault="00C837E6">
      <w:pPr>
        <w:ind w:left="720"/>
        <w:rPr>
          <w:color w:val="000000"/>
        </w:rPr>
      </w:pPr>
    </w:p>
    <w:p w14:paraId="74795318" w14:textId="77777777" w:rsidR="004E65CC" w:rsidRDefault="004E65CC">
      <w:pPr>
        <w:rPr>
          <w:color w:val="000000"/>
        </w:rPr>
      </w:pPr>
    </w:p>
    <w:bookmarkEnd w:id="0"/>
    <w:p w14:paraId="6D75AD69" w14:textId="77777777" w:rsidR="004E65CC" w:rsidRDefault="00C33AB5">
      <w:pPr>
        <w:spacing w:line="280" w:lineRule="exact"/>
      </w:pPr>
      <w:r>
        <w:t>Energetikos viceministrė</w:t>
      </w:r>
      <w:r>
        <w:tab/>
      </w:r>
      <w:r>
        <w:tab/>
      </w:r>
      <w:r>
        <w:tab/>
      </w:r>
      <w:r>
        <w:tab/>
      </w:r>
      <w:r>
        <w:tab/>
        <w:t xml:space="preserve">                                    Daiva Garbaliauskaitė</w:t>
      </w:r>
      <w:r>
        <w:tab/>
      </w:r>
      <w:r>
        <w:tab/>
      </w:r>
      <w:r>
        <w:tab/>
      </w:r>
    </w:p>
    <w:p w14:paraId="568A9259" w14:textId="77777777" w:rsidR="004E65CC" w:rsidRDefault="004E65CC">
      <w:pPr>
        <w:spacing w:line="280" w:lineRule="exact"/>
        <w:ind w:firstLine="720"/>
        <w:rPr>
          <w:szCs w:val="24"/>
        </w:rPr>
      </w:pPr>
    </w:p>
    <w:p w14:paraId="1D1D4E41" w14:textId="77777777" w:rsidR="004E65CC" w:rsidRDefault="004E65CC">
      <w:pPr>
        <w:spacing w:line="280" w:lineRule="exact"/>
        <w:ind w:firstLine="720"/>
        <w:rPr>
          <w:szCs w:val="24"/>
        </w:rPr>
      </w:pPr>
    </w:p>
    <w:p w14:paraId="084FD900" w14:textId="77777777" w:rsidR="004E65CC" w:rsidRDefault="004E65CC">
      <w:pPr>
        <w:spacing w:line="280" w:lineRule="exact"/>
        <w:ind w:firstLine="720"/>
        <w:rPr>
          <w:szCs w:val="24"/>
        </w:rPr>
      </w:pPr>
    </w:p>
    <w:p w14:paraId="7A44901D" w14:textId="77777777" w:rsidR="004E65CC" w:rsidRDefault="004E65CC">
      <w:pPr>
        <w:spacing w:line="280" w:lineRule="exact"/>
        <w:ind w:firstLine="720"/>
        <w:rPr>
          <w:szCs w:val="24"/>
        </w:rPr>
      </w:pPr>
    </w:p>
    <w:p w14:paraId="3359B4CD" w14:textId="77777777" w:rsidR="004E65CC" w:rsidRDefault="004E65CC">
      <w:pPr>
        <w:spacing w:line="280" w:lineRule="exact"/>
        <w:ind w:firstLine="720"/>
        <w:rPr>
          <w:szCs w:val="24"/>
        </w:rPr>
      </w:pPr>
    </w:p>
    <w:p w14:paraId="1379F783" w14:textId="77777777" w:rsidR="004E65CC" w:rsidRDefault="004E65CC">
      <w:pPr>
        <w:spacing w:line="280" w:lineRule="exact"/>
        <w:ind w:firstLine="720"/>
        <w:rPr>
          <w:szCs w:val="24"/>
        </w:rPr>
      </w:pPr>
    </w:p>
    <w:p w14:paraId="49192AAA" w14:textId="77777777" w:rsidR="004E65CC" w:rsidRDefault="004E65CC">
      <w:pPr>
        <w:spacing w:line="280" w:lineRule="exact"/>
        <w:ind w:firstLine="720"/>
        <w:rPr>
          <w:szCs w:val="24"/>
        </w:rPr>
      </w:pPr>
    </w:p>
    <w:p w14:paraId="65869FEF" w14:textId="77777777" w:rsidR="004E65CC" w:rsidRDefault="004E65CC">
      <w:pPr>
        <w:spacing w:line="280" w:lineRule="exact"/>
        <w:ind w:firstLine="720"/>
        <w:rPr>
          <w:szCs w:val="24"/>
        </w:rPr>
      </w:pPr>
    </w:p>
    <w:p w14:paraId="36EBEBA5" w14:textId="615CC881" w:rsidR="004E65CC" w:rsidRDefault="004E65CC">
      <w:pPr>
        <w:spacing w:line="280" w:lineRule="exact"/>
        <w:ind w:firstLine="720"/>
        <w:rPr>
          <w:szCs w:val="24"/>
        </w:rPr>
      </w:pPr>
    </w:p>
    <w:p w14:paraId="3F84DECB" w14:textId="6763FB18" w:rsidR="00C837E6" w:rsidRDefault="00C837E6">
      <w:pPr>
        <w:spacing w:line="280" w:lineRule="exact"/>
        <w:ind w:firstLine="720"/>
        <w:rPr>
          <w:szCs w:val="24"/>
        </w:rPr>
      </w:pPr>
    </w:p>
    <w:p w14:paraId="01A4B066" w14:textId="260FE304" w:rsidR="00C837E6" w:rsidRDefault="00C837E6">
      <w:pPr>
        <w:spacing w:line="280" w:lineRule="exact"/>
        <w:ind w:firstLine="720"/>
        <w:rPr>
          <w:szCs w:val="24"/>
        </w:rPr>
      </w:pPr>
    </w:p>
    <w:p w14:paraId="4A84DF81" w14:textId="77777777" w:rsidR="00C837E6" w:rsidRDefault="00C837E6">
      <w:pPr>
        <w:spacing w:line="280" w:lineRule="exact"/>
        <w:ind w:firstLine="720"/>
        <w:rPr>
          <w:szCs w:val="24"/>
        </w:rPr>
      </w:pPr>
    </w:p>
    <w:p w14:paraId="13BBF87A" w14:textId="77777777" w:rsidR="004E65CC" w:rsidRDefault="004E65CC">
      <w:pPr>
        <w:spacing w:line="280" w:lineRule="exact"/>
        <w:ind w:firstLine="720"/>
        <w:rPr>
          <w:szCs w:val="24"/>
        </w:rPr>
      </w:pPr>
    </w:p>
    <w:p w14:paraId="2D382A80" w14:textId="77777777" w:rsidR="004E65CC" w:rsidRDefault="004E65CC">
      <w:pPr>
        <w:spacing w:line="280" w:lineRule="exact"/>
        <w:ind w:firstLine="720"/>
        <w:rPr>
          <w:szCs w:val="24"/>
        </w:rPr>
      </w:pPr>
    </w:p>
    <w:p w14:paraId="5EC34398" w14:textId="77777777" w:rsidR="004E65CC" w:rsidRDefault="004E65CC">
      <w:pPr>
        <w:spacing w:line="280" w:lineRule="exact"/>
        <w:ind w:firstLine="720"/>
        <w:rPr>
          <w:szCs w:val="24"/>
        </w:rPr>
      </w:pPr>
    </w:p>
    <w:p w14:paraId="594CC9A4" w14:textId="77777777" w:rsidR="006B6032" w:rsidRDefault="006B6032" w:rsidP="006B6032">
      <w:pPr>
        <w:spacing w:line="276" w:lineRule="auto"/>
        <w:jc w:val="left"/>
        <w:rPr>
          <w:rStyle w:val="Hyperlink"/>
          <w:szCs w:val="24"/>
          <w:lang w:val="en-US"/>
        </w:rPr>
      </w:pPr>
      <w:r>
        <w:rPr>
          <w:szCs w:val="24"/>
        </w:rPr>
        <w:t xml:space="preserve">Dainius Bražiūnas, tel. (8 5) 203 4471, </w:t>
      </w:r>
      <w:proofErr w:type="spellStart"/>
      <w:r>
        <w:rPr>
          <w:szCs w:val="24"/>
        </w:rPr>
        <w:t>papild</w:t>
      </w:r>
      <w:proofErr w:type="spellEnd"/>
      <w:r>
        <w:rPr>
          <w:szCs w:val="24"/>
        </w:rPr>
        <w:t xml:space="preserve">. 1, el. p. </w:t>
      </w:r>
      <w:hyperlink r:id="rId10" w:history="1">
        <w:r w:rsidRPr="00241072">
          <w:rPr>
            <w:rStyle w:val="Hyperlink"/>
            <w:szCs w:val="24"/>
          </w:rPr>
          <w:t>dainius.braziunas</w:t>
        </w:r>
        <w:r w:rsidRPr="00241072">
          <w:rPr>
            <w:rStyle w:val="Hyperlink"/>
            <w:szCs w:val="24"/>
            <w:lang w:val="en-US"/>
          </w:rPr>
          <w:t>@enmin.lt</w:t>
        </w:r>
      </w:hyperlink>
    </w:p>
    <w:p w14:paraId="040508EC" w14:textId="77777777" w:rsidR="004E65CC" w:rsidRDefault="004E65CC">
      <w:pPr>
        <w:spacing w:line="280" w:lineRule="exact"/>
        <w:ind w:firstLine="720"/>
        <w:rPr>
          <w:szCs w:val="24"/>
        </w:rPr>
      </w:pPr>
    </w:p>
    <w:p w14:paraId="2CEE260B" w14:textId="77777777" w:rsidR="004E65CC" w:rsidRDefault="004E65CC">
      <w:pPr>
        <w:jc w:val="left"/>
      </w:pPr>
    </w:p>
    <w:sectPr w:rsidR="004E65CC">
      <w:headerReference w:type="default" r:id="rId11"/>
      <w:footerReference w:type="default" r:id="rId12"/>
      <w:headerReference w:type="first" r:id="rId13"/>
      <w:footerReference w:type="first" r:id="rId14"/>
      <w:pgSz w:w="11906" w:h="16838"/>
      <w:pgMar w:top="1134" w:right="707" w:bottom="851"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BBA19" w14:textId="77777777" w:rsidR="00E44FE5" w:rsidRDefault="00E44FE5">
      <w:r>
        <w:separator/>
      </w:r>
    </w:p>
  </w:endnote>
  <w:endnote w:type="continuationSeparator" w:id="0">
    <w:p w14:paraId="374D21A1" w14:textId="77777777" w:rsidR="00E44FE5" w:rsidRDefault="00E44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8FA4E" w14:textId="77777777" w:rsidR="00247A92" w:rsidRDefault="00E44F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A3785" w14:textId="77777777" w:rsidR="00247A92" w:rsidRDefault="00C33AB5">
    <w:pPr>
      <w:pStyle w:val="Footer"/>
      <w:jc w:val="righ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3D00C" w14:textId="77777777" w:rsidR="00E44FE5" w:rsidRDefault="00E44FE5">
      <w:r>
        <w:rPr>
          <w:color w:val="000000"/>
        </w:rPr>
        <w:separator/>
      </w:r>
    </w:p>
  </w:footnote>
  <w:footnote w:type="continuationSeparator" w:id="0">
    <w:p w14:paraId="69836F69" w14:textId="77777777" w:rsidR="00E44FE5" w:rsidRDefault="00E44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90E43" w14:textId="77777777" w:rsidR="00247A92" w:rsidRDefault="00C33AB5">
    <w:pPr>
      <w:pStyle w:val="Header"/>
      <w:jc w:val="cente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3203A" w14:textId="77777777" w:rsidR="00247A92" w:rsidRDefault="00C33AB5">
    <w:pPr>
      <w:pStyle w:val="Header"/>
      <w:jc w:val="right"/>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62457F"/>
    <w:multiLevelType w:val="multilevel"/>
    <w:tmpl w:val="98740F0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5CC"/>
    <w:rsid w:val="004E65CC"/>
    <w:rsid w:val="006B6032"/>
    <w:rsid w:val="007B5095"/>
    <w:rsid w:val="007E2999"/>
    <w:rsid w:val="00C33AB5"/>
    <w:rsid w:val="00C837E6"/>
    <w:rsid w:val="00E44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4DACF"/>
  <w15:docId w15:val="{16000422-6CA9-4B17-9BD1-72126BD5F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jc w:val="both"/>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US"/>
    </w:rPr>
  </w:style>
  <w:style w:type="character" w:customStyle="1" w:styleId="HeaderChar">
    <w:name w:val="Header Char"/>
    <w:rPr>
      <w:sz w:val="24"/>
      <w:lang w:eastAsia="en-US"/>
    </w:rPr>
  </w:style>
  <w:style w:type="character" w:styleId="Mention">
    <w:name w:val="Mention"/>
    <w:basedOn w:val="DefaultParagraphFont"/>
    <w:rPr>
      <w:color w:val="2B579A"/>
      <w:shd w:val="clear" w:color="auto" w:fill="E6E6E6"/>
    </w:rPr>
  </w:style>
  <w:style w:type="paragraph" w:styleId="ListParagraph">
    <w:name w:val="List Paragraph"/>
    <w:basedOn w:val="Normal"/>
    <w:pPr>
      <w:ind w:left="720"/>
    </w:pPr>
  </w:style>
  <w:style w:type="character" w:customStyle="1" w:styleId="Bodytext4">
    <w:name w:val="Body text (4)_"/>
    <w:basedOn w:val="DefaultParagraphFont"/>
    <w:rPr>
      <w:sz w:val="17"/>
      <w:szCs w:val="17"/>
      <w:shd w:val="clear" w:color="auto" w:fill="FFFFFF"/>
    </w:rPr>
  </w:style>
  <w:style w:type="paragraph" w:customStyle="1" w:styleId="BodyText3">
    <w:name w:val="Body Text3"/>
    <w:basedOn w:val="Normal"/>
    <w:pPr>
      <w:widowControl w:val="0"/>
      <w:shd w:val="clear" w:color="auto" w:fill="FFFFFF"/>
      <w:spacing w:line="0" w:lineRule="atLeast"/>
      <w:jc w:val="left"/>
    </w:pPr>
    <w:rPr>
      <w:color w:val="000000"/>
      <w:sz w:val="23"/>
      <w:szCs w:val="23"/>
      <w:lang w:eastAsia="lt-LT" w:bidi="lt-LT"/>
    </w:rPr>
  </w:style>
  <w:style w:type="paragraph" w:customStyle="1" w:styleId="Bodytext40">
    <w:name w:val="Body text (4)"/>
    <w:basedOn w:val="Normal"/>
    <w:pPr>
      <w:widowControl w:val="0"/>
      <w:shd w:val="clear" w:color="auto" w:fill="FFFFFF"/>
      <w:spacing w:before="240" w:after="120" w:line="230" w:lineRule="exact"/>
    </w:pPr>
    <w:rPr>
      <w:sz w:val="17"/>
      <w:szCs w:val="17"/>
      <w:lang w:eastAsia="lt-LT"/>
    </w:rPr>
  </w:style>
  <w:style w:type="paragraph" w:styleId="EndnoteText">
    <w:name w:val="endnote text"/>
    <w:basedOn w:val="Normal"/>
    <w:rPr>
      <w:sz w:val="20"/>
    </w:rPr>
  </w:style>
  <w:style w:type="character" w:customStyle="1" w:styleId="EndnoteTextChar">
    <w:name w:val="Endnote Text Char"/>
    <w:basedOn w:val="DefaultParagraphFont"/>
    <w:rPr>
      <w:lang w:eastAsia="en-US"/>
    </w:rPr>
  </w:style>
  <w:style w:type="character" w:styleId="EndnoteReference">
    <w:name w:val="endnote reference"/>
    <w:basedOn w:val="DefaultParagraphFont"/>
    <w:rPr>
      <w:position w:val="0"/>
      <w:vertAlign w:val="superscript"/>
    </w:rPr>
  </w:style>
  <w:style w:type="paragraph" w:styleId="FootnoteText">
    <w:name w:val="footnote text"/>
    <w:basedOn w:val="Normal"/>
    <w:rPr>
      <w:sz w:val="20"/>
    </w:rPr>
  </w:style>
  <w:style w:type="character" w:customStyle="1" w:styleId="FootnoteTextChar">
    <w:name w:val="Footnote Text Char"/>
    <w:basedOn w:val="DefaultParagraphFont"/>
    <w:rPr>
      <w:lang w:eastAsia="en-US"/>
    </w:rPr>
  </w:style>
  <w:style w:type="character" w:styleId="FootnoteReference">
    <w:name w:val="footnote reference"/>
    <w:basedOn w:val="DefaultParagraphFont"/>
    <w:rPr>
      <w:position w:val="0"/>
      <w:vertAlign w:val="superscript"/>
    </w:rPr>
  </w:style>
  <w:style w:type="character" w:styleId="CommentReference">
    <w:name w:val="annotation reference"/>
    <w:basedOn w:val="DefaultParagraphFont"/>
    <w:rPr>
      <w:sz w:val="16"/>
      <w:szCs w:val="16"/>
    </w:rPr>
  </w:style>
  <w:style w:type="paragraph" w:styleId="CommentText">
    <w:name w:val="annotation text"/>
    <w:basedOn w:val="Normal"/>
    <w:rPr>
      <w:sz w:val="20"/>
    </w:rPr>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character" w:customStyle="1" w:styleId="FooterChar">
    <w:name w:val="Footer Char"/>
    <w:rPr>
      <w:sz w:val="24"/>
      <w:lang w:eastAsia="en-US"/>
    </w:rPr>
  </w:style>
  <w:style w:type="character" w:styleId="Emphasis">
    <w:name w:val="Emphasis"/>
    <w:basedOn w:val="DefaultParagraphFont"/>
    <w:rPr>
      <w:i/>
      <w:iCs/>
    </w:rPr>
  </w:style>
  <w:style w:type="character" w:styleId="UnresolvedMention">
    <w:name w:val="Unresolved Mention"/>
    <w:basedOn w:val="DefaultParagraphFont"/>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enmin.l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ainius.braziunas@enmin.lt" TargetMode="External"/><Relationship Id="rId4" Type="http://schemas.openxmlformats.org/officeDocument/2006/relationships/webSettings" Target="webSettings.xml"/><Relationship Id="rId9" Type="http://schemas.openxmlformats.org/officeDocument/2006/relationships/hyperlink" Target="http://enmin.lrv.lt/"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raziunas\Desktop\Blankas_Elp-fax_L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Blankas_Elp-fax_LT.dotx</Template>
  <TotalTime>4</TotalTime>
  <Pages>3</Pages>
  <Words>853</Words>
  <Characters>4866</Characters>
  <Application>Microsoft Office Word</Application>
  <DocSecurity>0</DocSecurity>
  <Lines>40</Lines>
  <Paragraphs>11</Paragraphs>
  <ScaleCrop>false</ScaleCrop>
  <Company>Lietuvos Respublikos energetikos ministerija</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 Energetikos ministerija</dc:title>
  <dc:subject/>
  <dc:creator>Dainius Braziunas</dc:creator>
  <cp:lastModifiedBy>Dainius Braziunas</cp:lastModifiedBy>
  <cp:revision>5</cp:revision>
  <cp:lastPrinted>2018-04-25T07:29:00Z</cp:lastPrinted>
  <dcterms:created xsi:type="dcterms:W3CDTF">2021-08-18T14:05:00Z</dcterms:created>
  <dcterms:modified xsi:type="dcterms:W3CDTF">2021-08-18T14:16:00Z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0x0101002303FF39179D0C4F889FFF2A4FD76284</vt:lpwstr>
  </property>
</Properties>
</file>