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ms-office.intelligence+xml" PartName="/word/intelligenc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8AFF8" w14:textId="77777777" w:rsidR="009F053C" w:rsidRDefault="009F053C" w:rsidP="009F053C">
      <w:pPr>
        <w:spacing w:line="259" w:lineRule="auto"/>
        <w:jc w:val="center"/>
        <w:rPr>
          <w:b/>
          <w:bCs/>
          <w:caps/>
          <w:szCs w:val="24"/>
        </w:rPr>
      </w:pPr>
      <w:r>
        <w:rPr>
          <w:b/>
          <w:bCs/>
          <w:caps/>
          <w:szCs w:val="24"/>
        </w:rPr>
        <w:t>derinimo pažyma</w:t>
      </w:r>
    </w:p>
    <w:p w14:paraId="5293A684" w14:textId="77777777" w:rsidR="009F053C" w:rsidRPr="00F05247" w:rsidRDefault="009F053C" w:rsidP="009F053C">
      <w:pPr>
        <w:spacing w:line="259" w:lineRule="auto"/>
        <w:jc w:val="center"/>
        <w:rPr>
          <w:b/>
          <w:bCs/>
          <w:caps/>
          <w:szCs w:val="24"/>
          <w:lang w:val="en-US"/>
        </w:rPr>
      </w:pPr>
      <w:r>
        <w:rPr>
          <w:b/>
          <w:bCs/>
          <w:caps/>
          <w:szCs w:val="24"/>
        </w:rPr>
        <w:t xml:space="preserve">DĖL </w:t>
      </w:r>
      <w:r w:rsidRPr="00F05247">
        <w:rPr>
          <w:rFonts w:eastAsia="Andale Sans UI" w:cs="Tahoma"/>
          <w:b/>
          <w:bCs/>
          <w:szCs w:val="24"/>
          <w:lang w:bidi="en-US"/>
        </w:rPr>
        <w:t xml:space="preserve">LIETUVOS RESPUBLIKOS VYRIAUSYBĖS NUTARIMO „DĖL 2021–2030 METŲ </w:t>
      </w:r>
      <w:r w:rsidRPr="00F05247">
        <w:rPr>
          <w:b/>
          <w:bCs/>
          <w:szCs w:val="24"/>
          <w:lang w:val="lt" w:bidi="en-US"/>
        </w:rPr>
        <w:t>PLĖTROS PROGRAMOS VALDYTOJOS LIETUVOS RESPUBLIKOS SUSISIEKIMO MINISTERIJOS</w:t>
      </w:r>
      <w:r w:rsidRPr="00F05247">
        <w:rPr>
          <w:rFonts w:eastAsia="Andale Sans UI" w:cs="Tahoma"/>
          <w:b/>
          <w:bCs/>
          <w:szCs w:val="24"/>
          <w:lang w:bidi="en-US"/>
        </w:rPr>
        <w:t xml:space="preserve"> SUSISIEKIMO PLĖTROS PROGRAMOS PATVIRTINIMO“</w:t>
      </w:r>
    </w:p>
    <w:p w14:paraId="4564DCAB" w14:textId="77777777" w:rsidR="0087529B" w:rsidRDefault="0087529B">
      <w:pPr>
        <w:spacing w:line="259" w:lineRule="auto"/>
        <w:jc w:val="both"/>
        <w:rPr>
          <w:szCs w:val="24"/>
        </w:rPr>
      </w:pPr>
    </w:p>
    <w:tbl>
      <w:tblPr>
        <w:tblW w:w="160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7029"/>
        <w:gridCol w:w="6288"/>
        <w:gridCol w:w="9"/>
      </w:tblGrid>
      <w:tr w:rsidR="0087529B" w14:paraId="4C08F31A" w14:textId="77777777" w:rsidTr="00A769AE">
        <w:trPr>
          <w:gridAfter w:val="1"/>
          <w:wAfter w:w="9" w:type="dxa"/>
          <w:tblHeader/>
        </w:trPr>
        <w:tc>
          <w:tcPr>
            <w:tcW w:w="2684" w:type="dxa"/>
          </w:tcPr>
          <w:p w14:paraId="49725DB8" w14:textId="12B5B106" w:rsidR="0087529B" w:rsidRDefault="009F053C">
            <w:pPr>
              <w:jc w:val="center"/>
              <w:rPr>
                <w:b/>
                <w:bCs/>
                <w:szCs w:val="24"/>
              </w:rPr>
            </w:pPr>
            <w:r w:rsidRPr="004C3B2C">
              <w:rPr>
                <w:b/>
                <w:color w:val="000000" w:themeColor="text1"/>
                <w:sz w:val="22"/>
                <w:szCs w:val="22"/>
              </w:rPr>
              <w:t>Institucija /asmenys, pateikusieji pastabas</w:t>
            </w:r>
          </w:p>
        </w:tc>
        <w:tc>
          <w:tcPr>
            <w:tcW w:w="7029" w:type="dxa"/>
          </w:tcPr>
          <w:p w14:paraId="43822E44" w14:textId="04AB17EC" w:rsidR="0087529B" w:rsidRDefault="009F053C">
            <w:pPr>
              <w:jc w:val="center"/>
              <w:rPr>
                <w:b/>
                <w:bCs/>
                <w:szCs w:val="24"/>
              </w:rPr>
            </w:pPr>
            <w:r w:rsidRPr="004C3B2C">
              <w:rPr>
                <w:b/>
                <w:color w:val="000000" w:themeColor="text1"/>
                <w:sz w:val="22"/>
                <w:szCs w:val="22"/>
              </w:rPr>
              <w:t>Pastabų ir pasiūlymų turinys</w:t>
            </w:r>
          </w:p>
        </w:tc>
        <w:tc>
          <w:tcPr>
            <w:tcW w:w="6288" w:type="dxa"/>
          </w:tcPr>
          <w:p w14:paraId="7435B90C" w14:textId="5D105301" w:rsidR="0087529B" w:rsidRDefault="009F053C">
            <w:pPr>
              <w:jc w:val="center"/>
              <w:rPr>
                <w:b/>
                <w:bCs/>
                <w:szCs w:val="24"/>
              </w:rPr>
            </w:pPr>
            <w:r w:rsidRPr="004C3B2C">
              <w:rPr>
                <w:b/>
                <w:color w:val="000000" w:themeColor="text1"/>
                <w:sz w:val="22"/>
                <w:szCs w:val="22"/>
              </w:rPr>
              <w:t xml:space="preserve">Žyma </w:t>
            </w:r>
            <w:r>
              <w:rPr>
                <w:b/>
                <w:color w:val="000000" w:themeColor="text1"/>
                <w:sz w:val="22"/>
                <w:szCs w:val="22"/>
              </w:rPr>
              <w:t>dėl</w:t>
            </w:r>
            <w:r w:rsidRPr="004C3B2C">
              <w:rPr>
                <w:b/>
                <w:color w:val="000000" w:themeColor="text1"/>
                <w:sz w:val="22"/>
                <w:szCs w:val="22"/>
              </w:rPr>
              <w:t xml:space="preserve"> pastab</w:t>
            </w:r>
            <w:r>
              <w:rPr>
                <w:b/>
                <w:color w:val="000000" w:themeColor="text1"/>
                <w:sz w:val="22"/>
                <w:szCs w:val="22"/>
              </w:rPr>
              <w:t>ų į kurias neatsižvelgta</w:t>
            </w:r>
          </w:p>
        </w:tc>
      </w:tr>
      <w:tr w:rsidR="0087529B" w14:paraId="0E35F2D2" w14:textId="77777777" w:rsidTr="00024317">
        <w:trPr>
          <w:gridAfter w:val="1"/>
          <w:wAfter w:w="9" w:type="dxa"/>
          <w:trHeight w:val="6509"/>
        </w:trPr>
        <w:tc>
          <w:tcPr>
            <w:tcW w:w="2684" w:type="dxa"/>
          </w:tcPr>
          <w:p w14:paraId="37BB1A20" w14:textId="77777777" w:rsidR="0087529B" w:rsidRDefault="00A769AE">
            <w:pPr>
              <w:rPr>
                <w:b/>
                <w:bCs/>
                <w:szCs w:val="24"/>
              </w:rPr>
            </w:pPr>
            <w:r>
              <w:rPr>
                <w:b/>
                <w:bCs/>
                <w:szCs w:val="24"/>
              </w:rPr>
              <w:t>Lietuvos Respublikos finansų ministerija</w:t>
            </w:r>
          </w:p>
          <w:p w14:paraId="45C40426" w14:textId="64309B1A" w:rsidR="00252E20" w:rsidRDefault="00252E20">
            <w:pPr>
              <w:rPr>
                <w:b/>
                <w:bCs/>
                <w:szCs w:val="24"/>
              </w:rPr>
            </w:pPr>
          </w:p>
        </w:tc>
        <w:tc>
          <w:tcPr>
            <w:tcW w:w="7029" w:type="dxa"/>
          </w:tcPr>
          <w:p w14:paraId="0BDFFA1A" w14:textId="1708604A" w:rsidR="0087529B" w:rsidRDefault="00A769AE">
            <w:pPr>
              <w:jc w:val="both"/>
              <w:rPr>
                <w:szCs w:val="24"/>
              </w:rPr>
            </w:pPr>
            <w:r w:rsidRPr="00A769AE">
              <w:rPr>
                <w:szCs w:val="24"/>
              </w:rPr>
              <w:t xml:space="preserve"> Pažymime, kad PP ir pažangos priemonėse turi būti planuojamos tik pažangos veiklos, joms skirtos lėšos, kaip jos apibrėžtos SVĮ. Pažangos ir tęstinės veiklos išlaidų atskyrimo gairių  1 lentelėje pateiktas tęstinės veiklos išlaidų (priemonės) pavyzdys: „Išlaidos ilgalaikiam materialiajam turtui, reikalingam viešosioms paslaugoms teikti, palaikyti &lt;...&gt; kai remontas atliekamas arba naujas pastatas įsigyjamas dėl senojo pastato natūralaus nusidėvėjimo arba siekiant pritaikyti ilgalaikį materialųjį turtą naujiems saugos reikalavimams, pašalinti trūkumus ir panašiai &lt;...&gt;“ (toliau – tęstinės veiklos išlaidų pavyzdys). </w:t>
            </w:r>
            <w:r w:rsidRPr="003E1EE7">
              <w:rPr>
                <w:szCs w:val="24"/>
              </w:rPr>
              <w:t>Išanalizavę PP pagrindimo 5.4 uždavinio problemų priežasčių nagrinėjime apie TV bokšto pastato būklę pateiktą informaciją, nustatėme, kad aprašytas lėšų poreikis atitinka tęstinės veiklos išlaidų pavyzdį, nes yra susijęs su pastato būklės palaikymu dėl pastato natūralaus nusidėvėjimo, pastato pritaikymu naujiems saugos reikalavimams ir siekiu pašalinti atsiradusius trūkumus.</w:t>
            </w:r>
            <w:r w:rsidRPr="00A769AE">
              <w:rPr>
                <w:szCs w:val="24"/>
              </w:rPr>
              <w:t xml:space="preserve"> TV bokšto pastate planuojamos naujos turizmo ir verslo paslaugos nėra susijusios su šios PP įgyvendinamu Nacionalinio pažangos plano  (toliau – NPP) 5 tikslu „Gerinti transporto, energetinį ir skaitmeninį vidinį ir išorinį junglumą“ ir NPP nurodytais 5 tikslo ir 5.4 uždavinio siekiamais poveikio rodikliais, t.</w:t>
            </w:r>
            <w:r w:rsidR="007829AD">
              <w:rPr>
                <w:szCs w:val="24"/>
              </w:rPr>
              <w:t xml:space="preserve"> </w:t>
            </w:r>
            <w:r w:rsidRPr="00A769AE">
              <w:rPr>
                <w:szCs w:val="24"/>
              </w:rPr>
              <w:t>y.</w:t>
            </w:r>
            <w:r w:rsidR="007829AD">
              <w:rPr>
                <w:szCs w:val="24"/>
              </w:rPr>
              <w:t xml:space="preserve"> </w:t>
            </w:r>
            <w:r w:rsidRPr="00A769AE">
              <w:rPr>
                <w:szCs w:val="24"/>
              </w:rPr>
              <w:t xml:space="preserve"> </w:t>
            </w:r>
            <w:proofErr w:type="spellStart"/>
            <w:r w:rsidRPr="00A769AE">
              <w:rPr>
                <w:szCs w:val="24"/>
              </w:rPr>
              <w:t>įveiklinus</w:t>
            </w:r>
            <w:proofErr w:type="spellEnd"/>
            <w:r w:rsidRPr="00A769AE">
              <w:rPr>
                <w:szCs w:val="24"/>
              </w:rPr>
              <w:t xml:space="preserve"> šiuo metu nenaudojamas TV bokšto pastato patalpas verslo ir turizmo paslaugoms ryšio kokybė ir skaitmeninis junglumas nepagerės. Todėl TV bokšto pastato rekonstrukcijos ir </w:t>
            </w:r>
            <w:proofErr w:type="spellStart"/>
            <w:r w:rsidRPr="00A769AE">
              <w:rPr>
                <w:szCs w:val="24"/>
              </w:rPr>
              <w:t>įveiklinimo</w:t>
            </w:r>
            <w:proofErr w:type="spellEnd"/>
            <w:r w:rsidRPr="00A769AE">
              <w:rPr>
                <w:szCs w:val="24"/>
              </w:rPr>
              <w:t xml:space="preserve"> verslo ir turizmo tikslais poreikius prašome išbraukti iš PP pagrindimo kaip nesusijusius su šia PP, atitinkamai išbraukiant iš pažangos priemonės 10-001-05-04-01 „Didinti susisiekimo sistemos kuriamą vertę ir infrastruktūros </w:t>
            </w:r>
            <w:r w:rsidRPr="00A769AE">
              <w:rPr>
                <w:szCs w:val="24"/>
              </w:rPr>
              <w:lastRenderedPageBreak/>
              <w:t xml:space="preserve">panaudojimo efektyvumą“ rezultato rodiklį „Sukurtų papildomų naujų darbo vietų skaičius, </w:t>
            </w:r>
            <w:proofErr w:type="spellStart"/>
            <w:r w:rsidRPr="00A769AE">
              <w:rPr>
                <w:szCs w:val="24"/>
              </w:rPr>
              <w:t>įveiklinant</w:t>
            </w:r>
            <w:proofErr w:type="spellEnd"/>
            <w:r w:rsidRPr="00A769AE">
              <w:rPr>
                <w:szCs w:val="24"/>
              </w:rPr>
              <w:t xml:space="preserve"> ryšių infrastruktūrą“ ir jo reikšmes.</w:t>
            </w:r>
          </w:p>
        </w:tc>
        <w:tc>
          <w:tcPr>
            <w:tcW w:w="6288" w:type="dxa"/>
          </w:tcPr>
          <w:p w14:paraId="140E2F54" w14:textId="11DA4AC6" w:rsidR="00E00559" w:rsidRPr="00842A37" w:rsidRDefault="00A769AE" w:rsidP="00AD73A8">
            <w:pPr>
              <w:jc w:val="both"/>
              <w:rPr>
                <w:b/>
                <w:bCs/>
                <w:szCs w:val="24"/>
              </w:rPr>
            </w:pPr>
            <w:r w:rsidRPr="00842A37">
              <w:rPr>
                <w:b/>
                <w:bCs/>
                <w:szCs w:val="24"/>
              </w:rPr>
              <w:lastRenderedPageBreak/>
              <w:t>Neatsižvelgta.</w:t>
            </w:r>
          </w:p>
          <w:p w14:paraId="41837EC7" w14:textId="6ACADF03" w:rsidR="00E00559" w:rsidRDefault="00E00559" w:rsidP="007B33D2">
            <w:pPr>
              <w:pStyle w:val="prastasiniatinklio"/>
              <w:shd w:val="clear" w:color="auto" w:fill="FFFFFF"/>
              <w:spacing w:before="0" w:beforeAutospacing="0" w:after="0" w:afterAutospacing="0"/>
              <w:jc w:val="both"/>
              <w:rPr>
                <w:rFonts w:ascii="Times New Roman" w:eastAsia="Times New Roman" w:hAnsi="Times New Roman" w:cs="Times New Roman"/>
                <w:sz w:val="24"/>
                <w:szCs w:val="24"/>
                <w:lang w:val="lt-LT" w:eastAsia="en-US"/>
              </w:rPr>
            </w:pPr>
            <w:r w:rsidRPr="00E00559">
              <w:rPr>
                <w:rFonts w:ascii="Times New Roman" w:eastAsia="Times New Roman" w:hAnsi="Times New Roman" w:cs="Times New Roman"/>
                <w:sz w:val="24"/>
                <w:szCs w:val="24"/>
                <w:lang w:val="lt-LT" w:eastAsia="en-US"/>
              </w:rPr>
              <w:t>Susisiekimo ministerijos valdomos AB Lietuvos radijo ir televizijos centro (</w:t>
            </w:r>
            <w:proofErr w:type="spellStart"/>
            <w:r w:rsidRPr="00E00559">
              <w:rPr>
                <w:rFonts w:ascii="Times New Roman" w:eastAsia="Times New Roman" w:hAnsi="Times New Roman" w:cs="Times New Roman"/>
                <w:sz w:val="24"/>
                <w:szCs w:val="24"/>
                <w:lang w:val="lt-LT" w:eastAsia="en-US"/>
              </w:rPr>
              <w:t>Telecentr</w:t>
            </w:r>
            <w:r w:rsidR="00885474">
              <w:rPr>
                <w:rFonts w:ascii="Times New Roman" w:eastAsia="Times New Roman" w:hAnsi="Times New Roman" w:cs="Times New Roman"/>
                <w:sz w:val="24"/>
                <w:szCs w:val="24"/>
                <w:lang w:val="lt-LT" w:eastAsia="en-US"/>
              </w:rPr>
              <w:t>o</w:t>
            </w:r>
            <w:proofErr w:type="spellEnd"/>
            <w:r w:rsidRPr="00E00559">
              <w:rPr>
                <w:rFonts w:ascii="Times New Roman" w:eastAsia="Times New Roman" w:hAnsi="Times New Roman" w:cs="Times New Roman"/>
                <w:sz w:val="24"/>
                <w:szCs w:val="24"/>
                <w:lang w:val="lt-LT" w:eastAsia="en-US"/>
              </w:rPr>
              <w:t>)  funkcija yra vystyti radijo ir televizijos siuntimo, duomenų perdavimo,  radiotechninės įrangos talpinimo, duomenų centrų bei kitas ITT paslaugas ir per tai didinti bendrovės pridėtinę vertę.  Bendrovės aukštųjų bokštų ir stiebų (virš 100 metrų) infrastruktūra leidžia televiziniu signalu padengti beveik 100 proc. Lietuvos teritorijos ir yra tinkamiausia TV ir radijo programų siuntimo bei bevielėms telekomunikacijų paslaugoms teikti. Vilniaus TV bokštas yra neatsiejama šio tinklo dalis ir garantuoja nacionalinio radijo ir televizijos programų transliavimą. Šio statinio galima rekonstrukcija, kad būtų galima ją efektyviai išnaudoti didinant pridėtinę vertę, neturi tiesioginės įtakos NPP rodikliams, bet turi netiesioginę įtaką, nes užtikrinus statinio tinkamą būklę  užtikrinama valstybinio  duomenų centro ir ekstremalių</w:t>
            </w:r>
            <w:r w:rsidR="00885474">
              <w:rPr>
                <w:rFonts w:ascii="Times New Roman" w:eastAsia="Times New Roman" w:hAnsi="Times New Roman" w:cs="Times New Roman"/>
                <w:sz w:val="24"/>
                <w:szCs w:val="24"/>
                <w:lang w:val="lt-LT" w:eastAsia="en-US"/>
              </w:rPr>
              <w:t>jų</w:t>
            </w:r>
            <w:r w:rsidRPr="00E00559">
              <w:rPr>
                <w:rFonts w:ascii="Times New Roman" w:eastAsia="Times New Roman" w:hAnsi="Times New Roman" w:cs="Times New Roman"/>
                <w:sz w:val="24"/>
                <w:szCs w:val="24"/>
                <w:lang w:val="lt-LT" w:eastAsia="en-US"/>
              </w:rPr>
              <w:t xml:space="preserve"> situacijų  radijo ir TV pranešimų perdavimo sistemos pagrindinio mazgo veikla, tokiu būdu garantuojant  transliuotojo radijo ryšio apsaugą ir teikiamų paslaugų efektyvumą.</w:t>
            </w:r>
          </w:p>
          <w:p w14:paraId="32B119CA" w14:textId="23295022" w:rsidR="00842A37" w:rsidRDefault="00AD73A8" w:rsidP="007B33D2">
            <w:pPr>
              <w:pStyle w:val="prastasiniatinklio"/>
              <w:shd w:val="clear" w:color="auto" w:fill="FFFFFF"/>
              <w:spacing w:before="0" w:beforeAutospacing="0" w:after="0" w:afterAutospacing="0"/>
              <w:jc w:val="both"/>
              <w:rPr>
                <w:rFonts w:ascii="Times New Roman" w:eastAsia="Times New Roman" w:hAnsi="Times New Roman" w:cs="Times New Roman"/>
                <w:sz w:val="24"/>
                <w:szCs w:val="24"/>
                <w:lang w:val="lt-LT" w:eastAsia="en-US"/>
              </w:rPr>
            </w:pPr>
            <w:r w:rsidRPr="00E00559">
              <w:rPr>
                <w:rFonts w:ascii="Times New Roman" w:eastAsia="Times New Roman" w:hAnsi="Times New Roman" w:cs="Times New Roman"/>
                <w:sz w:val="24"/>
                <w:szCs w:val="24"/>
                <w:lang w:val="lt-LT" w:eastAsia="en-US"/>
              </w:rPr>
              <w:t xml:space="preserve">Nesutinkame su Lietuvos Respublikos finansų ministerijos daroma prielaida dėl numatomos </w:t>
            </w:r>
            <w:r w:rsidR="008C397F" w:rsidRPr="00E00559">
              <w:rPr>
                <w:rFonts w:ascii="Times New Roman" w:eastAsia="Times New Roman" w:hAnsi="Times New Roman" w:cs="Times New Roman"/>
                <w:sz w:val="24"/>
                <w:szCs w:val="24"/>
                <w:lang w:val="lt-LT" w:eastAsia="en-US"/>
              </w:rPr>
              <w:t xml:space="preserve">vykdyti </w:t>
            </w:r>
            <w:r w:rsidRPr="00E00559">
              <w:rPr>
                <w:rFonts w:ascii="Times New Roman" w:eastAsia="Times New Roman" w:hAnsi="Times New Roman" w:cs="Times New Roman"/>
                <w:sz w:val="24"/>
                <w:szCs w:val="24"/>
                <w:lang w:val="lt-LT" w:eastAsia="en-US"/>
              </w:rPr>
              <w:t xml:space="preserve">statybos rūšies </w:t>
            </w:r>
            <w:r w:rsidR="008C397F" w:rsidRPr="00E00559">
              <w:rPr>
                <w:rFonts w:ascii="Times New Roman" w:eastAsia="Times New Roman" w:hAnsi="Times New Roman" w:cs="Times New Roman"/>
                <w:sz w:val="24"/>
                <w:szCs w:val="24"/>
                <w:lang w:val="lt-LT" w:eastAsia="en-US"/>
              </w:rPr>
              <w:t xml:space="preserve">TV bokštui rekonstruoti </w:t>
            </w:r>
            <w:r w:rsidRPr="00E00559">
              <w:rPr>
                <w:rFonts w:ascii="Times New Roman" w:eastAsia="Times New Roman" w:hAnsi="Times New Roman" w:cs="Times New Roman"/>
                <w:sz w:val="24"/>
                <w:szCs w:val="24"/>
                <w:lang w:val="lt-LT" w:eastAsia="en-US"/>
              </w:rPr>
              <w:t xml:space="preserve">priskyrimo remontui pagal 5.4 uždavinio „Gerinti skaitmeninį junglumą ir didinti susisiekimo infrastruktūros panaudojimo efektyvumą bei sektoriaus kuriamą vertę“ apimtyje identifikuotos priežasties </w:t>
            </w:r>
            <w:r w:rsidRPr="00E00559">
              <w:rPr>
                <w:rFonts w:ascii="Times New Roman" w:eastAsia="Times New Roman" w:hAnsi="Times New Roman" w:cs="Times New Roman"/>
                <w:sz w:val="24"/>
                <w:szCs w:val="24"/>
                <w:lang w:val="lt-LT" w:eastAsia="en-US"/>
              </w:rPr>
              <w:lastRenderedPageBreak/>
              <w:t xml:space="preserve">„Nepakankamai išvystyti ir </w:t>
            </w:r>
            <w:proofErr w:type="spellStart"/>
            <w:r w:rsidRPr="00E00559">
              <w:rPr>
                <w:rFonts w:ascii="Times New Roman" w:eastAsia="Times New Roman" w:hAnsi="Times New Roman" w:cs="Times New Roman"/>
                <w:sz w:val="24"/>
                <w:szCs w:val="24"/>
                <w:lang w:val="lt-LT" w:eastAsia="en-US"/>
              </w:rPr>
              <w:t>įveiklinti</w:t>
            </w:r>
            <w:proofErr w:type="spellEnd"/>
            <w:r w:rsidRPr="00E00559">
              <w:rPr>
                <w:rFonts w:ascii="Times New Roman" w:eastAsia="Times New Roman" w:hAnsi="Times New Roman" w:cs="Times New Roman"/>
                <w:sz w:val="24"/>
                <w:szCs w:val="24"/>
                <w:lang w:val="lt-LT" w:eastAsia="en-US"/>
              </w:rPr>
              <w:t xml:space="preserve"> ryšių infrastruktūros objektai“ aprašymą, kuriame nurodyt</w:t>
            </w:r>
            <w:r w:rsidR="008C397F" w:rsidRPr="00E00559">
              <w:rPr>
                <w:rFonts w:ascii="Times New Roman" w:eastAsia="Times New Roman" w:hAnsi="Times New Roman" w:cs="Times New Roman"/>
                <w:sz w:val="24"/>
                <w:szCs w:val="24"/>
                <w:lang w:val="lt-LT" w:eastAsia="en-US"/>
              </w:rPr>
              <w:t>a</w:t>
            </w:r>
            <w:r w:rsidRPr="00E00559">
              <w:rPr>
                <w:rFonts w:ascii="Times New Roman" w:eastAsia="Times New Roman" w:hAnsi="Times New Roman" w:cs="Times New Roman"/>
                <w:sz w:val="24"/>
                <w:szCs w:val="24"/>
                <w:lang w:val="lt-LT" w:eastAsia="en-US"/>
              </w:rPr>
              <w:t>, kad bokšt</w:t>
            </w:r>
            <w:r w:rsidR="00885474">
              <w:rPr>
                <w:rFonts w:ascii="Times New Roman" w:eastAsia="Times New Roman" w:hAnsi="Times New Roman" w:cs="Times New Roman"/>
                <w:sz w:val="24"/>
                <w:szCs w:val="24"/>
                <w:lang w:val="lt-LT" w:eastAsia="en-US"/>
              </w:rPr>
              <w:t>o</w:t>
            </w:r>
            <w:r w:rsidRPr="00E00559">
              <w:rPr>
                <w:rFonts w:ascii="Times New Roman" w:eastAsia="Times New Roman" w:hAnsi="Times New Roman" w:cs="Times New Roman"/>
                <w:sz w:val="24"/>
                <w:szCs w:val="24"/>
                <w:lang w:val="lt-LT" w:eastAsia="en-US"/>
              </w:rPr>
              <w:t xml:space="preserve"> rekonstrukcija ir atitinkamai numatom</w:t>
            </w:r>
            <w:r w:rsidR="008C397F" w:rsidRPr="00E00559">
              <w:rPr>
                <w:rFonts w:ascii="Times New Roman" w:eastAsia="Times New Roman" w:hAnsi="Times New Roman" w:cs="Times New Roman"/>
                <w:sz w:val="24"/>
                <w:szCs w:val="24"/>
                <w:lang w:val="lt-LT" w:eastAsia="en-US"/>
              </w:rPr>
              <w:t>os</w:t>
            </w:r>
            <w:r w:rsidRPr="00E00559">
              <w:rPr>
                <w:rFonts w:ascii="Times New Roman" w:eastAsia="Times New Roman" w:hAnsi="Times New Roman" w:cs="Times New Roman"/>
                <w:sz w:val="24"/>
                <w:szCs w:val="24"/>
                <w:lang w:val="lt-LT" w:eastAsia="en-US"/>
              </w:rPr>
              <w:t xml:space="preserve"> veikl</w:t>
            </w:r>
            <w:r w:rsidR="008C397F" w:rsidRPr="00E00559">
              <w:rPr>
                <w:rFonts w:ascii="Times New Roman" w:eastAsia="Times New Roman" w:hAnsi="Times New Roman" w:cs="Times New Roman"/>
                <w:sz w:val="24"/>
                <w:szCs w:val="24"/>
                <w:lang w:val="lt-LT" w:eastAsia="en-US"/>
              </w:rPr>
              <w:t>os</w:t>
            </w:r>
            <w:r w:rsidRPr="00E00559">
              <w:rPr>
                <w:rFonts w:ascii="Times New Roman" w:eastAsia="Times New Roman" w:hAnsi="Times New Roman" w:cs="Times New Roman"/>
                <w:sz w:val="24"/>
                <w:szCs w:val="24"/>
                <w:lang w:val="lt-LT" w:eastAsia="en-US"/>
              </w:rPr>
              <w:t xml:space="preserve"> prisk</w:t>
            </w:r>
            <w:r w:rsidR="00885474">
              <w:rPr>
                <w:rFonts w:ascii="Times New Roman" w:eastAsia="Times New Roman" w:hAnsi="Times New Roman" w:cs="Times New Roman"/>
                <w:sz w:val="24"/>
                <w:szCs w:val="24"/>
                <w:lang w:val="lt-LT" w:eastAsia="en-US"/>
              </w:rPr>
              <w:t>i</w:t>
            </w:r>
            <w:r w:rsidRPr="00E00559">
              <w:rPr>
                <w:rFonts w:ascii="Times New Roman" w:eastAsia="Times New Roman" w:hAnsi="Times New Roman" w:cs="Times New Roman"/>
                <w:sz w:val="24"/>
                <w:szCs w:val="24"/>
                <w:lang w:val="lt-LT" w:eastAsia="en-US"/>
              </w:rPr>
              <w:t>ri</w:t>
            </w:r>
            <w:r w:rsidR="00885474">
              <w:rPr>
                <w:rFonts w:ascii="Times New Roman" w:eastAsia="Times New Roman" w:hAnsi="Times New Roman" w:cs="Times New Roman"/>
                <w:sz w:val="24"/>
                <w:szCs w:val="24"/>
                <w:lang w:val="lt-LT" w:eastAsia="en-US"/>
              </w:rPr>
              <w:t>amos</w:t>
            </w:r>
            <w:r w:rsidRPr="00E00559">
              <w:rPr>
                <w:rFonts w:ascii="Times New Roman" w:eastAsia="Times New Roman" w:hAnsi="Times New Roman" w:cs="Times New Roman"/>
                <w:sz w:val="24"/>
                <w:szCs w:val="24"/>
                <w:lang w:val="lt-LT" w:eastAsia="en-US"/>
              </w:rPr>
              <w:t xml:space="preserve"> tęstin</w:t>
            </w:r>
            <w:r w:rsidR="008C397F" w:rsidRPr="00E00559">
              <w:rPr>
                <w:rFonts w:ascii="Times New Roman" w:eastAsia="Times New Roman" w:hAnsi="Times New Roman" w:cs="Times New Roman"/>
                <w:sz w:val="24"/>
                <w:szCs w:val="24"/>
                <w:lang w:val="lt-LT" w:eastAsia="en-US"/>
              </w:rPr>
              <w:t>ei</w:t>
            </w:r>
            <w:r w:rsidRPr="00E00559">
              <w:rPr>
                <w:rFonts w:ascii="Times New Roman" w:eastAsia="Times New Roman" w:hAnsi="Times New Roman" w:cs="Times New Roman"/>
                <w:sz w:val="24"/>
                <w:szCs w:val="24"/>
                <w:lang w:val="lt-LT" w:eastAsia="en-US"/>
              </w:rPr>
              <w:t xml:space="preserve"> veikl</w:t>
            </w:r>
            <w:r w:rsidR="008C397F" w:rsidRPr="00E00559">
              <w:rPr>
                <w:rFonts w:ascii="Times New Roman" w:eastAsia="Times New Roman" w:hAnsi="Times New Roman" w:cs="Times New Roman"/>
                <w:sz w:val="24"/>
                <w:szCs w:val="24"/>
                <w:lang w:val="lt-LT" w:eastAsia="en-US"/>
              </w:rPr>
              <w:t>ai</w:t>
            </w:r>
            <w:r w:rsidR="00F411BB" w:rsidRPr="00E00559">
              <w:rPr>
                <w:rFonts w:ascii="Times New Roman" w:eastAsia="Times New Roman" w:hAnsi="Times New Roman" w:cs="Times New Roman"/>
                <w:sz w:val="24"/>
                <w:szCs w:val="24"/>
                <w:lang w:val="lt-LT" w:eastAsia="en-US"/>
              </w:rPr>
              <w:t>.</w:t>
            </w:r>
            <w:r w:rsidR="008C397F" w:rsidRPr="00E00559">
              <w:rPr>
                <w:rFonts w:ascii="Times New Roman" w:eastAsia="Times New Roman" w:hAnsi="Times New Roman" w:cs="Times New Roman"/>
                <w:sz w:val="24"/>
                <w:szCs w:val="24"/>
                <w:lang w:val="lt-LT" w:eastAsia="en-US"/>
              </w:rPr>
              <w:t xml:space="preserve"> </w:t>
            </w:r>
            <w:r w:rsidR="00F411BB" w:rsidRPr="00E00559">
              <w:rPr>
                <w:rFonts w:ascii="Times New Roman" w:eastAsia="Times New Roman" w:hAnsi="Times New Roman" w:cs="Times New Roman"/>
                <w:sz w:val="24"/>
                <w:szCs w:val="24"/>
                <w:lang w:val="lt-LT" w:eastAsia="en-US"/>
              </w:rPr>
              <w:t>V</w:t>
            </w:r>
            <w:r w:rsidR="008C397F" w:rsidRPr="00E00559">
              <w:rPr>
                <w:rFonts w:ascii="Times New Roman" w:eastAsia="Times New Roman" w:hAnsi="Times New Roman" w:cs="Times New Roman"/>
                <w:sz w:val="24"/>
                <w:szCs w:val="24"/>
                <w:lang w:val="lt-LT" w:eastAsia="en-US"/>
              </w:rPr>
              <w:t xml:space="preserve">adovaujantis Strateginio valdymo metodikos nuostatomis, </w:t>
            </w:r>
            <w:r w:rsidR="00F411BB" w:rsidRPr="00E00559">
              <w:rPr>
                <w:rFonts w:ascii="Times New Roman" w:eastAsia="Times New Roman" w:hAnsi="Times New Roman" w:cs="Times New Roman"/>
                <w:sz w:val="24"/>
                <w:szCs w:val="24"/>
                <w:lang w:val="lt-LT" w:eastAsia="en-US"/>
              </w:rPr>
              <w:t xml:space="preserve">investicijos ilgalaikio materialiojo turto, kuris reikalingas esamų paslaugų teikimo efektyvumui, vertei padidinti priskiriamos pažangos lėšoms. Atlikus TV bokšto rekonstrukciją būtų padidinta materialiojo turto, kuris reikalingas esamų paslaugų teikimo efektyvumui užtikrinti, </w:t>
            </w:r>
            <w:r w:rsidR="005B17BF" w:rsidRPr="00E00559">
              <w:rPr>
                <w:rFonts w:ascii="Times New Roman" w:eastAsia="Times New Roman" w:hAnsi="Times New Roman" w:cs="Times New Roman"/>
                <w:sz w:val="24"/>
                <w:szCs w:val="24"/>
                <w:lang w:val="lt-LT" w:eastAsia="en-US"/>
              </w:rPr>
              <w:t xml:space="preserve">vertė. </w:t>
            </w:r>
          </w:p>
          <w:p w14:paraId="3F0A4A14" w14:textId="0811ECAB" w:rsidR="00AD73A8" w:rsidRPr="00842A37" w:rsidRDefault="003E1EE7" w:rsidP="00842A37">
            <w:pPr>
              <w:pStyle w:val="prastasiniatinklio"/>
              <w:shd w:val="clear" w:color="auto" w:fill="FFFFFF"/>
              <w:spacing w:before="0" w:beforeAutospacing="0" w:after="0" w:afterAutospacing="0"/>
              <w:jc w:val="both"/>
              <w:rPr>
                <w:rFonts w:ascii="Times New Roman" w:eastAsia="Times New Roman" w:hAnsi="Times New Roman" w:cs="Times New Roman"/>
                <w:sz w:val="24"/>
                <w:szCs w:val="24"/>
                <w:lang w:val="lt-LT" w:eastAsia="en-US"/>
              </w:rPr>
            </w:pPr>
            <w:r w:rsidRPr="00842A37">
              <w:rPr>
                <w:rFonts w:ascii="Times New Roman" w:eastAsia="Times New Roman" w:hAnsi="Times New Roman" w:cs="Times New Roman"/>
                <w:sz w:val="24"/>
                <w:szCs w:val="24"/>
                <w:lang w:val="lt-LT" w:eastAsia="en-US"/>
              </w:rPr>
              <w:t>Atkreiptinas dėmesys, kad NPP nėra nustatyti poveikio rodikliai kiekvienai veiklai ar projektui atskirai</w:t>
            </w:r>
            <w:r w:rsidR="00E00559" w:rsidRPr="00842A37">
              <w:rPr>
                <w:rFonts w:ascii="Times New Roman" w:eastAsia="Times New Roman" w:hAnsi="Times New Roman" w:cs="Times New Roman"/>
                <w:sz w:val="24"/>
                <w:szCs w:val="24"/>
                <w:lang w:val="lt-LT" w:eastAsia="en-US"/>
              </w:rPr>
              <w:t xml:space="preserve"> dėl strateginio planavimo dokumento apimties.</w:t>
            </w:r>
          </w:p>
          <w:p w14:paraId="7E3082A9" w14:textId="62F706A6" w:rsidR="00842A37" w:rsidRPr="00024317" w:rsidRDefault="00842A37" w:rsidP="00842A37">
            <w:pPr>
              <w:jc w:val="both"/>
              <w:rPr>
                <w:szCs w:val="24"/>
              </w:rPr>
            </w:pPr>
            <w:r w:rsidRPr="00024317">
              <w:rPr>
                <w:szCs w:val="24"/>
              </w:rPr>
              <w:t xml:space="preserve">Projektas siejasi su </w:t>
            </w:r>
            <w:r>
              <w:rPr>
                <w:szCs w:val="24"/>
              </w:rPr>
              <w:t>Krašto apsaugos ministerijos</w:t>
            </w:r>
            <w:r w:rsidRPr="00024317">
              <w:rPr>
                <w:szCs w:val="24"/>
              </w:rPr>
              <w:t xml:space="preserve"> </w:t>
            </w:r>
            <w:proofErr w:type="spellStart"/>
            <w:r w:rsidRPr="00024317">
              <w:rPr>
                <w:szCs w:val="24"/>
              </w:rPr>
              <w:t>Telecentrui</w:t>
            </w:r>
            <w:proofErr w:type="spellEnd"/>
            <w:r w:rsidRPr="00024317">
              <w:rPr>
                <w:szCs w:val="24"/>
              </w:rPr>
              <w:t xml:space="preserve"> pavestomis funkcijomis. </w:t>
            </w:r>
            <w:proofErr w:type="spellStart"/>
            <w:r w:rsidRPr="00024317">
              <w:rPr>
                <w:szCs w:val="24"/>
              </w:rPr>
              <w:t>Telecentras</w:t>
            </w:r>
            <w:proofErr w:type="spellEnd"/>
            <w:r w:rsidRPr="00024317">
              <w:rPr>
                <w:szCs w:val="24"/>
              </w:rPr>
              <w:t xml:space="preserve"> privalo užtikrinti valstybinio duomenų centro saugumą</w:t>
            </w:r>
            <w:r>
              <w:rPr>
                <w:szCs w:val="24"/>
              </w:rPr>
              <w:t xml:space="preserve"> (</w:t>
            </w:r>
            <w:r w:rsidRPr="00024317">
              <w:rPr>
                <w:szCs w:val="24"/>
              </w:rPr>
              <w:t xml:space="preserve">pagal 2019 m. lapkričio 18d. LR </w:t>
            </w:r>
            <w:r w:rsidR="00885474">
              <w:rPr>
                <w:szCs w:val="24"/>
              </w:rPr>
              <w:t>k</w:t>
            </w:r>
            <w:r w:rsidRPr="00024317">
              <w:rPr>
                <w:szCs w:val="24"/>
              </w:rPr>
              <w:t>rašto apsaugos ministro įsakymą Nr. V-962</w:t>
            </w:r>
            <w:r>
              <w:rPr>
                <w:szCs w:val="24"/>
              </w:rPr>
              <w:t>)</w:t>
            </w:r>
            <w:r w:rsidRPr="00024317">
              <w:rPr>
                <w:szCs w:val="24"/>
              </w:rPr>
              <w:t>.</w:t>
            </w:r>
          </w:p>
          <w:p w14:paraId="26117C84" w14:textId="39C6F017" w:rsidR="00842A37" w:rsidRPr="00024317" w:rsidRDefault="00842A37" w:rsidP="00842A37">
            <w:pPr>
              <w:jc w:val="both"/>
              <w:rPr>
                <w:szCs w:val="24"/>
              </w:rPr>
            </w:pPr>
            <w:r w:rsidRPr="00024317">
              <w:rPr>
                <w:szCs w:val="24"/>
              </w:rPr>
              <w:t xml:space="preserve">Taip pat siejasi su </w:t>
            </w:r>
            <w:r>
              <w:rPr>
                <w:szCs w:val="24"/>
              </w:rPr>
              <w:t>Kultūros ministerijos</w:t>
            </w:r>
            <w:r w:rsidRPr="00024317">
              <w:rPr>
                <w:szCs w:val="24"/>
              </w:rPr>
              <w:t xml:space="preserve"> </w:t>
            </w:r>
            <w:proofErr w:type="spellStart"/>
            <w:r w:rsidR="00885474">
              <w:rPr>
                <w:szCs w:val="24"/>
              </w:rPr>
              <w:t>Telecentrui</w:t>
            </w:r>
            <w:proofErr w:type="spellEnd"/>
            <w:r w:rsidR="00885474">
              <w:rPr>
                <w:szCs w:val="24"/>
              </w:rPr>
              <w:t xml:space="preserve"> </w:t>
            </w:r>
            <w:r w:rsidRPr="00024317">
              <w:rPr>
                <w:szCs w:val="24"/>
              </w:rPr>
              <w:t xml:space="preserve">pavestomis funkcijomis. Vilniaus TV bokštas yra kultūrinio paveldo objektas. </w:t>
            </w:r>
            <w:proofErr w:type="spellStart"/>
            <w:r w:rsidRPr="00024317">
              <w:rPr>
                <w:szCs w:val="24"/>
              </w:rPr>
              <w:t>Telecentras</w:t>
            </w:r>
            <w:proofErr w:type="spellEnd"/>
            <w:r w:rsidRPr="00024317">
              <w:rPr>
                <w:szCs w:val="24"/>
              </w:rPr>
              <w:t xml:space="preserve"> turi išsaugoti istorinį nacionalinio reikšmingumo kultūros paveldo objektą.</w:t>
            </w:r>
          </w:p>
          <w:p w14:paraId="2849413E" w14:textId="77777777" w:rsidR="00842A37" w:rsidRDefault="00842A37" w:rsidP="00842A37">
            <w:pPr>
              <w:jc w:val="both"/>
              <w:rPr>
                <w:szCs w:val="24"/>
              </w:rPr>
            </w:pPr>
            <w:r w:rsidRPr="00024317">
              <w:rPr>
                <w:szCs w:val="24"/>
              </w:rPr>
              <w:t>Taip pat TV bokštas laikomas turizmo objektu</w:t>
            </w:r>
            <w:r>
              <w:rPr>
                <w:szCs w:val="24"/>
              </w:rPr>
              <w:t>.</w:t>
            </w:r>
          </w:p>
          <w:p w14:paraId="1D317A85" w14:textId="1FF56E69" w:rsidR="0087529B" w:rsidRPr="00842A37" w:rsidRDefault="003E1EE7" w:rsidP="00842A37">
            <w:pPr>
              <w:jc w:val="both"/>
              <w:rPr>
                <w:szCs w:val="24"/>
              </w:rPr>
            </w:pPr>
            <w:r>
              <w:rPr>
                <w:szCs w:val="24"/>
              </w:rPr>
              <w:t xml:space="preserve">Nerekonstravus TV bokšto po kurio laiko nebūtų galimybės </w:t>
            </w:r>
            <w:r w:rsidRPr="00024317">
              <w:rPr>
                <w:szCs w:val="24"/>
              </w:rPr>
              <w:t>užtikrinti radijo ir televizijos transliavimo signalų padengimo zon</w:t>
            </w:r>
            <w:r w:rsidR="00885474">
              <w:rPr>
                <w:szCs w:val="24"/>
              </w:rPr>
              <w:t>ų</w:t>
            </w:r>
            <w:r w:rsidRPr="00024317">
              <w:rPr>
                <w:szCs w:val="24"/>
              </w:rPr>
              <w:t>,</w:t>
            </w:r>
            <w:r>
              <w:rPr>
                <w:szCs w:val="24"/>
              </w:rPr>
              <w:t xml:space="preserve"> teikti </w:t>
            </w:r>
            <w:r w:rsidRPr="00C670D4">
              <w:rPr>
                <w:szCs w:val="24"/>
              </w:rPr>
              <w:t>duomenų perdavimo paslaugų</w:t>
            </w:r>
            <w:r>
              <w:rPr>
                <w:szCs w:val="24"/>
              </w:rPr>
              <w:t xml:space="preserve">, siųsti </w:t>
            </w:r>
            <w:r w:rsidRPr="00C670D4">
              <w:rPr>
                <w:szCs w:val="24"/>
              </w:rPr>
              <w:t>ekstremalių</w:t>
            </w:r>
            <w:r w:rsidR="00885474">
              <w:rPr>
                <w:szCs w:val="24"/>
              </w:rPr>
              <w:t>jų</w:t>
            </w:r>
            <w:r w:rsidRPr="00C670D4">
              <w:rPr>
                <w:szCs w:val="24"/>
              </w:rPr>
              <w:t xml:space="preserve"> situacijų radijo ir TV pranešimų</w:t>
            </w:r>
            <w:r>
              <w:rPr>
                <w:szCs w:val="24"/>
              </w:rPr>
              <w:t xml:space="preserve">. </w:t>
            </w:r>
          </w:p>
        </w:tc>
      </w:tr>
      <w:tr w:rsidR="00904C58" w14:paraId="4DAAC6EA" w14:textId="77777777" w:rsidTr="00A769AE">
        <w:trPr>
          <w:gridAfter w:val="1"/>
          <w:wAfter w:w="9" w:type="dxa"/>
        </w:trPr>
        <w:tc>
          <w:tcPr>
            <w:tcW w:w="2684" w:type="dxa"/>
          </w:tcPr>
          <w:p w14:paraId="65FC0D0A" w14:textId="55CC4E67" w:rsidR="00904C58" w:rsidRPr="008D2F1F" w:rsidRDefault="00904C58">
            <w:pPr>
              <w:rPr>
                <w:b/>
                <w:bCs/>
                <w:szCs w:val="24"/>
              </w:rPr>
            </w:pPr>
            <w:r w:rsidRPr="008D2F1F">
              <w:rPr>
                <w:b/>
                <w:bCs/>
                <w:szCs w:val="24"/>
              </w:rPr>
              <w:lastRenderedPageBreak/>
              <w:t>Lietuvos Respublikos vidaus reikalų ministerija</w:t>
            </w:r>
          </w:p>
        </w:tc>
        <w:tc>
          <w:tcPr>
            <w:tcW w:w="7029" w:type="dxa"/>
          </w:tcPr>
          <w:p w14:paraId="118D1D6A" w14:textId="735E3EF8" w:rsidR="00904C58" w:rsidRPr="008D2F1F" w:rsidRDefault="00904C58" w:rsidP="008D2F1F">
            <w:pPr>
              <w:jc w:val="both"/>
              <w:rPr>
                <w:szCs w:val="24"/>
              </w:rPr>
            </w:pPr>
            <w:r w:rsidRPr="008D2F1F">
              <w:rPr>
                <w:szCs w:val="24"/>
              </w:rPr>
              <w:t xml:space="preserve">Plėtros programos projekte nurodoma, kad Nacionalinio pažangos plano (toliau – NPP) 5.3 uždaviniui ,,Gerinti transporto junglumą šalies viduje, su ES valstybėmis narėmis ir trečiosiomis šalimis, užtikrinti eismo saugumą“ (toliau – 5.3 uždavinys) įgyvendinti Regionų plėtros programai numatoma skirti 23 529 tūkst. eurų 2021–2027 m. Europos </w:t>
            </w:r>
            <w:r w:rsidRPr="008D2F1F">
              <w:rPr>
                <w:szCs w:val="24"/>
              </w:rPr>
              <w:lastRenderedPageBreak/>
              <w:t>Sąjungos (toliau – ES) fondų ir 2021–2027 m. ES fondų bendrojo finansavimo lėšų. 2021–2027 m. ES fondų investicijų programos Lietuvai projekte (2021 m. lapkričio 23 d. versija) Sostinės regionui nenumatytas finansavimas eismo saugai gerinti, nors eismo saugos problema šiame regione yra itin aktuali (plačiau apie eismo saugos problemos aktualumą Sostinės regione – Susisiekimo ministerijai išsiųstame Vidaus reikalų ministerijos 2021 m. spalio 20 d. rašte Nr. 1D-5928 ,,Dėl investicijų eismo saugos problemoms spręsti Vilniaus apskrityje“). Atsižvelgdami į tai, siūlome patikslinti Plėtros programos projektą, padidinant Regionų plėtros programai pagal NPP 5.3 uždavinį numatomą finansinę projekciją dalimi, reikalinga eismo saugos problemai Sostinės regione spręsti, ir numatant tam realiai Sostinės regione galimus naudoti finansavimo šaltinius.</w:t>
            </w:r>
          </w:p>
        </w:tc>
        <w:tc>
          <w:tcPr>
            <w:tcW w:w="6288" w:type="dxa"/>
          </w:tcPr>
          <w:p w14:paraId="26D3A240" w14:textId="77777777" w:rsidR="00904C58" w:rsidRDefault="00904C58" w:rsidP="008D2F1F">
            <w:pPr>
              <w:jc w:val="both"/>
              <w:rPr>
                <w:b/>
                <w:bCs/>
                <w:szCs w:val="24"/>
              </w:rPr>
            </w:pPr>
            <w:r w:rsidRPr="0025734C">
              <w:rPr>
                <w:b/>
                <w:bCs/>
                <w:szCs w:val="24"/>
              </w:rPr>
              <w:lastRenderedPageBreak/>
              <w:t>Neatsižvelgta.</w:t>
            </w:r>
          </w:p>
          <w:p w14:paraId="6DAE2ABF" w14:textId="622281A8" w:rsidR="00904C58" w:rsidRPr="00C17D3E" w:rsidRDefault="00904C58" w:rsidP="008D2F1F">
            <w:pPr>
              <w:jc w:val="both"/>
              <w:rPr>
                <w:szCs w:val="24"/>
                <w:highlight w:val="yellow"/>
              </w:rPr>
            </w:pPr>
            <w:r w:rsidRPr="00C17D3E">
              <w:rPr>
                <w:szCs w:val="24"/>
              </w:rPr>
              <w:t xml:space="preserve">Atsižvelgiant į tai, kad </w:t>
            </w:r>
            <w:r w:rsidR="00322062">
              <w:rPr>
                <w:szCs w:val="24"/>
              </w:rPr>
              <w:t>E</w:t>
            </w:r>
            <w:r w:rsidR="00F176EE">
              <w:rPr>
                <w:szCs w:val="24"/>
              </w:rPr>
              <w:t xml:space="preserve">uropos </w:t>
            </w:r>
            <w:r w:rsidR="00322062">
              <w:rPr>
                <w:szCs w:val="24"/>
              </w:rPr>
              <w:t>K</w:t>
            </w:r>
            <w:r w:rsidR="00F176EE">
              <w:rPr>
                <w:szCs w:val="24"/>
              </w:rPr>
              <w:t>omisija</w:t>
            </w:r>
            <w:r w:rsidR="00322062">
              <w:rPr>
                <w:szCs w:val="24"/>
              </w:rPr>
              <w:t xml:space="preserve"> </w:t>
            </w:r>
            <w:r w:rsidRPr="00C17D3E">
              <w:rPr>
                <w:szCs w:val="24"/>
              </w:rPr>
              <w:t>Lietuvai numat</w:t>
            </w:r>
            <w:r w:rsidR="00322062">
              <w:rPr>
                <w:szCs w:val="24"/>
              </w:rPr>
              <w:t xml:space="preserve">o </w:t>
            </w:r>
            <w:r w:rsidR="00322062" w:rsidRPr="00C17D3E">
              <w:rPr>
                <w:szCs w:val="24"/>
              </w:rPr>
              <w:t xml:space="preserve">ERPF lėšų </w:t>
            </w:r>
            <w:r w:rsidR="00322062">
              <w:rPr>
                <w:szCs w:val="24"/>
              </w:rPr>
              <w:t xml:space="preserve">skyrimo Sostinės regionui </w:t>
            </w:r>
            <w:r w:rsidRPr="00C17D3E">
              <w:rPr>
                <w:szCs w:val="24"/>
              </w:rPr>
              <w:t>apribojim</w:t>
            </w:r>
            <w:r w:rsidR="00322062">
              <w:rPr>
                <w:szCs w:val="24"/>
              </w:rPr>
              <w:t>us</w:t>
            </w:r>
            <w:r w:rsidRPr="00C17D3E">
              <w:rPr>
                <w:szCs w:val="24"/>
              </w:rPr>
              <w:t xml:space="preserve">, LR </w:t>
            </w:r>
            <w:r w:rsidR="00885474">
              <w:rPr>
                <w:szCs w:val="24"/>
              </w:rPr>
              <w:t>f</w:t>
            </w:r>
            <w:r w:rsidRPr="00C17D3E">
              <w:rPr>
                <w:szCs w:val="24"/>
              </w:rPr>
              <w:t xml:space="preserve">inansų ministerija </w:t>
            </w:r>
            <w:r w:rsidR="0025734C">
              <w:rPr>
                <w:szCs w:val="24"/>
              </w:rPr>
              <w:t>nenumatė</w:t>
            </w:r>
            <w:r w:rsidRPr="00C17D3E">
              <w:rPr>
                <w:szCs w:val="24"/>
              </w:rPr>
              <w:t xml:space="preserve"> ERPF lėš</w:t>
            </w:r>
            <w:r w:rsidR="0025734C">
              <w:rPr>
                <w:szCs w:val="24"/>
              </w:rPr>
              <w:t>ų</w:t>
            </w:r>
            <w:r w:rsidRPr="00C17D3E">
              <w:rPr>
                <w:szCs w:val="24"/>
              </w:rPr>
              <w:t xml:space="preserve"> 3 priorit</w:t>
            </w:r>
            <w:r w:rsidR="0025734C">
              <w:rPr>
                <w:szCs w:val="24"/>
              </w:rPr>
              <w:t>eto</w:t>
            </w:r>
            <w:r w:rsidRPr="00C17D3E">
              <w:rPr>
                <w:szCs w:val="24"/>
              </w:rPr>
              <w:t xml:space="preserve"> </w:t>
            </w:r>
            <w:r w:rsidR="0025734C">
              <w:rPr>
                <w:szCs w:val="24"/>
              </w:rPr>
              <w:t>„</w:t>
            </w:r>
            <w:r w:rsidRPr="00C17D3E">
              <w:rPr>
                <w:szCs w:val="24"/>
              </w:rPr>
              <w:t>Geriau sujungta Lietuva</w:t>
            </w:r>
            <w:r w:rsidR="0025734C">
              <w:rPr>
                <w:szCs w:val="24"/>
              </w:rPr>
              <w:t>“ veikloms įgyvendinti</w:t>
            </w:r>
            <w:r w:rsidR="00322062">
              <w:rPr>
                <w:szCs w:val="24"/>
              </w:rPr>
              <w:t xml:space="preserve"> Sostinės region</w:t>
            </w:r>
            <w:r w:rsidR="005A4619">
              <w:rPr>
                <w:szCs w:val="24"/>
              </w:rPr>
              <w:t>e</w:t>
            </w:r>
            <w:r w:rsidR="00322062">
              <w:rPr>
                <w:szCs w:val="24"/>
              </w:rPr>
              <w:t>.</w:t>
            </w:r>
            <w:r w:rsidRPr="00C17D3E">
              <w:rPr>
                <w:szCs w:val="24"/>
              </w:rPr>
              <w:t xml:space="preserve"> Nors 3 </w:t>
            </w:r>
            <w:r w:rsidRPr="00C17D3E">
              <w:rPr>
                <w:szCs w:val="24"/>
              </w:rPr>
              <w:lastRenderedPageBreak/>
              <w:t xml:space="preserve">prioritete yra planuojamos ir </w:t>
            </w:r>
            <w:proofErr w:type="spellStart"/>
            <w:r w:rsidRPr="00C17D3E">
              <w:rPr>
                <w:szCs w:val="24"/>
              </w:rPr>
              <w:t>SaF</w:t>
            </w:r>
            <w:proofErr w:type="spellEnd"/>
            <w:r w:rsidRPr="00C17D3E">
              <w:rPr>
                <w:szCs w:val="24"/>
              </w:rPr>
              <w:t xml:space="preserve"> lėšos, kurios gali būti skirtos visoje Lietuvoje įgyvendinamoms veikloms</w:t>
            </w:r>
            <w:r w:rsidR="00322062">
              <w:rPr>
                <w:szCs w:val="24"/>
              </w:rPr>
              <w:t xml:space="preserve"> neskirstant pagal regionus</w:t>
            </w:r>
            <w:r w:rsidRPr="00C17D3E">
              <w:rPr>
                <w:szCs w:val="24"/>
              </w:rPr>
              <w:t xml:space="preserve">, tačiau jų planavimą apriboja Reglamento nuostatos, kurios nustato, kad </w:t>
            </w:r>
            <w:proofErr w:type="spellStart"/>
            <w:r w:rsidRPr="00C17D3E">
              <w:rPr>
                <w:szCs w:val="24"/>
              </w:rPr>
              <w:t>SaF</w:t>
            </w:r>
            <w:proofErr w:type="spellEnd"/>
            <w:r w:rsidRPr="00C17D3E">
              <w:rPr>
                <w:szCs w:val="24"/>
              </w:rPr>
              <w:t xml:space="preserve"> lėšos gali būti skirtos tik TEN-T tinkl</w:t>
            </w:r>
            <w:r w:rsidR="0025734C">
              <w:rPr>
                <w:szCs w:val="24"/>
              </w:rPr>
              <w:t>ui vystyti</w:t>
            </w:r>
            <w:r w:rsidRPr="00C17D3E">
              <w:rPr>
                <w:szCs w:val="24"/>
              </w:rPr>
              <w:t xml:space="preserve">, </w:t>
            </w:r>
            <w:r w:rsidR="00885474">
              <w:rPr>
                <w:szCs w:val="24"/>
              </w:rPr>
              <w:t>tačiau</w:t>
            </w:r>
            <w:r w:rsidR="00322062">
              <w:rPr>
                <w:szCs w:val="24"/>
              </w:rPr>
              <w:t xml:space="preserve"> </w:t>
            </w:r>
            <w:r w:rsidR="0025734C">
              <w:rPr>
                <w:szCs w:val="24"/>
              </w:rPr>
              <w:t>eismo saugos priemon</w:t>
            </w:r>
            <w:r w:rsidR="00885474">
              <w:rPr>
                <w:szCs w:val="24"/>
              </w:rPr>
              <w:t>es</w:t>
            </w:r>
            <w:r w:rsidR="0025734C">
              <w:rPr>
                <w:szCs w:val="24"/>
              </w:rPr>
              <w:t xml:space="preserve"> dieg</w:t>
            </w:r>
            <w:r w:rsidR="00885474">
              <w:rPr>
                <w:szCs w:val="24"/>
              </w:rPr>
              <w:t>t</w:t>
            </w:r>
            <w:r w:rsidR="0025734C">
              <w:rPr>
                <w:szCs w:val="24"/>
              </w:rPr>
              <w:t xml:space="preserve">i </w:t>
            </w:r>
            <w:r w:rsidR="00322062">
              <w:rPr>
                <w:szCs w:val="24"/>
              </w:rPr>
              <w:t xml:space="preserve">planuojama </w:t>
            </w:r>
            <w:r w:rsidRPr="00C17D3E">
              <w:rPr>
                <w:szCs w:val="24"/>
              </w:rPr>
              <w:t>vietinės reikšmės keliu</w:t>
            </w:r>
            <w:r w:rsidR="00322062">
              <w:rPr>
                <w:szCs w:val="24"/>
              </w:rPr>
              <w:t>ose. Susisiekimo ministerija nedisponuoja kitais finansavimo šaltiniais, kurie galėtų būti panaudoti eismo saugai gerinti Sostinės regiono savivaldybė</w:t>
            </w:r>
            <w:r w:rsidR="00C044F6">
              <w:rPr>
                <w:szCs w:val="24"/>
              </w:rPr>
              <w:t>se</w:t>
            </w:r>
            <w:r w:rsidR="005A4619">
              <w:rPr>
                <w:szCs w:val="24"/>
              </w:rPr>
              <w:t>.</w:t>
            </w:r>
          </w:p>
        </w:tc>
      </w:tr>
      <w:tr w:rsidR="0087529B" w14:paraId="6E735BC5" w14:textId="77777777">
        <w:tc>
          <w:tcPr>
            <w:tcW w:w="16010" w:type="dxa"/>
            <w:gridSpan w:val="4"/>
          </w:tcPr>
          <w:p w14:paraId="5F3E2737" w14:textId="20321882" w:rsidR="0087529B" w:rsidRDefault="00904C58">
            <w:pPr>
              <w:jc w:val="center"/>
              <w:rPr>
                <w:b/>
                <w:bCs/>
                <w:szCs w:val="24"/>
              </w:rPr>
            </w:pPr>
            <w:r>
              <w:rPr>
                <w:b/>
                <w:bCs/>
                <w:szCs w:val="24"/>
              </w:rPr>
              <w:lastRenderedPageBreak/>
              <w:t>Socialinių partnerių pastabos</w:t>
            </w:r>
          </w:p>
        </w:tc>
      </w:tr>
      <w:tr w:rsidR="00D74D32" w14:paraId="305CE1C8" w14:textId="77777777" w:rsidTr="00A769AE">
        <w:trPr>
          <w:gridAfter w:val="1"/>
          <w:wAfter w:w="9" w:type="dxa"/>
        </w:trPr>
        <w:tc>
          <w:tcPr>
            <w:tcW w:w="2684" w:type="dxa"/>
            <w:vMerge w:val="restart"/>
          </w:tcPr>
          <w:p w14:paraId="3370ECC4" w14:textId="09A0C181" w:rsidR="00D74D32" w:rsidRDefault="00D74D32" w:rsidP="00D74D32">
            <w:pPr>
              <w:rPr>
                <w:b/>
                <w:bCs/>
                <w:szCs w:val="24"/>
              </w:rPr>
            </w:pPr>
            <w:r>
              <w:rPr>
                <w:b/>
                <w:bCs/>
                <w:szCs w:val="24"/>
              </w:rPr>
              <w:t>Lietuvos verslo konfederacija</w:t>
            </w:r>
          </w:p>
        </w:tc>
        <w:tc>
          <w:tcPr>
            <w:tcW w:w="7029" w:type="dxa"/>
          </w:tcPr>
          <w:p w14:paraId="0E37FBB7" w14:textId="30EAA92D" w:rsidR="00D74D32" w:rsidRPr="00A65700" w:rsidRDefault="00D74D32" w:rsidP="00D74D32">
            <w:pPr>
              <w:jc w:val="both"/>
              <w:rPr>
                <w:szCs w:val="24"/>
              </w:rPr>
            </w:pPr>
            <w:r w:rsidRPr="00642EA5">
              <w:rPr>
                <w:szCs w:val="24"/>
              </w:rPr>
              <w:t>Kaip viena iš spręstinų NPP uždavinio 5.3. 1 problemos priežasčių nurodoma „Esama oro uostų infrastruktūra neatitinka išaugusių keleivių srautų pajėgumų ir aplinkosaugos bei skrydžių saugos reikalavimų“. Atkreiptinas dėmesys, kad atitiktis skrydžių saugos reikalavimams yra užtikrinama, kitaip skrydžiai negalėtų būti vykdomi. Taip pat Lietuvos aviacijos verslas, kaip Lietuvos oro uostų paslaugų naudotojas, Lietuvos oro uostų paslaugų kokybę vertina vidutiniškai, ne žemai, kaip, remiantis ES aviacijos švieslente, nurodoma prie spręstinų Projekto NPP 5.3. uždavinio 1 problemos priežasčių.</w:t>
            </w:r>
          </w:p>
        </w:tc>
        <w:tc>
          <w:tcPr>
            <w:tcW w:w="6288" w:type="dxa"/>
          </w:tcPr>
          <w:p w14:paraId="48442524" w14:textId="77777777" w:rsidR="00D74D32" w:rsidRDefault="00D74D32" w:rsidP="00D74D32">
            <w:pPr>
              <w:jc w:val="both"/>
              <w:rPr>
                <w:b/>
                <w:bCs/>
                <w:szCs w:val="24"/>
              </w:rPr>
            </w:pPr>
            <w:r w:rsidRPr="00B65AF0">
              <w:rPr>
                <w:b/>
                <w:bCs/>
                <w:szCs w:val="24"/>
              </w:rPr>
              <w:t>Iš dalies atsižvelgta.</w:t>
            </w:r>
          </w:p>
          <w:p w14:paraId="7951AA25" w14:textId="77777777" w:rsidR="00D74D32" w:rsidRPr="00A65700" w:rsidRDefault="00D74D32" w:rsidP="00D74D32">
            <w:pPr>
              <w:jc w:val="both"/>
              <w:rPr>
                <w:szCs w:val="24"/>
              </w:rPr>
            </w:pPr>
            <w:r w:rsidRPr="00A65700">
              <w:rPr>
                <w:szCs w:val="24"/>
              </w:rPr>
              <w:t xml:space="preserve">Priežasties </w:t>
            </w:r>
            <w:r>
              <w:rPr>
                <w:szCs w:val="24"/>
              </w:rPr>
              <w:t>„</w:t>
            </w:r>
            <w:r w:rsidRPr="00A65700">
              <w:rPr>
                <w:szCs w:val="24"/>
              </w:rPr>
              <w:t>Esama oro uostų infrastruktūra neatitinka išaugusių keleivių srautų pajėgumų ir aplinkosaugos bei skrydžių saugos reikalavimų</w:t>
            </w:r>
            <w:r>
              <w:rPr>
                <w:szCs w:val="24"/>
              </w:rPr>
              <w:t>“</w:t>
            </w:r>
            <w:r w:rsidRPr="00A65700">
              <w:rPr>
                <w:szCs w:val="24"/>
              </w:rPr>
              <w:t xml:space="preserve"> formuluotė patikslinta</w:t>
            </w:r>
            <w:r>
              <w:rPr>
                <w:szCs w:val="24"/>
              </w:rPr>
              <w:t xml:space="preserve"> į „</w:t>
            </w:r>
            <w:r w:rsidRPr="00E4773A">
              <w:rPr>
                <w:iCs/>
                <w:color w:val="000000" w:themeColor="text1"/>
                <w:lang w:eastAsia="lt-LT"/>
              </w:rPr>
              <w:t>Esama oro uostų infrastruktūra neatitinka išaugusių keleivių srautų pajėgumų</w:t>
            </w:r>
            <w:r>
              <w:rPr>
                <w:iCs/>
                <w:color w:val="000000" w:themeColor="text1"/>
                <w:lang w:eastAsia="lt-LT"/>
              </w:rPr>
              <w:t>, kyla iššūkių užtikrinant</w:t>
            </w:r>
            <w:r w:rsidRPr="00E4773A">
              <w:rPr>
                <w:iCs/>
                <w:color w:val="000000" w:themeColor="text1"/>
                <w:lang w:eastAsia="lt-LT"/>
              </w:rPr>
              <w:t xml:space="preserve"> aplinkosaugos bei skrydžių saugos reikalavim</w:t>
            </w:r>
            <w:r>
              <w:rPr>
                <w:iCs/>
                <w:color w:val="000000" w:themeColor="text1"/>
                <w:lang w:eastAsia="lt-LT"/>
              </w:rPr>
              <w:t>us“</w:t>
            </w:r>
            <w:r w:rsidRPr="00A65700">
              <w:rPr>
                <w:szCs w:val="24"/>
              </w:rPr>
              <w:t>.</w:t>
            </w:r>
          </w:p>
          <w:p w14:paraId="14C04D29" w14:textId="60D4E511" w:rsidR="00D74D32" w:rsidRPr="002D5033" w:rsidRDefault="00D74D32" w:rsidP="00D74D32">
            <w:pPr>
              <w:tabs>
                <w:tab w:val="left" w:pos="452"/>
                <w:tab w:val="left" w:pos="1728"/>
              </w:tabs>
              <w:jc w:val="both"/>
              <w:rPr>
                <w:b/>
                <w:bCs/>
                <w:szCs w:val="24"/>
              </w:rPr>
            </w:pPr>
            <w:r w:rsidRPr="00A65700">
              <w:rPr>
                <w:szCs w:val="24"/>
              </w:rPr>
              <w:t xml:space="preserve">Siekiant išanalizuoti esamą susisiekimo oro transportu situaciją, naudojamasi tais rodikliais, kurie </w:t>
            </w:r>
            <w:r w:rsidR="00C044F6">
              <w:rPr>
                <w:szCs w:val="24"/>
              </w:rPr>
              <w:t>parodytų</w:t>
            </w:r>
            <w:r w:rsidR="00C044F6" w:rsidRPr="00A65700">
              <w:rPr>
                <w:szCs w:val="24"/>
              </w:rPr>
              <w:t xml:space="preserve"> </w:t>
            </w:r>
            <w:r w:rsidRPr="00A65700">
              <w:rPr>
                <w:szCs w:val="24"/>
              </w:rPr>
              <w:t xml:space="preserve">mūsų </w:t>
            </w:r>
            <w:r>
              <w:rPr>
                <w:szCs w:val="24"/>
              </w:rPr>
              <w:t>valstybės oro transporto paslaugų vertinimą</w:t>
            </w:r>
            <w:r w:rsidRPr="00A65700">
              <w:rPr>
                <w:szCs w:val="24"/>
              </w:rPr>
              <w:t xml:space="preserve"> kitų </w:t>
            </w:r>
            <w:r>
              <w:rPr>
                <w:szCs w:val="24"/>
              </w:rPr>
              <w:t xml:space="preserve">ES </w:t>
            </w:r>
            <w:r w:rsidRPr="00A65700">
              <w:rPr>
                <w:szCs w:val="24"/>
              </w:rPr>
              <w:t>šalių kontekste, todėl buvo pasirinktas minėtas rodiklis pagal ES transporto švieslentę.</w:t>
            </w:r>
          </w:p>
        </w:tc>
      </w:tr>
      <w:tr w:rsidR="00D74D32" w14:paraId="7DA565F3" w14:textId="77777777" w:rsidTr="00A769AE">
        <w:trPr>
          <w:gridAfter w:val="1"/>
          <w:wAfter w:w="9" w:type="dxa"/>
        </w:trPr>
        <w:tc>
          <w:tcPr>
            <w:tcW w:w="2684" w:type="dxa"/>
            <w:vMerge/>
          </w:tcPr>
          <w:p w14:paraId="6D5272F7" w14:textId="6FC23CBB" w:rsidR="00D74D32" w:rsidRDefault="00D74D32" w:rsidP="00D74D32">
            <w:pPr>
              <w:rPr>
                <w:b/>
                <w:bCs/>
                <w:szCs w:val="24"/>
              </w:rPr>
            </w:pPr>
          </w:p>
        </w:tc>
        <w:tc>
          <w:tcPr>
            <w:tcW w:w="7029" w:type="dxa"/>
          </w:tcPr>
          <w:p w14:paraId="1B061D42" w14:textId="75CFF7D1" w:rsidR="00D74D32" w:rsidRDefault="00D74D32" w:rsidP="00D74D32">
            <w:pPr>
              <w:jc w:val="both"/>
              <w:rPr>
                <w:szCs w:val="24"/>
              </w:rPr>
            </w:pPr>
            <w:r w:rsidRPr="00A65700">
              <w:rPr>
                <w:szCs w:val="24"/>
              </w:rPr>
              <w:t xml:space="preserve">Nurodomas NPP 5.3. uždavinio įgyvendinimo rodiklis 5.3.4. „Skrydžių krypčių iš Lietuvos oro uostų skaičius (2019 m. – 92 vnt., 2025 m. – 110 vnt., 2030 m. – 120 vnt.)“, tačiau šiuo metu Susisiekimo ministerijos darbo grupės rengiamose Aviacijos vystymo gairėse numatyti tokie tikslai: „2030 m. Lietuva yra pasiekiama ne mažiau kaip </w:t>
            </w:r>
            <w:r w:rsidRPr="00A65700">
              <w:rPr>
                <w:szCs w:val="24"/>
              </w:rPr>
              <w:lastRenderedPageBreak/>
              <w:t>150 krypčių, IATA pasiekiamumo vertinimo reitinge 2030 m. Lietuva yra pakilusi bent per 10 pozicijų (iš 95 į 85), o ACI Europ</w:t>
            </w:r>
            <w:r>
              <w:rPr>
                <w:szCs w:val="24"/>
              </w:rPr>
              <w:t>oj</w:t>
            </w:r>
            <w:r w:rsidRPr="00A65700">
              <w:rPr>
                <w:szCs w:val="24"/>
              </w:rPr>
              <w:t>e pasiekiamumo su jungiamaisiais oro uostais reitinge Lietuva priartėja prie ES vidurkio.“ Siūlome suderinti Aviacijos vystymo gairėse numatomus nustatyti rodiklius su rodikliais, pateikiamais Projekte.</w:t>
            </w:r>
          </w:p>
        </w:tc>
        <w:tc>
          <w:tcPr>
            <w:tcW w:w="6288" w:type="dxa"/>
          </w:tcPr>
          <w:p w14:paraId="6C85F473" w14:textId="6C624364" w:rsidR="00D74D32" w:rsidRDefault="00D74D32" w:rsidP="00D74D32">
            <w:pPr>
              <w:tabs>
                <w:tab w:val="left" w:pos="452"/>
                <w:tab w:val="left" w:pos="1728"/>
              </w:tabs>
              <w:jc w:val="both"/>
              <w:rPr>
                <w:b/>
                <w:bCs/>
                <w:szCs w:val="24"/>
              </w:rPr>
            </w:pPr>
            <w:r w:rsidRPr="002D5033">
              <w:rPr>
                <w:b/>
                <w:bCs/>
                <w:szCs w:val="24"/>
              </w:rPr>
              <w:lastRenderedPageBreak/>
              <w:t>Neatsižvelgta.</w:t>
            </w:r>
          </w:p>
          <w:p w14:paraId="4EF3E502" w14:textId="08CCBFBA" w:rsidR="00D74D32" w:rsidRPr="00A65700" w:rsidRDefault="00D74D32" w:rsidP="00D74D32">
            <w:pPr>
              <w:tabs>
                <w:tab w:val="left" w:pos="452"/>
                <w:tab w:val="left" w:pos="1728"/>
              </w:tabs>
              <w:jc w:val="both"/>
              <w:rPr>
                <w:szCs w:val="24"/>
              </w:rPr>
            </w:pPr>
            <w:r>
              <w:rPr>
                <w:szCs w:val="24"/>
              </w:rPr>
              <w:t xml:space="preserve">Atsižvelgiant į tai, kad </w:t>
            </w:r>
            <w:r w:rsidRPr="00A65700">
              <w:rPr>
                <w:szCs w:val="24"/>
              </w:rPr>
              <w:t>Aviacijos vystymo gair</w:t>
            </w:r>
            <w:r w:rsidR="00C044F6">
              <w:rPr>
                <w:szCs w:val="24"/>
              </w:rPr>
              <w:t>ės</w:t>
            </w:r>
            <w:r>
              <w:rPr>
                <w:szCs w:val="24"/>
              </w:rPr>
              <w:t>, kuri</w:t>
            </w:r>
            <w:r w:rsidR="00C044F6">
              <w:rPr>
                <w:szCs w:val="24"/>
              </w:rPr>
              <w:t>omis</w:t>
            </w:r>
            <w:r>
              <w:rPr>
                <w:szCs w:val="24"/>
              </w:rPr>
              <w:t xml:space="preserve"> siūloma vadovautis, dar nėra patvirtint</w:t>
            </w:r>
            <w:r w:rsidR="00C044F6">
              <w:rPr>
                <w:szCs w:val="24"/>
              </w:rPr>
              <w:t>o</w:t>
            </w:r>
            <w:r>
              <w:rPr>
                <w:szCs w:val="24"/>
              </w:rPr>
              <w:t xml:space="preserve">s, o siūlomas tikslinti NPP </w:t>
            </w:r>
            <w:r w:rsidRPr="00A65700">
              <w:rPr>
                <w:szCs w:val="24"/>
              </w:rPr>
              <w:t xml:space="preserve">5.3.4 </w:t>
            </w:r>
            <w:r>
              <w:rPr>
                <w:szCs w:val="24"/>
              </w:rPr>
              <w:t xml:space="preserve">rodiklis </w:t>
            </w:r>
            <w:r w:rsidRPr="00A65700">
              <w:rPr>
                <w:szCs w:val="24"/>
              </w:rPr>
              <w:t xml:space="preserve">„Skrydžių krypčių iš Lietuvos oro uostų </w:t>
            </w:r>
            <w:r w:rsidRPr="00A65700">
              <w:rPr>
                <w:szCs w:val="24"/>
              </w:rPr>
              <w:lastRenderedPageBreak/>
              <w:t>skaičius</w:t>
            </w:r>
            <w:r>
              <w:rPr>
                <w:szCs w:val="24"/>
              </w:rPr>
              <w:t>“</w:t>
            </w:r>
            <w:r w:rsidRPr="00A65700">
              <w:rPr>
                <w:szCs w:val="24"/>
              </w:rPr>
              <w:t xml:space="preserve"> </w:t>
            </w:r>
            <w:r>
              <w:rPr>
                <w:szCs w:val="24"/>
              </w:rPr>
              <w:t>ir jo reikšmė yra patvirtinti NPP</w:t>
            </w:r>
            <w:r>
              <w:rPr>
                <w:rStyle w:val="Puslapioinaosnuoroda"/>
                <w:szCs w:val="24"/>
              </w:rPr>
              <w:footnoteReference w:id="2"/>
            </w:r>
            <w:r>
              <w:rPr>
                <w:szCs w:val="24"/>
              </w:rPr>
              <w:t xml:space="preserve">, kuris nėra keičiamas rengiant </w:t>
            </w:r>
            <w:r w:rsidR="00C044F6">
              <w:rPr>
                <w:szCs w:val="24"/>
              </w:rPr>
              <w:t>P</w:t>
            </w:r>
            <w:r>
              <w:rPr>
                <w:szCs w:val="24"/>
              </w:rPr>
              <w:t xml:space="preserve">lėtros programą, pateiktas </w:t>
            </w:r>
            <w:r w:rsidR="00C044F6">
              <w:rPr>
                <w:szCs w:val="24"/>
              </w:rPr>
              <w:t>pa</w:t>
            </w:r>
            <w:r>
              <w:rPr>
                <w:szCs w:val="24"/>
              </w:rPr>
              <w:t>siūlymas bus įvertintas vėlesniame strateginio planavimo dokumentų tikslinimo etape.</w:t>
            </w:r>
          </w:p>
        </w:tc>
      </w:tr>
      <w:tr w:rsidR="00D74D32" w14:paraId="5A8EED4B" w14:textId="77777777" w:rsidTr="00A769AE">
        <w:trPr>
          <w:gridAfter w:val="1"/>
          <w:wAfter w:w="9" w:type="dxa"/>
        </w:trPr>
        <w:tc>
          <w:tcPr>
            <w:tcW w:w="2684" w:type="dxa"/>
            <w:vMerge/>
          </w:tcPr>
          <w:p w14:paraId="537CE957" w14:textId="77777777" w:rsidR="00D74D32" w:rsidRDefault="00D74D32" w:rsidP="00D74D32">
            <w:pPr>
              <w:rPr>
                <w:b/>
                <w:bCs/>
                <w:szCs w:val="24"/>
              </w:rPr>
            </w:pPr>
          </w:p>
        </w:tc>
        <w:tc>
          <w:tcPr>
            <w:tcW w:w="7029" w:type="dxa"/>
          </w:tcPr>
          <w:p w14:paraId="12D042F6" w14:textId="6B1C649D" w:rsidR="00D74D32" w:rsidRDefault="00D74D32" w:rsidP="00D74D32">
            <w:pPr>
              <w:jc w:val="both"/>
              <w:rPr>
                <w:szCs w:val="24"/>
              </w:rPr>
            </w:pPr>
            <w:r w:rsidRPr="00A65700">
              <w:rPr>
                <w:szCs w:val="24"/>
              </w:rPr>
              <w:t>Nors daugumoje sričių iškeltos problemos mūsų narių vertintinos kaip identifikuotos teisingai, bendrai pasigendame glaudesnio ryšio tarp nagrinėjamų esminių problemų priežasčių bei sėkmės rodiklių. Lietuvos aviacijos sektoriaus plėtrai kliudančios problemos ir jų priežastys identifikuotos iš esmės teisingai, tačiau joms visoms išspręsti taikomi du sėkmės rodikliai – skrydžių kryptys ir keleivių skaičius.</w:t>
            </w:r>
          </w:p>
          <w:p w14:paraId="72121045" w14:textId="78D59894" w:rsidR="00D74D32" w:rsidRDefault="00D74D32" w:rsidP="00D74D32">
            <w:pPr>
              <w:jc w:val="both"/>
              <w:rPr>
                <w:szCs w:val="24"/>
              </w:rPr>
            </w:pPr>
            <w:r>
              <w:rPr>
                <w:szCs w:val="24"/>
              </w:rPr>
              <w:t xml:space="preserve">4.1. </w:t>
            </w:r>
            <w:r w:rsidRPr="00A65700">
              <w:rPr>
                <w:szCs w:val="24"/>
              </w:rPr>
              <w:t>Visgi tai, kad atsiras daugiau skrydžių krypčių, neskatins aviacijos verslo, o sukurtas verslas, priešingai, gali pridėti naujų skrydžių krypčių. Todėl reikia skatinti reikia verslą, kuris sukūręs vertę, pritrauks tiek papildomus skrydžius, tiek papildomus verslus. Siūlytume atkartoti tai, kas yra numatoma dabar rengiamose Aviacijos vystymo gairėse, t.</w:t>
            </w:r>
            <w:r>
              <w:rPr>
                <w:szCs w:val="24"/>
              </w:rPr>
              <w:t xml:space="preserve"> </w:t>
            </w:r>
            <w:r w:rsidRPr="00A65700">
              <w:rPr>
                <w:szCs w:val="24"/>
              </w:rPr>
              <w:t>y. didinti oro transporto sektoriaus kuriamą vertę ir konkurencingumą šalies viduje, su ES valstybėmis narėmis ir trečiosiomis šalimis, ir čia puikiai tinka tikslas siekti 5% šalies BVP iš aviacijos sektoriaus, tuo tarpu skrydžiu kryptis performuluoti ne kaip tikslą savaime, tačiau kaip būdą matuoti skrydžių kryptis būtent su strateginėmis Lietuvos rinkomis ir tomis rinkomis, kurias valstybė siekia „atverti“.</w:t>
            </w:r>
          </w:p>
          <w:p w14:paraId="7A1092C8" w14:textId="3927595D" w:rsidR="00D74D32" w:rsidRPr="00A65700" w:rsidRDefault="00D74D32" w:rsidP="00D74D32">
            <w:pPr>
              <w:jc w:val="both"/>
              <w:rPr>
                <w:szCs w:val="24"/>
              </w:rPr>
            </w:pPr>
            <w:r w:rsidRPr="00A65700">
              <w:rPr>
                <w:szCs w:val="24"/>
              </w:rPr>
              <w:t>4.2. Taip pat kaip vienas iš sėkmės rodiklių nurodomas Lietuvos oro uostuose aptarnautų keleivių skaičius, mln. keleivių“, tačiau Susisiekimo oro transportu pagerėjimas negali būti matuojamas tik aptarnautų keleivių skaičiumi.</w:t>
            </w:r>
            <w:r>
              <w:rPr>
                <w:szCs w:val="24"/>
              </w:rPr>
              <w:t xml:space="preserve"> </w:t>
            </w:r>
            <w:r w:rsidRPr="00A65700">
              <w:rPr>
                <w:szCs w:val="24"/>
              </w:rPr>
              <w:t xml:space="preserve">Šis mūsų narių pastebėjimas aktualus ne tik aviacijos sektorių liečiančią plano dalį. Kai kurie sėkmės rodikliai yra išvestiniai – pavyzdžiui, kaip vienas iš NPP 5.4. uždavinio įgyvendinimo sėkmės rodiklių yra nurodomas „Sukurtų papildomų </w:t>
            </w:r>
            <w:r w:rsidRPr="00A65700">
              <w:rPr>
                <w:szCs w:val="24"/>
              </w:rPr>
              <w:lastRenderedPageBreak/>
              <w:t xml:space="preserve">naujų darbo vietų skaičius, </w:t>
            </w:r>
            <w:proofErr w:type="spellStart"/>
            <w:r w:rsidRPr="00A65700">
              <w:rPr>
                <w:szCs w:val="24"/>
              </w:rPr>
              <w:t>įveiklinant</w:t>
            </w:r>
            <w:proofErr w:type="spellEnd"/>
            <w:r w:rsidRPr="00A65700">
              <w:rPr>
                <w:szCs w:val="24"/>
              </w:rPr>
              <w:t xml:space="preserve"> ryšių infrastruktūrą“, tačiau darbo vietų skaičius </w:t>
            </w:r>
            <w:proofErr w:type="spellStart"/>
            <w:r w:rsidRPr="00A65700">
              <w:rPr>
                <w:szCs w:val="24"/>
              </w:rPr>
              <w:t>įveiklinant</w:t>
            </w:r>
            <w:proofErr w:type="spellEnd"/>
            <w:r w:rsidRPr="00A65700">
              <w:rPr>
                <w:szCs w:val="24"/>
              </w:rPr>
              <w:t xml:space="preserve"> ryšių infrastruktūrą savaime neteikia naudos, o tik rodo, kad kažkas tuo metu dirba kurdamas ar prižiūrėdamas infrastruktūrą. Galima būtų teigti, kad jeigu sėkmė matuojama pagal darbo vietų skaičių, tai gali kirstis su paties infrastruktūros panaudojimo efektyvumo didinimo tikslu.</w:t>
            </w:r>
          </w:p>
        </w:tc>
        <w:tc>
          <w:tcPr>
            <w:tcW w:w="6288" w:type="dxa"/>
          </w:tcPr>
          <w:p w14:paraId="0F8E25BD" w14:textId="63C6E2B4" w:rsidR="00D74D32" w:rsidRDefault="00D74D32" w:rsidP="00D74D32">
            <w:pPr>
              <w:tabs>
                <w:tab w:val="left" w:pos="452"/>
                <w:tab w:val="left" w:pos="1728"/>
              </w:tabs>
              <w:jc w:val="both"/>
              <w:rPr>
                <w:b/>
                <w:bCs/>
                <w:szCs w:val="24"/>
              </w:rPr>
            </w:pPr>
            <w:r w:rsidRPr="002F0F24">
              <w:rPr>
                <w:b/>
                <w:bCs/>
                <w:szCs w:val="24"/>
              </w:rPr>
              <w:lastRenderedPageBreak/>
              <w:t>Neatsižvelgta.</w:t>
            </w:r>
          </w:p>
          <w:p w14:paraId="443AF29D" w14:textId="7CA32DE5" w:rsidR="00D74D32" w:rsidRDefault="00D74D32" w:rsidP="00D74D32">
            <w:pPr>
              <w:tabs>
                <w:tab w:val="left" w:pos="452"/>
                <w:tab w:val="left" w:pos="1728"/>
              </w:tabs>
              <w:jc w:val="both"/>
              <w:rPr>
                <w:szCs w:val="24"/>
              </w:rPr>
            </w:pPr>
            <w:r w:rsidRPr="00A65700">
              <w:rPr>
                <w:szCs w:val="24"/>
              </w:rPr>
              <w:t>4.1.</w:t>
            </w:r>
            <w:r>
              <w:rPr>
                <w:szCs w:val="24"/>
              </w:rPr>
              <w:t xml:space="preserve"> </w:t>
            </w:r>
            <w:r w:rsidRPr="00A65700">
              <w:rPr>
                <w:szCs w:val="24"/>
              </w:rPr>
              <w:t xml:space="preserve">Vienas iš </w:t>
            </w:r>
            <w:r>
              <w:rPr>
                <w:szCs w:val="24"/>
              </w:rPr>
              <w:t xml:space="preserve">NPP </w:t>
            </w:r>
            <w:r w:rsidRPr="00A65700">
              <w:rPr>
                <w:szCs w:val="24"/>
              </w:rPr>
              <w:t xml:space="preserve">5.3 uždavinio tikslų yra gerinti Lietuvos junglumą su </w:t>
            </w:r>
            <w:r w:rsidRPr="002F0F24">
              <w:rPr>
                <w:szCs w:val="24"/>
              </w:rPr>
              <w:t>ES valstybėmis narėmis ir trečiosiomis šalimis</w:t>
            </w:r>
            <w:r w:rsidRPr="00A65700">
              <w:rPr>
                <w:szCs w:val="24"/>
              </w:rPr>
              <w:t>. Junglumo situacija analizuojama ir oro transporto sektoriuje: ar jis yra pakankamas ir kaip vertinamas ES šalių kontekste. Susisiekimo ministerijos kompetencij</w:t>
            </w:r>
            <w:r w:rsidR="00C044F6">
              <w:rPr>
                <w:szCs w:val="24"/>
              </w:rPr>
              <w:t>ai</w:t>
            </w:r>
            <w:r w:rsidRPr="00A65700">
              <w:rPr>
                <w:szCs w:val="24"/>
              </w:rPr>
              <w:t xml:space="preserve"> </w:t>
            </w:r>
            <w:r w:rsidR="00C044F6">
              <w:rPr>
                <w:szCs w:val="24"/>
              </w:rPr>
              <w:t xml:space="preserve">priskirtas </w:t>
            </w:r>
            <w:r w:rsidRPr="00A65700">
              <w:rPr>
                <w:szCs w:val="24"/>
              </w:rPr>
              <w:t xml:space="preserve"> </w:t>
            </w:r>
            <w:r>
              <w:rPr>
                <w:szCs w:val="24"/>
              </w:rPr>
              <w:t xml:space="preserve">junglumo </w:t>
            </w:r>
            <w:r w:rsidRPr="00A65700">
              <w:rPr>
                <w:szCs w:val="24"/>
              </w:rPr>
              <w:t>užtikrinimas</w:t>
            </w:r>
            <w:r>
              <w:rPr>
                <w:szCs w:val="24"/>
              </w:rPr>
              <w:t>.</w:t>
            </w:r>
            <w:r w:rsidRPr="00A65700">
              <w:rPr>
                <w:szCs w:val="24"/>
              </w:rPr>
              <w:t xml:space="preserve"> </w:t>
            </w:r>
            <w:r>
              <w:rPr>
                <w:szCs w:val="24"/>
              </w:rPr>
              <w:t>K</w:t>
            </w:r>
            <w:r w:rsidRPr="00A65700">
              <w:rPr>
                <w:szCs w:val="24"/>
              </w:rPr>
              <w:t>rypčių pasirinkimas, jų vystymas</w:t>
            </w:r>
            <w:r>
              <w:rPr>
                <w:szCs w:val="24"/>
              </w:rPr>
              <w:t xml:space="preserve"> nėra </w:t>
            </w:r>
            <w:r w:rsidRPr="00A65700">
              <w:rPr>
                <w:szCs w:val="24"/>
              </w:rPr>
              <w:t xml:space="preserve">betikslis, </w:t>
            </w:r>
            <w:r>
              <w:rPr>
                <w:szCs w:val="24"/>
              </w:rPr>
              <w:t>jis</w:t>
            </w:r>
            <w:r w:rsidRPr="00A65700">
              <w:rPr>
                <w:szCs w:val="24"/>
              </w:rPr>
              <w:t xml:space="preserve"> sudar</w:t>
            </w:r>
            <w:r>
              <w:rPr>
                <w:szCs w:val="24"/>
              </w:rPr>
              <w:t>o</w:t>
            </w:r>
            <w:r w:rsidRPr="00A65700">
              <w:rPr>
                <w:szCs w:val="24"/>
              </w:rPr>
              <w:t xml:space="preserve"> sąlygas investicijoms pritraukti, plėstis ir kurtis verslams, skatinti turizmą. Taip pat </w:t>
            </w:r>
            <w:r>
              <w:rPr>
                <w:szCs w:val="24"/>
              </w:rPr>
              <w:t>atkreiptinas dėmesys</w:t>
            </w:r>
            <w:r w:rsidRPr="00A65700">
              <w:rPr>
                <w:szCs w:val="24"/>
              </w:rPr>
              <w:t xml:space="preserve">, kad dėl verslui </w:t>
            </w:r>
            <w:r>
              <w:rPr>
                <w:szCs w:val="24"/>
              </w:rPr>
              <w:t>aktualių</w:t>
            </w:r>
            <w:r w:rsidRPr="00A65700">
              <w:rPr>
                <w:szCs w:val="24"/>
              </w:rPr>
              <w:t xml:space="preserve"> skrydžių krypčių bendradarbiaujama su </w:t>
            </w:r>
            <w:r w:rsidR="00C044F6">
              <w:rPr>
                <w:szCs w:val="24"/>
              </w:rPr>
              <w:t>LR ekonomikos ir inovacijų ministerija</w:t>
            </w:r>
            <w:r w:rsidRPr="00A65700">
              <w:rPr>
                <w:szCs w:val="24"/>
              </w:rPr>
              <w:t>.</w:t>
            </w:r>
            <w:r>
              <w:rPr>
                <w:szCs w:val="24"/>
              </w:rPr>
              <w:t xml:space="preserve"> Siektinas s</w:t>
            </w:r>
            <w:r w:rsidRPr="00A65700">
              <w:rPr>
                <w:szCs w:val="24"/>
              </w:rPr>
              <w:t>krydžių krypčių skaiči</w:t>
            </w:r>
            <w:r>
              <w:rPr>
                <w:szCs w:val="24"/>
              </w:rPr>
              <w:t>aus rodiklis</w:t>
            </w:r>
            <w:r w:rsidRPr="00A65700">
              <w:rPr>
                <w:szCs w:val="24"/>
              </w:rPr>
              <w:t xml:space="preserve"> nėra numatytas kaip </w:t>
            </w:r>
            <w:r w:rsidR="00C044F6">
              <w:rPr>
                <w:szCs w:val="24"/>
              </w:rPr>
              <w:t xml:space="preserve">savaiminis </w:t>
            </w:r>
            <w:r w:rsidRPr="00A65700">
              <w:rPr>
                <w:szCs w:val="24"/>
              </w:rPr>
              <w:t xml:space="preserve">tikslas, </w:t>
            </w:r>
            <w:r>
              <w:rPr>
                <w:szCs w:val="24"/>
              </w:rPr>
              <w:t xml:space="preserve">nes būtent </w:t>
            </w:r>
            <w:r w:rsidRPr="00A65700">
              <w:rPr>
                <w:szCs w:val="24"/>
              </w:rPr>
              <w:t>skrydžių krypt</w:t>
            </w:r>
            <w:r>
              <w:rPr>
                <w:szCs w:val="24"/>
              </w:rPr>
              <w:t xml:space="preserve">ys, </w:t>
            </w:r>
            <w:r w:rsidR="00C044F6">
              <w:rPr>
                <w:szCs w:val="24"/>
              </w:rPr>
              <w:t xml:space="preserve">į </w:t>
            </w:r>
            <w:r>
              <w:rPr>
                <w:szCs w:val="24"/>
              </w:rPr>
              <w:t>ypač</w:t>
            </w:r>
            <w:r w:rsidR="00C044F6">
              <w:rPr>
                <w:szCs w:val="24"/>
              </w:rPr>
              <w:t xml:space="preserve"> </w:t>
            </w:r>
            <w:r w:rsidRPr="00A65700">
              <w:rPr>
                <w:szCs w:val="24"/>
              </w:rPr>
              <w:t xml:space="preserve"> strategin</w:t>
            </w:r>
            <w:r w:rsidR="00C044F6">
              <w:rPr>
                <w:szCs w:val="24"/>
              </w:rPr>
              <w:t>es</w:t>
            </w:r>
            <w:r w:rsidRPr="00A65700">
              <w:rPr>
                <w:szCs w:val="24"/>
              </w:rPr>
              <w:t xml:space="preserve"> Lietuvos rink</w:t>
            </w:r>
            <w:r w:rsidR="00C044F6">
              <w:rPr>
                <w:szCs w:val="24"/>
              </w:rPr>
              <w:t>a</w:t>
            </w:r>
            <w:r>
              <w:rPr>
                <w:szCs w:val="24"/>
              </w:rPr>
              <w:t xml:space="preserve">s, </w:t>
            </w:r>
            <w:r w:rsidR="003B0E01">
              <w:rPr>
                <w:szCs w:val="24"/>
              </w:rPr>
              <w:t xml:space="preserve">turi </w:t>
            </w:r>
            <w:r>
              <w:rPr>
                <w:szCs w:val="24"/>
              </w:rPr>
              <w:t>reikšming</w:t>
            </w:r>
            <w:r w:rsidR="003B0E01">
              <w:rPr>
                <w:szCs w:val="24"/>
              </w:rPr>
              <w:t>ą</w:t>
            </w:r>
            <w:r>
              <w:rPr>
                <w:szCs w:val="24"/>
              </w:rPr>
              <w:t xml:space="preserve"> įtak</w:t>
            </w:r>
            <w:r w:rsidR="003B0E01">
              <w:rPr>
                <w:szCs w:val="24"/>
              </w:rPr>
              <w:t>ą</w:t>
            </w:r>
            <w:r>
              <w:rPr>
                <w:szCs w:val="24"/>
              </w:rPr>
              <w:t xml:space="preserve"> teikiamų aviacijos paslaugų kokybės vertinim</w:t>
            </w:r>
            <w:r w:rsidR="003B0E01">
              <w:rPr>
                <w:szCs w:val="24"/>
              </w:rPr>
              <w:t>ui</w:t>
            </w:r>
            <w:r>
              <w:rPr>
                <w:szCs w:val="24"/>
              </w:rPr>
              <w:t xml:space="preserve">, o sukuriamo BVP iš aviacijos sektoriaus rodiklis priskirtinas poveikio rodikliams, kurie nustatomi aukštesnio negu </w:t>
            </w:r>
            <w:r w:rsidR="003B0E01">
              <w:rPr>
                <w:szCs w:val="24"/>
              </w:rPr>
              <w:t>P</w:t>
            </w:r>
            <w:r>
              <w:rPr>
                <w:szCs w:val="24"/>
              </w:rPr>
              <w:t>lėtros programa lygmens strateginio planavimo dokumentuose.</w:t>
            </w:r>
          </w:p>
          <w:p w14:paraId="68DBFD3D" w14:textId="542B45E0" w:rsidR="00D74D32" w:rsidRPr="00A65700" w:rsidRDefault="00D74D32" w:rsidP="00D74D32">
            <w:pPr>
              <w:tabs>
                <w:tab w:val="left" w:pos="452"/>
                <w:tab w:val="left" w:pos="1728"/>
              </w:tabs>
              <w:jc w:val="both"/>
              <w:rPr>
                <w:szCs w:val="24"/>
              </w:rPr>
            </w:pPr>
            <w:r>
              <w:rPr>
                <w:szCs w:val="24"/>
              </w:rPr>
              <w:t>4.2. K</w:t>
            </w:r>
            <w:r w:rsidRPr="00A65700">
              <w:rPr>
                <w:szCs w:val="24"/>
              </w:rPr>
              <w:t xml:space="preserve">omentare minimi rodikliai </w:t>
            </w:r>
            <w:r>
              <w:rPr>
                <w:szCs w:val="24"/>
              </w:rPr>
              <w:t>„</w:t>
            </w:r>
            <w:r w:rsidRPr="00A65700">
              <w:rPr>
                <w:szCs w:val="24"/>
              </w:rPr>
              <w:t>Lietuvos oro uostuose aptar</w:t>
            </w:r>
            <w:r>
              <w:rPr>
                <w:szCs w:val="24"/>
              </w:rPr>
              <w:t>nautų</w:t>
            </w:r>
            <w:r w:rsidRPr="00A65700">
              <w:rPr>
                <w:szCs w:val="24"/>
              </w:rPr>
              <w:t xml:space="preserve"> keleivių skaičius</w:t>
            </w:r>
            <w:r>
              <w:rPr>
                <w:szCs w:val="24"/>
              </w:rPr>
              <w:t>“</w:t>
            </w:r>
            <w:r w:rsidRPr="00A65700">
              <w:rPr>
                <w:szCs w:val="24"/>
              </w:rPr>
              <w:t xml:space="preserve"> yra pažangos priemonės </w:t>
            </w:r>
            <w:r>
              <w:rPr>
                <w:szCs w:val="24"/>
              </w:rPr>
              <w:t>„</w:t>
            </w:r>
            <w:r w:rsidRPr="00A65700">
              <w:rPr>
                <w:szCs w:val="24"/>
              </w:rPr>
              <w:t>Gerinti susisiekimą oro transportu</w:t>
            </w:r>
            <w:r>
              <w:rPr>
                <w:szCs w:val="24"/>
              </w:rPr>
              <w:t>“</w:t>
            </w:r>
            <w:r w:rsidRPr="00A65700">
              <w:rPr>
                <w:szCs w:val="24"/>
              </w:rPr>
              <w:t xml:space="preserve">, o </w:t>
            </w:r>
            <w:r>
              <w:rPr>
                <w:szCs w:val="24"/>
              </w:rPr>
              <w:t>„</w:t>
            </w:r>
            <w:r w:rsidRPr="00A65700">
              <w:rPr>
                <w:szCs w:val="24"/>
              </w:rPr>
              <w:t xml:space="preserve">Sukurtų papildomų naujų darbo vietų skaičius, </w:t>
            </w:r>
            <w:proofErr w:type="spellStart"/>
            <w:r w:rsidRPr="00A65700">
              <w:rPr>
                <w:szCs w:val="24"/>
              </w:rPr>
              <w:t>įveiklinant</w:t>
            </w:r>
            <w:proofErr w:type="spellEnd"/>
            <w:r w:rsidRPr="00A65700">
              <w:rPr>
                <w:szCs w:val="24"/>
              </w:rPr>
              <w:t xml:space="preserve"> ryšių infrastruktūrą“ yra pažangos priemonės </w:t>
            </w:r>
            <w:r>
              <w:rPr>
                <w:szCs w:val="24"/>
              </w:rPr>
              <w:t>„</w:t>
            </w:r>
            <w:r w:rsidRPr="00A65700">
              <w:rPr>
                <w:szCs w:val="24"/>
              </w:rPr>
              <w:t>Didinti susisiekimo sistemos kuriamą vertę ir infrastruktūros panaudojimo efektyvumą</w:t>
            </w:r>
            <w:r>
              <w:rPr>
                <w:szCs w:val="24"/>
              </w:rPr>
              <w:t>“</w:t>
            </w:r>
            <w:r w:rsidRPr="00A65700">
              <w:rPr>
                <w:szCs w:val="24"/>
              </w:rPr>
              <w:t xml:space="preserve"> rezultato rodikliai, </w:t>
            </w:r>
            <w:r w:rsidRPr="00A65700">
              <w:rPr>
                <w:szCs w:val="24"/>
              </w:rPr>
              <w:lastRenderedPageBreak/>
              <w:t xml:space="preserve">kurie parodo, koks bus pasiektas rezultatas išsprendus </w:t>
            </w:r>
            <w:r>
              <w:rPr>
                <w:szCs w:val="24"/>
              </w:rPr>
              <w:t>identifikuotas problemas ir jų priežastis</w:t>
            </w:r>
            <w:r w:rsidRPr="00A65700">
              <w:rPr>
                <w:szCs w:val="24"/>
              </w:rPr>
              <w:t xml:space="preserve">. </w:t>
            </w:r>
            <w:r>
              <w:rPr>
                <w:szCs w:val="24"/>
              </w:rPr>
              <w:t>Nauda</w:t>
            </w:r>
            <w:r w:rsidRPr="00A65700">
              <w:rPr>
                <w:szCs w:val="24"/>
              </w:rPr>
              <w:t xml:space="preserve"> </w:t>
            </w:r>
            <w:r>
              <w:rPr>
                <w:szCs w:val="24"/>
              </w:rPr>
              <w:t xml:space="preserve">matuojama </w:t>
            </w:r>
            <w:r w:rsidRPr="00A65700">
              <w:rPr>
                <w:szCs w:val="24"/>
              </w:rPr>
              <w:t>NPP suplanuot</w:t>
            </w:r>
            <w:r>
              <w:rPr>
                <w:szCs w:val="24"/>
              </w:rPr>
              <w:t>ais ir patvirtintais poveikio</w:t>
            </w:r>
            <w:r w:rsidRPr="00A65700">
              <w:rPr>
                <w:szCs w:val="24"/>
              </w:rPr>
              <w:t xml:space="preserve"> rodikliai</w:t>
            </w:r>
            <w:r>
              <w:rPr>
                <w:szCs w:val="24"/>
              </w:rPr>
              <w:t>s</w:t>
            </w:r>
            <w:r w:rsidRPr="00A65700">
              <w:rPr>
                <w:szCs w:val="24"/>
              </w:rPr>
              <w:t>.</w:t>
            </w:r>
          </w:p>
        </w:tc>
      </w:tr>
      <w:tr w:rsidR="00D74D32" w14:paraId="2AAB3F8C" w14:textId="77777777" w:rsidTr="00A769AE">
        <w:trPr>
          <w:gridAfter w:val="1"/>
          <w:wAfter w:w="9" w:type="dxa"/>
        </w:trPr>
        <w:tc>
          <w:tcPr>
            <w:tcW w:w="2684" w:type="dxa"/>
            <w:vMerge/>
          </w:tcPr>
          <w:p w14:paraId="5CFD5D4C" w14:textId="77777777" w:rsidR="00D74D32" w:rsidRDefault="00D74D32" w:rsidP="00D74D32">
            <w:pPr>
              <w:rPr>
                <w:b/>
                <w:bCs/>
                <w:szCs w:val="24"/>
              </w:rPr>
            </w:pPr>
          </w:p>
        </w:tc>
        <w:tc>
          <w:tcPr>
            <w:tcW w:w="7029" w:type="dxa"/>
          </w:tcPr>
          <w:p w14:paraId="7EF11342" w14:textId="681266C8" w:rsidR="00D74D32" w:rsidRPr="00A65700" w:rsidRDefault="00D74D32" w:rsidP="00D74D32">
            <w:pPr>
              <w:jc w:val="both"/>
              <w:rPr>
                <w:szCs w:val="24"/>
              </w:rPr>
            </w:pPr>
            <w:r w:rsidRPr="00A65700">
              <w:rPr>
                <w:szCs w:val="24"/>
              </w:rPr>
              <w:t>5. Taip pat atkreipiame dėmesį, kad kai kurie rodikliai Projekte yra pateikti fragmentuotai, galimai yra nesuderinti su NPP iškeltais rodikliais. Kai kurie rodikliai ar tikslo rodikliai yra nurodomi prie uždavinių detalizavimo, tačiau nenurodomi Projekto III skyriuje. To pavyzdys – jau minėti aviacijos sektoriuje išsikelti tikslai. Siūlome užtikrinti, kad Projekte atsispindintys sėkmės rodikliai sutaptų su NPP įtvirtintais sėkmės rodikliais.</w:t>
            </w:r>
          </w:p>
        </w:tc>
        <w:tc>
          <w:tcPr>
            <w:tcW w:w="6288" w:type="dxa"/>
          </w:tcPr>
          <w:p w14:paraId="67D8B516" w14:textId="415291AB" w:rsidR="00D74D32" w:rsidRDefault="00D74D32" w:rsidP="00D74D32">
            <w:pPr>
              <w:tabs>
                <w:tab w:val="left" w:pos="452"/>
                <w:tab w:val="left" w:pos="1728"/>
              </w:tabs>
              <w:jc w:val="both"/>
              <w:rPr>
                <w:b/>
                <w:bCs/>
                <w:szCs w:val="24"/>
              </w:rPr>
            </w:pPr>
            <w:r w:rsidRPr="00FD7E30">
              <w:rPr>
                <w:b/>
                <w:bCs/>
                <w:szCs w:val="24"/>
              </w:rPr>
              <w:t>Neatsižvelgta.</w:t>
            </w:r>
          </w:p>
          <w:p w14:paraId="017CC557" w14:textId="127DFEDE" w:rsidR="00D74D32" w:rsidRPr="00A65700" w:rsidRDefault="00D74D32" w:rsidP="00D74D32">
            <w:pPr>
              <w:tabs>
                <w:tab w:val="left" w:pos="452"/>
                <w:tab w:val="left" w:pos="1728"/>
              </w:tabs>
              <w:jc w:val="both"/>
              <w:rPr>
                <w:szCs w:val="24"/>
              </w:rPr>
            </w:pPr>
            <w:r>
              <w:rPr>
                <w:szCs w:val="24"/>
              </w:rPr>
              <w:t>Vadovaujantis Strateginio valdymo metodika</w:t>
            </w:r>
            <w:r>
              <w:rPr>
                <w:rStyle w:val="Puslapioinaosnuoroda"/>
                <w:szCs w:val="24"/>
              </w:rPr>
              <w:footnoteReference w:id="3"/>
            </w:r>
            <w:r>
              <w:rPr>
                <w:szCs w:val="24"/>
              </w:rPr>
              <w:t xml:space="preserve"> </w:t>
            </w:r>
            <w:r w:rsidR="003B0E01">
              <w:rPr>
                <w:szCs w:val="24"/>
              </w:rPr>
              <w:t>P</w:t>
            </w:r>
            <w:r w:rsidRPr="00A65700">
              <w:rPr>
                <w:szCs w:val="24"/>
              </w:rPr>
              <w:t>lėtros programos I skyriuje pateik</w:t>
            </w:r>
            <w:r>
              <w:rPr>
                <w:szCs w:val="24"/>
              </w:rPr>
              <w:t>ti</w:t>
            </w:r>
            <w:r w:rsidRPr="00A65700">
              <w:rPr>
                <w:szCs w:val="24"/>
              </w:rPr>
              <w:t xml:space="preserve"> NPP </w:t>
            </w:r>
            <w:r>
              <w:rPr>
                <w:szCs w:val="24"/>
              </w:rPr>
              <w:t>numatyti</w:t>
            </w:r>
            <w:r w:rsidRPr="00A65700">
              <w:rPr>
                <w:szCs w:val="24"/>
              </w:rPr>
              <w:t xml:space="preserve"> tikslų ir uždavinių </w:t>
            </w:r>
            <w:r>
              <w:rPr>
                <w:szCs w:val="24"/>
              </w:rPr>
              <w:t xml:space="preserve">poveikio </w:t>
            </w:r>
            <w:r w:rsidRPr="00A65700">
              <w:rPr>
                <w:szCs w:val="24"/>
              </w:rPr>
              <w:t xml:space="preserve">rodikliai </w:t>
            </w:r>
            <w:r>
              <w:rPr>
                <w:szCs w:val="24"/>
              </w:rPr>
              <w:t>nėra</w:t>
            </w:r>
            <w:r w:rsidRPr="00A65700">
              <w:rPr>
                <w:szCs w:val="24"/>
              </w:rPr>
              <w:t xml:space="preserve"> </w:t>
            </w:r>
            <w:r>
              <w:rPr>
                <w:szCs w:val="24"/>
              </w:rPr>
              <w:t xml:space="preserve">perkeliami </w:t>
            </w:r>
            <w:r w:rsidRPr="00A65700">
              <w:rPr>
                <w:szCs w:val="24"/>
              </w:rPr>
              <w:t xml:space="preserve">į </w:t>
            </w:r>
            <w:r w:rsidR="003B0E01">
              <w:rPr>
                <w:szCs w:val="24"/>
              </w:rPr>
              <w:t>P</w:t>
            </w:r>
            <w:r>
              <w:rPr>
                <w:szCs w:val="24"/>
              </w:rPr>
              <w:t xml:space="preserve">lėtros programos </w:t>
            </w:r>
            <w:r w:rsidRPr="00A65700">
              <w:rPr>
                <w:szCs w:val="24"/>
              </w:rPr>
              <w:t>III skyriuje esančią pažangos priemonių rinkinio lentelę. Minėtoje lentelėje pateikiami pažangos priemonių rezultato rodikliai.</w:t>
            </w:r>
            <w:r>
              <w:rPr>
                <w:szCs w:val="24"/>
              </w:rPr>
              <w:t xml:space="preserve"> Žemesnio lygmens plėtros programos rodikliai turi įtaką aukštesnio lygmens NPP poveikio rodiklių pasiekimui. </w:t>
            </w:r>
          </w:p>
        </w:tc>
      </w:tr>
    </w:tbl>
    <w:p w14:paraId="4D450E84" w14:textId="01578418" w:rsidR="0087529B" w:rsidRDefault="00F0600B">
      <w:pPr>
        <w:spacing w:line="259" w:lineRule="auto"/>
        <w:jc w:val="both"/>
        <w:rPr>
          <w:szCs w:val="24"/>
        </w:rPr>
      </w:pPr>
      <w:r>
        <w:rPr>
          <w:noProof/>
        </w:rPr>
        <mc:AlternateContent>
          <mc:Choice Requires="wps">
            <w:drawing>
              <wp:anchor distT="4294967295" distB="4294967295" distL="114300" distR="114300" simplePos="0" relativeHeight="251658240" behindDoc="0" locked="0" layoutInCell="1" allowOverlap="1" wp14:anchorId="6F967F84" wp14:editId="610469B1">
                <wp:simplePos x="0" y="0"/>
                <wp:positionH relativeFrom="column">
                  <wp:posOffset>952500</wp:posOffset>
                </wp:positionH>
                <wp:positionV relativeFrom="paragraph">
                  <wp:posOffset>364489</wp:posOffset>
                </wp:positionV>
                <wp:extent cx="6210300" cy="0"/>
                <wp:effectExtent l="0" t="0" r="0" b="19050"/>
                <wp:wrapNone/>
                <wp:docPr id="1"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72C6B80" id="Tiesioji jungtis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28.7pt" to="564pt,2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2q/ApQEAAKQDAAAOAAAAZHJzL2Uyb0RvYy54bWysU8FO3DAQvVfiHyzfWSeLhFC0WQ4guKAW FfoBxhlvLGyPZZtN9u9rO5u0AoQQ4mLFnvdm3puZbC5Ho8kefFBoW1qvKkrACuyU3bX0z+PN6QUl IXLbcY0WWnqAQC+3Jz82g2tgjT3qDjxJSWxoBtfSPkbXMBZED4aHFTqwKSjRGx7T1e9Y5/mQshvN 1lV1zgb0nfMoIIT0ej0F6bbklxJE/CVlgEh0S5O2WE5fzqd8su2GNzvPXa/EUQb/ggrDlU1Fl1TX PHLy4tWbVEYJjwFlXAk0DKVUAoqH5KauXrl56LmD4iU1J7ilTeH70oqf+yt777N0MdoHd4fiOaSm sMGFZgnmS3ATbJTeZHjSTsbSyMPSSBgjEenxfF1XZ1Xqt5hjjDcz0fkQbwENyR8t1cpmj7zh+7sQ c2nezJCjjql0EREPGjJY298giepSsbqwy8bAlfZkz9Osu+c6zzblKshMkUrrhVR9TDpiMw3KFn2W uKBLRbRxIRpl0b9XNY6zVDnhZ9eT12z7CbvDvZ/HklahODuubd61/++F/u/n2v4FAAD//wMAUEsD BBQABgAIAAAAIQBm1Nsz3QAAAAoBAAAPAAAAZHJzL2Rvd25yZXYueG1sTI/BTsMwEETvlfgHa5G4 tU4jWqoQp6oqIcQF0RTubrx1AvY6sp00/D2uOMBxZkezb8rtZA0b0YfOkYDlIgOG1DjVkRbwfnya b4CFKElJ4wgFfGOAbXUzK2Wh3IUOONZRs1RCoZAC2hj7gvPQtGhlWLgeKd3OzlsZk/SaKy8vqdwa nmfZmlvZUfrQyh73LTZf9WAFmBc/fui93oXh+bCuP9/O+etxFOLudto9Aos4xb8wXPETOlSJ6eQG UoGZpFdZ2hIFrB7ugV0Dy3yTnNOvw6uS/59Q/QAAAP//AwBQSwECLQAUAAYACAAAACEAtoM4kv4A AADhAQAAEwAAAAAAAAAAAAAAAAAAAAAAW0NvbnRlbnRfVHlwZXNdLnhtbFBLAQItABQABgAIAAAA IQA4/SH/1gAAAJQBAAALAAAAAAAAAAAAAAAAAC8BAABfcmVscy8ucmVsc1BLAQItABQABgAIAAAA IQAM2q/ApQEAAKQDAAAOAAAAAAAAAAAAAAAAAC4CAABkcnMvZTJvRG9jLnhtbFBLAQItABQABgAI AAAAIQBm1Nsz3QAAAAoBAAAPAAAAAAAAAAAAAAAAAP8DAABkcnMvZG93bnJldi54bWxQSwUGAAAA AAQABADzAAAACQUAAAAA " strokecolor="black [3200]" strokeweight=".5pt">
                <v:stroke joinstyle="miter"/>
                <o:lock v:ext="edit" shapetype="f"/>
              </v:line>
            </w:pict>
          </mc:Fallback>
        </mc:AlternateContent>
      </w:r>
    </w:p>
    <w:sectPr w:rsidR="0087529B">
      <w:footerReference w:type="default" r:id="rId11"/>
      <w:pgSz w:w="16838" w:h="11906" w:orient="landscape"/>
      <w:pgMar w:top="1701" w:right="567"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E566" w14:textId="77777777" w:rsidR="0087529B" w:rsidRDefault="00904C58">
      <w:pPr>
        <w:rPr>
          <w:sz w:val="22"/>
          <w:szCs w:val="22"/>
        </w:rPr>
      </w:pPr>
      <w:r>
        <w:rPr>
          <w:sz w:val="22"/>
          <w:szCs w:val="22"/>
        </w:rPr>
        <w:separator/>
      </w:r>
    </w:p>
  </w:endnote>
  <w:endnote w:type="continuationSeparator" w:id="0">
    <w:p w14:paraId="54B866B8" w14:textId="77777777" w:rsidR="0087529B" w:rsidRDefault="00904C58">
      <w:pPr>
        <w:rPr>
          <w:sz w:val="22"/>
          <w:szCs w:val="22"/>
        </w:rPr>
      </w:pPr>
      <w:r>
        <w:rPr>
          <w:sz w:val="22"/>
          <w:szCs w:val="22"/>
        </w:rPr>
        <w:continuationSeparator/>
      </w:r>
    </w:p>
  </w:endnote>
  <w:endnote w:type="continuationNotice" w:id="1">
    <w:p w14:paraId="3BA0D57D" w14:textId="77777777" w:rsidR="0087529B" w:rsidRDefault="0087529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Arial"/>
    <w:charset w:val="BA"/>
    <w:family w:val="swiss"/>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2530" w14:textId="77777777" w:rsidR="0087529B" w:rsidRDefault="00904C58">
    <w:pPr>
      <w:tabs>
        <w:tab w:val="center" w:pos="4513"/>
        <w:tab w:val="right" w:pos="9026"/>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Pr>
        <w:sz w:val="22"/>
        <w:szCs w:val="22"/>
      </w:rPr>
      <w:t>9</w:t>
    </w:r>
    <w:r>
      <w:rPr>
        <w:sz w:val="22"/>
        <w:szCs w:val="22"/>
      </w:rPr>
      <w:fldChar w:fldCharType="end"/>
    </w:r>
  </w:p>
  <w:p w14:paraId="20C05AB6" w14:textId="77777777" w:rsidR="0087529B" w:rsidRDefault="0087529B">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7DDA" w14:textId="77777777" w:rsidR="0087529B" w:rsidRDefault="00904C58">
      <w:pPr>
        <w:rPr>
          <w:sz w:val="22"/>
          <w:szCs w:val="22"/>
        </w:rPr>
      </w:pPr>
      <w:r>
        <w:rPr>
          <w:sz w:val="22"/>
          <w:szCs w:val="22"/>
        </w:rPr>
        <w:separator/>
      </w:r>
    </w:p>
  </w:footnote>
  <w:footnote w:type="continuationSeparator" w:id="0">
    <w:p w14:paraId="0BD20596" w14:textId="77777777" w:rsidR="0087529B" w:rsidRDefault="00904C58">
      <w:pPr>
        <w:rPr>
          <w:sz w:val="22"/>
          <w:szCs w:val="22"/>
        </w:rPr>
      </w:pPr>
      <w:r>
        <w:rPr>
          <w:sz w:val="22"/>
          <w:szCs w:val="22"/>
        </w:rPr>
        <w:continuationSeparator/>
      </w:r>
    </w:p>
  </w:footnote>
  <w:footnote w:type="continuationNotice" w:id="1">
    <w:p w14:paraId="3E69B6D9" w14:textId="77777777" w:rsidR="0087529B" w:rsidRDefault="0087529B">
      <w:pPr>
        <w:rPr>
          <w:sz w:val="22"/>
          <w:szCs w:val="22"/>
        </w:rPr>
      </w:pPr>
    </w:p>
  </w:footnote>
  <w:footnote w:id="2">
    <w:p w14:paraId="5FB38450" w14:textId="57C6E5E0" w:rsidR="00D74D32" w:rsidRDefault="00D74D32">
      <w:pPr>
        <w:pStyle w:val="Puslapioinaostekstas"/>
      </w:pPr>
      <w:r>
        <w:rPr>
          <w:rStyle w:val="Puslapioinaosnuoroda"/>
        </w:rPr>
        <w:footnoteRef/>
      </w:r>
      <w:r>
        <w:t xml:space="preserve"> Nacionalinis pažangos planas patvirtintas Lietuvos Respublikos Vyriausybės 2020 m. rugsėjo 9 d. nutarimu Nr. 998 „Dėl 2021–2030 metų nacionalinio pažangos plano patvirtinimo“.</w:t>
      </w:r>
    </w:p>
  </w:footnote>
  <w:footnote w:id="3">
    <w:p w14:paraId="53AD4443" w14:textId="6D65FE43" w:rsidR="00D74D32" w:rsidRDefault="00D74D32" w:rsidP="00762B52">
      <w:pPr>
        <w:pStyle w:val="Puslapioinaostekstas"/>
        <w:jc w:val="both"/>
      </w:pPr>
      <w:r>
        <w:rPr>
          <w:rStyle w:val="Puslapioinaosnuoroda"/>
        </w:rPr>
        <w:footnoteRef/>
      </w:r>
      <w:r>
        <w:t xml:space="preserve"> </w:t>
      </w:r>
      <w:r>
        <w:rPr>
          <w:szCs w:val="24"/>
        </w:rPr>
        <w:t xml:space="preserve">Strateginio valdymo metodika patvirtinta </w:t>
      </w:r>
      <w:r>
        <w:t>Lietuvos Respublikos 202</w:t>
      </w:r>
      <w:r>
        <w:rPr>
          <w:lang w:val="en-US"/>
        </w:rPr>
        <w:t>1</w:t>
      </w:r>
      <w:r>
        <w:t xml:space="preserve"> m. balandžio </w:t>
      </w:r>
      <w:r>
        <w:rPr>
          <w:lang w:val="en-US"/>
        </w:rPr>
        <w:t>28</w:t>
      </w:r>
      <w:r>
        <w:t xml:space="preserve"> d. nutarimu Nr. </w:t>
      </w:r>
      <w:r>
        <w:rPr>
          <w:lang w:val="en-US"/>
        </w:rPr>
        <w:t>292</w:t>
      </w:r>
      <w:r>
        <w:t xml:space="preserve"> </w:t>
      </w:r>
      <w:r w:rsidRPr="00762B52">
        <w:t xml:space="preserve">„Dėl Lietuvos Respublikos strateginio valdymo įstatymo, Lietuvos Respublikos regioninės plėtros įstatymo 4 straipsnio ir Lietuvos Respublikos biudžeto sandaros įstatymo 14¹ straipsnio 3 dalies </w:t>
      </w:r>
      <w:proofErr w:type="gramStart"/>
      <w:r w:rsidRPr="00762B52">
        <w:t>įgyvendin</w:t>
      </w:r>
      <w:r>
        <w:t>imo“</w:t>
      </w:r>
      <w:proofErr w:type="gramEnd"/>
      <w:r>
        <w:t>.</w:t>
      </w:r>
    </w:p>
  </w:footnote>
</w:footnotes>
</file>

<file path=word/intelligence.xml><?xml version="1.0" encoding="utf-8"?>
<int:Intelligence xmlns:int="http://schemas.microsoft.com/office/intelligence/2019/intelligence">
  <int:IntelligenceSettings/>
  <int:Manifest>
    <int:WordHash hashCode="Nx9y5hAZVQw3V8" id="UktDj//F"/>
    <int:WordHash hashCode="TPmXc1R1r9efhx" id="sqpsPb9J"/>
  </int:Manifest>
  <int:Observations>
    <int:Content id="UktDj//F">
      <int:Rejection type="LegacyProofing"/>
    </int:Content>
    <int:Content id="sqpsPb9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71459"/>
    <w:multiLevelType w:val="hybridMultilevel"/>
    <w:tmpl w:val="38904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B6"/>
    <w:rsid w:val="000049D4"/>
    <w:rsid w:val="0000567A"/>
    <w:rsid w:val="00011766"/>
    <w:rsid w:val="00024317"/>
    <w:rsid w:val="00051DCA"/>
    <w:rsid w:val="000A65C5"/>
    <w:rsid w:val="000B4640"/>
    <w:rsid w:val="000F718C"/>
    <w:rsid w:val="0010216B"/>
    <w:rsid w:val="00137129"/>
    <w:rsid w:val="00186683"/>
    <w:rsid w:val="001A3C9E"/>
    <w:rsid w:val="001B3407"/>
    <w:rsid w:val="001B4898"/>
    <w:rsid w:val="001B53DA"/>
    <w:rsid w:val="0021237C"/>
    <w:rsid w:val="00214934"/>
    <w:rsid w:val="00216E4E"/>
    <w:rsid w:val="00222A3A"/>
    <w:rsid w:val="00230C4E"/>
    <w:rsid w:val="002518A1"/>
    <w:rsid w:val="00252E20"/>
    <w:rsid w:val="0025734C"/>
    <w:rsid w:val="00260604"/>
    <w:rsid w:val="00266FE8"/>
    <w:rsid w:val="00271C38"/>
    <w:rsid w:val="00287DD3"/>
    <w:rsid w:val="002904B2"/>
    <w:rsid w:val="002D5033"/>
    <w:rsid w:val="002F0F24"/>
    <w:rsid w:val="002F3E2E"/>
    <w:rsid w:val="00313458"/>
    <w:rsid w:val="003157F2"/>
    <w:rsid w:val="00322062"/>
    <w:rsid w:val="003261E6"/>
    <w:rsid w:val="00397A06"/>
    <w:rsid w:val="003B0E01"/>
    <w:rsid w:val="003C4230"/>
    <w:rsid w:val="003D342D"/>
    <w:rsid w:val="003E1EE7"/>
    <w:rsid w:val="003E4701"/>
    <w:rsid w:val="00420D48"/>
    <w:rsid w:val="00431B90"/>
    <w:rsid w:val="0044056C"/>
    <w:rsid w:val="00465E00"/>
    <w:rsid w:val="00472229"/>
    <w:rsid w:val="004810F7"/>
    <w:rsid w:val="00481D1C"/>
    <w:rsid w:val="004A1CCA"/>
    <w:rsid w:val="004B5372"/>
    <w:rsid w:val="004C12FB"/>
    <w:rsid w:val="004C256D"/>
    <w:rsid w:val="004C580D"/>
    <w:rsid w:val="004D7BBF"/>
    <w:rsid w:val="004E1651"/>
    <w:rsid w:val="0050458F"/>
    <w:rsid w:val="00507093"/>
    <w:rsid w:val="00514C1E"/>
    <w:rsid w:val="005824EA"/>
    <w:rsid w:val="005A4619"/>
    <w:rsid w:val="005B17BF"/>
    <w:rsid w:val="005B705C"/>
    <w:rsid w:val="005C0856"/>
    <w:rsid w:val="005C0C02"/>
    <w:rsid w:val="005C5736"/>
    <w:rsid w:val="005D6E1B"/>
    <w:rsid w:val="005E656B"/>
    <w:rsid w:val="005F7636"/>
    <w:rsid w:val="006074C8"/>
    <w:rsid w:val="0061389F"/>
    <w:rsid w:val="00615BAF"/>
    <w:rsid w:val="00633DBA"/>
    <w:rsid w:val="006342FD"/>
    <w:rsid w:val="00642EA5"/>
    <w:rsid w:val="0066115E"/>
    <w:rsid w:val="006A34D8"/>
    <w:rsid w:val="006C15A9"/>
    <w:rsid w:val="006F676D"/>
    <w:rsid w:val="00700550"/>
    <w:rsid w:val="00722D45"/>
    <w:rsid w:val="007510C0"/>
    <w:rsid w:val="0075666A"/>
    <w:rsid w:val="0076221B"/>
    <w:rsid w:val="00762B52"/>
    <w:rsid w:val="007829AD"/>
    <w:rsid w:val="007B33D2"/>
    <w:rsid w:val="007E3598"/>
    <w:rsid w:val="008100D0"/>
    <w:rsid w:val="00821B74"/>
    <w:rsid w:val="00842A37"/>
    <w:rsid w:val="0086200D"/>
    <w:rsid w:val="0087529B"/>
    <w:rsid w:val="00885474"/>
    <w:rsid w:val="00885B3E"/>
    <w:rsid w:val="00894A9A"/>
    <w:rsid w:val="008C397F"/>
    <w:rsid w:val="008D2F1F"/>
    <w:rsid w:val="008D6A4F"/>
    <w:rsid w:val="00900031"/>
    <w:rsid w:val="00900375"/>
    <w:rsid w:val="00904C58"/>
    <w:rsid w:val="00921A12"/>
    <w:rsid w:val="00934C00"/>
    <w:rsid w:val="00956F48"/>
    <w:rsid w:val="00977370"/>
    <w:rsid w:val="009D1942"/>
    <w:rsid w:val="009F053C"/>
    <w:rsid w:val="009F33B4"/>
    <w:rsid w:val="009F4FC3"/>
    <w:rsid w:val="009F732E"/>
    <w:rsid w:val="00A03A4D"/>
    <w:rsid w:val="00A218E1"/>
    <w:rsid w:val="00A42C42"/>
    <w:rsid w:val="00A434CB"/>
    <w:rsid w:val="00A65700"/>
    <w:rsid w:val="00A7593A"/>
    <w:rsid w:val="00A769AE"/>
    <w:rsid w:val="00AB3507"/>
    <w:rsid w:val="00AD4C5D"/>
    <w:rsid w:val="00AD73A8"/>
    <w:rsid w:val="00AF6C7A"/>
    <w:rsid w:val="00B021F0"/>
    <w:rsid w:val="00B21927"/>
    <w:rsid w:val="00B26D65"/>
    <w:rsid w:val="00B6134B"/>
    <w:rsid w:val="00B65AF0"/>
    <w:rsid w:val="00B95BCB"/>
    <w:rsid w:val="00BD1F86"/>
    <w:rsid w:val="00C03020"/>
    <w:rsid w:val="00C044F6"/>
    <w:rsid w:val="00C075A1"/>
    <w:rsid w:val="00C16D10"/>
    <w:rsid w:val="00C17D3E"/>
    <w:rsid w:val="00C17E15"/>
    <w:rsid w:val="00C308B6"/>
    <w:rsid w:val="00C51194"/>
    <w:rsid w:val="00C70AD1"/>
    <w:rsid w:val="00CA28C2"/>
    <w:rsid w:val="00CB4CC6"/>
    <w:rsid w:val="00CC2087"/>
    <w:rsid w:val="00CC3D48"/>
    <w:rsid w:val="00CF4389"/>
    <w:rsid w:val="00CF4830"/>
    <w:rsid w:val="00D01F19"/>
    <w:rsid w:val="00D304D8"/>
    <w:rsid w:val="00D35404"/>
    <w:rsid w:val="00D555AF"/>
    <w:rsid w:val="00D61538"/>
    <w:rsid w:val="00D74D32"/>
    <w:rsid w:val="00D8591C"/>
    <w:rsid w:val="00DC0465"/>
    <w:rsid w:val="00DC3816"/>
    <w:rsid w:val="00DE09E9"/>
    <w:rsid w:val="00E00559"/>
    <w:rsid w:val="00E04007"/>
    <w:rsid w:val="00E5342A"/>
    <w:rsid w:val="00E57C7A"/>
    <w:rsid w:val="00E64C5E"/>
    <w:rsid w:val="00E75538"/>
    <w:rsid w:val="00EA3C61"/>
    <w:rsid w:val="00EB2A75"/>
    <w:rsid w:val="00EC1FCD"/>
    <w:rsid w:val="00EC6262"/>
    <w:rsid w:val="00ED6D19"/>
    <w:rsid w:val="00EF2DE1"/>
    <w:rsid w:val="00EF495F"/>
    <w:rsid w:val="00F0600B"/>
    <w:rsid w:val="00F0693F"/>
    <w:rsid w:val="00F15329"/>
    <w:rsid w:val="00F15916"/>
    <w:rsid w:val="00F176EE"/>
    <w:rsid w:val="00F275DC"/>
    <w:rsid w:val="00F411BB"/>
    <w:rsid w:val="00F51E84"/>
    <w:rsid w:val="00F62A4F"/>
    <w:rsid w:val="00F64B3B"/>
    <w:rsid w:val="00F84C66"/>
    <w:rsid w:val="00FB0F10"/>
    <w:rsid w:val="00FB4A16"/>
    <w:rsid w:val="00FD7E30"/>
    <w:rsid w:val="00FF3B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1705B"/>
  <w15:docId w15:val="{DCB2BC23-8343-4FE0-81D5-29359AAD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42EA5"/>
    <w:pPr>
      <w:ind w:left="720"/>
      <w:contextualSpacing/>
    </w:pPr>
  </w:style>
  <w:style w:type="character" w:styleId="Komentaronuoroda">
    <w:name w:val="annotation reference"/>
    <w:basedOn w:val="Numatytasispastraiposriftas"/>
    <w:semiHidden/>
    <w:unhideWhenUsed/>
    <w:rsid w:val="00EB2A75"/>
    <w:rPr>
      <w:sz w:val="16"/>
      <w:szCs w:val="16"/>
    </w:rPr>
  </w:style>
  <w:style w:type="paragraph" w:styleId="Komentarotekstas">
    <w:name w:val="annotation text"/>
    <w:basedOn w:val="prastasis"/>
    <w:link w:val="KomentarotekstasDiagrama"/>
    <w:semiHidden/>
    <w:unhideWhenUsed/>
    <w:rsid w:val="00EB2A75"/>
    <w:rPr>
      <w:sz w:val="20"/>
    </w:rPr>
  </w:style>
  <w:style w:type="character" w:customStyle="1" w:styleId="KomentarotekstasDiagrama">
    <w:name w:val="Komentaro tekstas Diagrama"/>
    <w:basedOn w:val="Numatytasispastraiposriftas"/>
    <w:link w:val="Komentarotekstas"/>
    <w:semiHidden/>
    <w:rsid w:val="00EB2A75"/>
    <w:rPr>
      <w:sz w:val="20"/>
    </w:rPr>
  </w:style>
  <w:style w:type="paragraph" w:styleId="Komentarotema">
    <w:name w:val="annotation subject"/>
    <w:basedOn w:val="Komentarotekstas"/>
    <w:next w:val="Komentarotekstas"/>
    <w:link w:val="KomentarotemaDiagrama"/>
    <w:semiHidden/>
    <w:unhideWhenUsed/>
    <w:rsid w:val="00EB2A75"/>
    <w:rPr>
      <w:b/>
      <w:bCs/>
    </w:rPr>
  </w:style>
  <w:style w:type="character" w:customStyle="1" w:styleId="KomentarotemaDiagrama">
    <w:name w:val="Komentaro tema Diagrama"/>
    <w:basedOn w:val="KomentarotekstasDiagrama"/>
    <w:link w:val="Komentarotema"/>
    <w:semiHidden/>
    <w:rsid w:val="00EB2A75"/>
    <w:rPr>
      <w:b/>
      <w:bCs/>
      <w:sz w:val="20"/>
    </w:rPr>
  </w:style>
  <w:style w:type="paragraph" w:styleId="Puslapioinaostekstas">
    <w:name w:val="footnote text"/>
    <w:basedOn w:val="prastasis"/>
    <w:link w:val="PuslapioinaostekstasDiagrama"/>
    <w:semiHidden/>
    <w:unhideWhenUsed/>
    <w:rsid w:val="00420D48"/>
    <w:rPr>
      <w:sz w:val="20"/>
    </w:rPr>
  </w:style>
  <w:style w:type="character" w:customStyle="1" w:styleId="PuslapioinaostekstasDiagrama">
    <w:name w:val="Puslapio išnašos tekstas Diagrama"/>
    <w:basedOn w:val="Numatytasispastraiposriftas"/>
    <w:link w:val="Puslapioinaostekstas"/>
    <w:semiHidden/>
    <w:rsid w:val="00420D48"/>
    <w:rPr>
      <w:sz w:val="20"/>
    </w:rPr>
  </w:style>
  <w:style w:type="character" w:styleId="Puslapioinaosnuoroda">
    <w:name w:val="footnote reference"/>
    <w:basedOn w:val="Numatytasispastraiposriftas"/>
    <w:semiHidden/>
    <w:unhideWhenUsed/>
    <w:rsid w:val="00420D48"/>
    <w:rPr>
      <w:vertAlign w:val="superscript"/>
    </w:rPr>
  </w:style>
  <w:style w:type="paragraph" w:styleId="prastasiniatinklio">
    <w:name w:val="Normal (Web)"/>
    <w:basedOn w:val="prastasis"/>
    <w:uiPriority w:val="99"/>
    <w:unhideWhenUsed/>
    <w:rsid w:val="00E00559"/>
    <w:pPr>
      <w:spacing w:before="100" w:beforeAutospacing="1" w:after="100" w:afterAutospacing="1"/>
    </w:pPr>
    <w:rPr>
      <w:rFonts w:ascii="Calibri" w:eastAsiaTheme="minorHAnsi" w:hAnsi="Calibri" w:cs="Calibri"/>
      <w:sz w:val="22"/>
      <w:szCs w:val="22"/>
      <w:lang w:val="en-GB" w:eastAsia="en-GB"/>
    </w:rPr>
  </w:style>
  <w:style w:type="paragraph" w:styleId="Pataisymai">
    <w:name w:val="Revision"/>
    <w:hidden/>
    <w:semiHidden/>
    <w:rsid w:val="00431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7059">
      <w:bodyDiv w:val="1"/>
      <w:marLeft w:val="0"/>
      <w:marRight w:val="0"/>
      <w:marTop w:val="0"/>
      <w:marBottom w:val="0"/>
      <w:divBdr>
        <w:top w:val="none" w:sz="0" w:space="0" w:color="auto"/>
        <w:left w:val="none" w:sz="0" w:space="0" w:color="auto"/>
        <w:bottom w:val="none" w:sz="0" w:space="0" w:color="auto"/>
        <w:right w:val="none" w:sz="0" w:space="0" w:color="auto"/>
      </w:divBdr>
    </w:div>
    <w:div w:id="140654532">
      <w:bodyDiv w:val="1"/>
      <w:marLeft w:val="0"/>
      <w:marRight w:val="0"/>
      <w:marTop w:val="0"/>
      <w:marBottom w:val="0"/>
      <w:divBdr>
        <w:top w:val="none" w:sz="0" w:space="0" w:color="auto"/>
        <w:left w:val="none" w:sz="0" w:space="0" w:color="auto"/>
        <w:bottom w:val="none" w:sz="0" w:space="0" w:color="auto"/>
        <w:right w:val="none" w:sz="0" w:space="0" w:color="auto"/>
      </w:divBdr>
    </w:div>
    <w:div w:id="151991799">
      <w:bodyDiv w:val="1"/>
      <w:marLeft w:val="0"/>
      <w:marRight w:val="0"/>
      <w:marTop w:val="0"/>
      <w:marBottom w:val="0"/>
      <w:divBdr>
        <w:top w:val="none" w:sz="0" w:space="0" w:color="auto"/>
        <w:left w:val="none" w:sz="0" w:space="0" w:color="auto"/>
        <w:bottom w:val="none" w:sz="0" w:space="0" w:color="auto"/>
        <w:right w:val="none" w:sz="0" w:space="0" w:color="auto"/>
      </w:divBdr>
    </w:div>
    <w:div w:id="270862937">
      <w:bodyDiv w:val="1"/>
      <w:marLeft w:val="0"/>
      <w:marRight w:val="0"/>
      <w:marTop w:val="0"/>
      <w:marBottom w:val="0"/>
      <w:divBdr>
        <w:top w:val="none" w:sz="0" w:space="0" w:color="auto"/>
        <w:left w:val="none" w:sz="0" w:space="0" w:color="auto"/>
        <w:bottom w:val="none" w:sz="0" w:space="0" w:color="auto"/>
        <w:right w:val="none" w:sz="0" w:space="0" w:color="auto"/>
      </w:divBdr>
    </w:div>
    <w:div w:id="321931520">
      <w:bodyDiv w:val="1"/>
      <w:marLeft w:val="0"/>
      <w:marRight w:val="0"/>
      <w:marTop w:val="0"/>
      <w:marBottom w:val="0"/>
      <w:divBdr>
        <w:top w:val="none" w:sz="0" w:space="0" w:color="auto"/>
        <w:left w:val="none" w:sz="0" w:space="0" w:color="auto"/>
        <w:bottom w:val="none" w:sz="0" w:space="0" w:color="auto"/>
        <w:right w:val="none" w:sz="0" w:space="0" w:color="auto"/>
      </w:divBdr>
    </w:div>
    <w:div w:id="336079504">
      <w:bodyDiv w:val="1"/>
      <w:marLeft w:val="0"/>
      <w:marRight w:val="0"/>
      <w:marTop w:val="0"/>
      <w:marBottom w:val="0"/>
      <w:divBdr>
        <w:top w:val="none" w:sz="0" w:space="0" w:color="auto"/>
        <w:left w:val="none" w:sz="0" w:space="0" w:color="auto"/>
        <w:bottom w:val="none" w:sz="0" w:space="0" w:color="auto"/>
        <w:right w:val="none" w:sz="0" w:space="0" w:color="auto"/>
      </w:divBdr>
    </w:div>
    <w:div w:id="369888431">
      <w:bodyDiv w:val="1"/>
      <w:marLeft w:val="0"/>
      <w:marRight w:val="0"/>
      <w:marTop w:val="0"/>
      <w:marBottom w:val="0"/>
      <w:divBdr>
        <w:top w:val="none" w:sz="0" w:space="0" w:color="auto"/>
        <w:left w:val="none" w:sz="0" w:space="0" w:color="auto"/>
        <w:bottom w:val="none" w:sz="0" w:space="0" w:color="auto"/>
        <w:right w:val="none" w:sz="0" w:space="0" w:color="auto"/>
      </w:divBdr>
    </w:div>
    <w:div w:id="499003019">
      <w:bodyDiv w:val="1"/>
      <w:marLeft w:val="0"/>
      <w:marRight w:val="0"/>
      <w:marTop w:val="0"/>
      <w:marBottom w:val="0"/>
      <w:divBdr>
        <w:top w:val="none" w:sz="0" w:space="0" w:color="auto"/>
        <w:left w:val="none" w:sz="0" w:space="0" w:color="auto"/>
        <w:bottom w:val="none" w:sz="0" w:space="0" w:color="auto"/>
        <w:right w:val="none" w:sz="0" w:space="0" w:color="auto"/>
      </w:divBdr>
    </w:div>
    <w:div w:id="573703955">
      <w:bodyDiv w:val="1"/>
      <w:marLeft w:val="0"/>
      <w:marRight w:val="0"/>
      <w:marTop w:val="0"/>
      <w:marBottom w:val="0"/>
      <w:divBdr>
        <w:top w:val="none" w:sz="0" w:space="0" w:color="auto"/>
        <w:left w:val="none" w:sz="0" w:space="0" w:color="auto"/>
        <w:bottom w:val="none" w:sz="0" w:space="0" w:color="auto"/>
        <w:right w:val="none" w:sz="0" w:space="0" w:color="auto"/>
      </w:divBdr>
    </w:div>
    <w:div w:id="577903705">
      <w:bodyDiv w:val="1"/>
      <w:marLeft w:val="0"/>
      <w:marRight w:val="0"/>
      <w:marTop w:val="0"/>
      <w:marBottom w:val="0"/>
      <w:divBdr>
        <w:top w:val="none" w:sz="0" w:space="0" w:color="auto"/>
        <w:left w:val="none" w:sz="0" w:space="0" w:color="auto"/>
        <w:bottom w:val="none" w:sz="0" w:space="0" w:color="auto"/>
        <w:right w:val="none" w:sz="0" w:space="0" w:color="auto"/>
      </w:divBdr>
    </w:div>
    <w:div w:id="658657741">
      <w:bodyDiv w:val="1"/>
      <w:marLeft w:val="0"/>
      <w:marRight w:val="0"/>
      <w:marTop w:val="0"/>
      <w:marBottom w:val="0"/>
      <w:divBdr>
        <w:top w:val="none" w:sz="0" w:space="0" w:color="auto"/>
        <w:left w:val="none" w:sz="0" w:space="0" w:color="auto"/>
        <w:bottom w:val="none" w:sz="0" w:space="0" w:color="auto"/>
        <w:right w:val="none" w:sz="0" w:space="0" w:color="auto"/>
      </w:divBdr>
    </w:div>
    <w:div w:id="821192141">
      <w:bodyDiv w:val="1"/>
      <w:marLeft w:val="0"/>
      <w:marRight w:val="0"/>
      <w:marTop w:val="0"/>
      <w:marBottom w:val="0"/>
      <w:divBdr>
        <w:top w:val="none" w:sz="0" w:space="0" w:color="auto"/>
        <w:left w:val="none" w:sz="0" w:space="0" w:color="auto"/>
        <w:bottom w:val="none" w:sz="0" w:space="0" w:color="auto"/>
        <w:right w:val="none" w:sz="0" w:space="0" w:color="auto"/>
      </w:divBdr>
    </w:div>
    <w:div w:id="834802369">
      <w:bodyDiv w:val="1"/>
      <w:marLeft w:val="0"/>
      <w:marRight w:val="0"/>
      <w:marTop w:val="0"/>
      <w:marBottom w:val="0"/>
      <w:divBdr>
        <w:top w:val="none" w:sz="0" w:space="0" w:color="auto"/>
        <w:left w:val="none" w:sz="0" w:space="0" w:color="auto"/>
        <w:bottom w:val="none" w:sz="0" w:space="0" w:color="auto"/>
        <w:right w:val="none" w:sz="0" w:space="0" w:color="auto"/>
      </w:divBdr>
    </w:div>
    <w:div w:id="948001365">
      <w:bodyDiv w:val="1"/>
      <w:marLeft w:val="0"/>
      <w:marRight w:val="0"/>
      <w:marTop w:val="0"/>
      <w:marBottom w:val="0"/>
      <w:divBdr>
        <w:top w:val="none" w:sz="0" w:space="0" w:color="auto"/>
        <w:left w:val="none" w:sz="0" w:space="0" w:color="auto"/>
        <w:bottom w:val="none" w:sz="0" w:space="0" w:color="auto"/>
        <w:right w:val="none" w:sz="0" w:space="0" w:color="auto"/>
      </w:divBdr>
    </w:div>
    <w:div w:id="970984890">
      <w:bodyDiv w:val="1"/>
      <w:marLeft w:val="0"/>
      <w:marRight w:val="0"/>
      <w:marTop w:val="0"/>
      <w:marBottom w:val="0"/>
      <w:divBdr>
        <w:top w:val="none" w:sz="0" w:space="0" w:color="auto"/>
        <w:left w:val="none" w:sz="0" w:space="0" w:color="auto"/>
        <w:bottom w:val="none" w:sz="0" w:space="0" w:color="auto"/>
        <w:right w:val="none" w:sz="0" w:space="0" w:color="auto"/>
      </w:divBdr>
    </w:div>
    <w:div w:id="1013872699">
      <w:bodyDiv w:val="1"/>
      <w:marLeft w:val="0"/>
      <w:marRight w:val="0"/>
      <w:marTop w:val="0"/>
      <w:marBottom w:val="0"/>
      <w:divBdr>
        <w:top w:val="none" w:sz="0" w:space="0" w:color="auto"/>
        <w:left w:val="none" w:sz="0" w:space="0" w:color="auto"/>
        <w:bottom w:val="none" w:sz="0" w:space="0" w:color="auto"/>
        <w:right w:val="none" w:sz="0" w:space="0" w:color="auto"/>
      </w:divBdr>
    </w:div>
    <w:div w:id="1014453451">
      <w:bodyDiv w:val="1"/>
      <w:marLeft w:val="0"/>
      <w:marRight w:val="0"/>
      <w:marTop w:val="0"/>
      <w:marBottom w:val="0"/>
      <w:divBdr>
        <w:top w:val="none" w:sz="0" w:space="0" w:color="auto"/>
        <w:left w:val="none" w:sz="0" w:space="0" w:color="auto"/>
        <w:bottom w:val="none" w:sz="0" w:space="0" w:color="auto"/>
        <w:right w:val="none" w:sz="0" w:space="0" w:color="auto"/>
      </w:divBdr>
    </w:div>
    <w:div w:id="1046637403">
      <w:bodyDiv w:val="1"/>
      <w:marLeft w:val="0"/>
      <w:marRight w:val="0"/>
      <w:marTop w:val="0"/>
      <w:marBottom w:val="0"/>
      <w:divBdr>
        <w:top w:val="none" w:sz="0" w:space="0" w:color="auto"/>
        <w:left w:val="none" w:sz="0" w:space="0" w:color="auto"/>
        <w:bottom w:val="none" w:sz="0" w:space="0" w:color="auto"/>
        <w:right w:val="none" w:sz="0" w:space="0" w:color="auto"/>
      </w:divBdr>
    </w:div>
    <w:div w:id="1174151107">
      <w:bodyDiv w:val="1"/>
      <w:marLeft w:val="0"/>
      <w:marRight w:val="0"/>
      <w:marTop w:val="0"/>
      <w:marBottom w:val="0"/>
      <w:divBdr>
        <w:top w:val="none" w:sz="0" w:space="0" w:color="auto"/>
        <w:left w:val="none" w:sz="0" w:space="0" w:color="auto"/>
        <w:bottom w:val="none" w:sz="0" w:space="0" w:color="auto"/>
        <w:right w:val="none" w:sz="0" w:space="0" w:color="auto"/>
      </w:divBdr>
    </w:div>
    <w:div w:id="1235628669">
      <w:bodyDiv w:val="1"/>
      <w:marLeft w:val="0"/>
      <w:marRight w:val="0"/>
      <w:marTop w:val="0"/>
      <w:marBottom w:val="0"/>
      <w:divBdr>
        <w:top w:val="none" w:sz="0" w:space="0" w:color="auto"/>
        <w:left w:val="none" w:sz="0" w:space="0" w:color="auto"/>
        <w:bottom w:val="none" w:sz="0" w:space="0" w:color="auto"/>
        <w:right w:val="none" w:sz="0" w:space="0" w:color="auto"/>
      </w:divBdr>
    </w:div>
    <w:div w:id="1303924944">
      <w:bodyDiv w:val="1"/>
      <w:marLeft w:val="0"/>
      <w:marRight w:val="0"/>
      <w:marTop w:val="0"/>
      <w:marBottom w:val="0"/>
      <w:divBdr>
        <w:top w:val="none" w:sz="0" w:space="0" w:color="auto"/>
        <w:left w:val="none" w:sz="0" w:space="0" w:color="auto"/>
        <w:bottom w:val="none" w:sz="0" w:space="0" w:color="auto"/>
        <w:right w:val="none" w:sz="0" w:space="0" w:color="auto"/>
      </w:divBdr>
    </w:div>
    <w:div w:id="1376464248">
      <w:bodyDiv w:val="1"/>
      <w:marLeft w:val="0"/>
      <w:marRight w:val="0"/>
      <w:marTop w:val="0"/>
      <w:marBottom w:val="0"/>
      <w:divBdr>
        <w:top w:val="none" w:sz="0" w:space="0" w:color="auto"/>
        <w:left w:val="none" w:sz="0" w:space="0" w:color="auto"/>
        <w:bottom w:val="none" w:sz="0" w:space="0" w:color="auto"/>
        <w:right w:val="none" w:sz="0" w:space="0" w:color="auto"/>
      </w:divBdr>
    </w:div>
    <w:div w:id="1930386633">
      <w:bodyDiv w:val="1"/>
      <w:marLeft w:val="0"/>
      <w:marRight w:val="0"/>
      <w:marTop w:val="0"/>
      <w:marBottom w:val="0"/>
      <w:divBdr>
        <w:top w:val="none" w:sz="0" w:space="0" w:color="auto"/>
        <w:left w:val="none" w:sz="0" w:space="0" w:color="auto"/>
        <w:bottom w:val="none" w:sz="0" w:space="0" w:color="auto"/>
        <w:right w:val="none" w:sz="0" w:space="0" w:color="auto"/>
      </w:divBdr>
    </w:div>
    <w:div w:id="1986663884">
      <w:bodyDiv w:val="1"/>
      <w:marLeft w:val="0"/>
      <w:marRight w:val="0"/>
      <w:marTop w:val="0"/>
      <w:marBottom w:val="0"/>
      <w:divBdr>
        <w:top w:val="none" w:sz="0" w:space="0" w:color="auto"/>
        <w:left w:val="none" w:sz="0" w:space="0" w:color="auto"/>
        <w:bottom w:val="none" w:sz="0" w:space="0" w:color="auto"/>
        <w:right w:val="none" w:sz="0" w:space="0" w:color="auto"/>
      </w:divBdr>
    </w:div>
    <w:div w:id="2002661491">
      <w:bodyDiv w:val="1"/>
      <w:marLeft w:val="0"/>
      <w:marRight w:val="0"/>
      <w:marTop w:val="0"/>
      <w:marBottom w:val="0"/>
      <w:divBdr>
        <w:top w:val="none" w:sz="0" w:space="0" w:color="auto"/>
        <w:left w:val="none" w:sz="0" w:space="0" w:color="auto"/>
        <w:bottom w:val="none" w:sz="0" w:space="0" w:color="auto"/>
        <w:right w:val="none" w:sz="0" w:space="0" w:color="auto"/>
      </w:divBdr>
    </w:div>
    <w:div w:id="2035883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8d6940f14ad540e1" Target="intelligence.xml" Type="http://schemas.microsoft.com/office/2019/09/relationships/intelligence"/>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A13CEE1DB3E2204DADCB1AAA66A0D9C1" ma:contentTypeVersion="10" ma:contentTypeDescription="Kurkite naują dokumentą." ma:contentTypeScope="" ma:versionID="cfd0f24d56b9f91590c546b7bfc30b36">
  <xsd:schema xmlns:xsd="http://www.w3.org/2001/XMLSchema" xmlns:xs="http://www.w3.org/2001/XMLSchema" xmlns:p="http://schemas.microsoft.com/office/2006/metadata/properties" xmlns:ns3="dedbb178-534e-497c-8347-06db56df4665" xmlns:ns4="7f72db69-1c3c-4d28-a0c9-8ea8bd4f3d34" targetNamespace="http://schemas.microsoft.com/office/2006/metadata/properties" ma:root="true" ma:fieldsID="1238de1aaa89ff7eddace15f18957032" ns3:_="" ns4:_="">
    <xsd:import namespace="dedbb178-534e-497c-8347-06db56df4665"/>
    <xsd:import namespace="7f72db69-1c3c-4d28-a0c9-8ea8bd4f3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bb178-534e-497c-8347-06db56df466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72db69-1c3c-4d28-a0c9-8ea8bd4f3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2F10DC-8E9C-4210-9F63-7727925767F6}">
  <ds:schemaRefs>
    <ds:schemaRef ds:uri="http://schemas.microsoft.com/sharepoint/v3/contenttype/forms"/>
  </ds:schemaRefs>
</ds:datastoreItem>
</file>

<file path=customXml/itemProps2.xml><?xml version="1.0" encoding="utf-8"?>
<ds:datastoreItem xmlns:ds="http://schemas.openxmlformats.org/officeDocument/2006/customXml" ds:itemID="{76C89AC6-6195-4CE8-8C95-9D317BA9433D}">
  <ds:schemaRefs>
    <ds:schemaRef ds:uri="http://schemas.openxmlformats.org/officeDocument/2006/bibliography"/>
  </ds:schemaRefs>
</ds:datastoreItem>
</file>

<file path=customXml/itemProps3.xml><?xml version="1.0" encoding="utf-8"?>
<ds:datastoreItem xmlns:ds="http://schemas.openxmlformats.org/officeDocument/2006/customXml" ds:itemID="{A7275AA7-B7A1-4FA4-8EFD-E2E5EB47DF95}">
  <ds:schemaRefs>
    <ds:schemaRef ds:uri="http://www.w3.org/XML/1998/namespace"/>
    <ds:schemaRef ds:uri="http://schemas.openxmlformats.org/package/2006/metadata/core-properties"/>
    <ds:schemaRef ds:uri="7f72db69-1c3c-4d28-a0c9-8ea8bd4f3d34"/>
    <ds:schemaRef ds:uri="http://schemas.microsoft.com/office/2006/documentManagement/types"/>
    <ds:schemaRef ds:uri="http://purl.org/dc/dcmitype/"/>
    <ds:schemaRef ds:uri="dedbb178-534e-497c-8347-06db56df4665"/>
    <ds:schemaRef ds:uri="http://schemas.microsoft.com/office/infopath/2007/PartnerControls"/>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785FF9F4-F10D-410C-AA76-7406463FE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bb178-534e-497c-8347-06db56df4665"/>
    <ds:schemaRef ds:uri="7f72db69-1c3c-4d28-a0c9-8ea8bd4f3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5</Pages>
  <Words>8784</Words>
  <Characters>5008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2021-12-22T20:17:00Z</dcterms:created>
  <dc:creator>Algirdas Petkevičius</dc:creator>
  <cp:lastModifiedBy>Vaida Kazlauskienė</cp:lastModifiedBy>
  <dcterms:modified xsi:type="dcterms:W3CDTF">2022-01-21T11:41:00Z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0x010100A13CEE1DB3E2204DADCB1AAA66A0D9C1</vt:lpwstr>
  </property>
</Properties>
</file>