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967EC5" w:rsidRDefault="00F51934" w:rsidP="008C17C3">
      <w:pPr>
        <w:ind w:left="9072"/>
        <w:rPr>
          <w:szCs w:val="24"/>
          <w:lang w:eastAsia="lt-LT"/>
        </w:rPr>
      </w:pPr>
      <w:bookmarkStart w:id="0" w:name="_GoBack"/>
      <w:bookmarkEnd w:id="0"/>
      <w:r>
        <w:rPr>
          <w:szCs w:val="24"/>
          <w:lang w:eastAsia="lt-LT"/>
        </w:rPr>
        <w:t>`</w:t>
      </w:r>
      <w:r w:rsidR="008C17C3" w:rsidRPr="00967EC5">
        <w:rPr>
          <w:szCs w:val="24"/>
          <w:lang w:eastAsia="lt-LT"/>
        </w:rPr>
        <w:t>Teisės aktų projektų antikorupcinio vertinimo taisyklių</w:t>
      </w:r>
    </w:p>
    <w:p w:rsidR="008C17C3" w:rsidRPr="00967EC5" w:rsidRDefault="008C17C3" w:rsidP="008C17C3">
      <w:pPr>
        <w:ind w:left="9072"/>
        <w:rPr>
          <w:color w:val="000000"/>
          <w:szCs w:val="24"/>
          <w:lang w:eastAsia="ar-SA"/>
        </w:rPr>
      </w:pPr>
      <w:r w:rsidRPr="00967EC5">
        <w:rPr>
          <w:color w:val="000000"/>
          <w:szCs w:val="24"/>
          <w:lang w:eastAsia="ar-SA"/>
        </w:rPr>
        <w:t>priedas</w:t>
      </w:r>
    </w:p>
    <w:p w:rsidR="008C17C3" w:rsidRPr="00967EC5" w:rsidRDefault="008C17C3" w:rsidP="008C17C3">
      <w:pPr>
        <w:tabs>
          <w:tab w:val="left" w:pos="6237"/>
        </w:tabs>
        <w:rPr>
          <w:color w:val="000000"/>
          <w:szCs w:val="24"/>
          <w:lang w:eastAsia="lt-LT"/>
        </w:rPr>
      </w:pPr>
    </w:p>
    <w:p w:rsidR="00246747" w:rsidRPr="00967EC5" w:rsidRDefault="008C17C3" w:rsidP="00246747">
      <w:pPr>
        <w:jc w:val="center"/>
        <w:rPr>
          <w:szCs w:val="24"/>
          <w:lang w:eastAsia="lt-LT"/>
        </w:rPr>
      </w:pPr>
      <w:r w:rsidRPr="00967EC5">
        <w:rPr>
          <w:szCs w:val="24"/>
          <w:lang w:eastAsia="lt-LT"/>
        </w:rPr>
        <w:t>(</w:t>
      </w:r>
      <w:r w:rsidRPr="00967EC5">
        <w:rPr>
          <w:b/>
          <w:szCs w:val="24"/>
          <w:lang w:eastAsia="lt-LT"/>
        </w:rPr>
        <w:t>Pažymos forma</w:t>
      </w:r>
      <w:r w:rsidR="00246747" w:rsidRPr="00967EC5">
        <w:rPr>
          <w:szCs w:val="24"/>
          <w:lang w:eastAsia="lt-LT"/>
        </w:rPr>
        <w:t>)</w:t>
      </w:r>
    </w:p>
    <w:p w:rsidR="000B1D6D" w:rsidRDefault="00B44257" w:rsidP="000B1D6D">
      <w:pPr>
        <w:jc w:val="center"/>
        <w:rPr>
          <w:szCs w:val="24"/>
          <w:lang w:eastAsia="lt-LT"/>
        </w:rPr>
      </w:pPr>
      <w:r w:rsidRPr="00967EC5">
        <w:rPr>
          <w:b/>
          <w:szCs w:val="24"/>
          <w:lang w:eastAsia="lt-LT"/>
        </w:rPr>
        <w:t>TEISĖS AKTO PROJEKTO</w:t>
      </w:r>
      <w:r w:rsidR="008C17C3" w:rsidRPr="00967EC5">
        <w:rPr>
          <w:b/>
          <w:szCs w:val="24"/>
          <w:lang w:eastAsia="lt-LT"/>
        </w:rPr>
        <w:t xml:space="preserve"> ANTIKORUPCINIO VERTINIMO PAŽYMA</w:t>
      </w:r>
    </w:p>
    <w:p w:rsidR="000B1D6D" w:rsidRDefault="000B1D6D" w:rsidP="000B1D6D">
      <w:pPr>
        <w:jc w:val="center"/>
        <w:rPr>
          <w:szCs w:val="24"/>
          <w:lang w:eastAsia="lt-LT"/>
        </w:rPr>
      </w:pPr>
    </w:p>
    <w:p w:rsidR="00B7156B" w:rsidRPr="00B7156B" w:rsidRDefault="008C17C3" w:rsidP="00B7156B">
      <w:pPr>
        <w:jc w:val="both"/>
        <w:rPr>
          <w:caps/>
          <w:szCs w:val="24"/>
        </w:rPr>
      </w:pPr>
      <w:r w:rsidRPr="000B1D6D">
        <w:rPr>
          <w:caps/>
          <w:szCs w:val="24"/>
        </w:rPr>
        <w:t>T</w:t>
      </w:r>
      <w:r w:rsidR="009418CA" w:rsidRPr="000B1D6D">
        <w:rPr>
          <w:szCs w:val="24"/>
        </w:rPr>
        <w:t>eisės akto projekto pavadinimas</w:t>
      </w:r>
      <w:r w:rsidR="00B0733F" w:rsidRPr="000B1D6D">
        <w:rPr>
          <w:caps/>
          <w:szCs w:val="24"/>
        </w:rPr>
        <w:t xml:space="preserve">: </w:t>
      </w:r>
      <w:r w:rsidR="00B7156B">
        <w:t xml:space="preserve">Lietuvos Respublikos </w:t>
      </w:r>
      <w:r w:rsidR="00B7156B" w:rsidRPr="00964CCB">
        <w:t xml:space="preserve">Vyriausybės nutarimo „Dėl Lietuvos Respublikos Vyriausybės 2009 m. gruodžio 16 d. nutarimo </w:t>
      </w:r>
      <w:bookmarkStart w:id="1" w:name="P132200_2"/>
      <w:r w:rsidR="00B7156B" w:rsidRPr="00964CCB">
        <w:rPr>
          <w:iCs/>
        </w:rPr>
        <w:t>Nr. 172</w:t>
      </w:r>
      <w:bookmarkEnd w:id="1"/>
      <w:r w:rsidR="00B7156B" w:rsidRPr="00964CCB">
        <w:rPr>
          <w:iCs/>
        </w:rPr>
        <w:t>5</w:t>
      </w:r>
      <w:r w:rsidR="00B7156B" w:rsidRPr="00964CCB">
        <w:t xml:space="preserve">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projekt</w:t>
      </w:r>
      <w:r w:rsidR="00B7156B">
        <w:t>as</w:t>
      </w:r>
      <w:r w:rsidR="00C274D0">
        <w:t xml:space="preserve"> (toliau – projektas)</w:t>
      </w:r>
      <w:r w:rsidR="00B0733F" w:rsidRPr="000B1D6D">
        <w:rPr>
          <w:szCs w:val="24"/>
        </w:rPr>
        <w:t xml:space="preserve">. </w:t>
      </w:r>
      <w:r w:rsidR="009418CA" w:rsidRPr="000B1D6D">
        <w:rPr>
          <w:szCs w:val="24"/>
        </w:rPr>
        <w:t xml:space="preserve"> </w:t>
      </w:r>
      <w:r w:rsidRPr="000B1D6D">
        <w:rPr>
          <w:lang w:eastAsia="lt-LT"/>
        </w:rPr>
        <w:t>Teisės akto projekto tiesioginis rengėjas</w:t>
      </w:r>
      <w:r w:rsidRPr="000B1D6D">
        <w:rPr>
          <w:b/>
          <w:lang w:eastAsia="lt-LT"/>
        </w:rPr>
        <w:t xml:space="preserve">: </w:t>
      </w:r>
      <w:r w:rsidR="00B7156B" w:rsidRPr="00964CCB">
        <w:rPr>
          <w:color w:val="000000"/>
        </w:rPr>
        <w:t xml:space="preserve">Aplinkos ministerijos Statybos ir teritorijų planavimo politikos grupės </w:t>
      </w:r>
      <w:r w:rsidR="00B7156B">
        <w:rPr>
          <w:color w:val="000000"/>
        </w:rPr>
        <w:t>patarėja</w:t>
      </w:r>
      <w:r w:rsidR="00B7156B" w:rsidRPr="00964CCB">
        <w:rPr>
          <w:color w:val="000000"/>
        </w:rPr>
        <w:t xml:space="preserve"> Virginija </w:t>
      </w:r>
      <w:proofErr w:type="spellStart"/>
      <w:r w:rsidR="00B7156B" w:rsidRPr="00964CCB">
        <w:rPr>
          <w:color w:val="000000"/>
        </w:rPr>
        <w:t>Pilipienė</w:t>
      </w:r>
      <w:proofErr w:type="spellEnd"/>
      <w:r w:rsidR="00B7156B">
        <w:rPr>
          <w:color w:val="000000"/>
        </w:rPr>
        <w:t xml:space="preserve">, </w:t>
      </w:r>
      <w:r w:rsidR="00B7156B" w:rsidRPr="00964CCB">
        <w:rPr>
          <w:color w:val="000000"/>
        </w:rPr>
        <w:t xml:space="preserve">tel. 8 616 34857, el. p. </w:t>
      </w:r>
      <w:hyperlink r:id="rId9" w:history="1">
        <w:r w:rsidR="00B7156B" w:rsidRPr="00964CCB">
          <w:rPr>
            <w:rStyle w:val="Hyperlink"/>
          </w:rPr>
          <w:t>virginija.pilipiene@am.lt</w:t>
        </w:r>
      </w:hyperlink>
      <w:r w:rsidR="00B7156B" w:rsidRPr="00964CCB">
        <w:rPr>
          <w:color w:val="000000"/>
        </w:rPr>
        <w:t>.</w:t>
      </w:r>
    </w:p>
    <w:p w:rsidR="008C17C3" w:rsidRPr="00A16CD1" w:rsidRDefault="008C17C3" w:rsidP="000B1D6D">
      <w:pPr>
        <w:jc w:val="both"/>
        <w:rPr>
          <w:lang w:eastAsia="ar-SA"/>
        </w:rPr>
      </w:pPr>
      <w:r w:rsidRPr="000B1D6D">
        <w:rPr>
          <w:szCs w:val="24"/>
          <w:lang w:eastAsia="lt-LT"/>
        </w:rPr>
        <w:t>Antikorupciniu požiūriu rizikingos teisės akto projekto nuostatos</w:t>
      </w:r>
      <w:r w:rsidRPr="000B1D6D">
        <w:rPr>
          <w:b/>
          <w:szCs w:val="24"/>
          <w:lang w:eastAsia="lt-LT"/>
        </w:rPr>
        <w:t xml:space="preserve"> </w:t>
      </w:r>
      <w:r w:rsidRPr="000B1D6D">
        <w:rPr>
          <w:i/>
          <w:szCs w:val="24"/>
          <w:lang w:eastAsia="lt-LT"/>
        </w:rPr>
        <w:t>(nurodyti kriterijaus numerį, kurį taikant nustatytai korupcijos rizikai šalinti ar valdyti teisės akto projekte nenumatyta priemonių)</w:t>
      </w:r>
      <w:r w:rsidRPr="000B1D6D">
        <w:rPr>
          <w:szCs w:val="24"/>
          <w:vertAlign w:val="superscript"/>
          <w:lang w:eastAsia="lt-LT"/>
        </w:rPr>
        <w:footnoteReference w:id="1"/>
      </w:r>
      <w:r w:rsidRPr="000B1D6D">
        <w:rPr>
          <w:szCs w:val="24"/>
          <w:lang w:eastAsia="lt-LT"/>
        </w:rPr>
        <w:t>: nėra</w:t>
      </w:r>
    </w:p>
    <w:p w:rsidR="008C17C3" w:rsidRPr="000B1D6D" w:rsidRDefault="008C17C3" w:rsidP="000B1D6D">
      <w:pPr>
        <w:jc w:val="both"/>
        <w:rPr>
          <w:szCs w:val="24"/>
          <w:lang w:eastAsia="lt-LT"/>
        </w:rPr>
      </w:pPr>
      <w:r w:rsidRPr="000B1D6D">
        <w:rPr>
          <w:szCs w:val="24"/>
          <w:lang w:eastAsia="lt-LT"/>
        </w:rPr>
        <w:t xml:space="preserve">Antikorupciniu požiūriu rizikingos teisės akto projekto nuostatos, nustatytos atliekant antikorupcinį vertinimą po </w:t>
      </w:r>
      <w:proofErr w:type="spellStart"/>
      <w:r w:rsidRPr="000B1D6D">
        <w:rPr>
          <w:szCs w:val="24"/>
          <w:lang w:eastAsia="lt-LT"/>
        </w:rPr>
        <w:t>tarpinstitucinio</w:t>
      </w:r>
      <w:proofErr w:type="spellEnd"/>
      <w:r w:rsidRPr="000B1D6D">
        <w:rPr>
          <w:szCs w:val="24"/>
          <w:lang w:eastAsia="lt-LT"/>
        </w:rPr>
        <w:t xml:space="preserve"> derinimo</w:t>
      </w:r>
      <w:r w:rsidRPr="000B1D6D">
        <w:rPr>
          <w:b/>
          <w:szCs w:val="24"/>
          <w:lang w:eastAsia="lt-LT"/>
        </w:rPr>
        <w:t xml:space="preserve"> </w:t>
      </w:r>
      <w:r w:rsidRPr="000B1D6D">
        <w:rPr>
          <w:i/>
          <w:szCs w:val="24"/>
          <w:lang w:eastAsia="lt-LT"/>
        </w:rPr>
        <w:t>(nurodyti kriterijaus numerį, kurį taikant nustatytai korupcijos rizikai šalinti ar valdyti teisės akto projekte nenumatyta priemonių)</w:t>
      </w:r>
      <w:r w:rsidRPr="000B1D6D">
        <w:rPr>
          <w:szCs w:val="24"/>
          <w:vertAlign w:val="superscript"/>
          <w:lang w:eastAsia="lt-LT"/>
        </w:rPr>
        <w:footnoteReference w:id="2"/>
      </w:r>
      <w:r w:rsidRPr="000B1D6D">
        <w:rPr>
          <w:szCs w:val="24"/>
          <w:lang w:eastAsia="lt-LT"/>
        </w:rPr>
        <w:t>:</w:t>
      </w:r>
    </w:p>
    <w:p w:rsidR="002D5183" w:rsidRPr="00967EC5" w:rsidRDefault="002D5183" w:rsidP="002D5183">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2D5183" w:rsidRPr="00967EC5" w:rsidTr="004E1B6F">
        <w:trPr>
          <w:trHeight w:val="23"/>
        </w:trPr>
        <w:tc>
          <w:tcPr>
            <w:tcW w:w="696" w:type="dxa"/>
            <w:shd w:val="clear" w:color="auto" w:fill="auto"/>
            <w:vAlign w:val="center"/>
          </w:tcPr>
          <w:p w:rsidR="002D5183" w:rsidRPr="00967EC5" w:rsidRDefault="002D5183" w:rsidP="00AD0BB3">
            <w:pPr>
              <w:jc w:val="center"/>
              <w:rPr>
                <w:szCs w:val="24"/>
                <w:lang w:eastAsia="lt-LT"/>
              </w:rPr>
            </w:pPr>
            <w:r w:rsidRPr="00967EC5">
              <w:rPr>
                <w:szCs w:val="24"/>
                <w:lang w:eastAsia="lt-LT"/>
              </w:rPr>
              <w:t>Eil. Nr.</w:t>
            </w:r>
          </w:p>
        </w:tc>
        <w:tc>
          <w:tcPr>
            <w:tcW w:w="3301" w:type="dxa"/>
            <w:shd w:val="clear" w:color="auto" w:fill="auto"/>
            <w:vAlign w:val="center"/>
          </w:tcPr>
          <w:p w:rsidR="002D5183" w:rsidRPr="00967EC5" w:rsidRDefault="002D5183" w:rsidP="00AD0BB3">
            <w:pPr>
              <w:jc w:val="center"/>
              <w:rPr>
                <w:szCs w:val="24"/>
                <w:lang w:eastAsia="lt-LT"/>
              </w:rPr>
            </w:pPr>
            <w:r w:rsidRPr="00967EC5">
              <w:rPr>
                <w:szCs w:val="24"/>
                <w:lang w:eastAsia="lt-LT"/>
              </w:rPr>
              <w:t>Kriterijus</w:t>
            </w:r>
          </w:p>
        </w:tc>
        <w:tc>
          <w:tcPr>
            <w:tcW w:w="3845" w:type="dxa"/>
            <w:shd w:val="clear" w:color="auto" w:fill="auto"/>
            <w:vAlign w:val="center"/>
          </w:tcPr>
          <w:p w:rsidR="002D5183" w:rsidRPr="00967EC5" w:rsidRDefault="002D5183" w:rsidP="00AD0BB3">
            <w:pPr>
              <w:jc w:val="center"/>
              <w:rPr>
                <w:b/>
                <w:szCs w:val="24"/>
                <w:lang w:eastAsia="lt-LT"/>
              </w:rPr>
            </w:pPr>
            <w:r w:rsidRPr="00967EC5">
              <w:rPr>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rsidR="002D5183" w:rsidRPr="00967EC5" w:rsidRDefault="002D5183" w:rsidP="00AD0BB3">
            <w:pPr>
              <w:jc w:val="center"/>
              <w:rPr>
                <w:szCs w:val="24"/>
                <w:lang w:eastAsia="lt-LT"/>
              </w:rPr>
            </w:pPr>
            <w:r w:rsidRPr="00967EC5">
              <w:rPr>
                <w:szCs w:val="24"/>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967EC5" w:rsidRDefault="002D5183" w:rsidP="00AD0BB3">
            <w:pPr>
              <w:jc w:val="center"/>
              <w:rPr>
                <w:szCs w:val="24"/>
                <w:lang w:eastAsia="lt-LT"/>
              </w:rPr>
            </w:pPr>
            <w:r w:rsidRPr="00967EC5">
              <w:rPr>
                <w:szCs w:val="24"/>
                <w:lang w:eastAsia="lt-LT"/>
              </w:rPr>
              <w:t>Išvada dėl teisės akto projekto pakeitimų arba argumentų, kodėl neatsižvelgta į pastabą</w:t>
            </w:r>
          </w:p>
        </w:tc>
      </w:tr>
      <w:tr w:rsidR="002D5183" w:rsidRPr="00967EC5" w:rsidTr="004E1B6F">
        <w:trPr>
          <w:trHeight w:val="23"/>
        </w:trPr>
        <w:tc>
          <w:tcPr>
            <w:tcW w:w="696" w:type="dxa"/>
            <w:shd w:val="clear" w:color="auto" w:fill="auto"/>
          </w:tcPr>
          <w:p w:rsidR="002D5183" w:rsidRPr="00967EC5" w:rsidRDefault="002D5183" w:rsidP="00AD0BB3">
            <w:pPr>
              <w:jc w:val="center"/>
              <w:rPr>
                <w:i/>
                <w:szCs w:val="24"/>
                <w:lang w:eastAsia="lt-LT"/>
              </w:rPr>
            </w:pPr>
          </w:p>
        </w:tc>
        <w:tc>
          <w:tcPr>
            <w:tcW w:w="3301" w:type="dxa"/>
            <w:shd w:val="clear" w:color="auto" w:fill="auto"/>
          </w:tcPr>
          <w:p w:rsidR="002D5183" w:rsidRPr="00967EC5" w:rsidRDefault="002D5183" w:rsidP="00AD0BB3">
            <w:pPr>
              <w:rPr>
                <w:i/>
                <w:szCs w:val="24"/>
                <w:lang w:eastAsia="lt-LT"/>
              </w:rPr>
            </w:pPr>
          </w:p>
        </w:tc>
        <w:tc>
          <w:tcPr>
            <w:tcW w:w="3845"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vertintojas</w:t>
            </w:r>
          </w:p>
        </w:tc>
        <w:tc>
          <w:tcPr>
            <w:tcW w:w="3658"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tiesioginis rengėjas</w:t>
            </w:r>
          </w:p>
        </w:tc>
        <w:tc>
          <w:tcPr>
            <w:tcW w:w="2611"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vertintojas</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1.</w:t>
            </w:r>
          </w:p>
        </w:tc>
        <w:tc>
          <w:tcPr>
            <w:tcW w:w="3301" w:type="dxa"/>
            <w:shd w:val="clear" w:color="auto" w:fill="auto"/>
          </w:tcPr>
          <w:p w:rsidR="002D5183" w:rsidRPr="00967EC5" w:rsidRDefault="002D5183" w:rsidP="00AD0BB3">
            <w:pPr>
              <w:rPr>
                <w:szCs w:val="24"/>
                <w:lang w:eastAsia="lt-LT"/>
              </w:rPr>
            </w:pPr>
            <w:r w:rsidRPr="00967EC5">
              <w:rPr>
                <w:szCs w:val="24"/>
                <w:lang w:eastAsia="lt-LT"/>
              </w:rPr>
              <w:t xml:space="preserve">Teisės akto projektas nesudaro išskirtinių ar nevienodų sąlygų subjektams, su kuriais susijęs </w:t>
            </w:r>
            <w:r w:rsidRPr="00967EC5">
              <w:rPr>
                <w:szCs w:val="24"/>
                <w:lang w:eastAsia="lt-LT"/>
              </w:rPr>
              <w:lastRenderedPageBreak/>
              <w:t>teisės akto įgyvendinimas</w:t>
            </w:r>
          </w:p>
        </w:tc>
        <w:tc>
          <w:tcPr>
            <w:tcW w:w="3845" w:type="dxa"/>
            <w:shd w:val="clear" w:color="auto" w:fill="auto"/>
          </w:tcPr>
          <w:p w:rsidR="00B7156B" w:rsidRDefault="00B7512A" w:rsidP="00B7156B">
            <w:pPr>
              <w:pStyle w:val="BodyText"/>
              <w:ind w:firstLine="0"/>
              <w:rPr>
                <w:rFonts w:cs="Times New Roman"/>
              </w:rPr>
            </w:pPr>
            <w:r w:rsidRPr="00967EC5">
              <w:rPr>
                <w:rFonts w:cs="Times New Roman"/>
              </w:rPr>
              <w:lastRenderedPageBreak/>
              <w:t xml:space="preserve">Projektas nesudaro išskirtinių ar nevienodų sąlygų subjektams, su kuriais susijęs teisės akto </w:t>
            </w:r>
            <w:r w:rsidRPr="00967EC5">
              <w:rPr>
                <w:rFonts w:cs="Times New Roman"/>
              </w:rPr>
              <w:lastRenderedPageBreak/>
              <w:t>įgyvendinimas.</w:t>
            </w:r>
          </w:p>
          <w:p w:rsidR="00B7156B" w:rsidRDefault="00B7156B" w:rsidP="00B7156B">
            <w:pPr>
              <w:pStyle w:val="BodyText"/>
              <w:ind w:firstLine="0"/>
              <w:rPr>
                <w:lang w:eastAsia="en-GB"/>
              </w:rPr>
            </w:pPr>
          </w:p>
          <w:p w:rsidR="00B7156B" w:rsidRDefault="00B7156B" w:rsidP="00B7156B">
            <w:pPr>
              <w:pStyle w:val="BodyText"/>
              <w:ind w:firstLine="0"/>
              <w:rPr>
                <w:lang w:eastAsia="en-GB"/>
              </w:rPr>
            </w:pPr>
            <w:r w:rsidRPr="00964CCB">
              <w:rPr>
                <w:lang w:eastAsia="en-GB"/>
              </w:rPr>
              <w:t>Projekt</w:t>
            </w:r>
            <w:r>
              <w:rPr>
                <w:lang w:eastAsia="en-GB"/>
              </w:rPr>
              <w:t>u</w:t>
            </w:r>
            <w:r w:rsidRPr="00964CCB">
              <w:rPr>
                <w:lang w:eastAsia="en-GB"/>
              </w:rPr>
              <w:t xml:space="preserve"> siūloma:</w:t>
            </w:r>
          </w:p>
          <w:p w:rsidR="00B7156B" w:rsidRDefault="00B7156B" w:rsidP="00B7156B">
            <w:pPr>
              <w:pStyle w:val="BodyText"/>
              <w:ind w:firstLine="0"/>
            </w:pPr>
            <w:r>
              <w:rPr>
                <w:lang w:eastAsia="en-GB"/>
              </w:rPr>
              <w:t xml:space="preserve">1) </w:t>
            </w:r>
            <w:r w:rsidRPr="00000287">
              <w:rPr>
                <w:lang w:eastAsia="en-GB"/>
              </w:rPr>
              <w:t xml:space="preserve">padidinti mažiems daugiabučiams namams </w:t>
            </w:r>
            <w:r w:rsidRPr="00000287">
              <w:t>(iki 1500 kv. m)</w:t>
            </w:r>
            <w:r w:rsidRPr="00000287">
              <w:rPr>
                <w:lang w:eastAsia="en-GB"/>
              </w:rPr>
              <w:t xml:space="preserve"> </w:t>
            </w:r>
            <w:r w:rsidRPr="00000287">
              <w:t>apmokamą arba kompensuojamą išlaidų dydį</w:t>
            </w:r>
            <w:r>
              <w:t xml:space="preserve"> už </w:t>
            </w:r>
            <w:r>
              <w:rPr>
                <w:color w:val="000000"/>
              </w:rPr>
              <w:t>projekto ar jo dalies parengimo, projekto vykdymo priežiūros ir projekto ekspertizės paslaugas</w:t>
            </w:r>
            <w:r w:rsidRPr="00000287">
              <w:rPr>
                <w:lang w:eastAsia="en-GB"/>
              </w:rPr>
              <w:t>.</w:t>
            </w:r>
            <w:r w:rsidRPr="005F7B6C">
              <w:rPr>
                <w:color w:val="000000"/>
              </w:rPr>
              <w:t xml:space="preserve"> </w:t>
            </w:r>
            <w:r>
              <w:rPr>
                <w:color w:val="000000"/>
              </w:rPr>
              <w:t xml:space="preserve">Įgyvendinant daugiabučių namų atnaujinimo (modernizavimo) projektus dažnai nepavyksta nupirkti daugiabučio namo atnaujinimo (modernizavimo) projekto ar jo dalies parengimo, projekto vykdymo priežiūros ir projekto ekspertizės paslaugų </w:t>
            </w:r>
            <w:bookmarkStart w:id="2" w:name="_Hlk30496380"/>
            <w:r>
              <w:rPr>
                <w:color w:val="000000"/>
              </w:rPr>
              <w:t>mažiems iki 1500 kv. m daugiabučiams namams</w:t>
            </w:r>
            <w:bookmarkEnd w:id="2"/>
            <w:r>
              <w:rPr>
                <w:color w:val="000000"/>
              </w:rPr>
              <w:t xml:space="preserve">, kadangi už paslaugas apmokama nuo statybos rangos darbų kainos, kuri minėtiems namams yra daug mažesnė už paslaugas, kurios teikiamos dideliems </w:t>
            </w:r>
            <w:r w:rsidRPr="00000287">
              <w:t>daugiabučiams namams, kurių plotas didesnis už 1500 kv. m, todėl projekte siūloma nuo 10 iki 13 procentų padidinti mažiems (iki 1500 kv. m) daugiabučiams namams už paslaugas apmokamą arba kompensuojamą išlaidų dydį</w:t>
            </w:r>
            <w:r>
              <w:t>;</w:t>
            </w:r>
          </w:p>
          <w:p w:rsidR="00DE1DE5" w:rsidRDefault="00B7156B" w:rsidP="00DE1DE5">
            <w:pPr>
              <w:pStyle w:val="BodyText"/>
              <w:ind w:firstLine="0"/>
              <w:rPr>
                <w:color w:val="000000"/>
              </w:rPr>
            </w:pPr>
            <w:r>
              <w:rPr>
                <w:lang w:val="en-GB" w:eastAsia="en-GB"/>
              </w:rPr>
              <w:t xml:space="preserve">2) </w:t>
            </w:r>
            <w:r>
              <w:t xml:space="preserve">atsižvelgus į projektų administratorių funkcijas, įvertinus savivaldybių ir projektų administratorių apklausos rezultatus, atnaujinimo (modernizavimo) </w:t>
            </w:r>
            <w:r>
              <w:lastRenderedPageBreak/>
              <w:t xml:space="preserve">projekto įgyvendinimo etapus ir valstybės paramos už projekto administravimo mokėjimo procedūras, siūloma padidinti šiuo metu Vyriausybės nustatytą </w:t>
            </w:r>
            <w:r w:rsidRPr="00000287">
              <w:t>projekto įgyvendinimo administravimo dydį</w:t>
            </w:r>
            <w:r>
              <w:t xml:space="preserve"> nuo 3,50 eurų </w:t>
            </w:r>
            <w:r w:rsidRPr="0059779D">
              <w:t xml:space="preserve">iki </w:t>
            </w:r>
            <w:r w:rsidRPr="0059779D">
              <w:rPr>
                <w:color w:val="000000"/>
              </w:rPr>
              <w:t>5,10</w:t>
            </w:r>
            <w:r>
              <w:rPr>
                <w:color w:val="000000"/>
              </w:rPr>
              <w:t xml:space="preserve"> </w:t>
            </w:r>
            <w:r>
              <w:t xml:space="preserve">eurų, </w:t>
            </w:r>
            <w:r>
              <w:rPr>
                <w:color w:val="000000"/>
              </w:rPr>
              <w:t xml:space="preserve">jeigu įgyvendinamas atnaujinimo (modernizavimo) projektas, pagal kurį numatoma pasiekti C ar B pastato energinio naudingumo klasę ir nuo </w:t>
            </w:r>
            <w:r>
              <w:rPr>
                <w:lang w:val="en-GB"/>
              </w:rPr>
              <w:t>4</w:t>
            </w:r>
            <w:r>
              <w:t xml:space="preserve">,50 eurų </w:t>
            </w:r>
            <w:r w:rsidRPr="0059779D">
              <w:t xml:space="preserve">iki </w:t>
            </w:r>
            <w:r>
              <w:rPr>
                <w:color w:val="000000"/>
              </w:rPr>
              <w:t>6</w:t>
            </w:r>
            <w:r w:rsidRPr="0059779D">
              <w:rPr>
                <w:color w:val="000000"/>
              </w:rPr>
              <w:t>,10</w:t>
            </w:r>
            <w:r>
              <w:rPr>
                <w:color w:val="000000"/>
              </w:rPr>
              <w:t xml:space="preserve"> </w:t>
            </w:r>
            <w:r>
              <w:t xml:space="preserve">eurų, </w:t>
            </w:r>
            <w:r>
              <w:rPr>
                <w:color w:val="000000"/>
              </w:rPr>
              <w:t>jeigu įgyvendinamas atnaujinimo (modernizavimo) projektas, pagal kurį numatoma pasiekti A ar aukštesnę pastato energinio naudingumo klasę</w:t>
            </w:r>
            <w:r>
              <w:t xml:space="preserve">. Ypač maži namai lieka nepatrauklūs projekto administratoriams, todėl numatoma taikyti minimalų </w:t>
            </w:r>
            <w:r>
              <w:rPr>
                <w:lang w:val="en-GB"/>
              </w:rPr>
              <w:t xml:space="preserve">4000 </w:t>
            </w:r>
            <w:proofErr w:type="spellStart"/>
            <w:r>
              <w:rPr>
                <w:lang w:val="en-GB"/>
              </w:rPr>
              <w:t>eur</w:t>
            </w:r>
            <w:proofErr w:type="spellEnd"/>
            <w:r>
              <w:t xml:space="preserve">ų </w:t>
            </w:r>
            <w:r w:rsidRPr="00000287">
              <w:t>projekto įgyvendinimo administravimo dydį</w:t>
            </w:r>
            <w:r>
              <w:t xml:space="preserve">. Taip pat siūloma </w:t>
            </w:r>
            <w:r w:rsidRPr="007A1A1B">
              <w:t xml:space="preserve">pakeisti valstybės paramos projekto įgyvendinimui administruoti mokėjimo tvarką nustatant, kad </w:t>
            </w:r>
            <w:r w:rsidRPr="007A1A1B">
              <w:rPr>
                <w:color w:val="000000"/>
              </w:rPr>
              <w:t xml:space="preserve">15 procentų projekto įgyvendinimo administravimo išlaidų, numatytų valstybės paramos sutartyje, apmokama arba kompensuojama pasirašius valstybės paramos sutartį, 15 procentų sudarius statybos rangos darbų arba statybos rangos darbų kartu su projekto (techninio darbo projekto) parengimu sutartį, 50 procentų proporcingai </w:t>
            </w:r>
            <w:r w:rsidRPr="007A1A1B">
              <w:rPr>
                <w:color w:val="000000"/>
              </w:rPr>
              <w:lastRenderedPageBreak/>
              <w:t>atliktiems statybos rangos darbams, 20</w:t>
            </w:r>
            <w:r w:rsidR="00DE1DE5">
              <w:rPr>
                <w:color w:val="000000"/>
              </w:rPr>
              <w:t xml:space="preserve"> procentų įgyvendinus projektą;</w:t>
            </w:r>
          </w:p>
          <w:p w:rsidR="00DE1DE5" w:rsidRDefault="00B7156B" w:rsidP="00DE1DE5">
            <w:pPr>
              <w:pStyle w:val="BodyText"/>
              <w:ind w:firstLine="0"/>
              <w:rPr>
                <w:rFonts w:cs="Times New Roman"/>
              </w:rPr>
            </w:pPr>
            <w:r>
              <w:rPr>
                <w:lang w:eastAsia="en-GB"/>
              </w:rPr>
              <w:t xml:space="preserve">3) </w:t>
            </w:r>
            <w:r w:rsidRPr="00321AA1">
              <w:rPr>
                <w:rFonts w:cs="Times New Roman"/>
              </w:rPr>
              <w:t>sudaryti galimybę statybos rangos darbus pirkti kartu su projektavim</w:t>
            </w:r>
            <w:r>
              <w:rPr>
                <w:rFonts w:cs="Times New Roman"/>
              </w:rPr>
              <w:t>o paslaugomis</w:t>
            </w:r>
            <w:r w:rsidRPr="00321AA1">
              <w:rPr>
                <w:rFonts w:cs="Times New Roman"/>
              </w:rPr>
              <w:t xml:space="preserve"> nepriklausomai nuo pastato dydžio</w:t>
            </w:r>
            <w:r w:rsidR="00DE1DE5">
              <w:rPr>
                <w:rFonts w:cs="Times New Roman"/>
              </w:rPr>
              <w:t>;</w:t>
            </w:r>
          </w:p>
          <w:p w:rsidR="00DE1DE5" w:rsidRDefault="00B7156B" w:rsidP="00DE1DE5">
            <w:pPr>
              <w:pStyle w:val="BodyText"/>
              <w:ind w:firstLine="0"/>
              <w:rPr>
                <w:rFonts w:cs="Times New Roman"/>
              </w:rPr>
            </w:pPr>
            <w:r>
              <w:rPr>
                <w:rFonts w:cs="Times New Roman"/>
              </w:rPr>
              <w:t xml:space="preserve">4) nustatyti, kad projekto </w:t>
            </w:r>
            <w:r w:rsidRPr="00321AA1">
              <w:rPr>
                <w:rFonts w:cs="Times New Roman"/>
              </w:rPr>
              <w:t xml:space="preserve">biudžetą galima keisti </w:t>
            </w:r>
            <w:r>
              <w:rPr>
                <w:rFonts w:cs="Times New Roman"/>
              </w:rPr>
              <w:t xml:space="preserve">butų ir kitų patalpų </w:t>
            </w:r>
            <w:r w:rsidRPr="00321AA1">
              <w:rPr>
                <w:rFonts w:cs="Times New Roman"/>
              </w:rPr>
              <w:t>savininkų protokoliniu sprendimu, kurio pagrindu keiči</w:t>
            </w:r>
            <w:r>
              <w:rPr>
                <w:rFonts w:cs="Times New Roman"/>
              </w:rPr>
              <w:t>ama valstybės paramos sutartis;</w:t>
            </w:r>
          </w:p>
          <w:p w:rsidR="00DE1DE5" w:rsidRDefault="00B7156B" w:rsidP="00DE1DE5">
            <w:pPr>
              <w:pStyle w:val="BodyText"/>
              <w:ind w:firstLine="0"/>
              <w:rPr>
                <w:lang w:eastAsia="en-GB"/>
              </w:rPr>
            </w:pPr>
            <w:r>
              <w:rPr>
                <w:lang w:val="en-GB" w:eastAsia="en-GB"/>
              </w:rPr>
              <w:t xml:space="preserve">5) </w:t>
            </w:r>
            <w:r w:rsidRPr="00A050D1">
              <w:rPr>
                <w:lang w:eastAsia="en-GB"/>
              </w:rPr>
              <w:t>numatyti, kad valstybės paramos sutarties formą nustato daugiabučių namų atnaujinimo modernizavimo programos įgyvendinimą administruojanti ir valstybės paramą teikianti Lietuvos Respublikos aplinkos ministerijos Aplinkos projektų valdymo agentūra</w:t>
            </w:r>
            <w:r w:rsidR="00DE1DE5">
              <w:rPr>
                <w:lang w:eastAsia="en-GB"/>
              </w:rPr>
              <w:t>;</w:t>
            </w:r>
          </w:p>
          <w:p w:rsidR="00B7156B" w:rsidRPr="00DE1DE5" w:rsidRDefault="00DE1DE5" w:rsidP="00DE1DE5">
            <w:pPr>
              <w:pStyle w:val="BodyText"/>
              <w:ind w:firstLine="0"/>
              <w:rPr>
                <w:lang w:eastAsia="en-GB"/>
              </w:rPr>
            </w:pPr>
            <w:r>
              <w:rPr>
                <w:lang w:val="en-GB" w:eastAsia="en-GB"/>
              </w:rPr>
              <w:t>6</w:t>
            </w:r>
            <w:r w:rsidR="00B7156B">
              <w:rPr>
                <w:lang w:val="en-GB" w:eastAsia="en-GB"/>
              </w:rPr>
              <w:t xml:space="preserve">) </w:t>
            </w:r>
            <w:r w:rsidR="00B7156B">
              <w:rPr>
                <w:rFonts w:cs="Times New Roman"/>
                <w:bCs/>
              </w:rPr>
              <w:t>pratęsti daugiabučio namo atnaujinimo (modernizavimo) projektų, parengtų pagal iki 2017 m. lapkričio 1 d. galiojusią Lietuvos Respublikos valstybės paramos daugiabučiams namams atnaujinti (modernizuoti) įstatymo redakciją,</w:t>
            </w:r>
            <w:r>
              <w:rPr>
                <w:rFonts w:cs="Times New Roman"/>
                <w:bCs/>
              </w:rPr>
              <w:t xml:space="preserve"> terminą </w:t>
            </w:r>
            <w:r w:rsidR="00B7156B">
              <w:rPr>
                <w:rFonts w:cs="Times New Roman"/>
              </w:rPr>
              <w:t>iki 2023 m. liepos 31 d.</w:t>
            </w:r>
          </w:p>
          <w:p w:rsidR="00D059A6" w:rsidRPr="00C21565" w:rsidRDefault="00D059A6" w:rsidP="00B7156B">
            <w:pPr>
              <w:pStyle w:val="BodyText"/>
              <w:ind w:firstLine="0"/>
            </w:pPr>
          </w:p>
        </w:tc>
        <w:tc>
          <w:tcPr>
            <w:tcW w:w="3658" w:type="dxa"/>
            <w:shd w:val="clear" w:color="auto" w:fill="auto"/>
          </w:tcPr>
          <w:p w:rsidR="002D5183" w:rsidRPr="00967EC5" w:rsidRDefault="002D5183" w:rsidP="00AD0BB3">
            <w:pPr>
              <w:rPr>
                <w:b/>
                <w:szCs w:val="24"/>
                <w:lang w:eastAsia="lt-LT"/>
              </w:rPr>
            </w:pPr>
          </w:p>
        </w:tc>
        <w:tc>
          <w:tcPr>
            <w:tcW w:w="2611" w:type="dxa"/>
            <w:shd w:val="clear" w:color="auto" w:fill="auto"/>
          </w:tcPr>
          <w:p w:rsidR="002D5183" w:rsidRPr="00967EC5" w:rsidRDefault="008C17C3" w:rsidP="00AD0BB3">
            <w:pPr>
              <w:rPr>
                <w:szCs w:val="24"/>
                <w:lang w:eastAsia="lt-LT"/>
              </w:rPr>
            </w:pPr>
            <w:r w:rsidRPr="00967EC5">
              <w:rPr>
                <w:szCs w:val="24"/>
                <w:lang w:eastAsia="lt-LT"/>
              </w:rPr>
              <w:t xml:space="preserve">X </w:t>
            </w:r>
            <w:r w:rsidR="002D5183" w:rsidRPr="00967EC5">
              <w:rPr>
                <w:szCs w:val="24"/>
                <w:lang w:eastAsia="lt-LT"/>
              </w:rPr>
              <w:t>tenkina</w:t>
            </w:r>
          </w:p>
          <w:p w:rsidR="002D5183" w:rsidRPr="00967EC5" w:rsidRDefault="002D5183" w:rsidP="00AD0BB3">
            <w:pPr>
              <w:rPr>
                <w:szCs w:val="24"/>
                <w:lang w:eastAsia="lt-LT"/>
              </w:rPr>
            </w:pPr>
            <w:r w:rsidRPr="00967EC5">
              <w:rPr>
                <w:szCs w:val="24"/>
                <w:lang w:eastAsia="lt-LT"/>
              </w:rPr>
              <w:t>□ netenkina</w:t>
            </w:r>
          </w:p>
        </w:tc>
      </w:tr>
      <w:tr w:rsidR="002D5183" w:rsidRPr="00967EC5" w:rsidTr="004E1B6F">
        <w:trPr>
          <w:trHeight w:val="23"/>
        </w:trPr>
        <w:tc>
          <w:tcPr>
            <w:tcW w:w="696" w:type="dxa"/>
            <w:shd w:val="clear" w:color="auto" w:fill="auto"/>
          </w:tcPr>
          <w:p w:rsidR="002D5183" w:rsidRPr="00967EC5" w:rsidRDefault="002D5183" w:rsidP="00AD0BB3">
            <w:pPr>
              <w:keepNext/>
              <w:jc w:val="center"/>
              <w:rPr>
                <w:szCs w:val="24"/>
                <w:lang w:eastAsia="lt-LT"/>
              </w:rPr>
            </w:pPr>
            <w:r w:rsidRPr="00967EC5">
              <w:rPr>
                <w:szCs w:val="24"/>
                <w:lang w:eastAsia="lt-LT"/>
              </w:rPr>
              <w:lastRenderedPageBreak/>
              <w:t>2.</w:t>
            </w:r>
          </w:p>
        </w:tc>
        <w:tc>
          <w:tcPr>
            <w:tcW w:w="3301" w:type="dxa"/>
            <w:shd w:val="clear" w:color="auto" w:fill="auto"/>
          </w:tcPr>
          <w:p w:rsidR="002D5183" w:rsidRPr="00967EC5" w:rsidRDefault="002D5183" w:rsidP="00AD0BB3">
            <w:pPr>
              <w:keepNext/>
              <w:rPr>
                <w:szCs w:val="24"/>
                <w:lang w:eastAsia="lt-LT"/>
              </w:rPr>
            </w:pPr>
            <w:r w:rsidRPr="00967EC5">
              <w:rPr>
                <w:szCs w:val="24"/>
                <w:lang w:eastAsia="lt-LT"/>
              </w:rPr>
              <w:t>Teisės akto projekte nėra spragų ar nuostatų, leisiančių dviprasmiškai aiškinti ir taikyti teisės aktą</w:t>
            </w:r>
          </w:p>
        </w:tc>
        <w:tc>
          <w:tcPr>
            <w:tcW w:w="3845" w:type="dxa"/>
            <w:shd w:val="clear" w:color="auto" w:fill="auto"/>
          </w:tcPr>
          <w:p w:rsidR="00BD494A" w:rsidRDefault="008C17C3" w:rsidP="00124D41">
            <w:pPr>
              <w:keepNext/>
              <w:jc w:val="both"/>
              <w:rPr>
                <w:szCs w:val="24"/>
                <w:lang w:eastAsia="lt-LT"/>
              </w:rPr>
            </w:pPr>
            <w:r w:rsidRPr="00967EC5">
              <w:rPr>
                <w:szCs w:val="24"/>
                <w:lang w:eastAsia="lt-LT"/>
              </w:rPr>
              <w:t>Projekto</w:t>
            </w:r>
            <w:r w:rsidR="00A87CC5" w:rsidRPr="00967EC5">
              <w:rPr>
                <w:szCs w:val="24"/>
                <w:lang w:eastAsia="lt-LT"/>
              </w:rPr>
              <w:t xml:space="preserve"> nuostatos aiškios ir nesudaro galimybės dviprasmiškai aiškinti ir taikyti teisės aktą.</w:t>
            </w:r>
          </w:p>
          <w:p w:rsidR="000B1D6D" w:rsidRDefault="000B1D6D" w:rsidP="00124D41">
            <w:pPr>
              <w:keepNext/>
              <w:jc w:val="both"/>
              <w:rPr>
                <w:szCs w:val="24"/>
                <w:lang w:eastAsia="lt-LT"/>
              </w:rPr>
            </w:pPr>
          </w:p>
          <w:p w:rsidR="000B5C31" w:rsidRDefault="000B5C31" w:rsidP="00124D41">
            <w:pPr>
              <w:keepNext/>
              <w:jc w:val="both"/>
            </w:pPr>
          </w:p>
          <w:p w:rsidR="00B0733F" w:rsidRDefault="00B0733F" w:rsidP="00124D41">
            <w:pPr>
              <w:keepNext/>
              <w:jc w:val="both"/>
              <w:rPr>
                <w:szCs w:val="24"/>
                <w:lang w:eastAsia="lt-LT"/>
              </w:rPr>
            </w:pPr>
          </w:p>
          <w:p w:rsidR="0049755F" w:rsidRPr="00967EC5" w:rsidRDefault="0049755F" w:rsidP="007C5799">
            <w:pPr>
              <w:pStyle w:val="BodyText"/>
              <w:ind w:firstLine="0"/>
              <w:rPr>
                <w:lang w:eastAsia="lt-LT"/>
              </w:rPr>
            </w:pPr>
          </w:p>
        </w:tc>
        <w:tc>
          <w:tcPr>
            <w:tcW w:w="3658" w:type="dxa"/>
            <w:shd w:val="clear" w:color="auto" w:fill="auto"/>
          </w:tcPr>
          <w:p w:rsidR="002D5183" w:rsidRPr="00967EC5" w:rsidRDefault="002D5183" w:rsidP="00AD0BB3">
            <w:pPr>
              <w:keepNext/>
              <w:rPr>
                <w:szCs w:val="24"/>
                <w:lang w:eastAsia="lt-LT"/>
              </w:rPr>
            </w:pPr>
          </w:p>
        </w:tc>
        <w:tc>
          <w:tcPr>
            <w:tcW w:w="2611" w:type="dxa"/>
            <w:shd w:val="clear" w:color="auto" w:fill="auto"/>
          </w:tcPr>
          <w:p w:rsidR="002D5183" w:rsidRPr="00967EC5" w:rsidRDefault="008C17C3" w:rsidP="00AD0BB3">
            <w:pPr>
              <w:keepNext/>
              <w:rPr>
                <w:szCs w:val="24"/>
                <w:lang w:eastAsia="lt-LT"/>
              </w:rPr>
            </w:pPr>
            <w:r w:rsidRPr="00967EC5">
              <w:rPr>
                <w:szCs w:val="24"/>
                <w:lang w:eastAsia="lt-LT"/>
              </w:rPr>
              <w:t xml:space="preserve">X </w:t>
            </w:r>
            <w:r w:rsidR="002D5183" w:rsidRPr="00967EC5">
              <w:rPr>
                <w:szCs w:val="24"/>
                <w:lang w:eastAsia="lt-LT"/>
              </w:rPr>
              <w:t xml:space="preserve"> tenkina</w:t>
            </w:r>
          </w:p>
          <w:p w:rsidR="002D5183" w:rsidRPr="00967EC5" w:rsidRDefault="002D5183" w:rsidP="00AD0BB3">
            <w:pPr>
              <w:keepNext/>
              <w:rPr>
                <w:szCs w:val="24"/>
                <w:lang w:eastAsia="lt-LT"/>
              </w:rPr>
            </w:pPr>
            <w:r w:rsidRPr="00967EC5">
              <w:rPr>
                <w:szCs w:val="24"/>
                <w:lang w:eastAsia="lt-LT"/>
              </w:rPr>
              <w:t>□ netenkina</w:t>
            </w:r>
          </w:p>
        </w:tc>
      </w:tr>
      <w:tr w:rsidR="00B7512A" w:rsidRPr="00967EC5" w:rsidTr="00B7512A">
        <w:trPr>
          <w:trHeight w:val="2376"/>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3.</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rsidR="00D31BC4" w:rsidRPr="00967EC5" w:rsidRDefault="00D31BC4" w:rsidP="00D31BC4">
            <w:pPr>
              <w:rPr>
                <w:bCs/>
                <w:szCs w:val="24"/>
              </w:rPr>
            </w:pPr>
            <w:r w:rsidRPr="00967EC5">
              <w:rPr>
                <w:bCs/>
                <w:szCs w:val="24"/>
              </w:rPr>
              <w:t>Ši nuostata neaktuali.</w:t>
            </w:r>
          </w:p>
          <w:p w:rsidR="00B7512A" w:rsidRPr="00967EC5" w:rsidRDefault="00D31BC4" w:rsidP="00D31BC4">
            <w:pPr>
              <w:jc w:val="both"/>
              <w:rPr>
                <w:szCs w:val="24"/>
                <w:lang w:eastAsia="ar-SA"/>
              </w:rPr>
            </w:pPr>
            <w:r w:rsidRPr="00967EC5">
              <w:rPr>
                <w:bCs/>
                <w:szCs w:val="24"/>
              </w:rPr>
              <w:t>Projekte tokių nuostatų nėra.</w:t>
            </w:r>
          </w:p>
        </w:tc>
        <w:tc>
          <w:tcPr>
            <w:tcW w:w="3658" w:type="dxa"/>
            <w:shd w:val="clear" w:color="auto" w:fill="auto"/>
          </w:tcPr>
          <w:p w:rsidR="00B7512A" w:rsidRPr="00967EC5" w:rsidRDefault="00B7512A" w:rsidP="00AD0BB3">
            <w:pPr>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B7512A" w:rsidRPr="00967EC5" w:rsidTr="004E1B6F">
        <w:trPr>
          <w:trHeight w:val="23"/>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4.</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nustatyti subjekto įgaliojimai (teisės) atitinka subjekto atliekamas funkcijas (pareigas)</w:t>
            </w:r>
          </w:p>
        </w:tc>
        <w:tc>
          <w:tcPr>
            <w:tcW w:w="3845" w:type="dxa"/>
            <w:shd w:val="clear" w:color="auto" w:fill="auto"/>
          </w:tcPr>
          <w:p w:rsidR="00D31BC4" w:rsidRPr="00967EC5" w:rsidRDefault="00D31BC4" w:rsidP="00D31BC4">
            <w:pPr>
              <w:rPr>
                <w:bCs/>
                <w:szCs w:val="24"/>
              </w:rPr>
            </w:pPr>
            <w:r w:rsidRPr="00967EC5">
              <w:rPr>
                <w:bCs/>
                <w:szCs w:val="24"/>
              </w:rPr>
              <w:t>Ši nuostata neaktuali.</w:t>
            </w:r>
          </w:p>
          <w:p w:rsidR="00B7512A" w:rsidRPr="00967EC5" w:rsidRDefault="00D31BC4" w:rsidP="00D31BC4">
            <w:pPr>
              <w:suppressAutoHyphens/>
              <w:jc w:val="both"/>
              <w:rPr>
                <w:szCs w:val="24"/>
                <w:lang w:eastAsia="lt-LT"/>
              </w:rPr>
            </w:pPr>
            <w:r w:rsidRPr="00967EC5">
              <w:rPr>
                <w:bCs/>
                <w:szCs w:val="24"/>
              </w:rPr>
              <w:t>Projekte tokių nuostatų nėra.</w:t>
            </w:r>
          </w:p>
        </w:tc>
        <w:tc>
          <w:tcPr>
            <w:tcW w:w="3658" w:type="dxa"/>
            <w:shd w:val="clear" w:color="auto" w:fill="auto"/>
          </w:tcPr>
          <w:p w:rsidR="00B7512A" w:rsidRPr="00967EC5" w:rsidRDefault="00B7512A" w:rsidP="00BF035E">
            <w:pPr>
              <w:suppressAutoHyphens/>
              <w:spacing w:line="276" w:lineRule="auto"/>
              <w:ind w:left="-284" w:right="-3" w:firstLine="568"/>
              <w:jc w:val="both"/>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B7512A" w:rsidRPr="00967EC5" w:rsidTr="004E1B6F">
        <w:trPr>
          <w:trHeight w:val="23"/>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5.</w:t>
            </w:r>
          </w:p>
        </w:tc>
        <w:tc>
          <w:tcPr>
            <w:tcW w:w="3301" w:type="dxa"/>
            <w:shd w:val="clear" w:color="auto" w:fill="auto"/>
          </w:tcPr>
          <w:p w:rsidR="00B7512A" w:rsidRPr="001F39C9" w:rsidRDefault="00B7512A" w:rsidP="00AD0BB3">
            <w:pPr>
              <w:rPr>
                <w:szCs w:val="24"/>
                <w:lang w:eastAsia="lt-LT"/>
              </w:rPr>
            </w:pPr>
            <w:r w:rsidRPr="001F39C9">
              <w:rPr>
                <w:szCs w:val="24"/>
                <w:lang w:eastAsia="lt-LT"/>
              </w:rPr>
              <w:t>Teisės akto projekte nustatytas baigtinis sprendimo priėmimo kriterijų (atvejų) sąrašas</w:t>
            </w:r>
          </w:p>
        </w:tc>
        <w:tc>
          <w:tcPr>
            <w:tcW w:w="3845" w:type="dxa"/>
            <w:shd w:val="clear" w:color="auto" w:fill="auto"/>
          </w:tcPr>
          <w:p w:rsidR="00541EEF" w:rsidRPr="00967EC5" w:rsidRDefault="00541EEF" w:rsidP="00541EEF">
            <w:pPr>
              <w:rPr>
                <w:bCs/>
                <w:szCs w:val="24"/>
              </w:rPr>
            </w:pPr>
            <w:r w:rsidRPr="00967EC5">
              <w:rPr>
                <w:bCs/>
                <w:szCs w:val="24"/>
              </w:rPr>
              <w:t>Ši nuostata neaktuali.</w:t>
            </w:r>
          </w:p>
          <w:p w:rsidR="00B7512A" w:rsidRPr="00967EC5" w:rsidRDefault="00541EEF" w:rsidP="00541EEF">
            <w:pPr>
              <w:rPr>
                <w:szCs w:val="24"/>
                <w:lang w:eastAsia="lt-LT"/>
              </w:rPr>
            </w:pPr>
            <w:r w:rsidRPr="00967EC5">
              <w:rPr>
                <w:bCs/>
                <w:szCs w:val="24"/>
              </w:rPr>
              <w:t>Projekte tokių nuostatų nėra.</w:t>
            </w:r>
          </w:p>
        </w:tc>
        <w:tc>
          <w:tcPr>
            <w:tcW w:w="3658" w:type="dxa"/>
            <w:shd w:val="clear" w:color="auto" w:fill="auto"/>
          </w:tcPr>
          <w:p w:rsidR="00B7512A" w:rsidRPr="00967EC5" w:rsidRDefault="00B7512A" w:rsidP="00476A37">
            <w:pPr>
              <w:tabs>
                <w:tab w:val="left" w:pos="993"/>
              </w:tabs>
              <w:jc w:val="both"/>
              <w:rPr>
                <w:szCs w:val="24"/>
                <w:lang w:eastAsia="lt-LT"/>
              </w:rPr>
            </w:pPr>
          </w:p>
        </w:tc>
        <w:tc>
          <w:tcPr>
            <w:tcW w:w="2611" w:type="dxa"/>
            <w:shd w:val="clear" w:color="auto" w:fill="auto"/>
          </w:tcPr>
          <w:p w:rsidR="00B7512A" w:rsidRPr="00967EC5" w:rsidRDefault="00541EEF" w:rsidP="00AD0BB3">
            <w:pPr>
              <w:rPr>
                <w:szCs w:val="24"/>
                <w:lang w:eastAsia="lt-LT"/>
              </w:rPr>
            </w:pPr>
            <w:r w:rsidRPr="00967EC5">
              <w:rPr>
                <w:szCs w:val="24"/>
                <w:lang w:eastAsia="lt-LT"/>
              </w:rPr>
              <w:t>□</w:t>
            </w:r>
            <w:r w:rsidR="00B7512A" w:rsidRPr="00967EC5">
              <w:rPr>
                <w:szCs w:val="24"/>
                <w:lang w:eastAsia="lt-LT"/>
              </w:rPr>
              <w:t xml:space="preserve"> tenkina</w:t>
            </w:r>
          </w:p>
          <w:p w:rsidR="00B7512A" w:rsidRPr="00967EC5" w:rsidRDefault="00B7512A" w:rsidP="00AD0BB3">
            <w:pPr>
              <w:rPr>
                <w:szCs w:val="24"/>
                <w:lang w:eastAsia="lt-LT"/>
              </w:rPr>
            </w:pPr>
            <w:r w:rsidRPr="00967EC5">
              <w:rPr>
                <w:szCs w:val="24"/>
                <w:lang w:eastAsia="lt-LT"/>
              </w:rPr>
              <w:t>□ netenkina</w:t>
            </w:r>
          </w:p>
        </w:tc>
      </w:tr>
      <w:tr w:rsidR="002D5183" w:rsidRPr="00967EC5" w:rsidTr="00DD1D8C">
        <w:trPr>
          <w:trHeight w:val="274"/>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6.</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projekte nustatytas baigtinis sąrašas motyvuotų atvejų, kai priimant sprendimus taikomos išimtys</w:t>
            </w:r>
          </w:p>
          <w:p w:rsidR="00BD494A" w:rsidRPr="00967EC5" w:rsidRDefault="00BD494A" w:rsidP="00AD0BB3">
            <w:pPr>
              <w:rPr>
                <w:szCs w:val="24"/>
                <w:lang w:eastAsia="lt-LT"/>
              </w:rPr>
            </w:pPr>
          </w:p>
        </w:tc>
        <w:tc>
          <w:tcPr>
            <w:tcW w:w="3845" w:type="dxa"/>
            <w:shd w:val="clear" w:color="auto" w:fill="auto"/>
          </w:tcPr>
          <w:p w:rsidR="00946A11" w:rsidRPr="00967EC5" w:rsidRDefault="00946A11" w:rsidP="00946A11">
            <w:pPr>
              <w:rPr>
                <w:bCs/>
                <w:szCs w:val="24"/>
              </w:rPr>
            </w:pPr>
            <w:r w:rsidRPr="00967EC5">
              <w:rPr>
                <w:bCs/>
                <w:szCs w:val="24"/>
              </w:rPr>
              <w:t>Ši nuostata neaktuali.</w:t>
            </w:r>
          </w:p>
          <w:p w:rsidR="002D5183" w:rsidRPr="00967EC5" w:rsidRDefault="00946A11" w:rsidP="00B7512A">
            <w:pPr>
              <w:rPr>
                <w:bCs/>
                <w:szCs w:val="24"/>
              </w:rPr>
            </w:pPr>
            <w:r w:rsidRPr="00967EC5">
              <w:rPr>
                <w:bCs/>
                <w:szCs w:val="24"/>
              </w:rPr>
              <w:t xml:space="preserve">Projekte </w:t>
            </w:r>
            <w:r w:rsidR="00377C68" w:rsidRPr="00967EC5">
              <w:rPr>
                <w:bCs/>
                <w:szCs w:val="24"/>
              </w:rPr>
              <w:t>tokių nuostatų nėra.</w:t>
            </w:r>
          </w:p>
        </w:tc>
        <w:tc>
          <w:tcPr>
            <w:tcW w:w="3658" w:type="dxa"/>
            <w:shd w:val="clear" w:color="auto" w:fill="auto"/>
          </w:tcPr>
          <w:p w:rsidR="002D5183" w:rsidRPr="00967EC5" w:rsidRDefault="002D5183" w:rsidP="00AD0BB3">
            <w:pPr>
              <w:rPr>
                <w:szCs w:val="24"/>
                <w:lang w:eastAsia="lt-LT"/>
              </w:rPr>
            </w:pPr>
          </w:p>
        </w:tc>
        <w:tc>
          <w:tcPr>
            <w:tcW w:w="2611" w:type="dxa"/>
            <w:shd w:val="clear" w:color="auto" w:fill="auto"/>
          </w:tcPr>
          <w:p w:rsidR="002D5183" w:rsidRPr="00967EC5" w:rsidRDefault="002D5183" w:rsidP="00AD0BB3">
            <w:pPr>
              <w:rPr>
                <w:szCs w:val="24"/>
                <w:lang w:eastAsia="lt-LT"/>
              </w:rPr>
            </w:pPr>
            <w:r w:rsidRPr="00967EC5">
              <w:rPr>
                <w:szCs w:val="24"/>
                <w:lang w:eastAsia="lt-LT"/>
              </w:rPr>
              <w:t>□ tenkina</w:t>
            </w:r>
          </w:p>
          <w:p w:rsidR="002D5183" w:rsidRPr="00967EC5" w:rsidRDefault="00946A11" w:rsidP="00AD0BB3">
            <w:pPr>
              <w:rPr>
                <w:szCs w:val="24"/>
                <w:lang w:eastAsia="lt-LT"/>
              </w:rPr>
            </w:pPr>
            <w:r w:rsidRPr="00967EC5">
              <w:rPr>
                <w:szCs w:val="24"/>
                <w:lang w:eastAsia="lt-LT"/>
              </w:rPr>
              <w:t>□</w:t>
            </w:r>
            <w:r w:rsidR="00E33987" w:rsidRPr="00967EC5">
              <w:rPr>
                <w:szCs w:val="24"/>
                <w:lang w:eastAsia="lt-LT"/>
              </w:rPr>
              <w:t xml:space="preserve"> </w:t>
            </w:r>
            <w:r w:rsidR="002D5183" w:rsidRPr="00967EC5">
              <w:rPr>
                <w:szCs w:val="24"/>
                <w:lang w:eastAsia="lt-LT"/>
              </w:rPr>
              <w:t>netenkina</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7.</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projekte nustatyta sprendimų priėmimo, įforminimo tvarka ir priimtų sprendimų viešinimas</w:t>
            </w:r>
          </w:p>
        </w:tc>
        <w:tc>
          <w:tcPr>
            <w:tcW w:w="3845" w:type="dxa"/>
            <w:shd w:val="clear" w:color="auto" w:fill="auto"/>
          </w:tcPr>
          <w:p w:rsidR="00EF7D86" w:rsidRPr="00EF7D86" w:rsidRDefault="00EF7D86" w:rsidP="00EF7D86">
            <w:pPr>
              <w:tabs>
                <w:tab w:val="left" w:pos="993"/>
              </w:tabs>
              <w:jc w:val="both"/>
              <w:rPr>
                <w:szCs w:val="24"/>
                <w:lang w:eastAsia="lt-LT"/>
              </w:rPr>
            </w:pPr>
            <w:r w:rsidRPr="00EF7D86">
              <w:rPr>
                <w:szCs w:val="24"/>
                <w:lang w:eastAsia="lt-LT"/>
              </w:rPr>
              <w:t>Projekte nustatyta sprendimų priėmimo ir įforminimo tvarka.</w:t>
            </w:r>
          </w:p>
          <w:p w:rsidR="00EF7D86" w:rsidRPr="00EF7D86" w:rsidRDefault="00EF7D86" w:rsidP="00EF7D86">
            <w:pPr>
              <w:tabs>
                <w:tab w:val="left" w:pos="993"/>
              </w:tabs>
              <w:jc w:val="both"/>
              <w:rPr>
                <w:szCs w:val="24"/>
                <w:lang w:eastAsia="lt-LT"/>
              </w:rPr>
            </w:pPr>
          </w:p>
          <w:p w:rsidR="00EF7D86" w:rsidRPr="00967EC5" w:rsidRDefault="00EF7D86" w:rsidP="00CB1F0B">
            <w:pPr>
              <w:tabs>
                <w:tab w:val="left" w:pos="993"/>
              </w:tabs>
              <w:jc w:val="both"/>
              <w:rPr>
                <w:b/>
                <w:color w:val="000000"/>
                <w:szCs w:val="24"/>
              </w:rPr>
            </w:pPr>
            <w:r w:rsidRPr="00EF7D86">
              <w:rPr>
                <w:szCs w:val="24"/>
                <w:lang w:eastAsia="lt-LT"/>
              </w:rPr>
              <w:t xml:space="preserve">Pagal projekto </w:t>
            </w:r>
            <w:r w:rsidRPr="00EF7D86">
              <w:rPr>
                <w:color w:val="000000"/>
              </w:rPr>
              <w:t>2.1 punktu keiči</w:t>
            </w:r>
            <w:r>
              <w:rPr>
                <w:color w:val="000000"/>
              </w:rPr>
              <w:t>a</w:t>
            </w:r>
            <w:r w:rsidRPr="00EF7D86">
              <w:rPr>
                <w:color w:val="000000"/>
              </w:rPr>
              <w:t xml:space="preserve">mą 6 punktą, valstybės parama daugiabučiams namams atnaujinti </w:t>
            </w:r>
            <w:r w:rsidRPr="00EF7D86">
              <w:rPr>
                <w:color w:val="000000"/>
              </w:rPr>
              <w:lastRenderedPageBreak/>
              <w:t>(modernizuoti) teikiama pasirašius Programos įgyvendinimą administruojančios ir valstybės paramą teikiančios Lietuvos Respublikos aplinkos ministerijos Aplinkos projektų valdymo agentūros</w:t>
            </w:r>
            <w:r w:rsidR="00CB1F0B">
              <w:rPr>
                <w:color w:val="000000"/>
              </w:rPr>
              <w:t xml:space="preserve"> </w:t>
            </w:r>
            <w:r w:rsidRPr="00EF7D86">
              <w:rPr>
                <w:color w:val="000000"/>
              </w:rPr>
              <w:t>nustatytos formos Valstybės paramos daugiabučiams namams atnaujinti (modernizuoti) teikimo sutartį. Valstybės paramos sutartį pasirašo Agentūra ir daugiabučio namo atnaujinimo (modernizavimo) projekto administratorius.</w:t>
            </w:r>
          </w:p>
        </w:tc>
        <w:tc>
          <w:tcPr>
            <w:tcW w:w="3658" w:type="dxa"/>
            <w:shd w:val="clear" w:color="auto" w:fill="auto"/>
          </w:tcPr>
          <w:p w:rsidR="002D5183" w:rsidRPr="00967EC5" w:rsidRDefault="002D5183" w:rsidP="00AD0BB3">
            <w:pPr>
              <w:rPr>
                <w:szCs w:val="24"/>
                <w:lang w:eastAsia="lt-LT"/>
              </w:rPr>
            </w:pPr>
          </w:p>
        </w:tc>
        <w:tc>
          <w:tcPr>
            <w:tcW w:w="2611" w:type="dxa"/>
            <w:shd w:val="clear" w:color="auto" w:fill="auto"/>
          </w:tcPr>
          <w:p w:rsidR="002D5183" w:rsidRPr="00967EC5" w:rsidRDefault="00EF7D86" w:rsidP="00AD0BB3">
            <w:pPr>
              <w:rPr>
                <w:szCs w:val="24"/>
                <w:lang w:eastAsia="lt-LT"/>
              </w:rPr>
            </w:pPr>
            <w:r>
              <w:rPr>
                <w:szCs w:val="24"/>
                <w:lang w:eastAsia="lt-LT"/>
              </w:rPr>
              <w:t>X</w:t>
            </w:r>
            <w:r w:rsidR="00541EEF">
              <w:rPr>
                <w:szCs w:val="24"/>
                <w:lang w:eastAsia="lt-LT"/>
              </w:rPr>
              <w:t xml:space="preserve"> </w:t>
            </w:r>
            <w:r w:rsidR="002D5183" w:rsidRPr="00967EC5">
              <w:rPr>
                <w:szCs w:val="24"/>
                <w:lang w:eastAsia="lt-LT"/>
              </w:rPr>
              <w:t>tenkina</w:t>
            </w:r>
          </w:p>
          <w:p w:rsidR="002D5183" w:rsidRPr="00967EC5" w:rsidRDefault="00946A11" w:rsidP="00AD0BB3">
            <w:pPr>
              <w:rPr>
                <w:szCs w:val="24"/>
                <w:lang w:eastAsia="lt-LT"/>
              </w:rPr>
            </w:pPr>
            <w:r w:rsidRPr="00967EC5">
              <w:rPr>
                <w:szCs w:val="24"/>
                <w:lang w:eastAsia="lt-LT"/>
              </w:rPr>
              <w:t>□</w:t>
            </w:r>
            <w:r w:rsidR="002D5183" w:rsidRPr="00967EC5">
              <w:rPr>
                <w:szCs w:val="24"/>
                <w:lang w:eastAsia="lt-LT"/>
              </w:rPr>
              <w:t xml:space="preserve"> netenkina</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lastRenderedPageBreak/>
              <w:t>8.</w:t>
            </w:r>
          </w:p>
        </w:tc>
        <w:tc>
          <w:tcPr>
            <w:tcW w:w="3301" w:type="dxa"/>
            <w:shd w:val="clear" w:color="auto" w:fill="auto"/>
          </w:tcPr>
          <w:p w:rsidR="00BD494A" w:rsidRPr="00967EC5" w:rsidRDefault="002D5183" w:rsidP="00AD0BB3">
            <w:pPr>
              <w:rPr>
                <w:szCs w:val="24"/>
                <w:lang w:eastAsia="lt-LT"/>
              </w:rPr>
            </w:pPr>
            <w:r w:rsidRPr="00967EC5">
              <w:rPr>
                <w:szCs w:val="24"/>
                <w:lang w:eastAsia="lt-LT"/>
              </w:rPr>
              <w:t>Teisės akto projekte nustatyta sprendimų dėl mažareikšmiškumo priėmimo tvarka</w:t>
            </w:r>
          </w:p>
        </w:tc>
        <w:tc>
          <w:tcPr>
            <w:tcW w:w="3845" w:type="dxa"/>
            <w:shd w:val="clear" w:color="auto" w:fill="auto"/>
          </w:tcPr>
          <w:p w:rsidR="00CF541C" w:rsidRPr="00967EC5" w:rsidRDefault="00CF541C" w:rsidP="00CF541C">
            <w:pPr>
              <w:rPr>
                <w:bCs/>
                <w:szCs w:val="24"/>
              </w:rPr>
            </w:pPr>
            <w:r w:rsidRPr="00967EC5">
              <w:rPr>
                <w:bCs/>
                <w:szCs w:val="24"/>
              </w:rPr>
              <w:t>Ši nuostata neaktuali.</w:t>
            </w:r>
          </w:p>
          <w:p w:rsidR="002D5183" w:rsidRPr="00967EC5" w:rsidRDefault="0079157E" w:rsidP="00B7512A">
            <w:pPr>
              <w:rPr>
                <w:szCs w:val="24"/>
                <w:lang w:eastAsia="lt-LT"/>
              </w:rPr>
            </w:pPr>
            <w:r w:rsidRPr="00967EC5">
              <w:rPr>
                <w:bCs/>
                <w:szCs w:val="24"/>
              </w:rPr>
              <w:t xml:space="preserve">Projekte </w:t>
            </w:r>
            <w:r w:rsidR="00CF541C" w:rsidRPr="00967EC5">
              <w:rPr>
                <w:bCs/>
                <w:szCs w:val="24"/>
              </w:rPr>
              <w:t>tokių nuostatų nėra.</w:t>
            </w:r>
          </w:p>
        </w:tc>
        <w:tc>
          <w:tcPr>
            <w:tcW w:w="3658" w:type="dxa"/>
            <w:shd w:val="clear" w:color="auto" w:fill="auto"/>
          </w:tcPr>
          <w:p w:rsidR="002D5183" w:rsidRPr="00967EC5" w:rsidRDefault="002D5183" w:rsidP="00AD0BB3">
            <w:pPr>
              <w:rPr>
                <w:b/>
                <w:szCs w:val="24"/>
                <w:lang w:eastAsia="lt-LT"/>
              </w:rPr>
            </w:pPr>
          </w:p>
        </w:tc>
        <w:tc>
          <w:tcPr>
            <w:tcW w:w="2611" w:type="dxa"/>
            <w:shd w:val="clear" w:color="auto" w:fill="auto"/>
          </w:tcPr>
          <w:p w:rsidR="002D5183" w:rsidRPr="00967EC5" w:rsidRDefault="002D5183" w:rsidP="00AD0BB3">
            <w:pPr>
              <w:rPr>
                <w:szCs w:val="24"/>
                <w:lang w:eastAsia="lt-LT"/>
              </w:rPr>
            </w:pPr>
            <w:r w:rsidRPr="00967EC5">
              <w:rPr>
                <w:szCs w:val="24"/>
                <w:lang w:eastAsia="lt-LT"/>
              </w:rPr>
              <w:t>□ tenkina</w:t>
            </w:r>
          </w:p>
          <w:p w:rsidR="002D5183" w:rsidRPr="00967EC5" w:rsidRDefault="00946A11" w:rsidP="00AD0BB3">
            <w:pPr>
              <w:rPr>
                <w:szCs w:val="24"/>
                <w:lang w:eastAsia="lt-LT"/>
              </w:rPr>
            </w:pPr>
            <w:r w:rsidRPr="00967EC5">
              <w:rPr>
                <w:szCs w:val="24"/>
                <w:lang w:eastAsia="lt-LT"/>
              </w:rPr>
              <w:t>□</w:t>
            </w:r>
            <w:r w:rsidR="009D0B40" w:rsidRPr="00967EC5">
              <w:rPr>
                <w:szCs w:val="24"/>
                <w:lang w:eastAsia="lt-LT"/>
              </w:rPr>
              <w:t xml:space="preserve"> </w:t>
            </w:r>
            <w:r w:rsidR="002D5183" w:rsidRPr="00967EC5">
              <w:rPr>
                <w:szCs w:val="24"/>
                <w:lang w:eastAsia="lt-LT"/>
              </w:rPr>
              <w:t>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9.</w:t>
            </w:r>
          </w:p>
        </w:tc>
        <w:tc>
          <w:tcPr>
            <w:tcW w:w="3301" w:type="dxa"/>
            <w:shd w:val="clear" w:color="auto" w:fill="auto"/>
          </w:tcPr>
          <w:p w:rsidR="00CF541C" w:rsidRPr="00967EC5" w:rsidRDefault="00CF541C" w:rsidP="00AD0BB3">
            <w:pPr>
              <w:rPr>
                <w:szCs w:val="24"/>
                <w:lang w:eastAsia="lt-LT"/>
              </w:rPr>
            </w:pPr>
            <w:r w:rsidRPr="00967EC5">
              <w:rPr>
                <w:szCs w:val="24"/>
                <w:lang w:eastAsia="lt-LT"/>
              </w:rPr>
              <w:t>Jeigu pagal numatomą reguliavimą sprendimus priima kolegialus subjektas, teisės akto projekte nustatyta kolegialaus sprendimus priimančio subjekto:</w:t>
            </w:r>
          </w:p>
          <w:p w:rsidR="00CF541C" w:rsidRPr="00967EC5" w:rsidRDefault="00CF541C" w:rsidP="00AD0BB3">
            <w:pPr>
              <w:ind w:left="33"/>
              <w:rPr>
                <w:szCs w:val="24"/>
              </w:rPr>
            </w:pPr>
            <w:r w:rsidRPr="00967EC5">
              <w:rPr>
                <w:szCs w:val="24"/>
              </w:rPr>
              <w:t>9.1. konkretus narių skaičius, užtikrinantis kolegialaus sprendimus priimančio subjekto veiklos objektyvumą;</w:t>
            </w:r>
          </w:p>
          <w:p w:rsidR="00CF541C" w:rsidRPr="00967EC5" w:rsidRDefault="00CF541C" w:rsidP="00AD0BB3">
            <w:pPr>
              <w:ind w:left="33"/>
              <w:rPr>
                <w:szCs w:val="24"/>
              </w:rPr>
            </w:pPr>
            <w:r w:rsidRPr="00967EC5">
              <w:rPr>
                <w:szCs w:val="24"/>
              </w:rPr>
              <w:t xml:space="preserve">9.2. jeigu narius skiria keli subjektai, proporcinga kiekvieno subjekto skiriamų narių dalis, užtikrinanti tinkamą atstovavimą valstybės interesams ir kolegialaus </w:t>
            </w:r>
            <w:r w:rsidRPr="00967EC5">
              <w:rPr>
                <w:szCs w:val="24"/>
              </w:rPr>
              <w:lastRenderedPageBreak/>
              <w:t>sprendimus priimančio subjekto veiklos objektyvumą ir skaidrumą;</w:t>
            </w:r>
          </w:p>
          <w:p w:rsidR="00CF541C" w:rsidRPr="00967EC5" w:rsidRDefault="00CF541C" w:rsidP="00AD0BB3">
            <w:pPr>
              <w:rPr>
                <w:szCs w:val="24"/>
                <w:lang w:eastAsia="lt-LT"/>
              </w:rPr>
            </w:pPr>
            <w:r w:rsidRPr="00967EC5">
              <w:rPr>
                <w:szCs w:val="24"/>
                <w:lang w:eastAsia="lt-LT"/>
              </w:rPr>
              <w:t>9.3</w:t>
            </w:r>
            <w:r w:rsidRPr="00967EC5">
              <w:rPr>
                <w:spacing w:val="-4"/>
                <w:szCs w:val="24"/>
                <w:lang w:eastAsia="lt-LT"/>
              </w:rPr>
              <w:t>. narių skyrimo mechanizmas;</w:t>
            </w:r>
          </w:p>
          <w:p w:rsidR="00CF541C" w:rsidRPr="00967EC5" w:rsidRDefault="00CF541C" w:rsidP="00AD0BB3">
            <w:pPr>
              <w:rPr>
                <w:szCs w:val="24"/>
                <w:lang w:eastAsia="lt-LT"/>
              </w:rPr>
            </w:pPr>
            <w:r w:rsidRPr="00967EC5">
              <w:rPr>
                <w:szCs w:val="24"/>
                <w:lang w:eastAsia="lt-LT"/>
              </w:rPr>
              <w:t>9.4. narių rotacija ir kadencijų skaičius ir trukmė;</w:t>
            </w:r>
          </w:p>
          <w:p w:rsidR="00CF541C" w:rsidRPr="00967EC5" w:rsidRDefault="00CF541C" w:rsidP="00AD0BB3">
            <w:pPr>
              <w:rPr>
                <w:szCs w:val="24"/>
              </w:rPr>
            </w:pPr>
            <w:r w:rsidRPr="00967EC5">
              <w:rPr>
                <w:szCs w:val="24"/>
              </w:rPr>
              <w:t>9.5. veiklos pobūdis laiko atžvilgiu;</w:t>
            </w:r>
          </w:p>
          <w:p w:rsidR="00CF541C" w:rsidRPr="00967EC5" w:rsidRDefault="00CF541C" w:rsidP="00AD0BB3">
            <w:pPr>
              <w:rPr>
                <w:szCs w:val="24"/>
                <w:lang w:eastAsia="lt-LT"/>
              </w:rPr>
            </w:pPr>
            <w:r w:rsidRPr="00967EC5">
              <w:rPr>
                <w:szCs w:val="24"/>
                <w:lang w:eastAsia="lt-LT"/>
              </w:rPr>
              <w:t>9.6. individuali narių atsakomybė</w:t>
            </w:r>
          </w:p>
        </w:tc>
        <w:tc>
          <w:tcPr>
            <w:tcW w:w="3845" w:type="dxa"/>
            <w:shd w:val="clear" w:color="auto" w:fill="auto"/>
          </w:tcPr>
          <w:p w:rsidR="00B7512A" w:rsidRPr="00967EC5" w:rsidRDefault="00B7512A" w:rsidP="00B7512A">
            <w:pPr>
              <w:rPr>
                <w:bCs/>
                <w:szCs w:val="24"/>
              </w:rPr>
            </w:pPr>
            <w:r w:rsidRPr="00967EC5">
              <w:rPr>
                <w:bCs/>
                <w:szCs w:val="24"/>
              </w:rPr>
              <w:lastRenderedPageBreak/>
              <w:t>Ši nuostata neaktuali.</w:t>
            </w:r>
          </w:p>
          <w:p w:rsidR="00BD494A" w:rsidRPr="00967EC5" w:rsidRDefault="00B7512A" w:rsidP="00B7512A">
            <w:pPr>
              <w:tabs>
                <w:tab w:val="left" w:pos="993"/>
              </w:tabs>
              <w:jc w:val="both"/>
              <w:rPr>
                <w:color w:val="000000"/>
                <w:szCs w:val="24"/>
              </w:rPr>
            </w:pPr>
            <w:r w:rsidRPr="00967EC5">
              <w:rPr>
                <w:bCs/>
                <w:szCs w:val="24"/>
              </w:rPr>
              <w:t>Projekte tokių nuostatų nėra.</w:t>
            </w:r>
          </w:p>
          <w:p w:rsidR="0049755F" w:rsidRPr="00967EC5" w:rsidRDefault="0049755F" w:rsidP="00552E31">
            <w:pPr>
              <w:tabs>
                <w:tab w:val="left" w:pos="993"/>
              </w:tabs>
              <w:jc w:val="both"/>
              <w:rPr>
                <w:b/>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 xml:space="preserve">□ </w:t>
            </w:r>
            <w:r w:rsidR="00CF541C" w:rsidRPr="00967EC5">
              <w:rPr>
                <w:szCs w:val="24"/>
                <w:lang w:eastAsia="lt-LT"/>
              </w:rPr>
              <w:t>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DF663E" w:rsidRDefault="00CF541C" w:rsidP="00AD0BB3">
            <w:pPr>
              <w:jc w:val="center"/>
              <w:rPr>
                <w:szCs w:val="24"/>
                <w:lang w:eastAsia="lt-LT"/>
              </w:rPr>
            </w:pPr>
            <w:r w:rsidRPr="00DF663E">
              <w:rPr>
                <w:szCs w:val="24"/>
                <w:lang w:eastAsia="lt-LT"/>
              </w:rPr>
              <w:lastRenderedPageBreak/>
              <w:t>10.</w:t>
            </w:r>
          </w:p>
        </w:tc>
        <w:tc>
          <w:tcPr>
            <w:tcW w:w="3301" w:type="dxa"/>
            <w:shd w:val="clear" w:color="auto" w:fill="auto"/>
          </w:tcPr>
          <w:p w:rsidR="00CF541C" w:rsidRPr="00DF663E" w:rsidRDefault="00CF541C" w:rsidP="00AD0BB3">
            <w:pPr>
              <w:rPr>
                <w:szCs w:val="24"/>
                <w:lang w:eastAsia="lt-LT"/>
              </w:rPr>
            </w:pPr>
            <w:r w:rsidRPr="00DF663E">
              <w:rPr>
                <w:szCs w:val="24"/>
                <w:lang w:eastAsia="lt-LT"/>
              </w:rPr>
              <w:t xml:space="preserve">Teisės akto projekto nuostatoms įgyvendinti numatytos administracinės procedūros yra </w:t>
            </w:r>
            <w:r w:rsidRPr="00DF663E">
              <w:rPr>
                <w:szCs w:val="24"/>
                <w:shd w:val="clear" w:color="auto" w:fill="FFFFFF"/>
                <w:lang w:eastAsia="lt-LT"/>
              </w:rPr>
              <w:t>būtinos,</w:t>
            </w:r>
            <w:r w:rsidRPr="00DF663E">
              <w:rPr>
                <w:szCs w:val="24"/>
                <w:lang w:eastAsia="lt-LT"/>
              </w:rPr>
              <w:t xml:space="preserve"> nustatyta išsami jų taikymo tvarka </w:t>
            </w:r>
          </w:p>
          <w:p w:rsidR="00BD494A" w:rsidRPr="00DF663E" w:rsidRDefault="00BD494A" w:rsidP="00AD0BB3">
            <w:pPr>
              <w:rPr>
                <w:szCs w:val="24"/>
                <w:lang w:eastAsia="lt-LT"/>
              </w:rPr>
            </w:pPr>
          </w:p>
        </w:tc>
        <w:tc>
          <w:tcPr>
            <w:tcW w:w="3845" w:type="dxa"/>
            <w:shd w:val="clear" w:color="auto" w:fill="auto"/>
          </w:tcPr>
          <w:p w:rsidR="00DF663E" w:rsidRPr="00DF663E" w:rsidRDefault="00DF663E" w:rsidP="00DF663E">
            <w:pPr>
              <w:rPr>
                <w:szCs w:val="24"/>
                <w:lang w:eastAsia="lt-LT"/>
              </w:rPr>
            </w:pPr>
            <w:r w:rsidRPr="00DF663E">
              <w:rPr>
                <w:szCs w:val="24"/>
                <w:lang w:eastAsia="lt-LT"/>
              </w:rPr>
              <w:t xml:space="preserve">Teisės akto projekto nuostatoms įgyvendinti numatytos administracinės procedūros yra </w:t>
            </w:r>
            <w:r w:rsidRPr="00DF663E">
              <w:rPr>
                <w:szCs w:val="24"/>
                <w:shd w:val="clear" w:color="auto" w:fill="FFFFFF"/>
                <w:lang w:eastAsia="lt-LT"/>
              </w:rPr>
              <w:t>būtinos,</w:t>
            </w:r>
            <w:r w:rsidRPr="00DF663E">
              <w:rPr>
                <w:szCs w:val="24"/>
                <w:lang w:eastAsia="lt-LT"/>
              </w:rPr>
              <w:t xml:space="preserve"> nustatyta išsami jų taikymo tvarka</w:t>
            </w:r>
            <w:r>
              <w:rPr>
                <w:szCs w:val="24"/>
                <w:lang w:eastAsia="lt-LT"/>
              </w:rPr>
              <w:t>.</w:t>
            </w:r>
            <w:r w:rsidRPr="00DF663E">
              <w:rPr>
                <w:szCs w:val="24"/>
                <w:lang w:eastAsia="lt-LT"/>
              </w:rPr>
              <w:t xml:space="preserve"> </w:t>
            </w:r>
          </w:p>
          <w:p w:rsidR="00CF541C" w:rsidRPr="00DF663E" w:rsidRDefault="00CF541C" w:rsidP="00541EEF">
            <w:pPr>
              <w:tabs>
                <w:tab w:val="left" w:pos="993"/>
              </w:tabs>
              <w:jc w:val="both"/>
              <w:rPr>
                <w:color w:val="000000"/>
                <w:szCs w:val="24"/>
              </w:rPr>
            </w:pPr>
          </w:p>
        </w:tc>
        <w:tc>
          <w:tcPr>
            <w:tcW w:w="3658" w:type="dxa"/>
            <w:shd w:val="clear" w:color="auto" w:fill="auto"/>
          </w:tcPr>
          <w:p w:rsidR="00CF541C" w:rsidRPr="00DF663E" w:rsidRDefault="00CF541C" w:rsidP="00AD0BB3">
            <w:pPr>
              <w:rPr>
                <w:szCs w:val="24"/>
                <w:lang w:eastAsia="lt-LT"/>
              </w:rPr>
            </w:pPr>
          </w:p>
        </w:tc>
        <w:tc>
          <w:tcPr>
            <w:tcW w:w="2611" w:type="dxa"/>
            <w:shd w:val="clear" w:color="auto" w:fill="auto"/>
          </w:tcPr>
          <w:p w:rsidR="00CF541C" w:rsidRPr="00DF663E" w:rsidRDefault="00DF663E" w:rsidP="00AD0BB3">
            <w:pPr>
              <w:rPr>
                <w:szCs w:val="24"/>
                <w:lang w:eastAsia="lt-LT"/>
              </w:rPr>
            </w:pPr>
            <w:r>
              <w:rPr>
                <w:szCs w:val="24"/>
                <w:lang w:eastAsia="lt-LT"/>
              </w:rPr>
              <w:t>X</w:t>
            </w:r>
            <w:r w:rsidR="00CF541C" w:rsidRPr="00DF663E">
              <w:rPr>
                <w:szCs w:val="24"/>
                <w:lang w:eastAsia="lt-LT"/>
              </w:rPr>
              <w:t xml:space="preserve">  tenkina</w:t>
            </w:r>
          </w:p>
          <w:p w:rsidR="00CF541C" w:rsidRPr="00DF663E" w:rsidRDefault="00CF541C" w:rsidP="00AD0BB3">
            <w:pPr>
              <w:rPr>
                <w:szCs w:val="24"/>
                <w:lang w:eastAsia="lt-LT"/>
              </w:rPr>
            </w:pPr>
            <w:r w:rsidRPr="00DF663E">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keepNext/>
              <w:jc w:val="center"/>
              <w:rPr>
                <w:szCs w:val="24"/>
                <w:lang w:eastAsia="lt-LT"/>
              </w:rPr>
            </w:pPr>
            <w:r w:rsidRPr="00967EC5">
              <w:rPr>
                <w:szCs w:val="24"/>
                <w:lang w:eastAsia="lt-LT"/>
              </w:rPr>
              <w:t>11.</w:t>
            </w:r>
          </w:p>
        </w:tc>
        <w:tc>
          <w:tcPr>
            <w:tcW w:w="3301" w:type="dxa"/>
            <w:shd w:val="clear" w:color="auto" w:fill="auto"/>
          </w:tcPr>
          <w:p w:rsidR="00CF541C" w:rsidRPr="00967EC5" w:rsidRDefault="00CF541C" w:rsidP="00AD0BB3">
            <w:pPr>
              <w:keepNext/>
              <w:rPr>
                <w:szCs w:val="24"/>
                <w:lang w:eastAsia="lt-LT"/>
              </w:rPr>
            </w:pPr>
            <w:r w:rsidRPr="00967EC5">
              <w:rPr>
                <w:szCs w:val="24"/>
                <w:lang w:eastAsia="lt-LT"/>
              </w:rPr>
              <w:t>Teisės akto projekte nustatytas baigtinis sąrašas motyvuotų atvejų, kai administracinė procedūra netaikoma</w:t>
            </w:r>
          </w:p>
          <w:p w:rsidR="00BD494A" w:rsidRPr="00967EC5" w:rsidRDefault="00BD494A" w:rsidP="00AD0BB3">
            <w:pPr>
              <w:keepNext/>
              <w:rPr>
                <w:szCs w:val="24"/>
                <w:lang w:eastAsia="lt-LT"/>
              </w:rPr>
            </w:pPr>
          </w:p>
        </w:tc>
        <w:tc>
          <w:tcPr>
            <w:tcW w:w="3845" w:type="dxa"/>
            <w:shd w:val="clear" w:color="auto" w:fill="auto"/>
          </w:tcPr>
          <w:p w:rsidR="00CF541C" w:rsidRPr="00967EC5" w:rsidRDefault="00CF541C" w:rsidP="00CF541C">
            <w:pPr>
              <w:rPr>
                <w:bCs/>
                <w:szCs w:val="24"/>
              </w:rPr>
            </w:pPr>
            <w:r w:rsidRPr="00967EC5">
              <w:rPr>
                <w:bCs/>
                <w:szCs w:val="24"/>
              </w:rPr>
              <w:t>Ši nuostata neaktuali.</w:t>
            </w:r>
          </w:p>
          <w:p w:rsidR="00CF541C" w:rsidRPr="00967EC5" w:rsidRDefault="00CF541C" w:rsidP="00AC6EFD">
            <w:pPr>
              <w:keepNext/>
              <w:rPr>
                <w:szCs w:val="24"/>
                <w:lang w:eastAsia="lt-LT"/>
              </w:rPr>
            </w:pPr>
            <w:r w:rsidRPr="00967EC5">
              <w:rPr>
                <w:bCs/>
                <w:szCs w:val="24"/>
              </w:rPr>
              <w:t>Projekte tokių nuostatų nėra.</w:t>
            </w:r>
          </w:p>
        </w:tc>
        <w:tc>
          <w:tcPr>
            <w:tcW w:w="3658" w:type="dxa"/>
            <w:shd w:val="clear" w:color="auto" w:fill="auto"/>
          </w:tcPr>
          <w:p w:rsidR="00CF541C" w:rsidRPr="00967EC5" w:rsidRDefault="00CF541C" w:rsidP="00AD0BB3">
            <w:pPr>
              <w:keepNext/>
              <w:rPr>
                <w:szCs w:val="24"/>
                <w:lang w:eastAsia="lt-LT"/>
              </w:rPr>
            </w:pPr>
          </w:p>
        </w:tc>
        <w:tc>
          <w:tcPr>
            <w:tcW w:w="2611" w:type="dxa"/>
            <w:shd w:val="clear" w:color="auto" w:fill="auto"/>
          </w:tcPr>
          <w:p w:rsidR="00CF541C" w:rsidRPr="00967EC5" w:rsidRDefault="00CF541C" w:rsidP="00AD0BB3">
            <w:pPr>
              <w:keepNext/>
              <w:rPr>
                <w:szCs w:val="24"/>
                <w:lang w:eastAsia="lt-LT"/>
              </w:rPr>
            </w:pPr>
            <w:r w:rsidRPr="00967EC5">
              <w:rPr>
                <w:szCs w:val="24"/>
                <w:lang w:eastAsia="lt-LT"/>
              </w:rPr>
              <w:t>□ tenkina</w:t>
            </w:r>
          </w:p>
          <w:p w:rsidR="00CF541C" w:rsidRPr="00967EC5" w:rsidRDefault="00CF541C" w:rsidP="00AD0BB3">
            <w:pPr>
              <w:keepNext/>
              <w:rPr>
                <w:szCs w:val="24"/>
                <w:lang w:eastAsia="lt-LT"/>
              </w:rPr>
            </w:pPr>
            <w:r w:rsidRPr="00967EC5">
              <w:rPr>
                <w:szCs w:val="24"/>
                <w:lang w:eastAsia="lt-LT"/>
              </w:rPr>
              <w:t>□ netenkina</w:t>
            </w:r>
          </w:p>
        </w:tc>
      </w:tr>
      <w:tr w:rsidR="00CF541C" w:rsidRPr="00967EC5" w:rsidTr="00722F99">
        <w:trPr>
          <w:trHeight w:val="1545"/>
        </w:trPr>
        <w:tc>
          <w:tcPr>
            <w:tcW w:w="696" w:type="dxa"/>
            <w:shd w:val="clear" w:color="auto" w:fill="auto"/>
          </w:tcPr>
          <w:p w:rsidR="00CF541C" w:rsidRPr="00DF663E" w:rsidRDefault="00CF541C" w:rsidP="00AD0BB3">
            <w:pPr>
              <w:jc w:val="center"/>
              <w:rPr>
                <w:szCs w:val="24"/>
                <w:lang w:eastAsia="lt-LT"/>
              </w:rPr>
            </w:pPr>
            <w:r w:rsidRPr="00DF663E">
              <w:rPr>
                <w:szCs w:val="24"/>
                <w:lang w:eastAsia="lt-LT"/>
              </w:rPr>
              <w:t>12.</w:t>
            </w:r>
          </w:p>
        </w:tc>
        <w:tc>
          <w:tcPr>
            <w:tcW w:w="3301" w:type="dxa"/>
            <w:shd w:val="clear" w:color="auto" w:fill="auto"/>
          </w:tcPr>
          <w:p w:rsidR="00BD494A" w:rsidRPr="00DF663E" w:rsidRDefault="00CF541C" w:rsidP="00AD0BB3">
            <w:pPr>
              <w:rPr>
                <w:szCs w:val="24"/>
                <w:lang w:eastAsia="lt-LT"/>
              </w:rPr>
            </w:pPr>
            <w:r w:rsidRPr="00DF663E">
              <w:rPr>
                <w:szCs w:val="24"/>
                <w:lang w:eastAsia="lt-LT"/>
              </w:rPr>
              <w:t>Teisės akto projektas nustato jo nuostatoms įgyvendinti numatytų administracinių procedūrų ir sprendimo priėmimo konkrečius terminus</w:t>
            </w:r>
          </w:p>
        </w:tc>
        <w:tc>
          <w:tcPr>
            <w:tcW w:w="3845" w:type="dxa"/>
            <w:shd w:val="clear" w:color="auto" w:fill="auto"/>
          </w:tcPr>
          <w:p w:rsidR="00CB1F0B" w:rsidRPr="00967EC5" w:rsidRDefault="00CB1F0B" w:rsidP="00CB1F0B">
            <w:pPr>
              <w:rPr>
                <w:bCs/>
                <w:szCs w:val="24"/>
              </w:rPr>
            </w:pPr>
            <w:r w:rsidRPr="00967EC5">
              <w:rPr>
                <w:bCs/>
                <w:szCs w:val="24"/>
              </w:rPr>
              <w:t>Ši nuostata neaktuali.</w:t>
            </w:r>
          </w:p>
          <w:p w:rsidR="00CF541C" w:rsidRPr="00DF663E" w:rsidRDefault="00CB1F0B" w:rsidP="00CB1F0B">
            <w:pPr>
              <w:tabs>
                <w:tab w:val="left" w:pos="993"/>
              </w:tabs>
              <w:jc w:val="both"/>
              <w:rPr>
                <w:b/>
                <w:szCs w:val="24"/>
                <w:lang w:eastAsia="lt-LT"/>
              </w:rPr>
            </w:pPr>
            <w:r w:rsidRPr="00967EC5">
              <w:rPr>
                <w:bCs/>
                <w:szCs w:val="24"/>
              </w:rPr>
              <w:t>Projekte tokių nuostatų nėra.</w:t>
            </w:r>
          </w:p>
        </w:tc>
        <w:tc>
          <w:tcPr>
            <w:tcW w:w="3658" w:type="dxa"/>
            <w:shd w:val="clear" w:color="auto" w:fill="auto"/>
          </w:tcPr>
          <w:p w:rsidR="00CF541C" w:rsidRPr="00DF663E" w:rsidRDefault="00CF541C" w:rsidP="00AD0BB3">
            <w:pPr>
              <w:rPr>
                <w:b/>
                <w:szCs w:val="24"/>
                <w:lang w:eastAsia="lt-LT"/>
              </w:rPr>
            </w:pPr>
          </w:p>
        </w:tc>
        <w:tc>
          <w:tcPr>
            <w:tcW w:w="2611" w:type="dxa"/>
            <w:shd w:val="clear" w:color="auto" w:fill="auto"/>
          </w:tcPr>
          <w:p w:rsidR="00CF541C" w:rsidRPr="00DF663E" w:rsidRDefault="00CB1F0B" w:rsidP="00AD0BB3">
            <w:pPr>
              <w:rPr>
                <w:szCs w:val="24"/>
                <w:lang w:eastAsia="lt-LT"/>
              </w:rPr>
            </w:pPr>
            <w:r w:rsidRPr="00DF663E">
              <w:rPr>
                <w:szCs w:val="24"/>
                <w:lang w:eastAsia="lt-LT"/>
              </w:rPr>
              <w:t>□</w:t>
            </w:r>
            <w:r w:rsidR="00CF541C" w:rsidRPr="00DF663E">
              <w:rPr>
                <w:szCs w:val="24"/>
                <w:lang w:eastAsia="lt-LT"/>
              </w:rPr>
              <w:t xml:space="preserve"> tenkina</w:t>
            </w:r>
          </w:p>
          <w:p w:rsidR="00CF541C" w:rsidRPr="00DF663E" w:rsidRDefault="00CF541C" w:rsidP="00AD0BB3">
            <w:pPr>
              <w:rPr>
                <w:szCs w:val="24"/>
                <w:lang w:eastAsia="lt-LT"/>
              </w:rPr>
            </w:pPr>
            <w:r w:rsidRPr="00DF663E">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13.</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motyvuotas terminų sustabdymo ir pratęsimo galimybes</w:t>
            </w:r>
          </w:p>
        </w:tc>
        <w:tc>
          <w:tcPr>
            <w:tcW w:w="3845" w:type="dxa"/>
            <w:shd w:val="clear" w:color="auto" w:fill="auto"/>
          </w:tcPr>
          <w:p w:rsidR="00541EEF" w:rsidRPr="00967EC5" w:rsidRDefault="00541EEF" w:rsidP="00541EEF">
            <w:pPr>
              <w:rPr>
                <w:bCs/>
                <w:szCs w:val="24"/>
              </w:rPr>
            </w:pPr>
            <w:r w:rsidRPr="00967EC5">
              <w:rPr>
                <w:bCs/>
                <w:szCs w:val="24"/>
              </w:rPr>
              <w:t>Ši nuostata neaktuali.</w:t>
            </w:r>
          </w:p>
          <w:p w:rsidR="00541EEF" w:rsidRPr="00967EC5" w:rsidRDefault="00541EEF" w:rsidP="00541EEF">
            <w:pPr>
              <w:tabs>
                <w:tab w:val="left" w:pos="993"/>
              </w:tabs>
              <w:jc w:val="both"/>
              <w:rPr>
                <w:color w:val="000000"/>
                <w:szCs w:val="24"/>
              </w:rPr>
            </w:pPr>
            <w:r w:rsidRPr="00967EC5">
              <w:rPr>
                <w:bCs/>
                <w:szCs w:val="24"/>
              </w:rPr>
              <w:t>Projekte tokių nuostatų nėra.</w:t>
            </w:r>
          </w:p>
          <w:p w:rsidR="00541EEF" w:rsidRPr="00CB4EA0" w:rsidRDefault="00541EEF" w:rsidP="00541EEF">
            <w:pPr>
              <w:jc w:val="both"/>
              <w:rPr>
                <w:szCs w:val="24"/>
                <w:lang w:eastAsia="lt-LT"/>
              </w:rPr>
            </w:pPr>
          </w:p>
          <w:p w:rsidR="00BD494A" w:rsidRPr="00967EC5" w:rsidRDefault="00BD494A" w:rsidP="000B1D6D">
            <w:pPr>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541EEF"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DF663E" w:rsidRDefault="00CF541C" w:rsidP="00AD0BB3">
            <w:pPr>
              <w:jc w:val="center"/>
              <w:rPr>
                <w:szCs w:val="24"/>
                <w:lang w:eastAsia="lt-LT"/>
              </w:rPr>
            </w:pPr>
            <w:r w:rsidRPr="00DF663E">
              <w:rPr>
                <w:szCs w:val="24"/>
                <w:lang w:eastAsia="lt-LT"/>
              </w:rPr>
              <w:t>14.</w:t>
            </w:r>
          </w:p>
        </w:tc>
        <w:tc>
          <w:tcPr>
            <w:tcW w:w="3301" w:type="dxa"/>
            <w:shd w:val="clear" w:color="auto" w:fill="auto"/>
          </w:tcPr>
          <w:p w:rsidR="00CF541C" w:rsidRPr="00DF663E" w:rsidRDefault="00CF541C" w:rsidP="00AD0BB3">
            <w:pPr>
              <w:rPr>
                <w:szCs w:val="24"/>
                <w:lang w:eastAsia="lt-LT"/>
              </w:rPr>
            </w:pPr>
            <w:r w:rsidRPr="00DF663E">
              <w:rPr>
                <w:szCs w:val="24"/>
                <w:lang w:eastAsia="lt-LT"/>
              </w:rPr>
              <w:t>Teisės akto projektas nustato administracinių procedūrų viešinimo tvarką</w:t>
            </w:r>
          </w:p>
        </w:tc>
        <w:tc>
          <w:tcPr>
            <w:tcW w:w="3845" w:type="dxa"/>
            <w:shd w:val="clear" w:color="auto" w:fill="auto"/>
          </w:tcPr>
          <w:p w:rsidR="00AC6EFD" w:rsidRPr="00DF663E" w:rsidRDefault="00AC6EFD" w:rsidP="00AC6EFD">
            <w:pPr>
              <w:rPr>
                <w:bCs/>
                <w:szCs w:val="24"/>
              </w:rPr>
            </w:pPr>
            <w:r w:rsidRPr="00DF663E">
              <w:rPr>
                <w:bCs/>
                <w:szCs w:val="24"/>
              </w:rPr>
              <w:t>Ši nuostata neaktuali.</w:t>
            </w:r>
          </w:p>
          <w:p w:rsidR="00AC6EFD" w:rsidRPr="00DF663E" w:rsidRDefault="00AC6EFD" w:rsidP="00AC6EFD">
            <w:pPr>
              <w:tabs>
                <w:tab w:val="left" w:pos="993"/>
              </w:tabs>
              <w:jc w:val="both"/>
              <w:rPr>
                <w:color w:val="000000"/>
                <w:szCs w:val="24"/>
              </w:rPr>
            </w:pPr>
            <w:r w:rsidRPr="00DF663E">
              <w:rPr>
                <w:bCs/>
                <w:szCs w:val="24"/>
              </w:rPr>
              <w:t>Projekte tokių nuostatų nėra.</w:t>
            </w:r>
          </w:p>
          <w:p w:rsidR="0049755F" w:rsidRPr="00DF663E" w:rsidRDefault="0049755F" w:rsidP="005602FD">
            <w:pPr>
              <w:tabs>
                <w:tab w:val="left" w:pos="993"/>
              </w:tabs>
              <w:jc w:val="both"/>
              <w:rPr>
                <w:b/>
                <w:color w:val="000000"/>
                <w:szCs w:val="24"/>
              </w:rPr>
            </w:pPr>
          </w:p>
        </w:tc>
        <w:tc>
          <w:tcPr>
            <w:tcW w:w="3658" w:type="dxa"/>
            <w:shd w:val="clear" w:color="auto" w:fill="auto"/>
          </w:tcPr>
          <w:p w:rsidR="00CF541C" w:rsidRPr="00DF663E" w:rsidRDefault="00CF541C" w:rsidP="00AD0BB3">
            <w:pPr>
              <w:rPr>
                <w:b/>
                <w:szCs w:val="24"/>
                <w:lang w:eastAsia="lt-LT"/>
              </w:rPr>
            </w:pPr>
          </w:p>
        </w:tc>
        <w:tc>
          <w:tcPr>
            <w:tcW w:w="2611" w:type="dxa"/>
            <w:shd w:val="clear" w:color="auto" w:fill="auto"/>
          </w:tcPr>
          <w:p w:rsidR="00CF541C" w:rsidRPr="00DF663E" w:rsidRDefault="00B7512A" w:rsidP="00AD0BB3">
            <w:pPr>
              <w:rPr>
                <w:szCs w:val="24"/>
                <w:lang w:eastAsia="lt-LT"/>
              </w:rPr>
            </w:pPr>
            <w:r w:rsidRPr="00DF663E">
              <w:rPr>
                <w:szCs w:val="24"/>
                <w:lang w:eastAsia="lt-LT"/>
              </w:rPr>
              <w:t>□</w:t>
            </w:r>
            <w:r w:rsidR="00CF541C" w:rsidRPr="00DF663E">
              <w:rPr>
                <w:szCs w:val="24"/>
                <w:lang w:eastAsia="lt-LT"/>
              </w:rPr>
              <w:t xml:space="preserve"> tenkina</w:t>
            </w:r>
          </w:p>
          <w:p w:rsidR="00CF541C" w:rsidRPr="00DF663E" w:rsidRDefault="00CF541C" w:rsidP="00AD0BB3">
            <w:pPr>
              <w:rPr>
                <w:szCs w:val="24"/>
                <w:lang w:eastAsia="lt-LT"/>
              </w:rPr>
            </w:pPr>
            <w:r w:rsidRPr="00DF663E">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lastRenderedPageBreak/>
              <w:t>15.</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kontrolės (priežiūros) procedūrą ir aiškius jos atlikimo kriterijus (atvejus, dažnį, fiksavimą, kontrolės rezultatų viešinimą ir panašiai)</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Default="00AC6EFD" w:rsidP="00AC6EFD">
            <w:pPr>
              <w:tabs>
                <w:tab w:val="left" w:pos="993"/>
              </w:tabs>
              <w:jc w:val="both"/>
              <w:rPr>
                <w:bCs/>
                <w:szCs w:val="24"/>
              </w:rPr>
            </w:pPr>
            <w:r w:rsidRPr="00967EC5">
              <w:rPr>
                <w:bCs/>
                <w:szCs w:val="24"/>
              </w:rPr>
              <w:t>Projekte tokių nuostatų nėra.</w:t>
            </w:r>
          </w:p>
          <w:p w:rsidR="00AD48B8" w:rsidRDefault="00AD48B8" w:rsidP="00AC6EFD">
            <w:pPr>
              <w:tabs>
                <w:tab w:val="left" w:pos="993"/>
              </w:tabs>
              <w:jc w:val="both"/>
              <w:rPr>
                <w:bCs/>
                <w:szCs w:val="24"/>
              </w:rPr>
            </w:pPr>
          </w:p>
          <w:p w:rsidR="00AD48B8" w:rsidRPr="00967EC5" w:rsidRDefault="00AD48B8" w:rsidP="00AC6EFD">
            <w:pPr>
              <w:tabs>
                <w:tab w:val="left" w:pos="993"/>
              </w:tabs>
              <w:jc w:val="both"/>
              <w:rPr>
                <w:color w:val="000000"/>
                <w:szCs w:val="24"/>
              </w:rPr>
            </w:pPr>
            <w:r>
              <w:rPr>
                <w:color w:val="000000"/>
              </w:rPr>
              <w:t xml:space="preserve">Projekto 3.3 punkte nurodyta, kad Lietuvos Respublikos aplinkos ministerijos Aplinkos projektų valdymo agentūra iki </w:t>
            </w:r>
            <w:r>
              <w:rPr>
                <w:color w:val="000000"/>
                <w:lang w:val="en-GB"/>
              </w:rPr>
              <w:t xml:space="preserve">2022 m. </w:t>
            </w:r>
            <w:proofErr w:type="spellStart"/>
            <w:proofErr w:type="gramStart"/>
            <w:r>
              <w:rPr>
                <w:color w:val="000000"/>
                <w:lang w:val="en-GB"/>
              </w:rPr>
              <w:t>kovo</w:t>
            </w:r>
            <w:proofErr w:type="spellEnd"/>
            <w:proofErr w:type="gramEnd"/>
            <w:r>
              <w:rPr>
                <w:color w:val="000000"/>
                <w:lang w:val="en-GB"/>
              </w:rPr>
              <w:t xml:space="preserve"> 31 d. </w:t>
            </w:r>
            <w:r>
              <w:rPr>
                <w:color w:val="000000"/>
              </w:rPr>
              <w:t xml:space="preserve">patvirtina </w:t>
            </w:r>
            <w:r w:rsidRPr="00554648">
              <w:rPr>
                <w:color w:val="000000"/>
              </w:rPr>
              <w:t>Daugiabučių namų atnaujinimo (modernizavimo) projektų įgyvendinimo priežiūros tvarkos apraš</w:t>
            </w:r>
            <w:r>
              <w:rPr>
                <w:color w:val="000000"/>
              </w:rPr>
              <w:t>ą.</w:t>
            </w:r>
          </w:p>
          <w:p w:rsidR="0049755F" w:rsidRPr="00967EC5" w:rsidRDefault="0049755F" w:rsidP="0049755F">
            <w:pPr>
              <w:tabs>
                <w:tab w:val="left" w:pos="993"/>
              </w:tabs>
              <w:jc w:val="both"/>
              <w:rPr>
                <w:b/>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 xml:space="preserve">□ </w:t>
            </w:r>
            <w:r w:rsidR="00CF541C" w:rsidRPr="00967EC5">
              <w:rPr>
                <w:szCs w:val="24"/>
                <w:lang w:eastAsia="lt-LT"/>
              </w:rPr>
              <w:t>tenkina</w:t>
            </w:r>
          </w:p>
          <w:p w:rsidR="00CF541C" w:rsidRPr="00967EC5" w:rsidRDefault="00CF541C" w:rsidP="00AD0BB3">
            <w:pPr>
              <w:rPr>
                <w:szCs w:val="24"/>
                <w:lang w:eastAsia="lt-LT"/>
              </w:rPr>
            </w:pPr>
            <w:r w:rsidRPr="00967EC5">
              <w:rPr>
                <w:szCs w:val="24"/>
                <w:lang w:eastAsia="lt-LT"/>
              </w:rPr>
              <w:t>□  netenkina</w:t>
            </w:r>
          </w:p>
        </w:tc>
      </w:tr>
      <w:tr w:rsidR="00AC6EFD" w:rsidRPr="00967EC5" w:rsidTr="004E1B6F">
        <w:trPr>
          <w:trHeight w:val="23"/>
        </w:trPr>
        <w:tc>
          <w:tcPr>
            <w:tcW w:w="696" w:type="dxa"/>
            <w:shd w:val="clear" w:color="auto" w:fill="auto"/>
          </w:tcPr>
          <w:p w:rsidR="00AC6EFD" w:rsidRPr="00967EC5" w:rsidRDefault="00AC6EFD" w:rsidP="00AD0BB3">
            <w:pPr>
              <w:jc w:val="center"/>
              <w:rPr>
                <w:szCs w:val="24"/>
                <w:lang w:eastAsia="lt-LT"/>
              </w:rPr>
            </w:pPr>
            <w:r w:rsidRPr="00967EC5">
              <w:rPr>
                <w:szCs w:val="24"/>
                <w:lang w:eastAsia="lt-LT"/>
              </w:rPr>
              <w:t>16.</w:t>
            </w:r>
          </w:p>
        </w:tc>
        <w:tc>
          <w:tcPr>
            <w:tcW w:w="3301" w:type="dxa"/>
            <w:shd w:val="clear" w:color="auto" w:fill="auto"/>
          </w:tcPr>
          <w:p w:rsidR="00AC6EFD" w:rsidRPr="00967EC5" w:rsidRDefault="00AC6EFD" w:rsidP="002C0C53">
            <w:pPr>
              <w:rPr>
                <w:szCs w:val="24"/>
                <w:lang w:eastAsia="lt-LT"/>
              </w:rPr>
            </w:pPr>
            <w:r w:rsidRPr="00967EC5">
              <w:rPr>
                <w:szCs w:val="24"/>
                <w:lang w:eastAsia="lt-LT"/>
              </w:rPr>
              <w:t>Teisės akto projekte nustatytos kontrolės (priežiūros) skaidrumo ir objektyvumo užtikrinimo priemonės</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AC6EFD" w:rsidRPr="00967EC5" w:rsidRDefault="00AC6EFD" w:rsidP="001571A9">
            <w:pPr>
              <w:rPr>
                <w:bCs/>
                <w:szCs w:val="24"/>
              </w:rPr>
            </w:pPr>
          </w:p>
        </w:tc>
        <w:tc>
          <w:tcPr>
            <w:tcW w:w="3658" w:type="dxa"/>
            <w:shd w:val="clear" w:color="auto" w:fill="auto"/>
          </w:tcPr>
          <w:p w:rsidR="00AC6EFD" w:rsidRPr="00967EC5" w:rsidRDefault="00AC6EFD" w:rsidP="00AD0BB3">
            <w:pPr>
              <w:rPr>
                <w:szCs w:val="24"/>
                <w:lang w:eastAsia="lt-LT"/>
              </w:rPr>
            </w:pPr>
          </w:p>
        </w:tc>
        <w:tc>
          <w:tcPr>
            <w:tcW w:w="2611" w:type="dxa"/>
            <w:shd w:val="clear" w:color="auto" w:fill="auto"/>
          </w:tcPr>
          <w:p w:rsidR="00AC6EFD" w:rsidRPr="00967EC5" w:rsidRDefault="00AC6EFD" w:rsidP="00AD0BB3">
            <w:pPr>
              <w:rPr>
                <w:szCs w:val="24"/>
                <w:lang w:eastAsia="lt-LT"/>
              </w:rPr>
            </w:pPr>
            <w:r w:rsidRPr="00967EC5">
              <w:rPr>
                <w:szCs w:val="24"/>
                <w:lang w:eastAsia="lt-LT"/>
              </w:rPr>
              <w:t>□ tenkina</w:t>
            </w:r>
          </w:p>
          <w:p w:rsidR="00AC6EFD" w:rsidRPr="00967EC5" w:rsidRDefault="00AC6EFD" w:rsidP="00AD0BB3">
            <w:pPr>
              <w:rPr>
                <w:szCs w:val="24"/>
                <w:lang w:eastAsia="lt-LT"/>
              </w:rPr>
            </w:pPr>
            <w:r w:rsidRPr="00967EC5">
              <w:rPr>
                <w:szCs w:val="24"/>
                <w:lang w:eastAsia="lt-LT"/>
              </w:rPr>
              <w:t>□ netenkina</w:t>
            </w:r>
          </w:p>
        </w:tc>
      </w:tr>
      <w:tr w:rsidR="00AC6EFD" w:rsidRPr="00967EC5" w:rsidTr="004E1B6F">
        <w:trPr>
          <w:trHeight w:val="23"/>
        </w:trPr>
        <w:tc>
          <w:tcPr>
            <w:tcW w:w="696" w:type="dxa"/>
            <w:shd w:val="clear" w:color="auto" w:fill="auto"/>
          </w:tcPr>
          <w:p w:rsidR="00AC6EFD" w:rsidRPr="00967EC5" w:rsidRDefault="00AC6EFD" w:rsidP="00AD0BB3">
            <w:pPr>
              <w:keepNext/>
              <w:jc w:val="center"/>
              <w:rPr>
                <w:szCs w:val="24"/>
                <w:lang w:eastAsia="lt-LT"/>
              </w:rPr>
            </w:pPr>
            <w:r w:rsidRPr="00967EC5">
              <w:rPr>
                <w:szCs w:val="24"/>
                <w:lang w:eastAsia="lt-LT"/>
              </w:rPr>
              <w:t>17.</w:t>
            </w:r>
          </w:p>
        </w:tc>
        <w:tc>
          <w:tcPr>
            <w:tcW w:w="3301" w:type="dxa"/>
            <w:shd w:val="clear" w:color="auto" w:fill="auto"/>
          </w:tcPr>
          <w:p w:rsidR="00AC6EFD" w:rsidRPr="00967EC5" w:rsidRDefault="00AC6EFD" w:rsidP="00AD0BB3">
            <w:pPr>
              <w:keepNext/>
              <w:rPr>
                <w:szCs w:val="24"/>
                <w:lang w:eastAsia="lt-LT"/>
              </w:rPr>
            </w:pPr>
            <w:r w:rsidRPr="00967EC5">
              <w:rPr>
                <w:szCs w:val="24"/>
                <w:lang w:eastAsia="lt-LT"/>
              </w:rPr>
              <w:t>Teisės akto projekte nustatyta subjektų, su kuriais susijęs teisės akto projekto nuostatų įgyvendinimas, atsakomybės rūšis (tarnybinė, administracinė, baudžiamoji ir panašiai)</w:t>
            </w:r>
          </w:p>
          <w:p w:rsidR="00AC6EFD" w:rsidRPr="00967EC5" w:rsidRDefault="00AC6EFD" w:rsidP="00AD0BB3">
            <w:pPr>
              <w:keepNext/>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AC6EFD" w:rsidRPr="00967EC5" w:rsidRDefault="00AC6EFD" w:rsidP="001571A9">
            <w:pPr>
              <w:tabs>
                <w:tab w:val="left" w:pos="993"/>
              </w:tabs>
              <w:jc w:val="both"/>
              <w:rPr>
                <w:color w:val="000000"/>
                <w:szCs w:val="24"/>
              </w:rPr>
            </w:pPr>
          </w:p>
        </w:tc>
        <w:tc>
          <w:tcPr>
            <w:tcW w:w="3658" w:type="dxa"/>
            <w:shd w:val="clear" w:color="auto" w:fill="auto"/>
          </w:tcPr>
          <w:p w:rsidR="00AC6EFD" w:rsidRPr="00967EC5" w:rsidRDefault="00AC6EFD" w:rsidP="00AD0BB3">
            <w:pPr>
              <w:keepNext/>
              <w:rPr>
                <w:b/>
                <w:szCs w:val="24"/>
                <w:lang w:eastAsia="lt-LT"/>
              </w:rPr>
            </w:pPr>
          </w:p>
        </w:tc>
        <w:tc>
          <w:tcPr>
            <w:tcW w:w="2611" w:type="dxa"/>
            <w:shd w:val="clear" w:color="auto" w:fill="auto"/>
          </w:tcPr>
          <w:p w:rsidR="00AC6EFD" w:rsidRPr="00967EC5" w:rsidRDefault="00AC6EFD" w:rsidP="00AD0BB3">
            <w:pPr>
              <w:keepNext/>
              <w:rPr>
                <w:szCs w:val="24"/>
                <w:lang w:eastAsia="lt-LT"/>
              </w:rPr>
            </w:pPr>
            <w:r w:rsidRPr="00967EC5">
              <w:rPr>
                <w:szCs w:val="24"/>
                <w:lang w:eastAsia="lt-LT"/>
              </w:rPr>
              <w:t>□ tenkina</w:t>
            </w:r>
          </w:p>
          <w:p w:rsidR="00AC6EFD" w:rsidRPr="00967EC5" w:rsidRDefault="00AC6EFD" w:rsidP="00AD0BB3">
            <w:pPr>
              <w:keepNext/>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18.</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aktų projekte numatytas baigtinis sąrašas kriterijų, pagal kuriuos skiriama nuobauda (sankcija) už teisės akto projekte nustatytų nurodymų nevykdymą, ir nustatyta aiški jos skyrimo procedūra</w:t>
            </w:r>
          </w:p>
          <w:p w:rsidR="0049755F" w:rsidRPr="00967EC5" w:rsidRDefault="0049755F" w:rsidP="00AD0BB3">
            <w:pPr>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CF541C" w:rsidRPr="00967EC5" w:rsidRDefault="00CF541C" w:rsidP="005602FD">
            <w:pPr>
              <w:keepNext/>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CF541C" w:rsidP="00AD0BB3">
            <w:pPr>
              <w:rPr>
                <w:szCs w:val="24"/>
                <w:lang w:eastAsia="lt-LT"/>
              </w:rPr>
            </w:pPr>
            <w:r w:rsidRPr="00967EC5">
              <w:rPr>
                <w:szCs w:val="24"/>
                <w:lang w:eastAsia="lt-LT"/>
              </w:rPr>
              <w:t>□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19.</w:t>
            </w:r>
          </w:p>
        </w:tc>
        <w:tc>
          <w:tcPr>
            <w:tcW w:w="3301" w:type="dxa"/>
            <w:shd w:val="clear" w:color="auto" w:fill="auto"/>
          </w:tcPr>
          <w:p w:rsidR="00CF541C" w:rsidRPr="00967EC5" w:rsidRDefault="00CF541C" w:rsidP="00AD0BB3">
            <w:pPr>
              <w:rPr>
                <w:szCs w:val="24"/>
                <w:lang w:eastAsia="lt-LT"/>
              </w:rPr>
            </w:pPr>
            <w:r w:rsidRPr="00967EC5">
              <w:rPr>
                <w:szCs w:val="24"/>
                <w:lang w:eastAsia="lt-LT"/>
              </w:rPr>
              <w:t>Kiti svarbūs kriterijai</w:t>
            </w:r>
          </w:p>
        </w:tc>
        <w:tc>
          <w:tcPr>
            <w:tcW w:w="3845" w:type="dxa"/>
            <w:shd w:val="clear" w:color="auto" w:fill="auto"/>
          </w:tcPr>
          <w:p w:rsidR="00CF541C" w:rsidRPr="00967EC5" w:rsidRDefault="00CF541C" w:rsidP="00AD0BB3">
            <w:pPr>
              <w:rPr>
                <w:szCs w:val="24"/>
                <w:lang w:eastAsia="lt-LT"/>
              </w:rPr>
            </w:pPr>
            <w:r w:rsidRPr="00967EC5">
              <w:rPr>
                <w:szCs w:val="24"/>
                <w:lang w:eastAsia="lt-LT"/>
              </w:rPr>
              <w:t>Nėra.</w:t>
            </w: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CF541C" w:rsidP="00AD0BB3">
            <w:pPr>
              <w:rPr>
                <w:szCs w:val="24"/>
                <w:lang w:eastAsia="lt-LT"/>
              </w:rPr>
            </w:pPr>
            <w:r w:rsidRPr="00967EC5">
              <w:rPr>
                <w:szCs w:val="24"/>
                <w:lang w:eastAsia="lt-LT"/>
              </w:rPr>
              <w:t>□ tenkina</w:t>
            </w:r>
          </w:p>
          <w:p w:rsidR="00CF541C" w:rsidRPr="00967EC5" w:rsidRDefault="00CF541C" w:rsidP="00AD0BB3">
            <w:pPr>
              <w:rPr>
                <w:szCs w:val="24"/>
                <w:lang w:eastAsia="lt-LT"/>
              </w:rPr>
            </w:pPr>
            <w:r w:rsidRPr="00967EC5">
              <w:rPr>
                <w:szCs w:val="24"/>
                <w:lang w:eastAsia="lt-LT"/>
              </w:rPr>
              <w:t>□ netenkina</w:t>
            </w:r>
          </w:p>
        </w:tc>
      </w:tr>
    </w:tbl>
    <w:p w:rsidR="002D5183" w:rsidRPr="00967EC5" w:rsidRDefault="002D5183" w:rsidP="002D5183">
      <w:pPr>
        <w:tabs>
          <w:tab w:val="left" w:pos="6237"/>
        </w:tabs>
        <w:rPr>
          <w:color w:val="000000"/>
          <w:szCs w:val="24"/>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0B1D6D" w:rsidTr="002C22BF">
        <w:trPr>
          <w:trHeight w:val="23"/>
        </w:trPr>
        <w:tc>
          <w:tcPr>
            <w:tcW w:w="7164" w:type="dxa"/>
            <w:gridSpan w:val="2"/>
            <w:shd w:val="clear" w:color="auto" w:fill="auto"/>
          </w:tcPr>
          <w:p w:rsidR="002C22BF" w:rsidRPr="000B1D6D" w:rsidRDefault="002C22BF" w:rsidP="00AD0BB3">
            <w:pPr>
              <w:rPr>
                <w:szCs w:val="24"/>
                <w:lang w:eastAsia="lt-LT"/>
              </w:rPr>
            </w:pPr>
            <w:r w:rsidRPr="000B1D6D">
              <w:rPr>
                <w:szCs w:val="24"/>
                <w:lang w:eastAsia="lt-LT"/>
              </w:rPr>
              <w:t>Teisės akto projekto tiesioginis rengėjas:</w:t>
            </w:r>
          </w:p>
        </w:tc>
        <w:tc>
          <w:tcPr>
            <w:tcW w:w="7118" w:type="dxa"/>
            <w:gridSpan w:val="2"/>
            <w:shd w:val="clear" w:color="auto" w:fill="auto"/>
          </w:tcPr>
          <w:p w:rsidR="002C22BF" w:rsidRPr="000B1D6D" w:rsidRDefault="002C22BF" w:rsidP="00883D78">
            <w:pPr>
              <w:rPr>
                <w:szCs w:val="24"/>
                <w:lang w:eastAsia="lt-LT"/>
              </w:rPr>
            </w:pPr>
            <w:r w:rsidRPr="000B1D6D">
              <w:rPr>
                <w:szCs w:val="24"/>
                <w:lang w:eastAsia="lt-LT"/>
              </w:rPr>
              <w:t>Teisės akto projekto vertintojas:</w:t>
            </w:r>
          </w:p>
        </w:tc>
      </w:tr>
      <w:tr w:rsidR="002C22BF" w:rsidRPr="000B1D6D" w:rsidTr="00715DA8">
        <w:trPr>
          <w:trHeight w:val="23"/>
        </w:trPr>
        <w:tc>
          <w:tcPr>
            <w:tcW w:w="5103" w:type="dxa"/>
            <w:tcBorders>
              <w:bottom w:val="single" w:sz="4" w:space="0" w:color="auto"/>
            </w:tcBorders>
            <w:shd w:val="clear" w:color="auto" w:fill="auto"/>
            <w:vAlign w:val="bottom"/>
          </w:tcPr>
          <w:p w:rsidR="002C22BF" w:rsidRPr="000B1D6D" w:rsidRDefault="00DE1DE5" w:rsidP="00DE1DE5">
            <w:pPr>
              <w:rPr>
                <w:szCs w:val="24"/>
                <w:lang w:eastAsia="lt-LT"/>
              </w:rPr>
            </w:pPr>
            <w:r w:rsidRPr="00964CCB">
              <w:rPr>
                <w:color w:val="000000"/>
              </w:rPr>
              <w:t xml:space="preserve">Aplinkos ministerijos Statybos ir teritorijų planavimo politikos grupės </w:t>
            </w:r>
            <w:r>
              <w:rPr>
                <w:color w:val="000000"/>
              </w:rPr>
              <w:t>patarėja</w:t>
            </w:r>
            <w:r w:rsidRPr="00964CCB">
              <w:rPr>
                <w:color w:val="000000"/>
              </w:rPr>
              <w:t xml:space="preserve"> </w:t>
            </w:r>
          </w:p>
        </w:tc>
        <w:tc>
          <w:tcPr>
            <w:tcW w:w="2061" w:type="dxa"/>
            <w:tcBorders>
              <w:bottom w:val="single" w:sz="4" w:space="0" w:color="auto"/>
            </w:tcBorders>
            <w:shd w:val="clear" w:color="auto" w:fill="auto"/>
            <w:vAlign w:val="bottom"/>
          </w:tcPr>
          <w:p w:rsidR="002C22BF" w:rsidRPr="000B1D6D" w:rsidRDefault="00DE1DE5" w:rsidP="00DE1DE5">
            <w:pPr>
              <w:rPr>
                <w:szCs w:val="24"/>
                <w:lang w:eastAsia="lt-LT"/>
              </w:rPr>
            </w:pPr>
            <w:r w:rsidRPr="00964CCB">
              <w:rPr>
                <w:color w:val="000000"/>
              </w:rPr>
              <w:t xml:space="preserve">Virginija </w:t>
            </w:r>
            <w:proofErr w:type="spellStart"/>
            <w:r w:rsidRPr="00964CCB">
              <w:rPr>
                <w:color w:val="000000"/>
              </w:rPr>
              <w:t>Pilipienė</w:t>
            </w:r>
            <w:proofErr w:type="spellEnd"/>
          </w:p>
        </w:tc>
        <w:tc>
          <w:tcPr>
            <w:tcW w:w="5027" w:type="dxa"/>
            <w:tcBorders>
              <w:bottom w:val="single" w:sz="4" w:space="0" w:color="auto"/>
            </w:tcBorders>
            <w:shd w:val="clear" w:color="auto" w:fill="auto"/>
            <w:vAlign w:val="bottom"/>
          </w:tcPr>
          <w:p w:rsidR="002C22BF" w:rsidRPr="000B1D6D" w:rsidRDefault="00EA7850" w:rsidP="00EA740F">
            <w:pPr>
              <w:rPr>
                <w:szCs w:val="24"/>
                <w:lang w:eastAsia="lt-LT"/>
              </w:rPr>
            </w:pPr>
            <w:r w:rsidRPr="000B1D6D">
              <w:rPr>
                <w:szCs w:val="24"/>
                <w:lang w:eastAsia="lt-LT"/>
              </w:rPr>
              <w:t xml:space="preserve">Aplinkos ministerijos </w:t>
            </w:r>
            <w:r w:rsidR="00EA740F" w:rsidRPr="000B1D6D">
              <w:rPr>
                <w:szCs w:val="24"/>
                <w:lang w:eastAsia="lt-LT"/>
              </w:rPr>
              <w:t>Korupcijos prevencijos ir vidaus tyrimų</w:t>
            </w:r>
            <w:r w:rsidR="00E96D2A" w:rsidRPr="000B1D6D">
              <w:rPr>
                <w:szCs w:val="24"/>
                <w:lang w:eastAsia="lt-LT"/>
              </w:rPr>
              <w:t xml:space="preserve"> skyriaus vyriausiasis specialistas</w:t>
            </w:r>
          </w:p>
        </w:tc>
        <w:tc>
          <w:tcPr>
            <w:tcW w:w="2091" w:type="dxa"/>
            <w:tcBorders>
              <w:bottom w:val="single" w:sz="4" w:space="0" w:color="auto"/>
            </w:tcBorders>
            <w:shd w:val="clear" w:color="auto" w:fill="auto"/>
            <w:vAlign w:val="bottom"/>
          </w:tcPr>
          <w:p w:rsidR="002C22BF" w:rsidRPr="000B1D6D" w:rsidRDefault="00E96D2A" w:rsidP="002C22BF">
            <w:pPr>
              <w:rPr>
                <w:szCs w:val="24"/>
                <w:lang w:eastAsia="lt-LT"/>
              </w:rPr>
            </w:pPr>
            <w:r w:rsidRPr="000B1D6D">
              <w:rPr>
                <w:szCs w:val="24"/>
                <w:lang w:eastAsia="lt-LT"/>
              </w:rPr>
              <w:t xml:space="preserve">Remigijus </w:t>
            </w:r>
            <w:proofErr w:type="spellStart"/>
            <w:r w:rsidRPr="000B1D6D">
              <w:rPr>
                <w:szCs w:val="24"/>
                <w:lang w:eastAsia="lt-LT"/>
              </w:rPr>
              <w:t>Alavočius</w:t>
            </w:r>
            <w:proofErr w:type="spellEnd"/>
          </w:p>
        </w:tc>
      </w:tr>
      <w:tr w:rsidR="002C22BF" w:rsidRPr="000B1D6D" w:rsidTr="00715DA8">
        <w:trPr>
          <w:trHeight w:val="23"/>
        </w:trPr>
        <w:tc>
          <w:tcPr>
            <w:tcW w:w="5103" w:type="dxa"/>
            <w:tcBorders>
              <w:top w:val="single" w:sz="4" w:space="0" w:color="auto"/>
            </w:tcBorders>
            <w:shd w:val="clear" w:color="auto" w:fill="auto"/>
            <w:vAlign w:val="bottom"/>
          </w:tcPr>
          <w:p w:rsidR="002C22BF" w:rsidRPr="000B1D6D" w:rsidRDefault="002C22BF" w:rsidP="002C22BF">
            <w:pPr>
              <w:rPr>
                <w:szCs w:val="24"/>
                <w:lang w:eastAsia="lt-LT"/>
              </w:rPr>
            </w:pPr>
            <w:r w:rsidRPr="000B1D6D">
              <w:rPr>
                <w:szCs w:val="24"/>
                <w:lang w:eastAsia="lt-LT"/>
              </w:rPr>
              <w:t>(pareigos)</w:t>
            </w:r>
          </w:p>
        </w:tc>
        <w:tc>
          <w:tcPr>
            <w:tcW w:w="2061" w:type="dxa"/>
            <w:tcBorders>
              <w:top w:val="single" w:sz="4" w:space="0" w:color="auto"/>
            </w:tcBorders>
            <w:shd w:val="clear" w:color="auto" w:fill="auto"/>
            <w:vAlign w:val="bottom"/>
          </w:tcPr>
          <w:p w:rsidR="002C22BF" w:rsidRPr="000B1D6D" w:rsidRDefault="002C22BF" w:rsidP="002C22BF">
            <w:pPr>
              <w:rPr>
                <w:szCs w:val="24"/>
                <w:lang w:eastAsia="lt-LT"/>
              </w:rPr>
            </w:pPr>
            <w:r w:rsidRPr="000B1D6D">
              <w:rPr>
                <w:szCs w:val="24"/>
                <w:lang w:eastAsia="lt-LT"/>
              </w:rPr>
              <w:t>(vardas ir pavardė)</w:t>
            </w:r>
          </w:p>
        </w:tc>
        <w:tc>
          <w:tcPr>
            <w:tcW w:w="5027" w:type="dxa"/>
            <w:tcBorders>
              <w:top w:val="single" w:sz="4" w:space="0" w:color="auto"/>
            </w:tcBorders>
            <w:shd w:val="clear" w:color="auto" w:fill="auto"/>
            <w:vAlign w:val="bottom"/>
          </w:tcPr>
          <w:p w:rsidR="002C22BF" w:rsidRPr="000B1D6D" w:rsidRDefault="002C22BF" w:rsidP="00883D78">
            <w:pPr>
              <w:rPr>
                <w:szCs w:val="24"/>
                <w:lang w:eastAsia="lt-LT"/>
              </w:rPr>
            </w:pPr>
            <w:r w:rsidRPr="000B1D6D">
              <w:rPr>
                <w:szCs w:val="24"/>
                <w:lang w:eastAsia="lt-LT"/>
              </w:rPr>
              <w:t>(pareigos)</w:t>
            </w:r>
          </w:p>
        </w:tc>
        <w:tc>
          <w:tcPr>
            <w:tcW w:w="2091" w:type="dxa"/>
            <w:tcBorders>
              <w:top w:val="single" w:sz="4" w:space="0" w:color="auto"/>
            </w:tcBorders>
            <w:shd w:val="clear" w:color="auto" w:fill="auto"/>
            <w:vAlign w:val="bottom"/>
          </w:tcPr>
          <w:p w:rsidR="002C22BF" w:rsidRPr="000B1D6D" w:rsidRDefault="002C22BF" w:rsidP="00883D78">
            <w:pPr>
              <w:rPr>
                <w:szCs w:val="24"/>
                <w:lang w:eastAsia="lt-LT"/>
              </w:rPr>
            </w:pPr>
            <w:r w:rsidRPr="000B1D6D">
              <w:rPr>
                <w:szCs w:val="24"/>
                <w:lang w:eastAsia="lt-LT"/>
              </w:rPr>
              <w:t>(vardas ir pavardė)</w:t>
            </w:r>
          </w:p>
        </w:tc>
      </w:tr>
      <w:tr w:rsidR="002C22BF" w:rsidRPr="000B1D6D" w:rsidTr="00715DA8">
        <w:trPr>
          <w:trHeight w:val="617"/>
        </w:trPr>
        <w:tc>
          <w:tcPr>
            <w:tcW w:w="5103" w:type="dxa"/>
            <w:tcBorders>
              <w:bottom w:val="single" w:sz="4" w:space="0" w:color="auto"/>
            </w:tcBorders>
            <w:shd w:val="clear" w:color="auto" w:fill="auto"/>
            <w:vAlign w:val="bottom"/>
          </w:tcPr>
          <w:p w:rsidR="002C22BF" w:rsidRPr="000B1D6D" w:rsidRDefault="002C22BF" w:rsidP="002C22BF">
            <w:pPr>
              <w:rPr>
                <w:szCs w:val="24"/>
                <w:lang w:eastAsia="lt-LT"/>
              </w:rPr>
            </w:pPr>
          </w:p>
        </w:tc>
        <w:tc>
          <w:tcPr>
            <w:tcW w:w="2061" w:type="dxa"/>
            <w:tcBorders>
              <w:bottom w:val="single" w:sz="4" w:space="0" w:color="auto"/>
            </w:tcBorders>
            <w:shd w:val="clear" w:color="auto" w:fill="auto"/>
            <w:vAlign w:val="bottom"/>
          </w:tcPr>
          <w:p w:rsidR="002C22BF" w:rsidRPr="000B1D6D" w:rsidRDefault="002C22BF" w:rsidP="002C22BF">
            <w:pPr>
              <w:rPr>
                <w:szCs w:val="24"/>
                <w:lang w:eastAsia="lt-LT"/>
              </w:rPr>
            </w:pPr>
          </w:p>
        </w:tc>
        <w:tc>
          <w:tcPr>
            <w:tcW w:w="5027" w:type="dxa"/>
            <w:tcBorders>
              <w:bottom w:val="single" w:sz="4" w:space="0" w:color="auto"/>
            </w:tcBorders>
            <w:shd w:val="clear" w:color="auto" w:fill="auto"/>
            <w:vAlign w:val="bottom"/>
          </w:tcPr>
          <w:p w:rsidR="002C22BF" w:rsidRPr="000B1D6D" w:rsidRDefault="002C22BF" w:rsidP="00883D78">
            <w:pPr>
              <w:rPr>
                <w:szCs w:val="24"/>
                <w:lang w:eastAsia="lt-LT"/>
              </w:rPr>
            </w:pPr>
          </w:p>
        </w:tc>
        <w:tc>
          <w:tcPr>
            <w:tcW w:w="2091" w:type="dxa"/>
            <w:tcBorders>
              <w:bottom w:val="single" w:sz="4" w:space="0" w:color="auto"/>
            </w:tcBorders>
            <w:shd w:val="clear" w:color="auto" w:fill="auto"/>
            <w:vAlign w:val="bottom"/>
          </w:tcPr>
          <w:p w:rsidR="002C22BF" w:rsidRPr="000B1D6D" w:rsidRDefault="002C22BF" w:rsidP="00883D78">
            <w:pPr>
              <w:rPr>
                <w:szCs w:val="24"/>
                <w:lang w:eastAsia="lt-LT"/>
              </w:rPr>
            </w:pPr>
          </w:p>
        </w:tc>
      </w:tr>
      <w:tr w:rsidR="002C22BF" w:rsidRPr="000B1D6D" w:rsidTr="00715DA8">
        <w:trPr>
          <w:trHeight w:val="23"/>
        </w:trPr>
        <w:tc>
          <w:tcPr>
            <w:tcW w:w="5103" w:type="dxa"/>
            <w:tcBorders>
              <w:top w:val="single" w:sz="4" w:space="0" w:color="auto"/>
            </w:tcBorders>
            <w:shd w:val="clear" w:color="auto" w:fill="auto"/>
            <w:vAlign w:val="bottom"/>
          </w:tcPr>
          <w:p w:rsidR="002C22BF" w:rsidRPr="000B1D6D" w:rsidRDefault="002C22BF" w:rsidP="002C22BF">
            <w:pPr>
              <w:jc w:val="center"/>
              <w:rPr>
                <w:szCs w:val="24"/>
                <w:lang w:eastAsia="lt-LT"/>
              </w:rPr>
            </w:pPr>
            <w:r w:rsidRPr="000B1D6D">
              <w:rPr>
                <w:szCs w:val="24"/>
                <w:lang w:eastAsia="lt-LT"/>
              </w:rPr>
              <w:t>(parašas)</w:t>
            </w:r>
          </w:p>
        </w:tc>
        <w:tc>
          <w:tcPr>
            <w:tcW w:w="2061" w:type="dxa"/>
            <w:tcBorders>
              <w:top w:val="single" w:sz="4" w:space="0" w:color="auto"/>
            </w:tcBorders>
            <w:shd w:val="clear" w:color="auto" w:fill="auto"/>
            <w:vAlign w:val="bottom"/>
          </w:tcPr>
          <w:p w:rsidR="002C22BF" w:rsidRPr="000B1D6D" w:rsidRDefault="002C22BF" w:rsidP="002C22BF">
            <w:pPr>
              <w:jc w:val="center"/>
              <w:rPr>
                <w:szCs w:val="24"/>
                <w:lang w:eastAsia="lt-LT"/>
              </w:rPr>
            </w:pPr>
            <w:r w:rsidRPr="000B1D6D">
              <w:rPr>
                <w:szCs w:val="24"/>
                <w:lang w:eastAsia="lt-LT"/>
              </w:rPr>
              <w:t>(data)</w:t>
            </w:r>
          </w:p>
        </w:tc>
        <w:tc>
          <w:tcPr>
            <w:tcW w:w="5027" w:type="dxa"/>
            <w:tcBorders>
              <w:top w:val="single" w:sz="4" w:space="0" w:color="auto"/>
            </w:tcBorders>
            <w:shd w:val="clear" w:color="auto" w:fill="auto"/>
            <w:vAlign w:val="bottom"/>
          </w:tcPr>
          <w:p w:rsidR="002C22BF" w:rsidRPr="000B1D6D" w:rsidRDefault="002C22BF" w:rsidP="002C22BF">
            <w:pPr>
              <w:jc w:val="center"/>
              <w:rPr>
                <w:szCs w:val="24"/>
                <w:lang w:eastAsia="lt-LT"/>
              </w:rPr>
            </w:pPr>
            <w:r w:rsidRPr="000B1D6D">
              <w:rPr>
                <w:szCs w:val="24"/>
                <w:lang w:eastAsia="lt-LT"/>
              </w:rPr>
              <w:t>(parašas)</w:t>
            </w:r>
          </w:p>
        </w:tc>
        <w:tc>
          <w:tcPr>
            <w:tcW w:w="2091" w:type="dxa"/>
            <w:tcBorders>
              <w:top w:val="single" w:sz="4" w:space="0" w:color="auto"/>
            </w:tcBorders>
            <w:shd w:val="clear" w:color="auto" w:fill="auto"/>
            <w:vAlign w:val="bottom"/>
          </w:tcPr>
          <w:p w:rsidR="002C22BF" w:rsidRPr="000B1D6D" w:rsidRDefault="002C22BF" w:rsidP="002C22BF">
            <w:pPr>
              <w:jc w:val="center"/>
              <w:rPr>
                <w:szCs w:val="24"/>
                <w:lang w:eastAsia="lt-LT"/>
              </w:rPr>
            </w:pPr>
            <w:r w:rsidRPr="000B1D6D">
              <w:rPr>
                <w:szCs w:val="24"/>
                <w:lang w:eastAsia="lt-LT"/>
              </w:rPr>
              <w:t>(data)</w:t>
            </w:r>
          </w:p>
        </w:tc>
      </w:tr>
    </w:tbl>
    <w:p w:rsidR="00F532B6" w:rsidRPr="00967EC5" w:rsidRDefault="00F532B6" w:rsidP="002C22BF">
      <w:pPr>
        <w:rPr>
          <w:szCs w:val="24"/>
        </w:rPr>
      </w:pPr>
    </w:p>
    <w:sectPr w:rsidR="00F532B6" w:rsidRPr="00967EC5" w:rsidSect="00686053">
      <w:headerReference w:type="default" r:id="rId10"/>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DC" w:rsidRDefault="000C14DC" w:rsidP="002D5183">
      <w:r>
        <w:separator/>
      </w:r>
    </w:p>
  </w:endnote>
  <w:endnote w:type="continuationSeparator" w:id="0">
    <w:p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DC" w:rsidRDefault="000C14DC" w:rsidP="002D5183">
      <w:r>
        <w:separator/>
      </w:r>
    </w:p>
  </w:footnote>
  <w:footnote w:type="continuationSeparator" w:id="0">
    <w:p w:rsidR="000C14DC" w:rsidRDefault="000C14DC" w:rsidP="002D5183">
      <w:r>
        <w:continuationSeparator/>
      </w:r>
    </w:p>
  </w:footnote>
  <w:footnote w:id="1">
    <w:p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382721">
      <w:rPr>
        <w:noProof/>
      </w:rPr>
      <w:t>9</w:t>
    </w:r>
    <w:r>
      <w:fldChar w:fldCharType="end"/>
    </w:r>
  </w:p>
  <w:p w:rsidR="00686053" w:rsidRDefault="00686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477CB"/>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
    <w:nsid w:val="68A67634"/>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
    <w:nsid w:val="71034C01"/>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
    <w:nsid w:val="763E710C"/>
    <w:multiLevelType w:val="multilevel"/>
    <w:tmpl w:val="49886DEE"/>
    <w:lvl w:ilvl="0">
      <w:start w:val="1"/>
      <w:numFmt w:val="decimal"/>
      <w:lvlText w:val="%1."/>
      <w:lvlJc w:val="left"/>
      <w:pPr>
        <w:ind w:left="1371" w:hanging="804"/>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nsid w:val="79FC042D"/>
    <w:multiLevelType w:val="multilevel"/>
    <w:tmpl w:val="325A3404"/>
    <w:lvl w:ilvl="0">
      <w:start w:val="6"/>
      <w:numFmt w:val="decimal"/>
      <w:lvlText w:val="%1."/>
      <w:lvlJc w:val="left"/>
      <w:pPr>
        <w:ind w:left="1210" w:hanging="360"/>
      </w:pPr>
      <w:rPr>
        <w:rFonts w:hint="default"/>
        <w:b w:val="0"/>
        <w:color w:val="auto"/>
      </w:rPr>
    </w:lvl>
    <w:lvl w:ilvl="1">
      <w:start w:val="1"/>
      <w:numFmt w:val="decimal"/>
      <w:lvlText w:val="%1.%2."/>
      <w:lvlJc w:val="left"/>
      <w:pPr>
        <w:ind w:left="1777" w:hanging="360"/>
      </w:pPr>
      <w:rPr>
        <w:rFonts w:hint="default"/>
        <w:color w:val="auto"/>
      </w:rPr>
    </w:lvl>
    <w:lvl w:ilvl="2">
      <w:start w:val="1"/>
      <w:numFmt w:val="decimal"/>
      <w:lvlText w:val="%1.%2.%3."/>
      <w:lvlJc w:val="left"/>
      <w:pPr>
        <w:ind w:left="2704" w:hanging="720"/>
      </w:pPr>
      <w:rPr>
        <w:rFonts w:hint="default"/>
        <w:color w:val="auto"/>
      </w:rPr>
    </w:lvl>
    <w:lvl w:ilvl="3">
      <w:start w:val="1"/>
      <w:numFmt w:val="decimal"/>
      <w:lvlText w:val="%1.%2.%3.%4."/>
      <w:lvlJc w:val="left"/>
      <w:pPr>
        <w:ind w:left="3271" w:hanging="720"/>
      </w:pPr>
      <w:rPr>
        <w:rFonts w:hint="default"/>
        <w:color w:val="auto"/>
      </w:rPr>
    </w:lvl>
    <w:lvl w:ilvl="4">
      <w:start w:val="1"/>
      <w:numFmt w:val="decimal"/>
      <w:lvlText w:val="%1.%2.%3.%4.%5."/>
      <w:lvlJc w:val="left"/>
      <w:pPr>
        <w:ind w:left="4198" w:hanging="1080"/>
      </w:pPr>
      <w:rPr>
        <w:rFonts w:hint="default"/>
        <w:color w:val="auto"/>
      </w:rPr>
    </w:lvl>
    <w:lvl w:ilvl="5">
      <w:start w:val="1"/>
      <w:numFmt w:val="decimal"/>
      <w:lvlText w:val="%1.%2.%3.%4.%5.%6."/>
      <w:lvlJc w:val="left"/>
      <w:pPr>
        <w:ind w:left="4765" w:hanging="1080"/>
      </w:pPr>
      <w:rPr>
        <w:rFonts w:hint="default"/>
        <w:color w:val="auto"/>
      </w:rPr>
    </w:lvl>
    <w:lvl w:ilvl="6">
      <w:start w:val="1"/>
      <w:numFmt w:val="decimal"/>
      <w:lvlText w:val="%1.%2.%3.%4.%5.%6.%7."/>
      <w:lvlJc w:val="left"/>
      <w:pPr>
        <w:ind w:left="5692" w:hanging="1440"/>
      </w:pPr>
      <w:rPr>
        <w:rFonts w:hint="default"/>
        <w:color w:val="auto"/>
      </w:rPr>
    </w:lvl>
    <w:lvl w:ilvl="7">
      <w:start w:val="1"/>
      <w:numFmt w:val="decimal"/>
      <w:lvlText w:val="%1.%2.%3.%4.%5.%6.%7.%8."/>
      <w:lvlJc w:val="left"/>
      <w:pPr>
        <w:ind w:left="6259" w:hanging="1440"/>
      </w:pPr>
      <w:rPr>
        <w:rFonts w:hint="default"/>
        <w:color w:val="auto"/>
      </w:rPr>
    </w:lvl>
    <w:lvl w:ilvl="8">
      <w:start w:val="1"/>
      <w:numFmt w:val="decimal"/>
      <w:lvlText w:val="%1.%2.%3.%4.%5.%6.%7.%8.%9."/>
      <w:lvlJc w:val="left"/>
      <w:pPr>
        <w:ind w:left="7186" w:hanging="1800"/>
      </w:pPr>
      <w:rPr>
        <w:rFonts w:hint="default"/>
        <w:color w:val="auto"/>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13DCE"/>
    <w:rsid w:val="00021098"/>
    <w:rsid w:val="00035442"/>
    <w:rsid w:val="000707D8"/>
    <w:rsid w:val="000B1D6D"/>
    <w:rsid w:val="000B5C31"/>
    <w:rsid w:val="000C14DC"/>
    <w:rsid w:val="000C7518"/>
    <w:rsid w:val="000E2096"/>
    <w:rsid w:val="00110296"/>
    <w:rsid w:val="00112293"/>
    <w:rsid w:val="00124D41"/>
    <w:rsid w:val="00163DD8"/>
    <w:rsid w:val="0017633D"/>
    <w:rsid w:val="00182F06"/>
    <w:rsid w:val="00184776"/>
    <w:rsid w:val="001861D7"/>
    <w:rsid w:val="001A04B8"/>
    <w:rsid w:val="001B0821"/>
    <w:rsid w:val="001B1CB1"/>
    <w:rsid w:val="001C638B"/>
    <w:rsid w:val="001C7F09"/>
    <w:rsid w:val="001D79DB"/>
    <w:rsid w:val="001E5FC7"/>
    <w:rsid w:val="001F39C9"/>
    <w:rsid w:val="00246747"/>
    <w:rsid w:val="00253E87"/>
    <w:rsid w:val="00291066"/>
    <w:rsid w:val="002C0C53"/>
    <w:rsid w:val="002C0C5D"/>
    <w:rsid w:val="002C22BF"/>
    <w:rsid w:val="002C3886"/>
    <w:rsid w:val="002C38F3"/>
    <w:rsid w:val="002D22B0"/>
    <w:rsid w:val="002D3BE1"/>
    <w:rsid w:val="002D5183"/>
    <w:rsid w:val="002E5F36"/>
    <w:rsid w:val="00337E1B"/>
    <w:rsid w:val="00374345"/>
    <w:rsid w:val="003748A7"/>
    <w:rsid w:val="00377C68"/>
    <w:rsid w:val="00382721"/>
    <w:rsid w:val="00387902"/>
    <w:rsid w:val="003A2B09"/>
    <w:rsid w:val="003D6420"/>
    <w:rsid w:val="003F0F79"/>
    <w:rsid w:val="00411CF9"/>
    <w:rsid w:val="00443BDE"/>
    <w:rsid w:val="0044406B"/>
    <w:rsid w:val="004501A3"/>
    <w:rsid w:val="00476A37"/>
    <w:rsid w:val="00495A4F"/>
    <w:rsid w:val="0049755F"/>
    <w:rsid w:val="004E1B6F"/>
    <w:rsid w:val="0050095C"/>
    <w:rsid w:val="005012EC"/>
    <w:rsid w:val="00526924"/>
    <w:rsid w:val="00541EEF"/>
    <w:rsid w:val="00552E31"/>
    <w:rsid w:val="005602FD"/>
    <w:rsid w:val="0058323D"/>
    <w:rsid w:val="005C5470"/>
    <w:rsid w:val="00603DB2"/>
    <w:rsid w:val="00643BC4"/>
    <w:rsid w:val="00657938"/>
    <w:rsid w:val="006658F7"/>
    <w:rsid w:val="006754C7"/>
    <w:rsid w:val="00686053"/>
    <w:rsid w:val="00686C51"/>
    <w:rsid w:val="006A545B"/>
    <w:rsid w:val="006A760E"/>
    <w:rsid w:val="00715DA8"/>
    <w:rsid w:val="00722F99"/>
    <w:rsid w:val="0076434A"/>
    <w:rsid w:val="007876A9"/>
    <w:rsid w:val="0079157E"/>
    <w:rsid w:val="0079744B"/>
    <w:rsid w:val="007B4ABE"/>
    <w:rsid w:val="007C3968"/>
    <w:rsid w:val="007C5799"/>
    <w:rsid w:val="007E0B51"/>
    <w:rsid w:val="007E0F13"/>
    <w:rsid w:val="00820C6E"/>
    <w:rsid w:val="00883D78"/>
    <w:rsid w:val="008B4296"/>
    <w:rsid w:val="008C17C3"/>
    <w:rsid w:val="008F4EA6"/>
    <w:rsid w:val="0090151F"/>
    <w:rsid w:val="00913CBA"/>
    <w:rsid w:val="00924A1C"/>
    <w:rsid w:val="00935FF1"/>
    <w:rsid w:val="009418CA"/>
    <w:rsid w:val="00946A11"/>
    <w:rsid w:val="00967EC5"/>
    <w:rsid w:val="009A28CC"/>
    <w:rsid w:val="009A5A78"/>
    <w:rsid w:val="009C167C"/>
    <w:rsid w:val="009D0B40"/>
    <w:rsid w:val="009D680F"/>
    <w:rsid w:val="009E5F85"/>
    <w:rsid w:val="00A163CA"/>
    <w:rsid w:val="00A16CD1"/>
    <w:rsid w:val="00A25261"/>
    <w:rsid w:val="00A87CC5"/>
    <w:rsid w:val="00AC41C4"/>
    <w:rsid w:val="00AC6EFD"/>
    <w:rsid w:val="00AD0BB3"/>
    <w:rsid w:val="00AD48B8"/>
    <w:rsid w:val="00AE05DE"/>
    <w:rsid w:val="00AF5050"/>
    <w:rsid w:val="00B0733F"/>
    <w:rsid w:val="00B44257"/>
    <w:rsid w:val="00B7156B"/>
    <w:rsid w:val="00B743C3"/>
    <w:rsid w:val="00B7512A"/>
    <w:rsid w:val="00BC0E36"/>
    <w:rsid w:val="00BD4800"/>
    <w:rsid w:val="00BD494A"/>
    <w:rsid w:val="00BF035E"/>
    <w:rsid w:val="00BF4385"/>
    <w:rsid w:val="00C1201E"/>
    <w:rsid w:val="00C13164"/>
    <w:rsid w:val="00C21565"/>
    <w:rsid w:val="00C21C1E"/>
    <w:rsid w:val="00C2730A"/>
    <w:rsid w:val="00C274D0"/>
    <w:rsid w:val="00C451CF"/>
    <w:rsid w:val="00C5628A"/>
    <w:rsid w:val="00C601C5"/>
    <w:rsid w:val="00C74C62"/>
    <w:rsid w:val="00C83FE2"/>
    <w:rsid w:val="00C95FFC"/>
    <w:rsid w:val="00CA5606"/>
    <w:rsid w:val="00CB1F0B"/>
    <w:rsid w:val="00CB3CF6"/>
    <w:rsid w:val="00CB4EA0"/>
    <w:rsid w:val="00CC0804"/>
    <w:rsid w:val="00CF541C"/>
    <w:rsid w:val="00D045BA"/>
    <w:rsid w:val="00D059A6"/>
    <w:rsid w:val="00D31BC4"/>
    <w:rsid w:val="00D433FD"/>
    <w:rsid w:val="00D862EE"/>
    <w:rsid w:val="00DC29C3"/>
    <w:rsid w:val="00DD1D8C"/>
    <w:rsid w:val="00DD3651"/>
    <w:rsid w:val="00DE1DB8"/>
    <w:rsid w:val="00DE1DE5"/>
    <w:rsid w:val="00DF663E"/>
    <w:rsid w:val="00E02B17"/>
    <w:rsid w:val="00E33987"/>
    <w:rsid w:val="00E710AE"/>
    <w:rsid w:val="00E73112"/>
    <w:rsid w:val="00E96D2A"/>
    <w:rsid w:val="00E96D39"/>
    <w:rsid w:val="00E972E6"/>
    <w:rsid w:val="00EA740F"/>
    <w:rsid w:val="00EA7850"/>
    <w:rsid w:val="00ED524C"/>
    <w:rsid w:val="00EE0F26"/>
    <w:rsid w:val="00EE72D0"/>
    <w:rsid w:val="00EF7D86"/>
    <w:rsid w:val="00F069A9"/>
    <w:rsid w:val="00F15A8F"/>
    <w:rsid w:val="00F279DA"/>
    <w:rsid w:val="00F51934"/>
    <w:rsid w:val="00F532B6"/>
    <w:rsid w:val="00F56CC9"/>
    <w:rsid w:val="00F67F14"/>
    <w:rsid w:val="00F7286E"/>
    <w:rsid w:val="00F83069"/>
    <w:rsid w:val="00FB3D08"/>
    <w:rsid w:val="00FC5947"/>
    <w:rsid w:val="00FD4ADA"/>
    <w:rsid w:val="00FE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aliases w:val="Char,Diagrama"/>
    <w:basedOn w:val="Normal"/>
    <w:link w:val="HeaderChar"/>
    <w:unhideWhenUsed/>
    <w:rsid w:val="00686053"/>
    <w:pPr>
      <w:tabs>
        <w:tab w:val="center" w:pos="4819"/>
        <w:tab w:val="right" w:pos="9638"/>
      </w:tabs>
    </w:pPr>
  </w:style>
  <w:style w:type="character" w:customStyle="1" w:styleId="HeaderChar">
    <w:name w:val="Header Char"/>
    <w:aliases w:val="Char Char,Diagrama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customStyle="1" w:styleId="Normal1">
    <w:name w:val="Normal1"/>
    <w:basedOn w:val="Normal"/>
    <w:rsid w:val="008B4296"/>
    <w:pPr>
      <w:widowControl w:val="0"/>
      <w:suppressAutoHyphens/>
    </w:pPr>
    <w:rPr>
      <w:rFonts w:eastAsia="Lucida Sans Unicode"/>
      <w:szCs w:val="24"/>
      <w:lang w:eastAsia="lt-LT"/>
    </w:rPr>
  </w:style>
  <w:style w:type="paragraph" w:styleId="ListParagraph">
    <w:name w:val="List Paragraph"/>
    <w:basedOn w:val="Normal"/>
    <w:qFormat/>
    <w:rsid w:val="00F83069"/>
    <w:pPr>
      <w:widowControl w:val="0"/>
      <w:suppressAutoHyphens/>
      <w:ind w:left="720"/>
      <w:contextualSpacing/>
    </w:pPr>
    <w:rPr>
      <w:rFonts w:eastAsia="Andale Sans UI" w:cs="Tahoma"/>
      <w:szCs w:val="24"/>
      <w:lang w:bidi="en-US"/>
    </w:rPr>
  </w:style>
  <w:style w:type="paragraph" w:customStyle="1" w:styleId="Standard">
    <w:name w:val="Standard"/>
    <w:uiPriority w:val="99"/>
    <w:rsid w:val="00D31BC4"/>
    <w:pPr>
      <w:widowControl w:val="0"/>
      <w:suppressAutoHyphens/>
      <w:autoSpaceDN w:val="0"/>
      <w:textAlignment w:val="baseline"/>
    </w:pPr>
    <w:rPr>
      <w:rFonts w:ascii="Times New Roman" w:eastAsia="Lucida Sans Unicode" w:hAnsi="Times New Roman" w:cs="Tahoma"/>
      <w:kern w:val="3"/>
      <w:sz w:val="24"/>
      <w:szCs w:val="24"/>
      <w:lang w:val="lt-LT" w:eastAsia="lt-LT"/>
    </w:rPr>
  </w:style>
  <w:style w:type="paragraph" w:styleId="NormalWeb">
    <w:name w:val="Normal (Web)"/>
    <w:basedOn w:val="Normal"/>
    <w:uiPriority w:val="99"/>
    <w:unhideWhenUsed/>
    <w:rsid w:val="000B1D6D"/>
    <w:pPr>
      <w:spacing w:before="100" w:beforeAutospacing="1" w:after="100" w:afterAutospacing="1"/>
    </w:pPr>
    <w:rPr>
      <w:szCs w:val="24"/>
      <w:lang w:val="en-GB" w:eastAsia="en-GB"/>
    </w:rPr>
  </w:style>
  <w:style w:type="character" w:customStyle="1" w:styleId="normaltextrun">
    <w:name w:val="normaltextrun"/>
    <w:basedOn w:val="DefaultParagraphFont"/>
    <w:qFormat/>
    <w:rsid w:val="008F4EA6"/>
  </w:style>
  <w:style w:type="character" w:customStyle="1" w:styleId="HeaderChar1">
    <w:name w:val="Header Char1"/>
    <w:aliases w:val="Char Char1,Diagrama Char1"/>
    <w:basedOn w:val="DefaultParagraphFont"/>
    <w:locked/>
    <w:rsid w:val="00EF7D86"/>
    <w:rPr>
      <w:rFonts w:cs="Times New Roman"/>
      <w:sz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aliases w:val="Char,Diagrama"/>
    <w:basedOn w:val="Normal"/>
    <w:link w:val="HeaderChar"/>
    <w:unhideWhenUsed/>
    <w:rsid w:val="00686053"/>
    <w:pPr>
      <w:tabs>
        <w:tab w:val="center" w:pos="4819"/>
        <w:tab w:val="right" w:pos="9638"/>
      </w:tabs>
    </w:pPr>
  </w:style>
  <w:style w:type="character" w:customStyle="1" w:styleId="HeaderChar">
    <w:name w:val="Header Char"/>
    <w:aliases w:val="Char Char,Diagrama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customStyle="1" w:styleId="Normal1">
    <w:name w:val="Normal1"/>
    <w:basedOn w:val="Normal"/>
    <w:rsid w:val="008B4296"/>
    <w:pPr>
      <w:widowControl w:val="0"/>
      <w:suppressAutoHyphens/>
    </w:pPr>
    <w:rPr>
      <w:rFonts w:eastAsia="Lucida Sans Unicode"/>
      <w:szCs w:val="24"/>
      <w:lang w:eastAsia="lt-LT"/>
    </w:rPr>
  </w:style>
  <w:style w:type="paragraph" w:styleId="ListParagraph">
    <w:name w:val="List Paragraph"/>
    <w:basedOn w:val="Normal"/>
    <w:qFormat/>
    <w:rsid w:val="00F83069"/>
    <w:pPr>
      <w:widowControl w:val="0"/>
      <w:suppressAutoHyphens/>
      <w:ind w:left="720"/>
      <w:contextualSpacing/>
    </w:pPr>
    <w:rPr>
      <w:rFonts w:eastAsia="Andale Sans UI" w:cs="Tahoma"/>
      <w:szCs w:val="24"/>
      <w:lang w:bidi="en-US"/>
    </w:rPr>
  </w:style>
  <w:style w:type="paragraph" w:customStyle="1" w:styleId="Standard">
    <w:name w:val="Standard"/>
    <w:uiPriority w:val="99"/>
    <w:rsid w:val="00D31BC4"/>
    <w:pPr>
      <w:widowControl w:val="0"/>
      <w:suppressAutoHyphens/>
      <w:autoSpaceDN w:val="0"/>
      <w:textAlignment w:val="baseline"/>
    </w:pPr>
    <w:rPr>
      <w:rFonts w:ascii="Times New Roman" w:eastAsia="Lucida Sans Unicode" w:hAnsi="Times New Roman" w:cs="Tahoma"/>
      <w:kern w:val="3"/>
      <w:sz w:val="24"/>
      <w:szCs w:val="24"/>
      <w:lang w:val="lt-LT" w:eastAsia="lt-LT"/>
    </w:rPr>
  </w:style>
  <w:style w:type="paragraph" w:styleId="NormalWeb">
    <w:name w:val="Normal (Web)"/>
    <w:basedOn w:val="Normal"/>
    <w:uiPriority w:val="99"/>
    <w:unhideWhenUsed/>
    <w:rsid w:val="000B1D6D"/>
    <w:pPr>
      <w:spacing w:before="100" w:beforeAutospacing="1" w:after="100" w:afterAutospacing="1"/>
    </w:pPr>
    <w:rPr>
      <w:szCs w:val="24"/>
      <w:lang w:val="en-GB" w:eastAsia="en-GB"/>
    </w:rPr>
  </w:style>
  <w:style w:type="character" w:customStyle="1" w:styleId="normaltextrun">
    <w:name w:val="normaltextrun"/>
    <w:basedOn w:val="DefaultParagraphFont"/>
    <w:qFormat/>
    <w:rsid w:val="008F4EA6"/>
  </w:style>
  <w:style w:type="character" w:customStyle="1" w:styleId="HeaderChar1">
    <w:name w:val="Header Char1"/>
    <w:aliases w:val="Char Char1,Diagrama Char1"/>
    <w:basedOn w:val="DefaultParagraphFont"/>
    <w:locked/>
    <w:rsid w:val="00EF7D86"/>
    <w:rPr>
      <w:rFonts w:cs="Times New Roman"/>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477">
      <w:bodyDiv w:val="1"/>
      <w:marLeft w:val="0"/>
      <w:marRight w:val="0"/>
      <w:marTop w:val="0"/>
      <w:marBottom w:val="0"/>
      <w:divBdr>
        <w:top w:val="none" w:sz="0" w:space="0" w:color="auto"/>
        <w:left w:val="none" w:sz="0" w:space="0" w:color="auto"/>
        <w:bottom w:val="none" w:sz="0" w:space="0" w:color="auto"/>
        <w:right w:val="none" w:sz="0" w:space="0" w:color="auto"/>
      </w:divBdr>
      <w:divsChild>
        <w:div w:id="111873849">
          <w:marLeft w:val="0"/>
          <w:marRight w:val="0"/>
          <w:marTop w:val="0"/>
          <w:marBottom w:val="0"/>
          <w:divBdr>
            <w:top w:val="none" w:sz="0" w:space="0" w:color="auto"/>
            <w:left w:val="none" w:sz="0" w:space="0" w:color="auto"/>
            <w:bottom w:val="none" w:sz="0" w:space="0" w:color="auto"/>
            <w:right w:val="none" w:sz="0" w:space="0" w:color="auto"/>
          </w:divBdr>
          <w:divsChild>
            <w:div w:id="5128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1950">
      <w:bodyDiv w:val="1"/>
      <w:marLeft w:val="0"/>
      <w:marRight w:val="0"/>
      <w:marTop w:val="0"/>
      <w:marBottom w:val="0"/>
      <w:divBdr>
        <w:top w:val="none" w:sz="0" w:space="0" w:color="auto"/>
        <w:left w:val="none" w:sz="0" w:space="0" w:color="auto"/>
        <w:bottom w:val="none" w:sz="0" w:space="0" w:color="auto"/>
        <w:right w:val="none" w:sz="0" w:space="0" w:color="auto"/>
      </w:divBdr>
    </w:div>
    <w:div w:id="912392286">
      <w:bodyDiv w:val="1"/>
      <w:marLeft w:val="0"/>
      <w:marRight w:val="0"/>
      <w:marTop w:val="0"/>
      <w:marBottom w:val="0"/>
      <w:divBdr>
        <w:top w:val="none" w:sz="0" w:space="0" w:color="auto"/>
        <w:left w:val="none" w:sz="0" w:space="0" w:color="auto"/>
        <w:bottom w:val="none" w:sz="0" w:space="0" w:color="auto"/>
        <w:right w:val="none" w:sz="0" w:space="0" w:color="auto"/>
      </w:divBdr>
    </w:div>
    <w:div w:id="1763259905">
      <w:bodyDiv w:val="1"/>
      <w:marLeft w:val="0"/>
      <w:marRight w:val="0"/>
      <w:marTop w:val="0"/>
      <w:marBottom w:val="0"/>
      <w:divBdr>
        <w:top w:val="none" w:sz="0" w:space="0" w:color="auto"/>
        <w:left w:val="none" w:sz="0" w:space="0" w:color="auto"/>
        <w:bottom w:val="none" w:sz="0" w:space="0" w:color="auto"/>
        <w:right w:val="none" w:sz="0" w:space="0" w:color="auto"/>
      </w:divBdr>
      <w:divsChild>
        <w:div w:id="1283148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virginija.pilipiene@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BC9D9-E439-4B24-B03D-575EA984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2021-12-17T13:26:00Z</dcterms:created>
  <dc:creator>r.uselyte</dc:creator>
  <cp:lastModifiedBy>Vaiva Rumbutienė</cp:lastModifiedBy>
  <dcterms:modified xsi:type="dcterms:W3CDTF">2021-12-17T13:26:00Z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