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8247D" w14:textId="631C69D5" w:rsidR="00D212E8" w:rsidRPr="00E637A7" w:rsidRDefault="006E4740" w:rsidP="006E474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637A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Informacija apie gautas pastabas derinant </w:t>
      </w:r>
      <w:r w:rsidR="00DB38AD" w:rsidRPr="00E637A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Vyriausybės nutarimo „Dėl Aštuonioliktosios </w:t>
      </w:r>
      <w:bookmarkStart w:id="0" w:name="_Hlk66135695"/>
      <w:r w:rsidR="00DB38AD" w:rsidRPr="00E637A7">
        <w:rPr>
          <w:rFonts w:ascii="Times New Roman" w:hAnsi="Times New Roman" w:cs="Times New Roman"/>
          <w:b/>
          <w:bCs/>
          <w:sz w:val="24"/>
          <w:szCs w:val="24"/>
          <w:lang w:val="lt-LT"/>
        </w:rPr>
        <w:t>Lietuvos Respublikos Vyriausybės  programos nuostatų įgyvendinimo plano</w:t>
      </w:r>
      <w:bookmarkEnd w:id="0"/>
      <w:r w:rsidR="00DB38AD" w:rsidRPr="00E637A7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patvirtinimo“ projektą </w:t>
      </w:r>
    </w:p>
    <w:p w14:paraId="4A9A5E2B" w14:textId="4F498105" w:rsidR="006E4740" w:rsidRPr="00E637A7" w:rsidRDefault="006E4740" w:rsidP="006E474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637A7">
        <w:rPr>
          <w:rFonts w:ascii="Times New Roman" w:hAnsi="Times New Roman" w:cs="Times New Roman"/>
          <w:sz w:val="24"/>
          <w:szCs w:val="24"/>
          <w:lang w:val="lt-LT"/>
        </w:rPr>
        <w:t>Lietuvos Respublikos Vyriausybės  programos nuostatų įgyvendinimo plan</w:t>
      </w:r>
      <w:r w:rsidRPr="00E637A7">
        <w:rPr>
          <w:rFonts w:ascii="Times New Roman" w:hAnsi="Times New Roman" w:cs="Times New Roman"/>
          <w:sz w:val="24"/>
          <w:szCs w:val="24"/>
          <w:lang w:val="lt-LT"/>
        </w:rPr>
        <w:t xml:space="preserve">as (toliau – Planas) buvo derintas su ministerijomis ir Vyriausybės įstaigomis. </w:t>
      </w:r>
    </w:p>
    <w:p w14:paraId="51E77F32" w14:textId="665EA81E" w:rsidR="00DE68B6" w:rsidRPr="00E637A7" w:rsidRDefault="00DE68B6" w:rsidP="006E474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637A7">
        <w:rPr>
          <w:rFonts w:ascii="Times New Roman" w:hAnsi="Times New Roman" w:cs="Times New Roman"/>
          <w:sz w:val="24"/>
          <w:szCs w:val="24"/>
          <w:lang w:val="lt-LT"/>
        </w:rPr>
        <w:t xml:space="preserve">Be pastabų suderinta su KAM, </w:t>
      </w:r>
      <w:r w:rsidR="006A6102" w:rsidRPr="00E637A7">
        <w:rPr>
          <w:rFonts w:ascii="Times New Roman" w:hAnsi="Times New Roman" w:cs="Times New Roman"/>
          <w:sz w:val="24"/>
          <w:szCs w:val="24"/>
          <w:lang w:val="lt-LT"/>
        </w:rPr>
        <w:t xml:space="preserve">KM, </w:t>
      </w:r>
      <w:r w:rsidRPr="00E637A7">
        <w:rPr>
          <w:rFonts w:ascii="Times New Roman" w:hAnsi="Times New Roman" w:cs="Times New Roman"/>
          <w:sz w:val="24"/>
          <w:szCs w:val="24"/>
          <w:lang w:val="lt-LT"/>
        </w:rPr>
        <w:t>Valstybinės duomenų apsaugos inspekcij</w:t>
      </w:r>
      <w:r w:rsidRPr="00E637A7">
        <w:rPr>
          <w:rFonts w:ascii="Times New Roman" w:hAnsi="Times New Roman" w:cs="Times New Roman"/>
          <w:sz w:val="24"/>
          <w:szCs w:val="24"/>
          <w:lang w:val="lt-LT"/>
        </w:rPr>
        <w:t xml:space="preserve">a, </w:t>
      </w:r>
    </w:p>
    <w:p w14:paraId="3DA77AB7" w14:textId="4109D947" w:rsidR="00DE68B6" w:rsidRDefault="006E4740" w:rsidP="006E474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637A7">
        <w:rPr>
          <w:rFonts w:ascii="Times New Roman" w:hAnsi="Times New Roman" w:cs="Times New Roman"/>
          <w:sz w:val="24"/>
          <w:szCs w:val="24"/>
          <w:lang w:val="lt-LT"/>
        </w:rPr>
        <w:t>Pastabos darbo tvarka arba (ir) oficialiai gautos iš</w:t>
      </w:r>
      <w:r w:rsidR="00DE68B6" w:rsidRPr="00E637A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637A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39AE">
        <w:rPr>
          <w:rFonts w:ascii="Times New Roman" w:hAnsi="Times New Roman" w:cs="Times New Roman"/>
          <w:sz w:val="24"/>
          <w:szCs w:val="24"/>
          <w:lang w:val="lt-LT"/>
        </w:rPr>
        <w:t>12</w:t>
      </w:r>
      <w:r w:rsidR="00DE68B6" w:rsidRPr="00E637A7">
        <w:rPr>
          <w:rFonts w:ascii="Times New Roman" w:hAnsi="Times New Roman" w:cs="Times New Roman"/>
          <w:sz w:val="24"/>
          <w:szCs w:val="24"/>
          <w:lang w:val="lt-LT"/>
        </w:rPr>
        <w:t xml:space="preserve"> ministerijų, </w:t>
      </w:r>
      <w:r w:rsidRPr="00E637A7">
        <w:rPr>
          <w:rFonts w:ascii="Times New Roman" w:hAnsi="Times New Roman" w:cs="Times New Roman"/>
          <w:sz w:val="24"/>
          <w:szCs w:val="24"/>
          <w:lang w:val="lt-LT"/>
        </w:rPr>
        <w:t xml:space="preserve">Lietuvos Statistikos departamento, </w:t>
      </w:r>
      <w:r w:rsidR="00DE68B6" w:rsidRPr="00E637A7">
        <w:rPr>
          <w:rFonts w:ascii="Times New Roman" w:hAnsi="Times New Roman" w:cs="Times New Roman"/>
          <w:sz w:val="24"/>
          <w:szCs w:val="24"/>
          <w:lang w:val="lt-LT"/>
        </w:rPr>
        <w:t>Lygių galimybių tarnybos.</w:t>
      </w:r>
    </w:p>
    <w:p w14:paraId="4430376F" w14:textId="35CF0108" w:rsidR="00820D87" w:rsidRDefault="00820D87" w:rsidP="006E474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VRM, SM,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SAM, SADM, ŠMSM,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AM, ŽŪM, EM, URM pastabos suderintos darbo tvarka, į pastabas atsižvelgta. </w:t>
      </w:r>
    </w:p>
    <w:p w14:paraId="731B3C83" w14:textId="0D60A1A9" w:rsidR="000539AE" w:rsidRDefault="008E3B48" w:rsidP="006E474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Gautos </w:t>
      </w:r>
      <w:r w:rsidR="00820D87">
        <w:rPr>
          <w:rFonts w:ascii="Times New Roman" w:hAnsi="Times New Roman" w:cs="Times New Roman"/>
          <w:sz w:val="24"/>
          <w:szCs w:val="24"/>
          <w:lang w:val="lt-LT"/>
        </w:rPr>
        <w:t>FM</w:t>
      </w:r>
      <w:r w:rsidR="000539AE" w:rsidRPr="000539A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39AE">
        <w:rPr>
          <w:rFonts w:ascii="Times New Roman" w:hAnsi="Times New Roman" w:cs="Times New Roman"/>
          <w:sz w:val="24"/>
          <w:szCs w:val="24"/>
          <w:lang w:val="lt-LT"/>
        </w:rPr>
        <w:t xml:space="preserve">pastabos </w:t>
      </w:r>
      <w:r w:rsidR="007A3B29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0539AE">
        <w:rPr>
          <w:rFonts w:ascii="Times New Roman" w:hAnsi="Times New Roman" w:cs="Times New Roman"/>
          <w:sz w:val="24"/>
          <w:szCs w:val="24"/>
          <w:lang w:val="lt-LT"/>
        </w:rPr>
        <w:t>vertin</w:t>
      </w:r>
      <w:r w:rsidR="007A3B29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0539AE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EE7B2D">
        <w:rPr>
          <w:rFonts w:ascii="Times New Roman" w:hAnsi="Times New Roman" w:cs="Times New Roman"/>
          <w:sz w:val="24"/>
          <w:szCs w:val="24"/>
          <w:lang w:val="lt-LT"/>
        </w:rPr>
        <w:t>, dar nespėtos įtraukti</w:t>
      </w:r>
      <w:r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E7B2D">
        <w:rPr>
          <w:rFonts w:ascii="Times New Roman" w:hAnsi="Times New Roman" w:cs="Times New Roman"/>
          <w:sz w:val="24"/>
          <w:szCs w:val="24"/>
          <w:lang w:val="lt-LT"/>
        </w:rPr>
        <w:t xml:space="preserve"> bet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 jas bus atsižvelgta.</w:t>
      </w:r>
    </w:p>
    <w:p w14:paraId="0CEB6DDB" w14:textId="3564A767" w:rsidR="007A3B29" w:rsidRDefault="007A3B29" w:rsidP="006E474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EIM</w:t>
      </w:r>
      <w:r w:rsidR="008E3B4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C773E">
        <w:rPr>
          <w:rFonts w:ascii="Times New Roman" w:hAnsi="Times New Roman" w:cs="Times New Roman"/>
          <w:sz w:val="24"/>
          <w:szCs w:val="24"/>
          <w:lang w:val="lt-LT"/>
        </w:rPr>
        <w:t xml:space="preserve">didžioji dalis </w:t>
      </w:r>
      <w:r w:rsidR="008E3B48">
        <w:rPr>
          <w:rFonts w:ascii="Times New Roman" w:hAnsi="Times New Roman" w:cs="Times New Roman"/>
          <w:sz w:val="24"/>
          <w:szCs w:val="24"/>
          <w:lang w:val="lt-LT"/>
        </w:rPr>
        <w:t>pastab</w:t>
      </w:r>
      <w:r w:rsidR="004C773E">
        <w:rPr>
          <w:rFonts w:ascii="Times New Roman" w:hAnsi="Times New Roman" w:cs="Times New Roman"/>
          <w:sz w:val="24"/>
          <w:szCs w:val="24"/>
          <w:lang w:val="lt-LT"/>
        </w:rPr>
        <w:t>ų į</w:t>
      </w:r>
      <w:r w:rsidR="008E3B48">
        <w:rPr>
          <w:rFonts w:ascii="Times New Roman" w:hAnsi="Times New Roman" w:cs="Times New Roman"/>
          <w:sz w:val="24"/>
          <w:szCs w:val="24"/>
          <w:lang w:val="lt-LT"/>
        </w:rPr>
        <w:t>vertin</w:t>
      </w:r>
      <w:r w:rsidR="004C773E">
        <w:rPr>
          <w:rFonts w:ascii="Times New Roman" w:hAnsi="Times New Roman" w:cs="Times New Roman"/>
          <w:sz w:val="24"/>
          <w:szCs w:val="24"/>
          <w:lang w:val="lt-LT"/>
        </w:rPr>
        <w:t>tos, į techninio pobūdžio pastabas bus atsižvelgta.</w:t>
      </w:r>
      <w:r w:rsidR="004C773E" w:rsidRPr="004C773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C773E">
        <w:rPr>
          <w:rFonts w:ascii="Times New Roman" w:hAnsi="Times New Roman" w:cs="Times New Roman"/>
          <w:sz w:val="24"/>
          <w:szCs w:val="24"/>
          <w:lang w:val="lt-LT"/>
        </w:rPr>
        <w:t xml:space="preserve">Dalis pastabų yra dėl skaitmeninimo ir inovacijų – šios pastabos vertinamos. </w:t>
      </w:r>
    </w:p>
    <w:p w14:paraId="7C373ECB" w14:textId="0B0A23E6" w:rsidR="00983FC4" w:rsidRPr="00E637A7" w:rsidRDefault="00820D87" w:rsidP="006E474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TM</w:t>
      </w:r>
      <w:r w:rsidR="00983FC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539AE">
        <w:rPr>
          <w:rFonts w:ascii="Times New Roman" w:hAnsi="Times New Roman" w:cs="Times New Roman"/>
          <w:sz w:val="24"/>
          <w:szCs w:val="24"/>
          <w:lang w:val="lt-LT"/>
        </w:rPr>
        <w:t>pastabos</w:t>
      </w:r>
      <w:r w:rsidR="000749A3">
        <w:rPr>
          <w:rFonts w:ascii="Times New Roman" w:hAnsi="Times New Roman" w:cs="Times New Roman"/>
          <w:sz w:val="24"/>
          <w:szCs w:val="24"/>
          <w:lang w:val="lt-LT"/>
        </w:rPr>
        <w:t xml:space="preserve"> gautos</w:t>
      </w:r>
      <w:r w:rsidR="00D87E00">
        <w:rPr>
          <w:rFonts w:ascii="Times New Roman" w:hAnsi="Times New Roman" w:cs="Times New Roman"/>
          <w:sz w:val="24"/>
          <w:szCs w:val="24"/>
          <w:lang w:val="lt-LT"/>
        </w:rPr>
        <w:t xml:space="preserve"> darbo tvarka, pastabos vertinamos ir bus suderintos darbo tvarka. </w:t>
      </w:r>
      <w:r w:rsidR="000539A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F4DB121" w14:textId="5205F5EE" w:rsidR="00D44F22" w:rsidRPr="00E637A7" w:rsidRDefault="00D44F22" w:rsidP="00103844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637A7">
        <w:rPr>
          <w:rFonts w:ascii="Times New Roman" w:hAnsi="Times New Roman" w:cs="Times New Roman"/>
          <w:b/>
          <w:bCs/>
          <w:sz w:val="24"/>
          <w:szCs w:val="24"/>
          <w:lang w:val="lt-LT"/>
        </w:rPr>
        <w:t>Atkreiptinas dėmesys į šiuos Plano pakeitimus: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1"/>
        <w:gridCol w:w="5117"/>
        <w:gridCol w:w="2286"/>
        <w:gridCol w:w="1804"/>
      </w:tblGrid>
      <w:tr w:rsidR="007037E9" w:rsidRPr="00E637A7" w14:paraId="094645C7" w14:textId="77777777" w:rsidTr="007037E9">
        <w:tc>
          <w:tcPr>
            <w:tcW w:w="421" w:type="dxa"/>
            <w:shd w:val="clear" w:color="auto" w:fill="BDD6EE" w:themeFill="accent5" w:themeFillTint="66"/>
          </w:tcPr>
          <w:p w14:paraId="43F16B20" w14:textId="77777777" w:rsidR="007037E9" w:rsidRPr="00E637A7" w:rsidRDefault="007037E9" w:rsidP="00103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117" w:type="dxa"/>
            <w:shd w:val="clear" w:color="auto" w:fill="BDD6EE" w:themeFill="accent5" w:themeFillTint="66"/>
          </w:tcPr>
          <w:p w14:paraId="0D72675C" w14:textId="3F83F241" w:rsidR="007037E9" w:rsidRPr="00E637A7" w:rsidRDefault="007037E9" w:rsidP="00103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Pakeitimas</w:t>
            </w:r>
          </w:p>
        </w:tc>
        <w:tc>
          <w:tcPr>
            <w:tcW w:w="2286" w:type="dxa"/>
            <w:shd w:val="clear" w:color="auto" w:fill="BDD6EE" w:themeFill="accent5" w:themeFillTint="66"/>
          </w:tcPr>
          <w:p w14:paraId="78F3F203" w14:textId="5AF6C6C4" w:rsidR="007037E9" w:rsidRPr="00E637A7" w:rsidRDefault="007037E9" w:rsidP="00103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Pakeitimą pasiūliusi institucija</w:t>
            </w:r>
          </w:p>
        </w:tc>
        <w:tc>
          <w:tcPr>
            <w:tcW w:w="1804" w:type="dxa"/>
            <w:shd w:val="clear" w:color="auto" w:fill="BDD6EE" w:themeFill="accent5" w:themeFillTint="66"/>
          </w:tcPr>
          <w:p w14:paraId="419842C5" w14:textId="3BEFBB50" w:rsidR="007037E9" w:rsidRPr="00E637A7" w:rsidRDefault="007037E9" w:rsidP="001038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Suinteresuota šalis</w:t>
            </w:r>
          </w:p>
        </w:tc>
      </w:tr>
      <w:tr w:rsidR="007037E9" w:rsidRPr="00E637A7" w14:paraId="591FBA13" w14:textId="77777777" w:rsidTr="007037E9">
        <w:tc>
          <w:tcPr>
            <w:tcW w:w="421" w:type="dxa"/>
          </w:tcPr>
          <w:p w14:paraId="769A9188" w14:textId="3DA7AB90" w:rsidR="007037E9" w:rsidRPr="00E637A7" w:rsidRDefault="007037E9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117" w:type="dxa"/>
          </w:tcPr>
          <w:p w14:paraId="67EF9E56" w14:textId="646D837C" w:rsidR="007037E9" w:rsidRPr="00E637A7" w:rsidRDefault="007037E9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Projekte VIII misijos (prioriteto) – atkurtas pasitikėjimas teisingumo sistema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atsisakyta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8.4.1. veiksmo „Antikorupcinio ir teisinio švietimo įtraukimas į bendrojo ugdymo programas mokyklose“ </w:t>
            </w:r>
          </w:p>
        </w:tc>
        <w:tc>
          <w:tcPr>
            <w:tcW w:w="2286" w:type="dxa"/>
          </w:tcPr>
          <w:p w14:paraId="6E9A282C" w14:textId="50A1DE38" w:rsidR="007037E9" w:rsidRPr="00E637A7" w:rsidRDefault="007037E9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ŠMSM siūlymas</w:t>
            </w:r>
          </w:p>
        </w:tc>
        <w:tc>
          <w:tcPr>
            <w:tcW w:w="1804" w:type="dxa"/>
          </w:tcPr>
          <w:p w14:paraId="2B042582" w14:textId="09CBFE75" w:rsidR="007037E9" w:rsidRPr="00E637A7" w:rsidRDefault="007037E9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TM</w:t>
            </w:r>
          </w:p>
        </w:tc>
      </w:tr>
      <w:tr w:rsidR="007037E9" w:rsidRPr="00E637A7" w14:paraId="6A0F3E89" w14:textId="77777777" w:rsidTr="007037E9">
        <w:tc>
          <w:tcPr>
            <w:tcW w:w="421" w:type="dxa"/>
          </w:tcPr>
          <w:p w14:paraId="54D9F697" w14:textId="58DA420E" w:rsidR="007037E9" w:rsidRPr="00E637A7" w:rsidRDefault="000C4092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5117" w:type="dxa"/>
          </w:tcPr>
          <w:p w14:paraId="0E049747" w14:textId="77777777" w:rsidR="000C4092" w:rsidRPr="00E637A7" w:rsidRDefault="000C4092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Įtrauktas naujas veiksmas, dėl kurio formuluotės dar nėra sutarimo:</w:t>
            </w:r>
          </w:p>
          <w:p w14:paraId="439A6C45" w14:textId="1EFF87D7" w:rsidR="007037E9" w:rsidRPr="00E637A7" w:rsidRDefault="000C4092" w:rsidP="00D44F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6.2.24. </w:t>
            </w:r>
            <w:r w:rsidRPr="00E637A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Plėtoti Šventosios jūrų uosto projektą</w:t>
            </w:r>
            <w:r w:rsidRPr="00E637A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– siūlo LRVK</w:t>
            </w:r>
          </w:p>
          <w:p w14:paraId="3132608A" w14:textId="0C79A82E" w:rsidR="000C4092" w:rsidRPr="00E637A7" w:rsidRDefault="000C4092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6.2.24. </w:t>
            </w:r>
            <w:r w:rsidRPr="00E637A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Mažinti pajūrio juostos eroziją kompensacinėmis Šventosios jūrų uosto plėtros priemonėmis</w:t>
            </w:r>
            <w:r w:rsidRPr="00E637A7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– siūlo AM</w:t>
            </w:r>
          </w:p>
        </w:tc>
        <w:tc>
          <w:tcPr>
            <w:tcW w:w="2286" w:type="dxa"/>
          </w:tcPr>
          <w:p w14:paraId="74AE6EB6" w14:textId="50D7B0DA" w:rsidR="007037E9" w:rsidRPr="00E637A7" w:rsidRDefault="000C4092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LRVK</w:t>
            </w:r>
          </w:p>
        </w:tc>
        <w:tc>
          <w:tcPr>
            <w:tcW w:w="1804" w:type="dxa"/>
          </w:tcPr>
          <w:p w14:paraId="62DA417D" w14:textId="0849B4B9" w:rsidR="007037E9" w:rsidRPr="00E637A7" w:rsidRDefault="000C4092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 , ŽŪM</w:t>
            </w:r>
          </w:p>
        </w:tc>
      </w:tr>
      <w:tr w:rsidR="007037E9" w:rsidRPr="00E637A7" w14:paraId="7AFE0D76" w14:textId="77777777" w:rsidTr="007037E9">
        <w:tc>
          <w:tcPr>
            <w:tcW w:w="421" w:type="dxa"/>
          </w:tcPr>
          <w:p w14:paraId="4F401254" w14:textId="07F14A3A" w:rsidR="007037E9" w:rsidRPr="00E637A7" w:rsidRDefault="00C96281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117" w:type="dxa"/>
          </w:tcPr>
          <w:p w14:paraId="65DEFDB6" w14:textId="7B099CBA" w:rsidR="007037E9" w:rsidRPr="00E637A7" w:rsidRDefault="00C96281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Atsisakyta 6.3.6. veiksmo „</w:t>
            </w:r>
            <w:r w:rsidRPr="00C962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Skatinti elektros skirstomojo tinklo modernizavimą ir plėtrą, didinant tinklo patikimumą ir atsparumą klimato kaitai bei kibernetinėms grėsmėms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C962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</w:t>
            </w:r>
          </w:p>
        </w:tc>
        <w:tc>
          <w:tcPr>
            <w:tcW w:w="2286" w:type="dxa"/>
          </w:tcPr>
          <w:p w14:paraId="36B81732" w14:textId="2119F993" w:rsidR="007037E9" w:rsidRPr="00E637A7" w:rsidRDefault="00C96281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</w:t>
            </w:r>
          </w:p>
        </w:tc>
        <w:tc>
          <w:tcPr>
            <w:tcW w:w="1804" w:type="dxa"/>
          </w:tcPr>
          <w:p w14:paraId="4F5E981A" w14:textId="7C884694" w:rsidR="007037E9" w:rsidRPr="00E637A7" w:rsidRDefault="00C96281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C96281" w:rsidRPr="00E637A7" w14:paraId="25ACFE83" w14:textId="77777777" w:rsidTr="007037E9">
        <w:tc>
          <w:tcPr>
            <w:tcW w:w="421" w:type="dxa"/>
          </w:tcPr>
          <w:p w14:paraId="0ADD052A" w14:textId="1D4B88A6" w:rsidR="00C96281" w:rsidRDefault="00C96281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5117" w:type="dxa"/>
          </w:tcPr>
          <w:p w14:paraId="5C1BCB63" w14:textId="08EE0775" w:rsidR="00C96281" w:rsidRDefault="00C96281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Atsisakyta 3.3.4. veiksmo „</w:t>
            </w:r>
            <w:r w:rsidRPr="00C962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Didinti socialinio būsto prieinamumą, spartinant socialinio būsto fondo plėtrą, taip trumpinant socialinio būsto nuomos laukimo laikotarpį ir prisidedant prie žaliojo kurso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286" w:type="dxa"/>
          </w:tcPr>
          <w:p w14:paraId="31567879" w14:textId="2BCF7C25" w:rsidR="00C96281" w:rsidRDefault="00C96281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FM, SADM</w:t>
            </w:r>
          </w:p>
        </w:tc>
        <w:tc>
          <w:tcPr>
            <w:tcW w:w="1804" w:type="dxa"/>
          </w:tcPr>
          <w:p w14:paraId="5D5875D3" w14:textId="40AF3191" w:rsidR="00C96281" w:rsidRDefault="00C96281" w:rsidP="00D44F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</w:t>
            </w:r>
          </w:p>
        </w:tc>
      </w:tr>
    </w:tbl>
    <w:p w14:paraId="43B6B71F" w14:textId="70DDD59C" w:rsidR="00D212E8" w:rsidRPr="00E637A7" w:rsidRDefault="00DE68B6" w:rsidP="00DE68B6">
      <w:pPr>
        <w:tabs>
          <w:tab w:val="left" w:pos="3372"/>
        </w:tabs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637A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</w:p>
    <w:p w14:paraId="2255036E" w14:textId="201B9F09" w:rsidR="00D212E8" w:rsidRPr="00E637A7" w:rsidRDefault="006E4740" w:rsidP="006E474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637A7">
        <w:rPr>
          <w:rFonts w:ascii="Times New Roman" w:hAnsi="Times New Roman" w:cs="Times New Roman"/>
          <w:b/>
          <w:bCs/>
          <w:sz w:val="24"/>
          <w:szCs w:val="24"/>
          <w:lang w:val="lt-LT"/>
        </w:rPr>
        <w:t>Pastabas taip pat pateikė žemiau išvardintos institucijos ir organizacijos: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526"/>
        <w:gridCol w:w="2555"/>
      </w:tblGrid>
      <w:tr w:rsidR="00AC2729" w:rsidRPr="00E637A7" w14:paraId="4B017098" w14:textId="77777777" w:rsidTr="00AC2729">
        <w:tc>
          <w:tcPr>
            <w:tcW w:w="562" w:type="dxa"/>
            <w:shd w:val="clear" w:color="auto" w:fill="BDD6EE" w:themeFill="accent5" w:themeFillTint="66"/>
          </w:tcPr>
          <w:p w14:paraId="26F2764A" w14:textId="77777777" w:rsidR="00AC2729" w:rsidRPr="00E637A7" w:rsidRDefault="00AC2729" w:rsidP="003416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shd w:val="clear" w:color="auto" w:fill="BDD6EE" w:themeFill="accent5" w:themeFillTint="66"/>
          </w:tcPr>
          <w:p w14:paraId="16DF87A3" w14:textId="6966C723" w:rsidR="00AC2729" w:rsidRPr="00E637A7" w:rsidRDefault="00AC2729" w:rsidP="00341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Institucija, pateikusi pastabą</w:t>
            </w:r>
          </w:p>
        </w:tc>
        <w:tc>
          <w:tcPr>
            <w:tcW w:w="4526" w:type="dxa"/>
            <w:shd w:val="clear" w:color="auto" w:fill="BDD6EE" w:themeFill="accent5" w:themeFillTint="66"/>
          </w:tcPr>
          <w:p w14:paraId="186325B3" w14:textId="2876BC3E" w:rsidR="00AC2729" w:rsidRPr="00E637A7" w:rsidRDefault="00AC2729" w:rsidP="00341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Pastabos turinys trumpai</w:t>
            </w:r>
          </w:p>
        </w:tc>
        <w:tc>
          <w:tcPr>
            <w:tcW w:w="2555" w:type="dxa"/>
            <w:shd w:val="clear" w:color="auto" w:fill="BDD6EE" w:themeFill="accent5" w:themeFillTint="66"/>
          </w:tcPr>
          <w:p w14:paraId="2EAA0152" w14:textId="10743808" w:rsidR="00AC2729" w:rsidRPr="00E637A7" w:rsidRDefault="00AC2729" w:rsidP="00341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Atsižvelgimas</w:t>
            </w:r>
          </w:p>
        </w:tc>
      </w:tr>
      <w:tr w:rsidR="006E4740" w:rsidRPr="00E637A7" w14:paraId="648847AD" w14:textId="77777777" w:rsidTr="00AC2729">
        <w:tc>
          <w:tcPr>
            <w:tcW w:w="562" w:type="dxa"/>
          </w:tcPr>
          <w:p w14:paraId="7594F873" w14:textId="51E5F84E" w:rsidR="006E4740" w:rsidRPr="00E637A7" w:rsidRDefault="006E474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985" w:type="dxa"/>
          </w:tcPr>
          <w:p w14:paraId="6F0C3EB3" w14:textId="2E123C65" w:rsidR="006E4740" w:rsidRPr="00E637A7" w:rsidRDefault="002708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ICOMOS akredituotas nacionalinis komitetas</w:t>
            </w: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Lietuvos Respublikoje</w:t>
            </w:r>
          </w:p>
        </w:tc>
        <w:tc>
          <w:tcPr>
            <w:tcW w:w="4526" w:type="dxa"/>
          </w:tcPr>
          <w:p w14:paraId="43CE3AA9" w14:textId="4EF1E274" w:rsidR="006E4740" w:rsidRPr="00E637A7" w:rsidRDefault="0027082D" w:rsidP="002708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Atkreipia dėmesį, kad Plane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nepaminėta kraštovaizdžio,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įskaitant istorinį (paveldo) kraštovaizdį, apsauga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įvardija pagrindines problemas ir istorinio ir kultūrinio kraštovaizdžio apsaugos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Lietuvoje trūkumus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siekdami juos spręsti siūlo Planą papildyti veiksmais: parengti Kraštovaizdžio įstatymo koncepciją </w:t>
            </w:r>
            <w:r w:rsidR="00122A1F"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įtraukti Kraštovaizdžio politikos krypčių aprašą.</w:t>
            </w:r>
          </w:p>
        </w:tc>
        <w:tc>
          <w:tcPr>
            <w:tcW w:w="2555" w:type="dxa"/>
          </w:tcPr>
          <w:p w14:paraId="59AD32F2" w14:textId="14A3A4E2" w:rsidR="006E4740" w:rsidRPr="00E637A7" w:rsidRDefault="00E903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Vertinama kartu su KM ir AM</w:t>
            </w:r>
          </w:p>
        </w:tc>
      </w:tr>
      <w:tr w:rsidR="00AC2729" w:rsidRPr="00E637A7" w14:paraId="37D56918" w14:textId="77777777" w:rsidTr="00AC2729">
        <w:tc>
          <w:tcPr>
            <w:tcW w:w="562" w:type="dxa"/>
          </w:tcPr>
          <w:p w14:paraId="741809E0" w14:textId="00919095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985" w:type="dxa"/>
          </w:tcPr>
          <w:p w14:paraId="31285814" w14:textId="65407010" w:rsidR="00AC2729" w:rsidRPr="00E637A7" w:rsidRDefault="00AC2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viešbučių ir restoranų asociacija</w:t>
            </w:r>
          </w:p>
        </w:tc>
        <w:tc>
          <w:tcPr>
            <w:tcW w:w="4526" w:type="dxa"/>
          </w:tcPr>
          <w:p w14:paraId="73C7C6E9" w14:textId="48CAC768" w:rsidR="00AC2729" w:rsidRPr="00E637A7" w:rsidRDefault="00AC2729" w:rsidP="001F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turizmo verslo bendruomenė prašo Vyriausybės lygio susitikimo artimiausiu metu RRF plano priemonėms ir biudžetui išskirtinai turizmo verslui aptarti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nes jiems kelia nerimą, kad Plane yra tik vienas apjungtas turizmo sektoriaus problemoms spręsti skirtas veiksmas – „.. </w:t>
            </w:r>
            <w:r w:rsidRPr="00E637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parengti turizmo sektoriaus reformos ir su ja susijusių investicijų į turizmo infrastruktūrą priemones</w:t>
            </w:r>
            <w:r w:rsidRPr="00E637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”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neužtikrintumas dėl paramos iš RRF šiam verslo sektoriui</w:t>
            </w:r>
          </w:p>
        </w:tc>
        <w:tc>
          <w:tcPr>
            <w:tcW w:w="2555" w:type="dxa"/>
          </w:tcPr>
          <w:p w14:paraId="62C671CE" w14:textId="64F93B14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226DC11" w14:textId="4B12D184" w:rsidR="00AC2729" w:rsidRPr="00E637A7" w:rsidRDefault="00F97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vertinamos</w:t>
            </w:r>
          </w:p>
        </w:tc>
      </w:tr>
      <w:tr w:rsidR="00AC2729" w:rsidRPr="00E637A7" w14:paraId="46EA4207" w14:textId="77777777" w:rsidTr="00AC2729">
        <w:tc>
          <w:tcPr>
            <w:tcW w:w="562" w:type="dxa"/>
          </w:tcPr>
          <w:p w14:paraId="7D6BC7B9" w14:textId="02DDCE5B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1985" w:type="dxa"/>
          </w:tcPr>
          <w:p w14:paraId="0BBAB597" w14:textId="593FBE13" w:rsidR="00AC2729" w:rsidRPr="00E637A7" w:rsidRDefault="00AC2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savivaldybių asociacija</w:t>
            </w:r>
          </w:p>
        </w:tc>
        <w:tc>
          <w:tcPr>
            <w:tcW w:w="4526" w:type="dxa"/>
          </w:tcPr>
          <w:p w14:paraId="14D505F9" w14:textId="4E438ADE" w:rsidR="00AC2729" w:rsidRPr="00E637A7" w:rsidRDefault="00AC2729" w:rsidP="001F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Teikiamas susirūpinimas ir argumentai dėl reikalingų daugiau priemonių,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susijusių su turizmo sektoriumi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pažymint, kad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Ekonomikos ir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inovacijų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ministerija yra parengusi turizmo sektoriaus transformacijos reformą, kuri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ai reikalingos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RRF lėšos</w:t>
            </w:r>
          </w:p>
        </w:tc>
        <w:tc>
          <w:tcPr>
            <w:tcW w:w="2555" w:type="dxa"/>
          </w:tcPr>
          <w:p w14:paraId="4B52EA10" w14:textId="4F7D7776" w:rsidR="00AC2729" w:rsidRPr="00E637A7" w:rsidRDefault="00F9761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vertinamos</w:t>
            </w:r>
          </w:p>
        </w:tc>
      </w:tr>
      <w:tr w:rsidR="00AC2729" w:rsidRPr="00E637A7" w14:paraId="257EFD9E" w14:textId="77777777" w:rsidTr="00AC2729">
        <w:tc>
          <w:tcPr>
            <w:tcW w:w="562" w:type="dxa"/>
          </w:tcPr>
          <w:p w14:paraId="09919A57" w14:textId="1214BA08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985" w:type="dxa"/>
          </w:tcPr>
          <w:p w14:paraId="112D8D4C" w14:textId="2ADA08D5" w:rsidR="00AC2729" w:rsidRPr="00E637A7" w:rsidRDefault="00AC2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Nevalstybinių aukštųjų mokyklų atstovai (bendras raštas)</w:t>
            </w:r>
          </w:p>
        </w:tc>
        <w:tc>
          <w:tcPr>
            <w:tcW w:w="4526" w:type="dxa"/>
          </w:tcPr>
          <w:p w14:paraId="1B924C57" w14:textId="5AACB876" w:rsidR="00AC2729" w:rsidRPr="00E637A7" w:rsidRDefault="00AC2729" w:rsidP="001F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s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iūlym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ŠMSM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aukštojo mokslo srityje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nevalstybinių ir valstybinių švietimo įstaigų veiklos sąlygų suvienodinimo.</w:t>
            </w:r>
          </w:p>
        </w:tc>
        <w:tc>
          <w:tcPr>
            <w:tcW w:w="2555" w:type="dxa"/>
          </w:tcPr>
          <w:p w14:paraId="56877421" w14:textId="25EF1199" w:rsidR="00AC2729" w:rsidRPr="00E637A7" w:rsidRDefault="00E903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įvertintos</w:t>
            </w:r>
            <w:r w:rsidR="00CE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AC2729" w:rsidRPr="00E637A7" w14:paraId="578F32AC" w14:textId="77777777" w:rsidTr="00AC2729">
        <w:tc>
          <w:tcPr>
            <w:tcW w:w="562" w:type="dxa"/>
          </w:tcPr>
          <w:p w14:paraId="2D8FA966" w14:textId="43D3058F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985" w:type="dxa"/>
          </w:tcPr>
          <w:p w14:paraId="13D451E5" w14:textId="31DAAF9B" w:rsidR="00AC2729" w:rsidRPr="00E637A7" w:rsidRDefault="00AC2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EURAG asociacija</w:t>
            </w:r>
          </w:p>
        </w:tc>
        <w:tc>
          <w:tcPr>
            <w:tcW w:w="4526" w:type="dxa"/>
          </w:tcPr>
          <w:p w14:paraId="5EA8174F" w14:textId="77777777" w:rsidR="00AC2729" w:rsidRPr="00E637A7" w:rsidRDefault="00AC2729" w:rsidP="004D6BBE">
            <w:pPr>
              <w:pStyle w:val="Sraopastraipa"/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Pateikti 4 siūlymai dėl naujų rodiklių įtraukimo.</w:t>
            </w:r>
          </w:p>
          <w:p w14:paraId="53567A35" w14:textId="580E1A69" w:rsidR="00AC2729" w:rsidRPr="00E637A7" w:rsidRDefault="00AC2729" w:rsidP="004D6BBE">
            <w:pPr>
              <w:pStyle w:val="Sraopastraip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Siūlymai 3 siūlymai koreguoti veiksmus</w:t>
            </w:r>
          </w:p>
        </w:tc>
        <w:tc>
          <w:tcPr>
            <w:tcW w:w="2555" w:type="dxa"/>
          </w:tcPr>
          <w:p w14:paraId="5CD5686A" w14:textId="7A90C37D" w:rsidR="00AC2729" w:rsidRPr="00E637A7" w:rsidRDefault="00AC2729" w:rsidP="00211A52">
            <w:pPr>
              <w:pStyle w:val="Sraopastraipa"/>
              <w:numPr>
                <w:ilvl w:val="0"/>
                <w:numId w:val="4"/>
              </w:numPr>
              <w:tabs>
                <w:tab w:val="left" w:pos="178"/>
              </w:tabs>
              <w:ind w:left="-10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Neatsižvelgta, nes rodikliai Plane pateikiami efekto arba rezultato lygmens ir tik iš Vyriausybės programos arba NPP. Siūlomi rodikliai neatitinka dokumento logikos.</w:t>
            </w:r>
          </w:p>
          <w:p w14:paraId="379B300D" w14:textId="01A9740B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2729" w:rsidRPr="00E637A7" w14:paraId="2CB3A38E" w14:textId="77777777" w:rsidTr="00AC2729">
        <w:tc>
          <w:tcPr>
            <w:tcW w:w="562" w:type="dxa"/>
          </w:tcPr>
          <w:p w14:paraId="09A0406F" w14:textId="54A56240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985" w:type="dxa"/>
          </w:tcPr>
          <w:p w14:paraId="2B97C30F" w14:textId="7B626A98" w:rsidR="00AC2729" w:rsidRPr="00E637A7" w:rsidRDefault="00AC2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Lygių galimybių kontrolieriaus tarnyba</w:t>
            </w:r>
          </w:p>
        </w:tc>
        <w:tc>
          <w:tcPr>
            <w:tcW w:w="4526" w:type="dxa"/>
          </w:tcPr>
          <w:p w14:paraId="7822D05E" w14:textId="0C81CF33" w:rsidR="00AC2729" w:rsidRPr="00E637A7" w:rsidRDefault="00AC2729" w:rsidP="001F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1.10.7, 7.3.1 ir 7.3.2  (dėl priemonių jaunųjų trenerių pritraukimui į regionus ir jauniesiems ūkininkams prioriteto nuomojant valstybinę žemę) įvertinimo ar atitinka lygių galimybių užtikrinimo ir nediskriminavimo principus</w:t>
            </w:r>
          </w:p>
        </w:tc>
        <w:tc>
          <w:tcPr>
            <w:tcW w:w="2555" w:type="dxa"/>
          </w:tcPr>
          <w:p w14:paraId="6AA08FA5" w14:textId="22ADF509" w:rsidR="00AC2729" w:rsidRPr="00E637A7" w:rsidRDefault="0000167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Pastabos įvertintos, </w:t>
            </w:r>
            <w:r w:rsidRPr="000016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pozityvios diskriminacijos teisės šaltiniai bendrojoje žemės ūkio politikoje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0016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įtvirtinti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ET </w:t>
            </w:r>
            <w:r w:rsidRPr="000016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reglamentuose</w:t>
            </w:r>
          </w:p>
        </w:tc>
      </w:tr>
      <w:tr w:rsidR="00AC2729" w:rsidRPr="00E637A7" w14:paraId="4862F4AD" w14:textId="77777777" w:rsidTr="00AC2729">
        <w:tc>
          <w:tcPr>
            <w:tcW w:w="562" w:type="dxa"/>
          </w:tcPr>
          <w:p w14:paraId="6D782BA9" w14:textId="76398B9E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1985" w:type="dxa"/>
          </w:tcPr>
          <w:p w14:paraId="029646AC" w14:textId="63D49580" w:rsidR="00AC2729" w:rsidRPr="00E637A7" w:rsidRDefault="00AC2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statybininkų asociacija</w:t>
            </w:r>
          </w:p>
        </w:tc>
        <w:tc>
          <w:tcPr>
            <w:tcW w:w="4526" w:type="dxa"/>
          </w:tcPr>
          <w:p w14:paraId="5E5F4527" w14:textId="0490642F" w:rsidR="00AC2729" w:rsidRPr="00E637A7" w:rsidRDefault="00AC2729" w:rsidP="009A6CA7">
            <w:pPr>
              <w:pStyle w:val="Sraopastraipa"/>
              <w:numPr>
                <w:ilvl w:val="0"/>
                <w:numId w:val="2"/>
              </w:numPr>
              <w:tabs>
                <w:tab w:val="left" w:pos="362"/>
              </w:tabs>
              <w:ind w:left="0" w:firstLine="7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Nesutinka su veiksmu 1.8.5 „</w:t>
            </w:r>
            <w:proofErr w:type="spellStart"/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Įveiklinti</w:t>
            </w:r>
            <w:proofErr w:type="spellEnd"/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kompetencijų centrų sistemą, įgyvendinant nacionalinio mobilumo programą, užtikrinančią praktinio mokymo įgūdžių įgijimą sektoriniuose centruose ir PMĮ tinklaveiką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.“</w:t>
            </w:r>
          </w:p>
          <w:p w14:paraId="7055F2A2" w14:textId="50D88E0F" w:rsidR="00AC2729" w:rsidRPr="00E637A7" w:rsidRDefault="00AC2729" w:rsidP="006B1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Asociacijos nuomone, tik verslas turi vertinti kompetencijas, nes jie geriausiai žino rinkos poreikius.</w:t>
            </w:r>
          </w:p>
          <w:p w14:paraId="1ECEB4D6" w14:textId="77777777" w:rsidR="00AC2729" w:rsidRPr="00E637A7" w:rsidRDefault="00AC2729" w:rsidP="006B11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A21DDEB" w14:textId="01854287" w:rsidR="00AC2729" w:rsidRPr="00E637A7" w:rsidRDefault="00AC2729" w:rsidP="001F60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Prieštarauja Plano 5.2.14 veiksmui „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Priimti Statybos įstatymo pakeitimus ir įteisinti statybininko tapatybės identifikavimo (ID) kortelę, siekiant įgyvendinti skaidriai dirbančiojo tapatybės identifikavimo sistemos sukūrimo pirmąjį etapą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 Nesutinka, kad tokią priemonę turi įgyvendinti valstybė, o ne pati asociacija, kuri turi tam įrankį.</w:t>
            </w:r>
          </w:p>
        </w:tc>
        <w:tc>
          <w:tcPr>
            <w:tcW w:w="2555" w:type="dxa"/>
          </w:tcPr>
          <w:p w14:paraId="28884B5A" w14:textId="77777777" w:rsidR="00AC2729" w:rsidRDefault="000539A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Pastabos vertinamos SADM ir ŠMSM. </w:t>
            </w:r>
          </w:p>
          <w:p w14:paraId="604B6B5F" w14:textId="37FAB897" w:rsidR="000539AE" w:rsidRPr="00E637A7" w:rsidRDefault="000539A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2729" w:rsidRPr="00E637A7" w14:paraId="166E40DB" w14:textId="77777777" w:rsidTr="00AC2729">
        <w:tc>
          <w:tcPr>
            <w:tcW w:w="562" w:type="dxa"/>
          </w:tcPr>
          <w:p w14:paraId="65220FDE" w14:textId="6A541FE6" w:rsidR="00AC2729" w:rsidRPr="00E637A7" w:rsidRDefault="00AC2729" w:rsidP="00237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985" w:type="dxa"/>
          </w:tcPr>
          <w:p w14:paraId="17517089" w14:textId="362FDC45" w:rsidR="00AC2729" w:rsidRPr="00E637A7" w:rsidRDefault="00AC2729" w:rsidP="002372F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šilumos tiekėjų asociacija</w:t>
            </w:r>
          </w:p>
        </w:tc>
        <w:tc>
          <w:tcPr>
            <w:tcW w:w="4526" w:type="dxa"/>
          </w:tcPr>
          <w:p w14:paraId="2A56E986" w14:textId="401F0023" w:rsidR="00AC2729" w:rsidRPr="00E637A7" w:rsidRDefault="00AC2729" w:rsidP="00357F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Pateikė 3 pasiūlymus siekiant skatinti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centralizuotos šilumos tiekimo (CŠT) 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atnaujinimus koreguojant 5.8.7, 6.26 ir 6.2.7 veiksmus.</w:t>
            </w:r>
          </w:p>
        </w:tc>
        <w:tc>
          <w:tcPr>
            <w:tcW w:w="2555" w:type="dxa"/>
          </w:tcPr>
          <w:p w14:paraId="63498488" w14:textId="09616E1A" w:rsidR="00AC2729" w:rsidRPr="00E637A7" w:rsidRDefault="00C426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vertinamos kartu su AM</w:t>
            </w:r>
          </w:p>
        </w:tc>
      </w:tr>
      <w:tr w:rsidR="00AC2729" w:rsidRPr="00E637A7" w14:paraId="046C5667" w14:textId="77777777" w:rsidTr="00AC2729">
        <w:tc>
          <w:tcPr>
            <w:tcW w:w="562" w:type="dxa"/>
          </w:tcPr>
          <w:p w14:paraId="12308E0F" w14:textId="3B723F25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985" w:type="dxa"/>
          </w:tcPr>
          <w:p w14:paraId="0DF144CD" w14:textId="66C79874" w:rsidR="00AC2729" w:rsidRPr="00E637A7" w:rsidRDefault="00AC27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jaunųjų ūkininkų ir jaunimo sąjunga</w:t>
            </w:r>
          </w:p>
        </w:tc>
        <w:tc>
          <w:tcPr>
            <w:tcW w:w="4526" w:type="dxa"/>
          </w:tcPr>
          <w:p w14:paraId="7BE93560" w14:textId="428D47FF" w:rsidR="00AC2729" w:rsidRPr="00E637A7" w:rsidRDefault="00AC2729" w:rsidP="00CE7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Pateikia argumentus, kuriais remiantis prašoma papildyti Planą veiksmais skirtais jauniesiems ūkininkams remti.</w:t>
            </w:r>
          </w:p>
        </w:tc>
        <w:tc>
          <w:tcPr>
            <w:tcW w:w="2555" w:type="dxa"/>
          </w:tcPr>
          <w:p w14:paraId="3CB199F6" w14:textId="59F0CA09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Atsižvelgta iš dalies – 7.3.1 ir 7.3.2 veiksmai skirti būtent tiems aspektams gerinti, kurie minimi rašte. </w:t>
            </w:r>
          </w:p>
        </w:tc>
      </w:tr>
      <w:tr w:rsidR="00AC2729" w:rsidRPr="00E637A7" w14:paraId="40A290F9" w14:textId="77777777" w:rsidTr="00AC2729">
        <w:tc>
          <w:tcPr>
            <w:tcW w:w="562" w:type="dxa"/>
          </w:tcPr>
          <w:p w14:paraId="3A7CDDE6" w14:textId="763CD434" w:rsidR="00AC2729" w:rsidRPr="00E637A7" w:rsidRDefault="00865DC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985" w:type="dxa"/>
          </w:tcPr>
          <w:p w14:paraId="605523D4" w14:textId="3ABC60C5" w:rsidR="00AC2729" w:rsidRPr="00E637A7" w:rsidRDefault="00865D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Nacionalinis švietimo NVO tinklas</w:t>
            </w:r>
          </w:p>
        </w:tc>
        <w:tc>
          <w:tcPr>
            <w:tcW w:w="4526" w:type="dxa"/>
          </w:tcPr>
          <w:p w14:paraId="3D4C6A50" w14:textId="77777777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5" w:type="dxa"/>
          </w:tcPr>
          <w:p w14:paraId="379740ED" w14:textId="7F8B2629" w:rsidR="00AC2729" w:rsidRPr="00E637A7" w:rsidRDefault="00C426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Pastabos įvertintos </w:t>
            </w:r>
          </w:p>
        </w:tc>
      </w:tr>
      <w:tr w:rsidR="00AC2729" w:rsidRPr="00E637A7" w14:paraId="02808F28" w14:textId="77777777" w:rsidTr="00AC2729">
        <w:tc>
          <w:tcPr>
            <w:tcW w:w="562" w:type="dxa"/>
          </w:tcPr>
          <w:p w14:paraId="00149FE7" w14:textId="3F68B415" w:rsidR="00AC2729" w:rsidRPr="00E637A7" w:rsidRDefault="000D541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1985" w:type="dxa"/>
          </w:tcPr>
          <w:p w14:paraId="61FF603D" w14:textId="7FA99E75" w:rsidR="00AC2729" w:rsidRPr="00E637A7" w:rsidRDefault="00AC676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VšĮ "Investuok Lietuvoje"</w:t>
            </w:r>
          </w:p>
        </w:tc>
        <w:tc>
          <w:tcPr>
            <w:tcW w:w="4526" w:type="dxa"/>
          </w:tcPr>
          <w:p w14:paraId="60B36620" w14:textId="77777777" w:rsidR="00AC2729" w:rsidRPr="00E637A7" w:rsidRDefault="00525626" w:rsidP="00525626">
            <w:pPr>
              <w:pStyle w:val="Sraopastraipa"/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Pateikė 3 pasiūlymus dėl regionų kompetencijų centrų kūrimo, </w:t>
            </w:r>
          </w:p>
          <w:p w14:paraId="1D1BF7DA" w14:textId="51B449EA" w:rsidR="0097030D" w:rsidRPr="00E637A7" w:rsidRDefault="0097030D" w:rsidP="00525626">
            <w:pPr>
              <w:pStyle w:val="Sraopastraipa"/>
              <w:numPr>
                <w:ilvl w:val="0"/>
                <w:numId w:val="5"/>
              </w:numPr>
              <w:tabs>
                <w:tab w:val="left" w:pos="31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Siūlymas d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ėl 1.5. Vyriausybės programos projekto – pasaulinio lygio mokslas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įtraukti veiksmą „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Atnaujinta ir papildyta mokslo ir studijų institucijų (MSI) infrastruktūra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  <w:tc>
          <w:tcPr>
            <w:tcW w:w="2555" w:type="dxa"/>
          </w:tcPr>
          <w:p w14:paraId="55002B0E" w14:textId="64FA9144" w:rsidR="00AC2729" w:rsidRPr="00E637A7" w:rsidRDefault="00E903A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Pastabos įvertintos. Manome, kad esami veiksmai nors apibendrintai atliepia pateiktus siūlymus </w:t>
            </w:r>
          </w:p>
        </w:tc>
      </w:tr>
      <w:tr w:rsidR="00AC2729" w:rsidRPr="00E637A7" w14:paraId="0187C7EA" w14:textId="77777777" w:rsidTr="00AC2729">
        <w:tc>
          <w:tcPr>
            <w:tcW w:w="562" w:type="dxa"/>
          </w:tcPr>
          <w:p w14:paraId="69B2D1B6" w14:textId="78F6A1A3" w:rsidR="00AC2729" w:rsidRPr="00E637A7" w:rsidRDefault="00442CD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12. </w:t>
            </w:r>
          </w:p>
        </w:tc>
        <w:tc>
          <w:tcPr>
            <w:tcW w:w="1985" w:type="dxa"/>
          </w:tcPr>
          <w:p w14:paraId="3D9CC76A" w14:textId="39FB675F" w:rsidR="00AC2729" w:rsidRPr="00BC7AFB" w:rsidRDefault="00442C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C7A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miško ir žemės savininkų asociacija</w:t>
            </w:r>
          </w:p>
        </w:tc>
        <w:tc>
          <w:tcPr>
            <w:tcW w:w="4526" w:type="dxa"/>
          </w:tcPr>
          <w:p w14:paraId="429B094C" w14:textId="59207764" w:rsidR="00AC2729" w:rsidRPr="00E637A7" w:rsidRDefault="00442CD8" w:rsidP="007758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Siūlyta papildyti Aplinkos ministerijos 6.4.1, 6.4.2 ir 6.4.4. veiksmus dėl žaliojo kurso ir 5.9.2. bei 5.9.7. ŽŪM veiksmus skirtus r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emti pažangias technologijas, skaitmeninimą ir kitus išmaniuosius verslo valdymo sprendinius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plėtojant kooperaciją, kad investicijos galėtų būti skirtos ir miško</w:t>
            </w:r>
            <w:r w:rsidR="00775886"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savininkams ne tik žemės ūkio ir žuvininkystės srityse.</w:t>
            </w:r>
          </w:p>
        </w:tc>
        <w:tc>
          <w:tcPr>
            <w:tcW w:w="2555" w:type="dxa"/>
          </w:tcPr>
          <w:p w14:paraId="50C06FA4" w14:textId="3F2440C2" w:rsidR="00AC2729" w:rsidRPr="00E637A7" w:rsidRDefault="0077588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Pastabos aptartos ir su ŽŪM ir su AM. </w:t>
            </w:r>
            <w:r w:rsidR="00442CD8"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Atsižvelgta iš dalies</w:t>
            </w:r>
            <w:r w:rsidRPr="00E637A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papildytas 6.4.4 veiksmas </w:t>
            </w:r>
          </w:p>
        </w:tc>
      </w:tr>
      <w:tr w:rsidR="00AC2729" w:rsidRPr="00E637A7" w14:paraId="6759C50F" w14:textId="77777777" w:rsidTr="00AC2729">
        <w:tc>
          <w:tcPr>
            <w:tcW w:w="562" w:type="dxa"/>
          </w:tcPr>
          <w:p w14:paraId="605C4A4B" w14:textId="1286CAD1" w:rsidR="00AC2729" w:rsidRPr="00E637A7" w:rsidRDefault="00BC7AF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1985" w:type="dxa"/>
          </w:tcPr>
          <w:p w14:paraId="16E5A5CA" w14:textId="6AFEB985" w:rsidR="00AC2729" w:rsidRPr="00F24303" w:rsidRDefault="000539AE" w:rsidP="00F24303">
            <w:pPr>
              <w:ind w:right="-10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539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Žemės ūkio rūmų Taryba</w:t>
            </w:r>
          </w:p>
        </w:tc>
        <w:tc>
          <w:tcPr>
            <w:tcW w:w="4526" w:type="dxa"/>
          </w:tcPr>
          <w:p w14:paraId="03160656" w14:textId="770079F4" w:rsidR="00AC2729" w:rsidRPr="00E637A7" w:rsidRDefault="000539A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Pateikta 17 pastabų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5, 6 ir 7 prioriteto veiksmams, prašant tikslinti formuluotes ir papildyti naujais veiksmais  </w:t>
            </w:r>
          </w:p>
        </w:tc>
        <w:tc>
          <w:tcPr>
            <w:tcW w:w="2555" w:type="dxa"/>
          </w:tcPr>
          <w:p w14:paraId="7EFDBD72" w14:textId="620264F5" w:rsidR="00AC2729" w:rsidRPr="00E637A7" w:rsidRDefault="000539A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Pastabos </w:t>
            </w:r>
            <w:r w:rsidR="00B915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</w:t>
            </w:r>
            <w:r w:rsidR="00B915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ŽŪM</w:t>
            </w:r>
            <w:r w:rsidR="00B915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atsižvelgta iš dalies</w:t>
            </w:r>
          </w:p>
        </w:tc>
      </w:tr>
      <w:tr w:rsidR="00AC2729" w:rsidRPr="00E637A7" w14:paraId="54BF48A6" w14:textId="77777777" w:rsidTr="00AC2729">
        <w:tc>
          <w:tcPr>
            <w:tcW w:w="562" w:type="dxa"/>
          </w:tcPr>
          <w:p w14:paraId="07BFCDC1" w14:textId="7A2551D7" w:rsidR="00AC2729" w:rsidRPr="00E637A7" w:rsidRDefault="00854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1985" w:type="dxa"/>
          </w:tcPr>
          <w:p w14:paraId="42503DDD" w14:textId="7A260A99" w:rsidR="00AC2729" w:rsidRPr="00854733" w:rsidRDefault="00854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547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gėjų lyga</w:t>
            </w:r>
          </w:p>
        </w:tc>
        <w:tc>
          <w:tcPr>
            <w:tcW w:w="4526" w:type="dxa"/>
          </w:tcPr>
          <w:p w14:paraId="1B62124A" w14:textId="77777777" w:rsidR="00AC2729" w:rsidRPr="00E637A7" w:rsidRDefault="00AC272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5" w:type="dxa"/>
          </w:tcPr>
          <w:p w14:paraId="1C6473E8" w14:textId="434A8B30" w:rsidR="00AC2729" w:rsidRPr="00E637A7" w:rsidRDefault="00C426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vertinamos</w:t>
            </w:r>
          </w:p>
        </w:tc>
      </w:tr>
      <w:tr w:rsidR="00AC2729" w:rsidRPr="00E637A7" w14:paraId="1478EE05" w14:textId="77777777" w:rsidTr="00AC2729">
        <w:tc>
          <w:tcPr>
            <w:tcW w:w="562" w:type="dxa"/>
          </w:tcPr>
          <w:p w14:paraId="494330BC" w14:textId="21DCE59C" w:rsidR="00AC2729" w:rsidRPr="00E637A7" w:rsidRDefault="00854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15. </w:t>
            </w:r>
          </w:p>
        </w:tc>
        <w:tc>
          <w:tcPr>
            <w:tcW w:w="1985" w:type="dxa"/>
          </w:tcPr>
          <w:p w14:paraId="03EA7598" w14:textId="418B75C8" w:rsidR="00AC2729" w:rsidRPr="00800939" w:rsidRDefault="008009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009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negalios organizacijų forumas</w:t>
            </w:r>
          </w:p>
        </w:tc>
        <w:tc>
          <w:tcPr>
            <w:tcW w:w="4526" w:type="dxa"/>
          </w:tcPr>
          <w:p w14:paraId="54AE0BE1" w14:textId="143605A3" w:rsidR="00AC2729" w:rsidRPr="001635DB" w:rsidRDefault="00800939" w:rsidP="00CF2A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Pateikia pastabas dėl </w:t>
            </w:r>
            <w:r w:rsidRPr="008009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 prioriteto – vienodos starto pozicijos visiems Lietuvos žmonėms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veiksmų: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1.1.1, 1.2.2., 1.2.5, 1.2.7, 1.2.8, 12.10, 1.2.11, 1.3.7, 1.6.4, 1.9.6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siekiant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įgyvendinant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veiksmus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užtikrintas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įtraukusis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švietimas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atliepti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negalią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turinčių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asmenų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poreiki</w:t>
            </w:r>
            <w:r w:rsidR="001635DB">
              <w:rPr>
                <w:rFonts w:ascii="Calibri" w:hAnsi="Calibri" w:cs="Calibri"/>
                <w:sz w:val="24"/>
                <w:szCs w:val="24"/>
              </w:rPr>
              <w:t>ai</w:t>
            </w:r>
            <w:proofErr w:type="spellEnd"/>
            <w:r w:rsidR="001635DB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proofErr w:type="spellStart"/>
            <w:r w:rsidR="001635DB">
              <w:rPr>
                <w:rFonts w:ascii="Calibri" w:hAnsi="Calibri" w:cs="Calibri"/>
                <w:sz w:val="24"/>
                <w:szCs w:val="24"/>
              </w:rPr>
              <w:t>Taip</w:t>
            </w:r>
            <w:proofErr w:type="spellEnd"/>
            <w:r w:rsidR="001635DB">
              <w:rPr>
                <w:rFonts w:ascii="Calibri" w:hAnsi="Calibri" w:cs="Calibri"/>
                <w:sz w:val="24"/>
                <w:szCs w:val="24"/>
              </w:rPr>
              <w:t xml:space="preserve"> pat </w:t>
            </w:r>
            <w:proofErr w:type="spellStart"/>
            <w:r w:rsidR="001635DB">
              <w:rPr>
                <w:rFonts w:ascii="Calibri" w:hAnsi="Calibri" w:cs="Calibri"/>
                <w:sz w:val="24"/>
                <w:szCs w:val="24"/>
              </w:rPr>
              <w:t>pateikti</w:t>
            </w:r>
            <w:proofErr w:type="spellEnd"/>
            <w:r w:rsidR="001635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635DB">
              <w:rPr>
                <w:rFonts w:ascii="Calibri" w:hAnsi="Calibri" w:cs="Calibri"/>
                <w:sz w:val="24"/>
                <w:szCs w:val="24"/>
              </w:rPr>
              <w:t>siūlymai</w:t>
            </w:r>
            <w:proofErr w:type="spellEnd"/>
            <w:r w:rsidR="001635D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635DB">
              <w:rPr>
                <w:rFonts w:ascii="Calibri" w:hAnsi="Calibri" w:cs="Calibri"/>
                <w:sz w:val="24"/>
                <w:szCs w:val="24"/>
              </w:rPr>
              <w:t>dėl</w:t>
            </w:r>
            <w:proofErr w:type="spellEnd"/>
            <w:r w:rsidR="001635DB">
              <w:rPr>
                <w:rFonts w:ascii="Calibri" w:hAnsi="Calibri" w:cs="Calibri"/>
                <w:sz w:val="24"/>
                <w:szCs w:val="24"/>
              </w:rPr>
              <w:t xml:space="preserve"> 2.6.12, 3.1.3, 3.1.11,3.2.3, 3.2.5, 3.3.4, 3.4.1, 4.2.1, 4.5.5, 5.2.4</w:t>
            </w:r>
            <w:proofErr w:type="gramStart"/>
            <w:r w:rsidR="001635DB">
              <w:rPr>
                <w:rFonts w:ascii="Calibri" w:hAnsi="Calibri" w:cs="Calibri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5.7.4</w:t>
            </w:r>
            <w:proofErr w:type="gramEnd"/>
            <w:r w:rsidR="00163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35DB">
              <w:rPr>
                <w:rFonts w:ascii="Times New Roman" w:hAnsi="Times New Roman" w:cs="Times New Roman"/>
                <w:sz w:val="24"/>
                <w:szCs w:val="24"/>
              </w:rPr>
              <w:t>veiksm</w:t>
            </w:r>
            <w:proofErr w:type="spellEnd"/>
            <w:r w:rsidR="001635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ų, kad juos įgyvendinant būtų užtikrinamas paslaugų ir infrastruktūros prieinamumas neįgaliesiems. Be to, atkreipia dėmesį, kad visos </w:t>
            </w:r>
            <w:proofErr w:type="spellStart"/>
            <w:r w:rsidR="001635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skaitmenizacijos</w:t>
            </w:r>
            <w:proofErr w:type="spellEnd"/>
            <w:r w:rsidR="001635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priemonės </w:t>
            </w:r>
            <w:r w:rsidR="001635DB" w:rsidRPr="001635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atliepti įvairių negalių grupių poreikius dėl informacijos ir paslaugų prieinamumo</w:t>
            </w:r>
            <w:r w:rsidR="00CF2A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635DB" w:rsidRPr="001635D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užtikrinimo</w:t>
            </w:r>
            <w:r w:rsidR="00CF2A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555" w:type="dxa"/>
          </w:tcPr>
          <w:p w14:paraId="340A9167" w14:textId="066066F5" w:rsidR="00AC2729" w:rsidRPr="00E637A7" w:rsidRDefault="005A2C5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Siūlymai įvertinti ir persiųsti atitinkamoms ministerijoms, kad būtų tinkamai įvertinti įgyvendinant Plano veiksmus</w:t>
            </w:r>
          </w:p>
        </w:tc>
      </w:tr>
      <w:tr w:rsidR="00854733" w:rsidRPr="00E637A7" w14:paraId="6677F69B" w14:textId="77777777" w:rsidTr="00AC2729">
        <w:tc>
          <w:tcPr>
            <w:tcW w:w="562" w:type="dxa"/>
          </w:tcPr>
          <w:p w14:paraId="21C3B642" w14:textId="5ACB5285" w:rsidR="00854733" w:rsidRPr="00460B19" w:rsidRDefault="00460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</w:tcPr>
          <w:p w14:paraId="6C33CD0D" w14:textId="08034DC1" w:rsidR="00854733" w:rsidRPr="00460B19" w:rsidRDefault="00460B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60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Informacinių ryšių ir technologijų (toliau – IRT)</w:t>
            </w:r>
            <w:r w:rsidR="00C42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460B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sektoriaus asociacija INFOBALT</w:t>
            </w:r>
          </w:p>
        </w:tc>
        <w:tc>
          <w:tcPr>
            <w:tcW w:w="4526" w:type="dxa"/>
          </w:tcPr>
          <w:p w14:paraId="1A4E6C14" w14:textId="77777777" w:rsidR="00854733" w:rsidRPr="00E637A7" w:rsidRDefault="00854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5" w:type="dxa"/>
          </w:tcPr>
          <w:p w14:paraId="4D94F496" w14:textId="3CA5BC52" w:rsidR="00854733" w:rsidRPr="00E637A7" w:rsidRDefault="00C426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vertinamos</w:t>
            </w:r>
          </w:p>
        </w:tc>
      </w:tr>
      <w:tr w:rsidR="00854733" w:rsidRPr="00E637A7" w14:paraId="31558BD2" w14:textId="77777777" w:rsidTr="00AC2729">
        <w:tc>
          <w:tcPr>
            <w:tcW w:w="562" w:type="dxa"/>
          </w:tcPr>
          <w:p w14:paraId="2D3D5A6B" w14:textId="3914193E" w:rsidR="00854733" w:rsidRPr="00E637A7" w:rsidRDefault="002114D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17. </w:t>
            </w:r>
          </w:p>
        </w:tc>
        <w:tc>
          <w:tcPr>
            <w:tcW w:w="1985" w:type="dxa"/>
          </w:tcPr>
          <w:p w14:paraId="25C2862D" w14:textId="6D692713" w:rsidR="00854733" w:rsidRPr="002114DC" w:rsidRDefault="0021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114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VšĮ „Bendruomenių universitetas“</w:t>
            </w:r>
          </w:p>
        </w:tc>
        <w:tc>
          <w:tcPr>
            <w:tcW w:w="4526" w:type="dxa"/>
          </w:tcPr>
          <w:p w14:paraId="32A234E1" w14:textId="77777777" w:rsidR="00854733" w:rsidRPr="00E637A7" w:rsidRDefault="00854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5" w:type="dxa"/>
          </w:tcPr>
          <w:p w14:paraId="13D36EFD" w14:textId="62ADE43C" w:rsidR="00854733" w:rsidRPr="00E637A7" w:rsidRDefault="00C426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vertinamos</w:t>
            </w:r>
          </w:p>
        </w:tc>
      </w:tr>
      <w:tr w:rsidR="00854733" w:rsidRPr="00E637A7" w14:paraId="34D7BCD1" w14:textId="77777777" w:rsidTr="00AC2729">
        <w:tc>
          <w:tcPr>
            <w:tcW w:w="562" w:type="dxa"/>
          </w:tcPr>
          <w:p w14:paraId="563C318B" w14:textId="2D8EB009" w:rsidR="00854733" w:rsidRPr="00E637A7" w:rsidRDefault="001A0B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1985" w:type="dxa"/>
          </w:tcPr>
          <w:p w14:paraId="5E458466" w14:textId="7CBEDAA6" w:rsidR="00854733" w:rsidRPr="001A0B5A" w:rsidRDefault="002114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A0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socialinio verslo asociacija</w:t>
            </w:r>
          </w:p>
        </w:tc>
        <w:tc>
          <w:tcPr>
            <w:tcW w:w="4526" w:type="dxa"/>
          </w:tcPr>
          <w:p w14:paraId="2BF53444" w14:textId="77777777" w:rsidR="00854733" w:rsidRPr="00E637A7" w:rsidRDefault="0085473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5" w:type="dxa"/>
          </w:tcPr>
          <w:p w14:paraId="78E2EE2A" w14:textId="4419BC6B" w:rsidR="00854733" w:rsidRPr="00E637A7" w:rsidRDefault="00C426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vertinamos</w:t>
            </w:r>
          </w:p>
        </w:tc>
      </w:tr>
      <w:tr w:rsidR="00854733" w:rsidRPr="00E637A7" w14:paraId="18FAA2FF" w14:textId="77777777" w:rsidTr="00AC2729">
        <w:tc>
          <w:tcPr>
            <w:tcW w:w="562" w:type="dxa"/>
          </w:tcPr>
          <w:p w14:paraId="3E1D1C17" w14:textId="100516C1" w:rsidR="00854733" w:rsidRPr="00E637A7" w:rsidRDefault="001A0B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1985" w:type="dxa"/>
          </w:tcPr>
          <w:p w14:paraId="7DCB836E" w14:textId="4293FA66" w:rsidR="00854733" w:rsidRPr="001A0B5A" w:rsidRDefault="003A40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A0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Moterų lobistinė organizacija</w:t>
            </w:r>
          </w:p>
        </w:tc>
        <w:tc>
          <w:tcPr>
            <w:tcW w:w="4526" w:type="dxa"/>
          </w:tcPr>
          <w:p w14:paraId="037E1471" w14:textId="7CED4E5C" w:rsidR="00854733" w:rsidRPr="00E637A7" w:rsidRDefault="004C773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Pateiktos pastabos 3 prioriteto veiksmams. </w:t>
            </w:r>
          </w:p>
        </w:tc>
        <w:tc>
          <w:tcPr>
            <w:tcW w:w="2555" w:type="dxa"/>
          </w:tcPr>
          <w:p w14:paraId="16E2E1BC" w14:textId="2A5E40EB" w:rsidR="00854733" w:rsidRPr="00E637A7" w:rsidRDefault="00C426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Pastabos vertinamos</w:t>
            </w:r>
          </w:p>
        </w:tc>
      </w:tr>
      <w:tr w:rsidR="001A0B5A" w:rsidRPr="00E637A7" w14:paraId="334D8282" w14:textId="77777777" w:rsidTr="00AC2729">
        <w:tc>
          <w:tcPr>
            <w:tcW w:w="562" w:type="dxa"/>
          </w:tcPr>
          <w:p w14:paraId="4FFFFE50" w14:textId="417683E9" w:rsidR="001A0B5A" w:rsidRDefault="00001D7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1985" w:type="dxa"/>
          </w:tcPr>
          <w:p w14:paraId="2ACC2239" w14:textId="39335607" w:rsidR="001A0B5A" w:rsidRPr="00001D72" w:rsidRDefault="00001D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01D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bankas</w:t>
            </w:r>
          </w:p>
        </w:tc>
        <w:tc>
          <w:tcPr>
            <w:tcW w:w="4526" w:type="dxa"/>
          </w:tcPr>
          <w:p w14:paraId="7449B268" w14:textId="78564B60" w:rsidR="001A0B5A" w:rsidRDefault="006046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Pateiktos pastabos dėl rodiklių, kad ne visos sritys yra „padengtos“ rodikliais, be to pateikti pasiūlymai dėl papildomų veiksmų 9 (</w:t>
            </w:r>
            <w:r w:rsidRPr="006046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Visuomenės poreikius atitinkantis viešasis sektorius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6046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10 prioritetui (</w:t>
            </w:r>
            <w:r w:rsidRPr="006046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Atsakinga finansų politika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555" w:type="dxa"/>
          </w:tcPr>
          <w:p w14:paraId="4A4E277B" w14:textId="53EA7691" w:rsidR="001A0B5A" w:rsidRPr="00E637A7" w:rsidRDefault="0060469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Pastabos vertinamos </w:t>
            </w:r>
          </w:p>
        </w:tc>
      </w:tr>
      <w:tr w:rsidR="001A0B5A" w:rsidRPr="00E637A7" w14:paraId="1B8D8221" w14:textId="77777777" w:rsidTr="00AC2729">
        <w:tc>
          <w:tcPr>
            <w:tcW w:w="562" w:type="dxa"/>
          </w:tcPr>
          <w:p w14:paraId="1FDEB04C" w14:textId="37F68970" w:rsidR="001A0B5A" w:rsidRPr="00C4267C" w:rsidRDefault="00C42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2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21.</w:t>
            </w:r>
          </w:p>
        </w:tc>
        <w:tc>
          <w:tcPr>
            <w:tcW w:w="1985" w:type="dxa"/>
          </w:tcPr>
          <w:p w14:paraId="3D1E19F8" w14:textId="5E33D202" w:rsidR="001A0B5A" w:rsidRPr="00C4267C" w:rsidRDefault="00C426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42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AB „</w:t>
            </w:r>
            <w:proofErr w:type="spellStart"/>
            <w:r w:rsidRPr="00C42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Ignitis</w:t>
            </w:r>
            <w:proofErr w:type="spellEnd"/>
            <w:r w:rsidRPr="00C42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gamyba</w:t>
            </w:r>
            <w:r w:rsidRPr="00C426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</w:tc>
        <w:tc>
          <w:tcPr>
            <w:tcW w:w="4526" w:type="dxa"/>
          </w:tcPr>
          <w:p w14:paraId="46D70813" w14:textId="77777777" w:rsidR="001A0B5A" w:rsidRDefault="001A0B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5" w:type="dxa"/>
          </w:tcPr>
          <w:p w14:paraId="425D9798" w14:textId="5C052267" w:rsidR="001A0B5A" w:rsidRPr="00E637A7" w:rsidRDefault="00C4267C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Pastabas vertina EM</w:t>
            </w:r>
          </w:p>
        </w:tc>
      </w:tr>
      <w:tr w:rsidR="001A0B5A" w:rsidRPr="00E637A7" w14:paraId="789FD389" w14:textId="77777777" w:rsidTr="00AC2729">
        <w:tc>
          <w:tcPr>
            <w:tcW w:w="562" w:type="dxa"/>
          </w:tcPr>
          <w:p w14:paraId="16D6E8D5" w14:textId="77777777" w:rsidR="001A0B5A" w:rsidRDefault="001A0B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4DAF038D" w14:textId="77777777" w:rsidR="001A0B5A" w:rsidRPr="003A40A2" w:rsidRDefault="001A0B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526" w:type="dxa"/>
          </w:tcPr>
          <w:p w14:paraId="4E281FB3" w14:textId="77777777" w:rsidR="001A0B5A" w:rsidRDefault="001A0B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5" w:type="dxa"/>
          </w:tcPr>
          <w:p w14:paraId="7454E9F2" w14:textId="77777777" w:rsidR="001A0B5A" w:rsidRPr="00E637A7" w:rsidRDefault="001A0B5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5CAEF53" w14:textId="77777777" w:rsidR="00341602" w:rsidRPr="00E637A7" w:rsidRDefault="00341602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341602" w:rsidRPr="00E637A7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837C9"/>
    <w:multiLevelType w:val="hybridMultilevel"/>
    <w:tmpl w:val="ED22B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26945"/>
    <w:multiLevelType w:val="hybridMultilevel"/>
    <w:tmpl w:val="0F186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06264"/>
    <w:multiLevelType w:val="hybridMultilevel"/>
    <w:tmpl w:val="5F442AD4"/>
    <w:lvl w:ilvl="0" w:tplc="A35EDFEE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F2BC8"/>
    <w:multiLevelType w:val="hybridMultilevel"/>
    <w:tmpl w:val="69543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75DC"/>
    <w:multiLevelType w:val="hybridMultilevel"/>
    <w:tmpl w:val="E74CE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87A13"/>
    <w:multiLevelType w:val="hybridMultilevel"/>
    <w:tmpl w:val="F6A22D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02"/>
    <w:rsid w:val="0000167B"/>
    <w:rsid w:val="00001D72"/>
    <w:rsid w:val="000539AE"/>
    <w:rsid w:val="0006406D"/>
    <w:rsid w:val="000749A3"/>
    <w:rsid w:val="00080A70"/>
    <w:rsid w:val="000C4092"/>
    <w:rsid w:val="000D37B0"/>
    <w:rsid w:val="000D5416"/>
    <w:rsid w:val="00103844"/>
    <w:rsid w:val="00114986"/>
    <w:rsid w:val="00122A1F"/>
    <w:rsid w:val="00130FC9"/>
    <w:rsid w:val="001635DB"/>
    <w:rsid w:val="00193508"/>
    <w:rsid w:val="001A0B5A"/>
    <w:rsid w:val="001A76DD"/>
    <w:rsid w:val="001B465F"/>
    <w:rsid w:val="001F6001"/>
    <w:rsid w:val="002114DC"/>
    <w:rsid w:val="00211A52"/>
    <w:rsid w:val="0022588B"/>
    <w:rsid w:val="002372FD"/>
    <w:rsid w:val="0027082D"/>
    <w:rsid w:val="002E2D80"/>
    <w:rsid w:val="002E39EB"/>
    <w:rsid w:val="00305ACD"/>
    <w:rsid w:val="00341602"/>
    <w:rsid w:val="00355858"/>
    <w:rsid w:val="00357F5B"/>
    <w:rsid w:val="003629D7"/>
    <w:rsid w:val="003A40A2"/>
    <w:rsid w:val="003F09D1"/>
    <w:rsid w:val="00442CD8"/>
    <w:rsid w:val="00460B19"/>
    <w:rsid w:val="00473AE2"/>
    <w:rsid w:val="004C773E"/>
    <w:rsid w:val="004D3059"/>
    <w:rsid w:val="004D6BBE"/>
    <w:rsid w:val="0051638C"/>
    <w:rsid w:val="00525626"/>
    <w:rsid w:val="00527B47"/>
    <w:rsid w:val="00552720"/>
    <w:rsid w:val="005540E2"/>
    <w:rsid w:val="005A2C58"/>
    <w:rsid w:val="005F6591"/>
    <w:rsid w:val="005F6C3D"/>
    <w:rsid w:val="0060469A"/>
    <w:rsid w:val="006A6102"/>
    <w:rsid w:val="006B1109"/>
    <w:rsid w:val="006E4740"/>
    <w:rsid w:val="007037E9"/>
    <w:rsid w:val="00775886"/>
    <w:rsid w:val="007A3B29"/>
    <w:rsid w:val="00800939"/>
    <w:rsid w:val="00813071"/>
    <w:rsid w:val="00820D87"/>
    <w:rsid w:val="00854733"/>
    <w:rsid w:val="00865DCC"/>
    <w:rsid w:val="00877BDD"/>
    <w:rsid w:val="008E3B48"/>
    <w:rsid w:val="00941361"/>
    <w:rsid w:val="0097030D"/>
    <w:rsid w:val="00983FC4"/>
    <w:rsid w:val="009A6CA7"/>
    <w:rsid w:val="00A65AD9"/>
    <w:rsid w:val="00AC2729"/>
    <w:rsid w:val="00AC6764"/>
    <w:rsid w:val="00B611EC"/>
    <w:rsid w:val="00B915B0"/>
    <w:rsid w:val="00BC7AFB"/>
    <w:rsid w:val="00BF6074"/>
    <w:rsid w:val="00C4267C"/>
    <w:rsid w:val="00C605C7"/>
    <w:rsid w:val="00C96281"/>
    <w:rsid w:val="00CE5DBC"/>
    <w:rsid w:val="00CE78C9"/>
    <w:rsid w:val="00CF2AEE"/>
    <w:rsid w:val="00D212E8"/>
    <w:rsid w:val="00D44F22"/>
    <w:rsid w:val="00D87E00"/>
    <w:rsid w:val="00DB38AD"/>
    <w:rsid w:val="00DE68B6"/>
    <w:rsid w:val="00E637A7"/>
    <w:rsid w:val="00E6640D"/>
    <w:rsid w:val="00E903A4"/>
    <w:rsid w:val="00EC3C6F"/>
    <w:rsid w:val="00EE7B2D"/>
    <w:rsid w:val="00F06692"/>
    <w:rsid w:val="00F2299B"/>
    <w:rsid w:val="00F24303"/>
    <w:rsid w:val="00F67D4E"/>
    <w:rsid w:val="00F97614"/>
    <w:rsid w:val="00FC3D4E"/>
    <w:rsid w:val="00FD59CD"/>
    <w:rsid w:val="00FE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912A"/>
  <w15:chartTrackingRefBased/>
  <w15:docId w15:val="{06EB5B79-9D62-497B-B659-D49D3B17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41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602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B1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FCE3E961440D4E9C27D70EA357629E" ma:contentTypeVersion="5" ma:contentTypeDescription="Kurkite naują dokumentą." ma:contentTypeScope="" ma:versionID="5cf82231f18c67d198257b36b4499423">
  <xsd:schema xmlns:xsd="http://www.w3.org/2001/XMLSchema" xmlns:xs="http://www.w3.org/2001/XMLSchema" xmlns:p="http://schemas.microsoft.com/office/2006/metadata/properties" xmlns:ns3="4263f594-9cf9-4ed8-abfe-102285c869b1" xmlns:ns4="15419df8-2c43-4ddd-81e5-d9379ced8e17" targetNamespace="http://schemas.microsoft.com/office/2006/metadata/properties" ma:root="true" ma:fieldsID="b3465271bccb2f029d6a6b729701276b" ns3:_="" ns4:_="">
    <xsd:import namespace="4263f594-9cf9-4ed8-abfe-102285c869b1"/>
    <xsd:import namespace="15419df8-2c43-4ddd-81e5-d9379ced8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3f594-9cf9-4ed8-abfe-102285c86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9df8-2c43-4ddd-81e5-d9379ced8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1BAB40-B34B-4E9E-9A28-F5BB6544E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3f594-9cf9-4ed8-abfe-102285c869b1"/>
    <ds:schemaRef ds:uri="15419df8-2c43-4ddd-81e5-d9379ced8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82F9A-9F5B-40E8-82A2-AD34B7E3A7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1E42E-BE57-404A-BFEF-E46AA8610B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Budzevičienė</dc:creator>
  <cp:keywords/>
  <dc:description/>
  <cp:lastModifiedBy>Vaida Budzevičienė</cp:lastModifiedBy>
  <cp:revision>103</cp:revision>
  <cp:lastPrinted>2021-03-09T07:27:00Z</cp:lastPrinted>
  <dcterms:created xsi:type="dcterms:W3CDTF">2021-03-08T15:47:00Z</dcterms:created>
  <dcterms:modified xsi:type="dcterms:W3CDTF">2021-03-09T07:26:00Z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0x010100E5FCE3E961440D4E9C27D70EA357629E</vt:lpwstr>
  </property>
</Properties>
</file>