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1F4B" w14:textId="77777777" w:rsidR="0087202C" w:rsidRPr="00D4321A" w:rsidRDefault="0087202C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5B7DA427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58A560C1" w14:textId="77777777" w:rsidR="0087202C" w:rsidRPr="00D4321A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FFC53F8" wp14:editId="4E2E2A42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323C9493" w14:textId="77777777" w:rsidTr="00050B0E">
        <w:trPr>
          <w:trHeight w:hRule="exact" w:val="825"/>
        </w:trPr>
        <w:tc>
          <w:tcPr>
            <w:tcW w:w="9498" w:type="dxa"/>
            <w:gridSpan w:val="3"/>
          </w:tcPr>
          <w:p w14:paraId="7E0F566A" w14:textId="77777777" w:rsidR="0087202C" w:rsidRPr="00D4321A" w:rsidRDefault="0087202C">
            <w:pPr>
              <w:pStyle w:val="Antrat1"/>
              <w:rPr>
                <w:color w:val="000000"/>
                <w:szCs w:val="24"/>
              </w:rPr>
            </w:pPr>
            <w:r w:rsidRPr="00D4321A">
              <w:rPr>
                <w:szCs w:val="24"/>
              </w:rPr>
              <w:t>LIETUVOS BANKAS</w:t>
            </w:r>
          </w:p>
          <w:p w14:paraId="2D731014" w14:textId="77777777" w:rsidR="0087202C" w:rsidRPr="00050B0E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050B0E" w:rsidRPr="00D4321A" w14:paraId="3B15EC08" w14:textId="77777777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CA5EA" w14:textId="77777777" w:rsidR="00050B0E" w:rsidRPr="00D4321A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30D4F1F3" w14:textId="77777777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0CC992" w14:textId="082B2982" w:rsidR="0087202C" w:rsidRPr="00D4321A" w:rsidRDefault="001F3ED2">
            <w:pPr>
              <w:rPr>
                <w:lang w:val="lt-LT"/>
              </w:rPr>
            </w:pPr>
            <w:r w:rsidRPr="001F3ED2">
              <w:rPr>
                <w:lang w:val="lt-LT"/>
              </w:rPr>
              <w:t>Lietuvos Respublikos socialinės apsaugos ir darbo ministerija</w:t>
            </w:r>
            <w:r>
              <w:rPr>
                <w:lang w:val="lt-LT"/>
              </w:rPr>
              <w:t>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DB7A3" w14:textId="77777777" w:rsidR="0087202C" w:rsidRPr="00D4321A" w:rsidRDefault="0087202C">
            <w:pPr>
              <w:pStyle w:val="Antrat2"/>
              <w:rPr>
                <w:sz w:val="20"/>
              </w:rPr>
            </w:pPr>
          </w:p>
          <w:p w14:paraId="399ABAA3" w14:textId="77777777" w:rsidR="0087202C" w:rsidRPr="00D4321A" w:rsidRDefault="0087202C">
            <w:pPr>
              <w:pStyle w:val="Antrat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F6D18F" w14:textId="77777777"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  <w:p w14:paraId="3AD24CB1" w14:textId="7AF10968" w:rsidR="0087202C" w:rsidRPr="00D4321A" w:rsidRDefault="00AF6B1D" w:rsidP="00255AD3">
            <w:pPr>
              <w:rPr>
                <w:lang w:val="lt-LT"/>
              </w:rPr>
            </w:pPr>
            <w:r w:rsidRPr="00AF6B1D">
              <w:rPr>
                <w:lang w:val="lt-LT"/>
              </w:rPr>
              <w:t>2022-01-07</w:t>
            </w:r>
            <w:r w:rsidR="0087202C" w:rsidRPr="00D4321A">
              <w:rPr>
                <w:lang w:val="lt-LT"/>
              </w:rPr>
              <w:t xml:space="preserve"> Nr. </w:t>
            </w:r>
            <w:r w:rsidRPr="00AF6B1D">
              <w:rPr>
                <w:lang w:val="lt-LT"/>
              </w:rPr>
              <w:t>22-126</w:t>
            </w:r>
          </w:p>
        </w:tc>
      </w:tr>
      <w:tr w:rsidR="00255AD3" w:rsidRPr="00D4321A" w14:paraId="28A8D803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2D456" w14:textId="77777777" w:rsidR="00255AD3" w:rsidRPr="00D4321A" w:rsidRDefault="00255AD3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20B919C7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3ACCD" w14:textId="01DE4B9C" w:rsidR="0087202C" w:rsidRPr="00D4321A" w:rsidRDefault="00A668AF" w:rsidP="001132EC">
            <w:pPr>
              <w:rPr>
                <w:b/>
                <w:lang w:val="lt-LT"/>
              </w:rPr>
            </w:pPr>
            <w:r w:rsidRPr="00A668AF">
              <w:rPr>
                <w:b/>
                <w:lang w:val="lt-LT"/>
              </w:rPr>
              <w:t xml:space="preserve">DĖL </w:t>
            </w:r>
            <w:r>
              <w:rPr>
                <w:b/>
                <w:lang w:val="lt-LT"/>
              </w:rPr>
              <w:t>LIETUVOS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RESPUBLIKOS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VYRIAUSYBĖS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NUTARIMO</w:t>
            </w:r>
            <w:r w:rsidRPr="00A668AF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PROJEKTO</w:t>
            </w:r>
          </w:p>
        </w:tc>
      </w:tr>
    </w:tbl>
    <w:p w14:paraId="4C7722F5" w14:textId="77777777" w:rsidR="0087202C" w:rsidRPr="00D4321A" w:rsidRDefault="0087202C">
      <w:pPr>
        <w:rPr>
          <w:lang w:val="lt-LT"/>
        </w:rPr>
      </w:pPr>
    </w:p>
    <w:p w14:paraId="1184F257" w14:textId="77777777" w:rsidR="0087202C" w:rsidRPr="00D4321A" w:rsidRDefault="0087202C">
      <w:pPr>
        <w:rPr>
          <w:lang w:val="lt-LT"/>
        </w:rPr>
      </w:pPr>
    </w:p>
    <w:p w14:paraId="2FC8469F" w14:textId="54550745" w:rsidR="00AF6B1D" w:rsidRDefault="00A668AF" w:rsidP="006E2087">
      <w:pPr>
        <w:ind w:firstLine="709"/>
        <w:jc w:val="both"/>
        <w:rPr>
          <w:lang w:val="lt-LT"/>
        </w:rPr>
      </w:pPr>
      <w:r w:rsidRPr="00A668AF">
        <w:rPr>
          <w:lang w:val="lt-LT"/>
        </w:rPr>
        <w:t>Lietuvos bankas, išanalizavęs Lietuvos Respublikos Vyriausybės nutarimo „</w:t>
      </w:r>
      <w:r w:rsidR="00AF6B1D" w:rsidRPr="00AF6B1D">
        <w:rPr>
          <w:lang w:val="lt-LT"/>
        </w:rPr>
        <w:t>Dėl Lietuvos Respublikos Vyriausybės 2017 m. birželio 14 d. nutarimo Nr. 438 „Dėl Valstybinio socialinio draudimo rezervinio fondo sudarymo ir valdymo nuostatų patvirtinimo</w:t>
      </w:r>
      <w:r w:rsidR="00526CE4">
        <w:rPr>
          <w:lang w:val="lt-LT"/>
        </w:rPr>
        <w:t>“</w:t>
      </w:r>
      <w:r w:rsidR="00AF6B1D" w:rsidRPr="00AF6B1D">
        <w:rPr>
          <w:lang w:val="lt-LT"/>
        </w:rPr>
        <w:t xml:space="preserve"> pakeitimo“  projektą</w:t>
      </w:r>
      <w:r w:rsidR="00AF6B1D">
        <w:rPr>
          <w:lang w:val="lt-LT"/>
        </w:rPr>
        <w:t xml:space="preserve"> (toliau – Nutarimo projektas)</w:t>
      </w:r>
      <w:r w:rsidRPr="00A668AF">
        <w:rPr>
          <w:lang w:val="lt-LT"/>
        </w:rPr>
        <w:t xml:space="preserve">, </w:t>
      </w:r>
      <w:r w:rsidR="00AF6B1D">
        <w:rPr>
          <w:lang w:val="lt-LT"/>
        </w:rPr>
        <w:t>teikia šias pastabas:</w:t>
      </w:r>
    </w:p>
    <w:p w14:paraId="449477FC" w14:textId="2ECB9BE8" w:rsidR="00E95726" w:rsidRDefault="00E95726" w:rsidP="00881005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lt-LT"/>
        </w:rPr>
      </w:pPr>
      <w:r>
        <w:rPr>
          <w:lang w:val="lt-LT"/>
        </w:rPr>
        <w:t xml:space="preserve">Pagal </w:t>
      </w:r>
      <w:r w:rsidR="00AF6B1D" w:rsidRPr="00AF6B1D">
        <w:rPr>
          <w:lang w:val="lt-LT"/>
        </w:rPr>
        <w:t xml:space="preserve">Nutarimo projekto </w:t>
      </w:r>
      <w:r w:rsidRPr="00E95726">
        <w:rPr>
          <w:lang w:val="lt-LT"/>
        </w:rPr>
        <w:t xml:space="preserve">8 </w:t>
      </w:r>
      <w:r>
        <w:rPr>
          <w:lang w:val="lt-LT"/>
        </w:rPr>
        <w:t>punktą r</w:t>
      </w:r>
      <w:r w:rsidRPr="00E95726">
        <w:rPr>
          <w:lang w:val="lt-LT"/>
        </w:rPr>
        <w:t>ezerv</w:t>
      </w:r>
      <w:r>
        <w:rPr>
          <w:lang w:val="lt-LT"/>
        </w:rPr>
        <w:t>inio</w:t>
      </w:r>
      <w:r w:rsidRPr="00E95726">
        <w:rPr>
          <w:lang w:val="lt-LT"/>
        </w:rPr>
        <w:t xml:space="preserve"> fondo lėšos gali būti investuojamos į skolos vertybinius popierius ir pinigų rinkos priemones</w:t>
      </w:r>
      <w:r>
        <w:rPr>
          <w:lang w:val="lt-LT"/>
        </w:rPr>
        <w:t xml:space="preserve">, </w:t>
      </w:r>
      <w:r w:rsidRPr="00E95726">
        <w:rPr>
          <w:lang w:val="lt-LT"/>
        </w:rPr>
        <w:t>įtraukt</w:t>
      </w:r>
      <w:r>
        <w:rPr>
          <w:lang w:val="lt-LT"/>
        </w:rPr>
        <w:t>us</w:t>
      </w:r>
      <w:r w:rsidRPr="00E95726">
        <w:rPr>
          <w:lang w:val="lt-LT"/>
        </w:rPr>
        <w:t xml:space="preserve"> į prekybą </w:t>
      </w:r>
      <w:r>
        <w:rPr>
          <w:lang w:val="lt-LT"/>
        </w:rPr>
        <w:t>u</w:t>
      </w:r>
      <w:r w:rsidRPr="00E95726">
        <w:rPr>
          <w:lang w:val="lt-LT"/>
        </w:rPr>
        <w:t>žsienio valstybė</w:t>
      </w:r>
      <w:r>
        <w:rPr>
          <w:lang w:val="lt-LT"/>
        </w:rPr>
        <w:t>s</w:t>
      </w:r>
      <w:r w:rsidRPr="00E95726">
        <w:rPr>
          <w:lang w:val="lt-LT"/>
        </w:rPr>
        <w:t xml:space="preserve"> </w:t>
      </w:r>
      <w:r>
        <w:rPr>
          <w:lang w:val="lt-LT"/>
        </w:rPr>
        <w:t xml:space="preserve"> (</w:t>
      </w:r>
      <w:r w:rsidRPr="00E95726">
        <w:rPr>
          <w:lang w:val="lt-LT"/>
        </w:rPr>
        <w:t>išskyrus Europos Sąjungos valstybes nares</w:t>
      </w:r>
      <w:r>
        <w:rPr>
          <w:lang w:val="lt-LT"/>
        </w:rPr>
        <w:t xml:space="preserve">) </w:t>
      </w:r>
      <w:r w:rsidRPr="00E95726">
        <w:rPr>
          <w:lang w:val="lt-LT"/>
        </w:rPr>
        <w:t>pagal nustatytas taisykles veikiančioje, pripažintoje, prižiūrimoje ir visuomenei prieinamoje rinkoje</w:t>
      </w:r>
      <w:r w:rsidR="00881005">
        <w:rPr>
          <w:lang w:val="lt-LT"/>
        </w:rPr>
        <w:t>.</w:t>
      </w:r>
      <w:r>
        <w:rPr>
          <w:lang w:val="lt-LT"/>
        </w:rPr>
        <w:t xml:space="preserve"> </w:t>
      </w:r>
      <w:r w:rsidR="00881005">
        <w:rPr>
          <w:lang w:val="lt-LT"/>
        </w:rPr>
        <w:t>P</w:t>
      </w:r>
      <w:r>
        <w:rPr>
          <w:lang w:val="lt-LT"/>
        </w:rPr>
        <w:t xml:space="preserve">agal Nutarimo projekto </w:t>
      </w:r>
      <w:r w:rsidR="00AF6B1D" w:rsidRPr="00AF6B1D">
        <w:rPr>
          <w:lang w:val="lt-LT"/>
        </w:rPr>
        <w:t>10 p</w:t>
      </w:r>
      <w:r>
        <w:rPr>
          <w:lang w:val="lt-LT"/>
        </w:rPr>
        <w:t>unktą</w:t>
      </w:r>
      <w:r w:rsidR="00AF6B1D" w:rsidRPr="00AF6B1D">
        <w:rPr>
          <w:lang w:val="lt-LT"/>
        </w:rPr>
        <w:t xml:space="preserve"> </w:t>
      </w:r>
      <w:r>
        <w:rPr>
          <w:lang w:val="lt-LT"/>
        </w:rPr>
        <w:t>rezervinio</w:t>
      </w:r>
      <w:r w:rsidR="00AF6B1D" w:rsidRPr="00AF6B1D">
        <w:rPr>
          <w:lang w:val="lt-LT"/>
        </w:rPr>
        <w:t xml:space="preserve"> fondo lėšos gali būti laikomos kaip terminuotasis indėlis </w:t>
      </w:r>
      <w:r>
        <w:rPr>
          <w:lang w:val="lt-LT"/>
        </w:rPr>
        <w:t>u</w:t>
      </w:r>
      <w:r w:rsidR="00AF6B1D" w:rsidRPr="00AF6B1D">
        <w:rPr>
          <w:lang w:val="lt-LT"/>
        </w:rPr>
        <w:t>žsienio valstyb</w:t>
      </w:r>
      <w:r>
        <w:rPr>
          <w:lang w:val="lt-LT"/>
        </w:rPr>
        <w:t xml:space="preserve">ės </w:t>
      </w:r>
      <w:r w:rsidRPr="00E95726">
        <w:rPr>
          <w:lang w:val="lt-LT"/>
        </w:rPr>
        <w:t>kredito įstaigo</w:t>
      </w:r>
      <w:r>
        <w:rPr>
          <w:lang w:val="lt-LT"/>
        </w:rPr>
        <w:t>j</w:t>
      </w:r>
      <w:r w:rsidRPr="00E95726">
        <w:rPr>
          <w:lang w:val="lt-LT"/>
        </w:rPr>
        <w:t>e</w:t>
      </w:r>
      <w:r w:rsidR="00AF6B1D" w:rsidRPr="00AF6B1D">
        <w:rPr>
          <w:lang w:val="lt-LT"/>
        </w:rPr>
        <w:t xml:space="preserve">, </w:t>
      </w:r>
      <w:r>
        <w:rPr>
          <w:lang w:val="lt-LT"/>
        </w:rPr>
        <w:t>jei toje valstybėje</w:t>
      </w:r>
      <w:r w:rsidR="00AF6B1D" w:rsidRPr="00AF6B1D">
        <w:rPr>
          <w:lang w:val="lt-LT"/>
        </w:rPr>
        <w:t xml:space="preserve"> riziką ribojanti priežiūra yra prilygintina priežiūrai Europos Sąjungoje</w:t>
      </w:r>
      <w:r w:rsidR="00AF6B1D">
        <w:rPr>
          <w:lang w:val="lt-LT"/>
        </w:rPr>
        <w:t>, o</w:t>
      </w:r>
      <w:r w:rsidR="00AF6B1D" w:rsidRPr="00AF6B1D">
        <w:rPr>
          <w:lang w:val="lt-LT"/>
        </w:rPr>
        <w:t xml:space="preserve"> </w:t>
      </w:r>
      <w:r w:rsidR="00AF6B1D">
        <w:rPr>
          <w:lang w:val="lt-LT"/>
        </w:rPr>
        <w:t>r</w:t>
      </w:r>
      <w:r w:rsidR="00AF6B1D" w:rsidRPr="00AF6B1D">
        <w:rPr>
          <w:lang w:val="lt-LT"/>
        </w:rPr>
        <w:t>iziką ribojanti priežiūra laikoma prilygintina, jeigu jos taikymo jurisdikcijoje yra įgyvendinti Bazelio bankų priežiūros komiteto patvirtinti standartai „Bazelis III</w:t>
      </w:r>
      <w:r w:rsidR="00881005">
        <w:rPr>
          <w:lang w:val="lt-LT"/>
        </w:rPr>
        <w:t>“</w:t>
      </w:r>
      <w:r w:rsidR="00AF6B1D">
        <w:rPr>
          <w:lang w:val="lt-LT"/>
        </w:rPr>
        <w:t xml:space="preserve">. </w:t>
      </w:r>
    </w:p>
    <w:p w14:paraId="3719595D" w14:textId="4FAF2782" w:rsidR="00976B49" w:rsidRDefault="00AF6B1D" w:rsidP="00E95726">
      <w:pPr>
        <w:pStyle w:val="Sraopastraipa"/>
        <w:ind w:left="0" w:firstLine="709"/>
        <w:jc w:val="both"/>
        <w:rPr>
          <w:lang w:val="lt-LT"/>
        </w:rPr>
      </w:pPr>
      <w:r>
        <w:rPr>
          <w:lang w:val="lt-LT"/>
        </w:rPr>
        <w:t xml:space="preserve">Norime atkreipti dėmesį, kad </w:t>
      </w:r>
      <w:r w:rsidR="008C5EE8">
        <w:rPr>
          <w:lang w:val="lt-LT"/>
        </w:rPr>
        <w:t>Europos Komisija priima ir skelbia</w:t>
      </w:r>
      <w:r w:rsidR="00341DB6">
        <w:rPr>
          <w:rStyle w:val="Puslapioinaosnuoroda"/>
          <w:lang w:val="lt-LT"/>
        </w:rPr>
        <w:footnoteReference w:id="1"/>
      </w:r>
      <w:r w:rsidR="008C5EE8">
        <w:rPr>
          <w:lang w:val="lt-LT"/>
        </w:rPr>
        <w:t xml:space="preserve"> sprendimus dėl</w:t>
      </w:r>
      <w:r w:rsidR="00165F21" w:rsidRPr="00165F21">
        <w:rPr>
          <w:lang w:val="lt-LT"/>
        </w:rPr>
        <w:t xml:space="preserve"> ne </w:t>
      </w:r>
      <w:r w:rsidR="008C5EE8">
        <w:rPr>
          <w:lang w:val="lt-LT"/>
        </w:rPr>
        <w:t>Europos Sąjungos</w:t>
      </w:r>
      <w:r w:rsidR="00165F21" w:rsidRPr="00165F21">
        <w:rPr>
          <w:lang w:val="lt-LT"/>
        </w:rPr>
        <w:t xml:space="preserve"> šali</w:t>
      </w:r>
      <w:r w:rsidR="008C5EE8">
        <w:rPr>
          <w:lang w:val="lt-LT"/>
        </w:rPr>
        <w:t>ų</w:t>
      </w:r>
      <w:r w:rsidR="00165F21" w:rsidRPr="00165F21">
        <w:rPr>
          <w:lang w:val="lt-LT"/>
        </w:rPr>
        <w:t xml:space="preserve"> reguliavimo </w:t>
      </w:r>
      <w:r w:rsidR="008C5EE8">
        <w:rPr>
          <w:lang w:val="lt-LT"/>
        </w:rPr>
        <w:t>ir</w:t>
      </w:r>
      <w:r w:rsidR="00165F21" w:rsidRPr="00165F21">
        <w:rPr>
          <w:lang w:val="lt-LT"/>
        </w:rPr>
        <w:t xml:space="preserve"> priežiūros tvark</w:t>
      </w:r>
      <w:r w:rsidR="008C5EE8">
        <w:rPr>
          <w:lang w:val="lt-LT"/>
        </w:rPr>
        <w:t>os</w:t>
      </w:r>
      <w:r w:rsidR="00165F21" w:rsidRPr="00165F21">
        <w:rPr>
          <w:lang w:val="lt-LT"/>
        </w:rPr>
        <w:t xml:space="preserve"> </w:t>
      </w:r>
      <w:r w:rsidR="008C5EE8">
        <w:rPr>
          <w:lang w:val="lt-LT"/>
        </w:rPr>
        <w:t>lygiavertiškumo</w:t>
      </w:r>
      <w:r w:rsidR="00165F21" w:rsidRPr="00165F21">
        <w:rPr>
          <w:lang w:val="lt-LT"/>
        </w:rPr>
        <w:t xml:space="preserve"> </w:t>
      </w:r>
      <w:r w:rsidR="008C5EE8">
        <w:rPr>
          <w:lang w:val="lt-LT"/>
        </w:rPr>
        <w:t>atitinkamam Europos Sąjungos reguliavimui</w:t>
      </w:r>
      <w:r w:rsidR="00340B71">
        <w:rPr>
          <w:lang w:val="lt-LT"/>
        </w:rPr>
        <w:t>.</w:t>
      </w:r>
      <w:r w:rsidR="008C5EE8">
        <w:rPr>
          <w:lang w:val="lt-LT"/>
        </w:rPr>
        <w:t xml:space="preserve"> </w:t>
      </w:r>
      <w:r w:rsidR="00340B71">
        <w:rPr>
          <w:lang w:val="lt-LT"/>
        </w:rPr>
        <w:t xml:space="preserve">Siūlome įvertinti, ar nuoroda į šiuos </w:t>
      </w:r>
      <w:r w:rsidR="00340B71" w:rsidRPr="00340B71">
        <w:rPr>
          <w:lang w:val="lt-LT"/>
        </w:rPr>
        <w:t xml:space="preserve">Europos Komisijos sprendimus </w:t>
      </w:r>
      <w:r w:rsidR="008C5EE8">
        <w:rPr>
          <w:lang w:val="lt-LT"/>
        </w:rPr>
        <w:t>Nutarimo projekt</w:t>
      </w:r>
      <w:r w:rsidR="00881005">
        <w:rPr>
          <w:lang w:val="lt-LT"/>
        </w:rPr>
        <w:t xml:space="preserve">e </w:t>
      </w:r>
      <w:r w:rsidR="00340B71">
        <w:rPr>
          <w:lang w:val="lt-LT"/>
        </w:rPr>
        <w:t>nebūtų patikimesnis ir lengviau vertinamas</w:t>
      </w:r>
      <w:r w:rsidR="00881005">
        <w:rPr>
          <w:lang w:val="lt-LT"/>
        </w:rPr>
        <w:t xml:space="preserve"> kriterijus</w:t>
      </w:r>
      <w:r w:rsidR="008C5EE8">
        <w:rPr>
          <w:lang w:val="lt-LT"/>
        </w:rPr>
        <w:t xml:space="preserve"> </w:t>
      </w:r>
      <w:r w:rsidR="00340B71">
        <w:rPr>
          <w:lang w:val="lt-LT"/>
        </w:rPr>
        <w:t>nustatant saugias rezervinio fondo lėšų investavimo kryptis</w:t>
      </w:r>
      <w:r w:rsidR="008C5EE8">
        <w:rPr>
          <w:lang w:val="lt-LT"/>
        </w:rPr>
        <w:t>.</w:t>
      </w:r>
    </w:p>
    <w:p w14:paraId="4D6E9C03" w14:textId="5594E39B" w:rsidR="00976B49" w:rsidRDefault="00E24C2E" w:rsidP="00881005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lt-LT"/>
        </w:rPr>
      </w:pPr>
      <w:r w:rsidRPr="009C73A5">
        <w:rPr>
          <w:lang w:val="lt-LT"/>
        </w:rPr>
        <w:t>Nutarimo projekto 8 punkte pateikiamos nuorodos į 15.2 papunk</w:t>
      </w:r>
      <w:r w:rsidR="00881005">
        <w:rPr>
          <w:lang w:val="lt-LT"/>
        </w:rPr>
        <w:t>tį</w:t>
      </w:r>
      <w:r w:rsidRPr="009C73A5">
        <w:rPr>
          <w:lang w:val="lt-LT"/>
        </w:rPr>
        <w:t xml:space="preserve"> ir 14 punktą turėtų būti pakeistos nuorodomis į </w:t>
      </w:r>
      <w:r w:rsidR="00881005" w:rsidRPr="009C73A5">
        <w:rPr>
          <w:lang w:val="lt-LT"/>
        </w:rPr>
        <w:t xml:space="preserve">atitinkamai </w:t>
      </w:r>
      <w:r w:rsidRPr="009C73A5">
        <w:rPr>
          <w:lang w:val="lt-LT"/>
        </w:rPr>
        <w:t>14.2 papunk</w:t>
      </w:r>
      <w:r w:rsidR="00881005">
        <w:rPr>
          <w:lang w:val="lt-LT"/>
        </w:rPr>
        <w:t>tį</w:t>
      </w:r>
      <w:r w:rsidRPr="009C73A5">
        <w:rPr>
          <w:lang w:val="lt-LT"/>
        </w:rPr>
        <w:t xml:space="preserve"> ir 15 punktą, o 10.2 papunktyje pateikta nuoroda į 16 punktą turėtų būti pakeista nuoroda į 15 punktą.</w:t>
      </w:r>
    </w:p>
    <w:p w14:paraId="23DA1A8E" w14:textId="7B885D4E" w:rsidR="00341DB6" w:rsidRDefault="00341DB6" w:rsidP="00341DB6">
      <w:pPr>
        <w:jc w:val="both"/>
        <w:rPr>
          <w:lang w:val="lt-LT"/>
        </w:rPr>
      </w:pPr>
    </w:p>
    <w:p w14:paraId="39708228" w14:textId="2C3E0615" w:rsidR="00341DB6" w:rsidRDefault="00341DB6" w:rsidP="00341DB6">
      <w:pPr>
        <w:jc w:val="both"/>
        <w:rPr>
          <w:lang w:val="lt-LT"/>
        </w:rPr>
      </w:pPr>
    </w:p>
    <w:p w14:paraId="627C2D64" w14:textId="50E64665" w:rsidR="00341DB6" w:rsidRDefault="00341DB6" w:rsidP="00341DB6">
      <w:pPr>
        <w:jc w:val="both"/>
        <w:rPr>
          <w:lang w:val="lt-LT"/>
        </w:rPr>
      </w:pPr>
    </w:p>
    <w:p w14:paraId="2D276E34" w14:textId="77777777" w:rsidR="00341DB6" w:rsidRPr="00341DB6" w:rsidRDefault="00341DB6" w:rsidP="00341DB6">
      <w:pPr>
        <w:jc w:val="both"/>
        <w:rPr>
          <w:lang w:val="lt-LT"/>
        </w:rPr>
      </w:pPr>
    </w:p>
    <w:p w14:paraId="70A221B1" w14:textId="77777777" w:rsidR="0087202C" w:rsidRPr="00D4321A" w:rsidRDefault="0087202C" w:rsidP="00050B0E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AF6B1D" w14:paraId="6D7C89FE" w14:textId="77777777" w:rsidTr="00255AD3">
        <w:tc>
          <w:tcPr>
            <w:tcW w:w="4695" w:type="dxa"/>
          </w:tcPr>
          <w:p w14:paraId="16F366A9" w14:textId="77777777" w:rsidR="00A64954" w:rsidRPr="00D4321A" w:rsidRDefault="00A64954" w:rsidP="00A27554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14:paraId="12B60F7B" w14:textId="77777777" w:rsidR="00A64954" w:rsidRPr="00D4321A" w:rsidRDefault="00A64954" w:rsidP="00A27554">
            <w:pPr>
              <w:pStyle w:val="Antrat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="00A27554">
              <w:rPr>
                <w:sz w:val="20"/>
              </w:rPr>
              <w:t>    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5DC6CAD6" w14:textId="77777777" w:rsidR="0087202C" w:rsidRPr="00D4321A" w:rsidRDefault="0087202C">
      <w:pPr>
        <w:rPr>
          <w:lang w:val="lt-LT"/>
        </w:rPr>
      </w:pPr>
    </w:p>
    <w:p w14:paraId="2E604D6F" w14:textId="77777777" w:rsidR="0087202C" w:rsidRPr="00D4321A" w:rsidRDefault="0087202C">
      <w:pPr>
        <w:rPr>
          <w:lang w:val="lt-LT"/>
        </w:rPr>
      </w:pPr>
    </w:p>
    <w:p w14:paraId="3F875F0F" w14:textId="77777777" w:rsidR="0087202C" w:rsidRPr="00D4321A" w:rsidRDefault="0087202C">
      <w:pPr>
        <w:rPr>
          <w:lang w:val="lt-LT"/>
        </w:rPr>
      </w:pPr>
    </w:p>
    <w:p w14:paraId="4756A415" w14:textId="77777777" w:rsidR="0087202C" w:rsidRPr="00D4321A" w:rsidRDefault="0087202C">
      <w:pPr>
        <w:rPr>
          <w:lang w:val="lt-LT"/>
        </w:rPr>
      </w:pPr>
    </w:p>
    <w:p w14:paraId="61E1871A" w14:textId="77777777" w:rsidR="0087202C" w:rsidRPr="00D4321A" w:rsidRDefault="0087202C">
      <w:pPr>
        <w:rPr>
          <w:lang w:val="lt-LT"/>
        </w:rPr>
      </w:pPr>
    </w:p>
    <w:p w14:paraId="2408E99B" w14:textId="77777777" w:rsidR="0087202C" w:rsidRPr="00D4321A" w:rsidRDefault="0087202C">
      <w:pPr>
        <w:rPr>
          <w:lang w:val="lt-LT"/>
        </w:rPr>
      </w:pPr>
    </w:p>
    <w:p w14:paraId="779C1C07" w14:textId="77777777" w:rsidR="0087202C" w:rsidRPr="00D4321A" w:rsidRDefault="0087202C">
      <w:pPr>
        <w:rPr>
          <w:lang w:val="lt-LT"/>
        </w:rPr>
      </w:pPr>
    </w:p>
    <w:p w14:paraId="3AEC2869" w14:textId="77777777" w:rsidR="00CC4D82" w:rsidRPr="00D4321A" w:rsidRDefault="00CC4D82">
      <w:pPr>
        <w:rPr>
          <w:lang w:val="lt-LT"/>
        </w:rPr>
      </w:pPr>
    </w:p>
    <w:p w14:paraId="10D72554" w14:textId="77777777" w:rsidR="0087202C" w:rsidRPr="00D4321A" w:rsidRDefault="0087202C">
      <w:pPr>
        <w:rPr>
          <w:lang w:val="lt-LT"/>
        </w:rPr>
      </w:pPr>
    </w:p>
    <w:p w14:paraId="54169F98" w14:textId="77777777" w:rsidR="00067CF5" w:rsidRDefault="00067CF5">
      <w:pPr>
        <w:rPr>
          <w:lang w:val="lt-LT"/>
        </w:rPr>
      </w:pPr>
    </w:p>
    <w:p w14:paraId="02F56423" w14:textId="77777777" w:rsidR="00067CF5" w:rsidRDefault="00067CF5">
      <w:pPr>
        <w:rPr>
          <w:lang w:val="lt-LT"/>
        </w:rPr>
      </w:pPr>
    </w:p>
    <w:p w14:paraId="1B0F44FF" w14:textId="77777777" w:rsidR="00067CF5" w:rsidRDefault="00067CF5">
      <w:pPr>
        <w:rPr>
          <w:lang w:val="lt-LT"/>
        </w:rPr>
      </w:pPr>
    </w:p>
    <w:p w14:paraId="5C017BEE" w14:textId="778675AD" w:rsidR="00BB39AD" w:rsidRPr="00D4321A" w:rsidRDefault="00DF1989" w:rsidP="00D9737E">
      <w:pPr>
        <w:rPr>
          <w:lang w:val="lt-LT"/>
        </w:rPr>
      </w:pPr>
      <w:r w:rsidRPr="00DF1989">
        <w:rPr>
          <w:lang w:val="lt-LT"/>
        </w:rPr>
        <w:t xml:space="preserve">Jurga </w:t>
      </w:r>
      <w:proofErr w:type="spellStart"/>
      <w:r w:rsidRPr="00DF1989">
        <w:rPr>
          <w:lang w:val="lt-LT"/>
        </w:rPr>
        <w:t>Kamienė</w:t>
      </w:r>
      <w:proofErr w:type="spellEnd"/>
      <w:r w:rsidRPr="00DF1989">
        <w:rPr>
          <w:lang w:val="lt-LT"/>
        </w:rPr>
        <w:t>, tel. +370 650 10835, el. p. jkamiene@lb.lt</w:t>
      </w:r>
    </w:p>
    <w:sectPr w:rsidR="00BB39AD" w:rsidRPr="00D4321A" w:rsidSect="00A64954">
      <w:footerReference w:type="first" r:id="rId9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26B1" w14:textId="77777777" w:rsidR="00A36538" w:rsidRDefault="00A36538">
      <w:r>
        <w:separator/>
      </w:r>
    </w:p>
  </w:endnote>
  <w:endnote w:type="continuationSeparator" w:id="0">
    <w:p w14:paraId="69C2C850" w14:textId="77777777" w:rsidR="00A36538" w:rsidRDefault="00A3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0319" w14:textId="77777777"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965DC" wp14:editId="6DE59B43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4301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6RuLwgEAAGkDAAAOAAAAZHJzL2Uyb0RvYy54bWysU01vGyEQvVfqf0Dc612vlKRZeR0pdtOL 21pK+gPGwO6isgwC7F3/+w74I017q3JBMPPmMfMeLB6mwbCD8kGjbfh8VnKmrECpbdfwny9Pnz5z FiJYCQatavhRBf6w/PhhMbpaVdijkcozIrGhHl3D+xhdXRRB9GqAMEOnLCVb9ANEOvqukB5GYh9M UZXlbTGil86jUCFQdH1K8mXmb1sl4o+2DSoy03DqLebV53WX1mK5gLrz4Hotzm3Af3QxgLZ06ZVq DRHY3ut/qAYtPAZs40zgUGDbaqHyDDTNvPxrmucenMqzkDjBXWUK70crvh+2nmlJ3nFmYSCLNtoq Nk/KjC7UBFjZrU+zick+uw2KX4FZXPVgO5U7fDk6KssVxZuSdAiO+HfjN5SEgX3ELNPU+iFRkgBs ym4cr26oKTJBwdtqfndfkWnikiugvhQ6H+JXhQNLm4Yb6jkTw2ETIrVO0Ask3WPxSRuTzTaWjQ2/ v6luckFAo2VKJljw3W5lPDtAei7lY3m3TjoQ2RuYx72VmaxXIL+c9xG0Oe0JbyyVXeY/KblDedz6 RJfi5GcmPr+99GD+PGfU6w9Z/gYAAP//AwBQSwMEFAAGAAgAAAAhAAKqHYvdAAAACgEAAA8AAABk cnMvZG93bnJldi54bWxMj0FPwzAMhe9I/IfISNy2ZBMwKE0nNIkDFwRlHLh5jWkLjVM12dr9ezwJ CU6W/Z6ev5evJ9+pAw2xDWxhMTegiKvgWq4tbN8eZ7egYkJ22AUmC0eKsC7Oz3LMXBj5lQ5lqpWE cMzQQpNSn2kdq4Y8xnnoiUX7DIPHJOtQazfgKOG+00tjbrTHluVDgz1tGqq+y7238PS1LRN+vLul uR7r5/HlOFZ+Y+3lxfRwDyrRlP7McMIXdCiEaRf27KLqLMwWQp5O00gnMdytVlegdr8XXeT6f4Xi BwAA//8DAFBLAQItABQABgAIAAAAIQC2gziS/gAAAOEBAAATAAAAAAAAAAAAAAAAAAAAAABbQ29u dGVudF9UeXBlc10ueG1sUEsBAi0AFAAGAAgAAAAhADj9If/WAAAAlAEAAAsAAAAAAAAAAAAAAAAA LwEAAF9yZWxzLy5yZWxzUEsBAi0AFAAGAAgAAAAhAA/pG4vCAQAAaQMAAA4AAAAAAAAAAAAAAAAA LgIAAGRycy9lMm9Eb2MueG1sUEsBAi0AFAAGAAgAAAAhAAKqHYvdAAAACgEAAA8AAAAAAAAAAAAA AAAAHAQAAGRycy9kb3ducmV2LnhtbFBLBQYAAAAABAAEAPMAAAAmBQAAAAA= " strokecolor="#00b07d"/>
          </w:pict>
        </mc:Fallback>
      </mc:AlternateContent>
    </w:r>
    <w:r w:rsidR="00CC4D82" w:rsidRPr="00D4321A">
      <w:rPr>
        <w:sz w:val="16"/>
        <w:lang w:val="lt-LT"/>
      </w:rPr>
      <w:t>Centrinis bankas, Gedimino pr. 6, LT-0</w:t>
    </w:r>
    <w:r w:rsidR="00B1360D">
      <w:rPr>
        <w:sz w:val="16"/>
        <w:lang w:val="lt-LT"/>
      </w:rPr>
      <w:t>1103 Vilnius</w:t>
    </w:r>
  </w:p>
  <w:p w14:paraId="366DA2CF" w14:textId="77777777"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14:paraId="270BB90A" w14:textId="77777777" w:rsidR="00B1360D" w:rsidRDefault="00B1360D" w:rsidP="00B1360D">
    <w:pPr>
      <w:jc w:val="center"/>
      <w:rPr>
        <w:sz w:val="16"/>
        <w:lang w:val="lt-LT"/>
      </w:rPr>
    </w:pPr>
    <w:r>
      <w:rPr>
        <w:sz w:val="16"/>
        <w:lang w:val="lt-LT"/>
      </w:rPr>
      <w:t>Adresas korespondencijai: Totorių</w:t>
    </w:r>
    <w:r w:rsidRPr="00007481">
      <w:rPr>
        <w:sz w:val="16"/>
        <w:lang w:val="lt-LT"/>
      </w:rPr>
      <w:t xml:space="preserve"> </w:t>
    </w:r>
    <w:r>
      <w:rPr>
        <w:sz w:val="16"/>
        <w:lang w:val="lt-LT"/>
      </w:rPr>
      <w:t>g</w:t>
    </w:r>
    <w:r w:rsidRPr="00007481">
      <w:rPr>
        <w:sz w:val="16"/>
        <w:lang w:val="lt-LT"/>
      </w:rPr>
      <w:t xml:space="preserve">. </w:t>
    </w:r>
    <w:r>
      <w:rPr>
        <w:sz w:val="16"/>
        <w:lang w:val="lt-LT"/>
      </w:rPr>
      <w:t>4</w:t>
    </w:r>
    <w:r w:rsidRPr="00007481">
      <w:rPr>
        <w:sz w:val="16"/>
        <w:lang w:val="lt-LT"/>
      </w:rPr>
      <w:t>, LT-0</w:t>
    </w:r>
    <w:r>
      <w:rPr>
        <w:sz w:val="16"/>
        <w:lang w:val="lt-LT"/>
      </w:rPr>
      <w:t>1121</w:t>
    </w:r>
    <w:r w:rsidRPr="00007481">
      <w:rPr>
        <w:sz w:val="16"/>
        <w:lang w:val="lt-LT"/>
      </w:rPr>
      <w:t xml:space="preserve"> Vilnius</w:t>
    </w:r>
    <w:r>
      <w:rPr>
        <w:sz w:val="16"/>
        <w:lang w:val="lt-LT"/>
      </w:rPr>
      <w:t xml:space="preserve">, </w:t>
    </w:r>
    <w:r w:rsidRPr="00D4321A">
      <w:rPr>
        <w:sz w:val="16"/>
        <w:lang w:val="lt-LT"/>
      </w:rPr>
      <w:t>tel. (8 5)</w:t>
    </w:r>
    <w:r w:rsidR="003424E8">
      <w:rPr>
        <w:sz w:val="16"/>
        <w:lang w:val="lt-LT"/>
      </w:rPr>
      <w:t xml:space="preserve"> 268 0029,</w:t>
    </w:r>
    <w:r w:rsidRPr="00D4321A">
      <w:rPr>
        <w:sz w:val="16"/>
        <w:lang w:val="lt-LT"/>
      </w:rPr>
      <w:t xml:space="preserve"> el. p. </w:t>
    </w:r>
    <w:hyperlink r:id="rId1" w:history="1">
      <w:r w:rsidRPr="00D4321A">
        <w:rPr>
          <w:rStyle w:val="Hipersaitas"/>
          <w:sz w:val="16"/>
          <w:lang w:val="lt-LT"/>
        </w:rPr>
        <w:t>info@lb.lt</w:t>
      </w:r>
    </w:hyperlink>
  </w:p>
  <w:p w14:paraId="07C6864F" w14:textId="77777777"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ipersaitas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D22E" w14:textId="77777777" w:rsidR="00A36538" w:rsidRDefault="00A36538">
      <w:r>
        <w:separator/>
      </w:r>
    </w:p>
  </w:footnote>
  <w:footnote w:type="continuationSeparator" w:id="0">
    <w:p w14:paraId="485FCB60" w14:textId="77777777" w:rsidR="00A36538" w:rsidRDefault="00A36538">
      <w:r>
        <w:continuationSeparator/>
      </w:r>
    </w:p>
  </w:footnote>
  <w:footnote w:id="1">
    <w:p w14:paraId="6133E802" w14:textId="4FB90853" w:rsidR="00341DB6" w:rsidRPr="00341DB6" w:rsidRDefault="00341DB6">
      <w:pPr>
        <w:pStyle w:val="Puslapioinaostekstas"/>
        <w:rPr>
          <w:sz w:val="16"/>
          <w:szCs w:val="16"/>
        </w:rPr>
      </w:pPr>
      <w:r w:rsidRPr="00341DB6">
        <w:rPr>
          <w:rStyle w:val="Puslapioinaosnuoroda"/>
          <w:sz w:val="16"/>
          <w:szCs w:val="16"/>
        </w:rPr>
        <w:footnoteRef/>
      </w:r>
      <w:r w:rsidRPr="00341DB6">
        <w:rPr>
          <w:sz w:val="16"/>
          <w:szCs w:val="16"/>
        </w:rPr>
        <w:t xml:space="preserve"> </w:t>
      </w:r>
      <w:hyperlink r:id="rId1" w:history="1">
        <w:r w:rsidRPr="00341DB6">
          <w:rPr>
            <w:rStyle w:val="Hipersaitas"/>
            <w:sz w:val="16"/>
            <w:szCs w:val="16"/>
          </w:rPr>
          <w:t>https://ec.europa.eu/info/business-economy-euro/banking-and-finance/international-relations/equivalence-non-eu-financial-frameworks_en</w:t>
        </w:r>
      </w:hyperlink>
    </w:p>
    <w:p w14:paraId="225FDE4D" w14:textId="77777777" w:rsidR="00341DB6" w:rsidRPr="00341DB6" w:rsidRDefault="00341DB6">
      <w:pPr>
        <w:pStyle w:val="Puslapioinaostekstas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0278"/>
    <w:multiLevelType w:val="hybridMultilevel"/>
    <w:tmpl w:val="B2CA9634"/>
    <w:lvl w:ilvl="0" w:tplc="E9FAB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5"/>
    <w:rsid w:val="00000CB0"/>
    <w:rsid w:val="000060EA"/>
    <w:rsid w:val="00032379"/>
    <w:rsid w:val="00050B0E"/>
    <w:rsid w:val="00067CF5"/>
    <w:rsid w:val="000726E8"/>
    <w:rsid w:val="000B74EA"/>
    <w:rsid w:val="000D6AEB"/>
    <w:rsid w:val="000E7E67"/>
    <w:rsid w:val="000F0FBD"/>
    <w:rsid w:val="001132EC"/>
    <w:rsid w:val="00142DFB"/>
    <w:rsid w:val="00152493"/>
    <w:rsid w:val="00152D50"/>
    <w:rsid w:val="00165F21"/>
    <w:rsid w:val="001808DA"/>
    <w:rsid w:val="00190F5D"/>
    <w:rsid w:val="001B2ABE"/>
    <w:rsid w:val="001F3ED2"/>
    <w:rsid w:val="00241CB3"/>
    <w:rsid w:val="002461C0"/>
    <w:rsid w:val="00255AD3"/>
    <w:rsid w:val="00273716"/>
    <w:rsid w:val="002956C7"/>
    <w:rsid w:val="002A32C0"/>
    <w:rsid w:val="00314A65"/>
    <w:rsid w:val="00333779"/>
    <w:rsid w:val="00340B71"/>
    <w:rsid w:val="00341DB6"/>
    <w:rsid w:val="003424E8"/>
    <w:rsid w:val="00351D85"/>
    <w:rsid w:val="00357B28"/>
    <w:rsid w:val="00361110"/>
    <w:rsid w:val="003D264F"/>
    <w:rsid w:val="004355CB"/>
    <w:rsid w:val="00466B7C"/>
    <w:rsid w:val="00477BAD"/>
    <w:rsid w:val="004E01D7"/>
    <w:rsid w:val="004F3DB1"/>
    <w:rsid w:val="005037DA"/>
    <w:rsid w:val="0050531E"/>
    <w:rsid w:val="00511A1B"/>
    <w:rsid w:val="0052669A"/>
    <w:rsid w:val="00526CE4"/>
    <w:rsid w:val="00527FEE"/>
    <w:rsid w:val="005976B9"/>
    <w:rsid w:val="005A634A"/>
    <w:rsid w:val="005C39E6"/>
    <w:rsid w:val="005D396D"/>
    <w:rsid w:val="005F2C26"/>
    <w:rsid w:val="005F643B"/>
    <w:rsid w:val="0064659E"/>
    <w:rsid w:val="00664DBB"/>
    <w:rsid w:val="006816F3"/>
    <w:rsid w:val="00681F37"/>
    <w:rsid w:val="00683CCC"/>
    <w:rsid w:val="00696BD4"/>
    <w:rsid w:val="006A01C1"/>
    <w:rsid w:val="006A5576"/>
    <w:rsid w:val="006B3F6A"/>
    <w:rsid w:val="006B63C5"/>
    <w:rsid w:val="006C074E"/>
    <w:rsid w:val="006E1610"/>
    <w:rsid w:val="006E2087"/>
    <w:rsid w:val="006E41D9"/>
    <w:rsid w:val="006F7719"/>
    <w:rsid w:val="007011A0"/>
    <w:rsid w:val="0070266A"/>
    <w:rsid w:val="00705792"/>
    <w:rsid w:val="007071BD"/>
    <w:rsid w:val="0071682D"/>
    <w:rsid w:val="00716C36"/>
    <w:rsid w:val="00751E6D"/>
    <w:rsid w:val="00754EDE"/>
    <w:rsid w:val="0076362B"/>
    <w:rsid w:val="00780FB6"/>
    <w:rsid w:val="00795F98"/>
    <w:rsid w:val="007C5EC1"/>
    <w:rsid w:val="007C6E19"/>
    <w:rsid w:val="007E29E3"/>
    <w:rsid w:val="007E6F95"/>
    <w:rsid w:val="007F1F55"/>
    <w:rsid w:val="007F5960"/>
    <w:rsid w:val="0082554A"/>
    <w:rsid w:val="00852A50"/>
    <w:rsid w:val="00856C60"/>
    <w:rsid w:val="008640F4"/>
    <w:rsid w:val="00864EFC"/>
    <w:rsid w:val="00865557"/>
    <w:rsid w:val="0087202C"/>
    <w:rsid w:val="00881005"/>
    <w:rsid w:val="008C5EE8"/>
    <w:rsid w:val="00926C0F"/>
    <w:rsid w:val="00933499"/>
    <w:rsid w:val="00946B01"/>
    <w:rsid w:val="00967CD8"/>
    <w:rsid w:val="00973A9B"/>
    <w:rsid w:val="00976B49"/>
    <w:rsid w:val="00977792"/>
    <w:rsid w:val="00983B90"/>
    <w:rsid w:val="00994F1E"/>
    <w:rsid w:val="009C164D"/>
    <w:rsid w:val="009C73A5"/>
    <w:rsid w:val="009D06D9"/>
    <w:rsid w:val="009E27AE"/>
    <w:rsid w:val="00A03B34"/>
    <w:rsid w:val="00A13CD0"/>
    <w:rsid w:val="00A27554"/>
    <w:rsid w:val="00A36538"/>
    <w:rsid w:val="00A64954"/>
    <w:rsid w:val="00A668AF"/>
    <w:rsid w:val="00A862B8"/>
    <w:rsid w:val="00A95993"/>
    <w:rsid w:val="00AC0EC4"/>
    <w:rsid w:val="00AD60C7"/>
    <w:rsid w:val="00AF0768"/>
    <w:rsid w:val="00AF1131"/>
    <w:rsid w:val="00AF30BA"/>
    <w:rsid w:val="00AF6B1D"/>
    <w:rsid w:val="00B1360D"/>
    <w:rsid w:val="00B14567"/>
    <w:rsid w:val="00B60902"/>
    <w:rsid w:val="00B675C5"/>
    <w:rsid w:val="00B847C7"/>
    <w:rsid w:val="00BA2420"/>
    <w:rsid w:val="00BB39AD"/>
    <w:rsid w:val="00BB60EA"/>
    <w:rsid w:val="00C23193"/>
    <w:rsid w:val="00C346D8"/>
    <w:rsid w:val="00C81C19"/>
    <w:rsid w:val="00CA41CD"/>
    <w:rsid w:val="00CA463E"/>
    <w:rsid w:val="00CC4D82"/>
    <w:rsid w:val="00CC75A2"/>
    <w:rsid w:val="00CD5397"/>
    <w:rsid w:val="00D04235"/>
    <w:rsid w:val="00D401F2"/>
    <w:rsid w:val="00D4295B"/>
    <w:rsid w:val="00D4321A"/>
    <w:rsid w:val="00D43353"/>
    <w:rsid w:val="00D51C6D"/>
    <w:rsid w:val="00D74BF4"/>
    <w:rsid w:val="00D9737E"/>
    <w:rsid w:val="00DD6215"/>
    <w:rsid w:val="00DF1989"/>
    <w:rsid w:val="00E24C2E"/>
    <w:rsid w:val="00E322D2"/>
    <w:rsid w:val="00E3541D"/>
    <w:rsid w:val="00E47C96"/>
    <w:rsid w:val="00E609C4"/>
    <w:rsid w:val="00E64AF0"/>
    <w:rsid w:val="00E86672"/>
    <w:rsid w:val="00E95726"/>
    <w:rsid w:val="00EB7BF2"/>
    <w:rsid w:val="00EC30FB"/>
    <w:rsid w:val="00EE786B"/>
    <w:rsid w:val="00F115C7"/>
    <w:rsid w:val="00F21B8B"/>
    <w:rsid w:val="00F2347B"/>
    <w:rsid w:val="00F5154B"/>
    <w:rsid w:val="00F73832"/>
    <w:rsid w:val="00F8015A"/>
    <w:rsid w:val="00F918B6"/>
    <w:rsid w:val="00FA5895"/>
    <w:rsid w:val="00FA606C"/>
    <w:rsid w:val="00FB3054"/>
    <w:rsid w:val="00FC0AA0"/>
    <w:rsid w:val="00FE30A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00714D"/>
  <w15:docId w15:val="{3EB6B2CD-B1F2-434E-B870-B277B136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Antrat1">
    <w:name w:val="heading 1"/>
    <w:basedOn w:val="prastasis"/>
    <w:next w:val="prastasis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prastasis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AF6B1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DB6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DB6"/>
    <w:rPr>
      <w:rFonts w:ascii="Verdana" w:hAnsi="Verdana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1DB6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ailto:info@lb.lt" TargetMode="External"
                 Type="http://schemas.openxmlformats.org/officeDocument/2006/relationships/hyperlink"/>
   <Relationship Id="rId2" Target="https://www.lb.lt/lt/asmens-duomenu-apsauga"
                 TargetMode="External"
                 Type="http://schemas.openxmlformats.org/officeDocument/2006/relationships/hyperlink"/>
</Relationships>
</file>

<file path=word/_rels/footnotes.xml.rels><?xml version="1.0" encoding="UTF-8" standalone="yes"?>
<Relationships xmlns="http://schemas.openxmlformats.org/package/2006/relationships">
   <Relationship Id="rId1"
                 Target="https://ec.europa.eu/info/business-economy-euro/banking-and-finance/international-relations/equivalence-non-eu-financial-frameworks_en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F21A-3444-4F88-ADCE-8A99FEE1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2082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2022-01-24T10:45:00Z</dcterms:created>
  <dc:creator>Evaldas Bareišis</dc:creator>
  <cp:lastModifiedBy>Rima Sereikienė</cp:lastModifiedBy>
  <cp:lastPrinted>2014-07-22T14:03:00Z</cp:lastPrinted>
  <dcterms:modified xsi:type="dcterms:W3CDTF">2022-01-24T10:45:00Z</dcterms:modified>
  <cp:revision>2</cp:revision>
</cp:coreProperties>
</file>