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D825" w14:textId="77777777" w:rsidR="00464018" w:rsidRPr="00464018" w:rsidRDefault="00464018" w:rsidP="00464018">
      <w:pPr>
        <w:spacing w:after="0" w:line="240" w:lineRule="auto"/>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b/>
          <w:bCs/>
          <w:color w:val="000000"/>
          <w:sz w:val="28"/>
          <w:szCs w:val="28"/>
          <w:lang w:val="lt-LT" w:eastAsia="lt-LT"/>
        </w:rPr>
        <w:t>LIETUVOS RESPUBLIKOS SUSISIEKIMO MINISTERIJA</w:t>
      </w:r>
    </w:p>
    <w:p w14:paraId="5386A7C8" w14:textId="77777777" w:rsidR="00464018" w:rsidRPr="00464018" w:rsidRDefault="00464018" w:rsidP="00464018">
      <w:pPr>
        <w:spacing w:after="0" w:line="240" w:lineRule="auto"/>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color w:val="000000"/>
          <w:sz w:val="24"/>
          <w:szCs w:val="24"/>
          <w:lang w:val="lt-LT" w:eastAsia="lt-LT"/>
        </w:rPr>
        <w:t> </w:t>
      </w:r>
    </w:p>
    <w:p w14:paraId="6FDF812A" w14:textId="77777777" w:rsidR="00464018" w:rsidRPr="00464018" w:rsidRDefault="00464018" w:rsidP="00464018">
      <w:pPr>
        <w:spacing w:after="0" w:line="240" w:lineRule="auto"/>
        <w:ind w:left="567" w:right="567"/>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color w:val="000000"/>
          <w:sz w:val="18"/>
          <w:szCs w:val="18"/>
          <w:lang w:val="lt-LT" w:eastAsia="lt-LT"/>
        </w:rPr>
        <w:t>Biudžetinė įstaiga,   Gedimino pr. 17, LT-01505 Vilnius,   tel. (8 5) 261 2363,</w:t>
      </w:r>
    </w:p>
    <w:p w14:paraId="6C6B1C78" w14:textId="77777777" w:rsidR="00464018" w:rsidRPr="00464018" w:rsidRDefault="00464018" w:rsidP="00464018">
      <w:pPr>
        <w:spacing w:after="0" w:line="240" w:lineRule="auto"/>
        <w:ind w:left="567" w:right="567"/>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color w:val="000000"/>
          <w:sz w:val="18"/>
          <w:szCs w:val="18"/>
          <w:lang w:val="lt-LT" w:eastAsia="lt-LT"/>
        </w:rPr>
        <w:t xml:space="preserve">faks. (8 5) 212 4335, el. p. </w:t>
      </w:r>
      <w:proofErr w:type="spellStart"/>
      <w:r w:rsidRPr="00464018">
        <w:rPr>
          <w:rFonts w:ascii="Times New Roman" w:eastAsia="Times New Roman" w:hAnsi="Times New Roman" w:cs="Times New Roman"/>
          <w:color w:val="000000"/>
          <w:sz w:val="18"/>
          <w:szCs w:val="18"/>
          <w:lang w:val="lt-LT" w:eastAsia="lt-LT"/>
        </w:rPr>
        <w:t>sumin@sumin.lt</w:t>
      </w:r>
      <w:proofErr w:type="spellEnd"/>
      <w:r w:rsidRPr="00464018">
        <w:rPr>
          <w:rFonts w:ascii="Times New Roman" w:eastAsia="Times New Roman" w:hAnsi="Times New Roman" w:cs="Times New Roman"/>
          <w:color w:val="000000"/>
          <w:sz w:val="18"/>
          <w:szCs w:val="18"/>
          <w:lang w:val="lt-LT" w:eastAsia="lt-LT"/>
        </w:rPr>
        <w:t>.</w:t>
      </w:r>
    </w:p>
    <w:p w14:paraId="64301D4E" w14:textId="77777777" w:rsidR="00464018" w:rsidRPr="00464018" w:rsidRDefault="00464018" w:rsidP="00464018">
      <w:pPr>
        <w:spacing w:after="0" w:line="240" w:lineRule="auto"/>
        <w:ind w:left="567" w:right="567"/>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color w:val="000000"/>
          <w:sz w:val="18"/>
          <w:szCs w:val="18"/>
          <w:lang w:val="lt-LT" w:eastAsia="lt-LT"/>
        </w:rPr>
        <w:t>Duomenys kaupiami ir saugomi Juridinių asmenų registre,   kodas 188620589</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9632"/>
      </w:tblGrid>
      <w:tr w:rsidR="00464018" w:rsidRPr="007C4179" w14:paraId="6BBA5F39" w14:textId="77777777" w:rsidTr="00464018">
        <w:trPr>
          <w:gridAfter w:val="1"/>
          <w:tblCellSpacing w:w="0" w:type="dxa"/>
        </w:trPr>
        <w:tc>
          <w:tcPr>
            <w:tcW w:w="15" w:type="dxa"/>
            <w:vAlign w:val="center"/>
            <w:hideMark/>
          </w:tcPr>
          <w:p w14:paraId="24E120F7" w14:textId="77777777" w:rsidR="00464018" w:rsidRPr="00464018" w:rsidRDefault="00464018" w:rsidP="00464018">
            <w:pPr>
              <w:spacing w:after="0" w:line="240" w:lineRule="auto"/>
              <w:rPr>
                <w:rFonts w:ascii="Times New Roman" w:eastAsia="Times New Roman" w:hAnsi="Times New Roman" w:cs="Times New Roman"/>
                <w:color w:val="000000"/>
                <w:sz w:val="20"/>
                <w:szCs w:val="20"/>
                <w:lang w:val="lt-LT" w:eastAsia="lt-LT"/>
              </w:rPr>
            </w:pPr>
          </w:p>
        </w:tc>
      </w:tr>
      <w:tr w:rsidR="00464018" w:rsidRPr="00464018" w14:paraId="4289BD34" w14:textId="77777777" w:rsidTr="00464018">
        <w:trPr>
          <w:tblCellSpacing w:w="0" w:type="dxa"/>
        </w:trPr>
        <w:tc>
          <w:tcPr>
            <w:tcW w:w="0" w:type="auto"/>
            <w:vAlign w:val="center"/>
            <w:hideMark/>
          </w:tcPr>
          <w:p w14:paraId="67E3F016" w14:textId="77777777" w:rsidR="00464018" w:rsidRPr="00464018" w:rsidRDefault="00464018" w:rsidP="00464018">
            <w:pPr>
              <w:spacing w:after="0" w:line="240" w:lineRule="auto"/>
              <w:rPr>
                <w:rFonts w:ascii="Times New Roman" w:eastAsia="Times New Roman" w:hAnsi="Times New Roman" w:cs="Times New Roman"/>
                <w:sz w:val="20"/>
                <w:szCs w:val="20"/>
                <w:lang w:val="lt-LT" w:eastAsia="lt-LT"/>
              </w:rPr>
            </w:pPr>
          </w:p>
        </w:tc>
        <w:tc>
          <w:tcPr>
            <w:tcW w:w="0" w:type="auto"/>
            <w:vAlign w:val="center"/>
            <w:hideMark/>
          </w:tcPr>
          <w:p w14:paraId="2E7E68DD" w14:textId="77777777" w:rsidR="00464018" w:rsidRPr="00464018" w:rsidRDefault="00464018" w:rsidP="00464018">
            <w:pPr>
              <w:spacing w:after="0" w:line="240" w:lineRule="auto"/>
              <w:rPr>
                <w:rFonts w:ascii="Times New Roman" w:eastAsia="Times New Roman" w:hAnsi="Times New Roman" w:cs="Times New Roman"/>
                <w:sz w:val="24"/>
                <w:szCs w:val="24"/>
                <w:lang w:val="lt-LT" w:eastAsia="lt-LT"/>
              </w:rPr>
            </w:pPr>
            <w:r w:rsidRPr="00464018">
              <w:rPr>
                <w:rFonts w:ascii="Times New Roman" w:eastAsia="Times New Roman" w:hAnsi="Times New Roman" w:cs="Times New Roman"/>
                <w:noProof/>
                <w:sz w:val="24"/>
                <w:szCs w:val="24"/>
                <w:lang w:val="lt-LT" w:eastAsia="lt-LT"/>
              </w:rPr>
              <w:drawing>
                <wp:inline distT="0" distB="0" distL="0" distR="0" wp14:anchorId="5E9E3874" wp14:editId="76E89AB8">
                  <wp:extent cx="613410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100" cy="7620"/>
                          </a:xfrm>
                          <a:prstGeom prst="rect">
                            <a:avLst/>
                          </a:prstGeom>
                          <a:noFill/>
                          <a:ln>
                            <a:noFill/>
                          </a:ln>
                        </pic:spPr>
                      </pic:pic>
                    </a:graphicData>
                  </a:graphic>
                </wp:inline>
              </w:drawing>
            </w:r>
          </w:p>
        </w:tc>
      </w:tr>
    </w:tbl>
    <w:p w14:paraId="392C4257" w14:textId="77777777" w:rsidR="00464018" w:rsidRPr="00464018" w:rsidRDefault="00464018" w:rsidP="00464018">
      <w:pPr>
        <w:spacing w:after="0" w:line="240" w:lineRule="auto"/>
        <w:jc w:val="center"/>
        <w:rPr>
          <w:rFonts w:ascii="Times New Roman" w:eastAsia="Times New Roman" w:hAnsi="Times New Roman" w:cs="Times New Roman"/>
          <w:color w:val="000000"/>
          <w:sz w:val="20"/>
          <w:szCs w:val="20"/>
          <w:lang w:val="lt-LT" w:eastAsia="lt-LT"/>
        </w:rPr>
      </w:pPr>
      <w:r w:rsidRPr="00464018">
        <w:rPr>
          <w:rFonts w:ascii="Times New Roman" w:eastAsia="Times New Roman" w:hAnsi="Times New Roman" w:cs="Times New Roman"/>
          <w:color w:val="000000"/>
          <w:sz w:val="20"/>
          <w:szCs w:val="20"/>
          <w:lang w:val="lt-LT" w:eastAsia="lt-LT"/>
        </w:rPr>
        <w:br w:type="textWrapping" w:clear="all"/>
      </w:r>
    </w:p>
    <w:tbl>
      <w:tblPr>
        <w:tblW w:w="9780" w:type="dxa"/>
        <w:tblCellMar>
          <w:left w:w="0" w:type="dxa"/>
          <w:right w:w="0" w:type="dxa"/>
        </w:tblCellMar>
        <w:tblLook w:val="04A0" w:firstRow="1" w:lastRow="0" w:firstColumn="1" w:lastColumn="0" w:noHBand="0" w:noVBand="1"/>
      </w:tblPr>
      <w:tblGrid>
        <w:gridCol w:w="5244"/>
        <w:gridCol w:w="567"/>
        <w:gridCol w:w="3969"/>
      </w:tblGrid>
      <w:tr w:rsidR="00464018" w:rsidRPr="00464018" w14:paraId="000AECC6" w14:textId="77777777" w:rsidTr="00464018">
        <w:trPr>
          <w:trHeight w:val="749"/>
        </w:trPr>
        <w:tc>
          <w:tcPr>
            <w:tcW w:w="5245" w:type="dxa"/>
            <w:tcMar>
              <w:top w:w="0" w:type="dxa"/>
              <w:left w:w="108" w:type="dxa"/>
              <w:bottom w:w="0" w:type="dxa"/>
              <w:right w:w="108" w:type="dxa"/>
            </w:tcMar>
            <w:hideMark/>
          </w:tcPr>
          <w:p w14:paraId="71F9E443"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Respublikos aplinkos ministerijai</w:t>
            </w:r>
          </w:p>
          <w:p w14:paraId="1AB6C452"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Respublikos finansų ministerijai</w:t>
            </w:r>
          </w:p>
          <w:p w14:paraId="70963981"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Respublikos teisingumo ministerijai</w:t>
            </w:r>
          </w:p>
          <w:p w14:paraId="4E290126"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Respublikos žemės ūkio ministerijai</w:t>
            </w:r>
          </w:p>
          <w:p w14:paraId="161DEF3E"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transporto saugos administracijai</w:t>
            </w:r>
          </w:p>
          <w:p w14:paraId="156FC83C"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VĮ Klaipėdos valstybinio jūrų uosto direkcijai</w:t>
            </w:r>
          </w:p>
          <w:p w14:paraId="7C616DCD"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jūrų krovos kompanijų asociacijai</w:t>
            </w:r>
          </w:p>
          <w:p w14:paraId="40BE40AB"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laivybos agentų ir ekspeditorių asociacijai</w:t>
            </w:r>
          </w:p>
          <w:p w14:paraId="5DC3A8E0"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laivų savininkų asociacijai</w:t>
            </w:r>
          </w:p>
          <w:p w14:paraId="36328187"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Lietuvos laivų statytojų ir remontininkų asociacijai</w:t>
            </w:r>
          </w:p>
          <w:p w14:paraId="4A9FDDF3" w14:textId="77777777" w:rsidR="00464018" w:rsidRPr="00464018" w:rsidRDefault="00464018" w:rsidP="00464018">
            <w:pPr>
              <w:spacing w:before="40" w:after="0" w:line="240" w:lineRule="auto"/>
              <w:ind w:left="-105"/>
              <w:outlineLvl w:val="1"/>
              <w:rPr>
                <w:rFonts w:ascii="Calibri Light" w:eastAsia="Times New Roman" w:hAnsi="Calibri Light" w:cs="Calibri Light"/>
                <w:color w:val="2F5496"/>
                <w:lang w:val="lt-LT" w:eastAsia="lt-LT"/>
              </w:rPr>
            </w:pPr>
            <w:r w:rsidRPr="00464018">
              <w:rPr>
                <w:rFonts w:ascii="Times New Roman" w:eastAsia="Times New Roman" w:hAnsi="Times New Roman" w:cs="Times New Roman"/>
                <w:color w:val="000000"/>
                <w:lang w:val="lt-LT" w:eastAsia="lt-LT"/>
              </w:rPr>
              <w:t>AB „Smiltynės perkėla“</w:t>
            </w:r>
          </w:p>
          <w:p w14:paraId="72129F2C" w14:textId="77777777" w:rsidR="00464018" w:rsidRPr="00464018" w:rsidRDefault="00464018" w:rsidP="00464018">
            <w:pPr>
              <w:spacing w:before="40" w:after="0" w:line="240" w:lineRule="auto"/>
              <w:ind w:left="-105"/>
              <w:outlineLvl w:val="2"/>
              <w:rPr>
                <w:rFonts w:ascii="Calibri Light" w:eastAsia="Times New Roman" w:hAnsi="Calibri Light" w:cs="Calibri Light"/>
                <w:color w:val="1F3763"/>
                <w:lang w:val="lt-LT" w:eastAsia="lt-LT"/>
              </w:rPr>
            </w:pPr>
            <w:r w:rsidRPr="00464018">
              <w:rPr>
                <w:rFonts w:ascii="Times New Roman" w:eastAsia="Times New Roman" w:hAnsi="Times New Roman" w:cs="Times New Roman"/>
                <w:color w:val="000000"/>
                <w:lang w:val="lt-LT" w:eastAsia="lt-LT"/>
              </w:rPr>
              <w:t> </w:t>
            </w:r>
          </w:p>
          <w:p w14:paraId="4F714A67" w14:textId="77777777" w:rsidR="00464018" w:rsidRPr="00464018" w:rsidRDefault="00464018" w:rsidP="00464018">
            <w:pPr>
              <w:spacing w:before="40" w:after="0" w:line="240" w:lineRule="auto"/>
              <w:ind w:left="-105"/>
              <w:outlineLvl w:val="2"/>
              <w:rPr>
                <w:rFonts w:ascii="Calibri Light" w:eastAsia="Times New Roman" w:hAnsi="Calibri Light" w:cs="Calibri Light"/>
                <w:color w:val="1F3763"/>
                <w:lang w:val="lt-LT" w:eastAsia="lt-LT"/>
              </w:rPr>
            </w:pPr>
            <w:r w:rsidRPr="00464018">
              <w:rPr>
                <w:rFonts w:ascii="Times New Roman" w:eastAsia="Times New Roman" w:hAnsi="Times New Roman" w:cs="Times New Roman"/>
                <w:color w:val="000000"/>
                <w:lang w:val="lt-LT" w:eastAsia="lt-LT"/>
              </w:rPr>
              <w:t> </w:t>
            </w:r>
          </w:p>
        </w:tc>
        <w:tc>
          <w:tcPr>
            <w:tcW w:w="567" w:type="dxa"/>
            <w:tcMar>
              <w:top w:w="0" w:type="dxa"/>
              <w:left w:w="108" w:type="dxa"/>
              <w:bottom w:w="0" w:type="dxa"/>
              <w:right w:w="108" w:type="dxa"/>
            </w:tcMar>
            <w:hideMark/>
          </w:tcPr>
          <w:p w14:paraId="48402F27" w14:textId="77777777" w:rsidR="00464018" w:rsidRPr="00464018" w:rsidRDefault="00464018" w:rsidP="00464018">
            <w:pPr>
              <w:spacing w:after="0" w:line="240" w:lineRule="auto"/>
              <w:ind w:left="-110"/>
              <w:jc w:val="center"/>
              <w:rPr>
                <w:rFonts w:ascii="Times New Roman" w:eastAsia="Times New Roman" w:hAnsi="Times New Roman" w:cs="Times New Roman"/>
                <w:lang w:val="lt-LT" w:eastAsia="lt-LT"/>
              </w:rPr>
            </w:pPr>
            <w:r w:rsidRPr="00464018">
              <w:rPr>
                <w:rFonts w:ascii="Times New Roman" w:eastAsia="Times New Roman" w:hAnsi="Times New Roman" w:cs="Times New Roman"/>
                <w:color w:val="000000"/>
                <w:lang w:val="lt-LT" w:eastAsia="lt-LT"/>
              </w:rPr>
              <w:t> </w:t>
            </w:r>
          </w:p>
        </w:tc>
        <w:tc>
          <w:tcPr>
            <w:tcW w:w="3969" w:type="dxa"/>
            <w:tcMar>
              <w:top w:w="0" w:type="dxa"/>
              <w:left w:w="108" w:type="dxa"/>
              <w:bottom w:w="0" w:type="dxa"/>
              <w:right w:w="108" w:type="dxa"/>
            </w:tcMar>
            <w:hideMark/>
          </w:tcPr>
          <w:p w14:paraId="615DCDEC" w14:textId="77777777" w:rsidR="00464018" w:rsidRPr="00464018" w:rsidRDefault="00464018" w:rsidP="00464018">
            <w:pPr>
              <w:spacing w:after="0" w:line="240" w:lineRule="auto"/>
              <w:ind w:left="-110"/>
              <w:jc w:val="both"/>
              <w:rPr>
                <w:rFonts w:ascii="Times New Roman" w:eastAsia="Times New Roman" w:hAnsi="Times New Roman" w:cs="Times New Roman"/>
                <w:lang w:val="lt-LT" w:eastAsia="lt-LT"/>
              </w:rPr>
            </w:pPr>
            <w:r w:rsidRPr="00464018">
              <w:rPr>
                <w:rFonts w:ascii="Times New Roman" w:eastAsia="Times New Roman" w:hAnsi="Times New Roman" w:cs="Times New Roman"/>
                <w:color w:val="000000"/>
                <w:lang w:val="lt-LT" w:eastAsia="lt-LT"/>
              </w:rPr>
              <w:t>                        2021-09-      Nr.       </w:t>
            </w:r>
          </w:p>
          <w:p w14:paraId="66B1C002" w14:textId="77777777" w:rsidR="00464018" w:rsidRPr="00464018" w:rsidRDefault="00464018" w:rsidP="00464018">
            <w:pPr>
              <w:spacing w:after="0" w:line="240" w:lineRule="auto"/>
              <w:ind w:left="-110"/>
              <w:jc w:val="both"/>
              <w:rPr>
                <w:rFonts w:ascii="Times New Roman" w:eastAsia="Times New Roman" w:hAnsi="Times New Roman" w:cs="Times New Roman"/>
                <w:lang w:val="lt-LT" w:eastAsia="lt-LT"/>
              </w:rPr>
            </w:pPr>
            <w:r w:rsidRPr="00464018">
              <w:rPr>
                <w:rFonts w:ascii="Times New Roman" w:eastAsia="Times New Roman" w:hAnsi="Times New Roman" w:cs="Times New Roman"/>
                <w:color w:val="000000"/>
                <w:lang w:val="lt-LT" w:eastAsia="lt-LT"/>
              </w:rPr>
              <w:t> </w:t>
            </w:r>
          </w:p>
          <w:p w14:paraId="4C1FEE6F" w14:textId="77777777" w:rsidR="00464018" w:rsidRPr="00464018" w:rsidRDefault="00464018" w:rsidP="00464018">
            <w:pPr>
              <w:spacing w:after="0" w:line="240" w:lineRule="auto"/>
              <w:ind w:left="-110"/>
              <w:rPr>
                <w:rFonts w:ascii="Times New Roman" w:eastAsia="Times New Roman" w:hAnsi="Times New Roman" w:cs="Times New Roman"/>
                <w:lang w:val="lt-LT" w:eastAsia="lt-LT"/>
              </w:rPr>
            </w:pPr>
            <w:r w:rsidRPr="00464018">
              <w:rPr>
                <w:rFonts w:ascii="Times New Roman" w:eastAsia="Times New Roman" w:hAnsi="Times New Roman" w:cs="Times New Roman"/>
                <w:color w:val="000000"/>
                <w:lang w:val="lt-LT" w:eastAsia="lt-LT"/>
              </w:rPr>
              <w:t> </w:t>
            </w:r>
          </w:p>
        </w:tc>
      </w:tr>
    </w:tbl>
    <w:p w14:paraId="3E2A103E" w14:textId="77777777" w:rsidR="00464018" w:rsidRPr="00464018" w:rsidRDefault="00464018" w:rsidP="00464018">
      <w:pPr>
        <w:spacing w:after="0" w:line="220" w:lineRule="atLeast"/>
        <w:jc w:val="both"/>
        <w:rPr>
          <w:rFonts w:ascii="Times New Roman" w:eastAsia="Times New Roman" w:hAnsi="Times New Roman" w:cs="Times New Roman"/>
          <w:color w:val="000000"/>
          <w:lang w:val="lt-LT" w:eastAsia="lt-LT"/>
        </w:rPr>
      </w:pPr>
      <w:bookmarkStart w:id="0" w:name="_Hlk63993365"/>
      <w:r w:rsidRPr="00464018">
        <w:rPr>
          <w:rFonts w:ascii="Times New Roman" w:eastAsia="Times New Roman" w:hAnsi="Times New Roman" w:cs="Times New Roman"/>
          <w:b/>
          <w:bCs/>
          <w:color w:val="000000"/>
          <w:lang w:val="lt-LT" w:eastAsia="lt-LT"/>
        </w:rPr>
        <w:t>DĖL TEISĖS AKTŲ PROJEKTŲ PATEIKIMO IŠVADOMS GAUTI       </w:t>
      </w:r>
      <w:bookmarkEnd w:id="0"/>
    </w:p>
    <w:p w14:paraId="6EBDE9B9" w14:textId="77777777" w:rsidR="00464018" w:rsidRPr="00464018" w:rsidRDefault="00464018" w:rsidP="00464018">
      <w:pPr>
        <w:spacing w:after="0" w:line="240" w:lineRule="auto"/>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 </w:t>
      </w:r>
    </w:p>
    <w:p w14:paraId="06BC4576"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Lietuvos Respublikos susisiekimo ministerija parengė ir teikia išvadoms gauti Lietuvos Respublikos Vyriausybės 2008 m. kovo 5 d. nutarimo Nr. 245 „</w:t>
      </w:r>
      <w:r w:rsidRPr="00464018">
        <w:rPr>
          <w:rFonts w:ascii="Times New Roman" w:eastAsia="Times New Roman" w:hAnsi="Times New Roman" w:cs="Times New Roman"/>
          <w:color w:val="000000"/>
          <w:shd w:val="clear" w:color="auto" w:fill="FFFFFF"/>
          <w:lang w:val="lt-LT" w:eastAsia="lt-LT"/>
        </w:rPr>
        <w:t>Dėl Klaipėdos valstybinio jūrų uosto rinkliavų rūšių, jų maksimalių dydžių ir taikymo principų patvirtinimo</w:t>
      </w:r>
      <w:r w:rsidRPr="00464018">
        <w:rPr>
          <w:rFonts w:ascii="Times New Roman" w:eastAsia="Times New Roman" w:hAnsi="Times New Roman" w:cs="Times New Roman"/>
          <w:color w:val="000000"/>
          <w:lang w:val="lt-LT" w:eastAsia="lt-LT"/>
        </w:rPr>
        <w:t>“ pakeitimo projektą ir Lietuvos Respublikos susisiekimo ministro 2008 m. birželio 30 d. įsakymo Nr. 3-246 „Dėl Klaipėdos valstybinio jūrų uosto rinkliavų taikymo taisyklių“ pakeitimo projektą (toliau – Projektai).</w:t>
      </w:r>
    </w:p>
    <w:p w14:paraId="7FC17F07"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Projektai teikiami, nes į nacionalinę teisę privalu perkelti 2019 m. balandžio 17 d. Europos Parlamento ir Tarybos direktyvos (ES) 2019/883 dėl uosto priėmimo įrenginių, į kuriuos pristatomos laivų atliekos, kuria iš dalies keičiama Direktyva 2010/65/ES ir panaikinama Direktyva 2000/59/EB (toliau – Direktyva (ES) 2019/883)</w:t>
      </w:r>
      <w:bookmarkStart w:id="1" w:name="_ftnref1"/>
      <w:r w:rsidRPr="00464018">
        <w:rPr>
          <w:rFonts w:ascii="Times New Roman" w:eastAsia="Times New Roman" w:hAnsi="Times New Roman" w:cs="Times New Roman"/>
          <w:color w:val="000000"/>
          <w:lang w:val="lt-LT" w:eastAsia="lt-LT"/>
        </w:rPr>
        <w:fldChar w:fldCharType="begin"/>
      </w:r>
      <w:r w:rsidRPr="00464018">
        <w:rPr>
          <w:rFonts w:ascii="Times New Roman" w:eastAsia="Times New Roman" w:hAnsi="Times New Roman" w:cs="Times New Roman"/>
          <w:color w:val="000000"/>
          <w:lang w:val="lt-LT" w:eastAsia="lt-LT"/>
        </w:rPr>
        <w:instrText xml:space="preserve"> HYPERLINK "https://e-seimas.lrs.lt/rs/legalact/TAK/66a869c1206d11ecad9fbbf5f006237b/" \l "_ftn1" \o "" \t "_parent" </w:instrText>
      </w:r>
      <w:r w:rsidRPr="00464018">
        <w:rPr>
          <w:rFonts w:ascii="Times New Roman" w:eastAsia="Times New Roman" w:hAnsi="Times New Roman" w:cs="Times New Roman"/>
          <w:color w:val="000000"/>
          <w:lang w:val="lt-LT" w:eastAsia="lt-LT"/>
        </w:rPr>
        <w:fldChar w:fldCharType="separate"/>
      </w:r>
      <w:r w:rsidRPr="00464018">
        <w:rPr>
          <w:rFonts w:ascii="Times New Roman" w:eastAsia="Times New Roman" w:hAnsi="Times New Roman" w:cs="Times New Roman"/>
          <w:color w:val="000000"/>
          <w:u w:val="single"/>
          <w:vertAlign w:val="superscript"/>
          <w:lang w:val="lt-LT" w:eastAsia="lt-LT"/>
        </w:rPr>
        <w:t>[1]</w:t>
      </w:r>
      <w:r w:rsidRPr="00464018">
        <w:rPr>
          <w:rFonts w:ascii="Times New Roman" w:eastAsia="Times New Roman" w:hAnsi="Times New Roman" w:cs="Times New Roman"/>
          <w:color w:val="000000"/>
          <w:lang w:val="lt-LT" w:eastAsia="lt-LT"/>
        </w:rPr>
        <w:fldChar w:fldCharType="end"/>
      </w:r>
      <w:bookmarkEnd w:id="1"/>
      <w:r w:rsidRPr="00464018">
        <w:rPr>
          <w:rFonts w:ascii="Times New Roman" w:eastAsia="Times New Roman" w:hAnsi="Times New Roman" w:cs="Times New Roman"/>
          <w:color w:val="000000"/>
          <w:lang w:val="lt-LT" w:eastAsia="lt-LT"/>
        </w:rPr>
        <w:t>, reikalavimus. Minėtos direktyvos reikalavimų neatitinka šiuo metu taikomi sanitarinės rinkliavos dydžiai ir uosto rinkliavų taikymo taisyklių išimčių dalies 46.4 p. nuostatos, taip pat siūlomi ir kiti pakeitimai.</w:t>
      </w:r>
    </w:p>
    <w:p w14:paraId="3D333477"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Pokyčiai:</w:t>
      </w:r>
    </w:p>
    <w:p w14:paraId="270A97BD" w14:textId="5C6C0819" w:rsidR="002252E9" w:rsidRPr="002252E9" w:rsidRDefault="00464018" w:rsidP="002252E9">
      <w:pPr>
        <w:pStyle w:val="Sraopastraipa"/>
        <w:numPr>
          <w:ilvl w:val="0"/>
          <w:numId w:val="1"/>
        </w:numPr>
        <w:spacing w:after="0" w:line="240" w:lineRule="auto"/>
        <w:jc w:val="both"/>
        <w:rPr>
          <w:rFonts w:ascii="Times New Roman" w:eastAsia="Times New Roman" w:hAnsi="Times New Roman" w:cs="Times New Roman"/>
          <w:color w:val="000000"/>
          <w:lang w:val="lt-LT" w:eastAsia="lt-LT"/>
        </w:rPr>
      </w:pPr>
      <w:commentRangeStart w:id="2"/>
      <w:r w:rsidRPr="002252E9">
        <w:rPr>
          <w:rFonts w:ascii="Times New Roman" w:eastAsia="Times New Roman" w:hAnsi="Times New Roman" w:cs="Times New Roman"/>
          <w:color w:val="000000"/>
          <w:lang w:val="lt-LT" w:eastAsia="lt-LT"/>
        </w:rPr>
        <w:t>Mažinamas sanitarinės rinkliavos dydis</w:t>
      </w:r>
      <w:commentRangeEnd w:id="2"/>
      <w:r w:rsidR="002252E9">
        <w:rPr>
          <w:rStyle w:val="Komentaronuoroda"/>
        </w:rPr>
        <w:commentReference w:id="2"/>
      </w:r>
      <w:r w:rsidRPr="002252E9">
        <w:rPr>
          <w:rFonts w:ascii="Times New Roman" w:eastAsia="Times New Roman" w:hAnsi="Times New Roman" w:cs="Times New Roman"/>
          <w:color w:val="000000"/>
          <w:lang w:val="lt-LT" w:eastAsia="lt-LT"/>
        </w:rPr>
        <w:t>.</w:t>
      </w:r>
    </w:p>
    <w:p w14:paraId="1306D355" w14:textId="11E70016" w:rsidR="002252E9" w:rsidRDefault="002252E9" w:rsidP="002252E9">
      <w:pPr>
        <w:pStyle w:val="Sraopastraipa"/>
        <w:spacing w:after="0" w:line="240" w:lineRule="auto"/>
        <w:ind w:left="1080"/>
        <w:jc w:val="both"/>
        <w:rPr>
          <w:rFonts w:ascii="Times New Roman" w:eastAsia="Times New Roman" w:hAnsi="Times New Roman" w:cs="Times New Roman"/>
          <w:color w:val="000000"/>
          <w:lang w:val="lt-LT" w:eastAsia="lt-LT"/>
        </w:rPr>
      </w:pPr>
      <w:r w:rsidRPr="002252E9">
        <w:rPr>
          <w:noProof/>
        </w:rPr>
        <w:drawing>
          <wp:inline distT="0" distB="0" distL="0" distR="0" wp14:anchorId="65FB11F9" wp14:editId="2F37F3CF">
            <wp:extent cx="6120130" cy="516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516255"/>
                    </a:xfrm>
                    <a:prstGeom prst="rect">
                      <a:avLst/>
                    </a:prstGeom>
                  </pic:spPr>
                </pic:pic>
              </a:graphicData>
            </a:graphic>
          </wp:inline>
        </w:drawing>
      </w:r>
    </w:p>
    <w:p w14:paraId="70709C0F" w14:textId="48F2507E" w:rsidR="00464018" w:rsidRPr="002252E9" w:rsidRDefault="00464018" w:rsidP="002252E9">
      <w:pPr>
        <w:spacing w:after="0" w:line="240" w:lineRule="auto"/>
        <w:jc w:val="both"/>
        <w:rPr>
          <w:rFonts w:ascii="Times New Roman" w:eastAsia="Times New Roman" w:hAnsi="Times New Roman" w:cs="Times New Roman"/>
          <w:color w:val="000000"/>
          <w:lang w:val="lt-LT" w:eastAsia="lt-LT"/>
        </w:rPr>
      </w:pPr>
      <w:r w:rsidRPr="002252E9">
        <w:rPr>
          <w:rFonts w:ascii="Times New Roman" w:eastAsia="Times New Roman" w:hAnsi="Times New Roman" w:cs="Times New Roman"/>
          <w:color w:val="000000"/>
          <w:lang w:val="lt-LT" w:eastAsia="lt-LT"/>
        </w:rPr>
        <w:t xml:space="preserve"> Tikslas – atitikti anksčiau minėtos direktyvos reikalavimus ir surenkamą sanitarinės rinkliavos metinę sumą priartinti prie realiai patiriamų sąnaudų (savikainos). Uosto rinkliavų taikymo taisyklių išimčių dalies 46.4 punktas išdėstomas nauja redakcija. Siekiant išlaikyti bendrą pajamų iš surenkamų rinkliavų metinį lygį, sanitarinės rinkliavos įkainio pokyčio skirtumas pridedamas prie krantinės rinkliavos.</w:t>
      </w:r>
    </w:p>
    <w:p w14:paraId="2B1FDBB2"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2. Naikinama navigacinė rinkliava. Tikslas – supaprastinti rinkliavų struktūrą ir sumažinti rinkliavų rūšių skaičių. Navigacinės rinkliavos įkainio pokyčio skirtumas pridedamas prie laivo rinkliavos.</w:t>
      </w:r>
    </w:p>
    <w:p w14:paraId="003BF30A"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3. Keičiama akvatorijos rinkliava, kurios siūlomi dydžiai apskaičiuoti pagal realiai patiriamas sąnaudas (savikainą). Įkainio pokyčio skirtumas pridedamas prie laivo rinkliavos. Šio pokyčio tikslas – teikiamos locmano paslaugos įkainio aiškumas klientui.</w:t>
      </w:r>
    </w:p>
    <w:p w14:paraId="16E78307"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 xml:space="preserve">4. </w:t>
      </w:r>
      <w:commentRangeStart w:id="3"/>
      <w:r w:rsidRPr="00464018">
        <w:rPr>
          <w:rFonts w:ascii="Times New Roman" w:eastAsia="Times New Roman" w:hAnsi="Times New Roman" w:cs="Times New Roman"/>
          <w:color w:val="000000"/>
          <w:lang w:val="lt-LT" w:eastAsia="lt-LT"/>
        </w:rPr>
        <w:t xml:space="preserve">Siūloma tonažo rinkliavos nuolaidos skaičiavimui naudoti tik vasaros DWT. 1966 m. Tarptautinės konvencijos dėl laivų krovininės </w:t>
      </w:r>
      <w:proofErr w:type="spellStart"/>
      <w:r w:rsidRPr="00464018">
        <w:rPr>
          <w:rFonts w:ascii="Times New Roman" w:eastAsia="Times New Roman" w:hAnsi="Times New Roman" w:cs="Times New Roman"/>
          <w:color w:val="000000"/>
          <w:lang w:val="lt-LT" w:eastAsia="lt-LT"/>
        </w:rPr>
        <w:t>vaterlinijos</w:t>
      </w:r>
      <w:proofErr w:type="spellEnd"/>
      <w:r w:rsidRPr="00464018">
        <w:rPr>
          <w:rFonts w:ascii="Times New Roman" w:eastAsia="Times New Roman" w:hAnsi="Times New Roman" w:cs="Times New Roman"/>
          <w:color w:val="000000"/>
          <w:lang w:val="lt-LT" w:eastAsia="lt-LT"/>
        </w:rPr>
        <w:t xml:space="preserve"> nustatymo 51 taisyklė numato: „&lt;...&gt; Baltijos jūra – ši </w:t>
      </w:r>
      <w:proofErr w:type="spellStart"/>
      <w:r w:rsidRPr="00464018">
        <w:rPr>
          <w:rFonts w:ascii="Times New Roman" w:eastAsia="Times New Roman" w:hAnsi="Times New Roman" w:cs="Times New Roman"/>
          <w:color w:val="000000"/>
          <w:lang w:val="lt-LT" w:eastAsia="lt-LT"/>
        </w:rPr>
        <w:t>Skagerako</w:t>
      </w:r>
      <w:proofErr w:type="spellEnd"/>
      <w:r w:rsidRPr="00464018">
        <w:rPr>
          <w:rFonts w:ascii="Times New Roman" w:eastAsia="Times New Roman" w:hAnsi="Times New Roman" w:cs="Times New Roman"/>
          <w:color w:val="000000"/>
          <w:lang w:val="lt-LT" w:eastAsia="lt-LT"/>
        </w:rPr>
        <w:t xml:space="preserve"> sąsiauryje </w:t>
      </w:r>
      <w:proofErr w:type="spellStart"/>
      <w:r w:rsidRPr="00464018">
        <w:rPr>
          <w:rFonts w:ascii="Times New Roman" w:eastAsia="Times New Roman" w:hAnsi="Times New Roman" w:cs="Times New Roman"/>
          <w:color w:val="000000"/>
          <w:lang w:val="lt-LT" w:eastAsia="lt-LT"/>
        </w:rPr>
        <w:t>Skageno</w:t>
      </w:r>
      <w:proofErr w:type="spellEnd"/>
      <w:r w:rsidRPr="00464018">
        <w:rPr>
          <w:rFonts w:ascii="Times New Roman" w:eastAsia="Times New Roman" w:hAnsi="Times New Roman" w:cs="Times New Roman"/>
          <w:color w:val="000000"/>
          <w:lang w:val="lt-LT" w:eastAsia="lt-LT"/>
        </w:rPr>
        <w:t xml:space="preserve"> kyšulio lygiagrete apribota jūra įtraukta į vasaros zonas, tačiau 100 m (328 pėdų) ilgio ir trumpesniems laivams numatyta, kad ši jūra yra žiemos sezoninis rajonas. Sezoniniai periodai: ŽIEMA: nuo lapkričio 1 d. iki kovo 31 d.; VASARA: nuo balandžio 1 d. iki spalio 31 d. &lt;...&gt;“.</w:t>
      </w:r>
    </w:p>
    <w:p w14:paraId="4A9A6674"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lastRenderedPageBreak/>
        <w:t>Pagal šią nuostatą laivams, ilgesniems nei 100 m, nėra taikomas sezoniškumo principas, todėl skaičiuojant rinkliavas naudojamas vasaros DWT, o laivams, trumpesniems negu 100 m, DWT taikymas kinta: žiemos DWT – nuo lapkričio 1 d. iki kovo 31 d., o vasaros DWT – nuo balandžio 1 d. iki spalio 31 d. Esminė tokio taikymo problematika yra duomenų ir tinkamų dokumentų trūkumas, nes dažniausiai informacinėse sistemose nurodomas vasaros DWT, o sertifikuotų ar kvalifikacinių bendrovių patvirtintų dokumentų laivams iki 100 m, kur būtų nurodomas vasaros / žiemos DWT, nėra, tad naudojami laivo kapitonų pateikiami laivo duomenys (</w:t>
      </w:r>
      <w:proofErr w:type="spellStart"/>
      <w:r w:rsidRPr="00464018">
        <w:rPr>
          <w:rFonts w:ascii="Times New Roman" w:eastAsia="Times New Roman" w:hAnsi="Times New Roman" w:cs="Times New Roman"/>
          <w:color w:val="000000"/>
          <w:lang w:val="lt-LT" w:eastAsia="lt-LT"/>
        </w:rPr>
        <w:t>ang</w:t>
      </w:r>
      <w:proofErr w:type="spellEnd"/>
      <w:r w:rsidRPr="00464018">
        <w:rPr>
          <w:rFonts w:ascii="Times New Roman" w:eastAsia="Times New Roman" w:hAnsi="Times New Roman" w:cs="Times New Roman"/>
          <w:color w:val="000000"/>
          <w:lang w:val="lt-LT" w:eastAsia="lt-LT"/>
        </w:rPr>
        <w:t>. </w:t>
      </w:r>
      <w:proofErr w:type="spellStart"/>
      <w:r w:rsidRPr="00464018">
        <w:rPr>
          <w:rFonts w:ascii="Times New Roman" w:eastAsia="Times New Roman" w:hAnsi="Times New Roman" w:cs="Times New Roman"/>
          <w:i/>
          <w:iCs/>
          <w:color w:val="000000"/>
          <w:lang w:val="lt-LT" w:eastAsia="lt-LT"/>
        </w:rPr>
        <w:t>ship‘s</w:t>
      </w:r>
      <w:proofErr w:type="spellEnd"/>
      <w:r w:rsidRPr="00464018">
        <w:rPr>
          <w:rFonts w:ascii="Times New Roman" w:eastAsia="Times New Roman" w:hAnsi="Times New Roman" w:cs="Times New Roman"/>
          <w:i/>
          <w:iCs/>
          <w:color w:val="000000"/>
          <w:lang w:val="lt-LT" w:eastAsia="lt-LT"/>
        </w:rPr>
        <w:t xml:space="preserve"> </w:t>
      </w:r>
      <w:proofErr w:type="spellStart"/>
      <w:r w:rsidRPr="00464018">
        <w:rPr>
          <w:rFonts w:ascii="Times New Roman" w:eastAsia="Times New Roman" w:hAnsi="Times New Roman" w:cs="Times New Roman"/>
          <w:i/>
          <w:iCs/>
          <w:color w:val="000000"/>
          <w:lang w:val="lt-LT" w:eastAsia="lt-LT"/>
        </w:rPr>
        <w:t>particulars</w:t>
      </w:r>
      <w:proofErr w:type="spellEnd"/>
      <w:r w:rsidRPr="00464018">
        <w:rPr>
          <w:rFonts w:ascii="Times New Roman" w:eastAsia="Times New Roman" w:hAnsi="Times New Roman" w:cs="Times New Roman"/>
          <w:color w:val="000000"/>
          <w:lang w:val="lt-LT" w:eastAsia="lt-LT"/>
        </w:rPr>
        <w:t>). Tai, agentų tvirtinimu, kelia nemažai nepatogumų ir nepasitenkinimo, todėl siūloma skaičiuojant rinkliavas laivams iki 100 m ilgio pasirinkti vasaros DWT, kaip ir laivams, ilgesniems nei 100 m ilgio.</w:t>
      </w:r>
      <w:commentRangeEnd w:id="3"/>
      <w:r w:rsidR="007C4179">
        <w:rPr>
          <w:rStyle w:val="Komentaronuoroda"/>
        </w:rPr>
        <w:commentReference w:id="3"/>
      </w:r>
    </w:p>
    <w:p w14:paraId="20596038"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5. Siūloma Uosto rinkliavų taikymo taisyklių 13.2 punkte vartojamą sąvoką „laivo bilietas“ pakeisti į „vidaus vandenų transporto priemonės registracijos dokumentas“. Pagal Lietuvos transporto saugos administracijos direktoriaus 2020 m. vasario 20 d. įsakymą Nr. 2BE-68 „Dėl vidaus vandenų transporto priemonių registraciją Lietuvos Respublikos vidaus vandenų laivų registre patvirtinančių dokumentų, prašymų ir kitų dokumentų, teikiamų registruojant vidaus vandenų transporto priemones, formų patvirtinimo“ naujai registruojamoms vidaus vandenų transporto priemonėms yra išduodami vidaus vandenų transporto priemonės registracijos liudijimai. Anksčiau įregistruotiems vidaus vandenų laivams yra išduoti vidaus vandenų transporto priemonės / laivo bilietai. Dokumentai skaičiuojant uosto rinkliavas yra lygiaverčiai ir aktualūs.</w:t>
      </w:r>
    </w:p>
    <w:p w14:paraId="1FCCF580"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6. Siūloma Uosto rinkliavų taikymo taisyklių išimčių dalies buvusį 41 (naujas 38) punktą papildyti, įrašant nuorodą į dar vieną norminį dokumentą, t. y., kad užsienio valstybių karo laivai atleidžiami nuo uosto rinkliavų pagal Lietuvos Respublikos tarptautinių operacijų, pratybų ir kitų karinio bendradarbiavimo renginių įstatymą, nes Lietuvos Respublikos Vyriausybės 2006 m. kovo 26 d. nutarime Nr. 277 „</w:t>
      </w:r>
      <w:r w:rsidRPr="00464018">
        <w:rPr>
          <w:rFonts w:ascii="Times New Roman" w:eastAsia="Times New Roman" w:hAnsi="Times New Roman" w:cs="Times New Roman"/>
          <w:color w:val="000000"/>
          <w:shd w:val="clear" w:color="auto" w:fill="FFFFFF"/>
          <w:lang w:val="lt-LT" w:eastAsia="lt-LT"/>
        </w:rPr>
        <w:t>Dėl Užsienio valstybių karo ir valstybinį statusą turinčių laivų įplaukimo į Klaipėdos valstybinį jūrų uostą ir buvimo jame taisyklių, Paraiškų švartuoti Lietuvos karo laivus teikimo ir nagrinėjimo taisyklių ir Klaipėdos valstybinio jūrų uosto nekarinėje teritorijoje esančių krantinių, rezervuojamų budintiems Lietuvos karo laivams ir užsienio valstybių karo laivams pirmumo teise švartuoti ir stovėti, sąrašo patvirtinimo”</w:t>
      </w:r>
      <w:r w:rsidRPr="00464018">
        <w:rPr>
          <w:rFonts w:ascii="Times New Roman" w:eastAsia="Times New Roman" w:hAnsi="Times New Roman" w:cs="Times New Roman"/>
          <w:color w:val="000000"/>
          <w:lang w:val="lt-LT" w:eastAsia="lt-LT"/>
        </w:rPr>
        <w:t> panaikintas 24 punktas (24. Kitų valstybių kariniai vienetai, kariai ir karinėms pajėgoms priskirti civiliai tarnautojai, kuriems Lietuvos Respublikos tarptautinių operacijų, pratybų ir kitų karinio bendradarbiavimo renginių įstatymo nustatyta tvarka leista atvykti į Lietuvos Respubliką, savo laivais naudojasi nemokėdami uosto rinkliavų.).</w:t>
      </w:r>
    </w:p>
    <w:p w14:paraId="14F2E8F9"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7. Siūloma tonažo rinkliava apmokestinti ratinių transporto priemonių gabenimą vidaus vandenų keleiviniais keltais, vežančiais krovinius ir keleivius pagal viešai paskelbtą grafiką uosto akvatorijos ribose. Valstybės įmonės Klaipėdos valstybinio jūrų uosto direkcijos (toliau – Uosto direkcija) veikla ir investicijos, susijusios su sąlygų keleivių ir transporto priemonių susisiekimui su Kuršių nerija užtikrinimu, nepripažintos, kaip Uosto direkcijos vykdomas specialusis įpareigojimas, todėl siekiant, kad tiesiogiai šiai veiklai naudojama uosto infrastruktūra generuotų ne mažiau, kaip 6 % turto grąžą, būtinos papildomos pajamos iš uosto rinkliavų.</w:t>
      </w:r>
    </w:p>
    <w:p w14:paraId="45E05825" w14:textId="77777777" w:rsidR="00464018" w:rsidRPr="00464018" w:rsidRDefault="00464018" w:rsidP="00464018">
      <w:pPr>
        <w:spacing w:after="0" w:line="240" w:lineRule="auto"/>
        <w:ind w:firstLine="720"/>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Siekiant išlaikyti analogišką surenkamų rinkliavų pajamų metinį lygį, naujų įkainių modeliavimo analizė atlikta 2020 metų rinkliavų ir laivų įplaukimų struktūros pagrindu, todėl, jei nebus esminių pokyčių laivų įplaukimų struktūroje, esminių metinės rinkliavų sumos nuokrypių neplanuojama.</w:t>
      </w:r>
    </w:p>
    <w:p w14:paraId="4AA26C6A"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Atsižvelgiant į tai, kad keičiama daugiau kaip pusė minėtų teisės aktų punktų, jie dėstomi nauja redakcija.</w:t>
      </w:r>
    </w:p>
    <w:p w14:paraId="54260AB4"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Projektai paskelbti Lietuvos Respublikos Seimo kanceliarijos teisės aktų informacinėje sistemoje ir Lietuvos Respublikos susisiekimo ministerijos interneto svetainėje, kur visuomenė ir suinteresuotos institucijos 10 darbo dienų nuo paskelbimo gali teikti pastabas ir pasiūlymus.</w:t>
      </w:r>
    </w:p>
    <w:p w14:paraId="52758051"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Projektus parengė Lietuvos Respublikos susisiekimo ministerijos Vandens ir geležinkelių transporto politikos grupės (vadovas Vidmantas Tamulis, tel. 239 3941, el. p. </w:t>
      </w:r>
      <w:hyperlink r:id="rId11" w:tgtFrame="_parent" w:history="1">
        <w:r w:rsidRPr="00464018">
          <w:rPr>
            <w:rFonts w:ascii="Times New Roman" w:eastAsia="Times New Roman" w:hAnsi="Times New Roman" w:cs="Times New Roman"/>
            <w:color w:val="000000"/>
            <w:u w:val="single"/>
            <w:lang w:val="lt-LT" w:eastAsia="lt-LT"/>
          </w:rPr>
          <w:t>vidmantas.tamulis@sumin.lt</w:t>
        </w:r>
      </w:hyperlink>
      <w:r w:rsidRPr="00464018">
        <w:rPr>
          <w:rFonts w:ascii="Times New Roman" w:eastAsia="Times New Roman" w:hAnsi="Times New Roman" w:cs="Times New Roman"/>
          <w:color w:val="000000"/>
          <w:lang w:val="lt-LT" w:eastAsia="lt-LT"/>
        </w:rPr>
        <w:t xml:space="preserve">), vyresnioji patarėja Virginija Šomkienė, tel. 239 3982, el. p. </w:t>
      </w:r>
      <w:proofErr w:type="spellStart"/>
      <w:r w:rsidRPr="00464018">
        <w:rPr>
          <w:rFonts w:ascii="Times New Roman" w:eastAsia="Times New Roman" w:hAnsi="Times New Roman" w:cs="Times New Roman"/>
          <w:color w:val="000000"/>
          <w:lang w:val="lt-LT" w:eastAsia="lt-LT"/>
        </w:rPr>
        <w:t>virginija.somkiene@sumin.lt</w:t>
      </w:r>
      <w:proofErr w:type="spellEnd"/>
      <w:r w:rsidRPr="00464018">
        <w:rPr>
          <w:rFonts w:ascii="Times New Roman" w:eastAsia="Times New Roman" w:hAnsi="Times New Roman" w:cs="Times New Roman"/>
          <w:color w:val="000000"/>
          <w:lang w:val="lt-LT" w:eastAsia="lt-LT"/>
        </w:rPr>
        <w:t xml:space="preserve">), patarėja Vaida Ubartaitė, tel. (8 5) 239 3986, el. p. </w:t>
      </w:r>
      <w:proofErr w:type="spellStart"/>
      <w:r w:rsidRPr="00464018">
        <w:rPr>
          <w:rFonts w:ascii="Times New Roman" w:eastAsia="Times New Roman" w:hAnsi="Times New Roman" w:cs="Times New Roman"/>
          <w:color w:val="000000"/>
          <w:lang w:val="lt-LT" w:eastAsia="lt-LT"/>
        </w:rPr>
        <w:t>vaida.ubartaite@sumin.lt</w:t>
      </w:r>
      <w:proofErr w:type="spellEnd"/>
      <w:r w:rsidRPr="00464018">
        <w:rPr>
          <w:rFonts w:ascii="Times New Roman" w:eastAsia="Times New Roman" w:hAnsi="Times New Roman" w:cs="Times New Roman"/>
          <w:color w:val="000000"/>
          <w:lang w:val="lt-LT" w:eastAsia="lt-LT"/>
        </w:rPr>
        <w:t>).</w:t>
      </w:r>
    </w:p>
    <w:p w14:paraId="00C896F8"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PRIDEDAMA:</w:t>
      </w:r>
    </w:p>
    <w:p w14:paraId="2A545F05" w14:textId="77777777" w:rsidR="00464018" w:rsidRPr="00464018" w:rsidRDefault="00464018" w:rsidP="00464018">
      <w:pPr>
        <w:spacing w:after="0" w:line="240" w:lineRule="atLeast"/>
        <w:ind w:firstLine="851"/>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1.    Lietuvos Respublikos Vyriausybės 2008 m. kovo 5 d. nutarimo Nr. 245 „Dėl Klaipėdos valstybinio jūrų uosto rinkliavų rūšių, jų maksimalių dydžių sąrašo ir taikymo principų aprašo patvirtinimo“ pakeitimo projektas, 8 lapai.</w:t>
      </w:r>
    </w:p>
    <w:p w14:paraId="01CDFBC4" w14:textId="77777777" w:rsidR="00464018" w:rsidRPr="00464018" w:rsidRDefault="00464018" w:rsidP="00464018">
      <w:pPr>
        <w:spacing w:after="0" w:line="240" w:lineRule="atLeast"/>
        <w:ind w:firstLine="851"/>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2.    Lietuvos Respublikos susisiekimo ministro 2008 m. birželio 30 d. įsakymo Nr. 3-246 „Dėl Klaipėdos valstybinio jūrų uosto rinkliavų taikymo taisyklių“ pakeitimo projektas, 12 lapų.</w:t>
      </w:r>
    </w:p>
    <w:p w14:paraId="56404EFA" w14:textId="77777777" w:rsidR="00464018" w:rsidRPr="00464018" w:rsidRDefault="00464018" w:rsidP="00464018">
      <w:pPr>
        <w:spacing w:after="0" w:line="240" w:lineRule="atLeast"/>
        <w:ind w:firstLine="851"/>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3.    2019 m. balandžio 17 d. Europos Parlamento ir Tarybos direktyvos (ES) 2019/883 dėl uosto priėmimo įrenginių, į kuriuos pristatomos laivų atliekos, kuria iš dalies keičiama Direktyva 2010/65/ES ir panaikinama Direktyva 2000/59/EB, ir nacionalinių teisės aktų atitikties lentelė, 26 lapai.</w:t>
      </w:r>
    </w:p>
    <w:p w14:paraId="7C22BAED" w14:textId="77777777" w:rsidR="00464018" w:rsidRPr="00464018" w:rsidRDefault="00464018" w:rsidP="00464018">
      <w:pPr>
        <w:spacing w:after="0" w:line="240" w:lineRule="atLeast"/>
        <w:ind w:firstLine="709"/>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lastRenderedPageBreak/>
        <w:t> </w:t>
      </w:r>
    </w:p>
    <w:p w14:paraId="5B6A170C" w14:textId="77777777" w:rsidR="00464018" w:rsidRPr="00464018" w:rsidRDefault="00464018" w:rsidP="00464018">
      <w:pPr>
        <w:spacing w:after="0" w:line="240" w:lineRule="auto"/>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 </w:t>
      </w:r>
    </w:p>
    <w:p w14:paraId="7C36E455" w14:textId="4BEB8E58" w:rsidR="006C2F6F" w:rsidRPr="00464018" w:rsidRDefault="00464018" w:rsidP="00464018">
      <w:pPr>
        <w:spacing w:after="0" w:line="240" w:lineRule="auto"/>
        <w:jc w:val="both"/>
        <w:rPr>
          <w:rFonts w:ascii="Times New Roman" w:eastAsia="Times New Roman" w:hAnsi="Times New Roman" w:cs="Times New Roman"/>
          <w:color w:val="000000"/>
          <w:lang w:val="lt-LT" w:eastAsia="lt-LT"/>
        </w:rPr>
      </w:pPr>
      <w:r w:rsidRPr="00464018">
        <w:rPr>
          <w:rFonts w:ascii="Times New Roman" w:eastAsia="Times New Roman" w:hAnsi="Times New Roman" w:cs="Times New Roman"/>
          <w:color w:val="000000"/>
          <w:lang w:val="lt-LT" w:eastAsia="lt-LT"/>
        </w:rPr>
        <w:t>Susisiekimo viceministrė                                                                                      Loreta Maskaliovienė</w:t>
      </w:r>
    </w:p>
    <w:sectPr w:rsidR="006C2F6F" w:rsidRPr="00464018">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ndaugas Beresnevičius" w:date="2021-09-29T10:34:00Z" w:initials="MB">
    <w:p w14:paraId="76C6A161" w14:textId="5390E731" w:rsidR="002252E9" w:rsidRPr="002252E9" w:rsidRDefault="002252E9">
      <w:pPr>
        <w:pStyle w:val="Komentarotekstas"/>
        <w:rPr>
          <w:lang w:val="lt-LT"/>
        </w:rPr>
      </w:pPr>
      <w:r>
        <w:rPr>
          <w:rStyle w:val="Komentaronuoroda"/>
        </w:rPr>
        <w:annotationRef/>
      </w:r>
      <w:r>
        <w:rPr>
          <w:lang w:val="lt-LT"/>
        </w:rPr>
        <w:t xml:space="preserve">Mažinamas sanitarinės rinkliavos dydis – šiuo metu yra 0,07 euro x laivo BT. Teisės akto projekte – </w:t>
      </w:r>
      <w:r>
        <w:rPr>
          <w:noProof/>
          <w:lang w:val="lt-LT"/>
        </w:rPr>
        <w:t>0,32 euro x BT. Gal čia techninė klaida, jei mažinamas – tai, 0,</w:t>
      </w:r>
      <w:r w:rsidRPr="002252E9">
        <w:rPr>
          <w:b/>
          <w:bCs/>
          <w:noProof/>
          <w:color w:val="C00000"/>
          <w:lang w:val="lt-LT"/>
        </w:rPr>
        <w:t>0</w:t>
      </w:r>
      <w:r>
        <w:rPr>
          <w:noProof/>
          <w:lang w:val="lt-LT"/>
        </w:rPr>
        <w:t>32 ?</w:t>
      </w:r>
    </w:p>
  </w:comment>
  <w:comment w:id="3" w:author="Mindaugas Beresnevičius" w:date="2021-09-29T11:17:00Z" w:initials="MB">
    <w:p w14:paraId="5EDC0DFF" w14:textId="77777777" w:rsidR="007C4179" w:rsidRPr="007C4179" w:rsidRDefault="007C4179" w:rsidP="007C4179">
      <w:pPr>
        <w:pStyle w:val="Paprastasistekstas"/>
      </w:pPr>
      <w:r>
        <w:rPr>
          <w:rStyle w:val="Komentaronuoroda"/>
        </w:rPr>
        <w:annotationRef/>
      </w:r>
      <w:r w:rsidRPr="007C4179">
        <w:t xml:space="preserve">1) </w:t>
      </w:r>
      <w:proofErr w:type="spellStart"/>
      <w:r w:rsidRPr="007C4179">
        <w:t>Tonažinė</w:t>
      </w:r>
      <w:proofErr w:type="spellEnd"/>
      <w:r w:rsidRPr="007C4179">
        <w:t xml:space="preserve"> rinkliava (išlaikyti nuolaidas, kurios numatomos, bet įstatymo projekte nedetalizuotos). Prašymas išlaikyti </w:t>
      </w:r>
      <w:proofErr w:type="spellStart"/>
      <w:r w:rsidRPr="007C4179">
        <w:t>tonažinių</w:t>
      </w:r>
      <w:proofErr w:type="spellEnd"/>
      <w:r w:rsidRPr="007C4179">
        <w:t xml:space="preserve"> rinkliavų mažinimo koeficientus pagal skirsnius.</w:t>
      </w:r>
    </w:p>
    <w:p w14:paraId="3B11D7B6" w14:textId="77777777" w:rsidR="007C4179" w:rsidRPr="007C4179" w:rsidRDefault="007C4179" w:rsidP="007C4179">
      <w:pPr>
        <w:pStyle w:val="Paprastasistekstas"/>
      </w:pPr>
    </w:p>
    <w:p w14:paraId="368D466C" w14:textId="77777777" w:rsidR="007C4179" w:rsidRPr="007C4179" w:rsidRDefault="007C4179" w:rsidP="007C4179">
      <w:pPr>
        <w:pStyle w:val="Paprastasistekstas"/>
      </w:pPr>
      <w:r w:rsidRPr="007C4179">
        <w:t>33. Tonažo rinkliavos dydis mažinamas:</w:t>
      </w:r>
    </w:p>
    <w:p w14:paraId="64D366E3" w14:textId="77777777" w:rsidR="007C4179" w:rsidRDefault="007C4179" w:rsidP="007C4179">
      <w:pPr>
        <w:pStyle w:val="Paprastasistekstas"/>
        <w:rPr>
          <w:lang w:val="en-US"/>
        </w:rPr>
      </w:pPr>
      <w:r>
        <w:rPr>
          <w:lang w:val="en-US"/>
        </w:rPr>
        <w:t xml:space="preserve">33.1. laivų, </w:t>
      </w:r>
      <w:proofErr w:type="spellStart"/>
      <w:r>
        <w:rPr>
          <w:lang w:val="en-US"/>
        </w:rPr>
        <w:t>nurodytų</w:t>
      </w:r>
      <w:proofErr w:type="spellEnd"/>
      <w:r>
        <w:rPr>
          <w:lang w:val="en-US"/>
        </w:rPr>
        <w:t xml:space="preserve"> </w:t>
      </w:r>
      <w:proofErr w:type="spellStart"/>
      <w:r>
        <w:rPr>
          <w:lang w:val="en-US"/>
        </w:rPr>
        <w:t>Taisyklių</w:t>
      </w:r>
      <w:proofErr w:type="spellEnd"/>
      <w:r>
        <w:rPr>
          <w:lang w:val="en-US"/>
        </w:rPr>
        <w:t xml:space="preserve"> 32.1.1, 32.1.2 </w:t>
      </w:r>
      <w:proofErr w:type="spellStart"/>
      <w:r>
        <w:rPr>
          <w:lang w:val="en-US"/>
        </w:rPr>
        <w:t>ir</w:t>
      </w:r>
      <w:proofErr w:type="spellEnd"/>
      <w:r>
        <w:rPr>
          <w:lang w:val="en-US"/>
        </w:rPr>
        <w:t xml:space="preserve"> 32.2 </w:t>
      </w:r>
      <w:proofErr w:type="spellStart"/>
      <w:r>
        <w:rPr>
          <w:lang w:val="en-US"/>
        </w:rPr>
        <w:t>papunkčiuose</w:t>
      </w:r>
      <w:proofErr w:type="spellEnd"/>
      <w:r>
        <w:rPr>
          <w:lang w:val="en-US"/>
        </w:rPr>
        <w:t>:</w:t>
      </w:r>
    </w:p>
    <w:p w14:paraId="1D1F0183" w14:textId="77777777" w:rsidR="007C4179" w:rsidRDefault="007C4179" w:rsidP="007C4179">
      <w:pPr>
        <w:pStyle w:val="Paprastasistekstas"/>
        <w:rPr>
          <w:lang w:val="en-US"/>
        </w:rPr>
      </w:pPr>
      <w:r>
        <w:rPr>
          <w:lang w:val="en-US"/>
        </w:rPr>
        <w:t xml:space="preserve">33.1.1. </w:t>
      </w:r>
      <w:proofErr w:type="spellStart"/>
      <w:r>
        <w:rPr>
          <w:lang w:val="en-US"/>
        </w:rPr>
        <w:t>jeigu</w:t>
      </w:r>
      <w:proofErr w:type="spellEnd"/>
      <w:r>
        <w:rPr>
          <w:lang w:val="en-US"/>
        </w:rPr>
        <w:t xml:space="preserve"> </w:t>
      </w:r>
      <w:proofErr w:type="spellStart"/>
      <w:r>
        <w:rPr>
          <w:lang w:val="en-US"/>
        </w:rPr>
        <w:t>pakraunama</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iškraunama</w:t>
      </w:r>
      <w:proofErr w:type="spellEnd"/>
      <w:r>
        <w:rPr>
          <w:lang w:val="en-US"/>
        </w:rPr>
        <w:t xml:space="preserve"> </w:t>
      </w:r>
      <w:proofErr w:type="spellStart"/>
      <w:r>
        <w:rPr>
          <w:lang w:val="en-US"/>
        </w:rPr>
        <w:t>krovinio</w:t>
      </w:r>
      <w:proofErr w:type="spellEnd"/>
      <w:r>
        <w:rPr>
          <w:lang w:val="en-US"/>
        </w:rPr>
        <w:t xml:space="preserve"> </w:t>
      </w:r>
      <w:proofErr w:type="spellStart"/>
      <w:r>
        <w:rPr>
          <w:lang w:val="en-US"/>
        </w:rPr>
        <w:t>mažiau</w:t>
      </w:r>
      <w:proofErr w:type="spellEnd"/>
      <w:r>
        <w:rPr>
          <w:lang w:val="en-US"/>
        </w:rPr>
        <w:t xml:space="preserve"> </w:t>
      </w:r>
      <w:proofErr w:type="spellStart"/>
      <w:r>
        <w:rPr>
          <w:lang w:val="en-US"/>
        </w:rPr>
        <w:t>kaip</w:t>
      </w:r>
      <w:proofErr w:type="spellEnd"/>
      <w:r>
        <w:rPr>
          <w:lang w:val="en-US"/>
        </w:rPr>
        <w:t xml:space="preserve"> 80 </w:t>
      </w:r>
      <w:proofErr w:type="spellStart"/>
      <w:r>
        <w:rPr>
          <w:lang w:val="en-US"/>
        </w:rPr>
        <w:t>procentų</w:t>
      </w:r>
      <w:proofErr w:type="spellEnd"/>
      <w:r>
        <w:rPr>
          <w:lang w:val="en-US"/>
        </w:rPr>
        <w:t xml:space="preserve"> DWT, – 20 </w:t>
      </w:r>
      <w:proofErr w:type="spellStart"/>
      <w:r>
        <w:rPr>
          <w:lang w:val="en-US"/>
        </w:rPr>
        <w:t>procentų</w:t>
      </w:r>
      <w:proofErr w:type="spellEnd"/>
      <w:r>
        <w:rPr>
          <w:lang w:val="en-US"/>
        </w:rPr>
        <w:t>;</w:t>
      </w:r>
    </w:p>
    <w:p w14:paraId="4989B969" w14:textId="77777777" w:rsidR="007C4179" w:rsidRDefault="007C4179" w:rsidP="007C4179">
      <w:pPr>
        <w:pStyle w:val="Paprastasistekstas"/>
        <w:rPr>
          <w:lang w:val="en-US"/>
        </w:rPr>
      </w:pPr>
      <w:r>
        <w:rPr>
          <w:lang w:val="en-US"/>
        </w:rPr>
        <w:t xml:space="preserve">33.1.2. </w:t>
      </w:r>
      <w:proofErr w:type="spellStart"/>
      <w:r>
        <w:rPr>
          <w:lang w:val="en-US"/>
        </w:rPr>
        <w:t>jeigu</w:t>
      </w:r>
      <w:proofErr w:type="spellEnd"/>
      <w:r>
        <w:rPr>
          <w:lang w:val="en-US"/>
        </w:rPr>
        <w:t xml:space="preserve"> </w:t>
      </w:r>
      <w:proofErr w:type="spellStart"/>
      <w:r>
        <w:rPr>
          <w:lang w:val="en-US"/>
        </w:rPr>
        <w:t>pakraunama</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iškraunama</w:t>
      </w:r>
      <w:proofErr w:type="spellEnd"/>
      <w:r>
        <w:rPr>
          <w:lang w:val="en-US"/>
        </w:rPr>
        <w:t xml:space="preserve"> </w:t>
      </w:r>
      <w:proofErr w:type="spellStart"/>
      <w:r>
        <w:rPr>
          <w:lang w:val="en-US"/>
        </w:rPr>
        <w:t>krovinio</w:t>
      </w:r>
      <w:proofErr w:type="spellEnd"/>
      <w:r>
        <w:rPr>
          <w:lang w:val="en-US"/>
        </w:rPr>
        <w:t xml:space="preserve"> </w:t>
      </w:r>
      <w:proofErr w:type="spellStart"/>
      <w:r>
        <w:rPr>
          <w:lang w:val="en-US"/>
        </w:rPr>
        <w:t>mažiau</w:t>
      </w:r>
      <w:proofErr w:type="spellEnd"/>
      <w:r>
        <w:rPr>
          <w:lang w:val="en-US"/>
        </w:rPr>
        <w:t xml:space="preserve"> </w:t>
      </w:r>
      <w:proofErr w:type="spellStart"/>
      <w:r>
        <w:rPr>
          <w:lang w:val="en-US"/>
        </w:rPr>
        <w:t>kaip</w:t>
      </w:r>
      <w:proofErr w:type="spellEnd"/>
      <w:r>
        <w:rPr>
          <w:lang w:val="en-US"/>
        </w:rPr>
        <w:t xml:space="preserve"> 40 </w:t>
      </w:r>
      <w:proofErr w:type="spellStart"/>
      <w:r>
        <w:rPr>
          <w:lang w:val="en-US"/>
        </w:rPr>
        <w:t>procentų</w:t>
      </w:r>
      <w:proofErr w:type="spellEnd"/>
      <w:r>
        <w:rPr>
          <w:lang w:val="en-US"/>
        </w:rPr>
        <w:t xml:space="preserve"> DWT, – 40 </w:t>
      </w:r>
      <w:proofErr w:type="spellStart"/>
      <w:r>
        <w:rPr>
          <w:lang w:val="en-US"/>
        </w:rPr>
        <w:t>procentų</w:t>
      </w:r>
      <w:proofErr w:type="spellEnd"/>
      <w:r>
        <w:rPr>
          <w:lang w:val="en-US"/>
        </w:rPr>
        <w:t>;</w:t>
      </w:r>
    </w:p>
    <w:p w14:paraId="29593EBD" w14:textId="439ABB2C" w:rsidR="007C4179" w:rsidRPr="007C4179" w:rsidRDefault="007C4179">
      <w:pPr>
        <w:pStyle w:val="Komentarotekstas"/>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6A161" w15:done="0"/>
  <w15:commentEx w15:paraId="29593E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EBF9A" w16cex:dateUtc="2021-09-29T07:34:00Z"/>
  <w16cex:commentExtensible w16cex:durableId="24FEC9CE" w16cex:dateUtc="2021-09-2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6A161" w16cid:durableId="24FEBF9A"/>
  <w16cid:commentId w16cid:paraId="29593EBD" w16cid:durableId="24FEC9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F32E2"/>
    <w:multiLevelType w:val="hybridMultilevel"/>
    <w:tmpl w:val="BB3EDE84"/>
    <w:lvl w:ilvl="0" w:tplc="3E246D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daugas Beresnevičius">
    <w15:presenceInfo w15:providerId="AD" w15:userId="S::mindaugas.beresnevicius@wsy.lt::4b27d775-e837-4802-b470-8b0f6d3caa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18"/>
    <w:rsid w:val="002252E9"/>
    <w:rsid w:val="00464018"/>
    <w:rsid w:val="006C2F6F"/>
    <w:rsid w:val="007C4179"/>
    <w:rsid w:val="00FA2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6C69"/>
  <w15:chartTrackingRefBased/>
  <w15:docId w15:val="{9FA95556-8560-4B90-AB86-A20D14F3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464018"/>
    <w:rPr>
      <w:sz w:val="16"/>
      <w:szCs w:val="16"/>
    </w:rPr>
  </w:style>
  <w:style w:type="paragraph" w:styleId="Komentarotekstas">
    <w:name w:val="annotation text"/>
    <w:basedOn w:val="prastasis"/>
    <w:link w:val="KomentarotekstasDiagrama"/>
    <w:uiPriority w:val="99"/>
    <w:semiHidden/>
    <w:unhideWhenUsed/>
    <w:rsid w:val="004640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64018"/>
    <w:rPr>
      <w:sz w:val="20"/>
      <w:szCs w:val="20"/>
      <w:lang w:val="ru-RU"/>
    </w:rPr>
  </w:style>
  <w:style w:type="paragraph" w:styleId="Komentarotema">
    <w:name w:val="annotation subject"/>
    <w:basedOn w:val="Komentarotekstas"/>
    <w:next w:val="Komentarotekstas"/>
    <w:link w:val="KomentarotemaDiagrama"/>
    <w:uiPriority w:val="99"/>
    <w:semiHidden/>
    <w:unhideWhenUsed/>
    <w:rsid w:val="00464018"/>
    <w:rPr>
      <w:b/>
      <w:bCs/>
    </w:rPr>
  </w:style>
  <w:style w:type="character" w:customStyle="1" w:styleId="KomentarotemaDiagrama">
    <w:name w:val="Komentaro tema Diagrama"/>
    <w:basedOn w:val="KomentarotekstasDiagrama"/>
    <w:link w:val="Komentarotema"/>
    <w:uiPriority w:val="99"/>
    <w:semiHidden/>
    <w:rsid w:val="00464018"/>
    <w:rPr>
      <w:b/>
      <w:bCs/>
      <w:sz w:val="20"/>
      <w:szCs w:val="20"/>
      <w:lang w:val="ru-RU"/>
    </w:rPr>
  </w:style>
  <w:style w:type="paragraph" w:styleId="Sraopastraipa">
    <w:name w:val="List Paragraph"/>
    <w:basedOn w:val="prastasis"/>
    <w:uiPriority w:val="34"/>
    <w:qFormat/>
    <w:rsid w:val="002252E9"/>
    <w:pPr>
      <w:ind w:left="720"/>
      <w:contextualSpacing/>
    </w:pPr>
  </w:style>
  <w:style w:type="paragraph" w:styleId="Paprastasistekstas">
    <w:name w:val="Plain Text"/>
    <w:basedOn w:val="prastasis"/>
    <w:link w:val="PaprastasistekstasDiagrama"/>
    <w:uiPriority w:val="99"/>
    <w:semiHidden/>
    <w:unhideWhenUsed/>
    <w:rsid w:val="007C4179"/>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semiHidden/>
    <w:rsid w:val="007C41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003710">
      <w:bodyDiv w:val="1"/>
      <w:marLeft w:val="0"/>
      <w:marRight w:val="0"/>
      <w:marTop w:val="0"/>
      <w:marBottom w:val="0"/>
      <w:divBdr>
        <w:top w:val="none" w:sz="0" w:space="0" w:color="auto"/>
        <w:left w:val="none" w:sz="0" w:space="0" w:color="auto"/>
        <w:bottom w:val="none" w:sz="0" w:space="0" w:color="auto"/>
        <w:right w:val="none" w:sz="0" w:space="0" w:color="auto"/>
      </w:divBdr>
    </w:div>
    <w:div w:id="167576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png" Type="http://schemas.openxmlformats.org/officeDocument/2006/relationships/image"/>
<Relationship Id="rId11" Target="mailto:vidmantas.tamulis@sumin.lt" TargetMode="External" Type="http://schemas.openxmlformats.org/officeDocument/2006/relationships/hyperlink"/>
<Relationship Id="rId12" Target="fontTable.xml" Type="http://schemas.openxmlformats.org/officeDocument/2006/relationships/fontTable"/>
<Relationship Id="rId13" Target="people.xml" Type="http://schemas.microsoft.com/office/2011/relationships/peop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comments.xml" Type="http://schemas.openxmlformats.org/officeDocument/2006/relationships/comments"/>
<Relationship Id="rId7" Target="commentsExtended.xml" Type="http://schemas.microsoft.com/office/2011/relationships/commentsExtended"/>
<Relationship Id="rId8" Target="commentsIds.xml" Type="http://schemas.microsoft.com/office/2016/09/relationships/commentsIds"/>
<Relationship Id="rId9" Target="commentsExtensible.xml" Type="http://schemas.microsoft.com/office/2018/08/relationships/commentsExtensi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5652</Words>
  <Characters>3222</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2021-09-29T13:09:00Z</dcterms:created>
  <dc:creator>Mindaugas Beresnevičius</dc:creator>
  <cp:lastModifiedBy>Vaida Ubartaitė</cp:lastModifiedBy>
  <dcterms:modified xsi:type="dcterms:W3CDTF">2021-09-29T13:09:00Z</dcterms:modified>
  <cp:revision>2</cp:revision>
</cp:coreProperties>
</file>