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368FD" w14:textId="77777777" w:rsidR="00B047B2" w:rsidRPr="007A737C" w:rsidRDefault="00B047B2" w:rsidP="009A5D1F">
      <w:pPr>
        <w:pStyle w:val="Pagrindinistekstas"/>
        <w:spacing w:after="0" w:line="240" w:lineRule="auto"/>
        <w:ind w:left="6946" w:right="1274" w:hanging="567"/>
        <w:jc w:val="right"/>
        <w:outlineLvl w:val="0"/>
        <w:rPr>
          <w:rFonts w:ascii="Times New Roman" w:hAnsi="Times New Roman"/>
          <w:b/>
          <w:sz w:val="24"/>
          <w:szCs w:val="24"/>
          <w:lang w:val="lt-LT"/>
        </w:rPr>
      </w:pPr>
      <w:bookmarkStart w:id="0" w:name="_GoBack"/>
      <w:bookmarkEnd w:id="0"/>
      <w:r w:rsidRPr="007A737C">
        <w:rPr>
          <w:rFonts w:ascii="Times New Roman" w:hAnsi="Times New Roman"/>
          <w:b/>
          <w:sz w:val="24"/>
          <w:szCs w:val="24"/>
          <w:lang w:val="lt-LT"/>
        </w:rPr>
        <w:t xml:space="preserve">Projekto </w:t>
      </w:r>
    </w:p>
    <w:p w14:paraId="189F7ECA" w14:textId="275427BA" w:rsidR="00B047B2" w:rsidRPr="007A737C" w:rsidRDefault="00B047B2" w:rsidP="009A5D1F">
      <w:pPr>
        <w:pStyle w:val="Pagrindinistekstas"/>
        <w:spacing w:after="0" w:line="240" w:lineRule="auto"/>
        <w:ind w:left="6804" w:hanging="709"/>
        <w:jc w:val="right"/>
        <w:outlineLvl w:val="0"/>
        <w:rPr>
          <w:rFonts w:ascii="Times New Roman" w:hAnsi="Times New Roman"/>
          <w:b/>
          <w:sz w:val="24"/>
          <w:szCs w:val="24"/>
          <w:lang w:val="lt-LT"/>
        </w:rPr>
      </w:pPr>
      <w:r w:rsidRPr="007A737C">
        <w:rPr>
          <w:rFonts w:ascii="Times New Roman" w:hAnsi="Times New Roman"/>
          <w:b/>
          <w:sz w:val="24"/>
          <w:szCs w:val="24"/>
          <w:lang w:val="lt-LT"/>
        </w:rPr>
        <w:t xml:space="preserve">     </w:t>
      </w:r>
      <w:r w:rsidR="000C4970">
        <w:rPr>
          <w:rFonts w:ascii="Times New Roman" w:hAnsi="Times New Roman"/>
          <w:b/>
          <w:sz w:val="24"/>
          <w:szCs w:val="24"/>
          <w:lang w:val="lt-LT"/>
        </w:rPr>
        <w:t xml:space="preserve"> </w:t>
      </w:r>
      <w:r w:rsidRPr="007A737C">
        <w:rPr>
          <w:rFonts w:ascii="Times New Roman" w:hAnsi="Times New Roman"/>
          <w:b/>
          <w:sz w:val="24"/>
          <w:szCs w:val="24"/>
          <w:lang w:val="lt-LT"/>
        </w:rPr>
        <w:t>lyginamasis variantas</w:t>
      </w:r>
    </w:p>
    <w:p w14:paraId="4922B041" w14:textId="77777777" w:rsidR="00CC57DD" w:rsidRPr="007A737C" w:rsidRDefault="00CC57DD" w:rsidP="008B4A15">
      <w:pPr>
        <w:pStyle w:val="Pagrindinistekstas"/>
        <w:spacing w:after="0" w:line="240" w:lineRule="auto"/>
        <w:ind w:firstLine="567"/>
        <w:rPr>
          <w:rFonts w:ascii="Times New Roman" w:hAnsi="Times New Roman"/>
          <w:b/>
          <w:sz w:val="24"/>
          <w:szCs w:val="24"/>
          <w:lang w:val="lt-LT"/>
        </w:rPr>
      </w:pPr>
    </w:p>
    <w:p w14:paraId="52D07E9C" w14:textId="77777777" w:rsidR="00CC57DD" w:rsidRPr="007A737C" w:rsidRDefault="00CC57DD" w:rsidP="008B4A15">
      <w:pPr>
        <w:pStyle w:val="Pagrindinistekstas"/>
        <w:spacing w:after="0" w:line="240" w:lineRule="auto"/>
        <w:ind w:firstLine="567"/>
        <w:rPr>
          <w:rFonts w:ascii="Times New Roman" w:hAnsi="Times New Roman"/>
          <w:b/>
          <w:sz w:val="24"/>
          <w:szCs w:val="24"/>
          <w:lang w:val="lt-LT"/>
        </w:rPr>
      </w:pPr>
    </w:p>
    <w:p w14:paraId="23960E13" w14:textId="77777777" w:rsidR="00CC57DD" w:rsidRPr="007A737C" w:rsidRDefault="00CC57DD" w:rsidP="00F9579A">
      <w:pPr>
        <w:widowControl w:val="0"/>
        <w:spacing w:after="0" w:line="240" w:lineRule="auto"/>
        <w:jc w:val="center"/>
        <w:rPr>
          <w:rFonts w:ascii="Times New Roman" w:hAnsi="Times New Roman"/>
          <w:b/>
          <w:sz w:val="24"/>
          <w:szCs w:val="24"/>
        </w:rPr>
      </w:pPr>
      <w:r w:rsidRPr="007A737C">
        <w:rPr>
          <w:rFonts w:ascii="Times New Roman" w:hAnsi="Times New Roman"/>
          <w:b/>
          <w:sz w:val="24"/>
          <w:szCs w:val="24"/>
        </w:rPr>
        <w:t>LIETUVOS RESPUBLIKOS VYRIAUSYBĖ</w:t>
      </w:r>
    </w:p>
    <w:p w14:paraId="4EA6BBDA" w14:textId="77777777" w:rsidR="00CC57DD" w:rsidRPr="007A737C" w:rsidRDefault="00CC57DD" w:rsidP="00F9579A">
      <w:pPr>
        <w:widowControl w:val="0"/>
        <w:spacing w:after="0" w:line="240" w:lineRule="auto"/>
        <w:jc w:val="center"/>
        <w:rPr>
          <w:rFonts w:ascii="Times New Roman" w:hAnsi="Times New Roman"/>
          <w:b/>
          <w:sz w:val="24"/>
          <w:szCs w:val="24"/>
        </w:rPr>
      </w:pPr>
    </w:p>
    <w:p w14:paraId="6D8188F0" w14:textId="77777777" w:rsidR="00CC57DD" w:rsidRPr="007A737C" w:rsidRDefault="00CC57DD" w:rsidP="00F9579A">
      <w:pPr>
        <w:widowControl w:val="0"/>
        <w:spacing w:after="0" w:line="240" w:lineRule="auto"/>
        <w:jc w:val="center"/>
        <w:rPr>
          <w:rFonts w:ascii="Times New Roman" w:hAnsi="Times New Roman"/>
          <w:b/>
          <w:sz w:val="24"/>
          <w:szCs w:val="24"/>
        </w:rPr>
      </w:pPr>
      <w:r w:rsidRPr="007A737C">
        <w:rPr>
          <w:rFonts w:ascii="Times New Roman" w:hAnsi="Times New Roman"/>
          <w:b/>
          <w:sz w:val="24"/>
          <w:szCs w:val="24"/>
        </w:rPr>
        <w:t>NUTARIMAS</w:t>
      </w:r>
    </w:p>
    <w:p w14:paraId="5197B482" w14:textId="3CA5C62F" w:rsidR="00CC57DD" w:rsidRPr="007A737C" w:rsidRDefault="00CC57DD" w:rsidP="00872BAB">
      <w:pPr>
        <w:shd w:val="clear" w:color="auto" w:fill="FFFFFF"/>
        <w:spacing w:after="0" w:line="240" w:lineRule="auto"/>
        <w:jc w:val="center"/>
        <w:rPr>
          <w:rFonts w:ascii="Times New Roman" w:hAnsi="Times New Roman"/>
          <w:sz w:val="24"/>
          <w:szCs w:val="24"/>
        </w:rPr>
      </w:pPr>
      <w:r w:rsidRPr="007A737C">
        <w:rPr>
          <w:rFonts w:ascii="Times New Roman" w:hAnsi="Times New Roman"/>
          <w:b/>
          <w:bCs/>
          <w:caps/>
          <w:sz w:val="24"/>
          <w:szCs w:val="24"/>
        </w:rPr>
        <w:t>Dėl Lietuvos Respublikos VyriausybėS 20</w:t>
      </w:r>
      <w:r w:rsidR="00872BAB" w:rsidRPr="007A737C">
        <w:rPr>
          <w:rFonts w:ascii="Times New Roman" w:hAnsi="Times New Roman"/>
          <w:b/>
          <w:bCs/>
          <w:caps/>
          <w:sz w:val="24"/>
          <w:szCs w:val="24"/>
        </w:rPr>
        <w:t>10</w:t>
      </w:r>
      <w:r w:rsidRPr="007A737C">
        <w:rPr>
          <w:rFonts w:ascii="Times New Roman" w:hAnsi="Times New Roman"/>
          <w:b/>
          <w:bCs/>
          <w:caps/>
          <w:sz w:val="24"/>
          <w:szCs w:val="24"/>
        </w:rPr>
        <w:t xml:space="preserve"> m. </w:t>
      </w:r>
      <w:r w:rsidR="00872BAB" w:rsidRPr="007A737C">
        <w:rPr>
          <w:rFonts w:ascii="Times New Roman" w:hAnsi="Times New Roman"/>
          <w:b/>
          <w:bCs/>
          <w:caps/>
          <w:sz w:val="24"/>
          <w:szCs w:val="24"/>
        </w:rPr>
        <w:t>RUGPJŪČIO</w:t>
      </w:r>
      <w:r w:rsidRPr="007A737C">
        <w:rPr>
          <w:rFonts w:ascii="Times New Roman" w:hAnsi="Times New Roman"/>
          <w:b/>
          <w:bCs/>
          <w:caps/>
          <w:sz w:val="24"/>
          <w:szCs w:val="24"/>
        </w:rPr>
        <w:t xml:space="preserve"> 2</w:t>
      </w:r>
      <w:r w:rsidR="00872BAB" w:rsidRPr="007A737C">
        <w:rPr>
          <w:rFonts w:ascii="Times New Roman" w:hAnsi="Times New Roman"/>
          <w:b/>
          <w:bCs/>
          <w:caps/>
          <w:sz w:val="24"/>
          <w:szCs w:val="24"/>
        </w:rPr>
        <w:t>5</w:t>
      </w:r>
      <w:r w:rsidRPr="007A737C">
        <w:rPr>
          <w:rFonts w:ascii="Times New Roman" w:hAnsi="Times New Roman"/>
          <w:b/>
          <w:bCs/>
          <w:caps/>
          <w:sz w:val="24"/>
          <w:szCs w:val="24"/>
        </w:rPr>
        <w:t xml:space="preserve"> d. </w:t>
      </w:r>
      <w:r w:rsidRPr="007A737C">
        <w:rPr>
          <w:rFonts w:ascii="Times New Roman" w:hAnsi="Times New Roman"/>
          <w:b/>
          <w:bCs/>
          <w:sz w:val="24"/>
          <w:szCs w:val="24"/>
        </w:rPr>
        <w:t xml:space="preserve">NUTARIMO </w:t>
      </w:r>
      <w:r w:rsidRPr="007A737C">
        <w:rPr>
          <w:rFonts w:ascii="Times New Roman" w:hAnsi="Times New Roman"/>
          <w:b/>
          <w:bCs/>
          <w:caps/>
          <w:sz w:val="24"/>
          <w:szCs w:val="24"/>
        </w:rPr>
        <w:t xml:space="preserve">Nr. </w:t>
      </w:r>
      <w:r w:rsidR="00872BAB" w:rsidRPr="007A737C">
        <w:rPr>
          <w:rFonts w:ascii="Times New Roman" w:hAnsi="Times New Roman"/>
          <w:b/>
          <w:bCs/>
          <w:caps/>
          <w:sz w:val="24"/>
          <w:szCs w:val="24"/>
        </w:rPr>
        <w:t>1219</w:t>
      </w:r>
      <w:r w:rsidRPr="007A737C">
        <w:rPr>
          <w:rFonts w:ascii="Times New Roman" w:hAnsi="Times New Roman"/>
          <w:b/>
          <w:bCs/>
          <w:caps/>
          <w:sz w:val="24"/>
          <w:szCs w:val="24"/>
        </w:rPr>
        <w:t xml:space="preserve"> „</w:t>
      </w:r>
      <w:r w:rsidR="00872BAB" w:rsidRPr="007A737C">
        <w:rPr>
          <w:rFonts w:ascii="Times New Roman" w:hAnsi="Times New Roman"/>
          <w:b/>
          <w:bCs/>
          <w:caps/>
          <w:sz w:val="24"/>
          <w:szCs w:val="24"/>
        </w:rPr>
        <w:t xml:space="preserve">dĖL </w:t>
      </w:r>
      <w:r w:rsidR="00872BAB" w:rsidRPr="007A737C">
        <w:rPr>
          <w:rFonts w:ascii="Times New Roman" w:eastAsia="Times New Roman" w:hAnsi="Times New Roman"/>
          <w:b/>
          <w:bCs/>
          <w:caps/>
          <w:sz w:val="24"/>
          <w:szCs w:val="24"/>
        </w:rPr>
        <w:t>NETEISĖTOS APYVARTOS NARKOTINIŲ IR PSICHOTROPINIŲ MEDŽIAGŲ IR JŲ PIRMTAKŲ (PREKURSORIŲ) SUNAIKINIMO TVARKOS APRAŠO PATVIRTINIMO IR ĮGALIOJIMŲ SUTEIKIMO ĮGYVENDINANT LIETUVOS RESPUBLIKOS NARKOTINIŲ IR PSICHOTROPINIŲ MEDŽIAGŲ KONTROLĖS ĮSTATYMĄ</w:t>
      </w:r>
      <w:r w:rsidRPr="007A737C">
        <w:rPr>
          <w:rFonts w:ascii="Times New Roman" w:hAnsi="Times New Roman"/>
          <w:b/>
          <w:bCs/>
          <w:caps/>
          <w:sz w:val="24"/>
          <w:szCs w:val="24"/>
        </w:rPr>
        <w:t xml:space="preserve">“ </w:t>
      </w:r>
      <w:r w:rsidR="00872BAB" w:rsidRPr="007A737C">
        <w:rPr>
          <w:rFonts w:ascii="Times New Roman" w:hAnsi="Times New Roman"/>
          <w:b/>
          <w:sz w:val="24"/>
          <w:szCs w:val="24"/>
        </w:rPr>
        <w:t>PA</w:t>
      </w:r>
      <w:r w:rsidR="00E64CF5" w:rsidRPr="007A737C">
        <w:rPr>
          <w:rFonts w:ascii="Times New Roman" w:hAnsi="Times New Roman"/>
          <w:b/>
          <w:sz w:val="24"/>
          <w:szCs w:val="24"/>
        </w:rPr>
        <w:t>KEITIMO</w:t>
      </w:r>
    </w:p>
    <w:p w14:paraId="1AD04D72" w14:textId="77777777" w:rsidR="001741F2" w:rsidRPr="007A737C" w:rsidRDefault="001741F2" w:rsidP="00443949">
      <w:pPr>
        <w:shd w:val="clear" w:color="auto" w:fill="FFFFFF"/>
        <w:spacing w:after="0" w:line="240" w:lineRule="auto"/>
        <w:jc w:val="center"/>
        <w:rPr>
          <w:rFonts w:ascii="Times New Roman" w:hAnsi="Times New Roman"/>
          <w:sz w:val="24"/>
          <w:szCs w:val="24"/>
        </w:rPr>
      </w:pPr>
    </w:p>
    <w:p w14:paraId="43F4D038" w14:textId="7321C28D" w:rsidR="00CC57DD" w:rsidRPr="007A737C" w:rsidRDefault="00CC57DD" w:rsidP="00C41001">
      <w:pPr>
        <w:widowControl w:val="0"/>
        <w:spacing w:after="0" w:line="240" w:lineRule="auto"/>
        <w:jc w:val="center"/>
        <w:rPr>
          <w:rFonts w:ascii="Times New Roman" w:hAnsi="Times New Roman"/>
          <w:sz w:val="24"/>
          <w:szCs w:val="24"/>
        </w:rPr>
      </w:pPr>
      <w:r w:rsidRPr="007A737C">
        <w:rPr>
          <w:rFonts w:ascii="Times New Roman" w:hAnsi="Times New Roman"/>
          <w:sz w:val="24"/>
          <w:szCs w:val="24"/>
        </w:rPr>
        <w:t>Nr.</w:t>
      </w:r>
    </w:p>
    <w:p w14:paraId="21E4CAE3" w14:textId="77777777" w:rsidR="00CC57DD" w:rsidRPr="007A737C" w:rsidRDefault="00CC57DD" w:rsidP="00C41001">
      <w:pPr>
        <w:widowControl w:val="0"/>
        <w:spacing w:after="0" w:line="240" w:lineRule="auto"/>
        <w:jc w:val="center"/>
        <w:rPr>
          <w:rFonts w:ascii="Times New Roman" w:hAnsi="Times New Roman"/>
          <w:sz w:val="24"/>
          <w:szCs w:val="24"/>
        </w:rPr>
      </w:pPr>
      <w:r w:rsidRPr="007A737C">
        <w:rPr>
          <w:rFonts w:ascii="Times New Roman" w:hAnsi="Times New Roman"/>
          <w:sz w:val="24"/>
          <w:szCs w:val="24"/>
        </w:rPr>
        <w:t>Vilnius</w:t>
      </w:r>
    </w:p>
    <w:p w14:paraId="6148386F" w14:textId="77777777" w:rsidR="00CC57DD" w:rsidRPr="007A737C" w:rsidRDefault="00CC57DD" w:rsidP="00636435">
      <w:pPr>
        <w:widowControl w:val="0"/>
        <w:spacing w:after="0"/>
        <w:ind w:firstLine="709"/>
        <w:jc w:val="center"/>
        <w:rPr>
          <w:rFonts w:ascii="Times New Roman" w:hAnsi="Times New Roman"/>
          <w:sz w:val="24"/>
          <w:szCs w:val="24"/>
        </w:rPr>
      </w:pPr>
    </w:p>
    <w:p w14:paraId="54593198" w14:textId="6570A72D" w:rsidR="00CC57DD" w:rsidRPr="007A737C" w:rsidRDefault="00CC57DD" w:rsidP="009A5D1F">
      <w:pPr>
        <w:tabs>
          <w:tab w:val="left" w:pos="6804"/>
        </w:tabs>
        <w:spacing w:after="0" w:line="240" w:lineRule="auto"/>
        <w:ind w:firstLine="851"/>
        <w:jc w:val="both"/>
        <w:rPr>
          <w:rFonts w:ascii="Times New Roman" w:hAnsi="Times New Roman"/>
          <w:sz w:val="24"/>
          <w:szCs w:val="24"/>
        </w:rPr>
      </w:pPr>
      <w:r w:rsidRPr="007A737C">
        <w:rPr>
          <w:rFonts w:ascii="Times New Roman" w:hAnsi="Times New Roman"/>
          <w:sz w:val="24"/>
          <w:szCs w:val="24"/>
        </w:rPr>
        <w:t>Lietuvos Respublikos Vyriausybė</w:t>
      </w:r>
      <w:r w:rsidR="00EE0259" w:rsidRPr="007A737C">
        <w:rPr>
          <w:rFonts w:ascii="Times New Roman" w:hAnsi="Times New Roman"/>
          <w:sz w:val="24"/>
          <w:szCs w:val="24"/>
        </w:rPr>
        <w:t xml:space="preserve"> </w:t>
      </w:r>
      <w:r w:rsidRPr="007A737C">
        <w:rPr>
          <w:rFonts w:ascii="Times New Roman" w:hAnsi="Times New Roman"/>
          <w:spacing w:val="100"/>
          <w:sz w:val="24"/>
          <w:szCs w:val="24"/>
        </w:rPr>
        <w:t>nutari</w:t>
      </w:r>
      <w:r w:rsidRPr="007A737C">
        <w:rPr>
          <w:rFonts w:ascii="Times New Roman" w:hAnsi="Times New Roman"/>
          <w:sz w:val="24"/>
          <w:szCs w:val="24"/>
        </w:rPr>
        <w:t>a:</w:t>
      </w:r>
    </w:p>
    <w:p w14:paraId="74D6C9A5" w14:textId="4319992C" w:rsidR="00130245" w:rsidRDefault="00130245" w:rsidP="009A5D1F">
      <w:pPr>
        <w:tabs>
          <w:tab w:val="left" w:pos="6804"/>
        </w:tabs>
        <w:spacing w:after="0" w:line="240" w:lineRule="auto"/>
        <w:ind w:firstLine="851"/>
        <w:jc w:val="both"/>
        <w:rPr>
          <w:rFonts w:ascii="Times New Roman" w:hAnsi="Times New Roman"/>
          <w:sz w:val="24"/>
          <w:szCs w:val="24"/>
        </w:rPr>
      </w:pPr>
      <w:r w:rsidRPr="007A737C">
        <w:rPr>
          <w:rFonts w:ascii="Times New Roman" w:hAnsi="Times New Roman"/>
          <w:sz w:val="24"/>
          <w:szCs w:val="24"/>
        </w:rPr>
        <w:t xml:space="preserve">1. Pakeisti </w:t>
      </w:r>
      <w:r w:rsidRPr="007A737C">
        <w:rPr>
          <w:rFonts w:ascii="Times New Roman" w:hAnsi="Times New Roman"/>
          <w:sz w:val="24"/>
          <w:szCs w:val="24"/>
          <w:lang w:eastAsia="lt-LT"/>
        </w:rPr>
        <w:t>Lietuvos Respublikos Vyriausybės 2010 m. rugpjūčio 25 d. nutarimą Nr. 1219 „Dėl N</w:t>
      </w:r>
      <w:r w:rsidRPr="007A737C">
        <w:rPr>
          <w:rFonts w:ascii="Times New Roman" w:hAnsi="Times New Roman"/>
          <w:sz w:val="24"/>
          <w:szCs w:val="24"/>
        </w:rPr>
        <w:t>eteisėtos apyvartos narkotinių ir psichotropinių medžiagų ir jų pirmtakų (prekursorių) sunaikinimo tvarkos aprašo patvirtinimo ir įgaliojimų suteikimo įgyvendinant Lietuvos Respublikos narkotinių ir psichotropinių medžiagų kontrolės įstatymą“</w:t>
      </w:r>
      <w:r w:rsidR="00C157F4" w:rsidRPr="007A737C">
        <w:rPr>
          <w:rFonts w:ascii="Times New Roman" w:hAnsi="Times New Roman"/>
          <w:sz w:val="24"/>
          <w:szCs w:val="24"/>
        </w:rPr>
        <w:t xml:space="preserve"> ir jį išdėstyti nauja redakcija</w:t>
      </w:r>
      <w:r w:rsidR="00173EDE" w:rsidRPr="007A737C">
        <w:rPr>
          <w:rFonts w:ascii="Times New Roman" w:hAnsi="Times New Roman"/>
          <w:sz w:val="24"/>
          <w:szCs w:val="24"/>
        </w:rPr>
        <w:t xml:space="preserve"> (Neteisėtos apyvartos narkotinių ir psichotropinių medžiagų ir jų pirmtakų (prekursorių) sunaikinimo tvarkos aprašas</w:t>
      </w:r>
      <w:r w:rsidR="00173EDE" w:rsidRPr="007A737C">
        <w:rPr>
          <w:rFonts w:ascii="Times New Roman" w:hAnsi="Times New Roman"/>
          <w:sz w:val="24"/>
          <w:szCs w:val="24"/>
          <w:lang w:eastAsia="lt-LT"/>
        </w:rPr>
        <w:t xml:space="preserve"> nauja redakcija nedėstomas)</w:t>
      </w:r>
      <w:r w:rsidRPr="007A737C">
        <w:rPr>
          <w:rFonts w:ascii="Times New Roman" w:hAnsi="Times New Roman"/>
          <w:sz w:val="24"/>
          <w:szCs w:val="24"/>
        </w:rPr>
        <w:t>:</w:t>
      </w:r>
    </w:p>
    <w:p w14:paraId="4979074B" w14:textId="77777777" w:rsidR="000C4970" w:rsidRPr="007A737C" w:rsidRDefault="000C4970" w:rsidP="009A5D1F">
      <w:pPr>
        <w:tabs>
          <w:tab w:val="left" w:pos="6804"/>
        </w:tabs>
        <w:spacing w:after="0" w:line="240" w:lineRule="auto"/>
        <w:ind w:firstLine="851"/>
        <w:jc w:val="both"/>
        <w:rPr>
          <w:rFonts w:ascii="Times New Roman" w:hAnsi="Times New Roman"/>
          <w:sz w:val="24"/>
          <w:szCs w:val="24"/>
        </w:rPr>
      </w:pPr>
    </w:p>
    <w:p w14:paraId="0BFA853E" w14:textId="6D95178F" w:rsidR="00ED2980" w:rsidRPr="007A737C" w:rsidRDefault="00466972" w:rsidP="009A5D1F">
      <w:pPr>
        <w:widowControl w:val="0"/>
        <w:spacing w:after="0" w:line="240" w:lineRule="auto"/>
        <w:jc w:val="center"/>
        <w:rPr>
          <w:rFonts w:ascii="Times New Roman" w:eastAsia="Times New Roman" w:hAnsi="Times New Roman"/>
          <w:caps/>
          <w:sz w:val="24"/>
          <w:szCs w:val="20"/>
        </w:rPr>
      </w:pPr>
      <w:r>
        <w:rPr>
          <w:rFonts w:ascii="Times New Roman" w:eastAsia="Times New Roman" w:hAnsi="Times New Roman"/>
          <w:caps/>
          <w:sz w:val="24"/>
          <w:szCs w:val="20"/>
        </w:rPr>
        <w:object w:dxaOrig="1440" w:dyaOrig="1440" w14:anchorId="5446055A">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85.05pt;margin-top:-56.7pt;width:.75pt;height:.75pt;z-index:251659264;visibility:hidden;mso-position-horizontal-relative:text;mso-position-vertical-relative:text" stroked="f">
            <v:imagedata r:id="rId8" o:title=""/>
          </v:shape>
          <w:control r:id="rId9" w:name="Control 5" w:shapeid="_x0000_s1026"/>
        </w:object>
      </w:r>
      <w:r w:rsidR="00ED2980" w:rsidRPr="007A737C">
        <w:rPr>
          <w:rFonts w:ascii="Times New Roman" w:eastAsia="Times New Roman" w:hAnsi="Times New Roman"/>
          <w:caps/>
          <w:sz w:val="24"/>
          <w:szCs w:val="20"/>
        </w:rPr>
        <w:t>„Lietuvos Respublikos Vyriausybė</w:t>
      </w:r>
    </w:p>
    <w:p w14:paraId="726E5B70" w14:textId="77777777" w:rsidR="00260150" w:rsidRPr="007A737C" w:rsidRDefault="00260150" w:rsidP="009A5D1F">
      <w:pPr>
        <w:widowControl w:val="0"/>
        <w:spacing w:after="0" w:line="240" w:lineRule="auto"/>
        <w:jc w:val="center"/>
        <w:rPr>
          <w:rFonts w:ascii="Times New Roman" w:eastAsia="Times New Roman" w:hAnsi="Times New Roman"/>
          <w:caps/>
          <w:sz w:val="24"/>
          <w:szCs w:val="20"/>
        </w:rPr>
      </w:pPr>
    </w:p>
    <w:p w14:paraId="72DEE7D1" w14:textId="2AB164A2" w:rsidR="00335A43" w:rsidRPr="007A737C" w:rsidRDefault="00260150" w:rsidP="009A5D1F">
      <w:pPr>
        <w:widowControl w:val="0"/>
        <w:spacing w:after="0" w:line="240" w:lineRule="auto"/>
        <w:jc w:val="center"/>
        <w:rPr>
          <w:rFonts w:ascii="Times New Roman" w:eastAsia="Times New Roman" w:hAnsi="Times New Roman"/>
          <w:caps/>
          <w:sz w:val="24"/>
          <w:szCs w:val="20"/>
        </w:rPr>
      </w:pPr>
      <w:r w:rsidRPr="007A737C">
        <w:rPr>
          <w:rFonts w:ascii="Times New Roman" w:eastAsia="Times New Roman" w:hAnsi="Times New Roman"/>
          <w:caps/>
          <w:sz w:val="24"/>
          <w:szCs w:val="20"/>
        </w:rPr>
        <w:t>nutarimas</w:t>
      </w:r>
    </w:p>
    <w:p w14:paraId="3BF37DBD" w14:textId="1458D542" w:rsidR="00ED2980" w:rsidRPr="007A737C" w:rsidRDefault="00ED2980" w:rsidP="009A5D1F">
      <w:pPr>
        <w:spacing w:after="0" w:line="240" w:lineRule="auto"/>
        <w:jc w:val="center"/>
        <w:rPr>
          <w:rFonts w:ascii="Times New Roman" w:eastAsia="Times New Roman" w:hAnsi="Times New Roman"/>
          <w:caps/>
          <w:sz w:val="24"/>
          <w:szCs w:val="20"/>
        </w:rPr>
      </w:pPr>
      <w:r w:rsidRPr="007A737C">
        <w:rPr>
          <w:rFonts w:ascii="Times New Roman" w:eastAsia="Times New Roman" w:hAnsi="Times New Roman"/>
          <w:caps/>
          <w:sz w:val="24"/>
          <w:szCs w:val="20"/>
        </w:rPr>
        <w:t xml:space="preserve">DĖL NETEISĖTOS APYVARTOS NARKOTINIŲ IR PSICHOTROPINIŲ MEDŽIAGŲ IR JŲ PIRMTAKŲ (PREKURSORIŲ) </w:t>
      </w:r>
      <w:r w:rsidRPr="007A737C">
        <w:rPr>
          <w:rFonts w:ascii="Times New Roman" w:eastAsia="Times New Roman" w:hAnsi="Times New Roman"/>
          <w:b/>
          <w:bCs/>
          <w:sz w:val="24"/>
          <w:szCs w:val="24"/>
          <w:lang w:eastAsia="lt-LT"/>
        </w:rPr>
        <w:t xml:space="preserve">BEI Į OFICIALŲ SĄRAŠĄ NEĮTRAUKTŲ MEDŽIAGŲ </w:t>
      </w:r>
      <w:r w:rsidRPr="007A737C">
        <w:rPr>
          <w:rFonts w:ascii="Times New Roman" w:eastAsia="Times New Roman" w:hAnsi="Times New Roman"/>
          <w:caps/>
          <w:sz w:val="24"/>
          <w:szCs w:val="20"/>
        </w:rPr>
        <w:t xml:space="preserve">SUNAIKINIMO TVARKOS APRAŠO PATVIRTINIMO IR ĮGALIOJIMŲ SUTEIKIMO ĮGYVENDINANT LIETUVOS RESPUBLIKOS NARKOTINIŲ IR PSICHOTROPINIŲ MEDŽIAGŲ KONTROLĖS ĮSTATYMĄ </w:t>
      </w:r>
    </w:p>
    <w:p w14:paraId="1AF89073" w14:textId="77777777" w:rsidR="00ED2980" w:rsidRPr="007A737C" w:rsidRDefault="00ED2980" w:rsidP="009A5D1F">
      <w:pPr>
        <w:spacing w:after="0" w:line="240" w:lineRule="auto"/>
        <w:rPr>
          <w:rFonts w:ascii="Times New Roman" w:eastAsia="Times New Roman" w:hAnsi="Times New Roman"/>
          <w:sz w:val="24"/>
          <w:szCs w:val="20"/>
        </w:rPr>
      </w:pPr>
    </w:p>
    <w:p w14:paraId="62C53CD7" w14:textId="65FB3B5F" w:rsidR="007A737C" w:rsidRDefault="00ED2980" w:rsidP="009A5D1F">
      <w:pPr>
        <w:spacing w:after="0" w:line="240" w:lineRule="auto"/>
        <w:ind w:firstLine="851"/>
        <w:jc w:val="both"/>
        <w:rPr>
          <w:rFonts w:ascii="Times New Roman" w:eastAsia="Times New Roman" w:hAnsi="Times New Roman"/>
          <w:sz w:val="24"/>
          <w:szCs w:val="20"/>
        </w:rPr>
      </w:pPr>
      <w:r w:rsidRPr="007A737C">
        <w:rPr>
          <w:rFonts w:ascii="Times New Roman" w:eastAsia="Times New Roman" w:hAnsi="Times New Roman"/>
          <w:sz w:val="24"/>
          <w:szCs w:val="24"/>
          <w:lang w:eastAsia="lt-LT"/>
        </w:rPr>
        <w:t>Vadovaudamasi Lietuvos Respublikos baudžiamojo proceso kodekso 93 straipsnio 5</w:t>
      </w:r>
      <w:r w:rsidR="007A737C">
        <w:rPr>
          <w:rFonts w:ascii="Times New Roman" w:eastAsia="Times New Roman" w:hAnsi="Times New Roman"/>
          <w:sz w:val="24"/>
          <w:szCs w:val="24"/>
          <w:lang w:eastAsia="lt-LT"/>
        </w:rPr>
        <w:t xml:space="preserve"> </w:t>
      </w:r>
      <w:r w:rsidRPr="007A737C">
        <w:rPr>
          <w:rFonts w:ascii="Times New Roman" w:eastAsia="Times New Roman" w:hAnsi="Times New Roman"/>
          <w:sz w:val="24"/>
          <w:szCs w:val="24"/>
          <w:lang w:eastAsia="lt-LT"/>
        </w:rPr>
        <w:t>dalimi ir Lietuvos Respublikos narkotinių ir psichotropinių medžiagų kontrolės įstatymo 8</w:t>
      </w:r>
      <w:r w:rsidR="007A737C">
        <w:rPr>
          <w:rFonts w:ascii="Times New Roman" w:eastAsia="Times New Roman" w:hAnsi="Times New Roman"/>
          <w:sz w:val="24"/>
          <w:szCs w:val="24"/>
          <w:lang w:eastAsia="lt-LT"/>
        </w:rPr>
        <w:t xml:space="preserve"> </w:t>
      </w:r>
      <w:r w:rsidRPr="007A737C">
        <w:rPr>
          <w:rFonts w:ascii="Times New Roman" w:eastAsia="Times New Roman" w:hAnsi="Times New Roman"/>
          <w:sz w:val="24"/>
          <w:szCs w:val="24"/>
          <w:lang w:eastAsia="lt-LT"/>
        </w:rPr>
        <w:t>straipsnio</w:t>
      </w:r>
      <w:r w:rsidRPr="007A737C">
        <w:rPr>
          <w:rFonts w:ascii="Times New Roman" w:eastAsia="Times New Roman" w:hAnsi="Times New Roman"/>
          <w:strike/>
          <w:sz w:val="24"/>
          <w:szCs w:val="24"/>
          <w:lang w:eastAsia="lt-LT"/>
        </w:rPr>
        <w:t xml:space="preserve"> 6</w:t>
      </w:r>
      <w:r w:rsidRPr="007A737C">
        <w:rPr>
          <w:rFonts w:ascii="Times New Roman" w:eastAsia="Times New Roman" w:hAnsi="Times New Roman"/>
          <w:sz w:val="24"/>
          <w:szCs w:val="24"/>
          <w:lang w:eastAsia="lt-LT"/>
        </w:rPr>
        <w:t xml:space="preserve"> </w:t>
      </w:r>
      <w:r w:rsidRPr="007A737C">
        <w:rPr>
          <w:rFonts w:ascii="Times New Roman" w:eastAsia="Times New Roman" w:hAnsi="Times New Roman"/>
          <w:b/>
          <w:sz w:val="24"/>
          <w:szCs w:val="24"/>
          <w:lang w:eastAsia="lt-LT"/>
        </w:rPr>
        <w:t xml:space="preserve">9 </w:t>
      </w:r>
      <w:r w:rsidRPr="007A737C">
        <w:rPr>
          <w:rFonts w:ascii="Times New Roman" w:eastAsia="Times New Roman" w:hAnsi="Times New Roman"/>
          <w:sz w:val="24"/>
          <w:szCs w:val="24"/>
          <w:lang w:eastAsia="lt-LT"/>
        </w:rPr>
        <w:t>dalimi ir 14 straipsnio 6 dalimi, Lietuvos Respublikos Vyriausybė</w:t>
      </w:r>
      <w:r w:rsidRPr="007A737C">
        <w:rPr>
          <w:rFonts w:ascii="Times New Roman" w:eastAsia="Times New Roman" w:hAnsi="Times New Roman"/>
          <w:spacing w:val="100"/>
          <w:sz w:val="24"/>
          <w:szCs w:val="24"/>
          <w:lang w:eastAsia="lt-LT"/>
        </w:rPr>
        <w:t xml:space="preserve"> nutari</w:t>
      </w:r>
      <w:r w:rsidRPr="007A737C">
        <w:rPr>
          <w:rFonts w:ascii="Times New Roman" w:eastAsia="Times New Roman" w:hAnsi="Times New Roman"/>
          <w:sz w:val="24"/>
          <w:szCs w:val="24"/>
          <w:lang w:eastAsia="lt-LT"/>
        </w:rPr>
        <w:t>a:</w:t>
      </w:r>
    </w:p>
    <w:p w14:paraId="643932AF" w14:textId="65CCB847" w:rsidR="00ED2980" w:rsidRPr="007A737C" w:rsidRDefault="00ED2980" w:rsidP="009A5D1F">
      <w:pPr>
        <w:spacing w:after="0" w:line="240" w:lineRule="auto"/>
        <w:ind w:firstLine="851"/>
        <w:jc w:val="both"/>
        <w:rPr>
          <w:rFonts w:ascii="Times New Roman" w:eastAsia="Times New Roman" w:hAnsi="Times New Roman"/>
          <w:sz w:val="24"/>
          <w:szCs w:val="20"/>
        </w:rPr>
      </w:pPr>
      <w:r w:rsidRPr="007A737C">
        <w:rPr>
          <w:rFonts w:ascii="Times New Roman" w:eastAsia="Times New Roman" w:hAnsi="Times New Roman"/>
          <w:sz w:val="24"/>
          <w:szCs w:val="20"/>
        </w:rPr>
        <w:t xml:space="preserve">1. Patvirtinti Neteisėtos apyvartos narkotinių ir psichotropinių medžiagų ir jų pirmtakų (prekursorių) </w:t>
      </w:r>
      <w:r w:rsidRPr="007A737C">
        <w:rPr>
          <w:rFonts w:ascii="Times New Roman" w:eastAsia="Times New Roman" w:hAnsi="Times New Roman"/>
          <w:b/>
          <w:sz w:val="24"/>
          <w:szCs w:val="20"/>
        </w:rPr>
        <w:t xml:space="preserve">bei į oficialų sąrašą neįtrauktų medžiagų </w:t>
      </w:r>
      <w:r w:rsidRPr="007A737C">
        <w:rPr>
          <w:rFonts w:ascii="Times New Roman" w:eastAsia="Times New Roman" w:hAnsi="Times New Roman"/>
          <w:sz w:val="24"/>
          <w:szCs w:val="20"/>
        </w:rPr>
        <w:t>sunaikinimo tvarkos aprašą (pridedama).</w:t>
      </w:r>
    </w:p>
    <w:p w14:paraId="015A5146" w14:textId="77777777" w:rsidR="00ED2980" w:rsidRPr="007A737C" w:rsidRDefault="00ED2980" w:rsidP="009A5D1F">
      <w:pPr>
        <w:spacing w:after="0" w:line="240" w:lineRule="auto"/>
        <w:ind w:firstLine="851"/>
        <w:jc w:val="both"/>
        <w:rPr>
          <w:rFonts w:ascii="Times New Roman" w:eastAsia="Times New Roman" w:hAnsi="Times New Roman"/>
          <w:sz w:val="24"/>
          <w:szCs w:val="20"/>
        </w:rPr>
      </w:pPr>
      <w:r w:rsidRPr="007A737C">
        <w:rPr>
          <w:rFonts w:ascii="Times New Roman" w:eastAsia="Times New Roman" w:hAnsi="Times New Roman"/>
          <w:color w:val="000000"/>
          <w:sz w:val="24"/>
          <w:szCs w:val="24"/>
          <w:lang w:eastAsia="lt-LT"/>
        </w:rPr>
        <w:t>2. Įgalioti Lietuvos policijos generalinį komisarą patvirtinti Iš neteisėtos apyvartos paimtų į I, II ir III sąrašus įtrauktų medžiagų perdavimo naudoti teisėsaugos institucijų kinologijos padaliniams tvarkos aprašą, suderintą su Valstybės sienos apsaugos tarnyba prie Lietuvos Respublikos vidaus reikalų ministerijos, Viešojo saugumo tarnyba prie Vidaus reikalų ministerijos, Muitinės departamentu prie Lietuvos Respublikos finansų ministerijos, Kalėjimų departamentu prie Lietuvos Respublikos teisingumo ministerijos ir Lietuvos kariuomenės karo policija.</w:t>
      </w:r>
      <w:r w:rsidRPr="007A737C">
        <w:rPr>
          <w:rFonts w:ascii="Times New Roman" w:eastAsia="Times New Roman" w:hAnsi="Times New Roman"/>
          <w:sz w:val="24"/>
          <w:szCs w:val="20"/>
        </w:rPr>
        <w:t xml:space="preserve"> </w:t>
      </w:r>
    </w:p>
    <w:p w14:paraId="3A2E2E2B" w14:textId="4E9A5F28" w:rsidR="00ED2980" w:rsidRPr="007A737C" w:rsidRDefault="00ED2980" w:rsidP="009A5D1F">
      <w:pPr>
        <w:spacing w:after="0" w:line="240" w:lineRule="auto"/>
        <w:ind w:firstLine="851"/>
        <w:jc w:val="both"/>
        <w:rPr>
          <w:rFonts w:ascii="Times New Roman" w:eastAsia="Times New Roman" w:hAnsi="Times New Roman"/>
          <w:sz w:val="24"/>
          <w:szCs w:val="20"/>
        </w:rPr>
      </w:pPr>
      <w:r w:rsidRPr="007A737C">
        <w:rPr>
          <w:rFonts w:ascii="Times New Roman" w:eastAsia="Times New Roman" w:hAnsi="Times New Roman"/>
          <w:sz w:val="24"/>
          <w:szCs w:val="20"/>
        </w:rPr>
        <w:t xml:space="preserve">3. Rekomenduoti Lietuvos Respublikos generalinei prokuratūrai, teritorinėms prokuratūroms ir Lietuvos Respublikos valstybės saugumo departamentui vadovautis šiuo nutarimu patvirtintu Neteisėtos apyvartos narkotinių ir psichotropinių medžiagų ir jų pirmtakų (prekursorių) </w:t>
      </w:r>
      <w:r w:rsidR="00EF0105" w:rsidRPr="007A737C">
        <w:rPr>
          <w:rFonts w:ascii="Times New Roman" w:eastAsia="Times New Roman" w:hAnsi="Times New Roman"/>
          <w:b/>
          <w:sz w:val="24"/>
          <w:szCs w:val="20"/>
        </w:rPr>
        <w:t xml:space="preserve">bei į oficialų sąrašą neįtrauktų medžiagų </w:t>
      </w:r>
      <w:r w:rsidRPr="007A737C">
        <w:rPr>
          <w:rFonts w:ascii="Times New Roman" w:eastAsia="Times New Roman" w:hAnsi="Times New Roman"/>
          <w:sz w:val="24"/>
          <w:szCs w:val="20"/>
        </w:rPr>
        <w:t xml:space="preserve">sunaikinimo tvarkos aprašu, </w:t>
      </w:r>
      <w:r w:rsidRPr="007A737C">
        <w:rPr>
          <w:rFonts w:ascii="Times New Roman" w:eastAsia="Times New Roman" w:hAnsi="Times New Roman"/>
          <w:sz w:val="24"/>
          <w:szCs w:val="20"/>
        </w:rPr>
        <w:lastRenderedPageBreak/>
        <w:t xml:space="preserve">sprendžiant paimtų iš neteisėtos apyvartos narkotinių ir psichotropinių medžiagų ir jų pirmtakų (prekursorių) </w:t>
      </w:r>
      <w:r w:rsidR="008D4417" w:rsidRPr="007A737C">
        <w:rPr>
          <w:rFonts w:ascii="Times New Roman" w:eastAsia="Times New Roman" w:hAnsi="Times New Roman"/>
          <w:b/>
          <w:sz w:val="24"/>
          <w:szCs w:val="20"/>
        </w:rPr>
        <w:t>bei į oficialų sąrašą neįtrauktų medžiagų</w:t>
      </w:r>
      <w:r w:rsidR="008D4417" w:rsidRPr="007A737C">
        <w:rPr>
          <w:rFonts w:ascii="Times New Roman" w:eastAsia="Times New Roman" w:hAnsi="Times New Roman"/>
          <w:sz w:val="24"/>
          <w:szCs w:val="20"/>
        </w:rPr>
        <w:t xml:space="preserve"> </w:t>
      </w:r>
      <w:r w:rsidRPr="007A737C">
        <w:rPr>
          <w:rFonts w:ascii="Times New Roman" w:eastAsia="Times New Roman" w:hAnsi="Times New Roman"/>
          <w:sz w:val="24"/>
          <w:szCs w:val="20"/>
        </w:rPr>
        <w:t>naikinimo klausimus.</w:t>
      </w:r>
    </w:p>
    <w:p w14:paraId="18ADF04E" w14:textId="374F8651" w:rsidR="00ED2980" w:rsidRPr="007A737C" w:rsidRDefault="00ED2980" w:rsidP="009A5D1F">
      <w:pPr>
        <w:spacing w:after="0" w:line="240" w:lineRule="auto"/>
        <w:ind w:firstLine="851"/>
        <w:jc w:val="both"/>
        <w:rPr>
          <w:rFonts w:ascii="Times New Roman" w:eastAsia="Times New Roman" w:hAnsi="Times New Roman"/>
          <w:sz w:val="24"/>
          <w:szCs w:val="20"/>
        </w:rPr>
      </w:pPr>
      <w:r w:rsidRPr="007A737C">
        <w:rPr>
          <w:rFonts w:ascii="Times New Roman" w:eastAsia="Times New Roman" w:hAnsi="Times New Roman"/>
          <w:strike/>
          <w:sz w:val="24"/>
          <w:szCs w:val="20"/>
        </w:rPr>
        <w:t>4. Šis nutarimas, išskyrus 2 punktą, įsigalioja 2010 m. lapkričio 1 dieną.</w:t>
      </w:r>
      <w:r w:rsidR="004032CB" w:rsidRPr="007A737C">
        <w:rPr>
          <w:rFonts w:ascii="Times New Roman" w:eastAsia="Times New Roman" w:hAnsi="Times New Roman"/>
          <w:sz w:val="24"/>
          <w:szCs w:val="20"/>
        </w:rPr>
        <w:t>“</w:t>
      </w:r>
    </w:p>
    <w:p w14:paraId="2000751B" w14:textId="3624C894" w:rsidR="00872BAB" w:rsidRPr="007A737C" w:rsidRDefault="00BD34F2" w:rsidP="009A5D1F">
      <w:pPr>
        <w:tabs>
          <w:tab w:val="left" w:pos="6804"/>
        </w:tabs>
        <w:spacing w:after="0" w:line="240" w:lineRule="auto"/>
        <w:ind w:firstLine="851"/>
        <w:jc w:val="both"/>
        <w:rPr>
          <w:rFonts w:ascii="Times New Roman" w:hAnsi="Times New Roman"/>
          <w:sz w:val="24"/>
          <w:szCs w:val="24"/>
        </w:rPr>
      </w:pPr>
      <w:r w:rsidRPr="007A737C">
        <w:rPr>
          <w:rFonts w:ascii="Times New Roman" w:hAnsi="Times New Roman"/>
          <w:sz w:val="24"/>
          <w:szCs w:val="24"/>
        </w:rPr>
        <w:t xml:space="preserve">2. </w:t>
      </w:r>
      <w:r w:rsidR="00991433" w:rsidRPr="007A737C">
        <w:rPr>
          <w:rFonts w:ascii="Times New Roman" w:hAnsi="Times New Roman"/>
          <w:sz w:val="24"/>
          <w:szCs w:val="24"/>
        </w:rPr>
        <w:t>Pakeisti</w:t>
      </w:r>
      <w:r w:rsidR="00CC57DD" w:rsidRPr="007A737C">
        <w:rPr>
          <w:rFonts w:ascii="Times New Roman" w:hAnsi="Times New Roman"/>
          <w:sz w:val="24"/>
          <w:szCs w:val="24"/>
        </w:rPr>
        <w:t xml:space="preserve"> </w:t>
      </w:r>
      <w:r w:rsidR="009C4F4E" w:rsidRPr="007A737C">
        <w:rPr>
          <w:rFonts w:ascii="Times New Roman" w:hAnsi="Times New Roman"/>
          <w:sz w:val="24"/>
          <w:szCs w:val="24"/>
        </w:rPr>
        <w:t>nurodytu nutarimu patvirtint</w:t>
      </w:r>
      <w:r w:rsidR="00C928B4" w:rsidRPr="007A737C">
        <w:rPr>
          <w:rFonts w:ascii="Times New Roman" w:hAnsi="Times New Roman"/>
          <w:sz w:val="24"/>
          <w:szCs w:val="24"/>
        </w:rPr>
        <w:t>ą</w:t>
      </w:r>
      <w:r w:rsidR="009C4F4E" w:rsidRPr="007A737C">
        <w:rPr>
          <w:rFonts w:ascii="Times New Roman" w:hAnsi="Times New Roman"/>
          <w:sz w:val="24"/>
          <w:szCs w:val="24"/>
        </w:rPr>
        <w:t xml:space="preserve"> </w:t>
      </w:r>
      <w:r w:rsidR="00872BAB" w:rsidRPr="007A737C">
        <w:rPr>
          <w:rFonts w:ascii="Times New Roman" w:hAnsi="Times New Roman"/>
          <w:sz w:val="24"/>
          <w:szCs w:val="24"/>
        </w:rPr>
        <w:t>Neteisėtos apyvartos narkotinių ir psichotropinių medžiagų ir jų pirmtakų (prekursorių) sunaikinimo tvarkos apraš</w:t>
      </w:r>
      <w:r w:rsidR="00C928B4" w:rsidRPr="007A737C">
        <w:rPr>
          <w:rFonts w:ascii="Times New Roman" w:hAnsi="Times New Roman"/>
          <w:sz w:val="24"/>
          <w:szCs w:val="24"/>
        </w:rPr>
        <w:t>ą</w:t>
      </w:r>
      <w:r w:rsidR="00872BAB" w:rsidRPr="007A737C">
        <w:rPr>
          <w:rFonts w:ascii="Times New Roman" w:hAnsi="Times New Roman"/>
          <w:sz w:val="24"/>
          <w:szCs w:val="24"/>
        </w:rPr>
        <w:t>:</w:t>
      </w:r>
    </w:p>
    <w:p w14:paraId="1E69A5A8" w14:textId="77777777" w:rsidR="00C928B4" w:rsidRPr="007A737C" w:rsidRDefault="00C928B4" w:rsidP="009A5D1F">
      <w:pPr>
        <w:spacing w:after="0" w:line="240" w:lineRule="auto"/>
        <w:ind w:firstLine="851"/>
        <w:jc w:val="both"/>
        <w:rPr>
          <w:rFonts w:ascii="Times New Roman" w:hAnsi="Times New Roman"/>
          <w:sz w:val="24"/>
          <w:szCs w:val="24"/>
        </w:rPr>
      </w:pPr>
      <w:r w:rsidRPr="007A737C">
        <w:rPr>
          <w:rFonts w:ascii="Times New Roman" w:hAnsi="Times New Roman"/>
          <w:sz w:val="24"/>
          <w:szCs w:val="24"/>
        </w:rPr>
        <w:t>2.1. Pakeisti antraštę ir ją išdėstyti taip:</w:t>
      </w:r>
    </w:p>
    <w:p w14:paraId="5604CD9C" w14:textId="77777777" w:rsidR="00C928B4" w:rsidRPr="007A737C" w:rsidRDefault="00C928B4" w:rsidP="009A5D1F">
      <w:pPr>
        <w:spacing w:after="0" w:line="240" w:lineRule="auto"/>
        <w:jc w:val="center"/>
        <w:rPr>
          <w:rFonts w:ascii="Times New Roman" w:eastAsia="Times New Roman" w:hAnsi="Times New Roman"/>
          <w:sz w:val="24"/>
          <w:szCs w:val="20"/>
        </w:rPr>
      </w:pPr>
      <w:r w:rsidRPr="007A737C">
        <w:rPr>
          <w:rFonts w:ascii="Times New Roman" w:hAnsi="Times New Roman"/>
          <w:sz w:val="24"/>
          <w:szCs w:val="24"/>
        </w:rPr>
        <w:t>„</w:t>
      </w:r>
      <w:r w:rsidRPr="007A737C">
        <w:rPr>
          <w:rFonts w:ascii="Times New Roman" w:eastAsia="Times New Roman" w:hAnsi="Times New Roman"/>
          <w:bCs/>
          <w:sz w:val="24"/>
          <w:szCs w:val="20"/>
        </w:rPr>
        <w:t xml:space="preserve">NETEISĖTOS APYVARTOS </w:t>
      </w:r>
      <w:r w:rsidRPr="007A737C">
        <w:rPr>
          <w:rFonts w:ascii="Times New Roman" w:eastAsia="Times New Roman" w:hAnsi="Times New Roman"/>
          <w:sz w:val="24"/>
          <w:szCs w:val="20"/>
        </w:rPr>
        <w:t xml:space="preserve">NARKOTINIŲ IR PSICHOTROPINIŲ MEDŽIAGŲ IR JŲ PIRMTAKŲ (PREKURSORIŲ) </w:t>
      </w:r>
      <w:r w:rsidRPr="007A737C">
        <w:rPr>
          <w:rFonts w:ascii="Times New Roman" w:eastAsia="Times New Roman" w:hAnsi="Times New Roman"/>
          <w:b/>
          <w:bCs/>
          <w:sz w:val="24"/>
          <w:szCs w:val="24"/>
          <w:lang w:eastAsia="lt-LT"/>
        </w:rPr>
        <w:t xml:space="preserve">BEI Į OFICIALŲ SĄRAŠĄ NEĮTRAUKTŲ MEDŽIAGŲ </w:t>
      </w:r>
      <w:r w:rsidRPr="007A737C">
        <w:rPr>
          <w:rFonts w:ascii="Times New Roman" w:eastAsia="Times New Roman" w:hAnsi="Times New Roman"/>
          <w:sz w:val="24"/>
          <w:szCs w:val="20"/>
        </w:rPr>
        <w:t xml:space="preserve">SUNAIKINIMO TVARKOS </w:t>
      </w:r>
    </w:p>
    <w:p w14:paraId="1150C0A0" w14:textId="650C62A3" w:rsidR="00C928B4" w:rsidRPr="007A737C" w:rsidRDefault="00C928B4" w:rsidP="009A5D1F">
      <w:pPr>
        <w:spacing w:after="0" w:line="240" w:lineRule="auto"/>
        <w:jc w:val="center"/>
        <w:rPr>
          <w:rFonts w:ascii="Times New Roman" w:eastAsia="Times New Roman" w:hAnsi="Times New Roman"/>
          <w:sz w:val="24"/>
          <w:szCs w:val="20"/>
        </w:rPr>
      </w:pPr>
      <w:r w:rsidRPr="007A737C">
        <w:rPr>
          <w:rFonts w:ascii="Times New Roman" w:eastAsia="Times New Roman" w:hAnsi="Times New Roman"/>
          <w:sz w:val="24"/>
          <w:szCs w:val="20"/>
        </w:rPr>
        <w:t>APRAŠAS“</w:t>
      </w:r>
      <w:r w:rsidR="005C27F4" w:rsidRPr="007A737C">
        <w:rPr>
          <w:rFonts w:ascii="Times New Roman" w:eastAsia="Times New Roman" w:hAnsi="Times New Roman"/>
          <w:sz w:val="24"/>
          <w:szCs w:val="20"/>
        </w:rPr>
        <w:t>.</w:t>
      </w:r>
    </w:p>
    <w:p w14:paraId="0AA7DCD1" w14:textId="77777777" w:rsidR="0032438D" w:rsidRPr="007A737C" w:rsidRDefault="0032438D" w:rsidP="009A5D1F">
      <w:pPr>
        <w:spacing w:after="0" w:line="240" w:lineRule="auto"/>
        <w:ind w:firstLine="851"/>
        <w:jc w:val="both"/>
        <w:rPr>
          <w:rFonts w:ascii="Times New Roman" w:hAnsi="Times New Roman"/>
          <w:sz w:val="24"/>
          <w:szCs w:val="24"/>
          <w:lang w:eastAsia="lt-LT"/>
        </w:rPr>
      </w:pPr>
      <w:r w:rsidRPr="007A737C">
        <w:rPr>
          <w:rFonts w:ascii="Times New Roman" w:hAnsi="Times New Roman"/>
          <w:sz w:val="24"/>
          <w:szCs w:val="24"/>
          <w:lang w:eastAsia="lt-LT"/>
        </w:rPr>
        <w:t>2.2. Pakeisti 1 punktą ir jį išdėstyti taip:</w:t>
      </w:r>
    </w:p>
    <w:p w14:paraId="00198809" w14:textId="0445A8D3" w:rsidR="0032438D" w:rsidRPr="007A737C" w:rsidRDefault="008E778B" w:rsidP="009A5D1F">
      <w:pPr>
        <w:spacing w:after="0" w:line="240" w:lineRule="auto"/>
        <w:ind w:firstLine="851"/>
        <w:jc w:val="both"/>
        <w:rPr>
          <w:rFonts w:ascii="Times New Roman" w:hAnsi="Times New Roman"/>
          <w:bCs/>
          <w:color w:val="000000"/>
          <w:sz w:val="24"/>
          <w:szCs w:val="24"/>
          <w:lang w:eastAsia="lt-LT"/>
        </w:rPr>
      </w:pPr>
      <w:r w:rsidRPr="007A737C">
        <w:rPr>
          <w:rFonts w:ascii="Times New Roman" w:hAnsi="Times New Roman"/>
          <w:bCs/>
          <w:color w:val="000000"/>
          <w:sz w:val="24"/>
          <w:szCs w:val="24"/>
          <w:lang w:eastAsia="lt-LT"/>
        </w:rPr>
        <w:t>„</w:t>
      </w:r>
      <w:r w:rsidR="002F3795" w:rsidRPr="007A737C">
        <w:rPr>
          <w:rFonts w:ascii="Times New Roman" w:hAnsi="Times New Roman"/>
          <w:bCs/>
          <w:color w:val="000000"/>
          <w:sz w:val="24"/>
          <w:szCs w:val="24"/>
          <w:lang w:eastAsia="lt-LT"/>
        </w:rPr>
        <w:t xml:space="preserve">1. </w:t>
      </w:r>
      <w:r w:rsidR="009F501C" w:rsidRPr="007A737C">
        <w:rPr>
          <w:rFonts w:ascii="Times New Roman" w:hAnsi="Times New Roman"/>
          <w:bCs/>
          <w:color w:val="000000"/>
          <w:sz w:val="24"/>
          <w:szCs w:val="24"/>
          <w:lang w:eastAsia="lt-LT"/>
        </w:rPr>
        <w:t xml:space="preserve">Neteisėtos apyvartos narkotinių ir psichotropinių medžiagų ir jų pirmtakų (prekursorių) </w:t>
      </w:r>
      <w:r w:rsidR="00846F55" w:rsidRPr="007A737C">
        <w:rPr>
          <w:rFonts w:ascii="Times New Roman" w:hAnsi="Times New Roman"/>
          <w:b/>
          <w:bCs/>
          <w:color w:val="000000"/>
          <w:sz w:val="24"/>
          <w:szCs w:val="24"/>
          <w:lang w:eastAsia="lt-LT"/>
        </w:rPr>
        <w:t xml:space="preserve">bei į oficialų sąrašą neįtrauktų medžiagų </w:t>
      </w:r>
      <w:r w:rsidR="009F501C" w:rsidRPr="007A737C">
        <w:rPr>
          <w:rFonts w:ascii="Times New Roman" w:hAnsi="Times New Roman"/>
          <w:bCs/>
          <w:color w:val="000000"/>
          <w:sz w:val="24"/>
          <w:szCs w:val="24"/>
          <w:lang w:eastAsia="lt-LT"/>
        </w:rPr>
        <w:t>sunaikinimo tvarkos apr</w:t>
      </w:r>
      <w:r w:rsidR="00060F12" w:rsidRPr="007A737C">
        <w:rPr>
          <w:rFonts w:ascii="Times New Roman" w:hAnsi="Times New Roman"/>
          <w:bCs/>
          <w:color w:val="000000"/>
          <w:sz w:val="24"/>
          <w:szCs w:val="24"/>
          <w:lang w:eastAsia="lt-LT"/>
        </w:rPr>
        <w:t xml:space="preserve">ašas (toliau – Aprašas) nustato paimtų iš </w:t>
      </w:r>
      <w:r w:rsidR="009F501C" w:rsidRPr="007A737C">
        <w:rPr>
          <w:rFonts w:ascii="Times New Roman" w:hAnsi="Times New Roman"/>
          <w:bCs/>
          <w:color w:val="000000"/>
          <w:sz w:val="24"/>
          <w:szCs w:val="24"/>
          <w:lang w:eastAsia="lt-LT"/>
        </w:rPr>
        <w:t xml:space="preserve">neteisėtos apyvartos narkotinių ir psichotropinių medžiagų ir jų pirmtakų (prekursorių) </w:t>
      </w:r>
      <w:r w:rsidR="00846F55" w:rsidRPr="007A737C">
        <w:rPr>
          <w:rFonts w:ascii="Times New Roman" w:hAnsi="Times New Roman"/>
          <w:b/>
          <w:color w:val="000000"/>
          <w:sz w:val="24"/>
          <w:szCs w:val="24"/>
        </w:rPr>
        <w:t>(į oficialų sąrašą įtrauktų medžiagų)</w:t>
      </w:r>
      <w:r w:rsidR="00846F55" w:rsidRPr="007A737C">
        <w:rPr>
          <w:rFonts w:ascii="Times New Roman" w:hAnsi="Times New Roman"/>
          <w:b/>
          <w:bCs/>
          <w:color w:val="000000"/>
          <w:sz w:val="24"/>
          <w:szCs w:val="24"/>
          <w:lang w:eastAsia="lt-LT"/>
        </w:rPr>
        <w:t xml:space="preserve"> </w:t>
      </w:r>
      <w:r w:rsidR="00846F55" w:rsidRPr="007A737C">
        <w:rPr>
          <w:rFonts w:ascii="Times New Roman" w:eastAsia="Times New Roman" w:hAnsi="Times New Roman"/>
          <w:b/>
          <w:sz w:val="24"/>
          <w:szCs w:val="24"/>
        </w:rPr>
        <w:t xml:space="preserve">ir į oficialų sąrašą neįtrauktų medžiagų, </w:t>
      </w:r>
      <w:r w:rsidR="00846F55" w:rsidRPr="007A737C">
        <w:rPr>
          <w:rFonts w:ascii="Times New Roman" w:hAnsi="Times New Roman"/>
          <w:b/>
          <w:color w:val="000000"/>
          <w:sz w:val="24"/>
          <w:szCs w:val="24"/>
        </w:rPr>
        <w:t>kurios gali būti naudojamos neteisėtai narkotinių ar psichotropinių medžiagų gamybai,</w:t>
      </w:r>
      <w:r w:rsidR="00846F55" w:rsidRPr="007A737C">
        <w:rPr>
          <w:rFonts w:ascii="Times New Roman" w:hAnsi="Times New Roman"/>
          <w:b/>
          <w:bCs/>
          <w:color w:val="000000"/>
          <w:sz w:val="24"/>
          <w:szCs w:val="24"/>
          <w:lang w:eastAsia="lt-LT"/>
        </w:rPr>
        <w:t xml:space="preserve"> </w:t>
      </w:r>
      <w:r w:rsidR="009F501C" w:rsidRPr="007A737C">
        <w:rPr>
          <w:rFonts w:ascii="Times New Roman" w:hAnsi="Times New Roman"/>
          <w:bCs/>
          <w:color w:val="000000"/>
          <w:sz w:val="24"/>
          <w:szCs w:val="24"/>
          <w:lang w:eastAsia="lt-LT"/>
        </w:rPr>
        <w:t>(toliau – medžiagos) sunaikinimo tvarką ikiteisminio tyrimo įstaigoms ir kriminalinės žvalgybos subjektams, taip pat įgaliotoms valstybės institucijoms (pareigūnams), nagrinėjančioms administracinių nusižengimų bylas.</w:t>
      </w:r>
      <w:r w:rsidR="00E64CF5" w:rsidRPr="007A737C">
        <w:rPr>
          <w:rFonts w:ascii="Times New Roman" w:hAnsi="Times New Roman"/>
          <w:bCs/>
          <w:color w:val="000000"/>
          <w:sz w:val="24"/>
          <w:szCs w:val="24"/>
          <w:lang w:eastAsia="lt-LT"/>
        </w:rPr>
        <w:t>“</w:t>
      </w:r>
      <w:r w:rsidR="009F501C" w:rsidRPr="007A737C">
        <w:rPr>
          <w:rFonts w:ascii="Times New Roman" w:hAnsi="Times New Roman"/>
          <w:bCs/>
          <w:color w:val="000000"/>
          <w:sz w:val="24"/>
          <w:szCs w:val="24"/>
          <w:lang w:eastAsia="lt-LT"/>
        </w:rPr>
        <w:t xml:space="preserve"> </w:t>
      </w:r>
    </w:p>
    <w:p w14:paraId="2A847E41" w14:textId="72218DD1" w:rsidR="00EF0105" w:rsidRPr="007A737C" w:rsidRDefault="00EF0105" w:rsidP="009A5D1F">
      <w:pPr>
        <w:tabs>
          <w:tab w:val="left" w:pos="5051"/>
        </w:tabs>
        <w:spacing w:after="0" w:line="240" w:lineRule="auto"/>
        <w:ind w:firstLine="851"/>
        <w:jc w:val="both"/>
        <w:rPr>
          <w:rFonts w:ascii="Times New Roman" w:hAnsi="Times New Roman"/>
          <w:bCs/>
          <w:color w:val="000000"/>
          <w:sz w:val="24"/>
          <w:szCs w:val="24"/>
          <w:lang w:eastAsia="lt-LT"/>
        </w:rPr>
      </w:pPr>
      <w:r w:rsidRPr="007A737C">
        <w:rPr>
          <w:rFonts w:ascii="Times New Roman" w:hAnsi="Times New Roman"/>
          <w:bCs/>
          <w:color w:val="000000"/>
          <w:sz w:val="24"/>
          <w:szCs w:val="24"/>
          <w:lang w:eastAsia="lt-LT"/>
        </w:rPr>
        <w:t xml:space="preserve">2.3. </w:t>
      </w:r>
      <w:r w:rsidR="00431DD1" w:rsidRPr="007A737C">
        <w:rPr>
          <w:rFonts w:ascii="Times New Roman" w:hAnsi="Times New Roman"/>
          <w:bCs/>
          <w:color w:val="000000"/>
          <w:sz w:val="24"/>
          <w:szCs w:val="24"/>
          <w:lang w:eastAsia="lt-LT"/>
        </w:rPr>
        <w:t>Pakeisti 11 punktą ir jį išdėstyti taip:</w:t>
      </w:r>
    </w:p>
    <w:p w14:paraId="68E20499" w14:textId="4073A0C6" w:rsidR="00431DD1" w:rsidRPr="007A737C" w:rsidRDefault="00431DD1" w:rsidP="009A5D1F">
      <w:pPr>
        <w:spacing w:after="0" w:line="240" w:lineRule="auto"/>
        <w:ind w:firstLine="851"/>
        <w:jc w:val="both"/>
        <w:rPr>
          <w:rFonts w:ascii="Times New Roman" w:eastAsia="Times New Roman" w:hAnsi="Times New Roman"/>
          <w:sz w:val="24"/>
          <w:szCs w:val="20"/>
        </w:rPr>
      </w:pPr>
      <w:r w:rsidRPr="007A737C">
        <w:rPr>
          <w:rFonts w:ascii="Times New Roman" w:hAnsi="Times New Roman"/>
          <w:bCs/>
          <w:color w:val="000000"/>
          <w:sz w:val="24"/>
          <w:szCs w:val="24"/>
          <w:lang w:eastAsia="lt-LT"/>
        </w:rPr>
        <w:t>„</w:t>
      </w:r>
      <w:r w:rsidRPr="007A737C">
        <w:rPr>
          <w:rFonts w:ascii="Times New Roman" w:eastAsia="Times New Roman" w:hAnsi="Times New Roman"/>
          <w:sz w:val="24"/>
          <w:szCs w:val="20"/>
        </w:rPr>
        <w:t xml:space="preserve">11. Sunaikinus medžiagas, surašomas narkotinių ir psichotropinių medžiagų ir jų pirmtakų (prekursorių) </w:t>
      </w:r>
      <w:r w:rsidRPr="007A737C">
        <w:rPr>
          <w:rFonts w:ascii="Times New Roman" w:eastAsia="Times New Roman" w:hAnsi="Times New Roman"/>
          <w:b/>
          <w:sz w:val="24"/>
          <w:szCs w:val="20"/>
        </w:rPr>
        <w:t xml:space="preserve">bei į oficialų sąrašą neįtrauktų medžiagų </w:t>
      </w:r>
      <w:r w:rsidRPr="007A737C">
        <w:rPr>
          <w:rFonts w:ascii="Times New Roman" w:eastAsia="Times New Roman" w:hAnsi="Times New Roman"/>
          <w:sz w:val="24"/>
          <w:szCs w:val="20"/>
        </w:rPr>
        <w:t>sunaikinimo aktas (pagal priedą), kurį pasirašo visi komisijos nariai ir kiti dalyvavę asmenys. Medžiagų sunaikinimo aktą komisijos pirmininkas pateikia naikinimą organizuojančiai įstaigai. Apie medžiagų sunaikinimą raštu pranešama sprendimą sunaikinti medžiagas priėmusiai institucijai (pareigūnui).</w:t>
      </w:r>
      <w:r w:rsidR="002B2092" w:rsidRPr="007A737C">
        <w:rPr>
          <w:rFonts w:ascii="Times New Roman" w:eastAsia="Times New Roman" w:hAnsi="Times New Roman"/>
          <w:sz w:val="24"/>
          <w:szCs w:val="20"/>
        </w:rPr>
        <w:t>“</w:t>
      </w:r>
    </w:p>
    <w:p w14:paraId="2E91DF33" w14:textId="3C87B1A7" w:rsidR="008722F1" w:rsidRPr="007A737C" w:rsidRDefault="008722F1" w:rsidP="009A5D1F">
      <w:pPr>
        <w:spacing w:after="0" w:line="240" w:lineRule="auto"/>
        <w:ind w:firstLine="851"/>
        <w:jc w:val="both"/>
        <w:rPr>
          <w:rFonts w:ascii="Times New Roman" w:hAnsi="Times New Roman"/>
          <w:bCs/>
          <w:color w:val="000000"/>
          <w:sz w:val="24"/>
          <w:szCs w:val="24"/>
          <w:lang w:eastAsia="lt-LT"/>
        </w:rPr>
      </w:pPr>
      <w:r w:rsidRPr="007A737C">
        <w:rPr>
          <w:rFonts w:ascii="Times New Roman" w:eastAsia="Times New Roman" w:hAnsi="Times New Roman"/>
          <w:sz w:val="24"/>
          <w:szCs w:val="20"/>
        </w:rPr>
        <w:t xml:space="preserve">2.4. </w:t>
      </w:r>
      <w:r w:rsidRPr="007A737C">
        <w:rPr>
          <w:rFonts w:ascii="Times New Roman" w:hAnsi="Times New Roman"/>
          <w:bCs/>
          <w:color w:val="000000"/>
          <w:sz w:val="24"/>
          <w:szCs w:val="24"/>
          <w:lang w:eastAsia="lt-LT"/>
        </w:rPr>
        <w:t>Pakeisti 12 punktą ir jį išdėstyti taip:</w:t>
      </w:r>
    </w:p>
    <w:p w14:paraId="5BD8FC18" w14:textId="2EEB96EF" w:rsidR="00155601" w:rsidRPr="007A737C" w:rsidRDefault="00155601" w:rsidP="009A5D1F">
      <w:pPr>
        <w:spacing w:after="0" w:line="240" w:lineRule="auto"/>
        <w:ind w:firstLine="851"/>
        <w:jc w:val="both"/>
        <w:rPr>
          <w:rFonts w:ascii="Times New Roman" w:eastAsia="Times New Roman" w:hAnsi="Times New Roman"/>
          <w:sz w:val="24"/>
          <w:szCs w:val="20"/>
        </w:rPr>
      </w:pPr>
      <w:r w:rsidRPr="007A737C">
        <w:rPr>
          <w:rFonts w:ascii="Times New Roman" w:hAnsi="Times New Roman"/>
          <w:bCs/>
          <w:color w:val="000000"/>
          <w:sz w:val="24"/>
          <w:szCs w:val="24"/>
          <w:lang w:eastAsia="lt-LT"/>
        </w:rPr>
        <w:t>„</w:t>
      </w:r>
      <w:r w:rsidRPr="007A737C">
        <w:rPr>
          <w:rFonts w:ascii="Times New Roman" w:eastAsia="Times New Roman" w:hAnsi="Times New Roman"/>
          <w:sz w:val="24"/>
          <w:szCs w:val="24"/>
          <w:lang w:eastAsia="lt-LT"/>
        </w:rPr>
        <w:t xml:space="preserve">12. Jeigu komisija, atlikdama Aprašo 9 </w:t>
      </w:r>
      <w:r w:rsidRPr="007A737C">
        <w:rPr>
          <w:rFonts w:ascii="Times New Roman" w:eastAsia="Times New Roman" w:hAnsi="Times New Roman"/>
          <w:bCs/>
          <w:sz w:val="24"/>
          <w:szCs w:val="24"/>
          <w:lang w:eastAsia="lt-LT"/>
        </w:rPr>
        <w:t>punkte nustatytą</w:t>
      </w:r>
      <w:r w:rsidRPr="007A737C">
        <w:rPr>
          <w:rFonts w:ascii="Times New Roman" w:eastAsia="Times New Roman" w:hAnsi="Times New Roman"/>
          <w:sz w:val="24"/>
          <w:szCs w:val="24"/>
          <w:lang w:eastAsia="lt-LT"/>
        </w:rPr>
        <w:t xml:space="preserve"> patikrinimą, nustato, kad ant perduotų naikinti medžiagų pakuočių nurodyti pavadinimai, kiekis ar kiti duomenys neatitinka medžiagų sunaikinimo dokumentuose nurodytų duomenų, naikinimo procedūra komisijos pirmininko sprendimu nutraukiama ir daroma atitinkama žyma narkotinių ir psichotropinių medžiagų ir jų pirmtakų (prekursorių)</w:t>
      </w:r>
      <w:r w:rsidRPr="007A737C">
        <w:rPr>
          <w:rFonts w:ascii="Times New Roman" w:eastAsia="Times New Roman" w:hAnsi="Times New Roman"/>
          <w:b/>
          <w:sz w:val="24"/>
          <w:szCs w:val="20"/>
        </w:rPr>
        <w:t xml:space="preserve"> bei į oficialų sąrašą neįtrauktų medžiagų</w:t>
      </w:r>
      <w:r w:rsidRPr="007A737C">
        <w:rPr>
          <w:rFonts w:ascii="Times New Roman" w:eastAsia="Times New Roman" w:hAnsi="Times New Roman"/>
          <w:sz w:val="24"/>
          <w:szCs w:val="24"/>
          <w:lang w:eastAsia="lt-LT"/>
        </w:rPr>
        <w:t xml:space="preserve"> sunaikinimo akte. Komisijos pirmininkas nedelsdamas perduoda šį aktą naikinimą organizuojančios įstaigos vadovui. Nesunaikintos medžiagos grąžinamos į saugojimo vietą.</w:t>
      </w:r>
      <w:r w:rsidR="002B2092" w:rsidRPr="007A737C">
        <w:rPr>
          <w:rFonts w:ascii="Times New Roman" w:eastAsia="Times New Roman" w:hAnsi="Times New Roman"/>
          <w:sz w:val="24"/>
          <w:szCs w:val="24"/>
          <w:lang w:eastAsia="lt-LT"/>
        </w:rPr>
        <w:t>“</w:t>
      </w:r>
      <w:r w:rsidRPr="007A737C">
        <w:rPr>
          <w:rFonts w:ascii="Times New Roman" w:eastAsia="Times New Roman" w:hAnsi="Times New Roman"/>
          <w:sz w:val="24"/>
          <w:szCs w:val="20"/>
        </w:rPr>
        <w:t xml:space="preserve"> </w:t>
      </w:r>
    </w:p>
    <w:p w14:paraId="61512E72" w14:textId="0C4A70C2" w:rsidR="0032567E" w:rsidRPr="007A737C" w:rsidRDefault="00A23121" w:rsidP="009A5D1F">
      <w:pPr>
        <w:spacing w:after="0" w:line="240" w:lineRule="auto"/>
        <w:ind w:firstLine="851"/>
        <w:jc w:val="both"/>
        <w:rPr>
          <w:rFonts w:ascii="Times New Roman" w:eastAsia="Times New Roman" w:hAnsi="Times New Roman"/>
          <w:sz w:val="24"/>
          <w:szCs w:val="20"/>
        </w:rPr>
      </w:pPr>
      <w:r w:rsidRPr="007A737C">
        <w:rPr>
          <w:rFonts w:ascii="Times New Roman" w:eastAsia="Times New Roman" w:hAnsi="Times New Roman"/>
          <w:sz w:val="24"/>
          <w:szCs w:val="20"/>
        </w:rPr>
        <w:t>2.5. P</w:t>
      </w:r>
      <w:r w:rsidR="00FC1E3C" w:rsidRPr="007A737C">
        <w:rPr>
          <w:rFonts w:ascii="Times New Roman" w:eastAsia="Times New Roman" w:hAnsi="Times New Roman"/>
          <w:sz w:val="24"/>
          <w:szCs w:val="20"/>
        </w:rPr>
        <w:t>akeisti pried</w:t>
      </w:r>
      <w:r w:rsidR="0032567E" w:rsidRPr="007A737C">
        <w:rPr>
          <w:rFonts w:ascii="Times New Roman" w:eastAsia="Times New Roman" w:hAnsi="Times New Roman"/>
          <w:sz w:val="24"/>
          <w:szCs w:val="20"/>
        </w:rPr>
        <w:t>ą</w:t>
      </w:r>
      <w:r w:rsidR="00FC1E3C" w:rsidRPr="007A737C">
        <w:rPr>
          <w:rFonts w:ascii="Times New Roman" w:eastAsia="Times New Roman" w:hAnsi="Times New Roman"/>
          <w:sz w:val="24"/>
          <w:szCs w:val="20"/>
        </w:rPr>
        <w:t xml:space="preserve"> ir j</w:t>
      </w:r>
      <w:r w:rsidR="0032567E" w:rsidRPr="007A737C">
        <w:rPr>
          <w:rFonts w:ascii="Times New Roman" w:eastAsia="Times New Roman" w:hAnsi="Times New Roman"/>
          <w:sz w:val="24"/>
          <w:szCs w:val="20"/>
        </w:rPr>
        <w:t>į</w:t>
      </w:r>
      <w:r w:rsidR="00FC1E3C" w:rsidRPr="007A737C">
        <w:rPr>
          <w:rFonts w:ascii="Times New Roman" w:eastAsia="Times New Roman" w:hAnsi="Times New Roman"/>
          <w:sz w:val="24"/>
          <w:szCs w:val="20"/>
        </w:rPr>
        <w:t xml:space="preserve"> išdėstyti </w:t>
      </w:r>
      <w:r w:rsidR="0032567E" w:rsidRPr="007A737C">
        <w:rPr>
          <w:rFonts w:ascii="Times New Roman" w:eastAsia="Times New Roman" w:hAnsi="Times New Roman"/>
          <w:sz w:val="24"/>
          <w:szCs w:val="20"/>
        </w:rPr>
        <w:t>nauja redakcija (pridedama).</w:t>
      </w:r>
    </w:p>
    <w:p w14:paraId="308DBB00" w14:textId="3B20C9FA" w:rsidR="00E80B00" w:rsidRPr="007A737C" w:rsidRDefault="00E80B00" w:rsidP="009A5D1F">
      <w:pPr>
        <w:spacing w:after="0" w:line="240" w:lineRule="auto"/>
        <w:ind w:firstLine="851"/>
        <w:jc w:val="both"/>
        <w:rPr>
          <w:rFonts w:ascii="Times New Roman" w:hAnsi="Times New Roman"/>
          <w:sz w:val="24"/>
          <w:szCs w:val="24"/>
        </w:rPr>
      </w:pPr>
      <w:r w:rsidRPr="007A737C">
        <w:rPr>
          <w:rFonts w:ascii="Times New Roman" w:hAnsi="Times New Roman"/>
          <w:sz w:val="24"/>
          <w:szCs w:val="24"/>
        </w:rPr>
        <w:t>3.</w:t>
      </w:r>
      <w:r w:rsidR="003C5B8C" w:rsidRPr="007A737C">
        <w:rPr>
          <w:rFonts w:ascii="Times New Roman" w:hAnsi="Times New Roman"/>
          <w:sz w:val="24"/>
          <w:szCs w:val="24"/>
        </w:rPr>
        <w:t xml:space="preserve"> Šis nutarimas</w:t>
      </w:r>
      <w:r w:rsidRPr="007A737C">
        <w:rPr>
          <w:rFonts w:ascii="Times New Roman" w:hAnsi="Times New Roman"/>
          <w:sz w:val="24"/>
          <w:szCs w:val="24"/>
        </w:rPr>
        <w:t xml:space="preserve"> įsigalioja 2021 m. lapkričio 1 d.</w:t>
      </w:r>
    </w:p>
    <w:p w14:paraId="69DA2A33" w14:textId="1ED47043" w:rsidR="007A737C" w:rsidRPr="00495122" w:rsidRDefault="007A737C" w:rsidP="007A737C">
      <w:pPr>
        <w:pStyle w:val="Pagrindinistekstas"/>
        <w:spacing w:after="0" w:line="240" w:lineRule="auto"/>
        <w:ind w:firstLine="709"/>
        <w:rPr>
          <w:rFonts w:ascii="Times New Roman" w:hAnsi="Times New Roman"/>
          <w:sz w:val="24"/>
          <w:szCs w:val="24"/>
          <w:lang w:val="lt-LT"/>
        </w:rPr>
      </w:pPr>
    </w:p>
    <w:p w14:paraId="7191E71A" w14:textId="77777777" w:rsidR="007A737C" w:rsidRPr="00495122" w:rsidRDefault="007A737C" w:rsidP="007A737C">
      <w:pPr>
        <w:pStyle w:val="Pagrindinistekstas"/>
        <w:spacing w:after="0" w:line="240" w:lineRule="auto"/>
        <w:ind w:firstLine="709"/>
        <w:rPr>
          <w:rFonts w:ascii="Times New Roman" w:hAnsi="Times New Roman"/>
          <w:sz w:val="24"/>
          <w:szCs w:val="24"/>
          <w:lang w:val="lt-LT"/>
        </w:rPr>
      </w:pPr>
    </w:p>
    <w:p w14:paraId="055BC4F6" w14:textId="77777777" w:rsidR="007A737C" w:rsidRPr="00495122" w:rsidRDefault="007A737C" w:rsidP="007A737C">
      <w:pPr>
        <w:pStyle w:val="Pagrindinistekstas"/>
        <w:spacing w:after="0" w:line="240" w:lineRule="auto"/>
        <w:rPr>
          <w:rFonts w:ascii="Times New Roman" w:hAnsi="Times New Roman"/>
          <w:sz w:val="24"/>
          <w:szCs w:val="24"/>
          <w:lang w:val="lt-LT"/>
        </w:rPr>
      </w:pPr>
    </w:p>
    <w:p w14:paraId="4A3CEEC2" w14:textId="14E4E345" w:rsidR="00CC57DD" w:rsidRPr="007A737C" w:rsidRDefault="00CC57DD" w:rsidP="000C4970">
      <w:pPr>
        <w:tabs>
          <w:tab w:val="left" w:pos="5631"/>
        </w:tabs>
        <w:spacing w:after="0" w:line="240" w:lineRule="auto"/>
        <w:outlineLvl w:val="1"/>
        <w:rPr>
          <w:rFonts w:ascii="Times New Roman" w:hAnsi="Times New Roman"/>
          <w:sz w:val="24"/>
          <w:szCs w:val="24"/>
        </w:rPr>
      </w:pPr>
      <w:r w:rsidRPr="007A737C">
        <w:rPr>
          <w:rFonts w:ascii="Times New Roman" w:hAnsi="Times New Roman"/>
          <w:sz w:val="24"/>
          <w:szCs w:val="24"/>
        </w:rPr>
        <w:t>Ministras Pirmininkas</w:t>
      </w:r>
    </w:p>
    <w:p w14:paraId="6B94A430" w14:textId="77777777" w:rsidR="00655FFC" w:rsidRPr="009A5D1F" w:rsidRDefault="00655FFC">
      <w:pPr>
        <w:pStyle w:val="Pagrindinistekstas"/>
        <w:spacing w:after="0" w:line="240" w:lineRule="auto"/>
        <w:ind w:firstLine="709"/>
        <w:rPr>
          <w:rFonts w:ascii="Times New Roman" w:hAnsi="Times New Roman"/>
          <w:sz w:val="24"/>
          <w:szCs w:val="24"/>
          <w:lang w:val="lt-LT"/>
        </w:rPr>
      </w:pPr>
    </w:p>
    <w:p w14:paraId="723BEDA8" w14:textId="77777777" w:rsidR="007A737C" w:rsidRPr="009A5D1F" w:rsidRDefault="007A737C">
      <w:pPr>
        <w:pStyle w:val="Pagrindinistekstas"/>
        <w:spacing w:after="0" w:line="240" w:lineRule="auto"/>
        <w:ind w:firstLine="709"/>
        <w:rPr>
          <w:rFonts w:ascii="Times New Roman" w:hAnsi="Times New Roman"/>
          <w:sz w:val="24"/>
          <w:szCs w:val="24"/>
          <w:lang w:val="lt-LT"/>
        </w:rPr>
      </w:pPr>
    </w:p>
    <w:p w14:paraId="7FC98A7F" w14:textId="77777777" w:rsidR="00655FFC" w:rsidRPr="009A5D1F" w:rsidRDefault="00655FFC">
      <w:pPr>
        <w:pStyle w:val="Pagrindinistekstas"/>
        <w:spacing w:after="0" w:line="240" w:lineRule="auto"/>
        <w:rPr>
          <w:rFonts w:ascii="Times New Roman" w:hAnsi="Times New Roman"/>
          <w:sz w:val="24"/>
          <w:szCs w:val="24"/>
          <w:lang w:val="lt-LT"/>
        </w:rPr>
      </w:pPr>
    </w:p>
    <w:p w14:paraId="71D32790" w14:textId="175D4DEB" w:rsidR="00655FFC" w:rsidRPr="007A737C" w:rsidRDefault="00622693" w:rsidP="00622693">
      <w:pPr>
        <w:pStyle w:val="Pagrindinistekstas"/>
        <w:spacing w:after="0" w:line="240" w:lineRule="auto"/>
        <w:rPr>
          <w:rFonts w:ascii="Times New Roman" w:hAnsi="Times New Roman"/>
          <w:sz w:val="24"/>
          <w:szCs w:val="24"/>
          <w:lang w:val="lt-LT"/>
        </w:rPr>
      </w:pPr>
      <w:r w:rsidRPr="007A737C">
        <w:rPr>
          <w:rFonts w:ascii="Times New Roman" w:hAnsi="Times New Roman"/>
          <w:sz w:val="24"/>
          <w:szCs w:val="24"/>
          <w:lang w:val="lt-LT"/>
        </w:rPr>
        <w:t>Vidaus reikalų ministras</w:t>
      </w:r>
    </w:p>
    <w:p w14:paraId="1C7366A2" w14:textId="77777777" w:rsidR="008D3B1F" w:rsidRPr="007A737C" w:rsidRDefault="008D3B1F" w:rsidP="00267EEE">
      <w:pPr>
        <w:tabs>
          <w:tab w:val="left" w:pos="6804"/>
        </w:tabs>
        <w:spacing w:after="0" w:line="240" w:lineRule="auto"/>
        <w:rPr>
          <w:rFonts w:ascii="Times New Roman" w:eastAsia="Times New Roman" w:hAnsi="Times New Roman"/>
          <w:color w:val="000000"/>
          <w:sz w:val="24"/>
          <w:szCs w:val="24"/>
          <w:lang w:eastAsia="lt-LT"/>
        </w:rPr>
      </w:pPr>
    </w:p>
    <w:p w14:paraId="111D38E0" w14:textId="77777777" w:rsidR="00267EEE" w:rsidRPr="007A737C" w:rsidRDefault="00267EEE" w:rsidP="008C2545">
      <w:pPr>
        <w:tabs>
          <w:tab w:val="left" w:pos="6804"/>
        </w:tabs>
        <w:spacing w:after="0" w:line="240" w:lineRule="auto"/>
        <w:ind w:left="4820"/>
        <w:rPr>
          <w:rFonts w:ascii="Times New Roman" w:eastAsia="Times New Roman" w:hAnsi="Times New Roman"/>
          <w:color w:val="000000"/>
          <w:sz w:val="24"/>
          <w:szCs w:val="24"/>
          <w:lang w:eastAsia="lt-LT"/>
        </w:rPr>
        <w:sectPr w:rsidR="00267EEE" w:rsidRPr="007A737C" w:rsidSect="009A5D1F">
          <w:headerReference w:type="default" r:id="rId10"/>
          <w:footerReference w:type="default" r:id="rId11"/>
          <w:headerReference w:type="first" r:id="rId12"/>
          <w:pgSz w:w="11906" w:h="16838"/>
          <w:pgMar w:top="1134" w:right="1134" w:bottom="1134" w:left="1701" w:header="567" w:footer="567" w:gutter="0"/>
          <w:cols w:space="1296"/>
          <w:titlePg/>
          <w:docGrid w:linePitch="360"/>
        </w:sectPr>
      </w:pPr>
    </w:p>
    <w:p w14:paraId="0F72A08E" w14:textId="7E189BC8" w:rsidR="008C2545" w:rsidRPr="007A737C" w:rsidRDefault="008C2545" w:rsidP="008C2545">
      <w:pPr>
        <w:tabs>
          <w:tab w:val="left" w:pos="6804"/>
        </w:tabs>
        <w:spacing w:after="0" w:line="240" w:lineRule="auto"/>
        <w:ind w:left="4820"/>
        <w:rPr>
          <w:rFonts w:ascii="Times New Roman" w:eastAsia="Times New Roman" w:hAnsi="Times New Roman"/>
          <w:sz w:val="24"/>
          <w:szCs w:val="20"/>
          <w:lang w:eastAsia="ar-SA"/>
        </w:rPr>
      </w:pPr>
      <w:r w:rsidRPr="007A737C">
        <w:rPr>
          <w:rFonts w:ascii="Times New Roman" w:eastAsia="Times New Roman" w:hAnsi="Times New Roman"/>
          <w:color w:val="000000"/>
          <w:sz w:val="24"/>
          <w:szCs w:val="24"/>
          <w:lang w:eastAsia="lt-LT"/>
        </w:rPr>
        <w:t xml:space="preserve">Neteisėtos apyvartos narkotinių ir psichotropinių medžiagų ir jų pirmtakų (prekursorių) </w:t>
      </w:r>
      <w:r w:rsidR="000F78DD" w:rsidRPr="007A737C">
        <w:rPr>
          <w:rFonts w:ascii="Times New Roman" w:eastAsia="Times New Roman" w:hAnsi="Times New Roman"/>
          <w:b/>
          <w:sz w:val="24"/>
          <w:szCs w:val="20"/>
        </w:rPr>
        <w:t>bei į oficialų sąrašą neįtrauktų medžiagų</w:t>
      </w:r>
      <w:r w:rsidR="000F78DD" w:rsidRPr="007A737C">
        <w:rPr>
          <w:rFonts w:ascii="Times New Roman" w:eastAsia="Times New Roman" w:hAnsi="Times New Roman"/>
          <w:sz w:val="24"/>
          <w:szCs w:val="24"/>
          <w:lang w:eastAsia="lt-LT"/>
        </w:rPr>
        <w:t xml:space="preserve"> </w:t>
      </w:r>
      <w:r w:rsidRPr="007A737C">
        <w:rPr>
          <w:rFonts w:ascii="Times New Roman" w:eastAsia="Times New Roman" w:hAnsi="Times New Roman"/>
          <w:color w:val="000000"/>
          <w:sz w:val="24"/>
          <w:szCs w:val="24"/>
          <w:lang w:eastAsia="lt-LT"/>
        </w:rPr>
        <w:t>sunaikinimo tvarkos aprašo</w:t>
      </w:r>
      <w:r w:rsidRPr="007A737C">
        <w:rPr>
          <w:rFonts w:ascii="Times New Roman" w:eastAsia="Times New Roman" w:hAnsi="Times New Roman"/>
          <w:sz w:val="24"/>
          <w:szCs w:val="20"/>
          <w:lang w:eastAsia="ar-SA"/>
        </w:rPr>
        <w:br/>
        <w:t>priedas</w:t>
      </w:r>
    </w:p>
    <w:p w14:paraId="24B4905F" w14:textId="77777777" w:rsidR="008C2545" w:rsidRPr="007A737C" w:rsidRDefault="008C2545" w:rsidP="008C2545">
      <w:pPr>
        <w:tabs>
          <w:tab w:val="center" w:pos="4153"/>
          <w:tab w:val="right" w:pos="8306"/>
        </w:tabs>
        <w:spacing w:after="0" w:line="240" w:lineRule="auto"/>
        <w:rPr>
          <w:rFonts w:ascii="Times New Roman" w:eastAsia="Times New Roman" w:hAnsi="Times New Roman"/>
          <w:sz w:val="24"/>
          <w:szCs w:val="20"/>
          <w:lang w:eastAsia="lt-LT"/>
        </w:rPr>
      </w:pPr>
    </w:p>
    <w:p w14:paraId="3E1357BD" w14:textId="77777777" w:rsidR="008C2545" w:rsidRPr="007A737C" w:rsidRDefault="008C2545" w:rsidP="008C2545">
      <w:pPr>
        <w:spacing w:after="0" w:line="240" w:lineRule="auto"/>
        <w:rPr>
          <w:rFonts w:ascii="Times New Roman" w:eastAsia="Times New Roman" w:hAnsi="Times New Roman"/>
          <w:color w:val="000000"/>
          <w:sz w:val="24"/>
          <w:szCs w:val="24"/>
          <w:lang w:eastAsia="lt-LT"/>
        </w:rPr>
      </w:pPr>
    </w:p>
    <w:p w14:paraId="0719D597" w14:textId="4BC76219"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bCs/>
          <w:color w:val="000000"/>
          <w:sz w:val="24"/>
          <w:szCs w:val="24"/>
          <w:lang w:eastAsia="lt-LT"/>
        </w:rPr>
        <w:t xml:space="preserve">(Narkotinių ir psichotropinių medžiagų ir jų pirmtakų (prekursorių) </w:t>
      </w:r>
      <w:r w:rsidR="000F78DD" w:rsidRPr="007A737C">
        <w:rPr>
          <w:rFonts w:ascii="Times New Roman" w:eastAsia="Times New Roman" w:hAnsi="Times New Roman"/>
          <w:b/>
          <w:sz w:val="24"/>
          <w:szCs w:val="20"/>
        </w:rPr>
        <w:t>bei į oficialų sąrašą neįtrauktų medžiagų</w:t>
      </w:r>
      <w:r w:rsidR="000F78DD" w:rsidRPr="007A737C">
        <w:rPr>
          <w:rFonts w:ascii="Times New Roman" w:eastAsia="Times New Roman" w:hAnsi="Times New Roman"/>
          <w:sz w:val="24"/>
          <w:szCs w:val="24"/>
          <w:lang w:eastAsia="lt-LT"/>
        </w:rPr>
        <w:t xml:space="preserve"> </w:t>
      </w:r>
      <w:r w:rsidRPr="007A737C">
        <w:rPr>
          <w:rFonts w:ascii="Times New Roman" w:eastAsia="Times New Roman" w:hAnsi="Times New Roman"/>
          <w:bCs/>
          <w:color w:val="000000"/>
          <w:sz w:val="24"/>
          <w:szCs w:val="24"/>
          <w:lang w:eastAsia="lt-LT"/>
        </w:rPr>
        <w:t>sunaikinimo akto forma)</w:t>
      </w:r>
    </w:p>
    <w:p w14:paraId="0523B2DD" w14:textId="77777777" w:rsidR="008C2545" w:rsidRPr="007A737C" w:rsidRDefault="008C2545" w:rsidP="008C2545">
      <w:pPr>
        <w:spacing w:after="0" w:line="240" w:lineRule="auto"/>
        <w:ind w:firstLine="62"/>
        <w:jc w:val="center"/>
        <w:rPr>
          <w:rFonts w:ascii="Times New Roman" w:eastAsia="Times New Roman" w:hAnsi="Times New Roman"/>
          <w:color w:val="000000"/>
          <w:sz w:val="24"/>
          <w:szCs w:val="24"/>
          <w:lang w:eastAsia="lt-LT"/>
        </w:rPr>
      </w:pPr>
    </w:p>
    <w:p w14:paraId="459173D2" w14:textId="77777777" w:rsidR="008C2545" w:rsidRPr="007A737C" w:rsidRDefault="008C2545" w:rsidP="008C2545">
      <w:pPr>
        <w:spacing w:after="0" w:line="240" w:lineRule="auto"/>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___________________________________________________________________________</w:t>
      </w:r>
    </w:p>
    <w:p w14:paraId="78150738"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(įstaigos pavadinimas)</w:t>
      </w:r>
    </w:p>
    <w:p w14:paraId="59C2D791" w14:textId="77777777" w:rsidR="008C2545" w:rsidRPr="007A737C" w:rsidRDefault="008C2545" w:rsidP="008C2545">
      <w:pPr>
        <w:spacing w:after="0" w:line="240" w:lineRule="auto"/>
        <w:ind w:firstLine="67"/>
        <w:jc w:val="center"/>
        <w:rPr>
          <w:rFonts w:ascii="Times New Roman" w:eastAsia="Times New Roman" w:hAnsi="Times New Roman"/>
          <w:color w:val="000000"/>
          <w:sz w:val="26"/>
          <w:szCs w:val="26"/>
          <w:lang w:eastAsia="lt-LT"/>
        </w:rPr>
      </w:pPr>
    </w:p>
    <w:p w14:paraId="22D4C8FE" w14:textId="009546ED"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bCs/>
          <w:color w:val="000000"/>
          <w:sz w:val="24"/>
          <w:szCs w:val="24"/>
          <w:lang w:eastAsia="lt-LT"/>
        </w:rPr>
        <w:t>NARKOTINIŲ IR PSICHOTROPINIŲ MEDŽIAGŲ IR JŲ PIRMTAKŲ (PREKURSORIŲ)</w:t>
      </w:r>
      <w:r w:rsidR="000F78DD" w:rsidRPr="007A737C">
        <w:rPr>
          <w:rFonts w:ascii="Times New Roman" w:eastAsia="Times New Roman" w:hAnsi="Times New Roman"/>
          <w:b/>
          <w:bCs/>
          <w:sz w:val="24"/>
          <w:szCs w:val="24"/>
          <w:lang w:eastAsia="lt-LT"/>
        </w:rPr>
        <w:t xml:space="preserve"> BEI Į OFICIALŲ SĄRAŠĄ NEĮTRAUKTŲ MEDŽIAGŲ</w:t>
      </w:r>
      <w:r w:rsidRPr="007A737C">
        <w:rPr>
          <w:rFonts w:ascii="Times New Roman" w:eastAsia="Times New Roman" w:hAnsi="Times New Roman"/>
          <w:bCs/>
          <w:color w:val="000000"/>
          <w:sz w:val="24"/>
          <w:szCs w:val="24"/>
          <w:lang w:eastAsia="lt-LT"/>
        </w:rPr>
        <w:t xml:space="preserve"> SUNAIKINIMO</w:t>
      </w:r>
    </w:p>
    <w:p w14:paraId="582F80A7"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bCs/>
          <w:color w:val="000000"/>
          <w:sz w:val="24"/>
          <w:szCs w:val="24"/>
          <w:lang w:eastAsia="lt-LT"/>
        </w:rPr>
        <w:t>AKTAS</w:t>
      </w:r>
    </w:p>
    <w:p w14:paraId="31677257" w14:textId="77777777" w:rsidR="008C2545" w:rsidRPr="007A737C" w:rsidRDefault="008C2545" w:rsidP="008C2545">
      <w:pPr>
        <w:spacing w:after="0" w:line="240" w:lineRule="auto"/>
        <w:ind w:firstLine="787"/>
        <w:rPr>
          <w:rFonts w:ascii="Times New Roman" w:eastAsia="Times New Roman" w:hAnsi="Times New Roman"/>
          <w:color w:val="000000"/>
          <w:sz w:val="24"/>
          <w:szCs w:val="24"/>
          <w:lang w:eastAsia="lt-LT"/>
        </w:rPr>
      </w:pPr>
    </w:p>
    <w:p w14:paraId="689A4E1E"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____________________ Nr. _______________</w:t>
      </w:r>
    </w:p>
    <w:p w14:paraId="02B3BEED" w14:textId="77777777" w:rsidR="008C2545" w:rsidRPr="007A737C" w:rsidRDefault="008C2545" w:rsidP="008C2545">
      <w:pPr>
        <w:spacing w:after="0" w:line="240" w:lineRule="auto"/>
        <w:ind w:firstLine="3844"/>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(data)</w:t>
      </w:r>
    </w:p>
    <w:p w14:paraId="44B03E66" w14:textId="77777777" w:rsidR="008C2545" w:rsidRPr="007A737C" w:rsidRDefault="008C2545" w:rsidP="008C2545">
      <w:pPr>
        <w:spacing w:after="0" w:line="240" w:lineRule="auto"/>
        <w:ind w:firstLine="2480"/>
        <w:jc w:val="center"/>
        <w:rPr>
          <w:rFonts w:ascii="Times New Roman" w:eastAsia="Times New Roman" w:hAnsi="Times New Roman"/>
          <w:color w:val="000000"/>
          <w:sz w:val="24"/>
          <w:szCs w:val="24"/>
          <w:lang w:eastAsia="lt-LT"/>
        </w:rPr>
      </w:pPr>
    </w:p>
    <w:p w14:paraId="3856A0A8"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(vieta)</w:t>
      </w:r>
    </w:p>
    <w:p w14:paraId="6E5E1017" w14:textId="77777777" w:rsidR="008C2545" w:rsidRPr="007A737C" w:rsidRDefault="008C2545" w:rsidP="008C2545">
      <w:pPr>
        <w:spacing w:after="0" w:line="240" w:lineRule="auto"/>
        <w:ind w:firstLine="62"/>
        <w:jc w:val="center"/>
        <w:rPr>
          <w:rFonts w:ascii="Times New Roman" w:eastAsia="Times New Roman" w:hAnsi="Times New Roman"/>
          <w:color w:val="000000"/>
          <w:sz w:val="24"/>
          <w:szCs w:val="24"/>
          <w:lang w:eastAsia="lt-LT"/>
        </w:rPr>
      </w:pPr>
    </w:p>
    <w:p w14:paraId="299C3200" w14:textId="77777777" w:rsidR="008C2545" w:rsidRPr="007A737C" w:rsidRDefault="008C2545" w:rsidP="008C2545">
      <w:pPr>
        <w:spacing w:after="0" w:line="240" w:lineRule="auto"/>
        <w:ind w:firstLine="720"/>
        <w:jc w:val="both"/>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 xml:space="preserve">Komisija apžiūrėjo šias medžiagas, kurias jai perdavė už medžiagų saugojimą atsakingas darbuotojas, ir nustatė, kad ant perduotų naikinti medžiagų pakuočių nurodyti pavadinimai, kiekis ir kiti duomenys atitinka duomenis, nurodytus komisijai pateiktuose medžiagų sunaikinimo dokumentuose, </w:t>
      </w:r>
      <w:r w:rsidRPr="007A737C">
        <w:rPr>
          <w:rFonts w:ascii="Times New Roman" w:eastAsia="Times New Roman" w:hAnsi="Times New Roman"/>
          <w:sz w:val="24"/>
          <w:szCs w:val="24"/>
          <w:lang w:eastAsia="lt-LT"/>
        </w:rPr>
        <w:t xml:space="preserve">perduotų naikinti medžiagų </w:t>
      </w:r>
      <w:r w:rsidRPr="007A737C">
        <w:rPr>
          <w:rFonts w:ascii="Times New Roman" w:eastAsia="Times New Roman" w:hAnsi="Times New Roman"/>
          <w:color w:val="000000"/>
          <w:sz w:val="24"/>
          <w:szCs w:val="24"/>
          <w:lang w:eastAsia="lt-LT"/>
        </w:rPr>
        <w:t>pakuotės nepažeistos:</w:t>
      </w:r>
    </w:p>
    <w:p w14:paraId="6836F65A" w14:textId="77777777" w:rsidR="008C2545" w:rsidRPr="007A737C" w:rsidRDefault="008C2545" w:rsidP="008C2545">
      <w:pPr>
        <w:spacing w:after="0" w:line="240" w:lineRule="auto"/>
        <w:ind w:firstLine="787"/>
        <w:jc w:val="both"/>
        <w:rPr>
          <w:rFonts w:ascii="Times New Roman" w:eastAsia="Times New Roman" w:hAnsi="Times New Roman"/>
          <w:color w:val="000000"/>
          <w:sz w:val="26"/>
          <w:szCs w:val="26"/>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8"/>
        <w:gridCol w:w="1197"/>
        <w:gridCol w:w="1198"/>
        <w:gridCol w:w="1031"/>
        <w:gridCol w:w="912"/>
        <w:gridCol w:w="1044"/>
        <w:gridCol w:w="1055"/>
        <w:gridCol w:w="1182"/>
        <w:gridCol w:w="1024"/>
      </w:tblGrid>
      <w:tr w:rsidR="008C2545" w:rsidRPr="007A737C" w14:paraId="3C693DC9" w14:textId="77777777" w:rsidTr="00EA7817">
        <w:trPr>
          <w:trHeight w:val="23"/>
        </w:trPr>
        <w:tc>
          <w:tcPr>
            <w:tcW w:w="231" w:type="pct"/>
            <w:shd w:val="clear" w:color="auto" w:fill="FFFFFF"/>
            <w:tcMar>
              <w:top w:w="28" w:type="dxa"/>
              <w:left w:w="57" w:type="dxa"/>
              <w:bottom w:w="28" w:type="dxa"/>
              <w:right w:w="57" w:type="dxa"/>
            </w:tcMar>
            <w:hideMark/>
          </w:tcPr>
          <w:p w14:paraId="1F95B80F"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Eil. Nr.</w:t>
            </w:r>
          </w:p>
        </w:tc>
        <w:tc>
          <w:tcPr>
            <w:tcW w:w="661" w:type="pct"/>
            <w:shd w:val="clear" w:color="auto" w:fill="FFFFFF"/>
            <w:tcMar>
              <w:top w:w="28" w:type="dxa"/>
              <w:left w:w="57" w:type="dxa"/>
              <w:bottom w:w="28" w:type="dxa"/>
              <w:right w:w="57" w:type="dxa"/>
            </w:tcMar>
            <w:hideMark/>
          </w:tcPr>
          <w:p w14:paraId="4DC2D75D"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Medžiagos pavadinimas</w:t>
            </w:r>
          </w:p>
        </w:tc>
        <w:tc>
          <w:tcPr>
            <w:tcW w:w="661" w:type="pct"/>
            <w:shd w:val="clear" w:color="auto" w:fill="FFFFFF"/>
            <w:tcMar>
              <w:top w:w="28" w:type="dxa"/>
              <w:left w:w="57" w:type="dxa"/>
              <w:bottom w:w="28" w:type="dxa"/>
              <w:right w:w="57" w:type="dxa"/>
            </w:tcMar>
            <w:hideMark/>
          </w:tcPr>
          <w:p w14:paraId="46CCE24D"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Kontrolinis pavyzdys, laboratorinis pavyzdys ar likusi medžiaga</w:t>
            </w:r>
          </w:p>
        </w:tc>
        <w:tc>
          <w:tcPr>
            <w:tcW w:w="569" w:type="pct"/>
            <w:shd w:val="clear" w:color="auto" w:fill="FFFFFF"/>
            <w:tcMar>
              <w:top w:w="28" w:type="dxa"/>
              <w:left w:w="57" w:type="dxa"/>
              <w:bottom w:w="28" w:type="dxa"/>
              <w:right w:w="57" w:type="dxa"/>
            </w:tcMar>
            <w:hideMark/>
          </w:tcPr>
          <w:p w14:paraId="3D1283CE" w14:textId="2C9FD63A"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Bendras medžiagos kiekis, g (kg), ml (l), arba tablečių skaičius</w:t>
            </w:r>
          </w:p>
        </w:tc>
        <w:tc>
          <w:tcPr>
            <w:tcW w:w="503" w:type="pct"/>
            <w:shd w:val="clear" w:color="auto" w:fill="FFFFFF"/>
            <w:tcMar>
              <w:top w:w="28" w:type="dxa"/>
              <w:left w:w="57" w:type="dxa"/>
              <w:bottom w:w="28" w:type="dxa"/>
              <w:right w:w="57" w:type="dxa"/>
            </w:tcMar>
            <w:hideMark/>
          </w:tcPr>
          <w:p w14:paraId="0A575BE4"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Pakuočių skaičius, vnt.</w:t>
            </w:r>
          </w:p>
        </w:tc>
        <w:tc>
          <w:tcPr>
            <w:tcW w:w="576" w:type="pct"/>
            <w:shd w:val="clear" w:color="auto" w:fill="FFFFFF"/>
            <w:tcMar>
              <w:top w:w="28" w:type="dxa"/>
              <w:left w:w="57" w:type="dxa"/>
              <w:bottom w:w="28" w:type="dxa"/>
              <w:right w:w="57" w:type="dxa"/>
            </w:tcMar>
            <w:hideMark/>
          </w:tcPr>
          <w:p w14:paraId="546CFC70"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Duomenys apie objektų pakuotes</w:t>
            </w:r>
          </w:p>
        </w:tc>
        <w:tc>
          <w:tcPr>
            <w:tcW w:w="582" w:type="pct"/>
            <w:shd w:val="clear" w:color="auto" w:fill="FFFFFF"/>
            <w:tcMar>
              <w:top w:w="28" w:type="dxa"/>
              <w:left w:w="57" w:type="dxa"/>
              <w:bottom w:w="28" w:type="dxa"/>
              <w:right w:w="57" w:type="dxa"/>
            </w:tcMar>
            <w:hideMark/>
          </w:tcPr>
          <w:p w14:paraId="741D40E2"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Specialisto išvados data, numeris</w:t>
            </w:r>
          </w:p>
        </w:tc>
        <w:tc>
          <w:tcPr>
            <w:tcW w:w="652" w:type="pct"/>
            <w:shd w:val="clear" w:color="auto" w:fill="FFFFFF"/>
            <w:tcMar>
              <w:top w:w="28" w:type="dxa"/>
              <w:left w:w="57" w:type="dxa"/>
              <w:bottom w:w="28" w:type="dxa"/>
              <w:right w:w="57" w:type="dxa"/>
            </w:tcMar>
            <w:hideMark/>
          </w:tcPr>
          <w:p w14:paraId="214F0308"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Specialistas, atlikęs tyrimą (vardas, pavardė)</w:t>
            </w:r>
          </w:p>
        </w:tc>
        <w:tc>
          <w:tcPr>
            <w:tcW w:w="565" w:type="pct"/>
            <w:shd w:val="clear" w:color="auto" w:fill="FFFFFF"/>
            <w:tcMar>
              <w:top w:w="28" w:type="dxa"/>
              <w:left w:w="57" w:type="dxa"/>
              <w:bottom w:w="28" w:type="dxa"/>
              <w:right w:w="57" w:type="dxa"/>
            </w:tcMar>
            <w:hideMark/>
          </w:tcPr>
          <w:p w14:paraId="6F341728"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Institucija, priėmusi sprendimą sunaikinti medžiagas</w:t>
            </w:r>
          </w:p>
        </w:tc>
      </w:tr>
      <w:tr w:rsidR="008C2545" w:rsidRPr="007A737C" w14:paraId="77EE86F6" w14:textId="77777777" w:rsidTr="00EA7817">
        <w:trPr>
          <w:trHeight w:val="23"/>
        </w:trPr>
        <w:tc>
          <w:tcPr>
            <w:tcW w:w="231" w:type="pct"/>
            <w:shd w:val="clear" w:color="auto" w:fill="FFFFFF"/>
            <w:tcMar>
              <w:top w:w="28" w:type="dxa"/>
              <w:left w:w="57" w:type="dxa"/>
              <w:bottom w:w="28" w:type="dxa"/>
              <w:right w:w="57" w:type="dxa"/>
            </w:tcMar>
          </w:tcPr>
          <w:p w14:paraId="2C74235C"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1</w:t>
            </w:r>
          </w:p>
        </w:tc>
        <w:tc>
          <w:tcPr>
            <w:tcW w:w="661" w:type="pct"/>
            <w:shd w:val="clear" w:color="auto" w:fill="FFFFFF"/>
            <w:tcMar>
              <w:top w:w="28" w:type="dxa"/>
              <w:left w:w="57" w:type="dxa"/>
              <w:bottom w:w="28" w:type="dxa"/>
              <w:right w:w="57" w:type="dxa"/>
            </w:tcMar>
          </w:tcPr>
          <w:p w14:paraId="7E7D4401"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2</w:t>
            </w:r>
          </w:p>
        </w:tc>
        <w:tc>
          <w:tcPr>
            <w:tcW w:w="661" w:type="pct"/>
            <w:shd w:val="clear" w:color="auto" w:fill="FFFFFF"/>
            <w:tcMar>
              <w:top w:w="28" w:type="dxa"/>
              <w:left w:w="57" w:type="dxa"/>
              <w:bottom w:w="28" w:type="dxa"/>
              <w:right w:w="57" w:type="dxa"/>
            </w:tcMar>
          </w:tcPr>
          <w:p w14:paraId="26A6D46C"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3</w:t>
            </w:r>
          </w:p>
        </w:tc>
        <w:tc>
          <w:tcPr>
            <w:tcW w:w="569" w:type="pct"/>
            <w:shd w:val="clear" w:color="auto" w:fill="FFFFFF"/>
            <w:tcMar>
              <w:top w:w="28" w:type="dxa"/>
              <w:left w:w="57" w:type="dxa"/>
              <w:bottom w:w="28" w:type="dxa"/>
              <w:right w:w="57" w:type="dxa"/>
            </w:tcMar>
          </w:tcPr>
          <w:p w14:paraId="69300906"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4</w:t>
            </w:r>
          </w:p>
        </w:tc>
        <w:tc>
          <w:tcPr>
            <w:tcW w:w="503" w:type="pct"/>
            <w:shd w:val="clear" w:color="auto" w:fill="FFFFFF"/>
            <w:tcMar>
              <w:top w:w="28" w:type="dxa"/>
              <w:left w:w="57" w:type="dxa"/>
              <w:bottom w:w="28" w:type="dxa"/>
              <w:right w:w="57" w:type="dxa"/>
            </w:tcMar>
          </w:tcPr>
          <w:p w14:paraId="72D72A8E"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5</w:t>
            </w:r>
          </w:p>
        </w:tc>
        <w:tc>
          <w:tcPr>
            <w:tcW w:w="576" w:type="pct"/>
            <w:shd w:val="clear" w:color="auto" w:fill="FFFFFF"/>
            <w:tcMar>
              <w:top w:w="28" w:type="dxa"/>
              <w:left w:w="57" w:type="dxa"/>
              <w:bottom w:w="28" w:type="dxa"/>
              <w:right w:w="57" w:type="dxa"/>
            </w:tcMar>
          </w:tcPr>
          <w:p w14:paraId="438881B2"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6</w:t>
            </w:r>
          </w:p>
        </w:tc>
        <w:tc>
          <w:tcPr>
            <w:tcW w:w="582" w:type="pct"/>
            <w:shd w:val="clear" w:color="auto" w:fill="FFFFFF"/>
            <w:tcMar>
              <w:top w:w="28" w:type="dxa"/>
              <w:left w:w="57" w:type="dxa"/>
              <w:bottom w:w="28" w:type="dxa"/>
              <w:right w:w="57" w:type="dxa"/>
            </w:tcMar>
          </w:tcPr>
          <w:p w14:paraId="66E46A18"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7</w:t>
            </w:r>
          </w:p>
        </w:tc>
        <w:tc>
          <w:tcPr>
            <w:tcW w:w="652" w:type="pct"/>
            <w:shd w:val="clear" w:color="auto" w:fill="FFFFFF"/>
            <w:tcMar>
              <w:top w:w="28" w:type="dxa"/>
              <w:left w:w="57" w:type="dxa"/>
              <w:bottom w:w="28" w:type="dxa"/>
              <w:right w:w="57" w:type="dxa"/>
            </w:tcMar>
          </w:tcPr>
          <w:p w14:paraId="63C71227"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8</w:t>
            </w:r>
          </w:p>
        </w:tc>
        <w:tc>
          <w:tcPr>
            <w:tcW w:w="565" w:type="pct"/>
            <w:shd w:val="clear" w:color="auto" w:fill="FFFFFF"/>
            <w:tcMar>
              <w:top w:w="28" w:type="dxa"/>
              <w:left w:w="57" w:type="dxa"/>
              <w:bottom w:w="28" w:type="dxa"/>
              <w:right w:w="57" w:type="dxa"/>
            </w:tcMar>
          </w:tcPr>
          <w:p w14:paraId="67105089"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9</w:t>
            </w:r>
          </w:p>
        </w:tc>
      </w:tr>
      <w:tr w:rsidR="008C2545" w:rsidRPr="007A737C" w14:paraId="1D7210CA" w14:textId="77777777" w:rsidTr="00EA7817">
        <w:trPr>
          <w:trHeight w:val="23"/>
        </w:trPr>
        <w:tc>
          <w:tcPr>
            <w:tcW w:w="231" w:type="pct"/>
            <w:shd w:val="clear" w:color="auto" w:fill="FFFFFF"/>
            <w:tcMar>
              <w:top w:w="28" w:type="dxa"/>
              <w:left w:w="57" w:type="dxa"/>
              <w:bottom w:w="28" w:type="dxa"/>
              <w:right w:w="57" w:type="dxa"/>
            </w:tcMar>
          </w:tcPr>
          <w:p w14:paraId="14BC7A7D"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61" w:type="pct"/>
            <w:shd w:val="clear" w:color="auto" w:fill="FFFFFF"/>
            <w:tcMar>
              <w:top w:w="28" w:type="dxa"/>
              <w:left w:w="57" w:type="dxa"/>
              <w:bottom w:w="28" w:type="dxa"/>
              <w:right w:w="57" w:type="dxa"/>
            </w:tcMar>
          </w:tcPr>
          <w:p w14:paraId="1DB3CF46"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61" w:type="pct"/>
            <w:shd w:val="clear" w:color="auto" w:fill="FFFFFF"/>
            <w:tcMar>
              <w:top w:w="28" w:type="dxa"/>
              <w:left w:w="57" w:type="dxa"/>
              <w:bottom w:w="28" w:type="dxa"/>
              <w:right w:w="57" w:type="dxa"/>
            </w:tcMar>
          </w:tcPr>
          <w:p w14:paraId="16237D4F"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69" w:type="pct"/>
            <w:shd w:val="clear" w:color="auto" w:fill="FFFFFF"/>
            <w:tcMar>
              <w:top w:w="28" w:type="dxa"/>
              <w:left w:w="57" w:type="dxa"/>
              <w:bottom w:w="28" w:type="dxa"/>
              <w:right w:w="57" w:type="dxa"/>
            </w:tcMar>
          </w:tcPr>
          <w:p w14:paraId="6A8B011C"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03" w:type="pct"/>
            <w:shd w:val="clear" w:color="auto" w:fill="FFFFFF"/>
            <w:tcMar>
              <w:top w:w="28" w:type="dxa"/>
              <w:left w:w="57" w:type="dxa"/>
              <w:bottom w:w="28" w:type="dxa"/>
              <w:right w:w="57" w:type="dxa"/>
            </w:tcMar>
          </w:tcPr>
          <w:p w14:paraId="71B67EF6"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76" w:type="pct"/>
            <w:shd w:val="clear" w:color="auto" w:fill="FFFFFF"/>
            <w:tcMar>
              <w:top w:w="28" w:type="dxa"/>
              <w:left w:w="57" w:type="dxa"/>
              <w:bottom w:w="28" w:type="dxa"/>
              <w:right w:w="57" w:type="dxa"/>
            </w:tcMar>
          </w:tcPr>
          <w:p w14:paraId="0131A3E0"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82" w:type="pct"/>
            <w:shd w:val="clear" w:color="auto" w:fill="FFFFFF"/>
            <w:tcMar>
              <w:top w:w="28" w:type="dxa"/>
              <w:left w:w="57" w:type="dxa"/>
              <w:bottom w:w="28" w:type="dxa"/>
              <w:right w:w="57" w:type="dxa"/>
            </w:tcMar>
          </w:tcPr>
          <w:p w14:paraId="68686944"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52" w:type="pct"/>
            <w:shd w:val="clear" w:color="auto" w:fill="FFFFFF"/>
            <w:tcMar>
              <w:top w:w="28" w:type="dxa"/>
              <w:left w:w="57" w:type="dxa"/>
              <w:bottom w:w="28" w:type="dxa"/>
              <w:right w:w="57" w:type="dxa"/>
            </w:tcMar>
          </w:tcPr>
          <w:p w14:paraId="089B4BF2"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65" w:type="pct"/>
            <w:shd w:val="clear" w:color="auto" w:fill="FFFFFF"/>
            <w:tcMar>
              <w:top w:w="28" w:type="dxa"/>
              <w:left w:w="57" w:type="dxa"/>
              <w:bottom w:w="28" w:type="dxa"/>
              <w:right w:w="57" w:type="dxa"/>
            </w:tcMar>
          </w:tcPr>
          <w:p w14:paraId="48BD339E"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r>
      <w:tr w:rsidR="008C2545" w:rsidRPr="007A737C" w14:paraId="77F8DB10" w14:textId="77777777" w:rsidTr="00EA7817">
        <w:trPr>
          <w:trHeight w:val="23"/>
        </w:trPr>
        <w:tc>
          <w:tcPr>
            <w:tcW w:w="231" w:type="pct"/>
            <w:shd w:val="clear" w:color="auto" w:fill="FFFFFF"/>
            <w:tcMar>
              <w:top w:w="28" w:type="dxa"/>
              <w:left w:w="57" w:type="dxa"/>
              <w:bottom w:w="28" w:type="dxa"/>
              <w:right w:w="57" w:type="dxa"/>
            </w:tcMar>
          </w:tcPr>
          <w:p w14:paraId="3BFAC76F"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61" w:type="pct"/>
            <w:shd w:val="clear" w:color="auto" w:fill="FFFFFF"/>
            <w:tcMar>
              <w:top w:w="28" w:type="dxa"/>
              <w:left w:w="57" w:type="dxa"/>
              <w:bottom w:w="28" w:type="dxa"/>
              <w:right w:w="57" w:type="dxa"/>
            </w:tcMar>
          </w:tcPr>
          <w:p w14:paraId="1EC1D40E"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61" w:type="pct"/>
            <w:shd w:val="clear" w:color="auto" w:fill="FFFFFF"/>
            <w:tcMar>
              <w:top w:w="28" w:type="dxa"/>
              <w:left w:w="57" w:type="dxa"/>
              <w:bottom w:w="28" w:type="dxa"/>
              <w:right w:w="57" w:type="dxa"/>
            </w:tcMar>
          </w:tcPr>
          <w:p w14:paraId="0CF0D1B0"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69" w:type="pct"/>
            <w:shd w:val="clear" w:color="auto" w:fill="FFFFFF"/>
            <w:tcMar>
              <w:top w:w="28" w:type="dxa"/>
              <w:left w:w="57" w:type="dxa"/>
              <w:bottom w:w="28" w:type="dxa"/>
              <w:right w:w="57" w:type="dxa"/>
            </w:tcMar>
          </w:tcPr>
          <w:p w14:paraId="0DA9140C"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03" w:type="pct"/>
            <w:shd w:val="clear" w:color="auto" w:fill="FFFFFF"/>
            <w:tcMar>
              <w:top w:w="28" w:type="dxa"/>
              <w:left w:w="57" w:type="dxa"/>
              <w:bottom w:w="28" w:type="dxa"/>
              <w:right w:w="57" w:type="dxa"/>
            </w:tcMar>
          </w:tcPr>
          <w:p w14:paraId="2A72D24C"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76" w:type="pct"/>
            <w:shd w:val="clear" w:color="auto" w:fill="FFFFFF"/>
            <w:tcMar>
              <w:top w:w="28" w:type="dxa"/>
              <w:left w:w="57" w:type="dxa"/>
              <w:bottom w:w="28" w:type="dxa"/>
              <w:right w:w="57" w:type="dxa"/>
            </w:tcMar>
          </w:tcPr>
          <w:p w14:paraId="11FA8175"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82" w:type="pct"/>
            <w:shd w:val="clear" w:color="auto" w:fill="FFFFFF"/>
            <w:tcMar>
              <w:top w:w="28" w:type="dxa"/>
              <w:left w:w="57" w:type="dxa"/>
              <w:bottom w:w="28" w:type="dxa"/>
              <w:right w:w="57" w:type="dxa"/>
            </w:tcMar>
          </w:tcPr>
          <w:p w14:paraId="524522CB"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52" w:type="pct"/>
            <w:shd w:val="clear" w:color="auto" w:fill="FFFFFF"/>
            <w:tcMar>
              <w:top w:w="28" w:type="dxa"/>
              <w:left w:w="57" w:type="dxa"/>
              <w:bottom w:w="28" w:type="dxa"/>
              <w:right w:w="57" w:type="dxa"/>
            </w:tcMar>
          </w:tcPr>
          <w:p w14:paraId="4154B5EA"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65" w:type="pct"/>
            <w:shd w:val="clear" w:color="auto" w:fill="FFFFFF"/>
            <w:tcMar>
              <w:top w:w="28" w:type="dxa"/>
              <w:left w:w="57" w:type="dxa"/>
              <w:bottom w:w="28" w:type="dxa"/>
              <w:right w:w="57" w:type="dxa"/>
            </w:tcMar>
          </w:tcPr>
          <w:p w14:paraId="69D3A89F"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r>
      <w:tr w:rsidR="008C2545" w:rsidRPr="007A737C" w14:paraId="2D076B73" w14:textId="77777777" w:rsidTr="00EA7817">
        <w:trPr>
          <w:trHeight w:val="23"/>
        </w:trPr>
        <w:tc>
          <w:tcPr>
            <w:tcW w:w="231" w:type="pct"/>
            <w:shd w:val="clear" w:color="auto" w:fill="FFFFFF"/>
            <w:tcMar>
              <w:top w:w="28" w:type="dxa"/>
              <w:left w:w="57" w:type="dxa"/>
              <w:bottom w:w="28" w:type="dxa"/>
              <w:right w:w="57" w:type="dxa"/>
            </w:tcMar>
          </w:tcPr>
          <w:p w14:paraId="20F8E5F5"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61" w:type="pct"/>
            <w:shd w:val="clear" w:color="auto" w:fill="FFFFFF"/>
            <w:tcMar>
              <w:top w:w="28" w:type="dxa"/>
              <w:left w:w="57" w:type="dxa"/>
              <w:bottom w:w="28" w:type="dxa"/>
              <w:right w:w="57" w:type="dxa"/>
            </w:tcMar>
          </w:tcPr>
          <w:p w14:paraId="079AA646"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61" w:type="pct"/>
            <w:shd w:val="clear" w:color="auto" w:fill="FFFFFF"/>
            <w:tcMar>
              <w:top w:w="28" w:type="dxa"/>
              <w:left w:w="57" w:type="dxa"/>
              <w:bottom w:w="28" w:type="dxa"/>
              <w:right w:w="57" w:type="dxa"/>
            </w:tcMar>
          </w:tcPr>
          <w:p w14:paraId="52E97CBB"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69" w:type="pct"/>
            <w:shd w:val="clear" w:color="auto" w:fill="FFFFFF"/>
            <w:tcMar>
              <w:top w:w="28" w:type="dxa"/>
              <w:left w:w="57" w:type="dxa"/>
              <w:bottom w:w="28" w:type="dxa"/>
              <w:right w:w="57" w:type="dxa"/>
            </w:tcMar>
          </w:tcPr>
          <w:p w14:paraId="6262FFB4"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03" w:type="pct"/>
            <w:shd w:val="clear" w:color="auto" w:fill="FFFFFF"/>
            <w:tcMar>
              <w:top w:w="28" w:type="dxa"/>
              <w:left w:w="57" w:type="dxa"/>
              <w:bottom w:w="28" w:type="dxa"/>
              <w:right w:w="57" w:type="dxa"/>
            </w:tcMar>
          </w:tcPr>
          <w:p w14:paraId="0AF87A34"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76" w:type="pct"/>
            <w:shd w:val="clear" w:color="auto" w:fill="FFFFFF"/>
            <w:tcMar>
              <w:top w:w="28" w:type="dxa"/>
              <w:left w:w="57" w:type="dxa"/>
              <w:bottom w:w="28" w:type="dxa"/>
              <w:right w:w="57" w:type="dxa"/>
            </w:tcMar>
          </w:tcPr>
          <w:p w14:paraId="7974E03F"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82" w:type="pct"/>
            <w:shd w:val="clear" w:color="auto" w:fill="FFFFFF"/>
            <w:tcMar>
              <w:top w:w="28" w:type="dxa"/>
              <w:left w:w="57" w:type="dxa"/>
              <w:bottom w:w="28" w:type="dxa"/>
              <w:right w:w="57" w:type="dxa"/>
            </w:tcMar>
          </w:tcPr>
          <w:p w14:paraId="13CBDC68"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52" w:type="pct"/>
            <w:shd w:val="clear" w:color="auto" w:fill="FFFFFF"/>
            <w:tcMar>
              <w:top w:w="28" w:type="dxa"/>
              <w:left w:w="57" w:type="dxa"/>
              <w:bottom w:w="28" w:type="dxa"/>
              <w:right w:w="57" w:type="dxa"/>
            </w:tcMar>
          </w:tcPr>
          <w:p w14:paraId="0ED33DA7"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65" w:type="pct"/>
            <w:shd w:val="clear" w:color="auto" w:fill="FFFFFF"/>
            <w:tcMar>
              <w:top w:w="28" w:type="dxa"/>
              <w:left w:w="57" w:type="dxa"/>
              <w:bottom w:w="28" w:type="dxa"/>
              <w:right w:w="57" w:type="dxa"/>
            </w:tcMar>
          </w:tcPr>
          <w:p w14:paraId="58F0E82A"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r>
      <w:tr w:rsidR="008C2545" w:rsidRPr="007A737C" w14:paraId="28AEFED4" w14:textId="77777777" w:rsidTr="00EA7817">
        <w:trPr>
          <w:trHeight w:val="23"/>
        </w:trPr>
        <w:tc>
          <w:tcPr>
            <w:tcW w:w="231" w:type="pct"/>
            <w:shd w:val="clear" w:color="auto" w:fill="FFFFFF"/>
            <w:tcMar>
              <w:top w:w="28" w:type="dxa"/>
              <w:left w:w="57" w:type="dxa"/>
              <w:bottom w:w="28" w:type="dxa"/>
              <w:right w:w="57" w:type="dxa"/>
            </w:tcMar>
          </w:tcPr>
          <w:p w14:paraId="10B1EC9A"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61" w:type="pct"/>
            <w:shd w:val="clear" w:color="auto" w:fill="FFFFFF"/>
            <w:tcMar>
              <w:top w:w="28" w:type="dxa"/>
              <w:left w:w="57" w:type="dxa"/>
              <w:bottom w:w="28" w:type="dxa"/>
              <w:right w:w="57" w:type="dxa"/>
            </w:tcMar>
          </w:tcPr>
          <w:p w14:paraId="14CE90E9"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61" w:type="pct"/>
            <w:shd w:val="clear" w:color="auto" w:fill="FFFFFF"/>
            <w:tcMar>
              <w:top w:w="28" w:type="dxa"/>
              <w:left w:w="57" w:type="dxa"/>
              <w:bottom w:w="28" w:type="dxa"/>
              <w:right w:w="57" w:type="dxa"/>
            </w:tcMar>
          </w:tcPr>
          <w:p w14:paraId="539A00A0"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69" w:type="pct"/>
            <w:shd w:val="clear" w:color="auto" w:fill="FFFFFF"/>
            <w:tcMar>
              <w:top w:w="28" w:type="dxa"/>
              <w:left w:w="57" w:type="dxa"/>
              <w:bottom w:w="28" w:type="dxa"/>
              <w:right w:w="57" w:type="dxa"/>
            </w:tcMar>
          </w:tcPr>
          <w:p w14:paraId="5616ECFD"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03" w:type="pct"/>
            <w:shd w:val="clear" w:color="auto" w:fill="FFFFFF"/>
            <w:tcMar>
              <w:top w:w="28" w:type="dxa"/>
              <w:left w:w="57" w:type="dxa"/>
              <w:bottom w:w="28" w:type="dxa"/>
              <w:right w:w="57" w:type="dxa"/>
            </w:tcMar>
          </w:tcPr>
          <w:p w14:paraId="488E9135"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76" w:type="pct"/>
            <w:shd w:val="clear" w:color="auto" w:fill="FFFFFF"/>
            <w:tcMar>
              <w:top w:w="28" w:type="dxa"/>
              <w:left w:w="57" w:type="dxa"/>
              <w:bottom w:w="28" w:type="dxa"/>
              <w:right w:w="57" w:type="dxa"/>
            </w:tcMar>
          </w:tcPr>
          <w:p w14:paraId="20657C4B"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82" w:type="pct"/>
            <w:shd w:val="clear" w:color="auto" w:fill="FFFFFF"/>
            <w:tcMar>
              <w:top w:w="28" w:type="dxa"/>
              <w:left w:w="57" w:type="dxa"/>
              <w:bottom w:w="28" w:type="dxa"/>
              <w:right w:w="57" w:type="dxa"/>
            </w:tcMar>
          </w:tcPr>
          <w:p w14:paraId="705DFB25"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652" w:type="pct"/>
            <w:shd w:val="clear" w:color="auto" w:fill="FFFFFF"/>
            <w:tcMar>
              <w:top w:w="28" w:type="dxa"/>
              <w:left w:w="57" w:type="dxa"/>
              <w:bottom w:w="28" w:type="dxa"/>
              <w:right w:w="57" w:type="dxa"/>
            </w:tcMar>
          </w:tcPr>
          <w:p w14:paraId="6078B998"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c>
          <w:tcPr>
            <w:tcW w:w="565" w:type="pct"/>
            <w:shd w:val="clear" w:color="auto" w:fill="FFFFFF"/>
            <w:tcMar>
              <w:top w:w="28" w:type="dxa"/>
              <w:left w:w="57" w:type="dxa"/>
              <w:bottom w:w="28" w:type="dxa"/>
              <w:right w:w="57" w:type="dxa"/>
            </w:tcMar>
          </w:tcPr>
          <w:p w14:paraId="1274DF80" w14:textId="77777777" w:rsidR="008C2545" w:rsidRPr="007A737C" w:rsidRDefault="008C2545" w:rsidP="008C2545">
            <w:pPr>
              <w:spacing w:after="0" w:line="240" w:lineRule="auto"/>
              <w:jc w:val="center"/>
              <w:rPr>
                <w:rFonts w:ascii="Times New Roman" w:eastAsia="Times New Roman" w:hAnsi="Times New Roman"/>
                <w:color w:val="000000"/>
                <w:sz w:val="20"/>
                <w:szCs w:val="20"/>
                <w:lang w:eastAsia="lt-LT"/>
              </w:rPr>
            </w:pPr>
          </w:p>
        </w:tc>
      </w:tr>
    </w:tbl>
    <w:p w14:paraId="5C72CFE0" w14:textId="77777777" w:rsidR="008C2545" w:rsidRPr="007A737C" w:rsidRDefault="008C2545" w:rsidP="008C2545">
      <w:pPr>
        <w:spacing w:after="0" w:line="240" w:lineRule="auto"/>
        <w:ind w:firstLine="787"/>
        <w:jc w:val="both"/>
        <w:rPr>
          <w:rFonts w:ascii="Times New Roman" w:eastAsia="Times New Roman" w:hAnsi="Times New Roman"/>
          <w:color w:val="000000"/>
          <w:sz w:val="26"/>
          <w:szCs w:val="26"/>
          <w:lang w:eastAsia="lt-LT"/>
        </w:rPr>
      </w:pPr>
    </w:p>
    <w:p w14:paraId="3B9D9B71"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 xml:space="preserve">Bendras </w:t>
      </w:r>
      <w:r w:rsidRPr="007A737C">
        <w:rPr>
          <w:rFonts w:ascii="Times New Roman" w:eastAsia="Times New Roman" w:hAnsi="Times New Roman"/>
          <w:sz w:val="24"/>
          <w:szCs w:val="24"/>
          <w:lang w:eastAsia="lt-LT"/>
        </w:rPr>
        <w:t xml:space="preserve">perduotų naikinti medžiagų </w:t>
      </w:r>
      <w:r w:rsidRPr="007A737C">
        <w:rPr>
          <w:rFonts w:ascii="Times New Roman" w:eastAsia="Times New Roman" w:hAnsi="Times New Roman"/>
          <w:color w:val="000000"/>
          <w:sz w:val="24"/>
          <w:szCs w:val="24"/>
          <w:lang w:eastAsia="lt-LT"/>
        </w:rPr>
        <w:t>pakuočių skaičius ______________________________.</w:t>
      </w:r>
    </w:p>
    <w:p w14:paraId="28611A70" w14:textId="77777777" w:rsidR="008C2545" w:rsidRPr="007A737C" w:rsidRDefault="008C2545" w:rsidP="008C2545">
      <w:pPr>
        <w:spacing w:after="0" w:line="240" w:lineRule="auto"/>
        <w:ind w:left="5040" w:firstLine="720"/>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(nurodyti skaičiais ir žodžiais)</w:t>
      </w:r>
    </w:p>
    <w:p w14:paraId="3040131B"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Visos šiame akte nurodytos medžiagos ir tara sunaikintos visiškai –_____________________.</w:t>
      </w:r>
    </w:p>
    <w:p w14:paraId="2529B32D" w14:textId="77777777" w:rsidR="008C2545" w:rsidRPr="007A737C" w:rsidRDefault="008C2545" w:rsidP="008C2545">
      <w:pPr>
        <w:spacing w:after="0" w:line="240" w:lineRule="auto"/>
        <w:ind w:firstLine="6663"/>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(nurodyti sunaikinimo būdą)</w:t>
      </w:r>
    </w:p>
    <w:p w14:paraId="4BCB79F2" w14:textId="77777777" w:rsidR="008C2545" w:rsidRPr="007A737C" w:rsidRDefault="008C2545" w:rsidP="008C2545">
      <w:pPr>
        <w:spacing w:after="0" w:line="240" w:lineRule="auto"/>
        <w:ind w:firstLine="720"/>
        <w:jc w:val="both"/>
        <w:rPr>
          <w:rFonts w:ascii="Times New Roman" w:eastAsia="Times New Roman" w:hAnsi="Times New Roman"/>
          <w:strike/>
          <w:color w:val="000000"/>
          <w:sz w:val="24"/>
          <w:szCs w:val="24"/>
          <w:lang w:eastAsia="lt-LT"/>
        </w:rPr>
      </w:pPr>
      <w:r w:rsidRPr="007A737C">
        <w:rPr>
          <w:rFonts w:ascii="Times New Roman" w:eastAsia="Times New Roman" w:hAnsi="Times New Roman"/>
          <w:bCs/>
          <w:color w:val="000000"/>
          <w:sz w:val="24"/>
          <w:szCs w:val="24"/>
          <w:lang w:eastAsia="lt-LT"/>
        </w:rPr>
        <w:t>Pastaba.</w:t>
      </w:r>
      <w:r w:rsidRPr="007A737C">
        <w:rPr>
          <w:rFonts w:ascii="Times New Roman" w:eastAsia="Times New Roman" w:hAnsi="Times New Roman"/>
          <w:color w:val="000000"/>
          <w:sz w:val="24"/>
          <w:szCs w:val="24"/>
          <w:lang w:eastAsia="lt-LT"/>
        </w:rPr>
        <w:t xml:space="preserve"> Naikinimo procedūra nutraukta komisijai nustačius, kad </w:t>
      </w:r>
      <w:r w:rsidRPr="007A737C">
        <w:rPr>
          <w:rFonts w:ascii="Times New Roman" w:eastAsia="Times New Roman" w:hAnsi="Times New Roman"/>
          <w:sz w:val="24"/>
          <w:szCs w:val="24"/>
          <w:lang w:eastAsia="lt-LT"/>
        </w:rPr>
        <w:t xml:space="preserve">ant perduotų naikinti </w:t>
      </w:r>
      <w:r w:rsidRPr="007A737C">
        <w:rPr>
          <w:rFonts w:ascii="Times New Roman" w:eastAsia="Times New Roman" w:hAnsi="Times New Roman"/>
          <w:color w:val="000000"/>
          <w:sz w:val="24"/>
          <w:szCs w:val="24"/>
          <w:lang w:eastAsia="lt-LT"/>
        </w:rPr>
        <w:t>medžiagų pakuočių nurodyti pavadinimai</w:t>
      </w:r>
      <w:r w:rsidRPr="007A737C">
        <w:rPr>
          <w:rFonts w:ascii="Times New Roman" w:eastAsia="Times New Roman" w:hAnsi="Times New Roman"/>
          <w:sz w:val="24"/>
          <w:szCs w:val="24"/>
          <w:lang w:eastAsia="lt-LT"/>
        </w:rPr>
        <w:t xml:space="preserve">, kiekis ar kiti duomenys neatitinka medžiagų sunaikinimo </w:t>
      </w:r>
      <w:r w:rsidRPr="007A737C">
        <w:rPr>
          <w:rFonts w:ascii="Times New Roman" w:eastAsia="Times New Roman" w:hAnsi="Times New Roman"/>
          <w:color w:val="000000"/>
          <w:sz w:val="24"/>
          <w:szCs w:val="24"/>
          <w:lang w:eastAsia="lt-LT"/>
        </w:rPr>
        <w:t>dokumentuose nurodytų duomenų: ____________________________.</w:t>
      </w:r>
    </w:p>
    <w:p w14:paraId="58122662" w14:textId="77777777" w:rsidR="008C2545" w:rsidRPr="007A737C" w:rsidRDefault="008C2545" w:rsidP="008C2545">
      <w:pPr>
        <w:spacing w:after="0" w:line="240" w:lineRule="auto"/>
        <w:ind w:firstLine="6946"/>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(nurodyti)</w:t>
      </w:r>
    </w:p>
    <w:p w14:paraId="4B5765E7" w14:textId="77777777" w:rsidR="008C2545" w:rsidRPr="007A737C" w:rsidRDefault="008C2545" w:rsidP="008C2545">
      <w:pPr>
        <w:spacing w:after="0" w:line="240" w:lineRule="auto"/>
        <w:ind w:firstLine="782"/>
        <w:jc w:val="both"/>
        <w:rPr>
          <w:rFonts w:ascii="Times New Roman" w:eastAsia="Times New Roman" w:hAnsi="Times New Roman"/>
          <w:color w:val="000000"/>
          <w:sz w:val="24"/>
          <w:szCs w:val="24"/>
          <w:lang w:eastAsia="lt-LT"/>
        </w:rPr>
      </w:pPr>
    </w:p>
    <w:p w14:paraId="72ED22C3" w14:textId="77777777" w:rsidR="008C2545" w:rsidRPr="007A737C" w:rsidRDefault="008C2545" w:rsidP="008C2545">
      <w:pPr>
        <w:spacing w:after="0" w:line="240" w:lineRule="auto"/>
        <w:ind w:firstLine="720"/>
        <w:jc w:val="both"/>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Už medžiagų saugojimą atsakingas darbuotojas</w:t>
      </w:r>
    </w:p>
    <w:tbl>
      <w:tblPr>
        <w:tblW w:w="0" w:type="auto"/>
        <w:tblInd w:w="108" w:type="dxa"/>
        <w:tblLook w:val="04A0" w:firstRow="1" w:lastRow="0" w:firstColumn="1" w:lastColumn="0" w:noHBand="0" w:noVBand="1"/>
      </w:tblPr>
      <w:tblGrid>
        <w:gridCol w:w="2943"/>
        <w:gridCol w:w="560"/>
        <w:gridCol w:w="2242"/>
        <w:gridCol w:w="421"/>
        <w:gridCol w:w="2797"/>
      </w:tblGrid>
      <w:tr w:rsidR="008C2545" w:rsidRPr="007A737C" w14:paraId="05DEDF4A" w14:textId="77777777" w:rsidTr="00EA7817">
        <w:tc>
          <w:tcPr>
            <w:tcW w:w="2977" w:type="dxa"/>
            <w:tcBorders>
              <w:bottom w:val="single" w:sz="4" w:space="0" w:color="000000"/>
            </w:tcBorders>
          </w:tcPr>
          <w:p w14:paraId="0E5B767F"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p w14:paraId="65DDB017"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c>
          <w:tcPr>
            <w:tcW w:w="567" w:type="dxa"/>
          </w:tcPr>
          <w:p w14:paraId="04B946EA"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c>
          <w:tcPr>
            <w:tcW w:w="2268" w:type="dxa"/>
            <w:tcBorders>
              <w:bottom w:val="single" w:sz="4" w:space="0" w:color="000000"/>
            </w:tcBorders>
          </w:tcPr>
          <w:p w14:paraId="52E22957"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c>
          <w:tcPr>
            <w:tcW w:w="425" w:type="dxa"/>
          </w:tcPr>
          <w:p w14:paraId="4958E07F"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c>
          <w:tcPr>
            <w:tcW w:w="2835" w:type="dxa"/>
            <w:tcBorders>
              <w:bottom w:val="single" w:sz="4" w:space="0" w:color="000000"/>
            </w:tcBorders>
          </w:tcPr>
          <w:p w14:paraId="71A94592"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r>
      <w:tr w:rsidR="008C2545" w:rsidRPr="007A737C" w14:paraId="14A37B40" w14:textId="77777777" w:rsidTr="00EA7817">
        <w:tc>
          <w:tcPr>
            <w:tcW w:w="2977" w:type="dxa"/>
            <w:tcBorders>
              <w:top w:val="single" w:sz="4" w:space="0" w:color="000000"/>
            </w:tcBorders>
          </w:tcPr>
          <w:p w14:paraId="5228C710"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0"/>
                <w:szCs w:val="20"/>
                <w:lang w:eastAsia="lt-LT"/>
              </w:rPr>
              <w:t>(pareigų pavadinimas)</w:t>
            </w:r>
          </w:p>
        </w:tc>
        <w:tc>
          <w:tcPr>
            <w:tcW w:w="567" w:type="dxa"/>
          </w:tcPr>
          <w:p w14:paraId="01699EF6"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p>
        </w:tc>
        <w:tc>
          <w:tcPr>
            <w:tcW w:w="2268" w:type="dxa"/>
            <w:tcBorders>
              <w:top w:val="single" w:sz="4" w:space="0" w:color="000000"/>
            </w:tcBorders>
          </w:tcPr>
          <w:p w14:paraId="4C03F74B"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0"/>
                <w:szCs w:val="20"/>
                <w:lang w:eastAsia="lt-LT"/>
              </w:rPr>
              <w:t>(parašas)</w:t>
            </w:r>
          </w:p>
        </w:tc>
        <w:tc>
          <w:tcPr>
            <w:tcW w:w="425" w:type="dxa"/>
          </w:tcPr>
          <w:p w14:paraId="4F32CD5D"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p>
        </w:tc>
        <w:tc>
          <w:tcPr>
            <w:tcW w:w="2835" w:type="dxa"/>
            <w:tcBorders>
              <w:top w:val="single" w:sz="4" w:space="0" w:color="000000"/>
            </w:tcBorders>
          </w:tcPr>
          <w:p w14:paraId="6AFD5B46"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0"/>
                <w:szCs w:val="20"/>
                <w:lang w:eastAsia="lt-LT"/>
              </w:rPr>
              <w:t>(vardas, pavardė)</w:t>
            </w:r>
          </w:p>
        </w:tc>
      </w:tr>
    </w:tbl>
    <w:p w14:paraId="75E1459C" w14:textId="71043703" w:rsidR="008C2545" w:rsidRPr="007A737C" w:rsidRDefault="008C2545" w:rsidP="008C2545">
      <w:pPr>
        <w:keepNext/>
        <w:spacing w:after="0" w:line="240" w:lineRule="auto"/>
        <w:ind w:firstLine="720"/>
        <w:jc w:val="both"/>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Komisijos pirmininkas</w:t>
      </w:r>
    </w:p>
    <w:tbl>
      <w:tblPr>
        <w:tblW w:w="0" w:type="auto"/>
        <w:tblInd w:w="108" w:type="dxa"/>
        <w:tblLook w:val="04A0" w:firstRow="1" w:lastRow="0" w:firstColumn="1" w:lastColumn="0" w:noHBand="0" w:noVBand="1"/>
      </w:tblPr>
      <w:tblGrid>
        <w:gridCol w:w="2943"/>
        <w:gridCol w:w="560"/>
        <w:gridCol w:w="2242"/>
        <w:gridCol w:w="421"/>
        <w:gridCol w:w="2797"/>
      </w:tblGrid>
      <w:tr w:rsidR="008C2545" w:rsidRPr="007A737C" w14:paraId="4133E565" w14:textId="77777777" w:rsidTr="00EA7817">
        <w:tc>
          <w:tcPr>
            <w:tcW w:w="2977" w:type="dxa"/>
            <w:tcBorders>
              <w:bottom w:val="single" w:sz="4" w:space="0" w:color="000000"/>
            </w:tcBorders>
          </w:tcPr>
          <w:p w14:paraId="5E386FA0"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p w14:paraId="361F3401"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c>
          <w:tcPr>
            <w:tcW w:w="567" w:type="dxa"/>
          </w:tcPr>
          <w:p w14:paraId="661ACCE6"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c>
          <w:tcPr>
            <w:tcW w:w="2268" w:type="dxa"/>
            <w:tcBorders>
              <w:bottom w:val="single" w:sz="4" w:space="0" w:color="000000"/>
            </w:tcBorders>
          </w:tcPr>
          <w:p w14:paraId="2D3378C9"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c>
          <w:tcPr>
            <w:tcW w:w="425" w:type="dxa"/>
          </w:tcPr>
          <w:p w14:paraId="2AAD79B5"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c>
          <w:tcPr>
            <w:tcW w:w="2835" w:type="dxa"/>
            <w:tcBorders>
              <w:bottom w:val="single" w:sz="4" w:space="0" w:color="000000"/>
            </w:tcBorders>
          </w:tcPr>
          <w:p w14:paraId="5C22E18E"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tc>
      </w:tr>
      <w:tr w:rsidR="008C2545" w:rsidRPr="007A737C" w14:paraId="44A6298D" w14:textId="77777777" w:rsidTr="00EA7817">
        <w:tc>
          <w:tcPr>
            <w:tcW w:w="2977" w:type="dxa"/>
            <w:tcBorders>
              <w:top w:val="single" w:sz="4" w:space="0" w:color="000000"/>
            </w:tcBorders>
          </w:tcPr>
          <w:p w14:paraId="7EF4213D"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0"/>
                <w:szCs w:val="20"/>
                <w:lang w:eastAsia="lt-LT"/>
              </w:rPr>
              <w:t>(pareigų pavadinimas)</w:t>
            </w:r>
          </w:p>
        </w:tc>
        <w:tc>
          <w:tcPr>
            <w:tcW w:w="567" w:type="dxa"/>
          </w:tcPr>
          <w:p w14:paraId="76AC2149"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p>
        </w:tc>
        <w:tc>
          <w:tcPr>
            <w:tcW w:w="2268" w:type="dxa"/>
            <w:tcBorders>
              <w:top w:val="single" w:sz="4" w:space="0" w:color="000000"/>
            </w:tcBorders>
          </w:tcPr>
          <w:p w14:paraId="4485DEBC"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0"/>
                <w:szCs w:val="20"/>
                <w:lang w:eastAsia="lt-LT"/>
              </w:rPr>
              <w:t>(parašas)</w:t>
            </w:r>
          </w:p>
        </w:tc>
        <w:tc>
          <w:tcPr>
            <w:tcW w:w="425" w:type="dxa"/>
          </w:tcPr>
          <w:p w14:paraId="5EBEBDD1"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p>
        </w:tc>
        <w:tc>
          <w:tcPr>
            <w:tcW w:w="2835" w:type="dxa"/>
            <w:tcBorders>
              <w:top w:val="single" w:sz="4" w:space="0" w:color="000000"/>
            </w:tcBorders>
          </w:tcPr>
          <w:p w14:paraId="5684EDDD" w14:textId="77777777" w:rsidR="008C2545" w:rsidRPr="007A737C" w:rsidRDefault="008C2545" w:rsidP="008C2545">
            <w:pPr>
              <w:spacing w:after="0" w:line="240" w:lineRule="auto"/>
              <w:jc w:val="center"/>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0"/>
                <w:szCs w:val="20"/>
                <w:lang w:eastAsia="lt-LT"/>
              </w:rPr>
              <w:t>(vardas, pavardė)</w:t>
            </w:r>
          </w:p>
        </w:tc>
      </w:tr>
    </w:tbl>
    <w:p w14:paraId="3594E023" w14:textId="77777777" w:rsidR="008C2545" w:rsidRPr="007A737C" w:rsidRDefault="008C2545" w:rsidP="008C2545">
      <w:pPr>
        <w:spacing w:after="0" w:line="240" w:lineRule="auto"/>
        <w:ind w:firstLine="782"/>
        <w:jc w:val="both"/>
        <w:rPr>
          <w:rFonts w:ascii="Times New Roman" w:eastAsia="Times New Roman" w:hAnsi="Times New Roman"/>
          <w:color w:val="000000"/>
          <w:sz w:val="24"/>
          <w:szCs w:val="24"/>
          <w:lang w:eastAsia="lt-LT"/>
        </w:rPr>
      </w:pPr>
    </w:p>
    <w:p w14:paraId="2B67775B" w14:textId="77777777" w:rsidR="008C2545" w:rsidRPr="007A737C" w:rsidRDefault="008C2545" w:rsidP="008C2545">
      <w:pPr>
        <w:spacing w:after="0" w:line="240" w:lineRule="auto"/>
        <w:ind w:firstLine="720"/>
        <w:jc w:val="both"/>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Komisijos nariai:</w:t>
      </w:r>
    </w:p>
    <w:tbl>
      <w:tblPr>
        <w:tblW w:w="4942" w:type="pct"/>
        <w:tblInd w:w="108" w:type="dxa"/>
        <w:shd w:val="clear" w:color="auto" w:fill="FFFFFF"/>
        <w:tblCellMar>
          <w:left w:w="0" w:type="dxa"/>
          <w:right w:w="0" w:type="dxa"/>
        </w:tblCellMar>
        <w:tblLook w:val="04A0" w:firstRow="1" w:lastRow="0" w:firstColumn="1" w:lastColumn="0" w:noHBand="0" w:noVBand="1"/>
      </w:tblPr>
      <w:tblGrid>
        <w:gridCol w:w="2580"/>
        <w:gridCol w:w="554"/>
        <w:gridCol w:w="2778"/>
        <w:gridCol w:w="554"/>
        <w:gridCol w:w="2500"/>
      </w:tblGrid>
      <w:tr w:rsidR="008C2545" w:rsidRPr="007A737C" w14:paraId="2BABD407" w14:textId="77777777" w:rsidTr="00EA7817">
        <w:tc>
          <w:tcPr>
            <w:tcW w:w="1439" w:type="pct"/>
            <w:tcBorders>
              <w:bottom w:val="single" w:sz="4" w:space="0" w:color="auto"/>
            </w:tcBorders>
            <w:shd w:val="clear" w:color="auto" w:fill="FFFFFF"/>
            <w:tcMar>
              <w:top w:w="0" w:type="dxa"/>
              <w:left w:w="108" w:type="dxa"/>
              <w:bottom w:w="0" w:type="dxa"/>
              <w:right w:w="108" w:type="dxa"/>
            </w:tcMar>
            <w:hideMark/>
          </w:tcPr>
          <w:p w14:paraId="3B5AB354"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p w14:paraId="219E6C1E"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55A68321"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c>
          <w:tcPr>
            <w:tcW w:w="1549" w:type="pct"/>
            <w:tcBorders>
              <w:bottom w:val="single" w:sz="4" w:space="0" w:color="auto"/>
            </w:tcBorders>
            <w:shd w:val="clear" w:color="auto" w:fill="FFFFFF"/>
            <w:tcMar>
              <w:top w:w="0" w:type="dxa"/>
              <w:left w:w="108" w:type="dxa"/>
              <w:bottom w:w="0" w:type="dxa"/>
              <w:right w:w="108" w:type="dxa"/>
            </w:tcMar>
            <w:hideMark/>
          </w:tcPr>
          <w:p w14:paraId="700166B9"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00CEA9F7"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c>
          <w:tcPr>
            <w:tcW w:w="1394" w:type="pct"/>
            <w:tcBorders>
              <w:bottom w:val="single" w:sz="4" w:space="0" w:color="auto"/>
            </w:tcBorders>
            <w:shd w:val="clear" w:color="auto" w:fill="FFFFFF"/>
            <w:tcMar>
              <w:top w:w="0" w:type="dxa"/>
              <w:left w:w="108" w:type="dxa"/>
              <w:bottom w:w="0" w:type="dxa"/>
              <w:right w:w="108" w:type="dxa"/>
            </w:tcMar>
            <w:hideMark/>
          </w:tcPr>
          <w:p w14:paraId="135B2BCB"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r>
      <w:tr w:rsidR="008C2545" w:rsidRPr="007A737C" w14:paraId="4D519F00" w14:textId="77777777" w:rsidTr="00EA7817">
        <w:tc>
          <w:tcPr>
            <w:tcW w:w="1439" w:type="pct"/>
            <w:tcBorders>
              <w:top w:val="single" w:sz="4" w:space="0" w:color="auto"/>
            </w:tcBorders>
            <w:shd w:val="clear" w:color="auto" w:fill="FFFFFF"/>
            <w:tcMar>
              <w:top w:w="0" w:type="dxa"/>
              <w:left w:w="108" w:type="dxa"/>
              <w:bottom w:w="0" w:type="dxa"/>
              <w:right w:w="108" w:type="dxa"/>
            </w:tcMar>
            <w:hideMark/>
          </w:tcPr>
          <w:p w14:paraId="79F1E83E"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(pareigų pavadinimas)</w:t>
            </w:r>
          </w:p>
        </w:tc>
        <w:tc>
          <w:tcPr>
            <w:tcW w:w="309" w:type="pct"/>
            <w:shd w:val="clear" w:color="auto" w:fill="FFFFFF"/>
            <w:tcMar>
              <w:top w:w="0" w:type="dxa"/>
              <w:left w:w="108" w:type="dxa"/>
              <w:bottom w:w="0" w:type="dxa"/>
              <w:right w:w="108" w:type="dxa"/>
            </w:tcMar>
            <w:hideMark/>
          </w:tcPr>
          <w:p w14:paraId="506796F5"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549" w:type="pct"/>
            <w:tcBorders>
              <w:top w:val="single" w:sz="4" w:space="0" w:color="auto"/>
            </w:tcBorders>
            <w:shd w:val="clear" w:color="auto" w:fill="FFFFFF"/>
            <w:tcMar>
              <w:top w:w="0" w:type="dxa"/>
              <w:left w:w="108" w:type="dxa"/>
              <w:bottom w:w="0" w:type="dxa"/>
              <w:right w:w="108" w:type="dxa"/>
            </w:tcMar>
            <w:hideMark/>
          </w:tcPr>
          <w:p w14:paraId="311723F9"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(parašas)</w:t>
            </w:r>
          </w:p>
        </w:tc>
        <w:tc>
          <w:tcPr>
            <w:tcW w:w="309" w:type="pct"/>
            <w:shd w:val="clear" w:color="auto" w:fill="FFFFFF"/>
            <w:tcMar>
              <w:top w:w="0" w:type="dxa"/>
              <w:left w:w="108" w:type="dxa"/>
              <w:bottom w:w="0" w:type="dxa"/>
              <w:right w:w="108" w:type="dxa"/>
            </w:tcMar>
            <w:hideMark/>
          </w:tcPr>
          <w:p w14:paraId="5FCBE1AB"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394" w:type="pct"/>
            <w:tcBorders>
              <w:top w:val="single" w:sz="4" w:space="0" w:color="auto"/>
            </w:tcBorders>
            <w:shd w:val="clear" w:color="auto" w:fill="FFFFFF"/>
            <w:tcMar>
              <w:top w:w="0" w:type="dxa"/>
              <w:left w:w="108" w:type="dxa"/>
              <w:bottom w:w="0" w:type="dxa"/>
              <w:right w:w="108" w:type="dxa"/>
            </w:tcMar>
            <w:hideMark/>
          </w:tcPr>
          <w:p w14:paraId="2B9D51A3"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(vardas, pavardė)</w:t>
            </w:r>
          </w:p>
        </w:tc>
      </w:tr>
      <w:tr w:rsidR="008C2545" w:rsidRPr="007A737C" w14:paraId="4C4BC55D" w14:textId="77777777" w:rsidTr="00EA7817">
        <w:tc>
          <w:tcPr>
            <w:tcW w:w="1439" w:type="pct"/>
            <w:tcBorders>
              <w:bottom w:val="single" w:sz="4" w:space="0" w:color="auto"/>
            </w:tcBorders>
            <w:shd w:val="clear" w:color="auto" w:fill="FFFFFF"/>
            <w:tcMar>
              <w:top w:w="0" w:type="dxa"/>
              <w:left w:w="108" w:type="dxa"/>
              <w:bottom w:w="0" w:type="dxa"/>
              <w:right w:w="108" w:type="dxa"/>
            </w:tcMar>
            <w:hideMark/>
          </w:tcPr>
          <w:p w14:paraId="4F4D9319"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p w14:paraId="6E110696"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1E36A6E6"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549" w:type="pct"/>
            <w:tcBorders>
              <w:bottom w:val="single" w:sz="4" w:space="0" w:color="auto"/>
            </w:tcBorders>
            <w:shd w:val="clear" w:color="auto" w:fill="FFFFFF"/>
            <w:tcMar>
              <w:top w:w="0" w:type="dxa"/>
              <w:left w:w="108" w:type="dxa"/>
              <w:bottom w:w="0" w:type="dxa"/>
              <w:right w:w="108" w:type="dxa"/>
            </w:tcMar>
            <w:hideMark/>
          </w:tcPr>
          <w:p w14:paraId="31AD8984"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69815D20"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394" w:type="pct"/>
            <w:tcBorders>
              <w:bottom w:val="single" w:sz="4" w:space="0" w:color="auto"/>
            </w:tcBorders>
            <w:shd w:val="clear" w:color="auto" w:fill="FFFFFF"/>
            <w:tcMar>
              <w:top w:w="0" w:type="dxa"/>
              <w:left w:w="108" w:type="dxa"/>
              <w:bottom w:w="0" w:type="dxa"/>
              <w:right w:w="108" w:type="dxa"/>
            </w:tcMar>
            <w:hideMark/>
          </w:tcPr>
          <w:p w14:paraId="22DE7C1A"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r>
      <w:tr w:rsidR="008C2545" w:rsidRPr="007A737C" w14:paraId="01EAE62D" w14:textId="77777777" w:rsidTr="00EA7817">
        <w:tc>
          <w:tcPr>
            <w:tcW w:w="1439" w:type="pct"/>
            <w:tcBorders>
              <w:top w:val="single" w:sz="4" w:space="0" w:color="auto"/>
            </w:tcBorders>
            <w:shd w:val="clear" w:color="auto" w:fill="FFFFFF"/>
            <w:tcMar>
              <w:top w:w="0" w:type="dxa"/>
              <w:left w:w="108" w:type="dxa"/>
              <w:bottom w:w="0" w:type="dxa"/>
              <w:right w:w="108" w:type="dxa"/>
            </w:tcMar>
            <w:hideMark/>
          </w:tcPr>
          <w:p w14:paraId="11DF6B69"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(pareigų pavadinimas)</w:t>
            </w:r>
          </w:p>
        </w:tc>
        <w:tc>
          <w:tcPr>
            <w:tcW w:w="309" w:type="pct"/>
            <w:shd w:val="clear" w:color="auto" w:fill="FFFFFF"/>
            <w:tcMar>
              <w:top w:w="0" w:type="dxa"/>
              <w:left w:w="108" w:type="dxa"/>
              <w:bottom w:w="0" w:type="dxa"/>
              <w:right w:w="108" w:type="dxa"/>
            </w:tcMar>
            <w:hideMark/>
          </w:tcPr>
          <w:p w14:paraId="432860D4"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549" w:type="pct"/>
            <w:tcBorders>
              <w:top w:val="single" w:sz="4" w:space="0" w:color="auto"/>
            </w:tcBorders>
            <w:shd w:val="clear" w:color="auto" w:fill="FFFFFF"/>
            <w:tcMar>
              <w:top w:w="0" w:type="dxa"/>
              <w:left w:w="108" w:type="dxa"/>
              <w:bottom w:w="0" w:type="dxa"/>
              <w:right w:w="108" w:type="dxa"/>
            </w:tcMar>
            <w:hideMark/>
          </w:tcPr>
          <w:p w14:paraId="7F177C01"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(parašas)</w:t>
            </w:r>
          </w:p>
        </w:tc>
        <w:tc>
          <w:tcPr>
            <w:tcW w:w="309" w:type="pct"/>
            <w:shd w:val="clear" w:color="auto" w:fill="FFFFFF"/>
            <w:tcMar>
              <w:top w:w="0" w:type="dxa"/>
              <w:left w:w="108" w:type="dxa"/>
              <w:bottom w:w="0" w:type="dxa"/>
              <w:right w:w="108" w:type="dxa"/>
            </w:tcMar>
            <w:hideMark/>
          </w:tcPr>
          <w:p w14:paraId="42FD2E25"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394" w:type="pct"/>
            <w:tcBorders>
              <w:top w:val="single" w:sz="4" w:space="0" w:color="auto"/>
            </w:tcBorders>
            <w:shd w:val="clear" w:color="auto" w:fill="FFFFFF"/>
            <w:tcMar>
              <w:top w:w="0" w:type="dxa"/>
              <w:left w:w="108" w:type="dxa"/>
              <w:bottom w:w="0" w:type="dxa"/>
              <w:right w:w="108" w:type="dxa"/>
            </w:tcMar>
            <w:hideMark/>
          </w:tcPr>
          <w:p w14:paraId="05E01DFB"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(vardas, pavardė)</w:t>
            </w:r>
          </w:p>
        </w:tc>
      </w:tr>
      <w:tr w:rsidR="008C2545" w:rsidRPr="007A737C" w14:paraId="4AFB43C9" w14:textId="77777777" w:rsidTr="00EA7817">
        <w:tc>
          <w:tcPr>
            <w:tcW w:w="1439" w:type="pct"/>
            <w:tcBorders>
              <w:bottom w:val="single" w:sz="4" w:space="0" w:color="auto"/>
            </w:tcBorders>
            <w:shd w:val="clear" w:color="auto" w:fill="FFFFFF"/>
            <w:tcMar>
              <w:top w:w="0" w:type="dxa"/>
              <w:left w:w="108" w:type="dxa"/>
              <w:bottom w:w="0" w:type="dxa"/>
              <w:right w:w="108" w:type="dxa"/>
            </w:tcMar>
            <w:hideMark/>
          </w:tcPr>
          <w:p w14:paraId="2B8D0478"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p w14:paraId="5BF14B4F"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52E2ECC4"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549" w:type="pct"/>
            <w:tcBorders>
              <w:bottom w:val="single" w:sz="4" w:space="0" w:color="auto"/>
            </w:tcBorders>
            <w:shd w:val="clear" w:color="auto" w:fill="FFFFFF"/>
            <w:tcMar>
              <w:top w:w="0" w:type="dxa"/>
              <w:left w:w="108" w:type="dxa"/>
              <w:bottom w:w="0" w:type="dxa"/>
              <w:right w:w="108" w:type="dxa"/>
            </w:tcMar>
            <w:hideMark/>
          </w:tcPr>
          <w:p w14:paraId="66A1F796"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6EA43445"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394" w:type="pct"/>
            <w:tcBorders>
              <w:bottom w:val="single" w:sz="4" w:space="0" w:color="auto"/>
            </w:tcBorders>
            <w:shd w:val="clear" w:color="auto" w:fill="FFFFFF"/>
            <w:tcMar>
              <w:top w:w="0" w:type="dxa"/>
              <w:left w:w="108" w:type="dxa"/>
              <w:bottom w:w="0" w:type="dxa"/>
              <w:right w:w="108" w:type="dxa"/>
            </w:tcMar>
            <w:hideMark/>
          </w:tcPr>
          <w:p w14:paraId="2C7621CB"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r>
      <w:tr w:rsidR="008C2545" w:rsidRPr="007A737C" w14:paraId="75B06B5D" w14:textId="77777777" w:rsidTr="00EA7817">
        <w:tc>
          <w:tcPr>
            <w:tcW w:w="1439" w:type="pct"/>
            <w:tcBorders>
              <w:top w:val="single" w:sz="4" w:space="0" w:color="auto"/>
            </w:tcBorders>
            <w:shd w:val="clear" w:color="auto" w:fill="FFFFFF"/>
            <w:tcMar>
              <w:top w:w="0" w:type="dxa"/>
              <w:left w:w="108" w:type="dxa"/>
              <w:bottom w:w="0" w:type="dxa"/>
              <w:right w:w="108" w:type="dxa"/>
            </w:tcMar>
            <w:hideMark/>
          </w:tcPr>
          <w:p w14:paraId="24644419"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(pareigų pavadinimas)</w:t>
            </w:r>
          </w:p>
        </w:tc>
        <w:tc>
          <w:tcPr>
            <w:tcW w:w="309" w:type="pct"/>
            <w:shd w:val="clear" w:color="auto" w:fill="FFFFFF"/>
            <w:tcMar>
              <w:top w:w="0" w:type="dxa"/>
              <w:left w:w="108" w:type="dxa"/>
              <w:bottom w:w="0" w:type="dxa"/>
              <w:right w:w="108" w:type="dxa"/>
            </w:tcMar>
            <w:hideMark/>
          </w:tcPr>
          <w:p w14:paraId="359530E6"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549" w:type="pct"/>
            <w:tcBorders>
              <w:top w:val="single" w:sz="4" w:space="0" w:color="auto"/>
            </w:tcBorders>
            <w:shd w:val="clear" w:color="auto" w:fill="FFFFFF"/>
            <w:tcMar>
              <w:top w:w="0" w:type="dxa"/>
              <w:left w:w="108" w:type="dxa"/>
              <w:bottom w:w="0" w:type="dxa"/>
              <w:right w:w="108" w:type="dxa"/>
            </w:tcMar>
            <w:hideMark/>
          </w:tcPr>
          <w:p w14:paraId="3781BBC6"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(parašas)</w:t>
            </w:r>
          </w:p>
        </w:tc>
        <w:tc>
          <w:tcPr>
            <w:tcW w:w="309" w:type="pct"/>
            <w:shd w:val="clear" w:color="auto" w:fill="FFFFFF"/>
            <w:tcMar>
              <w:top w:w="0" w:type="dxa"/>
              <w:left w:w="108" w:type="dxa"/>
              <w:bottom w:w="0" w:type="dxa"/>
              <w:right w:w="108" w:type="dxa"/>
            </w:tcMar>
            <w:hideMark/>
          </w:tcPr>
          <w:p w14:paraId="070D7B11"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394" w:type="pct"/>
            <w:tcBorders>
              <w:top w:val="single" w:sz="4" w:space="0" w:color="auto"/>
            </w:tcBorders>
            <w:shd w:val="clear" w:color="auto" w:fill="FFFFFF"/>
            <w:tcMar>
              <w:top w:w="0" w:type="dxa"/>
              <w:left w:w="108" w:type="dxa"/>
              <w:bottom w:w="0" w:type="dxa"/>
              <w:right w:w="108" w:type="dxa"/>
            </w:tcMar>
            <w:hideMark/>
          </w:tcPr>
          <w:p w14:paraId="2B36F060"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(vardas, pavardė)</w:t>
            </w:r>
          </w:p>
        </w:tc>
      </w:tr>
      <w:tr w:rsidR="008C2545" w:rsidRPr="007A737C" w14:paraId="4B3A7319" w14:textId="77777777" w:rsidTr="00EA7817">
        <w:tc>
          <w:tcPr>
            <w:tcW w:w="1439" w:type="pct"/>
            <w:tcBorders>
              <w:bottom w:val="single" w:sz="4" w:space="0" w:color="auto"/>
            </w:tcBorders>
            <w:shd w:val="clear" w:color="auto" w:fill="FFFFFF"/>
            <w:tcMar>
              <w:top w:w="0" w:type="dxa"/>
              <w:left w:w="108" w:type="dxa"/>
              <w:bottom w:w="0" w:type="dxa"/>
              <w:right w:w="108" w:type="dxa"/>
            </w:tcMar>
            <w:hideMark/>
          </w:tcPr>
          <w:p w14:paraId="0C13BC7C"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p w14:paraId="6C329186"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6B05AF86"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549" w:type="pct"/>
            <w:tcBorders>
              <w:bottom w:val="single" w:sz="4" w:space="0" w:color="auto"/>
            </w:tcBorders>
            <w:shd w:val="clear" w:color="auto" w:fill="FFFFFF"/>
            <w:tcMar>
              <w:top w:w="0" w:type="dxa"/>
              <w:left w:w="108" w:type="dxa"/>
              <w:bottom w:w="0" w:type="dxa"/>
              <w:right w:w="108" w:type="dxa"/>
            </w:tcMar>
            <w:hideMark/>
          </w:tcPr>
          <w:p w14:paraId="542B8C9B"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25BE09ED"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394" w:type="pct"/>
            <w:tcBorders>
              <w:bottom w:val="single" w:sz="4" w:space="0" w:color="auto"/>
            </w:tcBorders>
            <w:shd w:val="clear" w:color="auto" w:fill="FFFFFF"/>
            <w:tcMar>
              <w:top w:w="0" w:type="dxa"/>
              <w:left w:w="108" w:type="dxa"/>
              <w:bottom w:w="0" w:type="dxa"/>
              <w:right w:w="108" w:type="dxa"/>
            </w:tcMar>
            <w:hideMark/>
          </w:tcPr>
          <w:p w14:paraId="068F86FE"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r>
      <w:tr w:rsidR="008C2545" w:rsidRPr="007A737C" w14:paraId="1DB95A6E" w14:textId="77777777" w:rsidTr="00EA7817">
        <w:tc>
          <w:tcPr>
            <w:tcW w:w="1439" w:type="pct"/>
            <w:tcBorders>
              <w:top w:val="single" w:sz="4" w:space="0" w:color="auto"/>
            </w:tcBorders>
            <w:shd w:val="clear" w:color="auto" w:fill="FFFFFF"/>
            <w:tcMar>
              <w:top w:w="0" w:type="dxa"/>
              <w:left w:w="108" w:type="dxa"/>
              <w:bottom w:w="0" w:type="dxa"/>
              <w:right w:w="108" w:type="dxa"/>
            </w:tcMar>
            <w:hideMark/>
          </w:tcPr>
          <w:p w14:paraId="1C5E6219"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(pareigų pavadinimas)</w:t>
            </w:r>
          </w:p>
        </w:tc>
        <w:tc>
          <w:tcPr>
            <w:tcW w:w="309" w:type="pct"/>
            <w:shd w:val="clear" w:color="auto" w:fill="FFFFFF"/>
            <w:tcMar>
              <w:top w:w="0" w:type="dxa"/>
              <w:left w:w="108" w:type="dxa"/>
              <w:bottom w:w="0" w:type="dxa"/>
              <w:right w:w="108" w:type="dxa"/>
            </w:tcMar>
            <w:hideMark/>
          </w:tcPr>
          <w:p w14:paraId="6BE60EA7"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549" w:type="pct"/>
            <w:tcBorders>
              <w:top w:val="single" w:sz="4" w:space="0" w:color="auto"/>
            </w:tcBorders>
            <w:shd w:val="clear" w:color="auto" w:fill="FFFFFF"/>
            <w:tcMar>
              <w:top w:w="0" w:type="dxa"/>
              <w:left w:w="108" w:type="dxa"/>
              <w:bottom w:w="0" w:type="dxa"/>
              <w:right w:w="108" w:type="dxa"/>
            </w:tcMar>
            <w:hideMark/>
          </w:tcPr>
          <w:p w14:paraId="73CD17FF"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(parašas)</w:t>
            </w:r>
          </w:p>
        </w:tc>
        <w:tc>
          <w:tcPr>
            <w:tcW w:w="309" w:type="pct"/>
            <w:shd w:val="clear" w:color="auto" w:fill="FFFFFF"/>
            <w:tcMar>
              <w:top w:w="0" w:type="dxa"/>
              <w:left w:w="108" w:type="dxa"/>
              <w:bottom w:w="0" w:type="dxa"/>
              <w:right w:w="108" w:type="dxa"/>
            </w:tcMar>
            <w:hideMark/>
          </w:tcPr>
          <w:p w14:paraId="1E1E913E"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394" w:type="pct"/>
            <w:tcBorders>
              <w:top w:val="single" w:sz="4" w:space="0" w:color="auto"/>
            </w:tcBorders>
            <w:shd w:val="clear" w:color="auto" w:fill="FFFFFF"/>
            <w:tcMar>
              <w:top w:w="0" w:type="dxa"/>
              <w:left w:w="108" w:type="dxa"/>
              <w:bottom w:w="0" w:type="dxa"/>
              <w:right w:w="108" w:type="dxa"/>
            </w:tcMar>
            <w:hideMark/>
          </w:tcPr>
          <w:p w14:paraId="15B6B7E4"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(vardas, pavardė)</w:t>
            </w:r>
          </w:p>
        </w:tc>
      </w:tr>
    </w:tbl>
    <w:p w14:paraId="6ACEF511" w14:textId="77777777" w:rsidR="008C2545" w:rsidRPr="007A737C" w:rsidRDefault="008C2545" w:rsidP="008C2545">
      <w:pPr>
        <w:spacing w:after="0" w:line="240" w:lineRule="auto"/>
        <w:jc w:val="both"/>
        <w:rPr>
          <w:rFonts w:ascii="Times New Roman" w:eastAsia="Times New Roman" w:hAnsi="Times New Roman"/>
          <w:color w:val="000000"/>
          <w:sz w:val="24"/>
          <w:szCs w:val="24"/>
          <w:lang w:eastAsia="lt-LT"/>
        </w:rPr>
      </w:pPr>
    </w:p>
    <w:p w14:paraId="209C757A" w14:textId="77777777" w:rsidR="008C2545" w:rsidRPr="007A737C" w:rsidRDefault="008C2545" w:rsidP="008C2545">
      <w:pPr>
        <w:spacing w:after="0" w:line="240" w:lineRule="auto"/>
        <w:ind w:firstLine="720"/>
        <w:jc w:val="both"/>
        <w:rPr>
          <w:rFonts w:ascii="Times New Roman" w:eastAsia="Times New Roman" w:hAnsi="Times New Roman"/>
          <w:color w:val="000000"/>
          <w:sz w:val="24"/>
          <w:szCs w:val="24"/>
          <w:lang w:eastAsia="lt-LT"/>
        </w:rPr>
      </w:pPr>
      <w:r w:rsidRPr="007A737C">
        <w:rPr>
          <w:rFonts w:ascii="Times New Roman" w:eastAsia="Times New Roman" w:hAnsi="Times New Roman"/>
          <w:color w:val="000000"/>
          <w:sz w:val="24"/>
          <w:szCs w:val="24"/>
          <w:lang w:eastAsia="lt-LT"/>
        </w:rPr>
        <w:t>Kiti dalyvavę asmenys:</w:t>
      </w:r>
    </w:p>
    <w:tbl>
      <w:tblPr>
        <w:tblW w:w="4942" w:type="pct"/>
        <w:tblInd w:w="108" w:type="dxa"/>
        <w:shd w:val="clear" w:color="auto" w:fill="FFFFFF"/>
        <w:tblCellMar>
          <w:left w:w="0" w:type="dxa"/>
          <w:right w:w="0" w:type="dxa"/>
        </w:tblCellMar>
        <w:tblLook w:val="04A0" w:firstRow="1" w:lastRow="0" w:firstColumn="1" w:lastColumn="0" w:noHBand="0" w:noVBand="1"/>
      </w:tblPr>
      <w:tblGrid>
        <w:gridCol w:w="2580"/>
        <w:gridCol w:w="554"/>
        <w:gridCol w:w="2778"/>
        <w:gridCol w:w="554"/>
        <w:gridCol w:w="2500"/>
      </w:tblGrid>
      <w:tr w:rsidR="008C2545" w:rsidRPr="007A737C" w14:paraId="0AAC8B19" w14:textId="77777777" w:rsidTr="00EA7817">
        <w:tc>
          <w:tcPr>
            <w:tcW w:w="1439" w:type="pct"/>
            <w:tcBorders>
              <w:bottom w:val="single" w:sz="4" w:space="0" w:color="auto"/>
            </w:tcBorders>
            <w:shd w:val="clear" w:color="auto" w:fill="FFFFFF"/>
            <w:tcMar>
              <w:top w:w="0" w:type="dxa"/>
              <w:left w:w="108" w:type="dxa"/>
              <w:bottom w:w="0" w:type="dxa"/>
              <w:right w:w="108" w:type="dxa"/>
            </w:tcMar>
            <w:hideMark/>
          </w:tcPr>
          <w:p w14:paraId="2D539D2B"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p w14:paraId="7BC137E9"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3E8AD5D0"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c>
          <w:tcPr>
            <w:tcW w:w="1549" w:type="pct"/>
            <w:tcBorders>
              <w:bottom w:val="single" w:sz="4" w:space="0" w:color="auto"/>
            </w:tcBorders>
            <w:shd w:val="clear" w:color="auto" w:fill="FFFFFF"/>
            <w:tcMar>
              <w:top w:w="0" w:type="dxa"/>
              <w:left w:w="108" w:type="dxa"/>
              <w:bottom w:w="0" w:type="dxa"/>
              <w:right w:w="108" w:type="dxa"/>
            </w:tcMar>
            <w:hideMark/>
          </w:tcPr>
          <w:p w14:paraId="6F396341"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07A19486"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c>
          <w:tcPr>
            <w:tcW w:w="1394" w:type="pct"/>
            <w:tcBorders>
              <w:bottom w:val="single" w:sz="4" w:space="0" w:color="auto"/>
            </w:tcBorders>
            <w:shd w:val="clear" w:color="auto" w:fill="FFFFFF"/>
            <w:tcMar>
              <w:top w:w="0" w:type="dxa"/>
              <w:left w:w="108" w:type="dxa"/>
              <w:bottom w:w="0" w:type="dxa"/>
              <w:right w:w="108" w:type="dxa"/>
            </w:tcMar>
            <w:hideMark/>
          </w:tcPr>
          <w:p w14:paraId="5CCB9F56" w14:textId="77777777" w:rsidR="008C2545" w:rsidRPr="007A737C" w:rsidRDefault="008C2545" w:rsidP="008C2545">
            <w:pPr>
              <w:keepNext/>
              <w:spacing w:after="0" w:line="240" w:lineRule="auto"/>
              <w:ind w:firstLine="62"/>
              <w:jc w:val="both"/>
              <w:rPr>
                <w:rFonts w:ascii="Times New Roman" w:eastAsia="Times New Roman" w:hAnsi="Times New Roman"/>
                <w:color w:val="000000"/>
                <w:sz w:val="24"/>
                <w:szCs w:val="24"/>
                <w:lang w:eastAsia="lt-LT"/>
              </w:rPr>
            </w:pPr>
          </w:p>
        </w:tc>
      </w:tr>
      <w:tr w:rsidR="008C2545" w:rsidRPr="007A737C" w14:paraId="528FF100" w14:textId="77777777" w:rsidTr="00EA7817">
        <w:tc>
          <w:tcPr>
            <w:tcW w:w="1439" w:type="pct"/>
            <w:tcBorders>
              <w:top w:val="single" w:sz="4" w:space="0" w:color="auto"/>
            </w:tcBorders>
            <w:shd w:val="clear" w:color="auto" w:fill="FFFFFF"/>
            <w:tcMar>
              <w:top w:w="0" w:type="dxa"/>
              <w:left w:w="108" w:type="dxa"/>
              <w:bottom w:w="0" w:type="dxa"/>
              <w:right w:w="108" w:type="dxa"/>
            </w:tcMar>
            <w:hideMark/>
          </w:tcPr>
          <w:p w14:paraId="1861044B"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(pareigų pavadinimas)</w:t>
            </w:r>
          </w:p>
        </w:tc>
        <w:tc>
          <w:tcPr>
            <w:tcW w:w="309" w:type="pct"/>
            <w:shd w:val="clear" w:color="auto" w:fill="FFFFFF"/>
            <w:tcMar>
              <w:top w:w="0" w:type="dxa"/>
              <w:left w:w="108" w:type="dxa"/>
              <w:bottom w:w="0" w:type="dxa"/>
              <w:right w:w="108" w:type="dxa"/>
            </w:tcMar>
            <w:hideMark/>
          </w:tcPr>
          <w:p w14:paraId="5CEE6C4A"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549" w:type="pct"/>
            <w:tcBorders>
              <w:top w:val="single" w:sz="4" w:space="0" w:color="auto"/>
            </w:tcBorders>
            <w:shd w:val="clear" w:color="auto" w:fill="FFFFFF"/>
            <w:tcMar>
              <w:top w:w="0" w:type="dxa"/>
              <w:left w:w="108" w:type="dxa"/>
              <w:bottom w:w="0" w:type="dxa"/>
              <w:right w:w="108" w:type="dxa"/>
            </w:tcMar>
            <w:hideMark/>
          </w:tcPr>
          <w:p w14:paraId="41BD31D1"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(parašas)</w:t>
            </w:r>
          </w:p>
        </w:tc>
        <w:tc>
          <w:tcPr>
            <w:tcW w:w="309" w:type="pct"/>
            <w:shd w:val="clear" w:color="auto" w:fill="FFFFFF"/>
            <w:tcMar>
              <w:top w:w="0" w:type="dxa"/>
              <w:left w:w="108" w:type="dxa"/>
              <w:bottom w:w="0" w:type="dxa"/>
              <w:right w:w="108" w:type="dxa"/>
            </w:tcMar>
            <w:hideMark/>
          </w:tcPr>
          <w:p w14:paraId="122CFE16"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394" w:type="pct"/>
            <w:tcBorders>
              <w:top w:val="single" w:sz="4" w:space="0" w:color="auto"/>
            </w:tcBorders>
            <w:shd w:val="clear" w:color="auto" w:fill="FFFFFF"/>
            <w:tcMar>
              <w:top w:w="0" w:type="dxa"/>
              <w:left w:w="108" w:type="dxa"/>
              <w:bottom w:w="0" w:type="dxa"/>
              <w:right w:w="108" w:type="dxa"/>
            </w:tcMar>
            <w:hideMark/>
          </w:tcPr>
          <w:p w14:paraId="631C5FB1"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(vardas, pavardė)</w:t>
            </w:r>
          </w:p>
        </w:tc>
      </w:tr>
      <w:tr w:rsidR="008C2545" w:rsidRPr="007A737C" w14:paraId="286B90DF" w14:textId="77777777" w:rsidTr="00EA7817">
        <w:tc>
          <w:tcPr>
            <w:tcW w:w="1439" w:type="pct"/>
            <w:tcBorders>
              <w:bottom w:val="single" w:sz="4" w:space="0" w:color="auto"/>
            </w:tcBorders>
            <w:shd w:val="clear" w:color="auto" w:fill="FFFFFF"/>
            <w:tcMar>
              <w:top w:w="0" w:type="dxa"/>
              <w:left w:w="108" w:type="dxa"/>
              <w:bottom w:w="0" w:type="dxa"/>
              <w:right w:w="108" w:type="dxa"/>
            </w:tcMar>
            <w:hideMark/>
          </w:tcPr>
          <w:p w14:paraId="771D75D2"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p w14:paraId="403DFDEA"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2542C0F8"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549" w:type="pct"/>
            <w:tcBorders>
              <w:bottom w:val="single" w:sz="4" w:space="0" w:color="auto"/>
            </w:tcBorders>
            <w:shd w:val="clear" w:color="auto" w:fill="FFFFFF"/>
            <w:tcMar>
              <w:top w:w="0" w:type="dxa"/>
              <w:left w:w="108" w:type="dxa"/>
              <w:bottom w:w="0" w:type="dxa"/>
              <w:right w:w="108" w:type="dxa"/>
            </w:tcMar>
            <w:hideMark/>
          </w:tcPr>
          <w:p w14:paraId="0CF19E19"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2C4ADACF"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394" w:type="pct"/>
            <w:tcBorders>
              <w:bottom w:val="single" w:sz="4" w:space="0" w:color="auto"/>
            </w:tcBorders>
            <w:shd w:val="clear" w:color="auto" w:fill="FFFFFF"/>
            <w:tcMar>
              <w:top w:w="0" w:type="dxa"/>
              <w:left w:w="108" w:type="dxa"/>
              <w:bottom w:w="0" w:type="dxa"/>
              <w:right w:w="108" w:type="dxa"/>
            </w:tcMar>
            <w:hideMark/>
          </w:tcPr>
          <w:p w14:paraId="4EB8F3BE"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r>
      <w:tr w:rsidR="008C2545" w:rsidRPr="007A737C" w14:paraId="656F8C4A" w14:textId="77777777" w:rsidTr="00EA7817">
        <w:tc>
          <w:tcPr>
            <w:tcW w:w="1439" w:type="pct"/>
            <w:tcBorders>
              <w:top w:val="single" w:sz="4" w:space="0" w:color="auto"/>
            </w:tcBorders>
            <w:shd w:val="clear" w:color="auto" w:fill="FFFFFF"/>
            <w:tcMar>
              <w:top w:w="0" w:type="dxa"/>
              <w:left w:w="108" w:type="dxa"/>
              <w:bottom w:w="0" w:type="dxa"/>
              <w:right w:w="108" w:type="dxa"/>
            </w:tcMar>
            <w:hideMark/>
          </w:tcPr>
          <w:p w14:paraId="41A1947A"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(pareigų pavadinimas)</w:t>
            </w:r>
          </w:p>
        </w:tc>
        <w:tc>
          <w:tcPr>
            <w:tcW w:w="309" w:type="pct"/>
            <w:shd w:val="clear" w:color="auto" w:fill="FFFFFF"/>
            <w:tcMar>
              <w:top w:w="0" w:type="dxa"/>
              <w:left w:w="108" w:type="dxa"/>
              <w:bottom w:w="0" w:type="dxa"/>
              <w:right w:w="108" w:type="dxa"/>
            </w:tcMar>
            <w:hideMark/>
          </w:tcPr>
          <w:p w14:paraId="6EC9E183"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549" w:type="pct"/>
            <w:tcBorders>
              <w:top w:val="single" w:sz="4" w:space="0" w:color="auto"/>
            </w:tcBorders>
            <w:shd w:val="clear" w:color="auto" w:fill="FFFFFF"/>
            <w:tcMar>
              <w:top w:w="0" w:type="dxa"/>
              <w:left w:w="108" w:type="dxa"/>
              <w:bottom w:w="0" w:type="dxa"/>
              <w:right w:w="108" w:type="dxa"/>
            </w:tcMar>
            <w:hideMark/>
          </w:tcPr>
          <w:p w14:paraId="51DD4C95"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(parašas)</w:t>
            </w:r>
          </w:p>
        </w:tc>
        <w:tc>
          <w:tcPr>
            <w:tcW w:w="309" w:type="pct"/>
            <w:shd w:val="clear" w:color="auto" w:fill="FFFFFF"/>
            <w:tcMar>
              <w:top w:w="0" w:type="dxa"/>
              <w:left w:w="108" w:type="dxa"/>
              <w:bottom w:w="0" w:type="dxa"/>
              <w:right w:w="108" w:type="dxa"/>
            </w:tcMar>
            <w:hideMark/>
          </w:tcPr>
          <w:p w14:paraId="31CFE2D8"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394" w:type="pct"/>
            <w:tcBorders>
              <w:top w:val="single" w:sz="4" w:space="0" w:color="auto"/>
            </w:tcBorders>
            <w:shd w:val="clear" w:color="auto" w:fill="FFFFFF"/>
            <w:tcMar>
              <w:top w:w="0" w:type="dxa"/>
              <w:left w:w="108" w:type="dxa"/>
              <w:bottom w:w="0" w:type="dxa"/>
              <w:right w:w="108" w:type="dxa"/>
            </w:tcMar>
            <w:hideMark/>
          </w:tcPr>
          <w:p w14:paraId="0F3E55D5"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(vardas, pavardė)</w:t>
            </w:r>
          </w:p>
        </w:tc>
      </w:tr>
      <w:tr w:rsidR="008C2545" w:rsidRPr="007A737C" w14:paraId="47CD0103" w14:textId="77777777" w:rsidTr="00EA7817">
        <w:tc>
          <w:tcPr>
            <w:tcW w:w="1439" w:type="pct"/>
            <w:tcBorders>
              <w:bottom w:val="single" w:sz="4" w:space="0" w:color="auto"/>
            </w:tcBorders>
            <w:shd w:val="clear" w:color="auto" w:fill="FFFFFF"/>
            <w:tcMar>
              <w:top w:w="0" w:type="dxa"/>
              <w:left w:w="108" w:type="dxa"/>
              <w:bottom w:w="0" w:type="dxa"/>
              <w:right w:w="108" w:type="dxa"/>
            </w:tcMar>
            <w:hideMark/>
          </w:tcPr>
          <w:p w14:paraId="0365F0C4"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p w14:paraId="78D248AC"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363AD48A"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549" w:type="pct"/>
            <w:tcBorders>
              <w:bottom w:val="single" w:sz="4" w:space="0" w:color="auto"/>
            </w:tcBorders>
            <w:shd w:val="clear" w:color="auto" w:fill="FFFFFF"/>
            <w:tcMar>
              <w:top w:w="0" w:type="dxa"/>
              <w:left w:w="108" w:type="dxa"/>
              <w:bottom w:w="0" w:type="dxa"/>
              <w:right w:w="108" w:type="dxa"/>
            </w:tcMar>
            <w:hideMark/>
          </w:tcPr>
          <w:p w14:paraId="09F874E6"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1BA948F7"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394" w:type="pct"/>
            <w:tcBorders>
              <w:bottom w:val="single" w:sz="4" w:space="0" w:color="auto"/>
            </w:tcBorders>
            <w:shd w:val="clear" w:color="auto" w:fill="FFFFFF"/>
            <w:tcMar>
              <w:top w:w="0" w:type="dxa"/>
              <w:left w:w="108" w:type="dxa"/>
              <w:bottom w:w="0" w:type="dxa"/>
              <w:right w:w="108" w:type="dxa"/>
            </w:tcMar>
            <w:hideMark/>
          </w:tcPr>
          <w:p w14:paraId="4860E20E"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r>
      <w:tr w:rsidR="008C2545" w:rsidRPr="007A737C" w14:paraId="6A9782E7" w14:textId="77777777" w:rsidTr="00EA7817">
        <w:tc>
          <w:tcPr>
            <w:tcW w:w="1439" w:type="pct"/>
            <w:tcBorders>
              <w:top w:val="single" w:sz="4" w:space="0" w:color="auto"/>
            </w:tcBorders>
            <w:shd w:val="clear" w:color="auto" w:fill="FFFFFF"/>
            <w:tcMar>
              <w:top w:w="0" w:type="dxa"/>
              <w:left w:w="108" w:type="dxa"/>
              <w:bottom w:w="0" w:type="dxa"/>
              <w:right w:w="108" w:type="dxa"/>
            </w:tcMar>
            <w:hideMark/>
          </w:tcPr>
          <w:p w14:paraId="1EACA656"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(pareigų pavadinimas)</w:t>
            </w:r>
          </w:p>
        </w:tc>
        <w:tc>
          <w:tcPr>
            <w:tcW w:w="309" w:type="pct"/>
            <w:shd w:val="clear" w:color="auto" w:fill="FFFFFF"/>
            <w:tcMar>
              <w:top w:w="0" w:type="dxa"/>
              <w:left w:w="108" w:type="dxa"/>
              <w:bottom w:w="0" w:type="dxa"/>
              <w:right w:w="108" w:type="dxa"/>
            </w:tcMar>
            <w:hideMark/>
          </w:tcPr>
          <w:p w14:paraId="6075E757"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549" w:type="pct"/>
            <w:tcBorders>
              <w:top w:val="single" w:sz="4" w:space="0" w:color="auto"/>
            </w:tcBorders>
            <w:shd w:val="clear" w:color="auto" w:fill="FFFFFF"/>
            <w:tcMar>
              <w:top w:w="0" w:type="dxa"/>
              <w:left w:w="108" w:type="dxa"/>
              <w:bottom w:w="0" w:type="dxa"/>
              <w:right w:w="108" w:type="dxa"/>
            </w:tcMar>
            <w:hideMark/>
          </w:tcPr>
          <w:p w14:paraId="2638D3FE"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(parašas)</w:t>
            </w:r>
          </w:p>
        </w:tc>
        <w:tc>
          <w:tcPr>
            <w:tcW w:w="309" w:type="pct"/>
            <w:shd w:val="clear" w:color="auto" w:fill="FFFFFF"/>
            <w:tcMar>
              <w:top w:w="0" w:type="dxa"/>
              <w:left w:w="108" w:type="dxa"/>
              <w:bottom w:w="0" w:type="dxa"/>
              <w:right w:w="108" w:type="dxa"/>
            </w:tcMar>
            <w:hideMark/>
          </w:tcPr>
          <w:p w14:paraId="6D297383"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394" w:type="pct"/>
            <w:tcBorders>
              <w:top w:val="single" w:sz="4" w:space="0" w:color="auto"/>
            </w:tcBorders>
            <w:shd w:val="clear" w:color="auto" w:fill="FFFFFF"/>
            <w:tcMar>
              <w:top w:w="0" w:type="dxa"/>
              <w:left w:w="108" w:type="dxa"/>
              <w:bottom w:w="0" w:type="dxa"/>
              <w:right w:w="108" w:type="dxa"/>
            </w:tcMar>
            <w:hideMark/>
          </w:tcPr>
          <w:p w14:paraId="6A416A4A"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(vardas, pavardė)</w:t>
            </w:r>
          </w:p>
        </w:tc>
      </w:tr>
      <w:tr w:rsidR="008C2545" w:rsidRPr="007A737C" w14:paraId="277D94F9" w14:textId="77777777" w:rsidTr="00EA7817">
        <w:tc>
          <w:tcPr>
            <w:tcW w:w="1439" w:type="pct"/>
            <w:tcBorders>
              <w:bottom w:val="single" w:sz="4" w:space="0" w:color="auto"/>
            </w:tcBorders>
            <w:shd w:val="clear" w:color="auto" w:fill="FFFFFF"/>
            <w:tcMar>
              <w:top w:w="0" w:type="dxa"/>
              <w:left w:w="108" w:type="dxa"/>
              <w:bottom w:w="0" w:type="dxa"/>
              <w:right w:w="108" w:type="dxa"/>
            </w:tcMar>
            <w:hideMark/>
          </w:tcPr>
          <w:p w14:paraId="5185D8F2"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p w14:paraId="16E08D84"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3FA1AD03"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549" w:type="pct"/>
            <w:tcBorders>
              <w:bottom w:val="single" w:sz="4" w:space="0" w:color="auto"/>
            </w:tcBorders>
            <w:shd w:val="clear" w:color="auto" w:fill="FFFFFF"/>
            <w:tcMar>
              <w:top w:w="0" w:type="dxa"/>
              <w:left w:w="108" w:type="dxa"/>
              <w:bottom w:w="0" w:type="dxa"/>
              <w:right w:w="108" w:type="dxa"/>
            </w:tcMar>
            <w:hideMark/>
          </w:tcPr>
          <w:p w14:paraId="38771E70"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c>
          <w:tcPr>
            <w:tcW w:w="309" w:type="pct"/>
            <w:shd w:val="clear" w:color="auto" w:fill="FFFFFF"/>
            <w:tcMar>
              <w:top w:w="0" w:type="dxa"/>
              <w:left w:w="108" w:type="dxa"/>
              <w:bottom w:w="0" w:type="dxa"/>
              <w:right w:w="108" w:type="dxa"/>
            </w:tcMar>
            <w:hideMark/>
          </w:tcPr>
          <w:p w14:paraId="4CD77A11"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4"/>
                <w:szCs w:val="24"/>
                <w:lang w:eastAsia="lt-LT"/>
              </w:rPr>
            </w:pPr>
          </w:p>
        </w:tc>
        <w:tc>
          <w:tcPr>
            <w:tcW w:w="1394" w:type="pct"/>
            <w:tcBorders>
              <w:bottom w:val="single" w:sz="4" w:space="0" w:color="auto"/>
            </w:tcBorders>
            <w:shd w:val="clear" w:color="auto" w:fill="FFFFFF"/>
            <w:tcMar>
              <w:top w:w="0" w:type="dxa"/>
              <w:left w:w="108" w:type="dxa"/>
              <w:bottom w:w="0" w:type="dxa"/>
              <w:right w:w="108" w:type="dxa"/>
            </w:tcMar>
            <w:hideMark/>
          </w:tcPr>
          <w:p w14:paraId="0172ADAE" w14:textId="77777777" w:rsidR="008C2545" w:rsidRPr="007A737C" w:rsidRDefault="008C2545" w:rsidP="008C2545">
            <w:pPr>
              <w:keepNext/>
              <w:spacing w:after="0" w:line="240" w:lineRule="auto"/>
              <w:jc w:val="center"/>
              <w:rPr>
                <w:rFonts w:ascii="Times New Roman" w:eastAsia="Times New Roman" w:hAnsi="Times New Roman"/>
                <w:color w:val="000000"/>
                <w:sz w:val="24"/>
                <w:szCs w:val="24"/>
                <w:lang w:eastAsia="lt-LT"/>
              </w:rPr>
            </w:pPr>
          </w:p>
        </w:tc>
      </w:tr>
      <w:tr w:rsidR="008C2545" w:rsidRPr="007A737C" w14:paraId="081EFD8E" w14:textId="77777777" w:rsidTr="00EA7817">
        <w:tc>
          <w:tcPr>
            <w:tcW w:w="1439" w:type="pct"/>
            <w:tcBorders>
              <w:top w:val="single" w:sz="4" w:space="0" w:color="auto"/>
            </w:tcBorders>
            <w:shd w:val="clear" w:color="auto" w:fill="FFFFFF"/>
            <w:tcMar>
              <w:top w:w="0" w:type="dxa"/>
              <w:left w:w="108" w:type="dxa"/>
              <w:bottom w:w="0" w:type="dxa"/>
              <w:right w:w="108" w:type="dxa"/>
            </w:tcMar>
            <w:hideMark/>
          </w:tcPr>
          <w:p w14:paraId="17C8E71B"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(pareigų pavadinimas)</w:t>
            </w:r>
          </w:p>
        </w:tc>
        <w:tc>
          <w:tcPr>
            <w:tcW w:w="309" w:type="pct"/>
            <w:shd w:val="clear" w:color="auto" w:fill="FFFFFF"/>
            <w:tcMar>
              <w:top w:w="0" w:type="dxa"/>
              <w:left w:w="108" w:type="dxa"/>
              <w:bottom w:w="0" w:type="dxa"/>
              <w:right w:w="108" w:type="dxa"/>
            </w:tcMar>
            <w:hideMark/>
          </w:tcPr>
          <w:p w14:paraId="1156C333"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549" w:type="pct"/>
            <w:tcBorders>
              <w:top w:val="single" w:sz="4" w:space="0" w:color="auto"/>
            </w:tcBorders>
            <w:shd w:val="clear" w:color="auto" w:fill="FFFFFF"/>
            <w:tcMar>
              <w:top w:w="0" w:type="dxa"/>
              <w:left w:w="108" w:type="dxa"/>
              <w:bottom w:w="0" w:type="dxa"/>
              <w:right w:w="108" w:type="dxa"/>
            </w:tcMar>
            <w:hideMark/>
          </w:tcPr>
          <w:p w14:paraId="488B4931"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(parašas)</w:t>
            </w:r>
          </w:p>
        </w:tc>
        <w:tc>
          <w:tcPr>
            <w:tcW w:w="309" w:type="pct"/>
            <w:shd w:val="clear" w:color="auto" w:fill="FFFFFF"/>
            <w:tcMar>
              <w:top w:w="0" w:type="dxa"/>
              <w:left w:w="108" w:type="dxa"/>
              <w:bottom w:w="0" w:type="dxa"/>
              <w:right w:w="108" w:type="dxa"/>
            </w:tcMar>
            <w:hideMark/>
          </w:tcPr>
          <w:p w14:paraId="2283ADD6" w14:textId="77777777" w:rsidR="008C2545" w:rsidRPr="007A737C" w:rsidRDefault="008C2545" w:rsidP="008C2545">
            <w:pPr>
              <w:keepNext/>
              <w:spacing w:after="0" w:line="240" w:lineRule="auto"/>
              <w:ind w:firstLine="62"/>
              <w:jc w:val="center"/>
              <w:rPr>
                <w:rFonts w:ascii="Times New Roman" w:eastAsia="Times New Roman" w:hAnsi="Times New Roman"/>
                <w:color w:val="000000"/>
                <w:sz w:val="20"/>
                <w:szCs w:val="20"/>
                <w:lang w:eastAsia="lt-LT"/>
              </w:rPr>
            </w:pPr>
          </w:p>
        </w:tc>
        <w:tc>
          <w:tcPr>
            <w:tcW w:w="1394" w:type="pct"/>
            <w:tcBorders>
              <w:top w:val="single" w:sz="4" w:space="0" w:color="auto"/>
            </w:tcBorders>
            <w:shd w:val="clear" w:color="auto" w:fill="FFFFFF"/>
            <w:tcMar>
              <w:top w:w="0" w:type="dxa"/>
              <w:left w:w="108" w:type="dxa"/>
              <w:bottom w:w="0" w:type="dxa"/>
              <w:right w:w="108" w:type="dxa"/>
            </w:tcMar>
            <w:hideMark/>
          </w:tcPr>
          <w:p w14:paraId="30B0C269" w14:textId="77777777" w:rsidR="008C2545" w:rsidRPr="007A737C" w:rsidRDefault="008C2545" w:rsidP="008C2545">
            <w:pPr>
              <w:keepNext/>
              <w:spacing w:after="0" w:line="240" w:lineRule="auto"/>
              <w:jc w:val="center"/>
              <w:rPr>
                <w:rFonts w:ascii="Times New Roman" w:eastAsia="Times New Roman" w:hAnsi="Times New Roman"/>
                <w:color w:val="000000"/>
                <w:sz w:val="20"/>
                <w:szCs w:val="20"/>
                <w:lang w:eastAsia="lt-LT"/>
              </w:rPr>
            </w:pPr>
            <w:r w:rsidRPr="007A737C">
              <w:rPr>
                <w:rFonts w:ascii="Times New Roman" w:eastAsia="Times New Roman" w:hAnsi="Times New Roman"/>
                <w:color w:val="000000"/>
                <w:sz w:val="20"/>
                <w:szCs w:val="20"/>
                <w:lang w:eastAsia="lt-LT"/>
              </w:rPr>
              <w:t>(vardas, pavardė)</w:t>
            </w:r>
          </w:p>
        </w:tc>
      </w:tr>
    </w:tbl>
    <w:p w14:paraId="7871E54F" w14:textId="77777777" w:rsidR="008C2545" w:rsidRPr="007A737C" w:rsidRDefault="008C2545" w:rsidP="00622693">
      <w:pPr>
        <w:pStyle w:val="Pagrindinistekstas"/>
        <w:spacing w:after="0" w:line="240" w:lineRule="auto"/>
        <w:rPr>
          <w:rFonts w:ascii="Times New Roman" w:hAnsi="Times New Roman"/>
          <w:b/>
          <w:sz w:val="24"/>
          <w:szCs w:val="24"/>
          <w:lang w:val="lt-LT"/>
        </w:rPr>
      </w:pPr>
    </w:p>
    <w:sectPr w:rsidR="008C2545" w:rsidRPr="007A737C" w:rsidSect="009A5D1F">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B6743" w14:textId="77777777" w:rsidR="00E71EE3" w:rsidRDefault="00E71EE3" w:rsidP="007F2655">
      <w:pPr>
        <w:spacing w:after="0" w:line="240" w:lineRule="auto"/>
      </w:pPr>
      <w:r>
        <w:separator/>
      </w:r>
    </w:p>
  </w:endnote>
  <w:endnote w:type="continuationSeparator" w:id="0">
    <w:p w14:paraId="4C3D96F6" w14:textId="77777777" w:rsidR="00E71EE3" w:rsidRDefault="00E71EE3" w:rsidP="007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40E24" w14:textId="546EA88D" w:rsidR="00267EEE" w:rsidRDefault="00267EEE">
    <w:pPr>
      <w:pStyle w:val="Porat"/>
      <w:jc w:val="center"/>
    </w:pPr>
  </w:p>
  <w:p w14:paraId="4E8F1B03" w14:textId="1A9D3079" w:rsidR="00267EEE" w:rsidRDefault="00267EEE" w:rsidP="00267EEE">
    <w:pPr>
      <w:pStyle w:val="Porat"/>
      <w:tabs>
        <w:tab w:val="clear" w:pos="4819"/>
        <w:tab w:val="clear" w:pos="9638"/>
        <w:tab w:val="left" w:pos="54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9C840" w14:textId="77777777" w:rsidR="00E71EE3" w:rsidRDefault="00E71EE3" w:rsidP="007F2655">
      <w:pPr>
        <w:spacing w:after="0" w:line="240" w:lineRule="auto"/>
      </w:pPr>
      <w:r>
        <w:separator/>
      </w:r>
    </w:p>
  </w:footnote>
  <w:footnote w:type="continuationSeparator" w:id="0">
    <w:p w14:paraId="4CF01DE2" w14:textId="77777777" w:rsidR="00E71EE3" w:rsidRDefault="00E71EE3" w:rsidP="007F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319574067"/>
      <w:docPartObj>
        <w:docPartGallery w:val="Page Numbers (Top of Page)"/>
        <w:docPartUnique/>
      </w:docPartObj>
    </w:sdtPr>
    <w:sdtEndPr/>
    <w:sdtContent>
      <w:p w14:paraId="365B31B2" w14:textId="2DBA1F22" w:rsidR="00914A03" w:rsidRPr="009A5D1F" w:rsidRDefault="00914A03">
        <w:pPr>
          <w:pStyle w:val="Antrats"/>
          <w:jc w:val="center"/>
          <w:rPr>
            <w:rFonts w:ascii="Times New Roman" w:hAnsi="Times New Roman"/>
            <w:sz w:val="24"/>
            <w:szCs w:val="24"/>
          </w:rPr>
        </w:pPr>
        <w:r w:rsidRPr="009A5D1F">
          <w:rPr>
            <w:rFonts w:ascii="Times New Roman" w:hAnsi="Times New Roman"/>
            <w:sz w:val="24"/>
            <w:szCs w:val="24"/>
          </w:rPr>
          <w:t>2</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50081"/>
      <w:docPartObj>
        <w:docPartGallery w:val="Page Numbers (Top of Page)"/>
        <w:docPartUnique/>
      </w:docPartObj>
    </w:sdtPr>
    <w:sdtEndPr/>
    <w:sdtContent>
      <w:p w14:paraId="11E1BB63" w14:textId="2109DA21" w:rsidR="00914A03" w:rsidRDefault="00466972">
        <w:pPr>
          <w:pStyle w:val="Antrats"/>
          <w:jc w:val="center"/>
        </w:pPr>
      </w:p>
    </w:sdtContent>
  </w:sdt>
  <w:p w14:paraId="651265B4" w14:textId="134E1117" w:rsidR="00CC57DD" w:rsidRPr="009A5D1F" w:rsidRDefault="00CC57DD" w:rsidP="009A5D1F">
    <w:pPr>
      <w:pStyle w:val="Pagrindinistekstas"/>
      <w:spacing w:after="0" w:line="240" w:lineRule="auto"/>
      <w:ind w:left="6804" w:hanging="6804"/>
      <w:jc w:val="center"/>
      <w:outlineLvl w:val="0"/>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F41"/>
    <w:multiLevelType w:val="hybridMultilevel"/>
    <w:tmpl w:val="7D1C38EC"/>
    <w:lvl w:ilvl="0" w:tplc="D7D6DA76">
      <w:start w:val="1"/>
      <w:numFmt w:val="decimal"/>
      <w:lvlText w:val="%1."/>
      <w:lvlJc w:val="left"/>
      <w:pPr>
        <w:ind w:left="1080" w:hanging="360"/>
      </w:pPr>
      <w:rPr>
        <w:rFonts w:cs="Times New Roman" w:hint="default"/>
        <w:b/>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0C5A169E"/>
    <w:multiLevelType w:val="hybridMultilevel"/>
    <w:tmpl w:val="84CAD6FC"/>
    <w:lvl w:ilvl="0" w:tplc="A9C0AF1E">
      <w:start w:val="14"/>
      <w:numFmt w:val="decimal"/>
      <w:lvlText w:val="%1."/>
      <w:lvlJc w:val="left"/>
      <w:pPr>
        <w:ind w:left="1500" w:hanging="360"/>
      </w:pPr>
      <w:rPr>
        <w:rFonts w:cs="Times New Roman" w:hint="default"/>
      </w:rPr>
    </w:lvl>
    <w:lvl w:ilvl="1" w:tplc="04270019" w:tentative="1">
      <w:start w:val="1"/>
      <w:numFmt w:val="lowerLetter"/>
      <w:lvlText w:val="%2."/>
      <w:lvlJc w:val="left"/>
      <w:pPr>
        <w:ind w:left="2220" w:hanging="360"/>
      </w:pPr>
      <w:rPr>
        <w:rFonts w:cs="Times New Roman"/>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2" w15:restartNumberingAfterBreak="0">
    <w:nsid w:val="23A2485C"/>
    <w:multiLevelType w:val="hybridMultilevel"/>
    <w:tmpl w:val="D010715E"/>
    <w:lvl w:ilvl="0" w:tplc="A614E608">
      <w:start w:val="1"/>
      <w:numFmt w:val="upperRoman"/>
      <w:lvlText w:val="%1."/>
      <w:lvlJc w:val="left"/>
      <w:pPr>
        <w:ind w:left="1004" w:hanging="720"/>
      </w:pPr>
      <w:rPr>
        <w:rFonts w:cs="Times New Roman" w:hint="default"/>
        <w:strike/>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48C331D9"/>
    <w:multiLevelType w:val="hybridMultilevel"/>
    <w:tmpl w:val="1CC4D54C"/>
    <w:lvl w:ilvl="0" w:tplc="586CC1A8">
      <w:start w:val="1"/>
      <w:numFmt w:val="decimal"/>
      <w:lvlText w:val="%1)"/>
      <w:lvlJc w:val="left"/>
      <w:pPr>
        <w:ind w:left="1080" w:hanging="360"/>
      </w:pPr>
      <w:rPr>
        <w:rFonts w:cs="Times New Roman" w:hint="default"/>
        <w:b/>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4C9A7CFC"/>
    <w:multiLevelType w:val="hybridMultilevel"/>
    <w:tmpl w:val="322071D2"/>
    <w:lvl w:ilvl="0" w:tplc="77E04BD8">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15:restartNumberingAfterBreak="0">
    <w:nsid w:val="4E566EEB"/>
    <w:multiLevelType w:val="hybridMultilevel"/>
    <w:tmpl w:val="DC266188"/>
    <w:lvl w:ilvl="0" w:tplc="0427000F">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D5D07F0"/>
    <w:multiLevelType w:val="hybridMultilevel"/>
    <w:tmpl w:val="2B640E26"/>
    <w:lvl w:ilvl="0" w:tplc="C62E4D7E">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7" w15:restartNumberingAfterBreak="0">
    <w:nsid w:val="69245F6C"/>
    <w:multiLevelType w:val="hybridMultilevel"/>
    <w:tmpl w:val="7FFEB48C"/>
    <w:lvl w:ilvl="0" w:tplc="369A24D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6"/>
  </w:num>
  <w:num w:numId="2">
    <w:abstractNumId w:val="3"/>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8E"/>
    <w:rsid w:val="00001B45"/>
    <w:rsid w:val="0000684F"/>
    <w:rsid w:val="00007DA4"/>
    <w:rsid w:val="000102BA"/>
    <w:rsid w:val="00011C3C"/>
    <w:rsid w:val="00017BE3"/>
    <w:rsid w:val="00025126"/>
    <w:rsid w:val="00025768"/>
    <w:rsid w:val="00025E66"/>
    <w:rsid w:val="00026746"/>
    <w:rsid w:val="0002693D"/>
    <w:rsid w:val="00027AEA"/>
    <w:rsid w:val="00034989"/>
    <w:rsid w:val="00037762"/>
    <w:rsid w:val="000427F1"/>
    <w:rsid w:val="000447CA"/>
    <w:rsid w:val="00047EB7"/>
    <w:rsid w:val="000538E1"/>
    <w:rsid w:val="00060F12"/>
    <w:rsid w:val="00063F86"/>
    <w:rsid w:val="000642BB"/>
    <w:rsid w:val="000657C3"/>
    <w:rsid w:val="00066D58"/>
    <w:rsid w:val="00072F59"/>
    <w:rsid w:val="0007300E"/>
    <w:rsid w:val="000757D6"/>
    <w:rsid w:val="000819BD"/>
    <w:rsid w:val="00083CAB"/>
    <w:rsid w:val="000944EF"/>
    <w:rsid w:val="00096C58"/>
    <w:rsid w:val="000A48B0"/>
    <w:rsid w:val="000A4C1B"/>
    <w:rsid w:val="000A5EB2"/>
    <w:rsid w:val="000B0C21"/>
    <w:rsid w:val="000C083B"/>
    <w:rsid w:val="000C1999"/>
    <w:rsid w:val="000C1AD0"/>
    <w:rsid w:val="000C3486"/>
    <w:rsid w:val="000C4970"/>
    <w:rsid w:val="000D0A0A"/>
    <w:rsid w:val="000D128D"/>
    <w:rsid w:val="000D32B7"/>
    <w:rsid w:val="000D5B08"/>
    <w:rsid w:val="000D71E3"/>
    <w:rsid w:val="000E055E"/>
    <w:rsid w:val="000E27AE"/>
    <w:rsid w:val="000E4064"/>
    <w:rsid w:val="000E5ED0"/>
    <w:rsid w:val="000F1DD4"/>
    <w:rsid w:val="000F78DD"/>
    <w:rsid w:val="00103318"/>
    <w:rsid w:val="0010463B"/>
    <w:rsid w:val="00127E45"/>
    <w:rsid w:val="00130245"/>
    <w:rsid w:val="00131A60"/>
    <w:rsid w:val="00136091"/>
    <w:rsid w:val="00136DA3"/>
    <w:rsid w:val="00136DF3"/>
    <w:rsid w:val="00145053"/>
    <w:rsid w:val="00147D15"/>
    <w:rsid w:val="0015168C"/>
    <w:rsid w:val="00155601"/>
    <w:rsid w:val="00160754"/>
    <w:rsid w:val="0016228F"/>
    <w:rsid w:val="001656C5"/>
    <w:rsid w:val="001675B8"/>
    <w:rsid w:val="00170CB9"/>
    <w:rsid w:val="001731C3"/>
    <w:rsid w:val="00173EDE"/>
    <w:rsid w:val="001741F2"/>
    <w:rsid w:val="00174863"/>
    <w:rsid w:val="00181DF4"/>
    <w:rsid w:val="00182E6A"/>
    <w:rsid w:val="00183770"/>
    <w:rsid w:val="00184FDB"/>
    <w:rsid w:val="00185088"/>
    <w:rsid w:val="001865C8"/>
    <w:rsid w:val="001929AE"/>
    <w:rsid w:val="00193512"/>
    <w:rsid w:val="00195906"/>
    <w:rsid w:val="001A14D4"/>
    <w:rsid w:val="001A1C78"/>
    <w:rsid w:val="001A351E"/>
    <w:rsid w:val="001A4E10"/>
    <w:rsid w:val="001A78D2"/>
    <w:rsid w:val="001A7959"/>
    <w:rsid w:val="001B0905"/>
    <w:rsid w:val="001B1518"/>
    <w:rsid w:val="001B3415"/>
    <w:rsid w:val="001C3EA7"/>
    <w:rsid w:val="001C704C"/>
    <w:rsid w:val="001D09CE"/>
    <w:rsid w:val="001D2CEE"/>
    <w:rsid w:val="001D5E41"/>
    <w:rsid w:val="001D7E1B"/>
    <w:rsid w:val="001E3096"/>
    <w:rsid w:val="001E336C"/>
    <w:rsid w:val="001E6998"/>
    <w:rsid w:val="001F2FEE"/>
    <w:rsid w:val="001F7D65"/>
    <w:rsid w:val="00201F9D"/>
    <w:rsid w:val="00211B33"/>
    <w:rsid w:val="002124BF"/>
    <w:rsid w:val="00214278"/>
    <w:rsid w:val="00221022"/>
    <w:rsid w:val="002243EA"/>
    <w:rsid w:val="00226348"/>
    <w:rsid w:val="00230B4B"/>
    <w:rsid w:val="00230ED5"/>
    <w:rsid w:val="0023743D"/>
    <w:rsid w:val="00241461"/>
    <w:rsid w:val="00244748"/>
    <w:rsid w:val="00246AF4"/>
    <w:rsid w:val="00247E92"/>
    <w:rsid w:val="00251B2D"/>
    <w:rsid w:val="0025227A"/>
    <w:rsid w:val="00252988"/>
    <w:rsid w:val="0025349F"/>
    <w:rsid w:val="00253E7F"/>
    <w:rsid w:val="00257058"/>
    <w:rsid w:val="00260150"/>
    <w:rsid w:val="002627F8"/>
    <w:rsid w:val="00265A34"/>
    <w:rsid w:val="002675BF"/>
    <w:rsid w:val="00267EEE"/>
    <w:rsid w:val="00270D0C"/>
    <w:rsid w:val="002738A8"/>
    <w:rsid w:val="00274869"/>
    <w:rsid w:val="00275DC3"/>
    <w:rsid w:val="00277B99"/>
    <w:rsid w:val="00281FEA"/>
    <w:rsid w:val="00282CFE"/>
    <w:rsid w:val="0029054A"/>
    <w:rsid w:val="00293C71"/>
    <w:rsid w:val="00294ACB"/>
    <w:rsid w:val="00294BEC"/>
    <w:rsid w:val="002964C7"/>
    <w:rsid w:val="002A158B"/>
    <w:rsid w:val="002A3798"/>
    <w:rsid w:val="002A48EB"/>
    <w:rsid w:val="002B2092"/>
    <w:rsid w:val="002B350B"/>
    <w:rsid w:val="002B45C0"/>
    <w:rsid w:val="002C031F"/>
    <w:rsid w:val="002C0820"/>
    <w:rsid w:val="002C0A3B"/>
    <w:rsid w:val="002C3D08"/>
    <w:rsid w:val="002C4F26"/>
    <w:rsid w:val="002C7977"/>
    <w:rsid w:val="002D08DB"/>
    <w:rsid w:val="002D1005"/>
    <w:rsid w:val="002D2B72"/>
    <w:rsid w:val="002E287F"/>
    <w:rsid w:val="002E46A9"/>
    <w:rsid w:val="002E6484"/>
    <w:rsid w:val="002E65A6"/>
    <w:rsid w:val="002F1887"/>
    <w:rsid w:val="002F3527"/>
    <w:rsid w:val="002F3795"/>
    <w:rsid w:val="002F3A01"/>
    <w:rsid w:val="002F3D74"/>
    <w:rsid w:val="002F6ABD"/>
    <w:rsid w:val="00303CDE"/>
    <w:rsid w:val="00304E8F"/>
    <w:rsid w:val="00306BB9"/>
    <w:rsid w:val="003070B7"/>
    <w:rsid w:val="00313E97"/>
    <w:rsid w:val="0031715C"/>
    <w:rsid w:val="0032438D"/>
    <w:rsid w:val="0032567E"/>
    <w:rsid w:val="003331DA"/>
    <w:rsid w:val="003342EA"/>
    <w:rsid w:val="00335A43"/>
    <w:rsid w:val="003408A3"/>
    <w:rsid w:val="0034095A"/>
    <w:rsid w:val="00341A6B"/>
    <w:rsid w:val="003423FE"/>
    <w:rsid w:val="00345BCF"/>
    <w:rsid w:val="0034609B"/>
    <w:rsid w:val="00347FA3"/>
    <w:rsid w:val="00350343"/>
    <w:rsid w:val="00357193"/>
    <w:rsid w:val="003637E5"/>
    <w:rsid w:val="00365D92"/>
    <w:rsid w:val="00367C7F"/>
    <w:rsid w:val="00372B27"/>
    <w:rsid w:val="00375E3C"/>
    <w:rsid w:val="00382390"/>
    <w:rsid w:val="00383B81"/>
    <w:rsid w:val="00390761"/>
    <w:rsid w:val="00390DF2"/>
    <w:rsid w:val="003915C2"/>
    <w:rsid w:val="003941BC"/>
    <w:rsid w:val="00394495"/>
    <w:rsid w:val="003A0A92"/>
    <w:rsid w:val="003A1233"/>
    <w:rsid w:val="003A1BA3"/>
    <w:rsid w:val="003A1D64"/>
    <w:rsid w:val="003A48A6"/>
    <w:rsid w:val="003A5C5E"/>
    <w:rsid w:val="003A702D"/>
    <w:rsid w:val="003B07B8"/>
    <w:rsid w:val="003B209E"/>
    <w:rsid w:val="003B31C3"/>
    <w:rsid w:val="003B33BA"/>
    <w:rsid w:val="003B41E2"/>
    <w:rsid w:val="003C3B05"/>
    <w:rsid w:val="003C45D1"/>
    <w:rsid w:val="003C45FB"/>
    <w:rsid w:val="003C5B8C"/>
    <w:rsid w:val="003D016E"/>
    <w:rsid w:val="003D0E27"/>
    <w:rsid w:val="003D1B8B"/>
    <w:rsid w:val="003E6F76"/>
    <w:rsid w:val="003F29C2"/>
    <w:rsid w:val="003F30F7"/>
    <w:rsid w:val="004008EA"/>
    <w:rsid w:val="00401A6F"/>
    <w:rsid w:val="004032CB"/>
    <w:rsid w:val="00403DAD"/>
    <w:rsid w:val="00406415"/>
    <w:rsid w:val="00410008"/>
    <w:rsid w:val="00410870"/>
    <w:rsid w:val="00410D01"/>
    <w:rsid w:val="00414735"/>
    <w:rsid w:val="00414D7D"/>
    <w:rsid w:val="00422784"/>
    <w:rsid w:val="00422901"/>
    <w:rsid w:val="00431DD1"/>
    <w:rsid w:val="00434622"/>
    <w:rsid w:val="00441A50"/>
    <w:rsid w:val="00443949"/>
    <w:rsid w:val="0044580B"/>
    <w:rsid w:val="00446F10"/>
    <w:rsid w:val="004501D1"/>
    <w:rsid w:val="004504AC"/>
    <w:rsid w:val="004510D3"/>
    <w:rsid w:val="004516AD"/>
    <w:rsid w:val="00454451"/>
    <w:rsid w:val="0045525A"/>
    <w:rsid w:val="00460719"/>
    <w:rsid w:val="004617AF"/>
    <w:rsid w:val="00462DD7"/>
    <w:rsid w:val="004649F8"/>
    <w:rsid w:val="00465304"/>
    <w:rsid w:val="00466972"/>
    <w:rsid w:val="00467FE1"/>
    <w:rsid w:val="00483B4D"/>
    <w:rsid w:val="00490498"/>
    <w:rsid w:val="004A2869"/>
    <w:rsid w:val="004B118C"/>
    <w:rsid w:val="004B5266"/>
    <w:rsid w:val="004C33AD"/>
    <w:rsid w:val="004C371D"/>
    <w:rsid w:val="004C595F"/>
    <w:rsid w:val="004C6F23"/>
    <w:rsid w:val="004D0A4B"/>
    <w:rsid w:val="004D32B4"/>
    <w:rsid w:val="004D50A7"/>
    <w:rsid w:val="004D5AB4"/>
    <w:rsid w:val="004E1D9A"/>
    <w:rsid w:val="004E62E2"/>
    <w:rsid w:val="004F352A"/>
    <w:rsid w:val="004F6055"/>
    <w:rsid w:val="004F61C9"/>
    <w:rsid w:val="00507FDE"/>
    <w:rsid w:val="00511BEF"/>
    <w:rsid w:val="00514452"/>
    <w:rsid w:val="00526238"/>
    <w:rsid w:val="005307FA"/>
    <w:rsid w:val="00530DA8"/>
    <w:rsid w:val="00530ED5"/>
    <w:rsid w:val="005311AC"/>
    <w:rsid w:val="005324D9"/>
    <w:rsid w:val="00533BFD"/>
    <w:rsid w:val="0053720A"/>
    <w:rsid w:val="00541D6B"/>
    <w:rsid w:val="00542E3F"/>
    <w:rsid w:val="00543027"/>
    <w:rsid w:val="00545460"/>
    <w:rsid w:val="0055083C"/>
    <w:rsid w:val="00551886"/>
    <w:rsid w:val="00555E85"/>
    <w:rsid w:val="00560538"/>
    <w:rsid w:val="0056116C"/>
    <w:rsid w:val="005667D5"/>
    <w:rsid w:val="0057063F"/>
    <w:rsid w:val="00573D37"/>
    <w:rsid w:val="00575277"/>
    <w:rsid w:val="00575A03"/>
    <w:rsid w:val="00575DE2"/>
    <w:rsid w:val="00575E85"/>
    <w:rsid w:val="0057636D"/>
    <w:rsid w:val="005825B5"/>
    <w:rsid w:val="00587614"/>
    <w:rsid w:val="00591162"/>
    <w:rsid w:val="00591693"/>
    <w:rsid w:val="005A399D"/>
    <w:rsid w:val="005A3E85"/>
    <w:rsid w:val="005A54ED"/>
    <w:rsid w:val="005A5D54"/>
    <w:rsid w:val="005B1837"/>
    <w:rsid w:val="005B658E"/>
    <w:rsid w:val="005C27F4"/>
    <w:rsid w:val="005C4476"/>
    <w:rsid w:val="005C7585"/>
    <w:rsid w:val="005C771D"/>
    <w:rsid w:val="005D2039"/>
    <w:rsid w:val="005D2EE6"/>
    <w:rsid w:val="005D4090"/>
    <w:rsid w:val="005D4E6F"/>
    <w:rsid w:val="005E2F9B"/>
    <w:rsid w:val="005F663D"/>
    <w:rsid w:val="005F7E1E"/>
    <w:rsid w:val="00611997"/>
    <w:rsid w:val="0061579F"/>
    <w:rsid w:val="00621687"/>
    <w:rsid w:val="00621B92"/>
    <w:rsid w:val="00621D68"/>
    <w:rsid w:val="00622693"/>
    <w:rsid w:val="00626019"/>
    <w:rsid w:val="00636435"/>
    <w:rsid w:val="00636757"/>
    <w:rsid w:val="006450BA"/>
    <w:rsid w:val="00646045"/>
    <w:rsid w:val="0065259A"/>
    <w:rsid w:val="006540A5"/>
    <w:rsid w:val="00655602"/>
    <w:rsid w:val="00655FFC"/>
    <w:rsid w:val="00663D5D"/>
    <w:rsid w:val="00664A82"/>
    <w:rsid w:val="00681827"/>
    <w:rsid w:val="006913E0"/>
    <w:rsid w:val="006935B9"/>
    <w:rsid w:val="0069517B"/>
    <w:rsid w:val="00696B32"/>
    <w:rsid w:val="00697FA3"/>
    <w:rsid w:val="006A7E35"/>
    <w:rsid w:val="006B02DC"/>
    <w:rsid w:val="006B0949"/>
    <w:rsid w:val="006C710E"/>
    <w:rsid w:val="006D0209"/>
    <w:rsid w:val="006D31BF"/>
    <w:rsid w:val="006D44F4"/>
    <w:rsid w:val="006E0B27"/>
    <w:rsid w:val="006E3952"/>
    <w:rsid w:val="006E4D67"/>
    <w:rsid w:val="006F1173"/>
    <w:rsid w:val="006F5ACE"/>
    <w:rsid w:val="006F5DE9"/>
    <w:rsid w:val="006F5F6C"/>
    <w:rsid w:val="00700B2F"/>
    <w:rsid w:val="0070107C"/>
    <w:rsid w:val="00703820"/>
    <w:rsid w:val="007044DF"/>
    <w:rsid w:val="00705257"/>
    <w:rsid w:val="00705FDD"/>
    <w:rsid w:val="007075AF"/>
    <w:rsid w:val="00711EC7"/>
    <w:rsid w:val="00722D0D"/>
    <w:rsid w:val="00726023"/>
    <w:rsid w:val="00727972"/>
    <w:rsid w:val="00727A45"/>
    <w:rsid w:val="00731666"/>
    <w:rsid w:val="00733469"/>
    <w:rsid w:val="00736047"/>
    <w:rsid w:val="007361A6"/>
    <w:rsid w:val="007425D6"/>
    <w:rsid w:val="00742846"/>
    <w:rsid w:val="00744D2B"/>
    <w:rsid w:val="00744DF4"/>
    <w:rsid w:val="00746961"/>
    <w:rsid w:val="00756505"/>
    <w:rsid w:val="00757F07"/>
    <w:rsid w:val="0076548F"/>
    <w:rsid w:val="0076574A"/>
    <w:rsid w:val="00766386"/>
    <w:rsid w:val="007674ED"/>
    <w:rsid w:val="007731EA"/>
    <w:rsid w:val="00773968"/>
    <w:rsid w:val="007873E7"/>
    <w:rsid w:val="007905A2"/>
    <w:rsid w:val="00792AB4"/>
    <w:rsid w:val="007A0E60"/>
    <w:rsid w:val="007A1468"/>
    <w:rsid w:val="007A1A74"/>
    <w:rsid w:val="007A737C"/>
    <w:rsid w:val="007B0DF0"/>
    <w:rsid w:val="007B1595"/>
    <w:rsid w:val="007B2731"/>
    <w:rsid w:val="007B31BB"/>
    <w:rsid w:val="007B5E6B"/>
    <w:rsid w:val="007B66BC"/>
    <w:rsid w:val="007D2848"/>
    <w:rsid w:val="007D58AB"/>
    <w:rsid w:val="007D6ABC"/>
    <w:rsid w:val="007E09F3"/>
    <w:rsid w:val="007E1C17"/>
    <w:rsid w:val="007E3C6A"/>
    <w:rsid w:val="007E481F"/>
    <w:rsid w:val="007E54B9"/>
    <w:rsid w:val="007F16D1"/>
    <w:rsid w:val="007F2655"/>
    <w:rsid w:val="007F287D"/>
    <w:rsid w:val="007F6154"/>
    <w:rsid w:val="007F6465"/>
    <w:rsid w:val="007F71F1"/>
    <w:rsid w:val="008026DB"/>
    <w:rsid w:val="00803173"/>
    <w:rsid w:val="00813A1F"/>
    <w:rsid w:val="00814133"/>
    <w:rsid w:val="00821699"/>
    <w:rsid w:val="0082170D"/>
    <w:rsid w:val="00826010"/>
    <w:rsid w:val="00826B67"/>
    <w:rsid w:val="00827C13"/>
    <w:rsid w:val="0083028D"/>
    <w:rsid w:val="00833007"/>
    <w:rsid w:val="008336BD"/>
    <w:rsid w:val="00835EE0"/>
    <w:rsid w:val="00843F54"/>
    <w:rsid w:val="00845A5E"/>
    <w:rsid w:val="00846337"/>
    <w:rsid w:val="008469D4"/>
    <w:rsid w:val="00846F55"/>
    <w:rsid w:val="008503A1"/>
    <w:rsid w:val="00852A02"/>
    <w:rsid w:val="008546C8"/>
    <w:rsid w:val="008562BD"/>
    <w:rsid w:val="00860620"/>
    <w:rsid w:val="00861DA7"/>
    <w:rsid w:val="00866A3C"/>
    <w:rsid w:val="00867E19"/>
    <w:rsid w:val="008722F1"/>
    <w:rsid w:val="00872AC2"/>
    <w:rsid w:val="00872BAB"/>
    <w:rsid w:val="00877BD3"/>
    <w:rsid w:val="0088026C"/>
    <w:rsid w:val="00880A50"/>
    <w:rsid w:val="00883799"/>
    <w:rsid w:val="00884DF3"/>
    <w:rsid w:val="00886BE0"/>
    <w:rsid w:val="008930A2"/>
    <w:rsid w:val="008A345B"/>
    <w:rsid w:val="008A349B"/>
    <w:rsid w:val="008A4A19"/>
    <w:rsid w:val="008A58E3"/>
    <w:rsid w:val="008A67DB"/>
    <w:rsid w:val="008A780C"/>
    <w:rsid w:val="008A7B2A"/>
    <w:rsid w:val="008B1496"/>
    <w:rsid w:val="008B4A15"/>
    <w:rsid w:val="008B72E5"/>
    <w:rsid w:val="008C1EAF"/>
    <w:rsid w:val="008C2545"/>
    <w:rsid w:val="008D00EF"/>
    <w:rsid w:val="008D06C7"/>
    <w:rsid w:val="008D12D9"/>
    <w:rsid w:val="008D1E0F"/>
    <w:rsid w:val="008D3B1F"/>
    <w:rsid w:val="008D4417"/>
    <w:rsid w:val="008D7677"/>
    <w:rsid w:val="008E1353"/>
    <w:rsid w:val="008E35D0"/>
    <w:rsid w:val="008E3CD1"/>
    <w:rsid w:val="008E778B"/>
    <w:rsid w:val="008E78A1"/>
    <w:rsid w:val="008F2227"/>
    <w:rsid w:val="008F383B"/>
    <w:rsid w:val="008F47C5"/>
    <w:rsid w:val="009027B9"/>
    <w:rsid w:val="009041F1"/>
    <w:rsid w:val="00905567"/>
    <w:rsid w:val="00905F9B"/>
    <w:rsid w:val="009066E4"/>
    <w:rsid w:val="00910637"/>
    <w:rsid w:val="009113A7"/>
    <w:rsid w:val="00912A75"/>
    <w:rsid w:val="009143D0"/>
    <w:rsid w:val="00914A03"/>
    <w:rsid w:val="00917D33"/>
    <w:rsid w:val="009205E6"/>
    <w:rsid w:val="00921F7B"/>
    <w:rsid w:val="009336A1"/>
    <w:rsid w:val="00936E08"/>
    <w:rsid w:val="00940A8C"/>
    <w:rsid w:val="009417A6"/>
    <w:rsid w:val="00942222"/>
    <w:rsid w:val="009439C2"/>
    <w:rsid w:val="00952901"/>
    <w:rsid w:val="00957533"/>
    <w:rsid w:val="00963E28"/>
    <w:rsid w:val="00965AE0"/>
    <w:rsid w:val="00966746"/>
    <w:rsid w:val="009703F1"/>
    <w:rsid w:val="00972DBF"/>
    <w:rsid w:val="009761CE"/>
    <w:rsid w:val="00981C8E"/>
    <w:rsid w:val="009824A5"/>
    <w:rsid w:val="00985141"/>
    <w:rsid w:val="00986DFF"/>
    <w:rsid w:val="00990087"/>
    <w:rsid w:val="00991433"/>
    <w:rsid w:val="009A1D7F"/>
    <w:rsid w:val="009A4ABE"/>
    <w:rsid w:val="009A5D1F"/>
    <w:rsid w:val="009A61BB"/>
    <w:rsid w:val="009B00E6"/>
    <w:rsid w:val="009B26F5"/>
    <w:rsid w:val="009B7C49"/>
    <w:rsid w:val="009C0205"/>
    <w:rsid w:val="009C3796"/>
    <w:rsid w:val="009C4260"/>
    <w:rsid w:val="009C4F4E"/>
    <w:rsid w:val="009D0E9C"/>
    <w:rsid w:val="009D26DE"/>
    <w:rsid w:val="009D5C76"/>
    <w:rsid w:val="009E0B91"/>
    <w:rsid w:val="009E7D8A"/>
    <w:rsid w:val="009F449F"/>
    <w:rsid w:val="009F501C"/>
    <w:rsid w:val="009F5114"/>
    <w:rsid w:val="009F59DD"/>
    <w:rsid w:val="00A00DE7"/>
    <w:rsid w:val="00A04E8C"/>
    <w:rsid w:val="00A05699"/>
    <w:rsid w:val="00A06335"/>
    <w:rsid w:val="00A06347"/>
    <w:rsid w:val="00A06BBB"/>
    <w:rsid w:val="00A15C90"/>
    <w:rsid w:val="00A2080D"/>
    <w:rsid w:val="00A23121"/>
    <w:rsid w:val="00A23BCE"/>
    <w:rsid w:val="00A33308"/>
    <w:rsid w:val="00A345EB"/>
    <w:rsid w:val="00A36A24"/>
    <w:rsid w:val="00A418C6"/>
    <w:rsid w:val="00A44466"/>
    <w:rsid w:val="00A45797"/>
    <w:rsid w:val="00A47281"/>
    <w:rsid w:val="00A60FA7"/>
    <w:rsid w:val="00A62120"/>
    <w:rsid w:val="00A674C5"/>
    <w:rsid w:val="00A6776F"/>
    <w:rsid w:val="00A67E92"/>
    <w:rsid w:val="00A71D5A"/>
    <w:rsid w:val="00A73BD4"/>
    <w:rsid w:val="00A73D9C"/>
    <w:rsid w:val="00A816C5"/>
    <w:rsid w:val="00A827ED"/>
    <w:rsid w:val="00A86686"/>
    <w:rsid w:val="00A90CEB"/>
    <w:rsid w:val="00AA03A3"/>
    <w:rsid w:val="00AA170F"/>
    <w:rsid w:val="00AA49B8"/>
    <w:rsid w:val="00AA7501"/>
    <w:rsid w:val="00AB31E1"/>
    <w:rsid w:val="00AB4AC6"/>
    <w:rsid w:val="00AC4E35"/>
    <w:rsid w:val="00AC58DD"/>
    <w:rsid w:val="00AC5E2E"/>
    <w:rsid w:val="00AD438A"/>
    <w:rsid w:val="00AD5B2B"/>
    <w:rsid w:val="00AE2930"/>
    <w:rsid w:val="00AE3F11"/>
    <w:rsid w:val="00AE6413"/>
    <w:rsid w:val="00AE769A"/>
    <w:rsid w:val="00AF4B9B"/>
    <w:rsid w:val="00AF4FA6"/>
    <w:rsid w:val="00AF60F3"/>
    <w:rsid w:val="00AF783A"/>
    <w:rsid w:val="00B012EF"/>
    <w:rsid w:val="00B030E8"/>
    <w:rsid w:val="00B047B2"/>
    <w:rsid w:val="00B04AA7"/>
    <w:rsid w:val="00B110A6"/>
    <w:rsid w:val="00B20E1D"/>
    <w:rsid w:val="00B21C8F"/>
    <w:rsid w:val="00B22C60"/>
    <w:rsid w:val="00B23F70"/>
    <w:rsid w:val="00B3352E"/>
    <w:rsid w:val="00B354AB"/>
    <w:rsid w:val="00B36169"/>
    <w:rsid w:val="00B41EB1"/>
    <w:rsid w:val="00B42BF8"/>
    <w:rsid w:val="00B46CF7"/>
    <w:rsid w:val="00B5026A"/>
    <w:rsid w:val="00B52DAD"/>
    <w:rsid w:val="00B54AB4"/>
    <w:rsid w:val="00B5552F"/>
    <w:rsid w:val="00B577F7"/>
    <w:rsid w:val="00B60E6C"/>
    <w:rsid w:val="00B6282E"/>
    <w:rsid w:val="00B62C88"/>
    <w:rsid w:val="00B70ECD"/>
    <w:rsid w:val="00B729B0"/>
    <w:rsid w:val="00B774F1"/>
    <w:rsid w:val="00B77C35"/>
    <w:rsid w:val="00B80C92"/>
    <w:rsid w:val="00B83755"/>
    <w:rsid w:val="00B83EDF"/>
    <w:rsid w:val="00B84DEE"/>
    <w:rsid w:val="00B8524C"/>
    <w:rsid w:val="00B85C3C"/>
    <w:rsid w:val="00B875EE"/>
    <w:rsid w:val="00B91C88"/>
    <w:rsid w:val="00B92F8B"/>
    <w:rsid w:val="00B93B69"/>
    <w:rsid w:val="00B9419C"/>
    <w:rsid w:val="00BA3FD9"/>
    <w:rsid w:val="00BA56EB"/>
    <w:rsid w:val="00BA7FD7"/>
    <w:rsid w:val="00BB0857"/>
    <w:rsid w:val="00BB140A"/>
    <w:rsid w:val="00BB173A"/>
    <w:rsid w:val="00BB1784"/>
    <w:rsid w:val="00BB3D85"/>
    <w:rsid w:val="00BC1276"/>
    <w:rsid w:val="00BC431E"/>
    <w:rsid w:val="00BC62B0"/>
    <w:rsid w:val="00BD34F2"/>
    <w:rsid w:val="00BD5801"/>
    <w:rsid w:val="00BE0EA7"/>
    <w:rsid w:val="00BE141C"/>
    <w:rsid w:val="00BE16BC"/>
    <w:rsid w:val="00BE20EA"/>
    <w:rsid w:val="00BE28E1"/>
    <w:rsid w:val="00BE4393"/>
    <w:rsid w:val="00BF3A0E"/>
    <w:rsid w:val="00BF3DCB"/>
    <w:rsid w:val="00BF6B34"/>
    <w:rsid w:val="00C026A6"/>
    <w:rsid w:val="00C033A0"/>
    <w:rsid w:val="00C05E4D"/>
    <w:rsid w:val="00C07084"/>
    <w:rsid w:val="00C10B88"/>
    <w:rsid w:val="00C157F4"/>
    <w:rsid w:val="00C214A6"/>
    <w:rsid w:val="00C226A8"/>
    <w:rsid w:val="00C241BA"/>
    <w:rsid w:val="00C41001"/>
    <w:rsid w:val="00C41BDD"/>
    <w:rsid w:val="00C43898"/>
    <w:rsid w:val="00C4533B"/>
    <w:rsid w:val="00C52406"/>
    <w:rsid w:val="00C56319"/>
    <w:rsid w:val="00C56CDE"/>
    <w:rsid w:val="00C56DCF"/>
    <w:rsid w:val="00C653E3"/>
    <w:rsid w:val="00C6541C"/>
    <w:rsid w:val="00C671DD"/>
    <w:rsid w:val="00C7034D"/>
    <w:rsid w:val="00C70916"/>
    <w:rsid w:val="00C7172E"/>
    <w:rsid w:val="00C72024"/>
    <w:rsid w:val="00C75067"/>
    <w:rsid w:val="00C75848"/>
    <w:rsid w:val="00C75CBD"/>
    <w:rsid w:val="00C80A8E"/>
    <w:rsid w:val="00C826B8"/>
    <w:rsid w:val="00C83124"/>
    <w:rsid w:val="00C85B54"/>
    <w:rsid w:val="00C86CE0"/>
    <w:rsid w:val="00C9166A"/>
    <w:rsid w:val="00C928B4"/>
    <w:rsid w:val="00C936ED"/>
    <w:rsid w:val="00C941F5"/>
    <w:rsid w:val="00CA0E56"/>
    <w:rsid w:val="00CA2216"/>
    <w:rsid w:val="00CA5551"/>
    <w:rsid w:val="00CA5AF1"/>
    <w:rsid w:val="00CB1FF3"/>
    <w:rsid w:val="00CB3718"/>
    <w:rsid w:val="00CB381D"/>
    <w:rsid w:val="00CB52DA"/>
    <w:rsid w:val="00CC109F"/>
    <w:rsid w:val="00CC57DD"/>
    <w:rsid w:val="00CD0D61"/>
    <w:rsid w:val="00CD6D9C"/>
    <w:rsid w:val="00CE1595"/>
    <w:rsid w:val="00CE1827"/>
    <w:rsid w:val="00CF05A0"/>
    <w:rsid w:val="00CF179E"/>
    <w:rsid w:val="00D001ED"/>
    <w:rsid w:val="00D04796"/>
    <w:rsid w:val="00D1496B"/>
    <w:rsid w:val="00D160EC"/>
    <w:rsid w:val="00D30F66"/>
    <w:rsid w:val="00D34A84"/>
    <w:rsid w:val="00D63256"/>
    <w:rsid w:val="00D63346"/>
    <w:rsid w:val="00D648C4"/>
    <w:rsid w:val="00D64BC8"/>
    <w:rsid w:val="00D663BF"/>
    <w:rsid w:val="00D67841"/>
    <w:rsid w:val="00D700CE"/>
    <w:rsid w:val="00D71A96"/>
    <w:rsid w:val="00D73F4D"/>
    <w:rsid w:val="00D80F87"/>
    <w:rsid w:val="00D8313F"/>
    <w:rsid w:val="00D86263"/>
    <w:rsid w:val="00D8641E"/>
    <w:rsid w:val="00D919FC"/>
    <w:rsid w:val="00D9292C"/>
    <w:rsid w:val="00D93CF6"/>
    <w:rsid w:val="00D93E04"/>
    <w:rsid w:val="00D95F54"/>
    <w:rsid w:val="00D96381"/>
    <w:rsid w:val="00D964FC"/>
    <w:rsid w:val="00D97861"/>
    <w:rsid w:val="00D97DE2"/>
    <w:rsid w:val="00DA1105"/>
    <w:rsid w:val="00DA144F"/>
    <w:rsid w:val="00DA181E"/>
    <w:rsid w:val="00DB0845"/>
    <w:rsid w:val="00DB59ED"/>
    <w:rsid w:val="00DB70A6"/>
    <w:rsid w:val="00DC06E1"/>
    <w:rsid w:val="00DC0D9A"/>
    <w:rsid w:val="00DC4A58"/>
    <w:rsid w:val="00DC71B9"/>
    <w:rsid w:val="00DC7E37"/>
    <w:rsid w:val="00DC7FED"/>
    <w:rsid w:val="00DD0293"/>
    <w:rsid w:val="00DD0B28"/>
    <w:rsid w:val="00DD11B1"/>
    <w:rsid w:val="00DD554C"/>
    <w:rsid w:val="00DD7142"/>
    <w:rsid w:val="00DE19C5"/>
    <w:rsid w:val="00DE508F"/>
    <w:rsid w:val="00DE5114"/>
    <w:rsid w:val="00DE5B51"/>
    <w:rsid w:val="00DE5BFD"/>
    <w:rsid w:val="00DE7B2C"/>
    <w:rsid w:val="00DF0DE8"/>
    <w:rsid w:val="00DF4443"/>
    <w:rsid w:val="00DF5FF9"/>
    <w:rsid w:val="00DF7D52"/>
    <w:rsid w:val="00E022DA"/>
    <w:rsid w:val="00E11385"/>
    <w:rsid w:val="00E1537C"/>
    <w:rsid w:val="00E154C1"/>
    <w:rsid w:val="00E205C5"/>
    <w:rsid w:val="00E22D15"/>
    <w:rsid w:val="00E23840"/>
    <w:rsid w:val="00E24B61"/>
    <w:rsid w:val="00E27DA9"/>
    <w:rsid w:val="00E40700"/>
    <w:rsid w:val="00E422F8"/>
    <w:rsid w:val="00E42905"/>
    <w:rsid w:val="00E44E00"/>
    <w:rsid w:val="00E45AF7"/>
    <w:rsid w:val="00E47D6A"/>
    <w:rsid w:val="00E509A1"/>
    <w:rsid w:val="00E545F1"/>
    <w:rsid w:val="00E54BCD"/>
    <w:rsid w:val="00E54FAE"/>
    <w:rsid w:val="00E6443E"/>
    <w:rsid w:val="00E64CF5"/>
    <w:rsid w:val="00E657B9"/>
    <w:rsid w:val="00E67D7E"/>
    <w:rsid w:val="00E70486"/>
    <w:rsid w:val="00E71EE3"/>
    <w:rsid w:val="00E8054C"/>
    <w:rsid w:val="00E80B00"/>
    <w:rsid w:val="00E813FA"/>
    <w:rsid w:val="00E8140A"/>
    <w:rsid w:val="00E81FB7"/>
    <w:rsid w:val="00E83D4B"/>
    <w:rsid w:val="00E86CF8"/>
    <w:rsid w:val="00E92112"/>
    <w:rsid w:val="00E92FAA"/>
    <w:rsid w:val="00E957BC"/>
    <w:rsid w:val="00E95E15"/>
    <w:rsid w:val="00EA2FB4"/>
    <w:rsid w:val="00EA47E3"/>
    <w:rsid w:val="00EA61A6"/>
    <w:rsid w:val="00EB0493"/>
    <w:rsid w:val="00EB0A87"/>
    <w:rsid w:val="00EB1A87"/>
    <w:rsid w:val="00EB27E8"/>
    <w:rsid w:val="00EC1C0C"/>
    <w:rsid w:val="00EC2B7D"/>
    <w:rsid w:val="00ED078F"/>
    <w:rsid w:val="00ED292F"/>
    <w:rsid w:val="00ED2980"/>
    <w:rsid w:val="00ED308F"/>
    <w:rsid w:val="00ED501E"/>
    <w:rsid w:val="00ED5448"/>
    <w:rsid w:val="00ED5FE2"/>
    <w:rsid w:val="00EE0259"/>
    <w:rsid w:val="00EE0F1D"/>
    <w:rsid w:val="00EE1575"/>
    <w:rsid w:val="00EE36A5"/>
    <w:rsid w:val="00EE50D1"/>
    <w:rsid w:val="00EE7983"/>
    <w:rsid w:val="00EF0058"/>
    <w:rsid w:val="00EF0105"/>
    <w:rsid w:val="00EF3C6E"/>
    <w:rsid w:val="00EF7803"/>
    <w:rsid w:val="00F00191"/>
    <w:rsid w:val="00F01E7A"/>
    <w:rsid w:val="00F02D0C"/>
    <w:rsid w:val="00F03EA3"/>
    <w:rsid w:val="00F05ED7"/>
    <w:rsid w:val="00F06119"/>
    <w:rsid w:val="00F118C8"/>
    <w:rsid w:val="00F14D40"/>
    <w:rsid w:val="00F32712"/>
    <w:rsid w:val="00F34757"/>
    <w:rsid w:val="00F34FBA"/>
    <w:rsid w:val="00F4454C"/>
    <w:rsid w:val="00F445DF"/>
    <w:rsid w:val="00F460D8"/>
    <w:rsid w:val="00F46815"/>
    <w:rsid w:val="00F530CA"/>
    <w:rsid w:val="00F54232"/>
    <w:rsid w:val="00F56812"/>
    <w:rsid w:val="00F577CE"/>
    <w:rsid w:val="00F6097F"/>
    <w:rsid w:val="00F64043"/>
    <w:rsid w:val="00F65575"/>
    <w:rsid w:val="00F70ACC"/>
    <w:rsid w:val="00F7138F"/>
    <w:rsid w:val="00F717F3"/>
    <w:rsid w:val="00F71F16"/>
    <w:rsid w:val="00F7670E"/>
    <w:rsid w:val="00F8024E"/>
    <w:rsid w:val="00F809D4"/>
    <w:rsid w:val="00F818DF"/>
    <w:rsid w:val="00F851F2"/>
    <w:rsid w:val="00F85FBE"/>
    <w:rsid w:val="00F860E5"/>
    <w:rsid w:val="00F87418"/>
    <w:rsid w:val="00F91E8F"/>
    <w:rsid w:val="00F93FBE"/>
    <w:rsid w:val="00F9579A"/>
    <w:rsid w:val="00F957FD"/>
    <w:rsid w:val="00F95A50"/>
    <w:rsid w:val="00F9715A"/>
    <w:rsid w:val="00FA2EC8"/>
    <w:rsid w:val="00FB6636"/>
    <w:rsid w:val="00FB68E4"/>
    <w:rsid w:val="00FB7ECC"/>
    <w:rsid w:val="00FC083D"/>
    <w:rsid w:val="00FC1E3C"/>
    <w:rsid w:val="00FC4676"/>
    <w:rsid w:val="00FD01DF"/>
    <w:rsid w:val="00FD44B9"/>
    <w:rsid w:val="00FD5168"/>
    <w:rsid w:val="00FD6068"/>
    <w:rsid w:val="00FD7F03"/>
    <w:rsid w:val="00FE4946"/>
    <w:rsid w:val="00FE6968"/>
    <w:rsid w:val="00FE7C8E"/>
    <w:rsid w:val="00FF5332"/>
    <w:rsid w:val="00FF7BBF"/>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F764106"/>
  <w15:docId w15:val="{228A863E-4F60-453A-9D13-B4B66A48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AD"/>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rsid w:val="00C80A8E"/>
    <w:pPr>
      <w:spacing w:before="100" w:beforeAutospacing="1" w:after="100" w:afterAutospacing="1" w:line="240" w:lineRule="auto"/>
    </w:pPr>
    <w:rPr>
      <w:rFonts w:ascii="Times New Roman" w:hAnsi="Times New Roman"/>
      <w:sz w:val="24"/>
      <w:szCs w:val="20"/>
      <w:lang w:val="en-US" w:eastAsia="lt-LT"/>
    </w:rPr>
  </w:style>
  <w:style w:type="character" w:customStyle="1" w:styleId="Pagrindiniotekstotrauka2Diagrama">
    <w:name w:val="Pagrindinio teksto įtrauka 2 Diagrama"/>
    <w:basedOn w:val="Numatytasispastraiposriftas"/>
    <w:link w:val="Pagrindiniotekstotrauka2"/>
    <w:uiPriority w:val="99"/>
    <w:semiHidden/>
    <w:locked/>
    <w:rsid w:val="00C80A8E"/>
    <w:rPr>
      <w:rFonts w:ascii="Times New Roman" w:hAnsi="Times New Roman"/>
      <w:sz w:val="24"/>
      <w:lang w:eastAsia="lt-LT"/>
    </w:rPr>
  </w:style>
  <w:style w:type="paragraph" w:customStyle="1" w:styleId="betarp1">
    <w:name w:val="betarp1"/>
    <w:basedOn w:val="prastasis"/>
    <w:uiPriority w:val="99"/>
    <w:rsid w:val="00C80A8E"/>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99"/>
    <w:qFormat/>
    <w:rsid w:val="00507FDE"/>
    <w:rPr>
      <w:rFonts w:ascii="Times New Roman" w:hAnsi="Times New Roman"/>
      <w:sz w:val="24"/>
      <w:lang w:val="lt-LT"/>
    </w:rPr>
  </w:style>
  <w:style w:type="paragraph" w:styleId="Pagrindinistekstas">
    <w:name w:val="Body Text"/>
    <w:basedOn w:val="prastasis"/>
    <w:link w:val="PagrindinistekstasDiagrama"/>
    <w:uiPriority w:val="99"/>
    <w:rsid w:val="00C80A8E"/>
    <w:pPr>
      <w:spacing w:after="120"/>
    </w:pPr>
    <w:rPr>
      <w:sz w:val="20"/>
      <w:szCs w:val="20"/>
      <w:lang w:val="en-US"/>
    </w:rPr>
  </w:style>
  <w:style w:type="character" w:customStyle="1" w:styleId="PagrindinistekstasDiagrama">
    <w:name w:val="Pagrindinis tekstas Diagrama"/>
    <w:basedOn w:val="Numatytasispastraiposriftas"/>
    <w:link w:val="Pagrindinistekstas"/>
    <w:uiPriority w:val="99"/>
    <w:locked/>
    <w:rsid w:val="00C80A8E"/>
  </w:style>
  <w:style w:type="paragraph" w:customStyle="1" w:styleId="statymopavad">
    <w:name w:val="statymopavad"/>
    <w:basedOn w:val="prastasis"/>
    <w:uiPriority w:val="99"/>
    <w:rsid w:val="001675B8"/>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7F2655"/>
    <w:pPr>
      <w:tabs>
        <w:tab w:val="center" w:pos="4819"/>
        <w:tab w:val="right" w:pos="9638"/>
      </w:tabs>
    </w:pPr>
    <w:rPr>
      <w:szCs w:val="20"/>
      <w:lang w:val="en-US"/>
    </w:rPr>
  </w:style>
  <w:style w:type="character" w:customStyle="1" w:styleId="AntratsDiagrama">
    <w:name w:val="Antraštės Diagrama"/>
    <w:basedOn w:val="Numatytasispastraiposriftas"/>
    <w:link w:val="Antrats"/>
    <w:uiPriority w:val="99"/>
    <w:locked/>
    <w:rsid w:val="007F2655"/>
    <w:rPr>
      <w:sz w:val="22"/>
      <w:lang w:eastAsia="en-US"/>
    </w:rPr>
  </w:style>
  <w:style w:type="paragraph" w:styleId="Porat">
    <w:name w:val="footer"/>
    <w:basedOn w:val="prastasis"/>
    <w:link w:val="PoratDiagrama"/>
    <w:uiPriority w:val="99"/>
    <w:rsid w:val="007F2655"/>
    <w:pPr>
      <w:tabs>
        <w:tab w:val="center" w:pos="4819"/>
        <w:tab w:val="right" w:pos="9638"/>
      </w:tabs>
    </w:pPr>
    <w:rPr>
      <w:szCs w:val="20"/>
      <w:lang w:val="en-US"/>
    </w:rPr>
  </w:style>
  <w:style w:type="character" w:customStyle="1" w:styleId="PoratDiagrama">
    <w:name w:val="Poraštė Diagrama"/>
    <w:basedOn w:val="Numatytasispastraiposriftas"/>
    <w:link w:val="Porat"/>
    <w:uiPriority w:val="99"/>
    <w:locked/>
    <w:rsid w:val="007F2655"/>
    <w:rPr>
      <w:sz w:val="22"/>
      <w:lang w:eastAsia="en-US"/>
    </w:rPr>
  </w:style>
  <w:style w:type="character" w:styleId="Hipersaitas">
    <w:name w:val="Hyperlink"/>
    <w:basedOn w:val="Numatytasispastraiposriftas"/>
    <w:uiPriority w:val="99"/>
    <w:semiHidden/>
    <w:rsid w:val="00B77C35"/>
    <w:rPr>
      <w:rFonts w:cs="Times New Roman"/>
      <w:color w:val="000000"/>
      <w:u w:val="single"/>
    </w:rPr>
  </w:style>
  <w:style w:type="paragraph" w:styleId="Paprastasistekstas">
    <w:name w:val="Plain Text"/>
    <w:basedOn w:val="prastasis"/>
    <w:link w:val="PaprastasistekstasDiagrama"/>
    <w:uiPriority w:val="99"/>
    <w:semiHidden/>
    <w:rsid w:val="00B77C35"/>
    <w:pPr>
      <w:spacing w:before="100" w:beforeAutospacing="1" w:after="100" w:afterAutospacing="1" w:line="240" w:lineRule="auto"/>
    </w:pPr>
    <w:rPr>
      <w:rFonts w:ascii="Times New Roman" w:hAnsi="Times New Roman"/>
      <w:sz w:val="24"/>
      <w:szCs w:val="20"/>
      <w:lang w:val="en-US"/>
    </w:rPr>
  </w:style>
  <w:style w:type="character" w:customStyle="1" w:styleId="PaprastasistekstasDiagrama">
    <w:name w:val="Paprastasis tekstas Diagrama"/>
    <w:basedOn w:val="Numatytasispastraiposriftas"/>
    <w:link w:val="Paprastasistekstas"/>
    <w:uiPriority w:val="99"/>
    <w:semiHidden/>
    <w:locked/>
    <w:rsid w:val="00B77C35"/>
    <w:rPr>
      <w:rFonts w:ascii="Times New Roman" w:hAnsi="Times New Roman"/>
      <w:sz w:val="24"/>
    </w:rPr>
  </w:style>
  <w:style w:type="paragraph" w:styleId="Sraopastraipa">
    <w:name w:val="List Paragraph"/>
    <w:basedOn w:val="prastasis"/>
    <w:uiPriority w:val="99"/>
    <w:qFormat/>
    <w:rsid w:val="000D128D"/>
    <w:pPr>
      <w:ind w:left="720"/>
      <w:contextualSpacing/>
    </w:pPr>
  </w:style>
  <w:style w:type="paragraph" w:styleId="Debesliotekstas">
    <w:name w:val="Balloon Text"/>
    <w:basedOn w:val="prastasis"/>
    <w:link w:val="DebesliotekstasDiagrama"/>
    <w:uiPriority w:val="99"/>
    <w:semiHidden/>
    <w:rsid w:val="0088026C"/>
    <w:pPr>
      <w:spacing w:after="0" w:line="240" w:lineRule="auto"/>
    </w:pPr>
    <w:rPr>
      <w:rFonts w:ascii="Tahoma" w:hAnsi="Tahoma"/>
      <w:sz w:val="16"/>
      <w:szCs w:val="16"/>
      <w:lang w:val="en-US"/>
    </w:rPr>
  </w:style>
  <w:style w:type="character" w:customStyle="1" w:styleId="DebesliotekstasDiagrama">
    <w:name w:val="Debesėlio tekstas Diagrama"/>
    <w:basedOn w:val="Numatytasispastraiposriftas"/>
    <w:link w:val="Debesliotekstas"/>
    <w:uiPriority w:val="99"/>
    <w:semiHidden/>
    <w:locked/>
    <w:rsid w:val="0088026C"/>
    <w:rPr>
      <w:rFonts w:ascii="Tahoma" w:hAnsi="Tahoma"/>
      <w:sz w:val="16"/>
      <w:lang w:eastAsia="en-US"/>
    </w:rPr>
  </w:style>
  <w:style w:type="character" w:styleId="Komentaronuoroda">
    <w:name w:val="annotation reference"/>
    <w:basedOn w:val="Numatytasispastraiposriftas"/>
    <w:uiPriority w:val="99"/>
    <w:semiHidden/>
    <w:rsid w:val="0088026C"/>
    <w:rPr>
      <w:rFonts w:cs="Times New Roman"/>
      <w:sz w:val="16"/>
    </w:rPr>
  </w:style>
  <w:style w:type="paragraph" w:styleId="Komentarotekstas">
    <w:name w:val="annotation text"/>
    <w:basedOn w:val="prastasis"/>
    <w:link w:val="KomentarotekstasDiagrama"/>
    <w:uiPriority w:val="99"/>
    <w:semiHidden/>
    <w:rsid w:val="0088026C"/>
    <w:rPr>
      <w:sz w:val="20"/>
      <w:szCs w:val="20"/>
      <w:lang w:val="en-US"/>
    </w:rPr>
  </w:style>
  <w:style w:type="character" w:customStyle="1" w:styleId="KomentarotekstasDiagrama">
    <w:name w:val="Komentaro tekstas Diagrama"/>
    <w:basedOn w:val="Numatytasispastraiposriftas"/>
    <w:link w:val="Komentarotekstas"/>
    <w:uiPriority w:val="99"/>
    <w:semiHidden/>
    <w:locked/>
    <w:rsid w:val="0088026C"/>
    <w:rPr>
      <w:lang w:eastAsia="en-US"/>
    </w:rPr>
  </w:style>
  <w:style w:type="paragraph" w:styleId="Komentarotema">
    <w:name w:val="annotation subject"/>
    <w:basedOn w:val="Komentarotekstas"/>
    <w:next w:val="Komentarotekstas"/>
    <w:link w:val="KomentarotemaDiagrama"/>
    <w:uiPriority w:val="99"/>
    <w:semiHidden/>
    <w:rsid w:val="0088026C"/>
    <w:rPr>
      <w:b/>
      <w:bCs/>
    </w:rPr>
  </w:style>
  <w:style w:type="character" w:customStyle="1" w:styleId="KomentarotemaDiagrama">
    <w:name w:val="Komentaro tema Diagrama"/>
    <w:basedOn w:val="KomentarotekstasDiagrama"/>
    <w:link w:val="Komentarotema"/>
    <w:uiPriority w:val="99"/>
    <w:semiHidden/>
    <w:locked/>
    <w:rsid w:val="0088026C"/>
    <w:rPr>
      <w:b/>
      <w:lang w:eastAsia="en-US"/>
    </w:rPr>
  </w:style>
  <w:style w:type="character" w:customStyle="1" w:styleId="statymonr">
    <w:name w:val="statymonr"/>
    <w:uiPriority w:val="99"/>
    <w:rsid w:val="00E47D6A"/>
  </w:style>
  <w:style w:type="character" w:customStyle="1" w:styleId="apple-converted-space">
    <w:name w:val="apple-converted-space"/>
    <w:basedOn w:val="Numatytasispastraiposriftas"/>
    <w:uiPriority w:val="99"/>
    <w:rsid w:val="00DA1105"/>
    <w:rPr>
      <w:rFonts w:cs="Times New Roman"/>
    </w:rPr>
  </w:style>
  <w:style w:type="paragraph" w:styleId="Pagrindiniotekstotrauka">
    <w:name w:val="Body Text Indent"/>
    <w:basedOn w:val="prastasis"/>
    <w:link w:val="PagrindiniotekstotraukaDiagrama"/>
    <w:uiPriority w:val="99"/>
    <w:semiHidden/>
    <w:rsid w:val="00B774F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B774F1"/>
    <w:rPr>
      <w:rFonts w:cs="Times New Roman"/>
      <w:sz w:val="22"/>
      <w:szCs w:val="22"/>
      <w:lang w:eastAsia="en-US"/>
    </w:rPr>
  </w:style>
  <w:style w:type="paragraph" w:styleId="Pataisymai">
    <w:name w:val="Revision"/>
    <w:hidden/>
    <w:uiPriority w:val="99"/>
    <w:semiHidden/>
    <w:rsid w:val="009F449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362646">
      <w:marLeft w:val="0"/>
      <w:marRight w:val="0"/>
      <w:marTop w:val="0"/>
      <w:marBottom w:val="0"/>
      <w:divBdr>
        <w:top w:val="none" w:sz="0" w:space="0" w:color="auto"/>
        <w:left w:val="none" w:sz="0" w:space="0" w:color="auto"/>
        <w:bottom w:val="none" w:sz="0" w:space="0" w:color="auto"/>
        <w:right w:val="none" w:sz="0" w:space="0" w:color="auto"/>
      </w:divBdr>
    </w:div>
    <w:div w:id="1096362647">
      <w:marLeft w:val="0"/>
      <w:marRight w:val="0"/>
      <w:marTop w:val="0"/>
      <w:marBottom w:val="0"/>
      <w:divBdr>
        <w:top w:val="none" w:sz="0" w:space="0" w:color="auto"/>
        <w:left w:val="none" w:sz="0" w:space="0" w:color="auto"/>
        <w:bottom w:val="none" w:sz="0" w:space="0" w:color="auto"/>
        <w:right w:val="none" w:sz="0" w:space="0" w:color="auto"/>
      </w:divBdr>
    </w:div>
    <w:div w:id="1096362648">
      <w:marLeft w:val="0"/>
      <w:marRight w:val="0"/>
      <w:marTop w:val="0"/>
      <w:marBottom w:val="0"/>
      <w:divBdr>
        <w:top w:val="none" w:sz="0" w:space="0" w:color="auto"/>
        <w:left w:val="none" w:sz="0" w:space="0" w:color="auto"/>
        <w:bottom w:val="none" w:sz="0" w:space="0" w:color="auto"/>
        <w:right w:val="none" w:sz="0" w:space="0" w:color="auto"/>
      </w:divBdr>
      <w:divsChild>
        <w:div w:id="1096362650">
          <w:marLeft w:val="0"/>
          <w:marRight w:val="0"/>
          <w:marTop w:val="0"/>
          <w:marBottom w:val="0"/>
          <w:divBdr>
            <w:top w:val="none" w:sz="0" w:space="0" w:color="auto"/>
            <w:left w:val="none" w:sz="0" w:space="0" w:color="auto"/>
            <w:bottom w:val="none" w:sz="0" w:space="0" w:color="auto"/>
            <w:right w:val="none" w:sz="0" w:space="0" w:color="auto"/>
          </w:divBdr>
        </w:div>
        <w:div w:id="1096362653">
          <w:marLeft w:val="0"/>
          <w:marRight w:val="0"/>
          <w:marTop w:val="0"/>
          <w:marBottom w:val="0"/>
          <w:divBdr>
            <w:top w:val="none" w:sz="0" w:space="0" w:color="auto"/>
            <w:left w:val="none" w:sz="0" w:space="0" w:color="auto"/>
            <w:bottom w:val="none" w:sz="0" w:space="0" w:color="auto"/>
            <w:right w:val="none" w:sz="0" w:space="0" w:color="auto"/>
          </w:divBdr>
        </w:div>
        <w:div w:id="1096362654">
          <w:marLeft w:val="0"/>
          <w:marRight w:val="0"/>
          <w:marTop w:val="0"/>
          <w:marBottom w:val="0"/>
          <w:divBdr>
            <w:top w:val="none" w:sz="0" w:space="0" w:color="auto"/>
            <w:left w:val="none" w:sz="0" w:space="0" w:color="auto"/>
            <w:bottom w:val="none" w:sz="0" w:space="0" w:color="auto"/>
            <w:right w:val="none" w:sz="0" w:space="0" w:color="auto"/>
          </w:divBdr>
        </w:div>
        <w:div w:id="1096362656">
          <w:marLeft w:val="0"/>
          <w:marRight w:val="0"/>
          <w:marTop w:val="0"/>
          <w:marBottom w:val="0"/>
          <w:divBdr>
            <w:top w:val="none" w:sz="0" w:space="0" w:color="auto"/>
            <w:left w:val="none" w:sz="0" w:space="0" w:color="auto"/>
            <w:bottom w:val="none" w:sz="0" w:space="0" w:color="auto"/>
            <w:right w:val="none" w:sz="0" w:space="0" w:color="auto"/>
          </w:divBdr>
        </w:div>
      </w:divsChild>
    </w:div>
    <w:div w:id="1096362649">
      <w:marLeft w:val="0"/>
      <w:marRight w:val="0"/>
      <w:marTop w:val="0"/>
      <w:marBottom w:val="0"/>
      <w:divBdr>
        <w:top w:val="none" w:sz="0" w:space="0" w:color="auto"/>
        <w:left w:val="none" w:sz="0" w:space="0" w:color="auto"/>
        <w:bottom w:val="none" w:sz="0" w:space="0" w:color="auto"/>
        <w:right w:val="none" w:sz="0" w:space="0" w:color="auto"/>
      </w:divBdr>
    </w:div>
    <w:div w:id="1096362651">
      <w:marLeft w:val="0"/>
      <w:marRight w:val="0"/>
      <w:marTop w:val="0"/>
      <w:marBottom w:val="0"/>
      <w:divBdr>
        <w:top w:val="none" w:sz="0" w:space="0" w:color="auto"/>
        <w:left w:val="none" w:sz="0" w:space="0" w:color="auto"/>
        <w:bottom w:val="none" w:sz="0" w:space="0" w:color="auto"/>
        <w:right w:val="none" w:sz="0" w:space="0" w:color="auto"/>
      </w:divBdr>
    </w:div>
    <w:div w:id="1096362652">
      <w:marLeft w:val="0"/>
      <w:marRight w:val="0"/>
      <w:marTop w:val="0"/>
      <w:marBottom w:val="0"/>
      <w:divBdr>
        <w:top w:val="none" w:sz="0" w:space="0" w:color="auto"/>
        <w:left w:val="none" w:sz="0" w:space="0" w:color="auto"/>
        <w:bottom w:val="none" w:sz="0" w:space="0" w:color="auto"/>
        <w:right w:val="none" w:sz="0" w:space="0" w:color="auto"/>
      </w:divBdr>
    </w:div>
    <w:div w:id="1096362655">
      <w:marLeft w:val="0"/>
      <w:marRight w:val="0"/>
      <w:marTop w:val="0"/>
      <w:marBottom w:val="0"/>
      <w:divBdr>
        <w:top w:val="none" w:sz="0" w:space="0" w:color="auto"/>
        <w:left w:val="none" w:sz="0" w:space="0" w:color="auto"/>
        <w:bottom w:val="none" w:sz="0" w:space="0" w:color="auto"/>
        <w:right w:val="none" w:sz="0" w:space="0" w:color="auto"/>
      </w:divBdr>
    </w:div>
    <w:div w:id="1096362658">
      <w:marLeft w:val="225"/>
      <w:marRight w:val="225"/>
      <w:marTop w:val="0"/>
      <w:marBottom w:val="0"/>
      <w:divBdr>
        <w:top w:val="none" w:sz="0" w:space="0" w:color="auto"/>
        <w:left w:val="none" w:sz="0" w:space="0" w:color="auto"/>
        <w:bottom w:val="none" w:sz="0" w:space="0" w:color="auto"/>
        <w:right w:val="none" w:sz="0" w:space="0" w:color="auto"/>
      </w:divBdr>
      <w:divsChild>
        <w:div w:id="1096362667">
          <w:marLeft w:val="0"/>
          <w:marRight w:val="0"/>
          <w:marTop w:val="0"/>
          <w:marBottom w:val="0"/>
          <w:divBdr>
            <w:top w:val="none" w:sz="0" w:space="0" w:color="auto"/>
            <w:left w:val="none" w:sz="0" w:space="0" w:color="auto"/>
            <w:bottom w:val="none" w:sz="0" w:space="0" w:color="auto"/>
            <w:right w:val="none" w:sz="0" w:space="0" w:color="auto"/>
          </w:divBdr>
        </w:div>
      </w:divsChild>
    </w:div>
    <w:div w:id="1096362660">
      <w:marLeft w:val="0"/>
      <w:marRight w:val="0"/>
      <w:marTop w:val="0"/>
      <w:marBottom w:val="0"/>
      <w:divBdr>
        <w:top w:val="none" w:sz="0" w:space="0" w:color="auto"/>
        <w:left w:val="none" w:sz="0" w:space="0" w:color="auto"/>
        <w:bottom w:val="none" w:sz="0" w:space="0" w:color="auto"/>
        <w:right w:val="none" w:sz="0" w:space="0" w:color="auto"/>
      </w:divBdr>
    </w:div>
    <w:div w:id="1096362661">
      <w:marLeft w:val="225"/>
      <w:marRight w:val="225"/>
      <w:marTop w:val="0"/>
      <w:marBottom w:val="0"/>
      <w:divBdr>
        <w:top w:val="none" w:sz="0" w:space="0" w:color="auto"/>
        <w:left w:val="none" w:sz="0" w:space="0" w:color="auto"/>
        <w:bottom w:val="none" w:sz="0" w:space="0" w:color="auto"/>
        <w:right w:val="none" w:sz="0" w:space="0" w:color="auto"/>
      </w:divBdr>
      <w:divsChild>
        <w:div w:id="1096362657">
          <w:marLeft w:val="0"/>
          <w:marRight w:val="0"/>
          <w:marTop w:val="0"/>
          <w:marBottom w:val="0"/>
          <w:divBdr>
            <w:top w:val="none" w:sz="0" w:space="0" w:color="auto"/>
            <w:left w:val="none" w:sz="0" w:space="0" w:color="auto"/>
            <w:bottom w:val="none" w:sz="0" w:space="0" w:color="auto"/>
            <w:right w:val="none" w:sz="0" w:space="0" w:color="auto"/>
          </w:divBdr>
        </w:div>
      </w:divsChild>
    </w:div>
    <w:div w:id="1096362663">
      <w:marLeft w:val="225"/>
      <w:marRight w:val="225"/>
      <w:marTop w:val="0"/>
      <w:marBottom w:val="0"/>
      <w:divBdr>
        <w:top w:val="none" w:sz="0" w:space="0" w:color="auto"/>
        <w:left w:val="none" w:sz="0" w:space="0" w:color="auto"/>
        <w:bottom w:val="none" w:sz="0" w:space="0" w:color="auto"/>
        <w:right w:val="none" w:sz="0" w:space="0" w:color="auto"/>
      </w:divBdr>
      <w:divsChild>
        <w:div w:id="1096362659">
          <w:marLeft w:val="0"/>
          <w:marRight w:val="0"/>
          <w:marTop w:val="0"/>
          <w:marBottom w:val="0"/>
          <w:divBdr>
            <w:top w:val="none" w:sz="0" w:space="0" w:color="auto"/>
            <w:left w:val="none" w:sz="0" w:space="0" w:color="auto"/>
            <w:bottom w:val="none" w:sz="0" w:space="0" w:color="auto"/>
            <w:right w:val="none" w:sz="0" w:space="0" w:color="auto"/>
          </w:divBdr>
        </w:div>
      </w:divsChild>
    </w:div>
    <w:div w:id="1096362666">
      <w:marLeft w:val="225"/>
      <w:marRight w:val="225"/>
      <w:marTop w:val="0"/>
      <w:marBottom w:val="0"/>
      <w:divBdr>
        <w:top w:val="none" w:sz="0" w:space="0" w:color="auto"/>
        <w:left w:val="none" w:sz="0" w:space="0" w:color="auto"/>
        <w:bottom w:val="none" w:sz="0" w:space="0" w:color="auto"/>
        <w:right w:val="none" w:sz="0" w:space="0" w:color="auto"/>
      </w:divBdr>
      <w:divsChild>
        <w:div w:id="1096362665">
          <w:marLeft w:val="0"/>
          <w:marRight w:val="0"/>
          <w:marTop w:val="0"/>
          <w:marBottom w:val="0"/>
          <w:divBdr>
            <w:top w:val="none" w:sz="0" w:space="0" w:color="auto"/>
            <w:left w:val="none" w:sz="0" w:space="0" w:color="auto"/>
            <w:bottom w:val="none" w:sz="0" w:space="0" w:color="auto"/>
            <w:right w:val="none" w:sz="0" w:space="0" w:color="auto"/>
          </w:divBdr>
        </w:div>
      </w:divsChild>
    </w:div>
    <w:div w:id="1096362668">
      <w:marLeft w:val="225"/>
      <w:marRight w:val="225"/>
      <w:marTop w:val="0"/>
      <w:marBottom w:val="0"/>
      <w:divBdr>
        <w:top w:val="none" w:sz="0" w:space="0" w:color="auto"/>
        <w:left w:val="none" w:sz="0" w:space="0" w:color="auto"/>
        <w:bottom w:val="none" w:sz="0" w:space="0" w:color="auto"/>
        <w:right w:val="none" w:sz="0" w:space="0" w:color="auto"/>
      </w:divBdr>
      <w:divsChild>
        <w:div w:id="1096362669">
          <w:marLeft w:val="0"/>
          <w:marRight w:val="0"/>
          <w:marTop w:val="0"/>
          <w:marBottom w:val="0"/>
          <w:divBdr>
            <w:top w:val="none" w:sz="0" w:space="0" w:color="auto"/>
            <w:left w:val="none" w:sz="0" w:space="0" w:color="auto"/>
            <w:bottom w:val="none" w:sz="0" w:space="0" w:color="auto"/>
            <w:right w:val="none" w:sz="0" w:space="0" w:color="auto"/>
          </w:divBdr>
        </w:div>
      </w:divsChild>
    </w:div>
    <w:div w:id="1096362670">
      <w:marLeft w:val="0"/>
      <w:marRight w:val="0"/>
      <w:marTop w:val="0"/>
      <w:marBottom w:val="0"/>
      <w:divBdr>
        <w:top w:val="none" w:sz="0" w:space="0" w:color="auto"/>
        <w:left w:val="none" w:sz="0" w:space="0" w:color="auto"/>
        <w:bottom w:val="none" w:sz="0" w:space="0" w:color="auto"/>
        <w:right w:val="none" w:sz="0" w:space="0" w:color="auto"/>
      </w:divBdr>
    </w:div>
    <w:div w:id="1096362671">
      <w:marLeft w:val="225"/>
      <w:marRight w:val="225"/>
      <w:marTop w:val="0"/>
      <w:marBottom w:val="0"/>
      <w:divBdr>
        <w:top w:val="none" w:sz="0" w:space="0" w:color="auto"/>
        <w:left w:val="none" w:sz="0" w:space="0" w:color="auto"/>
        <w:bottom w:val="none" w:sz="0" w:space="0" w:color="auto"/>
        <w:right w:val="none" w:sz="0" w:space="0" w:color="auto"/>
      </w:divBdr>
      <w:divsChild>
        <w:div w:id="1096362662">
          <w:marLeft w:val="0"/>
          <w:marRight w:val="0"/>
          <w:marTop w:val="0"/>
          <w:marBottom w:val="0"/>
          <w:divBdr>
            <w:top w:val="none" w:sz="0" w:space="0" w:color="auto"/>
            <w:left w:val="none" w:sz="0" w:space="0" w:color="auto"/>
            <w:bottom w:val="none" w:sz="0" w:space="0" w:color="auto"/>
            <w:right w:val="none" w:sz="0" w:space="0" w:color="auto"/>
          </w:divBdr>
        </w:div>
      </w:divsChild>
    </w:div>
    <w:div w:id="1096362672">
      <w:marLeft w:val="225"/>
      <w:marRight w:val="225"/>
      <w:marTop w:val="0"/>
      <w:marBottom w:val="0"/>
      <w:divBdr>
        <w:top w:val="none" w:sz="0" w:space="0" w:color="auto"/>
        <w:left w:val="none" w:sz="0" w:space="0" w:color="auto"/>
        <w:bottom w:val="none" w:sz="0" w:space="0" w:color="auto"/>
        <w:right w:val="none" w:sz="0" w:space="0" w:color="auto"/>
      </w:divBdr>
      <w:divsChild>
        <w:div w:id="109636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activeX/activeX1.xml"
                 Type="http://schemas.openxmlformats.org/officeDocument/2006/relationships/control"/>
</Relationships>
</file>

<file path=word/activeX/_rels/activeX1.xml.rels><?xml version="1.0" encoding="UTF-8" standalone="yes"?>
<Relationships xmlns="http://schemas.openxmlformats.org/package/2006/relationships">
   <Relationship Id="rId1" Target="activeX1.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976F-5FD1-456B-9E25-5997299D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6960</Characters>
  <Application>Microsoft Office Word</Application>
  <DocSecurity>0</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2021-07-28T03:40:00Z</dcterms:created>
  <dc:creator>Vytautas</dc:creator>
  <cp:lastModifiedBy>Alvydas Tumasonis</cp:lastModifiedBy>
  <cp:lastPrinted>2018-10-11T06:46:00Z</cp:lastPrinted>
  <dcterms:modified xsi:type="dcterms:W3CDTF">2021-07-28T03:44:00Z</dcterms:modified>
  <cp:revision>6</cp:revision>
  <dc:title>LIETUVOS RESPUBLIKOS</dc:title>
</cp:coreProperties>
</file>